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footer31.xml" ContentType="application/vnd.openxmlformats-officedocument.wordprocessingml.footer+xml"/>
  <Override PartName="/word/header35.xml" ContentType="application/vnd.openxmlformats-officedocument.wordprocessingml.head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0.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1.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43.xml" ContentType="application/vnd.openxmlformats-officedocument.wordprocessingml.header+xml"/>
  <Override PartName="/word/footer48.xml" ContentType="application/vnd.openxmlformats-officedocument.wordprocessingml.footer+xml"/>
  <Override PartName="/word/header44.xml" ContentType="application/vnd.openxmlformats-officedocument.wordprocessingml.header+xml"/>
  <Override PartName="/word/footer49.xml" ContentType="application/vnd.openxmlformats-officedocument.wordprocessingml.footer+xml"/>
  <Override PartName="/word/header45.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footer51.xml" ContentType="application/vnd.openxmlformats-officedocument.wordprocessingml.footer+xml"/>
  <Override PartName="/word/header4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8.xml" ContentType="application/vnd.openxmlformats-officedocument.wordprocessingml.header+xml"/>
  <Override PartName="/word/footer54.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1.xml" ContentType="application/vnd.openxmlformats-officedocument.wordprocessingml.header+xml"/>
  <Override PartName="/word/footer57.xml" ContentType="application/vnd.openxmlformats-officedocument.wordprocessingml.footer+xml"/>
  <Override PartName="/word/header5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3.xml" ContentType="application/vnd.openxmlformats-officedocument.wordprocessingml.header+xml"/>
  <Override PartName="/word/footer60.xml" ContentType="application/vnd.openxmlformats-officedocument.wordprocessingml.footer+xml"/>
  <Override PartName="/word/header54.xml" ContentType="application/vnd.openxmlformats-officedocument.wordprocessingml.header+xml"/>
  <Override PartName="/word/footer61.xml" ContentType="application/vnd.openxmlformats-officedocument.wordprocessingml.footer+xml"/>
  <Override PartName="/word/header55.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56.xml" ContentType="application/vnd.openxmlformats-officedocument.wordprocessingml.header+xml"/>
  <Override PartName="/word/footer64.xml" ContentType="application/vnd.openxmlformats-officedocument.wordprocessingml.footer+xml"/>
  <Override PartName="/word/header57.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5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59.xml" ContentType="application/vnd.openxmlformats-officedocument.wordprocessingml.header+xml"/>
  <Override PartName="/word/footer69.xml" ContentType="application/vnd.openxmlformats-officedocument.wordprocessingml.footer+xml"/>
  <Override PartName="/word/header60.xml" ContentType="application/vnd.openxmlformats-officedocument.wordprocessingml.header+xml"/>
  <Override PartName="/word/footer7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63.xml" ContentType="application/vnd.openxmlformats-officedocument.wordprocessingml.header+xml"/>
  <Override PartName="/word/footer73.xml" ContentType="application/vnd.openxmlformats-officedocument.wordprocessingml.footer+xml"/>
  <Override PartName="/word/header64.xml" ContentType="application/vnd.openxmlformats-officedocument.wordprocessingml.header+xml"/>
  <Override PartName="/word/footer7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125A0" w14:textId="77777777" w:rsidR="00F67E9E" w:rsidRDefault="00F67E9E" w:rsidP="00F67E9E">
      <w:pPr>
        <w:pStyle w:val="Centered"/>
        <w:jc w:val="left"/>
      </w:pPr>
      <w:bookmarkStart w:id="0" w:name="_Hlk89700444"/>
      <w:bookmarkStart w:id="1" w:name="_GoBack"/>
      <w:bookmarkEnd w:id="1"/>
      <w:r>
        <w:rPr>
          <w:noProof/>
        </w:rPr>
        <w:drawing>
          <wp:inline distT="0" distB="0" distL="0" distR="0" wp14:anchorId="42239DB6" wp14:editId="6B6625E2">
            <wp:extent cx="1381125" cy="727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90698" cy="732822"/>
                    </a:xfrm>
                    <a:prstGeom prst="rect">
                      <a:avLst/>
                    </a:prstGeom>
                  </pic:spPr>
                </pic:pic>
              </a:graphicData>
            </a:graphic>
          </wp:inline>
        </w:drawing>
      </w:r>
      <w:r>
        <w:rPr>
          <w:noProof/>
        </w:rPr>
        <w:drawing>
          <wp:inline distT="0" distB="0" distL="0" distR="0" wp14:anchorId="48C835FA" wp14:editId="43CBA0CC">
            <wp:extent cx="1767032" cy="742829"/>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73262" cy="745448"/>
                    </a:xfrm>
                    <a:prstGeom prst="rect">
                      <a:avLst/>
                    </a:prstGeom>
                  </pic:spPr>
                </pic:pic>
              </a:graphicData>
            </a:graphic>
          </wp:inline>
        </w:drawing>
      </w:r>
    </w:p>
    <w:p w14:paraId="5D4DACA6" w14:textId="77777777" w:rsidR="00042AD5" w:rsidRDefault="00042AD5" w:rsidP="00F67E9E">
      <w:pPr>
        <w:pStyle w:val="BlankDocumentTitle"/>
        <w:rPr>
          <w:sz w:val="36"/>
          <w:szCs w:val="36"/>
        </w:rPr>
      </w:pPr>
    </w:p>
    <w:p w14:paraId="6209C98C" w14:textId="19D3616F" w:rsidR="00F67E9E" w:rsidRPr="00DB3A68" w:rsidRDefault="00F67E9E" w:rsidP="00F67E9E">
      <w:pPr>
        <w:pStyle w:val="BlankDocumentTitle"/>
        <w:rPr>
          <w:sz w:val="36"/>
          <w:szCs w:val="36"/>
        </w:rPr>
      </w:pPr>
      <w:r w:rsidRPr="00DB3A68">
        <w:rPr>
          <w:sz w:val="36"/>
          <w:szCs w:val="36"/>
        </w:rPr>
        <w:t>Model Services Agreement Combined Schedules</w:t>
      </w:r>
    </w:p>
    <w:p w14:paraId="2C85E40A" w14:textId="77777777" w:rsidR="00F67E9E" w:rsidRDefault="00F67E9E" w:rsidP="00F67E9E">
      <w:pPr>
        <w:pStyle w:val="StdBodyText"/>
      </w:pPr>
    </w:p>
    <w:p w14:paraId="467D1696" w14:textId="77777777" w:rsidR="00F67E9E" w:rsidRDefault="00F67E9E" w:rsidP="00F67E9E">
      <w:pPr>
        <w:pStyle w:val="StdBodyText"/>
      </w:pPr>
      <w:r>
        <w:br w:type="page"/>
      </w:r>
    </w:p>
    <w:p w14:paraId="47D842D2" w14:textId="77777777" w:rsidR="00F67E9E" w:rsidRPr="007C55B2" w:rsidRDefault="00F67E9E" w:rsidP="00F67E9E">
      <w:pPr>
        <w:pStyle w:val="Dividername"/>
      </w:pPr>
      <w:r w:rsidRPr="007C55B2">
        <w:lastRenderedPageBreak/>
        <w:t xml:space="preserve">Model Agreement </w:t>
      </w:r>
      <w:r>
        <w:t>f</w:t>
      </w:r>
      <w:r w:rsidRPr="007C55B2">
        <w:t>or Services</w:t>
      </w:r>
    </w:p>
    <w:p w14:paraId="4E885352" w14:textId="77777777" w:rsidR="00F67E9E" w:rsidRPr="007C55B2" w:rsidRDefault="00F67E9E" w:rsidP="00F67E9E">
      <w:pPr>
        <w:pStyle w:val="Dividername"/>
      </w:pPr>
      <w:r w:rsidRPr="007C55B2">
        <w:t>Schedules, Annex</w:t>
      </w:r>
      <w:r w:rsidRPr="008C33D5">
        <w:t>es an</w:t>
      </w:r>
      <w:r w:rsidRPr="007C55B2">
        <w:t>d Parts</w:t>
      </w:r>
    </w:p>
    <w:p w14:paraId="5EF1533E" w14:textId="77777777" w:rsidR="00F67E9E" w:rsidRDefault="00F67E9E" w:rsidP="00F67E9E">
      <w:pPr>
        <w:rPr>
          <w:rFonts w:cs="Arial"/>
        </w:rPr>
      </w:pPr>
    </w:p>
    <w:p w14:paraId="7061D7B8" w14:textId="33BD1572" w:rsidR="00EC35C4" w:rsidRDefault="00F67E9E">
      <w:pPr>
        <w:pStyle w:val="TOC1"/>
        <w:rPr>
          <w:rFonts w:eastAsiaTheme="minorEastAsia" w:cstheme="minorBidi"/>
          <w:b w:val="0"/>
          <w:noProof/>
          <w:color w:val="auto"/>
          <w:sz w:val="22"/>
          <w:szCs w:val="22"/>
          <w:lang w:eastAsia="en-GB"/>
        </w:rPr>
      </w:pPr>
      <w:r>
        <w:rPr>
          <w:rFonts w:ascii="Times New Roman" w:hAnsi="Times New Roman" w:cs="Arial"/>
          <w:sz w:val="22"/>
        </w:rPr>
        <w:fldChar w:fldCharType="begin"/>
      </w:r>
      <w:r>
        <w:rPr>
          <w:rFonts w:ascii="Times New Roman" w:hAnsi="Times New Roman" w:cs="Arial"/>
          <w:sz w:val="22"/>
        </w:rPr>
        <w:instrText xml:space="preserve"> TOC \h \z \t "Heading 1,1,Heading 2,2" </w:instrText>
      </w:r>
      <w:r>
        <w:rPr>
          <w:rFonts w:ascii="Times New Roman" w:hAnsi="Times New Roman" w:cs="Arial"/>
          <w:sz w:val="22"/>
        </w:rPr>
        <w:fldChar w:fldCharType="separate"/>
      </w:r>
      <w:hyperlink w:anchor="_Toc145412734" w:history="1">
        <w:r w:rsidR="00EC35C4" w:rsidRPr="00503338">
          <w:rPr>
            <w:rStyle w:val="Hyperlink"/>
            <w:noProof/>
          </w:rPr>
          <w:t>Schedule 1: Definitions</w:t>
        </w:r>
        <w:r w:rsidR="00EC35C4">
          <w:rPr>
            <w:noProof/>
            <w:webHidden/>
          </w:rPr>
          <w:tab/>
        </w:r>
        <w:r w:rsidR="00EC35C4">
          <w:rPr>
            <w:noProof/>
            <w:webHidden/>
          </w:rPr>
          <w:fldChar w:fldCharType="begin"/>
        </w:r>
        <w:r w:rsidR="00EC35C4">
          <w:rPr>
            <w:noProof/>
            <w:webHidden/>
          </w:rPr>
          <w:instrText xml:space="preserve"> PAGEREF _Toc145412734 \h </w:instrText>
        </w:r>
        <w:r w:rsidR="00EC35C4">
          <w:rPr>
            <w:noProof/>
            <w:webHidden/>
          </w:rPr>
        </w:r>
        <w:r w:rsidR="00EC35C4">
          <w:rPr>
            <w:noProof/>
            <w:webHidden/>
          </w:rPr>
          <w:fldChar w:fldCharType="separate"/>
        </w:r>
        <w:r w:rsidR="007A1473">
          <w:rPr>
            <w:noProof/>
            <w:webHidden/>
          </w:rPr>
          <w:t>7</w:t>
        </w:r>
        <w:r w:rsidR="00EC35C4">
          <w:rPr>
            <w:noProof/>
            <w:webHidden/>
          </w:rPr>
          <w:fldChar w:fldCharType="end"/>
        </w:r>
      </w:hyperlink>
    </w:p>
    <w:p w14:paraId="749D99F6" w14:textId="49BD29CB" w:rsidR="00EC35C4" w:rsidRDefault="00236244">
      <w:pPr>
        <w:pStyle w:val="TOC1"/>
        <w:rPr>
          <w:rFonts w:eastAsiaTheme="minorEastAsia" w:cstheme="minorBidi"/>
          <w:b w:val="0"/>
          <w:noProof/>
          <w:color w:val="auto"/>
          <w:sz w:val="22"/>
          <w:szCs w:val="22"/>
          <w:lang w:eastAsia="en-GB"/>
        </w:rPr>
      </w:pPr>
      <w:hyperlink w:anchor="_Toc145412735" w:history="1">
        <w:r w:rsidR="00EC35C4" w:rsidRPr="00503338">
          <w:rPr>
            <w:rStyle w:val="Hyperlink"/>
            <w:noProof/>
          </w:rPr>
          <w:t>Schedule 2: Services Description</w:t>
        </w:r>
        <w:r w:rsidR="00EC35C4">
          <w:rPr>
            <w:noProof/>
            <w:webHidden/>
          </w:rPr>
          <w:tab/>
        </w:r>
        <w:r w:rsidR="00EC35C4">
          <w:rPr>
            <w:noProof/>
            <w:webHidden/>
          </w:rPr>
          <w:fldChar w:fldCharType="begin"/>
        </w:r>
        <w:r w:rsidR="00EC35C4">
          <w:rPr>
            <w:noProof/>
            <w:webHidden/>
          </w:rPr>
          <w:instrText xml:space="preserve"> PAGEREF _Toc145412735 \h </w:instrText>
        </w:r>
        <w:r w:rsidR="00EC35C4">
          <w:rPr>
            <w:noProof/>
            <w:webHidden/>
          </w:rPr>
        </w:r>
        <w:r w:rsidR="00EC35C4">
          <w:rPr>
            <w:noProof/>
            <w:webHidden/>
          </w:rPr>
          <w:fldChar w:fldCharType="separate"/>
        </w:r>
        <w:r w:rsidR="007A1473">
          <w:rPr>
            <w:noProof/>
            <w:webHidden/>
          </w:rPr>
          <w:t>56</w:t>
        </w:r>
        <w:r w:rsidR="00EC35C4">
          <w:rPr>
            <w:noProof/>
            <w:webHidden/>
          </w:rPr>
          <w:fldChar w:fldCharType="end"/>
        </w:r>
      </w:hyperlink>
    </w:p>
    <w:p w14:paraId="5D2876C4" w14:textId="07D2A5F7" w:rsidR="00EC35C4" w:rsidRDefault="00236244">
      <w:pPr>
        <w:pStyle w:val="TOC1"/>
        <w:rPr>
          <w:rFonts w:eastAsiaTheme="minorEastAsia" w:cstheme="minorBidi"/>
          <w:b w:val="0"/>
          <w:noProof/>
          <w:color w:val="auto"/>
          <w:sz w:val="22"/>
          <w:szCs w:val="22"/>
          <w:lang w:eastAsia="en-GB"/>
        </w:rPr>
      </w:pPr>
      <w:hyperlink w:anchor="_Toc145412736" w:history="1">
        <w:r w:rsidR="00EC35C4" w:rsidRPr="00503338">
          <w:rPr>
            <w:rStyle w:val="Hyperlink"/>
            <w:noProof/>
          </w:rPr>
          <w:t>Schedule 3: Performance Levels</w:t>
        </w:r>
        <w:r w:rsidR="00EC35C4">
          <w:rPr>
            <w:noProof/>
            <w:webHidden/>
          </w:rPr>
          <w:tab/>
        </w:r>
        <w:r w:rsidR="00EC35C4">
          <w:rPr>
            <w:noProof/>
            <w:webHidden/>
          </w:rPr>
          <w:fldChar w:fldCharType="begin"/>
        </w:r>
        <w:r w:rsidR="00EC35C4">
          <w:rPr>
            <w:noProof/>
            <w:webHidden/>
          </w:rPr>
          <w:instrText xml:space="preserve"> PAGEREF _Toc145412736 \h </w:instrText>
        </w:r>
        <w:r w:rsidR="00EC35C4">
          <w:rPr>
            <w:noProof/>
            <w:webHidden/>
          </w:rPr>
        </w:r>
        <w:r w:rsidR="00EC35C4">
          <w:rPr>
            <w:noProof/>
            <w:webHidden/>
          </w:rPr>
          <w:fldChar w:fldCharType="separate"/>
        </w:r>
        <w:r w:rsidR="007A1473">
          <w:rPr>
            <w:noProof/>
            <w:webHidden/>
          </w:rPr>
          <w:t>62</w:t>
        </w:r>
        <w:r w:rsidR="00EC35C4">
          <w:rPr>
            <w:noProof/>
            <w:webHidden/>
          </w:rPr>
          <w:fldChar w:fldCharType="end"/>
        </w:r>
      </w:hyperlink>
    </w:p>
    <w:p w14:paraId="7461158A" w14:textId="1F1E5AF7" w:rsidR="00EC35C4" w:rsidRDefault="00236244">
      <w:pPr>
        <w:pStyle w:val="TOC2"/>
        <w:rPr>
          <w:rFonts w:eastAsiaTheme="minorEastAsia" w:cstheme="minorBidi"/>
          <w:noProof/>
          <w:sz w:val="22"/>
          <w:szCs w:val="22"/>
          <w:lang w:eastAsia="en-GB"/>
        </w:rPr>
      </w:pPr>
      <w:hyperlink w:anchor="_Toc145412737" w:history="1">
        <w:r w:rsidR="00EC35C4" w:rsidRPr="00503338">
          <w:rPr>
            <w:rStyle w:val="Hyperlink"/>
            <w:noProof/>
          </w:rPr>
          <w:t>Part A: Performance Indicators and Service Credits</w:t>
        </w:r>
        <w:r w:rsidR="00EC35C4">
          <w:rPr>
            <w:noProof/>
            <w:webHidden/>
          </w:rPr>
          <w:tab/>
        </w:r>
        <w:r w:rsidR="00EC35C4">
          <w:rPr>
            <w:noProof/>
            <w:webHidden/>
          </w:rPr>
          <w:fldChar w:fldCharType="begin"/>
        </w:r>
        <w:r w:rsidR="00EC35C4">
          <w:rPr>
            <w:noProof/>
            <w:webHidden/>
          </w:rPr>
          <w:instrText xml:space="preserve"> PAGEREF _Toc145412737 \h </w:instrText>
        </w:r>
        <w:r w:rsidR="00EC35C4">
          <w:rPr>
            <w:noProof/>
            <w:webHidden/>
          </w:rPr>
        </w:r>
        <w:r w:rsidR="00EC35C4">
          <w:rPr>
            <w:noProof/>
            <w:webHidden/>
          </w:rPr>
          <w:fldChar w:fldCharType="separate"/>
        </w:r>
        <w:r w:rsidR="007A1473">
          <w:rPr>
            <w:noProof/>
            <w:webHidden/>
          </w:rPr>
          <w:t>63</w:t>
        </w:r>
        <w:r w:rsidR="00EC35C4">
          <w:rPr>
            <w:noProof/>
            <w:webHidden/>
          </w:rPr>
          <w:fldChar w:fldCharType="end"/>
        </w:r>
      </w:hyperlink>
    </w:p>
    <w:p w14:paraId="4B845541" w14:textId="5C5B137E" w:rsidR="00EC35C4" w:rsidRDefault="00236244">
      <w:pPr>
        <w:pStyle w:val="TOC2"/>
        <w:rPr>
          <w:rFonts w:eastAsiaTheme="minorEastAsia" w:cstheme="minorBidi"/>
          <w:noProof/>
          <w:sz w:val="22"/>
          <w:szCs w:val="22"/>
          <w:lang w:eastAsia="en-GB"/>
        </w:rPr>
      </w:pPr>
      <w:hyperlink w:anchor="_Toc145412738" w:history="1">
        <w:r w:rsidR="00EC35C4" w:rsidRPr="00503338">
          <w:rPr>
            <w:rStyle w:val="Hyperlink"/>
            <w:noProof/>
          </w:rPr>
          <w:t>Part B: Performance Monitoring</w:t>
        </w:r>
        <w:r w:rsidR="00EC35C4">
          <w:rPr>
            <w:noProof/>
            <w:webHidden/>
          </w:rPr>
          <w:tab/>
        </w:r>
        <w:r w:rsidR="00EC35C4">
          <w:rPr>
            <w:noProof/>
            <w:webHidden/>
          </w:rPr>
          <w:fldChar w:fldCharType="begin"/>
        </w:r>
        <w:r w:rsidR="00EC35C4">
          <w:rPr>
            <w:noProof/>
            <w:webHidden/>
          </w:rPr>
          <w:instrText xml:space="preserve"> PAGEREF _Toc145412738 \h </w:instrText>
        </w:r>
        <w:r w:rsidR="00EC35C4">
          <w:rPr>
            <w:noProof/>
            <w:webHidden/>
          </w:rPr>
        </w:r>
        <w:r w:rsidR="00EC35C4">
          <w:rPr>
            <w:noProof/>
            <w:webHidden/>
          </w:rPr>
          <w:fldChar w:fldCharType="separate"/>
        </w:r>
        <w:r w:rsidR="007A1473">
          <w:rPr>
            <w:noProof/>
            <w:webHidden/>
          </w:rPr>
          <w:t>66</w:t>
        </w:r>
        <w:r w:rsidR="00EC35C4">
          <w:rPr>
            <w:noProof/>
            <w:webHidden/>
          </w:rPr>
          <w:fldChar w:fldCharType="end"/>
        </w:r>
      </w:hyperlink>
    </w:p>
    <w:p w14:paraId="2EC77DD9" w14:textId="190D31AD" w:rsidR="00EC35C4" w:rsidRDefault="00236244">
      <w:pPr>
        <w:pStyle w:val="TOC2"/>
        <w:rPr>
          <w:rFonts w:eastAsiaTheme="minorEastAsia" w:cstheme="minorBidi"/>
          <w:noProof/>
          <w:sz w:val="22"/>
          <w:szCs w:val="22"/>
          <w:lang w:eastAsia="en-GB"/>
        </w:rPr>
      </w:pPr>
      <w:hyperlink w:anchor="_Toc145412739" w:history="1">
        <w:r w:rsidR="00EC35C4" w:rsidRPr="00503338">
          <w:rPr>
            <w:rStyle w:val="Hyperlink"/>
            <w:noProof/>
          </w:rPr>
          <w:t>Annex 1: Key Performance Indicators and Subsidiary Performance Indicators</w:t>
        </w:r>
        <w:r w:rsidR="00EC35C4">
          <w:rPr>
            <w:noProof/>
            <w:webHidden/>
          </w:rPr>
          <w:tab/>
        </w:r>
        <w:r w:rsidR="00EC35C4">
          <w:rPr>
            <w:noProof/>
            <w:webHidden/>
          </w:rPr>
          <w:fldChar w:fldCharType="begin"/>
        </w:r>
        <w:r w:rsidR="00EC35C4">
          <w:rPr>
            <w:noProof/>
            <w:webHidden/>
          </w:rPr>
          <w:instrText xml:space="preserve"> PAGEREF _Toc145412739 \h </w:instrText>
        </w:r>
        <w:r w:rsidR="00EC35C4">
          <w:rPr>
            <w:noProof/>
            <w:webHidden/>
          </w:rPr>
        </w:r>
        <w:r w:rsidR="00EC35C4">
          <w:rPr>
            <w:noProof/>
            <w:webHidden/>
          </w:rPr>
          <w:fldChar w:fldCharType="separate"/>
        </w:r>
        <w:r w:rsidR="007A1473">
          <w:rPr>
            <w:noProof/>
            <w:webHidden/>
          </w:rPr>
          <w:t>69</w:t>
        </w:r>
        <w:r w:rsidR="00EC35C4">
          <w:rPr>
            <w:noProof/>
            <w:webHidden/>
          </w:rPr>
          <w:fldChar w:fldCharType="end"/>
        </w:r>
      </w:hyperlink>
    </w:p>
    <w:p w14:paraId="3633C280" w14:textId="2C27924A" w:rsidR="00EC35C4" w:rsidRDefault="00236244">
      <w:pPr>
        <w:pStyle w:val="TOC2"/>
        <w:rPr>
          <w:rFonts w:eastAsiaTheme="minorEastAsia" w:cstheme="minorBidi"/>
          <w:noProof/>
          <w:sz w:val="22"/>
          <w:szCs w:val="22"/>
          <w:lang w:eastAsia="en-GB"/>
        </w:rPr>
      </w:pPr>
      <w:hyperlink w:anchor="_Toc145412740" w:history="1">
        <w:r w:rsidR="00EC35C4" w:rsidRPr="00503338">
          <w:rPr>
            <w:rStyle w:val="Hyperlink"/>
            <w:noProof/>
          </w:rPr>
          <w:t>Part A: Key Performance Indicators and Subsidiary Performance Indicators Tables</w:t>
        </w:r>
        <w:r w:rsidR="00EC35C4">
          <w:rPr>
            <w:noProof/>
            <w:webHidden/>
          </w:rPr>
          <w:tab/>
        </w:r>
        <w:r w:rsidR="00EC35C4">
          <w:rPr>
            <w:noProof/>
            <w:webHidden/>
          </w:rPr>
          <w:fldChar w:fldCharType="begin"/>
        </w:r>
        <w:r w:rsidR="00EC35C4">
          <w:rPr>
            <w:noProof/>
            <w:webHidden/>
          </w:rPr>
          <w:instrText xml:space="preserve"> PAGEREF _Toc145412740 \h </w:instrText>
        </w:r>
        <w:r w:rsidR="00EC35C4">
          <w:rPr>
            <w:noProof/>
            <w:webHidden/>
          </w:rPr>
        </w:r>
        <w:r w:rsidR="00EC35C4">
          <w:rPr>
            <w:noProof/>
            <w:webHidden/>
          </w:rPr>
          <w:fldChar w:fldCharType="separate"/>
        </w:r>
        <w:r w:rsidR="007A1473">
          <w:rPr>
            <w:noProof/>
            <w:webHidden/>
          </w:rPr>
          <w:t>69</w:t>
        </w:r>
        <w:r w:rsidR="00EC35C4">
          <w:rPr>
            <w:noProof/>
            <w:webHidden/>
          </w:rPr>
          <w:fldChar w:fldCharType="end"/>
        </w:r>
      </w:hyperlink>
    </w:p>
    <w:p w14:paraId="7AB98C14" w14:textId="4FC0E39A" w:rsidR="00EC35C4" w:rsidRDefault="00236244">
      <w:pPr>
        <w:pStyle w:val="TOC2"/>
        <w:rPr>
          <w:rFonts w:eastAsiaTheme="minorEastAsia" w:cstheme="minorBidi"/>
          <w:noProof/>
          <w:sz w:val="22"/>
          <w:szCs w:val="22"/>
          <w:lang w:eastAsia="en-GB"/>
        </w:rPr>
      </w:pPr>
      <w:hyperlink w:anchor="_Toc145412741" w:history="1">
        <w:r w:rsidR="00EC35C4" w:rsidRPr="00503338">
          <w:rPr>
            <w:rStyle w:val="Hyperlink"/>
            <w:noProof/>
          </w:rPr>
          <w:t>Part B: Definitions</w:t>
        </w:r>
        <w:r w:rsidR="00EC35C4">
          <w:rPr>
            <w:noProof/>
            <w:webHidden/>
          </w:rPr>
          <w:tab/>
        </w:r>
        <w:r w:rsidR="00EC35C4">
          <w:rPr>
            <w:noProof/>
            <w:webHidden/>
          </w:rPr>
          <w:fldChar w:fldCharType="begin"/>
        </w:r>
        <w:r w:rsidR="00EC35C4">
          <w:rPr>
            <w:noProof/>
            <w:webHidden/>
          </w:rPr>
          <w:instrText xml:space="preserve"> PAGEREF _Toc145412741 \h </w:instrText>
        </w:r>
        <w:r w:rsidR="00EC35C4">
          <w:rPr>
            <w:noProof/>
            <w:webHidden/>
          </w:rPr>
        </w:r>
        <w:r w:rsidR="00EC35C4">
          <w:rPr>
            <w:noProof/>
            <w:webHidden/>
          </w:rPr>
          <w:fldChar w:fldCharType="separate"/>
        </w:r>
        <w:r w:rsidR="007A1473">
          <w:rPr>
            <w:noProof/>
            <w:webHidden/>
          </w:rPr>
          <w:t>81</w:t>
        </w:r>
        <w:r w:rsidR="00EC35C4">
          <w:rPr>
            <w:noProof/>
            <w:webHidden/>
          </w:rPr>
          <w:fldChar w:fldCharType="end"/>
        </w:r>
      </w:hyperlink>
    </w:p>
    <w:p w14:paraId="3B3FC477" w14:textId="32BC5EAC" w:rsidR="00EC35C4" w:rsidRDefault="00236244">
      <w:pPr>
        <w:pStyle w:val="TOC1"/>
        <w:rPr>
          <w:rFonts w:eastAsiaTheme="minorEastAsia" w:cstheme="minorBidi"/>
          <w:b w:val="0"/>
          <w:noProof/>
          <w:color w:val="auto"/>
          <w:sz w:val="22"/>
          <w:szCs w:val="22"/>
          <w:lang w:eastAsia="en-GB"/>
        </w:rPr>
      </w:pPr>
      <w:hyperlink w:anchor="_Toc145412742" w:history="1">
        <w:r w:rsidR="00EC35C4" w:rsidRPr="00503338">
          <w:rPr>
            <w:rStyle w:val="Hyperlink"/>
            <w:noProof/>
          </w:rPr>
          <w:t>Schedule 4: Standards</w:t>
        </w:r>
        <w:r w:rsidR="00EC35C4">
          <w:rPr>
            <w:noProof/>
            <w:webHidden/>
          </w:rPr>
          <w:tab/>
        </w:r>
        <w:r w:rsidR="00EC35C4">
          <w:rPr>
            <w:noProof/>
            <w:webHidden/>
          </w:rPr>
          <w:fldChar w:fldCharType="begin"/>
        </w:r>
        <w:r w:rsidR="00EC35C4">
          <w:rPr>
            <w:noProof/>
            <w:webHidden/>
          </w:rPr>
          <w:instrText xml:space="preserve"> PAGEREF _Toc145412742 \h </w:instrText>
        </w:r>
        <w:r w:rsidR="00EC35C4">
          <w:rPr>
            <w:noProof/>
            <w:webHidden/>
          </w:rPr>
        </w:r>
        <w:r w:rsidR="00EC35C4">
          <w:rPr>
            <w:noProof/>
            <w:webHidden/>
          </w:rPr>
          <w:fldChar w:fldCharType="separate"/>
        </w:r>
        <w:r w:rsidR="007A1473">
          <w:rPr>
            <w:noProof/>
            <w:webHidden/>
          </w:rPr>
          <w:t>86</w:t>
        </w:r>
        <w:r w:rsidR="00EC35C4">
          <w:rPr>
            <w:noProof/>
            <w:webHidden/>
          </w:rPr>
          <w:fldChar w:fldCharType="end"/>
        </w:r>
      </w:hyperlink>
    </w:p>
    <w:p w14:paraId="1860E3F9" w14:textId="39C35724" w:rsidR="00EC35C4" w:rsidRDefault="00236244">
      <w:pPr>
        <w:pStyle w:val="TOC2"/>
        <w:rPr>
          <w:rFonts w:eastAsiaTheme="minorEastAsia" w:cstheme="minorBidi"/>
          <w:noProof/>
          <w:sz w:val="22"/>
          <w:szCs w:val="22"/>
          <w:lang w:eastAsia="en-GB"/>
        </w:rPr>
      </w:pPr>
      <w:hyperlink w:anchor="_Toc145412743" w:history="1">
        <w:r w:rsidR="00EC35C4" w:rsidRPr="00503338">
          <w:rPr>
            <w:rStyle w:val="Hyperlink"/>
            <w:noProof/>
          </w:rPr>
          <w:t>Annex 1: Sustainability</w:t>
        </w:r>
        <w:r w:rsidR="00EC35C4">
          <w:rPr>
            <w:noProof/>
            <w:webHidden/>
          </w:rPr>
          <w:tab/>
        </w:r>
        <w:r w:rsidR="00EC35C4">
          <w:rPr>
            <w:noProof/>
            <w:webHidden/>
          </w:rPr>
          <w:fldChar w:fldCharType="begin"/>
        </w:r>
        <w:r w:rsidR="00EC35C4">
          <w:rPr>
            <w:noProof/>
            <w:webHidden/>
          </w:rPr>
          <w:instrText xml:space="preserve"> PAGEREF _Toc145412743 \h </w:instrText>
        </w:r>
        <w:r w:rsidR="00EC35C4">
          <w:rPr>
            <w:noProof/>
            <w:webHidden/>
          </w:rPr>
        </w:r>
        <w:r w:rsidR="00EC35C4">
          <w:rPr>
            <w:noProof/>
            <w:webHidden/>
          </w:rPr>
          <w:fldChar w:fldCharType="separate"/>
        </w:r>
        <w:r w:rsidR="007A1473">
          <w:rPr>
            <w:noProof/>
            <w:webHidden/>
          </w:rPr>
          <w:t>89</w:t>
        </w:r>
        <w:r w:rsidR="00EC35C4">
          <w:rPr>
            <w:noProof/>
            <w:webHidden/>
          </w:rPr>
          <w:fldChar w:fldCharType="end"/>
        </w:r>
      </w:hyperlink>
    </w:p>
    <w:p w14:paraId="581679A8" w14:textId="1E997553" w:rsidR="00EC35C4" w:rsidRDefault="00236244">
      <w:pPr>
        <w:pStyle w:val="TOC1"/>
        <w:rPr>
          <w:rFonts w:eastAsiaTheme="minorEastAsia" w:cstheme="minorBidi"/>
          <w:b w:val="0"/>
          <w:noProof/>
          <w:color w:val="auto"/>
          <w:sz w:val="22"/>
          <w:szCs w:val="22"/>
          <w:lang w:eastAsia="en-GB"/>
        </w:rPr>
      </w:pPr>
      <w:hyperlink w:anchor="_Toc145412744" w:history="1">
        <w:r w:rsidR="00EC35C4" w:rsidRPr="00503338">
          <w:rPr>
            <w:rStyle w:val="Hyperlink"/>
            <w:noProof/>
          </w:rPr>
          <w:t>Schedule 5: Security Management</w:t>
        </w:r>
        <w:r w:rsidR="00EC35C4">
          <w:rPr>
            <w:noProof/>
            <w:webHidden/>
          </w:rPr>
          <w:tab/>
        </w:r>
        <w:r w:rsidR="00EC35C4">
          <w:rPr>
            <w:noProof/>
            <w:webHidden/>
          </w:rPr>
          <w:fldChar w:fldCharType="begin"/>
        </w:r>
        <w:r w:rsidR="00EC35C4">
          <w:rPr>
            <w:noProof/>
            <w:webHidden/>
          </w:rPr>
          <w:instrText xml:space="preserve"> PAGEREF _Toc145412744 \h </w:instrText>
        </w:r>
        <w:r w:rsidR="00EC35C4">
          <w:rPr>
            <w:noProof/>
            <w:webHidden/>
          </w:rPr>
        </w:r>
        <w:r w:rsidR="00EC35C4">
          <w:rPr>
            <w:noProof/>
            <w:webHidden/>
          </w:rPr>
          <w:fldChar w:fldCharType="separate"/>
        </w:r>
        <w:r w:rsidR="007A1473">
          <w:rPr>
            <w:noProof/>
            <w:webHidden/>
          </w:rPr>
          <w:t>95</w:t>
        </w:r>
        <w:r w:rsidR="00EC35C4">
          <w:rPr>
            <w:noProof/>
            <w:webHidden/>
          </w:rPr>
          <w:fldChar w:fldCharType="end"/>
        </w:r>
      </w:hyperlink>
    </w:p>
    <w:p w14:paraId="714616B1" w14:textId="4D33B0B1" w:rsidR="00EC35C4" w:rsidRDefault="00236244">
      <w:pPr>
        <w:pStyle w:val="TOC2"/>
        <w:rPr>
          <w:rFonts w:eastAsiaTheme="minorEastAsia" w:cstheme="minorBidi"/>
          <w:noProof/>
          <w:sz w:val="22"/>
          <w:szCs w:val="22"/>
          <w:lang w:eastAsia="en-GB"/>
        </w:rPr>
      </w:pPr>
      <w:hyperlink w:anchor="_Toc145412745" w:history="1">
        <w:r w:rsidR="00EC35C4" w:rsidRPr="00503338">
          <w:rPr>
            <w:rStyle w:val="Hyperlink"/>
            <w:noProof/>
          </w:rPr>
          <w:t>Appendix 1: Security Requirements</w:t>
        </w:r>
        <w:r w:rsidR="00EC35C4">
          <w:rPr>
            <w:noProof/>
            <w:webHidden/>
          </w:rPr>
          <w:tab/>
        </w:r>
        <w:r w:rsidR="00EC35C4">
          <w:rPr>
            <w:noProof/>
            <w:webHidden/>
          </w:rPr>
          <w:fldChar w:fldCharType="begin"/>
        </w:r>
        <w:r w:rsidR="00EC35C4">
          <w:rPr>
            <w:noProof/>
            <w:webHidden/>
          </w:rPr>
          <w:instrText xml:space="preserve"> PAGEREF _Toc145412745 \h </w:instrText>
        </w:r>
        <w:r w:rsidR="00EC35C4">
          <w:rPr>
            <w:noProof/>
            <w:webHidden/>
          </w:rPr>
        </w:r>
        <w:r w:rsidR="00EC35C4">
          <w:rPr>
            <w:noProof/>
            <w:webHidden/>
          </w:rPr>
          <w:fldChar w:fldCharType="separate"/>
        </w:r>
        <w:r w:rsidR="007A1473">
          <w:rPr>
            <w:noProof/>
            <w:webHidden/>
          </w:rPr>
          <w:t>136</w:t>
        </w:r>
        <w:r w:rsidR="00EC35C4">
          <w:rPr>
            <w:noProof/>
            <w:webHidden/>
          </w:rPr>
          <w:fldChar w:fldCharType="end"/>
        </w:r>
      </w:hyperlink>
    </w:p>
    <w:p w14:paraId="28E17D63" w14:textId="680B4ACA" w:rsidR="00EC35C4" w:rsidRDefault="00236244">
      <w:pPr>
        <w:pStyle w:val="TOC2"/>
        <w:rPr>
          <w:rFonts w:eastAsiaTheme="minorEastAsia" w:cstheme="minorBidi"/>
          <w:noProof/>
          <w:sz w:val="22"/>
          <w:szCs w:val="22"/>
          <w:lang w:eastAsia="en-GB"/>
        </w:rPr>
      </w:pPr>
      <w:hyperlink w:anchor="_Toc145412746" w:history="1">
        <w:r w:rsidR="00EC35C4" w:rsidRPr="00503338">
          <w:rPr>
            <w:rStyle w:val="Hyperlink"/>
            <w:noProof/>
          </w:rPr>
          <w:t>Appendix 2: Security Requirements for Development</w:t>
        </w:r>
        <w:r w:rsidR="00EC35C4">
          <w:rPr>
            <w:noProof/>
            <w:webHidden/>
          </w:rPr>
          <w:tab/>
        </w:r>
        <w:r w:rsidR="00EC35C4">
          <w:rPr>
            <w:noProof/>
            <w:webHidden/>
          </w:rPr>
          <w:fldChar w:fldCharType="begin"/>
        </w:r>
        <w:r w:rsidR="00EC35C4">
          <w:rPr>
            <w:noProof/>
            <w:webHidden/>
          </w:rPr>
          <w:instrText xml:space="preserve"> PAGEREF _Toc145412746 \h </w:instrText>
        </w:r>
        <w:r w:rsidR="00EC35C4">
          <w:rPr>
            <w:noProof/>
            <w:webHidden/>
          </w:rPr>
        </w:r>
        <w:r w:rsidR="00EC35C4">
          <w:rPr>
            <w:noProof/>
            <w:webHidden/>
          </w:rPr>
          <w:fldChar w:fldCharType="separate"/>
        </w:r>
        <w:r w:rsidR="007A1473">
          <w:rPr>
            <w:noProof/>
            <w:webHidden/>
          </w:rPr>
          <w:t>159</w:t>
        </w:r>
        <w:r w:rsidR="00EC35C4">
          <w:rPr>
            <w:noProof/>
            <w:webHidden/>
          </w:rPr>
          <w:fldChar w:fldCharType="end"/>
        </w:r>
      </w:hyperlink>
    </w:p>
    <w:p w14:paraId="6D9406D2" w14:textId="1E656789" w:rsidR="00EC35C4" w:rsidRDefault="00236244">
      <w:pPr>
        <w:pStyle w:val="TOC2"/>
        <w:rPr>
          <w:rFonts w:eastAsiaTheme="minorEastAsia" w:cstheme="minorBidi"/>
          <w:noProof/>
          <w:sz w:val="22"/>
          <w:szCs w:val="22"/>
          <w:lang w:eastAsia="en-GB"/>
        </w:rPr>
      </w:pPr>
      <w:hyperlink w:anchor="_Toc145412747" w:history="1">
        <w:r w:rsidR="00EC35C4" w:rsidRPr="00503338">
          <w:rPr>
            <w:rStyle w:val="Hyperlink"/>
            <w:noProof/>
          </w:rPr>
          <w:t>Appendix 3: Security Working Group</w:t>
        </w:r>
        <w:r w:rsidR="00EC35C4">
          <w:rPr>
            <w:noProof/>
            <w:webHidden/>
          </w:rPr>
          <w:tab/>
        </w:r>
        <w:r w:rsidR="00EC35C4">
          <w:rPr>
            <w:noProof/>
            <w:webHidden/>
          </w:rPr>
          <w:fldChar w:fldCharType="begin"/>
        </w:r>
        <w:r w:rsidR="00EC35C4">
          <w:rPr>
            <w:noProof/>
            <w:webHidden/>
          </w:rPr>
          <w:instrText xml:space="preserve"> PAGEREF _Toc145412747 \h </w:instrText>
        </w:r>
        <w:r w:rsidR="00EC35C4">
          <w:rPr>
            <w:noProof/>
            <w:webHidden/>
          </w:rPr>
        </w:r>
        <w:r w:rsidR="00EC35C4">
          <w:rPr>
            <w:noProof/>
            <w:webHidden/>
          </w:rPr>
          <w:fldChar w:fldCharType="separate"/>
        </w:r>
        <w:r w:rsidR="007A1473">
          <w:rPr>
            <w:noProof/>
            <w:webHidden/>
          </w:rPr>
          <w:t>165</w:t>
        </w:r>
        <w:r w:rsidR="00EC35C4">
          <w:rPr>
            <w:noProof/>
            <w:webHidden/>
          </w:rPr>
          <w:fldChar w:fldCharType="end"/>
        </w:r>
      </w:hyperlink>
    </w:p>
    <w:p w14:paraId="62D6878B" w14:textId="798505B1" w:rsidR="00EC35C4" w:rsidRDefault="00236244">
      <w:pPr>
        <w:pStyle w:val="TOC2"/>
        <w:rPr>
          <w:rFonts w:eastAsiaTheme="minorEastAsia" w:cstheme="minorBidi"/>
          <w:noProof/>
          <w:sz w:val="22"/>
          <w:szCs w:val="22"/>
          <w:lang w:eastAsia="en-GB"/>
        </w:rPr>
      </w:pPr>
      <w:hyperlink w:anchor="_Toc145412748" w:history="1">
        <w:r w:rsidR="00EC35C4" w:rsidRPr="00503338">
          <w:rPr>
            <w:rStyle w:val="Hyperlink"/>
            <w:noProof/>
          </w:rPr>
          <w:t>Appendix 4: Sub-contractor Security Requirements and Security Requirements for Development</w:t>
        </w:r>
        <w:r w:rsidR="00EC35C4">
          <w:rPr>
            <w:noProof/>
            <w:webHidden/>
          </w:rPr>
          <w:tab/>
        </w:r>
        <w:r w:rsidR="00EC35C4">
          <w:rPr>
            <w:noProof/>
            <w:webHidden/>
          </w:rPr>
          <w:fldChar w:fldCharType="begin"/>
        </w:r>
        <w:r w:rsidR="00EC35C4">
          <w:rPr>
            <w:noProof/>
            <w:webHidden/>
          </w:rPr>
          <w:instrText xml:space="preserve"> PAGEREF _Toc145412748 \h </w:instrText>
        </w:r>
        <w:r w:rsidR="00EC35C4">
          <w:rPr>
            <w:noProof/>
            <w:webHidden/>
          </w:rPr>
        </w:r>
        <w:r w:rsidR="00EC35C4">
          <w:rPr>
            <w:noProof/>
            <w:webHidden/>
          </w:rPr>
          <w:fldChar w:fldCharType="separate"/>
        </w:r>
        <w:r w:rsidR="007A1473">
          <w:rPr>
            <w:noProof/>
            <w:webHidden/>
          </w:rPr>
          <w:t>166</w:t>
        </w:r>
        <w:r w:rsidR="00EC35C4">
          <w:rPr>
            <w:noProof/>
            <w:webHidden/>
          </w:rPr>
          <w:fldChar w:fldCharType="end"/>
        </w:r>
      </w:hyperlink>
    </w:p>
    <w:p w14:paraId="5B1AD701" w14:textId="2F4E03F0" w:rsidR="00EC35C4" w:rsidRDefault="00236244">
      <w:pPr>
        <w:pStyle w:val="TOC2"/>
        <w:rPr>
          <w:rFonts w:eastAsiaTheme="minorEastAsia" w:cstheme="minorBidi"/>
          <w:noProof/>
          <w:sz w:val="22"/>
          <w:szCs w:val="22"/>
          <w:lang w:eastAsia="en-GB"/>
        </w:rPr>
      </w:pPr>
      <w:hyperlink w:anchor="_Toc145412749" w:history="1">
        <w:r w:rsidR="00EC35C4" w:rsidRPr="00503338">
          <w:rPr>
            <w:rStyle w:val="Hyperlink"/>
            <w:noProof/>
          </w:rPr>
          <w:t>Appendix 5: Security Management Plan Template</w:t>
        </w:r>
        <w:r w:rsidR="00EC35C4">
          <w:rPr>
            <w:noProof/>
            <w:webHidden/>
          </w:rPr>
          <w:tab/>
        </w:r>
        <w:r w:rsidR="00EC35C4">
          <w:rPr>
            <w:noProof/>
            <w:webHidden/>
          </w:rPr>
          <w:fldChar w:fldCharType="begin"/>
        </w:r>
        <w:r w:rsidR="00EC35C4">
          <w:rPr>
            <w:noProof/>
            <w:webHidden/>
          </w:rPr>
          <w:instrText xml:space="preserve"> PAGEREF _Toc145412749 \h </w:instrText>
        </w:r>
        <w:r w:rsidR="00EC35C4">
          <w:rPr>
            <w:noProof/>
            <w:webHidden/>
          </w:rPr>
        </w:r>
        <w:r w:rsidR="00EC35C4">
          <w:rPr>
            <w:noProof/>
            <w:webHidden/>
          </w:rPr>
          <w:fldChar w:fldCharType="separate"/>
        </w:r>
        <w:r w:rsidR="007A1473">
          <w:rPr>
            <w:noProof/>
            <w:webHidden/>
          </w:rPr>
          <w:t>167</w:t>
        </w:r>
        <w:r w:rsidR="00EC35C4">
          <w:rPr>
            <w:noProof/>
            <w:webHidden/>
          </w:rPr>
          <w:fldChar w:fldCharType="end"/>
        </w:r>
      </w:hyperlink>
    </w:p>
    <w:p w14:paraId="2FB736B4" w14:textId="34E25F3B" w:rsidR="00EC35C4" w:rsidRDefault="00236244">
      <w:pPr>
        <w:pStyle w:val="TOC1"/>
        <w:rPr>
          <w:rFonts w:eastAsiaTheme="minorEastAsia" w:cstheme="minorBidi"/>
          <w:b w:val="0"/>
          <w:noProof/>
          <w:color w:val="auto"/>
          <w:sz w:val="22"/>
          <w:szCs w:val="22"/>
          <w:lang w:eastAsia="en-GB"/>
        </w:rPr>
      </w:pPr>
      <w:hyperlink w:anchor="_Toc145412750" w:history="1">
        <w:r w:rsidR="00EC35C4" w:rsidRPr="00503338">
          <w:rPr>
            <w:rStyle w:val="Hyperlink"/>
            <w:noProof/>
          </w:rPr>
          <w:t>Schedule 6: Insurance Requirements</w:t>
        </w:r>
        <w:r w:rsidR="00EC35C4">
          <w:rPr>
            <w:noProof/>
            <w:webHidden/>
          </w:rPr>
          <w:tab/>
        </w:r>
        <w:r w:rsidR="00EC35C4">
          <w:rPr>
            <w:noProof/>
            <w:webHidden/>
          </w:rPr>
          <w:fldChar w:fldCharType="begin"/>
        </w:r>
        <w:r w:rsidR="00EC35C4">
          <w:rPr>
            <w:noProof/>
            <w:webHidden/>
          </w:rPr>
          <w:instrText xml:space="preserve"> PAGEREF _Toc145412750 \h </w:instrText>
        </w:r>
        <w:r w:rsidR="00EC35C4">
          <w:rPr>
            <w:noProof/>
            <w:webHidden/>
          </w:rPr>
        </w:r>
        <w:r w:rsidR="00EC35C4">
          <w:rPr>
            <w:noProof/>
            <w:webHidden/>
          </w:rPr>
          <w:fldChar w:fldCharType="separate"/>
        </w:r>
        <w:r w:rsidR="007A1473">
          <w:rPr>
            <w:noProof/>
            <w:webHidden/>
          </w:rPr>
          <w:t>189</w:t>
        </w:r>
        <w:r w:rsidR="00EC35C4">
          <w:rPr>
            <w:noProof/>
            <w:webHidden/>
          </w:rPr>
          <w:fldChar w:fldCharType="end"/>
        </w:r>
      </w:hyperlink>
    </w:p>
    <w:p w14:paraId="22BA5C1A" w14:textId="323226B0" w:rsidR="00EC35C4" w:rsidRDefault="00236244">
      <w:pPr>
        <w:pStyle w:val="TOC2"/>
        <w:rPr>
          <w:rFonts w:eastAsiaTheme="minorEastAsia" w:cstheme="minorBidi"/>
          <w:noProof/>
          <w:sz w:val="22"/>
          <w:szCs w:val="22"/>
          <w:lang w:eastAsia="en-GB"/>
        </w:rPr>
      </w:pPr>
      <w:hyperlink w:anchor="_Toc145412751" w:history="1">
        <w:r w:rsidR="00EC35C4" w:rsidRPr="00503338">
          <w:rPr>
            <w:rStyle w:val="Hyperlink"/>
            <w:noProof/>
          </w:rPr>
          <w:t>Annex 1: Required Insurances</w:t>
        </w:r>
        <w:r w:rsidR="00EC35C4">
          <w:rPr>
            <w:noProof/>
            <w:webHidden/>
          </w:rPr>
          <w:tab/>
        </w:r>
        <w:r w:rsidR="00EC35C4">
          <w:rPr>
            <w:noProof/>
            <w:webHidden/>
          </w:rPr>
          <w:fldChar w:fldCharType="begin"/>
        </w:r>
        <w:r w:rsidR="00EC35C4">
          <w:rPr>
            <w:noProof/>
            <w:webHidden/>
          </w:rPr>
          <w:instrText xml:space="preserve"> PAGEREF _Toc145412751 \h </w:instrText>
        </w:r>
        <w:r w:rsidR="00EC35C4">
          <w:rPr>
            <w:noProof/>
            <w:webHidden/>
          </w:rPr>
        </w:r>
        <w:r w:rsidR="00EC35C4">
          <w:rPr>
            <w:noProof/>
            <w:webHidden/>
          </w:rPr>
          <w:fldChar w:fldCharType="separate"/>
        </w:r>
        <w:r w:rsidR="007A1473">
          <w:rPr>
            <w:noProof/>
            <w:webHidden/>
          </w:rPr>
          <w:t>192</w:t>
        </w:r>
        <w:r w:rsidR="00EC35C4">
          <w:rPr>
            <w:noProof/>
            <w:webHidden/>
          </w:rPr>
          <w:fldChar w:fldCharType="end"/>
        </w:r>
      </w:hyperlink>
    </w:p>
    <w:p w14:paraId="626C1A93" w14:textId="1276C42D" w:rsidR="00EC35C4" w:rsidRDefault="00236244">
      <w:pPr>
        <w:pStyle w:val="TOC2"/>
        <w:rPr>
          <w:rFonts w:eastAsiaTheme="minorEastAsia" w:cstheme="minorBidi"/>
          <w:noProof/>
          <w:sz w:val="22"/>
          <w:szCs w:val="22"/>
          <w:lang w:eastAsia="en-GB"/>
        </w:rPr>
      </w:pPr>
      <w:hyperlink w:anchor="_Toc145412752" w:history="1">
        <w:r w:rsidR="00EC35C4" w:rsidRPr="00503338">
          <w:rPr>
            <w:rStyle w:val="Hyperlink"/>
            <w:noProof/>
          </w:rPr>
          <w:t>Part A: Insurance Claim Notification</w:t>
        </w:r>
        <w:r w:rsidR="00EC35C4">
          <w:rPr>
            <w:noProof/>
            <w:webHidden/>
          </w:rPr>
          <w:tab/>
        </w:r>
        <w:r w:rsidR="00EC35C4">
          <w:rPr>
            <w:noProof/>
            <w:webHidden/>
          </w:rPr>
          <w:fldChar w:fldCharType="begin"/>
        </w:r>
        <w:r w:rsidR="00EC35C4">
          <w:rPr>
            <w:noProof/>
            <w:webHidden/>
          </w:rPr>
          <w:instrText xml:space="preserve"> PAGEREF _Toc145412752 \h </w:instrText>
        </w:r>
        <w:r w:rsidR="00EC35C4">
          <w:rPr>
            <w:noProof/>
            <w:webHidden/>
          </w:rPr>
        </w:r>
        <w:r w:rsidR="00EC35C4">
          <w:rPr>
            <w:noProof/>
            <w:webHidden/>
          </w:rPr>
          <w:fldChar w:fldCharType="separate"/>
        </w:r>
        <w:r w:rsidR="007A1473">
          <w:rPr>
            <w:noProof/>
            <w:webHidden/>
          </w:rPr>
          <w:t>192</w:t>
        </w:r>
        <w:r w:rsidR="00EC35C4">
          <w:rPr>
            <w:noProof/>
            <w:webHidden/>
          </w:rPr>
          <w:fldChar w:fldCharType="end"/>
        </w:r>
      </w:hyperlink>
    </w:p>
    <w:p w14:paraId="68445E07" w14:textId="4171793C" w:rsidR="00EC35C4" w:rsidRDefault="00236244">
      <w:pPr>
        <w:pStyle w:val="TOC2"/>
        <w:rPr>
          <w:rFonts w:eastAsiaTheme="minorEastAsia" w:cstheme="minorBidi"/>
          <w:noProof/>
          <w:sz w:val="22"/>
          <w:szCs w:val="22"/>
          <w:lang w:eastAsia="en-GB"/>
        </w:rPr>
      </w:pPr>
      <w:hyperlink w:anchor="_Toc145412753" w:history="1">
        <w:r w:rsidR="00EC35C4" w:rsidRPr="00503338">
          <w:rPr>
            <w:rStyle w:val="Hyperlink"/>
            <w:noProof/>
          </w:rPr>
          <w:t>Part B: Third Party Public and Products Liability Insurance</w:t>
        </w:r>
        <w:r w:rsidR="00EC35C4">
          <w:rPr>
            <w:noProof/>
            <w:webHidden/>
          </w:rPr>
          <w:tab/>
        </w:r>
        <w:r w:rsidR="00EC35C4">
          <w:rPr>
            <w:noProof/>
            <w:webHidden/>
          </w:rPr>
          <w:fldChar w:fldCharType="begin"/>
        </w:r>
        <w:r w:rsidR="00EC35C4">
          <w:rPr>
            <w:noProof/>
            <w:webHidden/>
          </w:rPr>
          <w:instrText xml:space="preserve"> PAGEREF _Toc145412753 \h </w:instrText>
        </w:r>
        <w:r w:rsidR="00EC35C4">
          <w:rPr>
            <w:noProof/>
            <w:webHidden/>
          </w:rPr>
        </w:r>
        <w:r w:rsidR="00EC35C4">
          <w:rPr>
            <w:noProof/>
            <w:webHidden/>
          </w:rPr>
          <w:fldChar w:fldCharType="separate"/>
        </w:r>
        <w:r w:rsidR="007A1473">
          <w:rPr>
            <w:noProof/>
            <w:webHidden/>
          </w:rPr>
          <w:t>193</w:t>
        </w:r>
        <w:r w:rsidR="00EC35C4">
          <w:rPr>
            <w:noProof/>
            <w:webHidden/>
          </w:rPr>
          <w:fldChar w:fldCharType="end"/>
        </w:r>
      </w:hyperlink>
    </w:p>
    <w:p w14:paraId="21D83093" w14:textId="1D9F6F95" w:rsidR="00EC35C4" w:rsidRDefault="00236244">
      <w:pPr>
        <w:pStyle w:val="TOC2"/>
        <w:rPr>
          <w:rFonts w:eastAsiaTheme="minorEastAsia" w:cstheme="minorBidi"/>
          <w:noProof/>
          <w:sz w:val="22"/>
          <w:szCs w:val="22"/>
          <w:lang w:eastAsia="en-GB"/>
        </w:rPr>
      </w:pPr>
      <w:hyperlink w:anchor="_Toc145412754" w:history="1">
        <w:r w:rsidR="00EC35C4" w:rsidRPr="00503338">
          <w:rPr>
            <w:rStyle w:val="Hyperlink"/>
            <w:noProof/>
          </w:rPr>
          <w:t>Part C: United Kingdom Compulsory Insurances</w:t>
        </w:r>
        <w:r w:rsidR="00EC35C4">
          <w:rPr>
            <w:noProof/>
            <w:webHidden/>
          </w:rPr>
          <w:tab/>
        </w:r>
        <w:r w:rsidR="00EC35C4">
          <w:rPr>
            <w:noProof/>
            <w:webHidden/>
          </w:rPr>
          <w:fldChar w:fldCharType="begin"/>
        </w:r>
        <w:r w:rsidR="00EC35C4">
          <w:rPr>
            <w:noProof/>
            <w:webHidden/>
          </w:rPr>
          <w:instrText xml:space="preserve"> PAGEREF _Toc145412754 \h </w:instrText>
        </w:r>
        <w:r w:rsidR="00EC35C4">
          <w:rPr>
            <w:noProof/>
            <w:webHidden/>
          </w:rPr>
        </w:r>
        <w:r w:rsidR="00EC35C4">
          <w:rPr>
            <w:noProof/>
            <w:webHidden/>
          </w:rPr>
          <w:fldChar w:fldCharType="separate"/>
        </w:r>
        <w:r w:rsidR="007A1473">
          <w:rPr>
            <w:noProof/>
            <w:webHidden/>
          </w:rPr>
          <w:t>195</w:t>
        </w:r>
        <w:r w:rsidR="00EC35C4">
          <w:rPr>
            <w:noProof/>
            <w:webHidden/>
          </w:rPr>
          <w:fldChar w:fldCharType="end"/>
        </w:r>
      </w:hyperlink>
    </w:p>
    <w:p w14:paraId="7DCC3ECE" w14:textId="730B7257" w:rsidR="00EC35C4" w:rsidRDefault="00236244">
      <w:pPr>
        <w:pStyle w:val="TOC2"/>
        <w:rPr>
          <w:rFonts w:eastAsiaTheme="minorEastAsia" w:cstheme="minorBidi"/>
          <w:noProof/>
          <w:sz w:val="22"/>
          <w:szCs w:val="22"/>
          <w:lang w:eastAsia="en-GB"/>
        </w:rPr>
      </w:pPr>
      <w:hyperlink w:anchor="_Toc145412755" w:history="1">
        <w:r w:rsidR="00EC35C4" w:rsidRPr="00503338">
          <w:rPr>
            <w:rStyle w:val="Hyperlink"/>
            <w:noProof/>
          </w:rPr>
          <w:t>Part D: Additional Insurances</w:t>
        </w:r>
        <w:r w:rsidR="00EC35C4">
          <w:rPr>
            <w:noProof/>
            <w:webHidden/>
          </w:rPr>
          <w:tab/>
        </w:r>
        <w:r w:rsidR="00EC35C4">
          <w:rPr>
            <w:noProof/>
            <w:webHidden/>
          </w:rPr>
          <w:fldChar w:fldCharType="begin"/>
        </w:r>
        <w:r w:rsidR="00EC35C4">
          <w:rPr>
            <w:noProof/>
            <w:webHidden/>
          </w:rPr>
          <w:instrText xml:space="preserve"> PAGEREF _Toc145412755 \h </w:instrText>
        </w:r>
        <w:r w:rsidR="00EC35C4">
          <w:rPr>
            <w:noProof/>
            <w:webHidden/>
          </w:rPr>
        </w:r>
        <w:r w:rsidR="00EC35C4">
          <w:rPr>
            <w:noProof/>
            <w:webHidden/>
          </w:rPr>
          <w:fldChar w:fldCharType="separate"/>
        </w:r>
        <w:r w:rsidR="007A1473">
          <w:rPr>
            <w:noProof/>
            <w:webHidden/>
          </w:rPr>
          <w:t>196</w:t>
        </w:r>
        <w:r w:rsidR="00EC35C4">
          <w:rPr>
            <w:noProof/>
            <w:webHidden/>
          </w:rPr>
          <w:fldChar w:fldCharType="end"/>
        </w:r>
      </w:hyperlink>
    </w:p>
    <w:p w14:paraId="1F926903" w14:textId="22354AF4" w:rsidR="00EC35C4" w:rsidRDefault="00236244">
      <w:pPr>
        <w:pStyle w:val="TOC1"/>
        <w:rPr>
          <w:rFonts w:eastAsiaTheme="minorEastAsia" w:cstheme="minorBidi"/>
          <w:b w:val="0"/>
          <w:noProof/>
          <w:color w:val="auto"/>
          <w:sz w:val="22"/>
          <w:szCs w:val="22"/>
          <w:lang w:eastAsia="en-GB"/>
        </w:rPr>
      </w:pPr>
      <w:hyperlink w:anchor="_Toc145412756" w:history="1">
        <w:r w:rsidR="00EC35C4" w:rsidRPr="00503338">
          <w:rPr>
            <w:rStyle w:val="Hyperlink"/>
            <w:noProof/>
          </w:rPr>
          <w:t>Schedule 7: Authority Responsibilities</w:t>
        </w:r>
        <w:r w:rsidR="00EC35C4">
          <w:rPr>
            <w:noProof/>
            <w:webHidden/>
          </w:rPr>
          <w:tab/>
        </w:r>
        <w:r w:rsidR="00EC35C4">
          <w:rPr>
            <w:noProof/>
            <w:webHidden/>
          </w:rPr>
          <w:fldChar w:fldCharType="begin"/>
        </w:r>
        <w:r w:rsidR="00EC35C4">
          <w:rPr>
            <w:noProof/>
            <w:webHidden/>
          </w:rPr>
          <w:instrText xml:space="preserve"> PAGEREF _Toc145412756 \h </w:instrText>
        </w:r>
        <w:r w:rsidR="00EC35C4">
          <w:rPr>
            <w:noProof/>
            <w:webHidden/>
          </w:rPr>
        </w:r>
        <w:r w:rsidR="00EC35C4">
          <w:rPr>
            <w:noProof/>
            <w:webHidden/>
          </w:rPr>
          <w:fldChar w:fldCharType="separate"/>
        </w:r>
        <w:r w:rsidR="007A1473">
          <w:rPr>
            <w:noProof/>
            <w:webHidden/>
          </w:rPr>
          <w:t>199</w:t>
        </w:r>
        <w:r w:rsidR="00EC35C4">
          <w:rPr>
            <w:noProof/>
            <w:webHidden/>
          </w:rPr>
          <w:fldChar w:fldCharType="end"/>
        </w:r>
      </w:hyperlink>
    </w:p>
    <w:p w14:paraId="4ED35B73" w14:textId="38B599F9" w:rsidR="00EC35C4" w:rsidRDefault="00236244">
      <w:pPr>
        <w:pStyle w:val="TOC1"/>
        <w:rPr>
          <w:rFonts w:eastAsiaTheme="minorEastAsia" w:cstheme="minorBidi"/>
          <w:b w:val="0"/>
          <w:noProof/>
          <w:color w:val="auto"/>
          <w:sz w:val="22"/>
          <w:szCs w:val="22"/>
          <w:lang w:eastAsia="en-GB"/>
        </w:rPr>
      </w:pPr>
      <w:hyperlink w:anchor="_Toc145412757" w:history="1">
        <w:r w:rsidR="00EC35C4" w:rsidRPr="00503338">
          <w:rPr>
            <w:rStyle w:val="Hyperlink"/>
            <w:noProof/>
          </w:rPr>
          <w:t>Schedule 8: Supplier Solution</w:t>
        </w:r>
        <w:r w:rsidR="00EC35C4">
          <w:rPr>
            <w:noProof/>
            <w:webHidden/>
          </w:rPr>
          <w:tab/>
        </w:r>
        <w:r w:rsidR="00EC35C4">
          <w:rPr>
            <w:noProof/>
            <w:webHidden/>
          </w:rPr>
          <w:fldChar w:fldCharType="begin"/>
        </w:r>
        <w:r w:rsidR="00EC35C4">
          <w:rPr>
            <w:noProof/>
            <w:webHidden/>
          </w:rPr>
          <w:instrText xml:space="preserve"> PAGEREF _Toc145412757 \h </w:instrText>
        </w:r>
        <w:r w:rsidR="00EC35C4">
          <w:rPr>
            <w:noProof/>
            <w:webHidden/>
          </w:rPr>
        </w:r>
        <w:r w:rsidR="00EC35C4">
          <w:rPr>
            <w:noProof/>
            <w:webHidden/>
          </w:rPr>
          <w:fldChar w:fldCharType="separate"/>
        </w:r>
        <w:r w:rsidR="007A1473">
          <w:rPr>
            <w:noProof/>
            <w:webHidden/>
          </w:rPr>
          <w:t>208</w:t>
        </w:r>
        <w:r w:rsidR="00EC35C4">
          <w:rPr>
            <w:noProof/>
            <w:webHidden/>
          </w:rPr>
          <w:fldChar w:fldCharType="end"/>
        </w:r>
      </w:hyperlink>
    </w:p>
    <w:p w14:paraId="1D682FEF" w14:textId="2BBBF371" w:rsidR="00EC35C4" w:rsidRDefault="00236244">
      <w:pPr>
        <w:pStyle w:val="TOC1"/>
        <w:rPr>
          <w:rFonts w:eastAsiaTheme="minorEastAsia" w:cstheme="minorBidi"/>
          <w:b w:val="0"/>
          <w:noProof/>
          <w:color w:val="auto"/>
          <w:sz w:val="22"/>
          <w:szCs w:val="22"/>
          <w:lang w:eastAsia="en-GB"/>
        </w:rPr>
      </w:pPr>
      <w:hyperlink w:anchor="_Toc145412758" w:history="1">
        <w:r w:rsidR="00EC35C4" w:rsidRPr="00503338">
          <w:rPr>
            <w:rStyle w:val="Hyperlink"/>
            <w:noProof/>
          </w:rPr>
          <w:t>Schedule 9: Commercially Sensitive Information</w:t>
        </w:r>
        <w:r w:rsidR="00EC35C4">
          <w:rPr>
            <w:noProof/>
            <w:webHidden/>
          </w:rPr>
          <w:tab/>
        </w:r>
        <w:r w:rsidR="00EC35C4">
          <w:rPr>
            <w:noProof/>
            <w:webHidden/>
          </w:rPr>
          <w:fldChar w:fldCharType="begin"/>
        </w:r>
        <w:r w:rsidR="00EC35C4">
          <w:rPr>
            <w:noProof/>
            <w:webHidden/>
          </w:rPr>
          <w:instrText xml:space="preserve"> PAGEREF _Toc145412758 \h </w:instrText>
        </w:r>
        <w:r w:rsidR="00EC35C4">
          <w:rPr>
            <w:noProof/>
            <w:webHidden/>
          </w:rPr>
        </w:r>
        <w:r w:rsidR="00EC35C4">
          <w:rPr>
            <w:noProof/>
            <w:webHidden/>
          </w:rPr>
          <w:fldChar w:fldCharType="separate"/>
        </w:r>
        <w:r w:rsidR="007A1473">
          <w:rPr>
            <w:noProof/>
            <w:webHidden/>
          </w:rPr>
          <w:t>211</w:t>
        </w:r>
        <w:r w:rsidR="00EC35C4">
          <w:rPr>
            <w:noProof/>
            <w:webHidden/>
          </w:rPr>
          <w:fldChar w:fldCharType="end"/>
        </w:r>
      </w:hyperlink>
    </w:p>
    <w:p w14:paraId="41039F8B" w14:textId="440E8D81" w:rsidR="00EC35C4" w:rsidRDefault="00236244">
      <w:pPr>
        <w:pStyle w:val="TOC1"/>
        <w:rPr>
          <w:rFonts w:eastAsiaTheme="minorEastAsia" w:cstheme="minorBidi"/>
          <w:b w:val="0"/>
          <w:noProof/>
          <w:color w:val="auto"/>
          <w:sz w:val="22"/>
          <w:szCs w:val="22"/>
          <w:lang w:eastAsia="en-GB"/>
        </w:rPr>
      </w:pPr>
      <w:hyperlink w:anchor="_Toc145412759" w:history="1">
        <w:r w:rsidR="00EC35C4" w:rsidRPr="00503338">
          <w:rPr>
            <w:rStyle w:val="Hyperlink"/>
            <w:noProof/>
          </w:rPr>
          <w:t>Schedule 10: Notified Key Sub-Contractors</w:t>
        </w:r>
        <w:r w:rsidR="00EC35C4">
          <w:rPr>
            <w:noProof/>
            <w:webHidden/>
          </w:rPr>
          <w:tab/>
        </w:r>
        <w:r w:rsidR="00EC35C4">
          <w:rPr>
            <w:noProof/>
            <w:webHidden/>
          </w:rPr>
          <w:fldChar w:fldCharType="begin"/>
        </w:r>
        <w:r w:rsidR="00EC35C4">
          <w:rPr>
            <w:noProof/>
            <w:webHidden/>
          </w:rPr>
          <w:instrText xml:space="preserve"> PAGEREF _Toc145412759 \h </w:instrText>
        </w:r>
        <w:r w:rsidR="00EC35C4">
          <w:rPr>
            <w:noProof/>
            <w:webHidden/>
          </w:rPr>
        </w:r>
        <w:r w:rsidR="00EC35C4">
          <w:rPr>
            <w:noProof/>
            <w:webHidden/>
          </w:rPr>
          <w:fldChar w:fldCharType="separate"/>
        </w:r>
        <w:r w:rsidR="007A1473">
          <w:rPr>
            <w:noProof/>
            <w:webHidden/>
          </w:rPr>
          <w:t>213</w:t>
        </w:r>
        <w:r w:rsidR="00EC35C4">
          <w:rPr>
            <w:noProof/>
            <w:webHidden/>
          </w:rPr>
          <w:fldChar w:fldCharType="end"/>
        </w:r>
      </w:hyperlink>
    </w:p>
    <w:p w14:paraId="430C686B" w14:textId="1CADFC04" w:rsidR="00EC35C4" w:rsidRDefault="00236244">
      <w:pPr>
        <w:pStyle w:val="TOC1"/>
        <w:rPr>
          <w:rFonts w:eastAsiaTheme="minorEastAsia" w:cstheme="minorBidi"/>
          <w:b w:val="0"/>
          <w:noProof/>
          <w:color w:val="auto"/>
          <w:sz w:val="22"/>
          <w:szCs w:val="22"/>
          <w:lang w:eastAsia="en-GB"/>
        </w:rPr>
      </w:pPr>
      <w:hyperlink w:anchor="_Toc145412760" w:history="1">
        <w:r w:rsidR="00EC35C4" w:rsidRPr="00503338">
          <w:rPr>
            <w:rStyle w:val="Hyperlink"/>
            <w:noProof/>
          </w:rPr>
          <w:t>Schedule 11: Third Party Contracts</w:t>
        </w:r>
        <w:r w:rsidR="00EC35C4">
          <w:rPr>
            <w:noProof/>
            <w:webHidden/>
          </w:rPr>
          <w:tab/>
        </w:r>
        <w:r w:rsidR="00EC35C4">
          <w:rPr>
            <w:noProof/>
            <w:webHidden/>
          </w:rPr>
          <w:fldChar w:fldCharType="begin"/>
        </w:r>
        <w:r w:rsidR="00EC35C4">
          <w:rPr>
            <w:noProof/>
            <w:webHidden/>
          </w:rPr>
          <w:instrText xml:space="preserve"> PAGEREF _Toc145412760 \h </w:instrText>
        </w:r>
        <w:r w:rsidR="00EC35C4">
          <w:rPr>
            <w:noProof/>
            <w:webHidden/>
          </w:rPr>
        </w:r>
        <w:r w:rsidR="00EC35C4">
          <w:rPr>
            <w:noProof/>
            <w:webHidden/>
          </w:rPr>
          <w:fldChar w:fldCharType="separate"/>
        </w:r>
        <w:r w:rsidR="007A1473">
          <w:rPr>
            <w:noProof/>
            <w:webHidden/>
          </w:rPr>
          <w:t>215</w:t>
        </w:r>
        <w:r w:rsidR="00EC35C4">
          <w:rPr>
            <w:noProof/>
            <w:webHidden/>
          </w:rPr>
          <w:fldChar w:fldCharType="end"/>
        </w:r>
      </w:hyperlink>
    </w:p>
    <w:p w14:paraId="4E0EB14E" w14:textId="638C78C9" w:rsidR="00EC35C4" w:rsidRDefault="00236244">
      <w:pPr>
        <w:pStyle w:val="TOC1"/>
        <w:rPr>
          <w:rFonts w:eastAsiaTheme="minorEastAsia" w:cstheme="minorBidi"/>
          <w:b w:val="0"/>
          <w:noProof/>
          <w:color w:val="auto"/>
          <w:sz w:val="22"/>
          <w:szCs w:val="22"/>
          <w:lang w:eastAsia="en-GB"/>
        </w:rPr>
      </w:pPr>
      <w:hyperlink w:anchor="_Toc145412761" w:history="1">
        <w:r w:rsidR="00EC35C4" w:rsidRPr="00503338">
          <w:rPr>
            <w:rStyle w:val="Hyperlink"/>
            <w:noProof/>
          </w:rPr>
          <w:t>Schedule 12: Software</w:t>
        </w:r>
        <w:r w:rsidR="00EC35C4">
          <w:rPr>
            <w:noProof/>
            <w:webHidden/>
          </w:rPr>
          <w:tab/>
        </w:r>
        <w:r w:rsidR="00EC35C4">
          <w:rPr>
            <w:noProof/>
            <w:webHidden/>
          </w:rPr>
          <w:fldChar w:fldCharType="begin"/>
        </w:r>
        <w:r w:rsidR="00EC35C4">
          <w:rPr>
            <w:noProof/>
            <w:webHidden/>
          </w:rPr>
          <w:instrText xml:space="preserve"> PAGEREF _Toc145412761 \h </w:instrText>
        </w:r>
        <w:r w:rsidR="00EC35C4">
          <w:rPr>
            <w:noProof/>
            <w:webHidden/>
          </w:rPr>
        </w:r>
        <w:r w:rsidR="00EC35C4">
          <w:rPr>
            <w:noProof/>
            <w:webHidden/>
          </w:rPr>
          <w:fldChar w:fldCharType="separate"/>
        </w:r>
        <w:r w:rsidR="007A1473">
          <w:rPr>
            <w:noProof/>
            <w:webHidden/>
          </w:rPr>
          <w:t>217</w:t>
        </w:r>
        <w:r w:rsidR="00EC35C4">
          <w:rPr>
            <w:noProof/>
            <w:webHidden/>
          </w:rPr>
          <w:fldChar w:fldCharType="end"/>
        </w:r>
      </w:hyperlink>
    </w:p>
    <w:p w14:paraId="24B4CE69" w14:textId="456720F3" w:rsidR="00EC35C4" w:rsidRDefault="00236244">
      <w:pPr>
        <w:pStyle w:val="TOC2"/>
        <w:rPr>
          <w:rFonts w:eastAsiaTheme="minorEastAsia" w:cstheme="minorBidi"/>
          <w:noProof/>
          <w:sz w:val="22"/>
          <w:szCs w:val="22"/>
          <w:lang w:eastAsia="en-GB"/>
        </w:rPr>
      </w:pPr>
      <w:hyperlink w:anchor="_Toc145412762" w:history="1">
        <w:r w:rsidR="00EC35C4" w:rsidRPr="00503338">
          <w:rPr>
            <w:rStyle w:val="Hyperlink"/>
            <w:noProof/>
          </w:rPr>
          <w:t>Annex 1: Form Of Confidentiality Undertaking</w:t>
        </w:r>
        <w:r w:rsidR="00EC35C4">
          <w:rPr>
            <w:noProof/>
            <w:webHidden/>
          </w:rPr>
          <w:tab/>
        </w:r>
        <w:r w:rsidR="00EC35C4">
          <w:rPr>
            <w:noProof/>
            <w:webHidden/>
          </w:rPr>
          <w:fldChar w:fldCharType="begin"/>
        </w:r>
        <w:r w:rsidR="00EC35C4">
          <w:rPr>
            <w:noProof/>
            <w:webHidden/>
          </w:rPr>
          <w:instrText xml:space="preserve"> PAGEREF _Toc145412762 \h </w:instrText>
        </w:r>
        <w:r w:rsidR="00EC35C4">
          <w:rPr>
            <w:noProof/>
            <w:webHidden/>
          </w:rPr>
        </w:r>
        <w:r w:rsidR="00EC35C4">
          <w:rPr>
            <w:noProof/>
            <w:webHidden/>
          </w:rPr>
          <w:fldChar w:fldCharType="separate"/>
        </w:r>
        <w:r w:rsidR="007A1473">
          <w:rPr>
            <w:noProof/>
            <w:webHidden/>
          </w:rPr>
          <w:t>222</w:t>
        </w:r>
        <w:r w:rsidR="00EC35C4">
          <w:rPr>
            <w:noProof/>
            <w:webHidden/>
          </w:rPr>
          <w:fldChar w:fldCharType="end"/>
        </w:r>
      </w:hyperlink>
    </w:p>
    <w:p w14:paraId="475F5A27" w14:textId="4C4B28B5" w:rsidR="00EC35C4" w:rsidRDefault="00236244">
      <w:pPr>
        <w:pStyle w:val="TOC1"/>
        <w:rPr>
          <w:rFonts w:eastAsiaTheme="minorEastAsia" w:cstheme="minorBidi"/>
          <w:b w:val="0"/>
          <w:noProof/>
          <w:color w:val="auto"/>
          <w:sz w:val="22"/>
          <w:szCs w:val="22"/>
          <w:lang w:eastAsia="en-GB"/>
        </w:rPr>
      </w:pPr>
      <w:hyperlink w:anchor="_Toc145412763" w:history="1">
        <w:r w:rsidR="00EC35C4" w:rsidRPr="00503338">
          <w:rPr>
            <w:rStyle w:val="Hyperlink"/>
            <w:noProof/>
          </w:rPr>
          <w:t>Schedule 13: Implementation Plan</w:t>
        </w:r>
        <w:r w:rsidR="00EC35C4">
          <w:rPr>
            <w:noProof/>
            <w:webHidden/>
          </w:rPr>
          <w:tab/>
        </w:r>
        <w:r w:rsidR="00EC35C4">
          <w:rPr>
            <w:noProof/>
            <w:webHidden/>
          </w:rPr>
          <w:fldChar w:fldCharType="begin"/>
        </w:r>
        <w:r w:rsidR="00EC35C4">
          <w:rPr>
            <w:noProof/>
            <w:webHidden/>
          </w:rPr>
          <w:instrText xml:space="preserve"> PAGEREF _Toc145412763 \h </w:instrText>
        </w:r>
        <w:r w:rsidR="00EC35C4">
          <w:rPr>
            <w:noProof/>
            <w:webHidden/>
          </w:rPr>
        </w:r>
        <w:r w:rsidR="00EC35C4">
          <w:rPr>
            <w:noProof/>
            <w:webHidden/>
          </w:rPr>
          <w:fldChar w:fldCharType="separate"/>
        </w:r>
        <w:r w:rsidR="007A1473">
          <w:rPr>
            <w:noProof/>
            <w:webHidden/>
          </w:rPr>
          <w:t>232</w:t>
        </w:r>
        <w:r w:rsidR="00EC35C4">
          <w:rPr>
            <w:noProof/>
            <w:webHidden/>
          </w:rPr>
          <w:fldChar w:fldCharType="end"/>
        </w:r>
      </w:hyperlink>
    </w:p>
    <w:p w14:paraId="30125300" w14:textId="259C19B3" w:rsidR="00EC35C4" w:rsidRDefault="00236244">
      <w:pPr>
        <w:pStyle w:val="TOC2"/>
        <w:rPr>
          <w:rFonts w:eastAsiaTheme="minorEastAsia" w:cstheme="minorBidi"/>
          <w:noProof/>
          <w:sz w:val="22"/>
          <w:szCs w:val="22"/>
          <w:lang w:eastAsia="en-GB"/>
        </w:rPr>
      </w:pPr>
      <w:hyperlink w:anchor="_Toc145412764" w:history="1">
        <w:r w:rsidR="00EC35C4" w:rsidRPr="00503338">
          <w:rPr>
            <w:rStyle w:val="Hyperlink"/>
            <w:noProof/>
          </w:rPr>
          <w:t>Annex A: Outline Implementation Plan</w:t>
        </w:r>
        <w:r w:rsidR="00EC35C4">
          <w:rPr>
            <w:noProof/>
            <w:webHidden/>
          </w:rPr>
          <w:tab/>
        </w:r>
        <w:r w:rsidR="00EC35C4">
          <w:rPr>
            <w:noProof/>
            <w:webHidden/>
          </w:rPr>
          <w:fldChar w:fldCharType="begin"/>
        </w:r>
        <w:r w:rsidR="00EC35C4">
          <w:rPr>
            <w:noProof/>
            <w:webHidden/>
          </w:rPr>
          <w:instrText xml:space="preserve"> PAGEREF _Toc145412764 \h </w:instrText>
        </w:r>
        <w:r w:rsidR="00EC35C4">
          <w:rPr>
            <w:noProof/>
            <w:webHidden/>
          </w:rPr>
        </w:r>
        <w:r w:rsidR="00EC35C4">
          <w:rPr>
            <w:noProof/>
            <w:webHidden/>
          </w:rPr>
          <w:fldChar w:fldCharType="separate"/>
        </w:r>
        <w:r w:rsidR="007A1473">
          <w:rPr>
            <w:noProof/>
            <w:webHidden/>
          </w:rPr>
          <w:t>237</w:t>
        </w:r>
        <w:r w:rsidR="00EC35C4">
          <w:rPr>
            <w:noProof/>
            <w:webHidden/>
          </w:rPr>
          <w:fldChar w:fldCharType="end"/>
        </w:r>
      </w:hyperlink>
    </w:p>
    <w:p w14:paraId="4A06EFC1" w14:textId="46ABCFC6" w:rsidR="00EC35C4" w:rsidRDefault="00236244">
      <w:pPr>
        <w:pStyle w:val="TOC1"/>
        <w:rPr>
          <w:rFonts w:eastAsiaTheme="minorEastAsia" w:cstheme="minorBidi"/>
          <w:b w:val="0"/>
          <w:noProof/>
          <w:color w:val="auto"/>
          <w:sz w:val="22"/>
          <w:szCs w:val="22"/>
          <w:lang w:eastAsia="en-GB"/>
        </w:rPr>
      </w:pPr>
      <w:hyperlink w:anchor="_Toc145412765" w:history="1">
        <w:r w:rsidR="00EC35C4" w:rsidRPr="00503338">
          <w:rPr>
            <w:rStyle w:val="Hyperlink"/>
            <w:noProof/>
          </w:rPr>
          <w:t>Schedule 14: Testing Procedures</w:t>
        </w:r>
        <w:r w:rsidR="00EC35C4">
          <w:rPr>
            <w:noProof/>
            <w:webHidden/>
          </w:rPr>
          <w:tab/>
        </w:r>
        <w:r w:rsidR="00EC35C4">
          <w:rPr>
            <w:noProof/>
            <w:webHidden/>
          </w:rPr>
          <w:fldChar w:fldCharType="begin"/>
        </w:r>
        <w:r w:rsidR="00EC35C4">
          <w:rPr>
            <w:noProof/>
            <w:webHidden/>
          </w:rPr>
          <w:instrText xml:space="preserve"> PAGEREF _Toc145412765 \h </w:instrText>
        </w:r>
        <w:r w:rsidR="00EC35C4">
          <w:rPr>
            <w:noProof/>
            <w:webHidden/>
          </w:rPr>
        </w:r>
        <w:r w:rsidR="00EC35C4">
          <w:rPr>
            <w:noProof/>
            <w:webHidden/>
          </w:rPr>
          <w:fldChar w:fldCharType="separate"/>
        </w:r>
        <w:r w:rsidR="007A1473">
          <w:rPr>
            <w:noProof/>
            <w:webHidden/>
          </w:rPr>
          <w:t>248</w:t>
        </w:r>
        <w:r w:rsidR="00EC35C4">
          <w:rPr>
            <w:noProof/>
            <w:webHidden/>
          </w:rPr>
          <w:fldChar w:fldCharType="end"/>
        </w:r>
      </w:hyperlink>
    </w:p>
    <w:p w14:paraId="0728A744" w14:textId="0CEB4812" w:rsidR="00EC35C4" w:rsidRDefault="00236244">
      <w:pPr>
        <w:pStyle w:val="TOC2"/>
        <w:rPr>
          <w:rFonts w:eastAsiaTheme="minorEastAsia" w:cstheme="minorBidi"/>
          <w:noProof/>
          <w:sz w:val="22"/>
          <w:szCs w:val="22"/>
          <w:lang w:eastAsia="en-GB"/>
        </w:rPr>
      </w:pPr>
      <w:hyperlink w:anchor="_Toc145412766" w:history="1">
        <w:r w:rsidR="00EC35C4" w:rsidRPr="00503338">
          <w:rPr>
            <w:rStyle w:val="Hyperlink"/>
            <w:noProof/>
          </w:rPr>
          <w:t>Annex 1: Test Issues – Severity Levels</w:t>
        </w:r>
        <w:r w:rsidR="00EC35C4">
          <w:rPr>
            <w:noProof/>
            <w:webHidden/>
          </w:rPr>
          <w:tab/>
        </w:r>
        <w:r w:rsidR="00EC35C4">
          <w:rPr>
            <w:noProof/>
            <w:webHidden/>
          </w:rPr>
          <w:fldChar w:fldCharType="begin"/>
        </w:r>
        <w:r w:rsidR="00EC35C4">
          <w:rPr>
            <w:noProof/>
            <w:webHidden/>
          </w:rPr>
          <w:instrText xml:space="preserve"> PAGEREF _Toc145412766 \h </w:instrText>
        </w:r>
        <w:r w:rsidR="00EC35C4">
          <w:rPr>
            <w:noProof/>
            <w:webHidden/>
          </w:rPr>
        </w:r>
        <w:r w:rsidR="00EC35C4">
          <w:rPr>
            <w:noProof/>
            <w:webHidden/>
          </w:rPr>
          <w:fldChar w:fldCharType="separate"/>
        </w:r>
        <w:r w:rsidR="007A1473">
          <w:rPr>
            <w:noProof/>
            <w:webHidden/>
          </w:rPr>
          <w:t>258</w:t>
        </w:r>
        <w:r w:rsidR="00EC35C4">
          <w:rPr>
            <w:noProof/>
            <w:webHidden/>
          </w:rPr>
          <w:fldChar w:fldCharType="end"/>
        </w:r>
      </w:hyperlink>
    </w:p>
    <w:p w14:paraId="3DA5A19D" w14:textId="4D339884" w:rsidR="00EC35C4" w:rsidRDefault="00236244">
      <w:pPr>
        <w:pStyle w:val="TOC2"/>
        <w:rPr>
          <w:rFonts w:eastAsiaTheme="minorEastAsia" w:cstheme="minorBidi"/>
          <w:noProof/>
          <w:sz w:val="22"/>
          <w:szCs w:val="22"/>
          <w:lang w:eastAsia="en-GB"/>
        </w:rPr>
      </w:pPr>
      <w:hyperlink w:anchor="_Toc145412767" w:history="1">
        <w:r w:rsidR="00EC35C4" w:rsidRPr="00503338">
          <w:rPr>
            <w:rStyle w:val="Hyperlink"/>
            <w:noProof/>
          </w:rPr>
          <w:t>Annex 2: Test Certificate</w:t>
        </w:r>
        <w:r w:rsidR="00EC35C4">
          <w:rPr>
            <w:noProof/>
            <w:webHidden/>
          </w:rPr>
          <w:tab/>
        </w:r>
        <w:r w:rsidR="00EC35C4">
          <w:rPr>
            <w:noProof/>
            <w:webHidden/>
          </w:rPr>
          <w:fldChar w:fldCharType="begin"/>
        </w:r>
        <w:r w:rsidR="00EC35C4">
          <w:rPr>
            <w:noProof/>
            <w:webHidden/>
          </w:rPr>
          <w:instrText xml:space="preserve"> PAGEREF _Toc145412767 \h </w:instrText>
        </w:r>
        <w:r w:rsidR="00EC35C4">
          <w:rPr>
            <w:noProof/>
            <w:webHidden/>
          </w:rPr>
        </w:r>
        <w:r w:rsidR="00EC35C4">
          <w:rPr>
            <w:noProof/>
            <w:webHidden/>
          </w:rPr>
          <w:fldChar w:fldCharType="separate"/>
        </w:r>
        <w:r w:rsidR="007A1473">
          <w:rPr>
            <w:noProof/>
            <w:webHidden/>
          </w:rPr>
          <w:t>259</w:t>
        </w:r>
        <w:r w:rsidR="00EC35C4">
          <w:rPr>
            <w:noProof/>
            <w:webHidden/>
          </w:rPr>
          <w:fldChar w:fldCharType="end"/>
        </w:r>
      </w:hyperlink>
    </w:p>
    <w:p w14:paraId="1635C992" w14:textId="6C218158" w:rsidR="00EC35C4" w:rsidRDefault="00236244">
      <w:pPr>
        <w:pStyle w:val="TOC2"/>
        <w:rPr>
          <w:rFonts w:eastAsiaTheme="minorEastAsia" w:cstheme="minorBidi"/>
          <w:noProof/>
          <w:sz w:val="22"/>
          <w:szCs w:val="22"/>
          <w:lang w:eastAsia="en-GB"/>
        </w:rPr>
      </w:pPr>
      <w:hyperlink w:anchor="_Toc145412768" w:history="1">
        <w:r w:rsidR="00EC35C4" w:rsidRPr="00503338">
          <w:rPr>
            <w:rStyle w:val="Hyperlink"/>
            <w:noProof/>
          </w:rPr>
          <w:t>Annex 3: Milestone Achievement Certificate</w:t>
        </w:r>
        <w:r w:rsidR="00EC35C4">
          <w:rPr>
            <w:noProof/>
            <w:webHidden/>
          </w:rPr>
          <w:tab/>
        </w:r>
        <w:r w:rsidR="00EC35C4">
          <w:rPr>
            <w:noProof/>
            <w:webHidden/>
          </w:rPr>
          <w:fldChar w:fldCharType="begin"/>
        </w:r>
        <w:r w:rsidR="00EC35C4">
          <w:rPr>
            <w:noProof/>
            <w:webHidden/>
          </w:rPr>
          <w:instrText xml:space="preserve"> PAGEREF _Toc145412768 \h </w:instrText>
        </w:r>
        <w:r w:rsidR="00EC35C4">
          <w:rPr>
            <w:noProof/>
            <w:webHidden/>
          </w:rPr>
        </w:r>
        <w:r w:rsidR="00EC35C4">
          <w:rPr>
            <w:noProof/>
            <w:webHidden/>
          </w:rPr>
          <w:fldChar w:fldCharType="separate"/>
        </w:r>
        <w:r w:rsidR="007A1473">
          <w:rPr>
            <w:noProof/>
            <w:webHidden/>
          </w:rPr>
          <w:t>260</w:t>
        </w:r>
        <w:r w:rsidR="00EC35C4">
          <w:rPr>
            <w:noProof/>
            <w:webHidden/>
          </w:rPr>
          <w:fldChar w:fldCharType="end"/>
        </w:r>
      </w:hyperlink>
    </w:p>
    <w:p w14:paraId="2882AF19" w14:textId="37286F68" w:rsidR="00EC35C4" w:rsidRDefault="00236244">
      <w:pPr>
        <w:pStyle w:val="TOC2"/>
        <w:rPr>
          <w:rFonts w:eastAsiaTheme="minorEastAsia" w:cstheme="minorBidi"/>
          <w:noProof/>
          <w:sz w:val="22"/>
          <w:szCs w:val="22"/>
          <w:lang w:eastAsia="en-GB"/>
        </w:rPr>
      </w:pPr>
      <w:hyperlink w:anchor="_Toc145412769" w:history="1">
        <w:r w:rsidR="00EC35C4" w:rsidRPr="00503338">
          <w:rPr>
            <w:rStyle w:val="Hyperlink"/>
            <w:noProof/>
          </w:rPr>
          <w:t>Annex 4: Test Success Criteria</w:t>
        </w:r>
        <w:r w:rsidR="00EC35C4">
          <w:rPr>
            <w:noProof/>
            <w:webHidden/>
          </w:rPr>
          <w:tab/>
        </w:r>
        <w:r w:rsidR="00EC35C4">
          <w:rPr>
            <w:noProof/>
            <w:webHidden/>
          </w:rPr>
          <w:fldChar w:fldCharType="begin"/>
        </w:r>
        <w:r w:rsidR="00EC35C4">
          <w:rPr>
            <w:noProof/>
            <w:webHidden/>
          </w:rPr>
          <w:instrText xml:space="preserve"> PAGEREF _Toc145412769 \h </w:instrText>
        </w:r>
        <w:r w:rsidR="00EC35C4">
          <w:rPr>
            <w:noProof/>
            <w:webHidden/>
          </w:rPr>
        </w:r>
        <w:r w:rsidR="00EC35C4">
          <w:rPr>
            <w:noProof/>
            <w:webHidden/>
          </w:rPr>
          <w:fldChar w:fldCharType="separate"/>
        </w:r>
        <w:r w:rsidR="007A1473">
          <w:rPr>
            <w:noProof/>
            <w:webHidden/>
          </w:rPr>
          <w:t>261</w:t>
        </w:r>
        <w:r w:rsidR="00EC35C4">
          <w:rPr>
            <w:noProof/>
            <w:webHidden/>
          </w:rPr>
          <w:fldChar w:fldCharType="end"/>
        </w:r>
      </w:hyperlink>
    </w:p>
    <w:p w14:paraId="38840961" w14:textId="24E7937B" w:rsidR="00EC35C4" w:rsidRDefault="00236244">
      <w:pPr>
        <w:pStyle w:val="TOC1"/>
        <w:rPr>
          <w:rFonts w:eastAsiaTheme="minorEastAsia" w:cstheme="minorBidi"/>
          <w:b w:val="0"/>
          <w:noProof/>
          <w:color w:val="auto"/>
          <w:sz w:val="22"/>
          <w:szCs w:val="22"/>
          <w:lang w:eastAsia="en-GB"/>
        </w:rPr>
      </w:pPr>
      <w:hyperlink w:anchor="_Toc145412770" w:history="1">
        <w:r w:rsidR="00EC35C4" w:rsidRPr="00503338">
          <w:rPr>
            <w:rStyle w:val="Hyperlink"/>
            <w:noProof/>
          </w:rPr>
          <w:t>Schedule 15: Charges and Invoicing</w:t>
        </w:r>
        <w:r w:rsidR="00EC35C4">
          <w:rPr>
            <w:noProof/>
            <w:webHidden/>
          </w:rPr>
          <w:tab/>
        </w:r>
        <w:r w:rsidR="00EC35C4">
          <w:rPr>
            <w:noProof/>
            <w:webHidden/>
          </w:rPr>
          <w:fldChar w:fldCharType="begin"/>
        </w:r>
        <w:r w:rsidR="00EC35C4">
          <w:rPr>
            <w:noProof/>
            <w:webHidden/>
          </w:rPr>
          <w:instrText xml:space="preserve"> PAGEREF _Toc145412770 \h </w:instrText>
        </w:r>
        <w:r w:rsidR="00EC35C4">
          <w:rPr>
            <w:noProof/>
            <w:webHidden/>
          </w:rPr>
        </w:r>
        <w:r w:rsidR="00EC35C4">
          <w:rPr>
            <w:noProof/>
            <w:webHidden/>
          </w:rPr>
          <w:fldChar w:fldCharType="separate"/>
        </w:r>
        <w:r w:rsidR="007A1473">
          <w:rPr>
            <w:noProof/>
            <w:webHidden/>
          </w:rPr>
          <w:t>263</w:t>
        </w:r>
        <w:r w:rsidR="00EC35C4">
          <w:rPr>
            <w:noProof/>
            <w:webHidden/>
          </w:rPr>
          <w:fldChar w:fldCharType="end"/>
        </w:r>
      </w:hyperlink>
    </w:p>
    <w:p w14:paraId="3C68AA07" w14:textId="3673B147" w:rsidR="00EC35C4" w:rsidRDefault="00236244">
      <w:pPr>
        <w:pStyle w:val="TOC2"/>
        <w:rPr>
          <w:rFonts w:eastAsiaTheme="minorEastAsia" w:cstheme="minorBidi"/>
          <w:noProof/>
          <w:sz w:val="22"/>
          <w:szCs w:val="22"/>
          <w:lang w:eastAsia="en-GB"/>
        </w:rPr>
      </w:pPr>
      <w:hyperlink w:anchor="_Toc145412771" w:history="1">
        <w:r w:rsidR="00EC35C4" w:rsidRPr="00503338">
          <w:rPr>
            <w:rStyle w:val="Hyperlink"/>
            <w:noProof/>
          </w:rPr>
          <w:t>Part A: Pricing</w:t>
        </w:r>
        <w:r w:rsidR="00EC35C4">
          <w:rPr>
            <w:noProof/>
            <w:webHidden/>
          </w:rPr>
          <w:tab/>
        </w:r>
        <w:r w:rsidR="00EC35C4">
          <w:rPr>
            <w:noProof/>
            <w:webHidden/>
          </w:rPr>
          <w:fldChar w:fldCharType="begin"/>
        </w:r>
        <w:r w:rsidR="00EC35C4">
          <w:rPr>
            <w:noProof/>
            <w:webHidden/>
          </w:rPr>
          <w:instrText xml:space="preserve"> PAGEREF _Toc145412771 \h </w:instrText>
        </w:r>
        <w:r w:rsidR="00EC35C4">
          <w:rPr>
            <w:noProof/>
            <w:webHidden/>
          </w:rPr>
        </w:r>
        <w:r w:rsidR="00EC35C4">
          <w:rPr>
            <w:noProof/>
            <w:webHidden/>
          </w:rPr>
          <w:fldChar w:fldCharType="separate"/>
        </w:r>
        <w:r w:rsidR="007A1473">
          <w:rPr>
            <w:noProof/>
            <w:webHidden/>
          </w:rPr>
          <w:t>268</w:t>
        </w:r>
        <w:r w:rsidR="00EC35C4">
          <w:rPr>
            <w:noProof/>
            <w:webHidden/>
          </w:rPr>
          <w:fldChar w:fldCharType="end"/>
        </w:r>
      </w:hyperlink>
    </w:p>
    <w:p w14:paraId="164F9594" w14:textId="27F263B5" w:rsidR="00EC35C4" w:rsidRDefault="00236244">
      <w:pPr>
        <w:pStyle w:val="TOC2"/>
        <w:rPr>
          <w:rFonts w:eastAsiaTheme="minorEastAsia" w:cstheme="minorBidi"/>
          <w:noProof/>
          <w:sz w:val="22"/>
          <w:szCs w:val="22"/>
          <w:lang w:eastAsia="en-GB"/>
        </w:rPr>
      </w:pPr>
      <w:hyperlink w:anchor="_Toc145412772" w:history="1">
        <w:r w:rsidR="00EC35C4" w:rsidRPr="00503338">
          <w:rPr>
            <w:rStyle w:val="Hyperlink"/>
            <w:noProof/>
          </w:rPr>
          <w:t>Part B: Charging Mechanisms</w:t>
        </w:r>
        <w:r w:rsidR="00EC35C4">
          <w:rPr>
            <w:noProof/>
            <w:webHidden/>
          </w:rPr>
          <w:tab/>
        </w:r>
        <w:r w:rsidR="00EC35C4">
          <w:rPr>
            <w:noProof/>
            <w:webHidden/>
          </w:rPr>
          <w:fldChar w:fldCharType="begin"/>
        </w:r>
        <w:r w:rsidR="00EC35C4">
          <w:rPr>
            <w:noProof/>
            <w:webHidden/>
          </w:rPr>
          <w:instrText xml:space="preserve"> PAGEREF _Toc145412772 \h </w:instrText>
        </w:r>
        <w:r w:rsidR="00EC35C4">
          <w:rPr>
            <w:noProof/>
            <w:webHidden/>
          </w:rPr>
        </w:r>
        <w:r w:rsidR="00EC35C4">
          <w:rPr>
            <w:noProof/>
            <w:webHidden/>
          </w:rPr>
          <w:fldChar w:fldCharType="separate"/>
        </w:r>
        <w:r w:rsidR="007A1473">
          <w:rPr>
            <w:noProof/>
            <w:webHidden/>
          </w:rPr>
          <w:t>272</w:t>
        </w:r>
        <w:r w:rsidR="00EC35C4">
          <w:rPr>
            <w:noProof/>
            <w:webHidden/>
          </w:rPr>
          <w:fldChar w:fldCharType="end"/>
        </w:r>
      </w:hyperlink>
    </w:p>
    <w:p w14:paraId="062A09BD" w14:textId="12CF825F" w:rsidR="00EC35C4" w:rsidRDefault="00236244">
      <w:pPr>
        <w:pStyle w:val="TOC2"/>
        <w:rPr>
          <w:rFonts w:eastAsiaTheme="minorEastAsia" w:cstheme="minorBidi"/>
          <w:noProof/>
          <w:sz w:val="22"/>
          <w:szCs w:val="22"/>
          <w:lang w:eastAsia="en-GB"/>
        </w:rPr>
      </w:pPr>
      <w:hyperlink w:anchor="_Toc145412773" w:history="1">
        <w:r w:rsidR="00EC35C4" w:rsidRPr="00503338">
          <w:rPr>
            <w:rStyle w:val="Hyperlink"/>
            <w:noProof/>
          </w:rPr>
          <w:t>Part C: Adjustments To The Charges And Risk Register</w:t>
        </w:r>
        <w:r w:rsidR="00EC35C4">
          <w:rPr>
            <w:noProof/>
            <w:webHidden/>
          </w:rPr>
          <w:tab/>
        </w:r>
        <w:r w:rsidR="00EC35C4">
          <w:rPr>
            <w:noProof/>
            <w:webHidden/>
          </w:rPr>
          <w:fldChar w:fldCharType="begin"/>
        </w:r>
        <w:r w:rsidR="00EC35C4">
          <w:rPr>
            <w:noProof/>
            <w:webHidden/>
          </w:rPr>
          <w:instrText xml:space="preserve"> PAGEREF _Toc145412773 \h </w:instrText>
        </w:r>
        <w:r w:rsidR="00EC35C4">
          <w:rPr>
            <w:noProof/>
            <w:webHidden/>
          </w:rPr>
        </w:r>
        <w:r w:rsidR="00EC35C4">
          <w:rPr>
            <w:noProof/>
            <w:webHidden/>
          </w:rPr>
          <w:fldChar w:fldCharType="separate"/>
        </w:r>
        <w:r w:rsidR="007A1473">
          <w:rPr>
            <w:noProof/>
            <w:webHidden/>
          </w:rPr>
          <w:t>275</w:t>
        </w:r>
        <w:r w:rsidR="00EC35C4">
          <w:rPr>
            <w:noProof/>
            <w:webHidden/>
          </w:rPr>
          <w:fldChar w:fldCharType="end"/>
        </w:r>
      </w:hyperlink>
    </w:p>
    <w:p w14:paraId="15C44944" w14:textId="6A39F69F" w:rsidR="00EC35C4" w:rsidRDefault="00236244">
      <w:pPr>
        <w:pStyle w:val="TOC2"/>
        <w:rPr>
          <w:rFonts w:eastAsiaTheme="minorEastAsia" w:cstheme="minorBidi"/>
          <w:noProof/>
          <w:sz w:val="22"/>
          <w:szCs w:val="22"/>
          <w:lang w:eastAsia="en-GB"/>
        </w:rPr>
      </w:pPr>
      <w:hyperlink w:anchor="_Toc145412774" w:history="1">
        <w:r w:rsidR="00EC35C4" w:rsidRPr="00503338">
          <w:rPr>
            <w:rStyle w:val="Hyperlink"/>
            <w:noProof/>
          </w:rPr>
          <w:t>Part D: Excessive Supplier Profit Margin</w:t>
        </w:r>
        <w:r w:rsidR="00EC35C4">
          <w:rPr>
            <w:noProof/>
            <w:webHidden/>
          </w:rPr>
          <w:tab/>
        </w:r>
        <w:r w:rsidR="00EC35C4">
          <w:rPr>
            <w:noProof/>
            <w:webHidden/>
          </w:rPr>
          <w:fldChar w:fldCharType="begin"/>
        </w:r>
        <w:r w:rsidR="00EC35C4">
          <w:rPr>
            <w:noProof/>
            <w:webHidden/>
          </w:rPr>
          <w:instrText xml:space="preserve"> PAGEREF _Toc145412774 \h </w:instrText>
        </w:r>
        <w:r w:rsidR="00EC35C4">
          <w:rPr>
            <w:noProof/>
            <w:webHidden/>
          </w:rPr>
        </w:r>
        <w:r w:rsidR="00EC35C4">
          <w:rPr>
            <w:noProof/>
            <w:webHidden/>
          </w:rPr>
          <w:fldChar w:fldCharType="separate"/>
        </w:r>
        <w:r w:rsidR="007A1473">
          <w:rPr>
            <w:noProof/>
            <w:webHidden/>
          </w:rPr>
          <w:t>280</w:t>
        </w:r>
        <w:r w:rsidR="00EC35C4">
          <w:rPr>
            <w:noProof/>
            <w:webHidden/>
          </w:rPr>
          <w:fldChar w:fldCharType="end"/>
        </w:r>
      </w:hyperlink>
    </w:p>
    <w:p w14:paraId="263B729F" w14:textId="2963D528" w:rsidR="00EC35C4" w:rsidRDefault="00236244">
      <w:pPr>
        <w:pStyle w:val="TOC2"/>
        <w:rPr>
          <w:rFonts w:eastAsiaTheme="minorEastAsia" w:cstheme="minorBidi"/>
          <w:noProof/>
          <w:sz w:val="22"/>
          <w:szCs w:val="22"/>
          <w:lang w:eastAsia="en-GB"/>
        </w:rPr>
      </w:pPr>
      <w:hyperlink w:anchor="_Toc145412775" w:history="1">
        <w:r w:rsidR="00EC35C4" w:rsidRPr="00503338">
          <w:rPr>
            <w:rStyle w:val="Hyperlink"/>
            <w:noProof/>
          </w:rPr>
          <w:t>Part E: Invoicing and Payment Terms</w:t>
        </w:r>
        <w:r w:rsidR="00EC35C4">
          <w:rPr>
            <w:noProof/>
            <w:webHidden/>
          </w:rPr>
          <w:tab/>
        </w:r>
        <w:r w:rsidR="00EC35C4">
          <w:rPr>
            <w:noProof/>
            <w:webHidden/>
          </w:rPr>
          <w:fldChar w:fldCharType="begin"/>
        </w:r>
        <w:r w:rsidR="00EC35C4">
          <w:rPr>
            <w:noProof/>
            <w:webHidden/>
          </w:rPr>
          <w:instrText xml:space="preserve"> PAGEREF _Toc145412775 \h </w:instrText>
        </w:r>
        <w:r w:rsidR="00EC35C4">
          <w:rPr>
            <w:noProof/>
            <w:webHidden/>
          </w:rPr>
        </w:r>
        <w:r w:rsidR="00EC35C4">
          <w:rPr>
            <w:noProof/>
            <w:webHidden/>
          </w:rPr>
          <w:fldChar w:fldCharType="separate"/>
        </w:r>
        <w:r w:rsidR="007A1473">
          <w:rPr>
            <w:noProof/>
            <w:webHidden/>
          </w:rPr>
          <w:t>281</w:t>
        </w:r>
        <w:r w:rsidR="00EC35C4">
          <w:rPr>
            <w:noProof/>
            <w:webHidden/>
          </w:rPr>
          <w:fldChar w:fldCharType="end"/>
        </w:r>
      </w:hyperlink>
    </w:p>
    <w:p w14:paraId="51A90B16" w14:textId="5925C006" w:rsidR="00EC35C4" w:rsidRDefault="00236244">
      <w:pPr>
        <w:pStyle w:val="TOC2"/>
        <w:rPr>
          <w:rFonts w:eastAsiaTheme="minorEastAsia" w:cstheme="minorBidi"/>
          <w:noProof/>
          <w:sz w:val="22"/>
          <w:szCs w:val="22"/>
          <w:lang w:eastAsia="en-GB"/>
        </w:rPr>
      </w:pPr>
      <w:hyperlink w:anchor="_Toc145412776" w:history="1">
        <w:r w:rsidR="00EC35C4" w:rsidRPr="00503338">
          <w:rPr>
            <w:rStyle w:val="Hyperlink"/>
            <w:noProof/>
          </w:rPr>
          <w:t>Annex 1: Pricing Mechanism</w:t>
        </w:r>
        <w:r w:rsidR="00EC35C4">
          <w:rPr>
            <w:noProof/>
            <w:webHidden/>
          </w:rPr>
          <w:tab/>
        </w:r>
        <w:r w:rsidR="00EC35C4">
          <w:rPr>
            <w:noProof/>
            <w:webHidden/>
          </w:rPr>
          <w:fldChar w:fldCharType="begin"/>
        </w:r>
        <w:r w:rsidR="00EC35C4">
          <w:rPr>
            <w:noProof/>
            <w:webHidden/>
          </w:rPr>
          <w:instrText xml:space="preserve"> PAGEREF _Toc145412776 \h </w:instrText>
        </w:r>
        <w:r w:rsidR="00EC35C4">
          <w:rPr>
            <w:noProof/>
            <w:webHidden/>
          </w:rPr>
        </w:r>
        <w:r w:rsidR="00EC35C4">
          <w:rPr>
            <w:noProof/>
            <w:webHidden/>
          </w:rPr>
          <w:fldChar w:fldCharType="separate"/>
        </w:r>
        <w:r w:rsidR="007A1473">
          <w:rPr>
            <w:noProof/>
            <w:webHidden/>
          </w:rPr>
          <w:t>284</w:t>
        </w:r>
        <w:r w:rsidR="00EC35C4">
          <w:rPr>
            <w:noProof/>
            <w:webHidden/>
          </w:rPr>
          <w:fldChar w:fldCharType="end"/>
        </w:r>
      </w:hyperlink>
    </w:p>
    <w:p w14:paraId="5D1B3637" w14:textId="169F951D" w:rsidR="00EC35C4" w:rsidRDefault="00236244">
      <w:pPr>
        <w:pStyle w:val="TOC2"/>
        <w:rPr>
          <w:rFonts w:eastAsiaTheme="minorEastAsia" w:cstheme="minorBidi"/>
          <w:noProof/>
          <w:sz w:val="22"/>
          <w:szCs w:val="22"/>
          <w:lang w:eastAsia="en-GB"/>
        </w:rPr>
      </w:pPr>
      <w:hyperlink w:anchor="_Toc145412777" w:history="1">
        <w:r w:rsidR="00EC35C4" w:rsidRPr="00503338">
          <w:rPr>
            <w:rStyle w:val="Hyperlink"/>
            <w:noProof/>
          </w:rPr>
          <w:t>Annex 2: Charging Mechanism and Adjustments</w:t>
        </w:r>
        <w:r w:rsidR="00EC35C4">
          <w:rPr>
            <w:noProof/>
            <w:webHidden/>
          </w:rPr>
          <w:tab/>
        </w:r>
        <w:r w:rsidR="00EC35C4">
          <w:rPr>
            <w:noProof/>
            <w:webHidden/>
          </w:rPr>
          <w:fldChar w:fldCharType="begin"/>
        </w:r>
        <w:r w:rsidR="00EC35C4">
          <w:rPr>
            <w:noProof/>
            <w:webHidden/>
          </w:rPr>
          <w:instrText xml:space="preserve"> PAGEREF _Toc145412777 \h </w:instrText>
        </w:r>
        <w:r w:rsidR="00EC35C4">
          <w:rPr>
            <w:noProof/>
            <w:webHidden/>
          </w:rPr>
        </w:r>
        <w:r w:rsidR="00EC35C4">
          <w:rPr>
            <w:noProof/>
            <w:webHidden/>
          </w:rPr>
          <w:fldChar w:fldCharType="separate"/>
        </w:r>
        <w:r w:rsidR="007A1473">
          <w:rPr>
            <w:noProof/>
            <w:webHidden/>
          </w:rPr>
          <w:t>286</w:t>
        </w:r>
        <w:r w:rsidR="00EC35C4">
          <w:rPr>
            <w:noProof/>
            <w:webHidden/>
          </w:rPr>
          <w:fldChar w:fldCharType="end"/>
        </w:r>
      </w:hyperlink>
    </w:p>
    <w:p w14:paraId="77FBB30B" w14:textId="374DDE05" w:rsidR="00EC35C4" w:rsidRDefault="00236244">
      <w:pPr>
        <w:pStyle w:val="TOC2"/>
        <w:rPr>
          <w:rFonts w:eastAsiaTheme="minorEastAsia" w:cstheme="minorBidi"/>
          <w:noProof/>
          <w:sz w:val="22"/>
          <w:szCs w:val="22"/>
          <w:lang w:eastAsia="en-GB"/>
        </w:rPr>
      </w:pPr>
      <w:hyperlink w:anchor="_Toc145412778" w:history="1">
        <w:r w:rsidR="00EC35C4" w:rsidRPr="00503338">
          <w:rPr>
            <w:rStyle w:val="Hyperlink"/>
            <w:noProof/>
          </w:rPr>
          <w:t>Annex 3: Pro-forma Certificate of Costs</w:t>
        </w:r>
        <w:r w:rsidR="00EC35C4">
          <w:rPr>
            <w:noProof/>
            <w:webHidden/>
          </w:rPr>
          <w:tab/>
        </w:r>
        <w:r w:rsidR="00EC35C4">
          <w:rPr>
            <w:noProof/>
            <w:webHidden/>
          </w:rPr>
          <w:fldChar w:fldCharType="begin"/>
        </w:r>
        <w:r w:rsidR="00EC35C4">
          <w:rPr>
            <w:noProof/>
            <w:webHidden/>
          </w:rPr>
          <w:instrText xml:space="preserve"> PAGEREF _Toc145412778 \h </w:instrText>
        </w:r>
        <w:r w:rsidR="00EC35C4">
          <w:rPr>
            <w:noProof/>
            <w:webHidden/>
          </w:rPr>
        </w:r>
        <w:r w:rsidR="00EC35C4">
          <w:rPr>
            <w:noProof/>
            <w:webHidden/>
          </w:rPr>
          <w:fldChar w:fldCharType="separate"/>
        </w:r>
        <w:r w:rsidR="007A1473">
          <w:rPr>
            <w:noProof/>
            <w:webHidden/>
          </w:rPr>
          <w:t>289</w:t>
        </w:r>
        <w:r w:rsidR="00EC35C4">
          <w:rPr>
            <w:noProof/>
            <w:webHidden/>
          </w:rPr>
          <w:fldChar w:fldCharType="end"/>
        </w:r>
      </w:hyperlink>
    </w:p>
    <w:p w14:paraId="0E10AFC0" w14:textId="0000EB43" w:rsidR="00EC35C4" w:rsidRDefault="00236244">
      <w:pPr>
        <w:pStyle w:val="TOC2"/>
        <w:rPr>
          <w:rFonts w:eastAsiaTheme="minorEastAsia" w:cstheme="minorBidi"/>
          <w:noProof/>
          <w:sz w:val="22"/>
          <w:szCs w:val="22"/>
          <w:lang w:eastAsia="en-GB"/>
        </w:rPr>
      </w:pPr>
      <w:hyperlink w:anchor="_Toc145412779" w:history="1">
        <w:r w:rsidR="00EC35C4" w:rsidRPr="00503338">
          <w:rPr>
            <w:rStyle w:val="Hyperlink"/>
            <w:noProof/>
          </w:rPr>
          <w:t>Annex 4: Risk Register</w:t>
        </w:r>
        <w:r w:rsidR="00EC35C4">
          <w:rPr>
            <w:noProof/>
            <w:webHidden/>
          </w:rPr>
          <w:tab/>
        </w:r>
        <w:r w:rsidR="00EC35C4">
          <w:rPr>
            <w:noProof/>
            <w:webHidden/>
          </w:rPr>
          <w:fldChar w:fldCharType="begin"/>
        </w:r>
        <w:r w:rsidR="00EC35C4">
          <w:rPr>
            <w:noProof/>
            <w:webHidden/>
          </w:rPr>
          <w:instrText xml:space="preserve"> PAGEREF _Toc145412779 \h </w:instrText>
        </w:r>
        <w:r w:rsidR="00EC35C4">
          <w:rPr>
            <w:noProof/>
            <w:webHidden/>
          </w:rPr>
        </w:r>
        <w:r w:rsidR="00EC35C4">
          <w:rPr>
            <w:noProof/>
            <w:webHidden/>
          </w:rPr>
          <w:fldChar w:fldCharType="separate"/>
        </w:r>
        <w:r w:rsidR="007A1473">
          <w:rPr>
            <w:noProof/>
            <w:webHidden/>
          </w:rPr>
          <w:t>290</w:t>
        </w:r>
        <w:r w:rsidR="00EC35C4">
          <w:rPr>
            <w:noProof/>
            <w:webHidden/>
          </w:rPr>
          <w:fldChar w:fldCharType="end"/>
        </w:r>
      </w:hyperlink>
    </w:p>
    <w:p w14:paraId="31330AE1" w14:textId="534A4B67" w:rsidR="00EC35C4" w:rsidRDefault="00236244">
      <w:pPr>
        <w:pStyle w:val="TOC2"/>
        <w:rPr>
          <w:rFonts w:eastAsiaTheme="minorEastAsia" w:cstheme="minorBidi"/>
          <w:noProof/>
          <w:sz w:val="22"/>
          <w:szCs w:val="22"/>
          <w:lang w:eastAsia="en-GB"/>
        </w:rPr>
      </w:pPr>
      <w:hyperlink w:anchor="_Toc145412780" w:history="1">
        <w:r w:rsidR="00EC35C4" w:rsidRPr="00503338">
          <w:rPr>
            <w:rStyle w:val="Hyperlink"/>
            <w:noProof/>
          </w:rPr>
          <w:t>Annex 5: Not Used</w:t>
        </w:r>
        <w:r w:rsidR="00EC35C4">
          <w:rPr>
            <w:noProof/>
            <w:webHidden/>
          </w:rPr>
          <w:tab/>
        </w:r>
        <w:r w:rsidR="00EC35C4">
          <w:rPr>
            <w:noProof/>
            <w:webHidden/>
          </w:rPr>
          <w:fldChar w:fldCharType="begin"/>
        </w:r>
        <w:r w:rsidR="00EC35C4">
          <w:rPr>
            <w:noProof/>
            <w:webHidden/>
          </w:rPr>
          <w:instrText xml:space="preserve"> PAGEREF _Toc145412780 \h </w:instrText>
        </w:r>
        <w:r w:rsidR="00EC35C4">
          <w:rPr>
            <w:noProof/>
            <w:webHidden/>
          </w:rPr>
        </w:r>
        <w:r w:rsidR="00EC35C4">
          <w:rPr>
            <w:noProof/>
            <w:webHidden/>
          </w:rPr>
          <w:fldChar w:fldCharType="separate"/>
        </w:r>
        <w:r w:rsidR="007A1473">
          <w:rPr>
            <w:noProof/>
            <w:webHidden/>
          </w:rPr>
          <w:t>291</w:t>
        </w:r>
        <w:r w:rsidR="00EC35C4">
          <w:rPr>
            <w:noProof/>
            <w:webHidden/>
          </w:rPr>
          <w:fldChar w:fldCharType="end"/>
        </w:r>
      </w:hyperlink>
    </w:p>
    <w:p w14:paraId="0E352113" w14:textId="5D73A04A" w:rsidR="00EC35C4" w:rsidRDefault="00236244">
      <w:pPr>
        <w:pStyle w:val="TOC1"/>
        <w:rPr>
          <w:rFonts w:eastAsiaTheme="minorEastAsia" w:cstheme="minorBidi"/>
          <w:b w:val="0"/>
          <w:noProof/>
          <w:color w:val="auto"/>
          <w:sz w:val="22"/>
          <w:szCs w:val="22"/>
          <w:lang w:eastAsia="en-GB"/>
        </w:rPr>
      </w:pPr>
      <w:hyperlink w:anchor="_Toc145412781" w:history="1">
        <w:r w:rsidR="00EC35C4" w:rsidRPr="00503338">
          <w:rPr>
            <w:rStyle w:val="Hyperlink"/>
            <w:noProof/>
          </w:rPr>
          <w:t>Schedule 16: Payments on Termination</w:t>
        </w:r>
        <w:r w:rsidR="00EC35C4">
          <w:rPr>
            <w:noProof/>
            <w:webHidden/>
          </w:rPr>
          <w:tab/>
        </w:r>
        <w:r w:rsidR="00EC35C4">
          <w:rPr>
            <w:noProof/>
            <w:webHidden/>
          </w:rPr>
          <w:fldChar w:fldCharType="begin"/>
        </w:r>
        <w:r w:rsidR="00EC35C4">
          <w:rPr>
            <w:noProof/>
            <w:webHidden/>
          </w:rPr>
          <w:instrText xml:space="preserve"> PAGEREF _Toc145412781 \h </w:instrText>
        </w:r>
        <w:r w:rsidR="00EC35C4">
          <w:rPr>
            <w:noProof/>
            <w:webHidden/>
          </w:rPr>
        </w:r>
        <w:r w:rsidR="00EC35C4">
          <w:rPr>
            <w:noProof/>
            <w:webHidden/>
          </w:rPr>
          <w:fldChar w:fldCharType="separate"/>
        </w:r>
        <w:r w:rsidR="007A1473">
          <w:rPr>
            <w:noProof/>
            <w:webHidden/>
          </w:rPr>
          <w:t>293</w:t>
        </w:r>
        <w:r w:rsidR="00EC35C4">
          <w:rPr>
            <w:noProof/>
            <w:webHidden/>
          </w:rPr>
          <w:fldChar w:fldCharType="end"/>
        </w:r>
      </w:hyperlink>
    </w:p>
    <w:p w14:paraId="27428662" w14:textId="20DB92EB" w:rsidR="00EC35C4" w:rsidRDefault="00236244">
      <w:pPr>
        <w:pStyle w:val="TOC2"/>
        <w:rPr>
          <w:rFonts w:eastAsiaTheme="minorEastAsia" w:cstheme="minorBidi"/>
          <w:noProof/>
          <w:sz w:val="22"/>
          <w:szCs w:val="22"/>
          <w:lang w:eastAsia="en-GB"/>
        </w:rPr>
      </w:pPr>
      <w:hyperlink w:anchor="_Toc145412782" w:history="1">
        <w:r w:rsidR="00EC35C4" w:rsidRPr="00503338">
          <w:rPr>
            <w:rStyle w:val="Hyperlink"/>
            <w:noProof/>
          </w:rPr>
          <w:t>Annex 1: Maximum Payments on Termination</w:t>
        </w:r>
        <w:r w:rsidR="00EC35C4">
          <w:rPr>
            <w:noProof/>
            <w:webHidden/>
          </w:rPr>
          <w:tab/>
        </w:r>
        <w:r w:rsidR="00EC35C4">
          <w:rPr>
            <w:noProof/>
            <w:webHidden/>
          </w:rPr>
          <w:fldChar w:fldCharType="begin"/>
        </w:r>
        <w:r w:rsidR="00EC35C4">
          <w:rPr>
            <w:noProof/>
            <w:webHidden/>
          </w:rPr>
          <w:instrText xml:space="preserve"> PAGEREF _Toc145412782 \h </w:instrText>
        </w:r>
        <w:r w:rsidR="00EC35C4">
          <w:rPr>
            <w:noProof/>
            <w:webHidden/>
          </w:rPr>
        </w:r>
        <w:r w:rsidR="00EC35C4">
          <w:rPr>
            <w:noProof/>
            <w:webHidden/>
          </w:rPr>
          <w:fldChar w:fldCharType="separate"/>
        </w:r>
        <w:r w:rsidR="007A1473">
          <w:rPr>
            <w:noProof/>
            <w:webHidden/>
          </w:rPr>
          <w:t>300</w:t>
        </w:r>
        <w:r w:rsidR="00EC35C4">
          <w:rPr>
            <w:noProof/>
            <w:webHidden/>
          </w:rPr>
          <w:fldChar w:fldCharType="end"/>
        </w:r>
      </w:hyperlink>
    </w:p>
    <w:p w14:paraId="3E2A2515" w14:textId="7212E5DE" w:rsidR="00EC35C4" w:rsidRDefault="00236244">
      <w:pPr>
        <w:pStyle w:val="TOC1"/>
        <w:rPr>
          <w:rFonts w:eastAsiaTheme="minorEastAsia" w:cstheme="minorBidi"/>
          <w:b w:val="0"/>
          <w:noProof/>
          <w:color w:val="auto"/>
          <w:sz w:val="22"/>
          <w:szCs w:val="22"/>
          <w:lang w:eastAsia="en-GB"/>
        </w:rPr>
      </w:pPr>
      <w:hyperlink w:anchor="_Toc145412783" w:history="1">
        <w:r w:rsidR="00EC35C4" w:rsidRPr="00503338">
          <w:rPr>
            <w:rStyle w:val="Hyperlink"/>
            <w:noProof/>
          </w:rPr>
          <w:t>Schedule 17: Benchmarking</w:t>
        </w:r>
        <w:r w:rsidR="00EC35C4">
          <w:rPr>
            <w:noProof/>
            <w:webHidden/>
          </w:rPr>
          <w:tab/>
        </w:r>
        <w:r w:rsidR="00EC35C4">
          <w:rPr>
            <w:noProof/>
            <w:webHidden/>
          </w:rPr>
          <w:fldChar w:fldCharType="begin"/>
        </w:r>
        <w:r w:rsidR="00EC35C4">
          <w:rPr>
            <w:noProof/>
            <w:webHidden/>
          </w:rPr>
          <w:instrText xml:space="preserve"> PAGEREF _Toc145412783 \h </w:instrText>
        </w:r>
        <w:r w:rsidR="00EC35C4">
          <w:rPr>
            <w:noProof/>
            <w:webHidden/>
          </w:rPr>
        </w:r>
        <w:r w:rsidR="00EC35C4">
          <w:rPr>
            <w:noProof/>
            <w:webHidden/>
          </w:rPr>
          <w:fldChar w:fldCharType="separate"/>
        </w:r>
        <w:r w:rsidR="007A1473">
          <w:rPr>
            <w:noProof/>
            <w:webHidden/>
          </w:rPr>
          <w:t>302</w:t>
        </w:r>
        <w:r w:rsidR="00EC35C4">
          <w:rPr>
            <w:noProof/>
            <w:webHidden/>
          </w:rPr>
          <w:fldChar w:fldCharType="end"/>
        </w:r>
      </w:hyperlink>
    </w:p>
    <w:p w14:paraId="71DD7B68" w14:textId="33C50E5E" w:rsidR="00EC35C4" w:rsidRDefault="00236244">
      <w:pPr>
        <w:pStyle w:val="TOC2"/>
        <w:rPr>
          <w:rFonts w:eastAsiaTheme="minorEastAsia" w:cstheme="minorBidi"/>
          <w:noProof/>
          <w:sz w:val="22"/>
          <w:szCs w:val="22"/>
          <w:lang w:eastAsia="en-GB"/>
        </w:rPr>
      </w:pPr>
      <w:hyperlink w:anchor="_Toc145412784" w:history="1">
        <w:r w:rsidR="00EC35C4" w:rsidRPr="00503338">
          <w:rPr>
            <w:rStyle w:val="Hyperlink"/>
            <w:noProof/>
          </w:rPr>
          <w:t>Annex 1: Approved Benchmarkers</w:t>
        </w:r>
        <w:r w:rsidR="00EC35C4">
          <w:rPr>
            <w:noProof/>
            <w:webHidden/>
          </w:rPr>
          <w:tab/>
        </w:r>
        <w:r w:rsidR="00EC35C4">
          <w:rPr>
            <w:noProof/>
            <w:webHidden/>
          </w:rPr>
          <w:fldChar w:fldCharType="begin"/>
        </w:r>
        <w:r w:rsidR="00EC35C4">
          <w:rPr>
            <w:noProof/>
            <w:webHidden/>
          </w:rPr>
          <w:instrText xml:space="preserve"> PAGEREF _Toc145412784 \h </w:instrText>
        </w:r>
        <w:r w:rsidR="00EC35C4">
          <w:rPr>
            <w:noProof/>
            <w:webHidden/>
          </w:rPr>
        </w:r>
        <w:r w:rsidR="00EC35C4">
          <w:rPr>
            <w:noProof/>
            <w:webHidden/>
          </w:rPr>
          <w:fldChar w:fldCharType="separate"/>
        </w:r>
        <w:r w:rsidR="007A1473">
          <w:rPr>
            <w:noProof/>
            <w:webHidden/>
          </w:rPr>
          <w:t>308</w:t>
        </w:r>
        <w:r w:rsidR="00EC35C4">
          <w:rPr>
            <w:noProof/>
            <w:webHidden/>
          </w:rPr>
          <w:fldChar w:fldCharType="end"/>
        </w:r>
      </w:hyperlink>
    </w:p>
    <w:p w14:paraId="58D42A62" w14:textId="02535CD3" w:rsidR="00EC35C4" w:rsidRDefault="00236244">
      <w:pPr>
        <w:pStyle w:val="TOC2"/>
        <w:rPr>
          <w:rFonts w:eastAsiaTheme="minorEastAsia" w:cstheme="minorBidi"/>
          <w:noProof/>
          <w:sz w:val="22"/>
          <w:szCs w:val="22"/>
          <w:lang w:eastAsia="en-GB"/>
        </w:rPr>
      </w:pPr>
      <w:hyperlink w:anchor="_Toc145412785" w:history="1">
        <w:r w:rsidR="00EC35C4" w:rsidRPr="00503338">
          <w:rPr>
            <w:rStyle w:val="Hyperlink"/>
            <w:noProof/>
          </w:rPr>
          <w:t>Annex 2: Confidentiality Agreement</w:t>
        </w:r>
        <w:r w:rsidR="00EC35C4">
          <w:rPr>
            <w:noProof/>
            <w:webHidden/>
          </w:rPr>
          <w:tab/>
        </w:r>
        <w:r w:rsidR="00EC35C4">
          <w:rPr>
            <w:noProof/>
            <w:webHidden/>
          </w:rPr>
          <w:fldChar w:fldCharType="begin"/>
        </w:r>
        <w:r w:rsidR="00EC35C4">
          <w:rPr>
            <w:noProof/>
            <w:webHidden/>
          </w:rPr>
          <w:instrText xml:space="preserve"> PAGEREF _Toc145412785 \h </w:instrText>
        </w:r>
        <w:r w:rsidR="00EC35C4">
          <w:rPr>
            <w:noProof/>
            <w:webHidden/>
          </w:rPr>
        </w:r>
        <w:r w:rsidR="00EC35C4">
          <w:rPr>
            <w:noProof/>
            <w:webHidden/>
          </w:rPr>
          <w:fldChar w:fldCharType="separate"/>
        </w:r>
        <w:r w:rsidR="007A1473">
          <w:rPr>
            <w:noProof/>
            <w:webHidden/>
          </w:rPr>
          <w:t>309</w:t>
        </w:r>
        <w:r w:rsidR="00EC35C4">
          <w:rPr>
            <w:noProof/>
            <w:webHidden/>
          </w:rPr>
          <w:fldChar w:fldCharType="end"/>
        </w:r>
      </w:hyperlink>
    </w:p>
    <w:p w14:paraId="5E6AD721" w14:textId="110A25EA" w:rsidR="00EC35C4" w:rsidRDefault="00236244">
      <w:pPr>
        <w:pStyle w:val="TOC1"/>
        <w:rPr>
          <w:rFonts w:eastAsiaTheme="minorEastAsia" w:cstheme="minorBidi"/>
          <w:b w:val="0"/>
          <w:noProof/>
          <w:color w:val="auto"/>
          <w:sz w:val="22"/>
          <w:szCs w:val="22"/>
          <w:lang w:eastAsia="en-GB"/>
        </w:rPr>
      </w:pPr>
      <w:hyperlink w:anchor="_Toc145412786" w:history="1">
        <w:r w:rsidR="00EC35C4" w:rsidRPr="00503338">
          <w:rPr>
            <w:rStyle w:val="Hyperlink"/>
            <w:noProof/>
          </w:rPr>
          <w:t>Schedule 18: Financial Distress</w:t>
        </w:r>
        <w:r w:rsidR="00EC35C4">
          <w:rPr>
            <w:noProof/>
            <w:webHidden/>
          </w:rPr>
          <w:tab/>
        </w:r>
        <w:r w:rsidR="00EC35C4">
          <w:rPr>
            <w:noProof/>
            <w:webHidden/>
          </w:rPr>
          <w:fldChar w:fldCharType="begin"/>
        </w:r>
        <w:r w:rsidR="00EC35C4">
          <w:rPr>
            <w:noProof/>
            <w:webHidden/>
          </w:rPr>
          <w:instrText xml:space="preserve"> PAGEREF _Toc145412786 \h </w:instrText>
        </w:r>
        <w:r w:rsidR="00EC35C4">
          <w:rPr>
            <w:noProof/>
            <w:webHidden/>
          </w:rPr>
        </w:r>
        <w:r w:rsidR="00EC35C4">
          <w:rPr>
            <w:noProof/>
            <w:webHidden/>
          </w:rPr>
          <w:fldChar w:fldCharType="separate"/>
        </w:r>
        <w:r w:rsidR="007A1473">
          <w:rPr>
            <w:noProof/>
            <w:webHidden/>
          </w:rPr>
          <w:t>316</w:t>
        </w:r>
        <w:r w:rsidR="00EC35C4">
          <w:rPr>
            <w:noProof/>
            <w:webHidden/>
          </w:rPr>
          <w:fldChar w:fldCharType="end"/>
        </w:r>
      </w:hyperlink>
    </w:p>
    <w:p w14:paraId="43CBEB8C" w14:textId="0E91486D" w:rsidR="00EC35C4" w:rsidRDefault="00236244">
      <w:pPr>
        <w:pStyle w:val="TOC2"/>
        <w:rPr>
          <w:rFonts w:eastAsiaTheme="minorEastAsia" w:cstheme="minorBidi"/>
          <w:noProof/>
          <w:sz w:val="22"/>
          <w:szCs w:val="22"/>
          <w:lang w:eastAsia="en-GB"/>
        </w:rPr>
      </w:pPr>
      <w:hyperlink w:anchor="_Toc145412787" w:history="1">
        <w:r w:rsidR="00EC35C4" w:rsidRPr="00503338">
          <w:rPr>
            <w:rStyle w:val="Hyperlink"/>
            <w:noProof/>
          </w:rPr>
          <w:t>Annex 1: Rating Agencies and their Standard Rating System</w:t>
        </w:r>
        <w:r w:rsidR="00EC35C4">
          <w:rPr>
            <w:noProof/>
            <w:webHidden/>
          </w:rPr>
          <w:tab/>
        </w:r>
        <w:r w:rsidR="00EC35C4">
          <w:rPr>
            <w:noProof/>
            <w:webHidden/>
          </w:rPr>
          <w:fldChar w:fldCharType="begin"/>
        </w:r>
        <w:r w:rsidR="00EC35C4">
          <w:rPr>
            <w:noProof/>
            <w:webHidden/>
          </w:rPr>
          <w:instrText xml:space="preserve"> PAGEREF _Toc145412787 \h </w:instrText>
        </w:r>
        <w:r w:rsidR="00EC35C4">
          <w:rPr>
            <w:noProof/>
            <w:webHidden/>
          </w:rPr>
        </w:r>
        <w:r w:rsidR="00EC35C4">
          <w:rPr>
            <w:noProof/>
            <w:webHidden/>
          </w:rPr>
          <w:fldChar w:fldCharType="separate"/>
        </w:r>
        <w:r w:rsidR="007A1473">
          <w:rPr>
            <w:noProof/>
            <w:webHidden/>
          </w:rPr>
          <w:t>324</w:t>
        </w:r>
        <w:r w:rsidR="00EC35C4">
          <w:rPr>
            <w:noProof/>
            <w:webHidden/>
          </w:rPr>
          <w:fldChar w:fldCharType="end"/>
        </w:r>
      </w:hyperlink>
    </w:p>
    <w:p w14:paraId="01183C8B" w14:textId="2E1FF818" w:rsidR="00EC35C4" w:rsidRDefault="00236244">
      <w:pPr>
        <w:pStyle w:val="TOC2"/>
        <w:rPr>
          <w:rFonts w:eastAsiaTheme="minorEastAsia" w:cstheme="minorBidi"/>
          <w:noProof/>
          <w:sz w:val="22"/>
          <w:szCs w:val="22"/>
          <w:lang w:eastAsia="en-GB"/>
        </w:rPr>
      </w:pPr>
      <w:hyperlink w:anchor="_Toc145412788" w:history="1">
        <w:r w:rsidR="00EC35C4" w:rsidRPr="00503338">
          <w:rPr>
            <w:rStyle w:val="Hyperlink"/>
            <w:noProof/>
          </w:rPr>
          <w:t>Annex 2: Credit Ratings and Credit Rating Thresholds</w:t>
        </w:r>
        <w:r w:rsidR="00EC35C4">
          <w:rPr>
            <w:noProof/>
            <w:webHidden/>
          </w:rPr>
          <w:tab/>
        </w:r>
        <w:r w:rsidR="00EC35C4">
          <w:rPr>
            <w:noProof/>
            <w:webHidden/>
          </w:rPr>
          <w:fldChar w:fldCharType="begin"/>
        </w:r>
        <w:r w:rsidR="00EC35C4">
          <w:rPr>
            <w:noProof/>
            <w:webHidden/>
          </w:rPr>
          <w:instrText xml:space="preserve"> PAGEREF _Toc145412788 \h </w:instrText>
        </w:r>
        <w:r w:rsidR="00EC35C4">
          <w:rPr>
            <w:noProof/>
            <w:webHidden/>
          </w:rPr>
        </w:r>
        <w:r w:rsidR="00EC35C4">
          <w:rPr>
            <w:noProof/>
            <w:webHidden/>
          </w:rPr>
          <w:fldChar w:fldCharType="separate"/>
        </w:r>
        <w:r w:rsidR="007A1473">
          <w:rPr>
            <w:noProof/>
            <w:webHidden/>
          </w:rPr>
          <w:t>325</w:t>
        </w:r>
        <w:r w:rsidR="00EC35C4">
          <w:rPr>
            <w:noProof/>
            <w:webHidden/>
          </w:rPr>
          <w:fldChar w:fldCharType="end"/>
        </w:r>
      </w:hyperlink>
    </w:p>
    <w:p w14:paraId="19D75C71" w14:textId="36E687E7" w:rsidR="00EC35C4" w:rsidRDefault="00236244">
      <w:pPr>
        <w:pStyle w:val="TOC2"/>
        <w:rPr>
          <w:rFonts w:eastAsiaTheme="minorEastAsia" w:cstheme="minorBidi"/>
          <w:noProof/>
          <w:sz w:val="22"/>
          <w:szCs w:val="22"/>
          <w:lang w:eastAsia="en-GB"/>
        </w:rPr>
      </w:pPr>
      <w:hyperlink w:anchor="_Toc145412789" w:history="1">
        <w:r w:rsidR="00EC35C4" w:rsidRPr="00503338">
          <w:rPr>
            <w:rStyle w:val="Hyperlink"/>
            <w:noProof/>
          </w:rPr>
          <w:t>Annex 3: Calculation Methodology for Financial Indicators</w:t>
        </w:r>
        <w:r w:rsidR="00EC35C4">
          <w:rPr>
            <w:noProof/>
            <w:webHidden/>
          </w:rPr>
          <w:tab/>
        </w:r>
        <w:r w:rsidR="00EC35C4">
          <w:rPr>
            <w:noProof/>
            <w:webHidden/>
          </w:rPr>
          <w:fldChar w:fldCharType="begin"/>
        </w:r>
        <w:r w:rsidR="00EC35C4">
          <w:rPr>
            <w:noProof/>
            <w:webHidden/>
          </w:rPr>
          <w:instrText xml:space="preserve"> PAGEREF _Toc145412789 \h </w:instrText>
        </w:r>
        <w:r w:rsidR="00EC35C4">
          <w:rPr>
            <w:noProof/>
            <w:webHidden/>
          </w:rPr>
        </w:r>
        <w:r w:rsidR="00EC35C4">
          <w:rPr>
            <w:noProof/>
            <w:webHidden/>
          </w:rPr>
          <w:fldChar w:fldCharType="separate"/>
        </w:r>
        <w:r w:rsidR="007A1473">
          <w:rPr>
            <w:noProof/>
            <w:webHidden/>
          </w:rPr>
          <w:t>326</w:t>
        </w:r>
        <w:r w:rsidR="00EC35C4">
          <w:rPr>
            <w:noProof/>
            <w:webHidden/>
          </w:rPr>
          <w:fldChar w:fldCharType="end"/>
        </w:r>
      </w:hyperlink>
    </w:p>
    <w:p w14:paraId="76021A83" w14:textId="0B80EC61" w:rsidR="00EC35C4" w:rsidRDefault="00236244">
      <w:pPr>
        <w:pStyle w:val="TOC2"/>
        <w:rPr>
          <w:rFonts w:eastAsiaTheme="minorEastAsia" w:cstheme="minorBidi"/>
          <w:noProof/>
          <w:sz w:val="22"/>
          <w:szCs w:val="22"/>
          <w:lang w:eastAsia="en-GB"/>
        </w:rPr>
      </w:pPr>
      <w:hyperlink w:anchor="_Toc145412790" w:history="1">
        <w:r w:rsidR="00EC35C4" w:rsidRPr="00503338">
          <w:rPr>
            <w:rStyle w:val="Hyperlink"/>
            <w:noProof/>
          </w:rPr>
          <w:t>Annex 4: Board Confirmation</w:t>
        </w:r>
        <w:r w:rsidR="00EC35C4">
          <w:rPr>
            <w:noProof/>
            <w:webHidden/>
          </w:rPr>
          <w:tab/>
        </w:r>
        <w:r w:rsidR="00EC35C4">
          <w:rPr>
            <w:noProof/>
            <w:webHidden/>
          </w:rPr>
          <w:fldChar w:fldCharType="begin"/>
        </w:r>
        <w:r w:rsidR="00EC35C4">
          <w:rPr>
            <w:noProof/>
            <w:webHidden/>
          </w:rPr>
          <w:instrText xml:space="preserve"> PAGEREF _Toc145412790 \h </w:instrText>
        </w:r>
        <w:r w:rsidR="00EC35C4">
          <w:rPr>
            <w:noProof/>
            <w:webHidden/>
          </w:rPr>
        </w:r>
        <w:r w:rsidR="00EC35C4">
          <w:rPr>
            <w:noProof/>
            <w:webHidden/>
          </w:rPr>
          <w:fldChar w:fldCharType="separate"/>
        </w:r>
        <w:r w:rsidR="007A1473">
          <w:rPr>
            <w:noProof/>
            <w:webHidden/>
          </w:rPr>
          <w:t>329</w:t>
        </w:r>
        <w:r w:rsidR="00EC35C4">
          <w:rPr>
            <w:noProof/>
            <w:webHidden/>
          </w:rPr>
          <w:fldChar w:fldCharType="end"/>
        </w:r>
      </w:hyperlink>
    </w:p>
    <w:p w14:paraId="49C01986" w14:textId="484AE316" w:rsidR="00EC35C4" w:rsidRDefault="00236244">
      <w:pPr>
        <w:pStyle w:val="TOC1"/>
        <w:rPr>
          <w:rFonts w:eastAsiaTheme="minorEastAsia" w:cstheme="minorBidi"/>
          <w:b w:val="0"/>
          <w:noProof/>
          <w:color w:val="auto"/>
          <w:sz w:val="22"/>
          <w:szCs w:val="22"/>
          <w:lang w:eastAsia="en-GB"/>
        </w:rPr>
      </w:pPr>
      <w:hyperlink w:anchor="_Toc145412791" w:history="1">
        <w:r w:rsidR="00EC35C4" w:rsidRPr="00503338">
          <w:rPr>
            <w:rStyle w:val="Hyperlink"/>
            <w:noProof/>
          </w:rPr>
          <w:t>Schedule 19: Financial Reports and Audit Rights</w:t>
        </w:r>
        <w:r w:rsidR="00EC35C4">
          <w:rPr>
            <w:noProof/>
            <w:webHidden/>
          </w:rPr>
          <w:tab/>
        </w:r>
        <w:r w:rsidR="00EC35C4">
          <w:rPr>
            <w:noProof/>
            <w:webHidden/>
          </w:rPr>
          <w:fldChar w:fldCharType="begin"/>
        </w:r>
        <w:r w:rsidR="00EC35C4">
          <w:rPr>
            <w:noProof/>
            <w:webHidden/>
          </w:rPr>
          <w:instrText xml:space="preserve"> PAGEREF _Toc145412791 \h </w:instrText>
        </w:r>
        <w:r w:rsidR="00EC35C4">
          <w:rPr>
            <w:noProof/>
            <w:webHidden/>
          </w:rPr>
        </w:r>
        <w:r w:rsidR="00EC35C4">
          <w:rPr>
            <w:noProof/>
            <w:webHidden/>
          </w:rPr>
          <w:fldChar w:fldCharType="separate"/>
        </w:r>
        <w:r w:rsidR="007A1473">
          <w:rPr>
            <w:noProof/>
            <w:webHidden/>
          </w:rPr>
          <w:t>331</w:t>
        </w:r>
        <w:r w:rsidR="00EC35C4">
          <w:rPr>
            <w:noProof/>
            <w:webHidden/>
          </w:rPr>
          <w:fldChar w:fldCharType="end"/>
        </w:r>
      </w:hyperlink>
    </w:p>
    <w:p w14:paraId="69A00A8F" w14:textId="3D647AA4" w:rsidR="00EC35C4" w:rsidRDefault="00236244">
      <w:pPr>
        <w:pStyle w:val="TOC2"/>
        <w:rPr>
          <w:rFonts w:eastAsiaTheme="minorEastAsia" w:cstheme="minorBidi"/>
          <w:noProof/>
          <w:sz w:val="22"/>
          <w:szCs w:val="22"/>
          <w:lang w:eastAsia="en-GB"/>
        </w:rPr>
      </w:pPr>
      <w:hyperlink w:anchor="_Toc145412792" w:history="1">
        <w:r w:rsidR="00EC35C4" w:rsidRPr="00503338">
          <w:rPr>
            <w:rStyle w:val="Hyperlink"/>
            <w:noProof/>
          </w:rPr>
          <w:t>Part A: Financial Transparency Objectives and Open Book Data</w:t>
        </w:r>
        <w:r w:rsidR="00EC35C4">
          <w:rPr>
            <w:noProof/>
            <w:webHidden/>
          </w:rPr>
          <w:tab/>
        </w:r>
        <w:r w:rsidR="00EC35C4">
          <w:rPr>
            <w:noProof/>
            <w:webHidden/>
          </w:rPr>
          <w:fldChar w:fldCharType="begin"/>
        </w:r>
        <w:r w:rsidR="00EC35C4">
          <w:rPr>
            <w:noProof/>
            <w:webHidden/>
          </w:rPr>
          <w:instrText xml:space="preserve"> PAGEREF _Toc145412792 \h </w:instrText>
        </w:r>
        <w:r w:rsidR="00EC35C4">
          <w:rPr>
            <w:noProof/>
            <w:webHidden/>
          </w:rPr>
        </w:r>
        <w:r w:rsidR="00EC35C4">
          <w:rPr>
            <w:noProof/>
            <w:webHidden/>
          </w:rPr>
          <w:fldChar w:fldCharType="separate"/>
        </w:r>
        <w:r w:rsidR="007A1473">
          <w:rPr>
            <w:noProof/>
            <w:webHidden/>
          </w:rPr>
          <w:t>334</w:t>
        </w:r>
        <w:r w:rsidR="00EC35C4">
          <w:rPr>
            <w:noProof/>
            <w:webHidden/>
          </w:rPr>
          <w:fldChar w:fldCharType="end"/>
        </w:r>
      </w:hyperlink>
    </w:p>
    <w:p w14:paraId="3BC20AD5" w14:textId="6B8ED7EC" w:rsidR="00EC35C4" w:rsidRDefault="00236244">
      <w:pPr>
        <w:pStyle w:val="TOC2"/>
        <w:rPr>
          <w:rFonts w:eastAsiaTheme="minorEastAsia" w:cstheme="minorBidi"/>
          <w:noProof/>
          <w:sz w:val="22"/>
          <w:szCs w:val="22"/>
          <w:lang w:eastAsia="en-GB"/>
        </w:rPr>
      </w:pPr>
      <w:hyperlink w:anchor="_Toc145412793" w:history="1">
        <w:r w:rsidR="00EC35C4" w:rsidRPr="00503338">
          <w:rPr>
            <w:rStyle w:val="Hyperlink"/>
            <w:noProof/>
          </w:rPr>
          <w:t>Part B: Financial Reports</w:t>
        </w:r>
        <w:r w:rsidR="00EC35C4">
          <w:rPr>
            <w:noProof/>
            <w:webHidden/>
          </w:rPr>
          <w:tab/>
        </w:r>
        <w:r w:rsidR="00EC35C4">
          <w:rPr>
            <w:noProof/>
            <w:webHidden/>
          </w:rPr>
          <w:fldChar w:fldCharType="begin"/>
        </w:r>
        <w:r w:rsidR="00EC35C4">
          <w:rPr>
            <w:noProof/>
            <w:webHidden/>
          </w:rPr>
          <w:instrText xml:space="preserve"> PAGEREF _Toc145412793 \h </w:instrText>
        </w:r>
        <w:r w:rsidR="00EC35C4">
          <w:rPr>
            <w:noProof/>
            <w:webHidden/>
          </w:rPr>
        </w:r>
        <w:r w:rsidR="00EC35C4">
          <w:rPr>
            <w:noProof/>
            <w:webHidden/>
          </w:rPr>
          <w:fldChar w:fldCharType="separate"/>
        </w:r>
        <w:r w:rsidR="007A1473">
          <w:rPr>
            <w:noProof/>
            <w:webHidden/>
          </w:rPr>
          <w:t>336</w:t>
        </w:r>
        <w:r w:rsidR="00EC35C4">
          <w:rPr>
            <w:noProof/>
            <w:webHidden/>
          </w:rPr>
          <w:fldChar w:fldCharType="end"/>
        </w:r>
      </w:hyperlink>
    </w:p>
    <w:p w14:paraId="1E266306" w14:textId="79E2A766" w:rsidR="00EC35C4" w:rsidRDefault="00236244">
      <w:pPr>
        <w:pStyle w:val="TOC2"/>
        <w:rPr>
          <w:rFonts w:eastAsiaTheme="minorEastAsia" w:cstheme="minorBidi"/>
          <w:noProof/>
          <w:sz w:val="22"/>
          <w:szCs w:val="22"/>
          <w:lang w:eastAsia="en-GB"/>
        </w:rPr>
      </w:pPr>
      <w:hyperlink w:anchor="_Toc145412794" w:history="1">
        <w:r w:rsidR="00EC35C4" w:rsidRPr="00503338">
          <w:rPr>
            <w:rStyle w:val="Hyperlink"/>
            <w:noProof/>
          </w:rPr>
          <w:t>Part C: Audit Rights</w:t>
        </w:r>
        <w:r w:rsidR="00EC35C4">
          <w:rPr>
            <w:noProof/>
            <w:webHidden/>
          </w:rPr>
          <w:tab/>
        </w:r>
        <w:r w:rsidR="00EC35C4">
          <w:rPr>
            <w:noProof/>
            <w:webHidden/>
          </w:rPr>
          <w:fldChar w:fldCharType="begin"/>
        </w:r>
        <w:r w:rsidR="00EC35C4">
          <w:rPr>
            <w:noProof/>
            <w:webHidden/>
          </w:rPr>
          <w:instrText xml:space="preserve"> PAGEREF _Toc145412794 \h </w:instrText>
        </w:r>
        <w:r w:rsidR="00EC35C4">
          <w:rPr>
            <w:noProof/>
            <w:webHidden/>
          </w:rPr>
        </w:r>
        <w:r w:rsidR="00EC35C4">
          <w:rPr>
            <w:noProof/>
            <w:webHidden/>
          </w:rPr>
          <w:fldChar w:fldCharType="separate"/>
        </w:r>
        <w:r w:rsidR="007A1473">
          <w:rPr>
            <w:noProof/>
            <w:webHidden/>
          </w:rPr>
          <w:t>339</w:t>
        </w:r>
        <w:r w:rsidR="00EC35C4">
          <w:rPr>
            <w:noProof/>
            <w:webHidden/>
          </w:rPr>
          <w:fldChar w:fldCharType="end"/>
        </w:r>
      </w:hyperlink>
    </w:p>
    <w:p w14:paraId="41B1A842" w14:textId="45CFD80A" w:rsidR="00EC35C4" w:rsidRDefault="00236244">
      <w:pPr>
        <w:pStyle w:val="TOC1"/>
        <w:rPr>
          <w:rFonts w:eastAsiaTheme="minorEastAsia" w:cstheme="minorBidi"/>
          <w:b w:val="0"/>
          <w:noProof/>
          <w:color w:val="auto"/>
          <w:sz w:val="22"/>
          <w:szCs w:val="22"/>
          <w:lang w:eastAsia="en-GB"/>
        </w:rPr>
      </w:pPr>
      <w:hyperlink w:anchor="_Toc145412795" w:history="1">
        <w:r w:rsidR="00EC35C4" w:rsidRPr="00503338">
          <w:rPr>
            <w:rStyle w:val="Hyperlink"/>
            <w:noProof/>
          </w:rPr>
          <w:t>Schedule 20: Anticipated Savings</w:t>
        </w:r>
        <w:r w:rsidR="00EC35C4">
          <w:rPr>
            <w:noProof/>
            <w:webHidden/>
          </w:rPr>
          <w:tab/>
        </w:r>
        <w:r w:rsidR="00EC35C4">
          <w:rPr>
            <w:noProof/>
            <w:webHidden/>
          </w:rPr>
          <w:fldChar w:fldCharType="begin"/>
        </w:r>
        <w:r w:rsidR="00EC35C4">
          <w:rPr>
            <w:noProof/>
            <w:webHidden/>
          </w:rPr>
          <w:instrText xml:space="preserve"> PAGEREF _Toc145412795 \h </w:instrText>
        </w:r>
        <w:r w:rsidR="00EC35C4">
          <w:rPr>
            <w:noProof/>
            <w:webHidden/>
          </w:rPr>
        </w:r>
        <w:r w:rsidR="00EC35C4">
          <w:rPr>
            <w:noProof/>
            <w:webHidden/>
          </w:rPr>
          <w:fldChar w:fldCharType="separate"/>
        </w:r>
        <w:r w:rsidR="007A1473">
          <w:rPr>
            <w:noProof/>
            <w:webHidden/>
          </w:rPr>
          <w:t>343</w:t>
        </w:r>
        <w:r w:rsidR="00EC35C4">
          <w:rPr>
            <w:noProof/>
            <w:webHidden/>
          </w:rPr>
          <w:fldChar w:fldCharType="end"/>
        </w:r>
      </w:hyperlink>
    </w:p>
    <w:p w14:paraId="5790C5F7" w14:textId="7C89F13C" w:rsidR="00EC35C4" w:rsidRDefault="00236244">
      <w:pPr>
        <w:pStyle w:val="TOC1"/>
        <w:rPr>
          <w:rFonts w:eastAsiaTheme="minorEastAsia" w:cstheme="minorBidi"/>
          <w:b w:val="0"/>
          <w:noProof/>
          <w:color w:val="auto"/>
          <w:sz w:val="22"/>
          <w:szCs w:val="22"/>
          <w:lang w:eastAsia="en-GB"/>
        </w:rPr>
      </w:pPr>
      <w:hyperlink w:anchor="_Toc145412796" w:history="1">
        <w:r w:rsidR="00EC35C4" w:rsidRPr="00503338">
          <w:rPr>
            <w:rStyle w:val="Hyperlink"/>
            <w:noProof/>
          </w:rPr>
          <w:t>Schedule 21: Governance</w:t>
        </w:r>
        <w:r w:rsidR="00EC35C4">
          <w:rPr>
            <w:noProof/>
            <w:webHidden/>
          </w:rPr>
          <w:tab/>
        </w:r>
        <w:r w:rsidR="00EC35C4">
          <w:rPr>
            <w:noProof/>
            <w:webHidden/>
          </w:rPr>
          <w:fldChar w:fldCharType="begin"/>
        </w:r>
        <w:r w:rsidR="00EC35C4">
          <w:rPr>
            <w:noProof/>
            <w:webHidden/>
          </w:rPr>
          <w:instrText xml:space="preserve"> PAGEREF _Toc145412796 \h </w:instrText>
        </w:r>
        <w:r w:rsidR="00EC35C4">
          <w:rPr>
            <w:noProof/>
            <w:webHidden/>
          </w:rPr>
        </w:r>
        <w:r w:rsidR="00EC35C4">
          <w:rPr>
            <w:noProof/>
            <w:webHidden/>
          </w:rPr>
          <w:fldChar w:fldCharType="separate"/>
        </w:r>
        <w:r w:rsidR="007A1473">
          <w:rPr>
            <w:noProof/>
            <w:webHidden/>
          </w:rPr>
          <w:t>346</w:t>
        </w:r>
        <w:r w:rsidR="00EC35C4">
          <w:rPr>
            <w:noProof/>
            <w:webHidden/>
          </w:rPr>
          <w:fldChar w:fldCharType="end"/>
        </w:r>
      </w:hyperlink>
    </w:p>
    <w:p w14:paraId="68077456" w14:textId="25272318" w:rsidR="00EC35C4" w:rsidRDefault="00236244">
      <w:pPr>
        <w:pStyle w:val="TOC2"/>
        <w:rPr>
          <w:rFonts w:eastAsiaTheme="minorEastAsia" w:cstheme="minorBidi"/>
          <w:noProof/>
          <w:sz w:val="22"/>
          <w:szCs w:val="22"/>
          <w:lang w:eastAsia="en-GB"/>
        </w:rPr>
      </w:pPr>
      <w:hyperlink w:anchor="_Toc145412797" w:history="1">
        <w:r w:rsidR="00EC35C4" w:rsidRPr="00503338">
          <w:rPr>
            <w:rStyle w:val="Hyperlink"/>
            <w:noProof/>
          </w:rPr>
          <w:t>Annex 1: Representation and Structure of Boards</w:t>
        </w:r>
        <w:r w:rsidR="00EC35C4">
          <w:rPr>
            <w:noProof/>
            <w:webHidden/>
          </w:rPr>
          <w:tab/>
        </w:r>
        <w:r w:rsidR="00EC35C4">
          <w:rPr>
            <w:noProof/>
            <w:webHidden/>
          </w:rPr>
          <w:fldChar w:fldCharType="begin"/>
        </w:r>
        <w:r w:rsidR="00EC35C4">
          <w:rPr>
            <w:noProof/>
            <w:webHidden/>
          </w:rPr>
          <w:instrText xml:space="preserve"> PAGEREF _Toc145412797 \h </w:instrText>
        </w:r>
        <w:r w:rsidR="00EC35C4">
          <w:rPr>
            <w:noProof/>
            <w:webHidden/>
          </w:rPr>
        </w:r>
        <w:r w:rsidR="00EC35C4">
          <w:rPr>
            <w:noProof/>
            <w:webHidden/>
          </w:rPr>
          <w:fldChar w:fldCharType="separate"/>
        </w:r>
        <w:r w:rsidR="007A1473">
          <w:rPr>
            <w:noProof/>
            <w:webHidden/>
          </w:rPr>
          <w:t>353</w:t>
        </w:r>
        <w:r w:rsidR="00EC35C4">
          <w:rPr>
            <w:noProof/>
            <w:webHidden/>
          </w:rPr>
          <w:fldChar w:fldCharType="end"/>
        </w:r>
      </w:hyperlink>
    </w:p>
    <w:p w14:paraId="0106FEC2" w14:textId="0CECD7E5" w:rsidR="00EC35C4" w:rsidRDefault="00236244">
      <w:pPr>
        <w:pStyle w:val="TOC1"/>
        <w:rPr>
          <w:rFonts w:eastAsiaTheme="minorEastAsia" w:cstheme="minorBidi"/>
          <w:b w:val="0"/>
          <w:noProof/>
          <w:color w:val="auto"/>
          <w:sz w:val="22"/>
          <w:szCs w:val="22"/>
          <w:lang w:eastAsia="en-GB"/>
        </w:rPr>
      </w:pPr>
      <w:hyperlink w:anchor="_Toc145412798" w:history="1">
        <w:r w:rsidR="00EC35C4" w:rsidRPr="00503338">
          <w:rPr>
            <w:rStyle w:val="Hyperlink"/>
            <w:noProof/>
          </w:rPr>
          <w:t>Schedule 22: Change Control Procedure</w:t>
        </w:r>
        <w:r w:rsidR="00EC35C4">
          <w:rPr>
            <w:noProof/>
            <w:webHidden/>
          </w:rPr>
          <w:tab/>
        </w:r>
        <w:r w:rsidR="00EC35C4">
          <w:rPr>
            <w:noProof/>
            <w:webHidden/>
          </w:rPr>
          <w:fldChar w:fldCharType="begin"/>
        </w:r>
        <w:r w:rsidR="00EC35C4">
          <w:rPr>
            <w:noProof/>
            <w:webHidden/>
          </w:rPr>
          <w:instrText xml:space="preserve"> PAGEREF _Toc145412798 \h </w:instrText>
        </w:r>
        <w:r w:rsidR="00EC35C4">
          <w:rPr>
            <w:noProof/>
            <w:webHidden/>
          </w:rPr>
        </w:r>
        <w:r w:rsidR="00EC35C4">
          <w:rPr>
            <w:noProof/>
            <w:webHidden/>
          </w:rPr>
          <w:fldChar w:fldCharType="separate"/>
        </w:r>
        <w:r w:rsidR="007A1473">
          <w:rPr>
            <w:noProof/>
            <w:webHidden/>
          </w:rPr>
          <w:t>357</w:t>
        </w:r>
        <w:r w:rsidR="00EC35C4">
          <w:rPr>
            <w:noProof/>
            <w:webHidden/>
          </w:rPr>
          <w:fldChar w:fldCharType="end"/>
        </w:r>
      </w:hyperlink>
    </w:p>
    <w:p w14:paraId="04680117" w14:textId="5F7A152E" w:rsidR="00EC35C4" w:rsidRDefault="00236244">
      <w:pPr>
        <w:pStyle w:val="TOC2"/>
        <w:rPr>
          <w:rFonts w:eastAsiaTheme="minorEastAsia" w:cstheme="minorBidi"/>
          <w:noProof/>
          <w:sz w:val="22"/>
          <w:szCs w:val="22"/>
          <w:lang w:eastAsia="en-GB"/>
        </w:rPr>
      </w:pPr>
      <w:hyperlink w:anchor="_Toc145412799" w:history="1">
        <w:r w:rsidR="00EC35C4" w:rsidRPr="00503338">
          <w:rPr>
            <w:rStyle w:val="Hyperlink"/>
            <w:noProof/>
          </w:rPr>
          <w:t>Annex 1: Change Request Form</w:t>
        </w:r>
        <w:r w:rsidR="00EC35C4">
          <w:rPr>
            <w:noProof/>
            <w:webHidden/>
          </w:rPr>
          <w:tab/>
        </w:r>
        <w:r w:rsidR="00EC35C4">
          <w:rPr>
            <w:noProof/>
            <w:webHidden/>
          </w:rPr>
          <w:fldChar w:fldCharType="begin"/>
        </w:r>
        <w:r w:rsidR="00EC35C4">
          <w:rPr>
            <w:noProof/>
            <w:webHidden/>
          </w:rPr>
          <w:instrText xml:space="preserve"> PAGEREF _Toc145412799 \h </w:instrText>
        </w:r>
        <w:r w:rsidR="00EC35C4">
          <w:rPr>
            <w:noProof/>
            <w:webHidden/>
          </w:rPr>
        </w:r>
        <w:r w:rsidR="00EC35C4">
          <w:rPr>
            <w:noProof/>
            <w:webHidden/>
          </w:rPr>
          <w:fldChar w:fldCharType="separate"/>
        </w:r>
        <w:r w:rsidR="007A1473">
          <w:rPr>
            <w:noProof/>
            <w:webHidden/>
          </w:rPr>
          <w:t>364</w:t>
        </w:r>
        <w:r w:rsidR="00EC35C4">
          <w:rPr>
            <w:noProof/>
            <w:webHidden/>
          </w:rPr>
          <w:fldChar w:fldCharType="end"/>
        </w:r>
      </w:hyperlink>
    </w:p>
    <w:p w14:paraId="24FE9411" w14:textId="24A96134" w:rsidR="00EC35C4" w:rsidRDefault="00236244">
      <w:pPr>
        <w:pStyle w:val="TOC2"/>
        <w:rPr>
          <w:rFonts w:eastAsiaTheme="minorEastAsia" w:cstheme="minorBidi"/>
          <w:noProof/>
          <w:sz w:val="22"/>
          <w:szCs w:val="22"/>
          <w:lang w:eastAsia="en-GB"/>
        </w:rPr>
      </w:pPr>
      <w:hyperlink w:anchor="_Toc145412800" w:history="1">
        <w:r w:rsidR="00EC35C4" w:rsidRPr="00503338">
          <w:rPr>
            <w:rStyle w:val="Hyperlink"/>
            <w:noProof/>
          </w:rPr>
          <w:t>Annex 2: Change Authorisation Note</w:t>
        </w:r>
        <w:r w:rsidR="00EC35C4">
          <w:rPr>
            <w:noProof/>
            <w:webHidden/>
          </w:rPr>
          <w:tab/>
        </w:r>
        <w:r w:rsidR="00EC35C4">
          <w:rPr>
            <w:noProof/>
            <w:webHidden/>
          </w:rPr>
          <w:fldChar w:fldCharType="begin"/>
        </w:r>
        <w:r w:rsidR="00EC35C4">
          <w:rPr>
            <w:noProof/>
            <w:webHidden/>
          </w:rPr>
          <w:instrText xml:space="preserve"> PAGEREF _Toc145412800 \h </w:instrText>
        </w:r>
        <w:r w:rsidR="00EC35C4">
          <w:rPr>
            <w:noProof/>
            <w:webHidden/>
          </w:rPr>
        </w:r>
        <w:r w:rsidR="00EC35C4">
          <w:rPr>
            <w:noProof/>
            <w:webHidden/>
          </w:rPr>
          <w:fldChar w:fldCharType="separate"/>
        </w:r>
        <w:r w:rsidR="007A1473">
          <w:rPr>
            <w:noProof/>
            <w:webHidden/>
          </w:rPr>
          <w:t>365</w:t>
        </w:r>
        <w:r w:rsidR="00EC35C4">
          <w:rPr>
            <w:noProof/>
            <w:webHidden/>
          </w:rPr>
          <w:fldChar w:fldCharType="end"/>
        </w:r>
      </w:hyperlink>
    </w:p>
    <w:p w14:paraId="558324CD" w14:textId="357561CC" w:rsidR="00EC35C4" w:rsidRDefault="00236244">
      <w:pPr>
        <w:pStyle w:val="TOC1"/>
        <w:rPr>
          <w:rFonts w:eastAsiaTheme="minorEastAsia" w:cstheme="minorBidi"/>
          <w:b w:val="0"/>
          <w:noProof/>
          <w:color w:val="auto"/>
          <w:sz w:val="22"/>
          <w:szCs w:val="22"/>
          <w:lang w:eastAsia="en-GB"/>
        </w:rPr>
      </w:pPr>
      <w:hyperlink w:anchor="_Toc145412801" w:history="1">
        <w:r w:rsidR="00EC35C4" w:rsidRPr="00503338">
          <w:rPr>
            <w:rStyle w:val="Hyperlink"/>
            <w:noProof/>
          </w:rPr>
          <w:t>Schedule 23: Dispute Resolution Procedure</w:t>
        </w:r>
        <w:r w:rsidR="00EC35C4">
          <w:rPr>
            <w:noProof/>
            <w:webHidden/>
          </w:rPr>
          <w:tab/>
        </w:r>
        <w:r w:rsidR="00EC35C4">
          <w:rPr>
            <w:noProof/>
            <w:webHidden/>
          </w:rPr>
          <w:fldChar w:fldCharType="begin"/>
        </w:r>
        <w:r w:rsidR="00EC35C4">
          <w:rPr>
            <w:noProof/>
            <w:webHidden/>
          </w:rPr>
          <w:instrText xml:space="preserve"> PAGEREF _Toc145412801 \h </w:instrText>
        </w:r>
        <w:r w:rsidR="00EC35C4">
          <w:rPr>
            <w:noProof/>
            <w:webHidden/>
          </w:rPr>
        </w:r>
        <w:r w:rsidR="00EC35C4">
          <w:rPr>
            <w:noProof/>
            <w:webHidden/>
          </w:rPr>
          <w:fldChar w:fldCharType="separate"/>
        </w:r>
        <w:r w:rsidR="007A1473">
          <w:rPr>
            <w:noProof/>
            <w:webHidden/>
          </w:rPr>
          <w:t>367</w:t>
        </w:r>
        <w:r w:rsidR="00EC35C4">
          <w:rPr>
            <w:noProof/>
            <w:webHidden/>
          </w:rPr>
          <w:fldChar w:fldCharType="end"/>
        </w:r>
      </w:hyperlink>
    </w:p>
    <w:p w14:paraId="2327B81C" w14:textId="6C4EC791" w:rsidR="00EC35C4" w:rsidRDefault="00236244">
      <w:pPr>
        <w:pStyle w:val="TOC1"/>
        <w:rPr>
          <w:rFonts w:eastAsiaTheme="minorEastAsia" w:cstheme="minorBidi"/>
          <w:b w:val="0"/>
          <w:noProof/>
          <w:color w:val="auto"/>
          <w:sz w:val="22"/>
          <w:szCs w:val="22"/>
          <w:lang w:eastAsia="en-GB"/>
        </w:rPr>
      </w:pPr>
      <w:hyperlink w:anchor="_Toc145412802" w:history="1">
        <w:r w:rsidR="00EC35C4" w:rsidRPr="00503338">
          <w:rPr>
            <w:rStyle w:val="Hyperlink"/>
            <w:noProof/>
          </w:rPr>
          <w:t>Schedule 24: Reports and Records Provisions</w:t>
        </w:r>
        <w:r w:rsidR="00EC35C4">
          <w:rPr>
            <w:noProof/>
            <w:webHidden/>
          </w:rPr>
          <w:tab/>
        </w:r>
        <w:r w:rsidR="00EC35C4">
          <w:rPr>
            <w:noProof/>
            <w:webHidden/>
          </w:rPr>
          <w:fldChar w:fldCharType="begin"/>
        </w:r>
        <w:r w:rsidR="00EC35C4">
          <w:rPr>
            <w:noProof/>
            <w:webHidden/>
          </w:rPr>
          <w:instrText xml:space="preserve"> PAGEREF _Toc145412802 \h </w:instrText>
        </w:r>
        <w:r w:rsidR="00EC35C4">
          <w:rPr>
            <w:noProof/>
            <w:webHidden/>
          </w:rPr>
        </w:r>
        <w:r w:rsidR="00EC35C4">
          <w:rPr>
            <w:noProof/>
            <w:webHidden/>
          </w:rPr>
          <w:fldChar w:fldCharType="separate"/>
        </w:r>
        <w:r w:rsidR="007A1473">
          <w:rPr>
            <w:noProof/>
            <w:webHidden/>
          </w:rPr>
          <w:t>376</w:t>
        </w:r>
        <w:r w:rsidR="00EC35C4">
          <w:rPr>
            <w:noProof/>
            <w:webHidden/>
          </w:rPr>
          <w:fldChar w:fldCharType="end"/>
        </w:r>
      </w:hyperlink>
    </w:p>
    <w:p w14:paraId="45CECE0F" w14:textId="4A2D5A7C" w:rsidR="00EC35C4" w:rsidRDefault="00236244">
      <w:pPr>
        <w:pStyle w:val="TOC2"/>
        <w:rPr>
          <w:rFonts w:eastAsiaTheme="minorEastAsia" w:cstheme="minorBidi"/>
          <w:noProof/>
          <w:sz w:val="22"/>
          <w:szCs w:val="22"/>
          <w:lang w:eastAsia="en-GB"/>
        </w:rPr>
      </w:pPr>
      <w:hyperlink w:anchor="_Toc145412803" w:history="1">
        <w:r w:rsidR="00EC35C4" w:rsidRPr="00503338">
          <w:rPr>
            <w:rStyle w:val="Hyperlink"/>
            <w:noProof/>
          </w:rPr>
          <w:t>Annex 1: Transparency Reports</w:t>
        </w:r>
        <w:r w:rsidR="00EC35C4">
          <w:rPr>
            <w:noProof/>
            <w:webHidden/>
          </w:rPr>
          <w:tab/>
        </w:r>
        <w:r w:rsidR="00EC35C4">
          <w:rPr>
            <w:noProof/>
            <w:webHidden/>
          </w:rPr>
          <w:fldChar w:fldCharType="begin"/>
        </w:r>
        <w:r w:rsidR="00EC35C4">
          <w:rPr>
            <w:noProof/>
            <w:webHidden/>
          </w:rPr>
          <w:instrText xml:space="preserve"> PAGEREF _Toc145412803 \h </w:instrText>
        </w:r>
        <w:r w:rsidR="00EC35C4">
          <w:rPr>
            <w:noProof/>
            <w:webHidden/>
          </w:rPr>
        </w:r>
        <w:r w:rsidR="00EC35C4">
          <w:rPr>
            <w:noProof/>
            <w:webHidden/>
          </w:rPr>
          <w:fldChar w:fldCharType="separate"/>
        </w:r>
        <w:r w:rsidR="007A1473">
          <w:rPr>
            <w:noProof/>
            <w:webHidden/>
          </w:rPr>
          <w:t>380</w:t>
        </w:r>
        <w:r w:rsidR="00EC35C4">
          <w:rPr>
            <w:noProof/>
            <w:webHidden/>
          </w:rPr>
          <w:fldChar w:fldCharType="end"/>
        </w:r>
      </w:hyperlink>
    </w:p>
    <w:p w14:paraId="29C3DEA8" w14:textId="7FF58AE2" w:rsidR="00EC35C4" w:rsidRDefault="00236244">
      <w:pPr>
        <w:pStyle w:val="TOC2"/>
        <w:rPr>
          <w:rFonts w:eastAsiaTheme="minorEastAsia" w:cstheme="minorBidi"/>
          <w:noProof/>
          <w:sz w:val="22"/>
          <w:szCs w:val="22"/>
          <w:lang w:eastAsia="en-GB"/>
        </w:rPr>
      </w:pPr>
      <w:hyperlink w:anchor="_Toc145412804" w:history="1">
        <w:r w:rsidR="00EC35C4" w:rsidRPr="00503338">
          <w:rPr>
            <w:rStyle w:val="Hyperlink"/>
            <w:noProof/>
          </w:rPr>
          <w:t>Annex 2: Records to be Kept by the Supplier</w:t>
        </w:r>
        <w:r w:rsidR="00EC35C4">
          <w:rPr>
            <w:noProof/>
            <w:webHidden/>
          </w:rPr>
          <w:tab/>
        </w:r>
        <w:r w:rsidR="00EC35C4">
          <w:rPr>
            <w:noProof/>
            <w:webHidden/>
          </w:rPr>
          <w:fldChar w:fldCharType="begin"/>
        </w:r>
        <w:r w:rsidR="00EC35C4">
          <w:rPr>
            <w:noProof/>
            <w:webHidden/>
          </w:rPr>
          <w:instrText xml:space="preserve"> PAGEREF _Toc145412804 \h </w:instrText>
        </w:r>
        <w:r w:rsidR="00EC35C4">
          <w:rPr>
            <w:noProof/>
            <w:webHidden/>
          </w:rPr>
        </w:r>
        <w:r w:rsidR="00EC35C4">
          <w:rPr>
            <w:noProof/>
            <w:webHidden/>
          </w:rPr>
          <w:fldChar w:fldCharType="separate"/>
        </w:r>
        <w:r w:rsidR="007A1473">
          <w:rPr>
            <w:noProof/>
            <w:webHidden/>
          </w:rPr>
          <w:t>381</w:t>
        </w:r>
        <w:r w:rsidR="00EC35C4">
          <w:rPr>
            <w:noProof/>
            <w:webHidden/>
          </w:rPr>
          <w:fldChar w:fldCharType="end"/>
        </w:r>
      </w:hyperlink>
    </w:p>
    <w:p w14:paraId="5A419844" w14:textId="22B079AD" w:rsidR="00EC35C4" w:rsidRDefault="00236244">
      <w:pPr>
        <w:pStyle w:val="TOC2"/>
        <w:rPr>
          <w:rFonts w:eastAsiaTheme="minorEastAsia" w:cstheme="minorBidi"/>
          <w:noProof/>
          <w:sz w:val="22"/>
          <w:szCs w:val="22"/>
          <w:lang w:eastAsia="en-GB"/>
        </w:rPr>
      </w:pPr>
      <w:hyperlink w:anchor="_Toc145412805" w:history="1">
        <w:r w:rsidR="00EC35C4" w:rsidRPr="00503338">
          <w:rPr>
            <w:rStyle w:val="Hyperlink"/>
            <w:noProof/>
          </w:rPr>
          <w:t>Annex 3: Records to Upload to Virtual Library</w:t>
        </w:r>
        <w:r w:rsidR="00EC35C4">
          <w:rPr>
            <w:noProof/>
            <w:webHidden/>
          </w:rPr>
          <w:tab/>
        </w:r>
        <w:r w:rsidR="00EC35C4">
          <w:rPr>
            <w:noProof/>
            <w:webHidden/>
          </w:rPr>
          <w:fldChar w:fldCharType="begin"/>
        </w:r>
        <w:r w:rsidR="00EC35C4">
          <w:rPr>
            <w:noProof/>
            <w:webHidden/>
          </w:rPr>
          <w:instrText xml:space="preserve"> PAGEREF _Toc145412805 \h </w:instrText>
        </w:r>
        <w:r w:rsidR="00EC35C4">
          <w:rPr>
            <w:noProof/>
            <w:webHidden/>
          </w:rPr>
        </w:r>
        <w:r w:rsidR="00EC35C4">
          <w:rPr>
            <w:noProof/>
            <w:webHidden/>
          </w:rPr>
          <w:fldChar w:fldCharType="separate"/>
        </w:r>
        <w:r w:rsidR="007A1473">
          <w:rPr>
            <w:noProof/>
            <w:webHidden/>
          </w:rPr>
          <w:t>382</w:t>
        </w:r>
        <w:r w:rsidR="00EC35C4">
          <w:rPr>
            <w:noProof/>
            <w:webHidden/>
          </w:rPr>
          <w:fldChar w:fldCharType="end"/>
        </w:r>
      </w:hyperlink>
    </w:p>
    <w:p w14:paraId="217B3C40" w14:textId="047CD805" w:rsidR="00EC35C4" w:rsidRDefault="00236244">
      <w:pPr>
        <w:pStyle w:val="TOC2"/>
        <w:rPr>
          <w:rFonts w:eastAsiaTheme="minorEastAsia" w:cstheme="minorBidi"/>
          <w:noProof/>
          <w:sz w:val="22"/>
          <w:szCs w:val="22"/>
          <w:lang w:eastAsia="en-GB"/>
        </w:rPr>
      </w:pPr>
      <w:hyperlink w:anchor="_Toc145412806" w:history="1">
        <w:r w:rsidR="00EC35C4" w:rsidRPr="00503338">
          <w:rPr>
            <w:rStyle w:val="Hyperlink"/>
            <w:noProof/>
          </w:rPr>
          <w:t>Annex 4: Supply Chain Transparency Information Template</w:t>
        </w:r>
        <w:r w:rsidR="00EC35C4">
          <w:rPr>
            <w:noProof/>
            <w:webHidden/>
          </w:rPr>
          <w:tab/>
        </w:r>
        <w:r w:rsidR="00EC35C4">
          <w:rPr>
            <w:noProof/>
            <w:webHidden/>
          </w:rPr>
          <w:fldChar w:fldCharType="begin"/>
        </w:r>
        <w:r w:rsidR="00EC35C4">
          <w:rPr>
            <w:noProof/>
            <w:webHidden/>
          </w:rPr>
          <w:instrText xml:space="preserve"> PAGEREF _Toc145412806 \h </w:instrText>
        </w:r>
        <w:r w:rsidR="00EC35C4">
          <w:rPr>
            <w:noProof/>
            <w:webHidden/>
          </w:rPr>
        </w:r>
        <w:r w:rsidR="00EC35C4">
          <w:rPr>
            <w:noProof/>
            <w:webHidden/>
          </w:rPr>
          <w:fldChar w:fldCharType="separate"/>
        </w:r>
        <w:r w:rsidR="007A1473">
          <w:rPr>
            <w:noProof/>
            <w:webHidden/>
          </w:rPr>
          <w:t>383</w:t>
        </w:r>
        <w:r w:rsidR="00EC35C4">
          <w:rPr>
            <w:noProof/>
            <w:webHidden/>
          </w:rPr>
          <w:fldChar w:fldCharType="end"/>
        </w:r>
      </w:hyperlink>
    </w:p>
    <w:p w14:paraId="0FC32B09" w14:textId="4A05B156" w:rsidR="00EC35C4" w:rsidRDefault="00236244">
      <w:pPr>
        <w:pStyle w:val="TOC1"/>
        <w:rPr>
          <w:rFonts w:eastAsiaTheme="minorEastAsia" w:cstheme="minorBidi"/>
          <w:b w:val="0"/>
          <w:noProof/>
          <w:color w:val="auto"/>
          <w:sz w:val="22"/>
          <w:szCs w:val="22"/>
          <w:lang w:eastAsia="en-GB"/>
        </w:rPr>
      </w:pPr>
      <w:hyperlink w:anchor="_Toc145412807" w:history="1">
        <w:r w:rsidR="00EC35C4" w:rsidRPr="00503338">
          <w:rPr>
            <w:rStyle w:val="Hyperlink"/>
            <w:noProof/>
          </w:rPr>
          <w:t>Schedule 25: Exit Management</w:t>
        </w:r>
        <w:r w:rsidR="00EC35C4">
          <w:rPr>
            <w:noProof/>
            <w:webHidden/>
          </w:rPr>
          <w:tab/>
        </w:r>
        <w:r w:rsidR="00EC35C4">
          <w:rPr>
            <w:noProof/>
            <w:webHidden/>
          </w:rPr>
          <w:fldChar w:fldCharType="begin"/>
        </w:r>
        <w:r w:rsidR="00EC35C4">
          <w:rPr>
            <w:noProof/>
            <w:webHidden/>
          </w:rPr>
          <w:instrText xml:space="preserve"> PAGEREF _Toc145412807 \h </w:instrText>
        </w:r>
        <w:r w:rsidR="00EC35C4">
          <w:rPr>
            <w:noProof/>
            <w:webHidden/>
          </w:rPr>
        </w:r>
        <w:r w:rsidR="00EC35C4">
          <w:rPr>
            <w:noProof/>
            <w:webHidden/>
          </w:rPr>
          <w:fldChar w:fldCharType="separate"/>
        </w:r>
        <w:r w:rsidR="007A1473">
          <w:rPr>
            <w:noProof/>
            <w:webHidden/>
          </w:rPr>
          <w:t>385</w:t>
        </w:r>
        <w:r w:rsidR="00EC35C4">
          <w:rPr>
            <w:noProof/>
            <w:webHidden/>
          </w:rPr>
          <w:fldChar w:fldCharType="end"/>
        </w:r>
      </w:hyperlink>
    </w:p>
    <w:p w14:paraId="4D56AC32" w14:textId="2809A8E1" w:rsidR="00EC35C4" w:rsidRDefault="00236244">
      <w:pPr>
        <w:pStyle w:val="TOC2"/>
        <w:rPr>
          <w:rFonts w:eastAsiaTheme="minorEastAsia" w:cstheme="minorBidi"/>
          <w:noProof/>
          <w:sz w:val="22"/>
          <w:szCs w:val="22"/>
          <w:lang w:eastAsia="en-GB"/>
        </w:rPr>
      </w:pPr>
      <w:hyperlink w:anchor="_Toc145412808" w:history="1">
        <w:r w:rsidR="00EC35C4" w:rsidRPr="00503338">
          <w:rPr>
            <w:rStyle w:val="Hyperlink"/>
            <w:noProof/>
          </w:rPr>
          <w:t>Annex 1: Scope of the Termination Services</w:t>
        </w:r>
        <w:r w:rsidR="00EC35C4">
          <w:rPr>
            <w:noProof/>
            <w:webHidden/>
          </w:rPr>
          <w:tab/>
        </w:r>
        <w:r w:rsidR="00EC35C4">
          <w:rPr>
            <w:noProof/>
            <w:webHidden/>
          </w:rPr>
          <w:fldChar w:fldCharType="begin"/>
        </w:r>
        <w:r w:rsidR="00EC35C4">
          <w:rPr>
            <w:noProof/>
            <w:webHidden/>
          </w:rPr>
          <w:instrText xml:space="preserve"> PAGEREF _Toc145412808 \h </w:instrText>
        </w:r>
        <w:r w:rsidR="00EC35C4">
          <w:rPr>
            <w:noProof/>
            <w:webHidden/>
          </w:rPr>
        </w:r>
        <w:r w:rsidR="00EC35C4">
          <w:rPr>
            <w:noProof/>
            <w:webHidden/>
          </w:rPr>
          <w:fldChar w:fldCharType="separate"/>
        </w:r>
        <w:r w:rsidR="007A1473">
          <w:rPr>
            <w:noProof/>
            <w:webHidden/>
          </w:rPr>
          <w:t>397</w:t>
        </w:r>
        <w:r w:rsidR="00EC35C4">
          <w:rPr>
            <w:noProof/>
            <w:webHidden/>
          </w:rPr>
          <w:fldChar w:fldCharType="end"/>
        </w:r>
      </w:hyperlink>
    </w:p>
    <w:p w14:paraId="1118CF49" w14:textId="496D9FC3" w:rsidR="00EC35C4" w:rsidRDefault="00236244">
      <w:pPr>
        <w:pStyle w:val="TOC2"/>
        <w:rPr>
          <w:rFonts w:eastAsiaTheme="minorEastAsia" w:cstheme="minorBidi"/>
          <w:noProof/>
          <w:sz w:val="22"/>
          <w:szCs w:val="22"/>
          <w:lang w:eastAsia="en-GB"/>
        </w:rPr>
      </w:pPr>
      <w:hyperlink w:anchor="_Toc145412809" w:history="1">
        <w:r w:rsidR="00EC35C4" w:rsidRPr="00503338">
          <w:rPr>
            <w:rStyle w:val="Hyperlink"/>
            <w:noProof/>
          </w:rPr>
          <w:t>Annex 2: Draft Ethical Wall Agreement</w:t>
        </w:r>
        <w:r w:rsidR="00EC35C4">
          <w:rPr>
            <w:noProof/>
            <w:webHidden/>
          </w:rPr>
          <w:tab/>
        </w:r>
        <w:r w:rsidR="00EC35C4">
          <w:rPr>
            <w:noProof/>
            <w:webHidden/>
          </w:rPr>
          <w:fldChar w:fldCharType="begin"/>
        </w:r>
        <w:r w:rsidR="00EC35C4">
          <w:rPr>
            <w:noProof/>
            <w:webHidden/>
          </w:rPr>
          <w:instrText xml:space="preserve"> PAGEREF _Toc145412809 \h </w:instrText>
        </w:r>
        <w:r w:rsidR="00EC35C4">
          <w:rPr>
            <w:noProof/>
            <w:webHidden/>
          </w:rPr>
        </w:r>
        <w:r w:rsidR="00EC35C4">
          <w:rPr>
            <w:noProof/>
            <w:webHidden/>
          </w:rPr>
          <w:fldChar w:fldCharType="separate"/>
        </w:r>
        <w:r w:rsidR="007A1473">
          <w:rPr>
            <w:noProof/>
            <w:webHidden/>
          </w:rPr>
          <w:t>401</w:t>
        </w:r>
        <w:r w:rsidR="00EC35C4">
          <w:rPr>
            <w:noProof/>
            <w:webHidden/>
          </w:rPr>
          <w:fldChar w:fldCharType="end"/>
        </w:r>
      </w:hyperlink>
    </w:p>
    <w:p w14:paraId="7FD4E42E" w14:textId="6E6AE790" w:rsidR="00EC35C4" w:rsidRDefault="00236244">
      <w:pPr>
        <w:pStyle w:val="TOC1"/>
        <w:rPr>
          <w:rFonts w:eastAsiaTheme="minorEastAsia" w:cstheme="minorBidi"/>
          <w:b w:val="0"/>
          <w:noProof/>
          <w:color w:val="auto"/>
          <w:sz w:val="22"/>
          <w:szCs w:val="22"/>
          <w:lang w:eastAsia="en-GB"/>
        </w:rPr>
      </w:pPr>
      <w:hyperlink w:anchor="_Toc145412810" w:history="1">
        <w:r w:rsidR="00EC35C4" w:rsidRPr="00503338">
          <w:rPr>
            <w:rStyle w:val="Hyperlink"/>
            <w:noProof/>
          </w:rPr>
          <w:t>Schedule 26: Service Continuity Plan and Corporate Resolution Planning</w:t>
        </w:r>
        <w:r w:rsidR="00EC35C4">
          <w:rPr>
            <w:noProof/>
            <w:webHidden/>
          </w:rPr>
          <w:tab/>
        </w:r>
        <w:r w:rsidR="00EC35C4">
          <w:rPr>
            <w:noProof/>
            <w:webHidden/>
          </w:rPr>
          <w:fldChar w:fldCharType="begin"/>
        </w:r>
        <w:r w:rsidR="00EC35C4">
          <w:rPr>
            <w:noProof/>
            <w:webHidden/>
          </w:rPr>
          <w:instrText xml:space="preserve"> PAGEREF _Toc145412810 \h </w:instrText>
        </w:r>
        <w:r w:rsidR="00EC35C4">
          <w:rPr>
            <w:noProof/>
            <w:webHidden/>
          </w:rPr>
        </w:r>
        <w:r w:rsidR="00EC35C4">
          <w:rPr>
            <w:noProof/>
            <w:webHidden/>
          </w:rPr>
          <w:fldChar w:fldCharType="separate"/>
        </w:r>
        <w:r w:rsidR="007A1473">
          <w:rPr>
            <w:noProof/>
            <w:webHidden/>
          </w:rPr>
          <w:t>412</w:t>
        </w:r>
        <w:r w:rsidR="00EC35C4">
          <w:rPr>
            <w:noProof/>
            <w:webHidden/>
          </w:rPr>
          <w:fldChar w:fldCharType="end"/>
        </w:r>
      </w:hyperlink>
    </w:p>
    <w:p w14:paraId="2542AF8D" w14:textId="0C99455E" w:rsidR="00EC35C4" w:rsidRDefault="00236244">
      <w:pPr>
        <w:pStyle w:val="TOC2"/>
        <w:rPr>
          <w:rFonts w:eastAsiaTheme="minorEastAsia" w:cstheme="minorBidi"/>
          <w:noProof/>
          <w:sz w:val="22"/>
          <w:szCs w:val="22"/>
          <w:lang w:eastAsia="en-GB"/>
        </w:rPr>
      </w:pPr>
      <w:hyperlink w:anchor="_Toc145412811" w:history="1">
        <w:r w:rsidR="00EC35C4" w:rsidRPr="00503338">
          <w:rPr>
            <w:rStyle w:val="Hyperlink"/>
            <w:noProof/>
          </w:rPr>
          <w:t>Part A: Service Continuity Plan</w:t>
        </w:r>
        <w:r w:rsidR="00EC35C4">
          <w:rPr>
            <w:noProof/>
            <w:webHidden/>
          </w:rPr>
          <w:tab/>
        </w:r>
        <w:r w:rsidR="00EC35C4">
          <w:rPr>
            <w:noProof/>
            <w:webHidden/>
          </w:rPr>
          <w:fldChar w:fldCharType="begin"/>
        </w:r>
        <w:r w:rsidR="00EC35C4">
          <w:rPr>
            <w:noProof/>
            <w:webHidden/>
          </w:rPr>
          <w:instrText xml:space="preserve"> PAGEREF _Toc145412811 \h </w:instrText>
        </w:r>
        <w:r w:rsidR="00EC35C4">
          <w:rPr>
            <w:noProof/>
            <w:webHidden/>
          </w:rPr>
        </w:r>
        <w:r w:rsidR="00EC35C4">
          <w:rPr>
            <w:noProof/>
            <w:webHidden/>
          </w:rPr>
          <w:fldChar w:fldCharType="separate"/>
        </w:r>
        <w:r w:rsidR="007A1473">
          <w:rPr>
            <w:noProof/>
            <w:webHidden/>
          </w:rPr>
          <w:t>412</w:t>
        </w:r>
        <w:r w:rsidR="00EC35C4">
          <w:rPr>
            <w:noProof/>
            <w:webHidden/>
          </w:rPr>
          <w:fldChar w:fldCharType="end"/>
        </w:r>
      </w:hyperlink>
    </w:p>
    <w:p w14:paraId="0A556B00" w14:textId="73FE294E" w:rsidR="00EC35C4" w:rsidRDefault="00236244">
      <w:pPr>
        <w:pStyle w:val="TOC2"/>
        <w:rPr>
          <w:rFonts w:eastAsiaTheme="minorEastAsia" w:cstheme="minorBidi"/>
          <w:noProof/>
          <w:sz w:val="22"/>
          <w:szCs w:val="22"/>
          <w:lang w:eastAsia="en-GB"/>
        </w:rPr>
      </w:pPr>
      <w:hyperlink w:anchor="_Toc145412812" w:history="1">
        <w:r w:rsidR="00EC35C4" w:rsidRPr="00503338">
          <w:rPr>
            <w:rStyle w:val="Hyperlink"/>
            <w:noProof/>
          </w:rPr>
          <w:t>Part B: Corporate Resolution Planning</w:t>
        </w:r>
        <w:r w:rsidR="00EC35C4">
          <w:rPr>
            <w:noProof/>
            <w:webHidden/>
          </w:rPr>
          <w:tab/>
        </w:r>
        <w:r w:rsidR="00EC35C4">
          <w:rPr>
            <w:noProof/>
            <w:webHidden/>
          </w:rPr>
          <w:fldChar w:fldCharType="begin"/>
        </w:r>
        <w:r w:rsidR="00EC35C4">
          <w:rPr>
            <w:noProof/>
            <w:webHidden/>
          </w:rPr>
          <w:instrText xml:space="preserve"> PAGEREF _Toc145412812 \h </w:instrText>
        </w:r>
        <w:r w:rsidR="00EC35C4">
          <w:rPr>
            <w:noProof/>
            <w:webHidden/>
          </w:rPr>
        </w:r>
        <w:r w:rsidR="00EC35C4">
          <w:rPr>
            <w:noProof/>
            <w:webHidden/>
          </w:rPr>
          <w:fldChar w:fldCharType="separate"/>
        </w:r>
        <w:r w:rsidR="007A1473">
          <w:rPr>
            <w:noProof/>
            <w:webHidden/>
          </w:rPr>
          <w:t>422</w:t>
        </w:r>
        <w:r w:rsidR="00EC35C4">
          <w:rPr>
            <w:noProof/>
            <w:webHidden/>
          </w:rPr>
          <w:fldChar w:fldCharType="end"/>
        </w:r>
      </w:hyperlink>
    </w:p>
    <w:p w14:paraId="09F68A03" w14:textId="68777E9F" w:rsidR="00EC35C4" w:rsidRDefault="00236244">
      <w:pPr>
        <w:pStyle w:val="TOC2"/>
        <w:rPr>
          <w:rFonts w:eastAsiaTheme="minorEastAsia" w:cstheme="minorBidi"/>
          <w:noProof/>
          <w:sz w:val="22"/>
          <w:szCs w:val="22"/>
          <w:lang w:eastAsia="en-GB"/>
        </w:rPr>
      </w:pPr>
      <w:hyperlink w:anchor="_Toc145412813" w:history="1">
        <w:r w:rsidR="00EC35C4" w:rsidRPr="00503338">
          <w:rPr>
            <w:rStyle w:val="Hyperlink"/>
            <w:noProof/>
            <w:lang w:val="fr-FR"/>
          </w:rPr>
          <w:t>Annex 1: Exposure Information (Contracts List)</w:t>
        </w:r>
        <w:r w:rsidR="00EC35C4">
          <w:rPr>
            <w:noProof/>
            <w:webHidden/>
          </w:rPr>
          <w:tab/>
        </w:r>
        <w:r w:rsidR="00EC35C4">
          <w:rPr>
            <w:noProof/>
            <w:webHidden/>
          </w:rPr>
          <w:fldChar w:fldCharType="begin"/>
        </w:r>
        <w:r w:rsidR="00EC35C4">
          <w:rPr>
            <w:noProof/>
            <w:webHidden/>
          </w:rPr>
          <w:instrText xml:space="preserve"> PAGEREF _Toc145412813 \h </w:instrText>
        </w:r>
        <w:r w:rsidR="00EC35C4">
          <w:rPr>
            <w:noProof/>
            <w:webHidden/>
          </w:rPr>
        </w:r>
        <w:r w:rsidR="00EC35C4">
          <w:rPr>
            <w:noProof/>
            <w:webHidden/>
          </w:rPr>
          <w:fldChar w:fldCharType="separate"/>
        </w:r>
        <w:r w:rsidR="007A1473">
          <w:rPr>
            <w:noProof/>
            <w:webHidden/>
          </w:rPr>
          <w:t>427</w:t>
        </w:r>
        <w:r w:rsidR="00EC35C4">
          <w:rPr>
            <w:noProof/>
            <w:webHidden/>
          </w:rPr>
          <w:fldChar w:fldCharType="end"/>
        </w:r>
      </w:hyperlink>
    </w:p>
    <w:p w14:paraId="5219529B" w14:textId="2E0A326C" w:rsidR="00EC35C4" w:rsidRDefault="00236244">
      <w:pPr>
        <w:pStyle w:val="TOC2"/>
        <w:rPr>
          <w:rFonts w:eastAsiaTheme="minorEastAsia" w:cstheme="minorBidi"/>
          <w:noProof/>
          <w:sz w:val="22"/>
          <w:szCs w:val="22"/>
          <w:lang w:eastAsia="en-GB"/>
        </w:rPr>
      </w:pPr>
      <w:hyperlink w:anchor="_Toc145412814" w:history="1">
        <w:r w:rsidR="00EC35C4" w:rsidRPr="00503338">
          <w:rPr>
            <w:rStyle w:val="Hyperlink"/>
            <w:noProof/>
          </w:rPr>
          <w:t>Annex 2: Corporate Resolvability Assessment (Structural Review)</w:t>
        </w:r>
        <w:r w:rsidR="00EC35C4">
          <w:rPr>
            <w:noProof/>
            <w:webHidden/>
          </w:rPr>
          <w:tab/>
        </w:r>
        <w:r w:rsidR="00EC35C4">
          <w:rPr>
            <w:noProof/>
            <w:webHidden/>
          </w:rPr>
          <w:fldChar w:fldCharType="begin"/>
        </w:r>
        <w:r w:rsidR="00EC35C4">
          <w:rPr>
            <w:noProof/>
            <w:webHidden/>
          </w:rPr>
          <w:instrText xml:space="preserve"> PAGEREF _Toc145412814 \h </w:instrText>
        </w:r>
        <w:r w:rsidR="00EC35C4">
          <w:rPr>
            <w:noProof/>
            <w:webHidden/>
          </w:rPr>
        </w:r>
        <w:r w:rsidR="00EC35C4">
          <w:rPr>
            <w:noProof/>
            <w:webHidden/>
          </w:rPr>
          <w:fldChar w:fldCharType="separate"/>
        </w:r>
        <w:r w:rsidR="007A1473">
          <w:rPr>
            <w:noProof/>
            <w:webHidden/>
          </w:rPr>
          <w:t>428</w:t>
        </w:r>
        <w:r w:rsidR="00EC35C4">
          <w:rPr>
            <w:noProof/>
            <w:webHidden/>
          </w:rPr>
          <w:fldChar w:fldCharType="end"/>
        </w:r>
      </w:hyperlink>
    </w:p>
    <w:p w14:paraId="3082E305" w14:textId="3CD7C8DA" w:rsidR="00EC35C4" w:rsidRDefault="00236244">
      <w:pPr>
        <w:pStyle w:val="TOC2"/>
        <w:rPr>
          <w:rFonts w:eastAsiaTheme="minorEastAsia" w:cstheme="minorBidi"/>
          <w:noProof/>
          <w:sz w:val="22"/>
          <w:szCs w:val="22"/>
          <w:lang w:eastAsia="en-GB"/>
        </w:rPr>
      </w:pPr>
      <w:hyperlink w:anchor="_Toc145412815" w:history="1">
        <w:r w:rsidR="00EC35C4" w:rsidRPr="00503338">
          <w:rPr>
            <w:rStyle w:val="Hyperlink"/>
            <w:noProof/>
          </w:rPr>
          <w:t>Annex 3: Financial Information And Commentary</w:t>
        </w:r>
        <w:r w:rsidR="00EC35C4">
          <w:rPr>
            <w:noProof/>
            <w:webHidden/>
          </w:rPr>
          <w:tab/>
        </w:r>
        <w:r w:rsidR="00EC35C4">
          <w:rPr>
            <w:noProof/>
            <w:webHidden/>
          </w:rPr>
          <w:fldChar w:fldCharType="begin"/>
        </w:r>
        <w:r w:rsidR="00EC35C4">
          <w:rPr>
            <w:noProof/>
            <w:webHidden/>
          </w:rPr>
          <w:instrText xml:space="preserve"> PAGEREF _Toc145412815 \h </w:instrText>
        </w:r>
        <w:r w:rsidR="00EC35C4">
          <w:rPr>
            <w:noProof/>
            <w:webHidden/>
          </w:rPr>
        </w:r>
        <w:r w:rsidR="00EC35C4">
          <w:rPr>
            <w:noProof/>
            <w:webHidden/>
          </w:rPr>
          <w:fldChar w:fldCharType="separate"/>
        </w:r>
        <w:r w:rsidR="007A1473">
          <w:rPr>
            <w:noProof/>
            <w:webHidden/>
          </w:rPr>
          <w:t>429</w:t>
        </w:r>
        <w:r w:rsidR="00EC35C4">
          <w:rPr>
            <w:noProof/>
            <w:webHidden/>
          </w:rPr>
          <w:fldChar w:fldCharType="end"/>
        </w:r>
      </w:hyperlink>
    </w:p>
    <w:p w14:paraId="284C0112" w14:textId="0A46AE7A" w:rsidR="00EC35C4" w:rsidRDefault="00236244">
      <w:pPr>
        <w:pStyle w:val="TOC1"/>
        <w:rPr>
          <w:rFonts w:eastAsiaTheme="minorEastAsia" w:cstheme="minorBidi"/>
          <w:b w:val="0"/>
          <w:noProof/>
          <w:color w:val="auto"/>
          <w:sz w:val="22"/>
          <w:szCs w:val="22"/>
          <w:lang w:eastAsia="en-GB"/>
        </w:rPr>
      </w:pPr>
      <w:hyperlink w:anchor="_Toc145412816" w:history="1">
        <w:r w:rsidR="00EC35C4" w:rsidRPr="00503338">
          <w:rPr>
            <w:rStyle w:val="Hyperlink"/>
            <w:noProof/>
          </w:rPr>
          <w:t>Schedule 27: Conduct of Claims</w:t>
        </w:r>
        <w:r w:rsidR="00EC35C4">
          <w:rPr>
            <w:noProof/>
            <w:webHidden/>
          </w:rPr>
          <w:tab/>
        </w:r>
        <w:r w:rsidR="00EC35C4">
          <w:rPr>
            <w:noProof/>
            <w:webHidden/>
          </w:rPr>
          <w:fldChar w:fldCharType="begin"/>
        </w:r>
        <w:r w:rsidR="00EC35C4">
          <w:rPr>
            <w:noProof/>
            <w:webHidden/>
          </w:rPr>
          <w:instrText xml:space="preserve"> PAGEREF _Toc145412816 \h </w:instrText>
        </w:r>
        <w:r w:rsidR="00EC35C4">
          <w:rPr>
            <w:noProof/>
            <w:webHidden/>
          </w:rPr>
        </w:r>
        <w:r w:rsidR="00EC35C4">
          <w:rPr>
            <w:noProof/>
            <w:webHidden/>
          </w:rPr>
          <w:fldChar w:fldCharType="separate"/>
        </w:r>
        <w:r w:rsidR="007A1473">
          <w:rPr>
            <w:noProof/>
            <w:webHidden/>
          </w:rPr>
          <w:t>431</w:t>
        </w:r>
        <w:r w:rsidR="00EC35C4">
          <w:rPr>
            <w:noProof/>
            <w:webHidden/>
          </w:rPr>
          <w:fldChar w:fldCharType="end"/>
        </w:r>
      </w:hyperlink>
    </w:p>
    <w:p w14:paraId="06D1E99B" w14:textId="21892670" w:rsidR="00EC35C4" w:rsidRDefault="00236244">
      <w:pPr>
        <w:pStyle w:val="TOC1"/>
        <w:rPr>
          <w:rFonts w:eastAsiaTheme="minorEastAsia" w:cstheme="minorBidi"/>
          <w:b w:val="0"/>
          <w:noProof/>
          <w:color w:val="auto"/>
          <w:sz w:val="22"/>
          <w:szCs w:val="22"/>
          <w:lang w:eastAsia="en-GB"/>
        </w:rPr>
      </w:pPr>
      <w:hyperlink w:anchor="_Toc145412817" w:history="1">
        <w:r w:rsidR="00EC35C4" w:rsidRPr="00503338">
          <w:rPr>
            <w:rStyle w:val="Hyperlink"/>
            <w:noProof/>
          </w:rPr>
          <w:t>Schedule 28: Staff Transfer</w:t>
        </w:r>
        <w:r w:rsidR="00EC35C4">
          <w:rPr>
            <w:noProof/>
            <w:webHidden/>
          </w:rPr>
          <w:tab/>
        </w:r>
        <w:r w:rsidR="00EC35C4">
          <w:rPr>
            <w:noProof/>
            <w:webHidden/>
          </w:rPr>
          <w:fldChar w:fldCharType="begin"/>
        </w:r>
        <w:r w:rsidR="00EC35C4">
          <w:rPr>
            <w:noProof/>
            <w:webHidden/>
          </w:rPr>
          <w:instrText xml:space="preserve"> PAGEREF _Toc145412817 \h </w:instrText>
        </w:r>
        <w:r w:rsidR="00EC35C4">
          <w:rPr>
            <w:noProof/>
            <w:webHidden/>
          </w:rPr>
        </w:r>
        <w:r w:rsidR="00EC35C4">
          <w:rPr>
            <w:noProof/>
            <w:webHidden/>
          </w:rPr>
          <w:fldChar w:fldCharType="separate"/>
        </w:r>
        <w:r w:rsidR="007A1473">
          <w:rPr>
            <w:noProof/>
            <w:webHidden/>
          </w:rPr>
          <w:t>434</w:t>
        </w:r>
        <w:r w:rsidR="00EC35C4">
          <w:rPr>
            <w:noProof/>
            <w:webHidden/>
          </w:rPr>
          <w:fldChar w:fldCharType="end"/>
        </w:r>
      </w:hyperlink>
    </w:p>
    <w:p w14:paraId="3DFB9F86" w14:textId="4732A4CE" w:rsidR="00EC35C4" w:rsidRDefault="00236244">
      <w:pPr>
        <w:pStyle w:val="TOC2"/>
        <w:rPr>
          <w:rFonts w:eastAsiaTheme="minorEastAsia" w:cstheme="minorBidi"/>
          <w:noProof/>
          <w:sz w:val="22"/>
          <w:szCs w:val="22"/>
          <w:lang w:eastAsia="en-GB"/>
        </w:rPr>
      </w:pPr>
      <w:hyperlink w:anchor="_Toc145412818" w:history="1">
        <w:r w:rsidR="00EC35C4" w:rsidRPr="00503338">
          <w:rPr>
            <w:rStyle w:val="Hyperlink"/>
            <w:noProof/>
          </w:rPr>
          <w:t>Part A: Transferring Authority Employees at Commencement of Services</w:t>
        </w:r>
        <w:r w:rsidR="00EC35C4">
          <w:rPr>
            <w:noProof/>
            <w:webHidden/>
          </w:rPr>
          <w:tab/>
        </w:r>
        <w:r w:rsidR="00EC35C4">
          <w:rPr>
            <w:noProof/>
            <w:webHidden/>
          </w:rPr>
          <w:fldChar w:fldCharType="begin"/>
        </w:r>
        <w:r w:rsidR="00EC35C4">
          <w:rPr>
            <w:noProof/>
            <w:webHidden/>
          </w:rPr>
          <w:instrText xml:space="preserve"> PAGEREF _Toc145412818 \h </w:instrText>
        </w:r>
        <w:r w:rsidR="00EC35C4">
          <w:rPr>
            <w:noProof/>
            <w:webHidden/>
          </w:rPr>
        </w:r>
        <w:r w:rsidR="00EC35C4">
          <w:rPr>
            <w:noProof/>
            <w:webHidden/>
          </w:rPr>
          <w:fldChar w:fldCharType="separate"/>
        </w:r>
        <w:r w:rsidR="007A1473">
          <w:rPr>
            <w:noProof/>
            <w:webHidden/>
          </w:rPr>
          <w:t>437</w:t>
        </w:r>
        <w:r w:rsidR="00EC35C4">
          <w:rPr>
            <w:noProof/>
            <w:webHidden/>
          </w:rPr>
          <w:fldChar w:fldCharType="end"/>
        </w:r>
      </w:hyperlink>
    </w:p>
    <w:p w14:paraId="7923A4B4" w14:textId="1ED8C762" w:rsidR="00EC35C4" w:rsidRDefault="00236244">
      <w:pPr>
        <w:pStyle w:val="TOC2"/>
        <w:rPr>
          <w:rFonts w:eastAsiaTheme="minorEastAsia" w:cstheme="minorBidi"/>
          <w:noProof/>
          <w:sz w:val="22"/>
          <w:szCs w:val="22"/>
          <w:lang w:eastAsia="en-GB"/>
        </w:rPr>
      </w:pPr>
      <w:hyperlink w:anchor="_Toc145412819" w:history="1">
        <w:r w:rsidR="00EC35C4" w:rsidRPr="00503338">
          <w:rPr>
            <w:rStyle w:val="Hyperlink"/>
            <w:noProof/>
          </w:rPr>
          <w:t>Part B: Transferring Former Supplier Employees at Commencement of Services</w:t>
        </w:r>
        <w:r w:rsidR="00EC35C4">
          <w:rPr>
            <w:noProof/>
            <w:webHidden/>
          </w:rPr>
          <w:tab/>
        </w:r>
        <w:r w:rsidR="00EC35C4">
          <w:rPr>
            <w:noProof/>
            <w:webHidden/>
          </w:rPr>
          <w:fldChar w:fldCharType="begin"/>
        </w:r>
        <w:r w:rsidR="00EC35C4">
          <w:rPr>
            <w:noProof/>
            <w:webHidden/>
          </w:rPr>
          <w:instrText xml:space="preserve"> PAGEREF _Toc145412819 \h </w:instrText>
        </w:r>
        <w:r w:rsidR="00EC35C4">
          <w:rPr>
            <w:noProof/>
            <w:webHidden/>
          </w:rPr>
        </w:r>
        <w:r w:rsidR="00EC35C4">
          <w:rPr>
            <w:noProof/>
            <w:webHidden/>
          </w:rPr>
          <w:fldChar w:fldCharType="separate"/>
        </w:r>
        <w:r w:rsidR="007A1473">
          <w:rPr>
            <w:noProof/>
            <w:webHidden/>
          </w:rPr>
          <w:t>443</w:t>
        </w:r>
        <w:r w:rsidR="00EC35C4">
          <w:rPr>
            <w:noProof/>
            <w:webHidden/>
          </w:rPr>
          <w:fldChar w:fldCharType="end"/>
        </w:r>
      </w:hyperlink>
    </w:p>
    <w:p w14:paraId="6772831A" w14:textId="415E00BB" w:rsidR="00EC35C4" w:rsidRDefault="00236244">
      <w:pPr>
        <w:pStyle w:val="TOC2"/>
        <w:rPr>
          <w:rFonts w:eastAsiaTheme="minorEastAsia" w:cstheme="minorBidi"/>
          <w:noProof/>
          <w:sz w:val="22"/>
          <w:szCs w:val="22"/>
          <w:lang w:eastAsia="en-GB"/>
        </w:rPr>
      </w:pPr>
      <w:hyperlink w:anchor="_Toc145412820" w:history="1">
        <w:r w:rsidR="00EC35C4" w:rsidRPr="00503338">
          <w:rPr>
            <w:rStyle w:val="Hyperlink"/>
            <w:noProof/>
          </w:rPr>
          <w:t>Part C: No Transfer of Employees Expected at Commencement of Services</w:t>
        </w:r>
        <w:r w:rsidR="00EC35C4">
          <w:rPr>
            <w:noProof/>
            <w:webHidden/>
          </w:rPr>
          <w:tab/>
        </w:r>
        <w:r w:rsidR="00EC35C4">
          <w:rPr>
            <w:noProof/>
            <w:webHidden/>
          </w:rPr>
          <w:fldChar w:fldCharType="begin"/>
        </w:r>
        <w:r w:rsidR="00EC35C4">
          <w:rPr>
            <w:noProof/>
            <w:webHidden/>
          </w:rPr>
          <w:instrText xml:space="preserve"> PAGEREF _Toc145412820 \h </w:instrText>
        </w:r>
        <w:r w:rsidR="00EC35C4">
          <w:rPr>
            <w:noProof/>
            <w:webHidden/>
          </w:rPr>
        </w:r>
        <w:r w:rsidR="00EC35C4">
          <w:rPr>
            <w:noProof/>
            <w:webHidden/>
          </w:rPr>
          <w:fldChar w:fldCharType="separate"/>
        </w:r>
        <w:r w:rsidR="007A1473">
          <w:rPr>
            <w:noProof/>
            <w:webHidden/>
          </w:rPr>
          <w:t>450</w:t>
        </w:r>
        <w:r w:rsidR="00EC35C4">
          <w:rPr>
            <w:noProof/>
            <w:webHidden/>
          </w:rPr>
          <w:fldChar w:fldCharType="end"/>
        </w:r>
      </w:hyperlink>
    </w:p>
    <w:p w14:paraId="2F1C6413" w14:textId="41FA0B77" w:rsidR="00EC35C4" w:rsidRDefault="00236244">
      <w:pPr>
        <w:pStyle w:val="TOC2"/>
        <w:rPr>
          <w:rFonts w:eastAsiaTheme="minorEastAsia" w:cstheme="minorBidi"/>
          <w:noProof/>
          <w:sz w:val="22"/>
          <w:szCs w:val="22"/>
          <w:lang w:eastAsia="en-GB"/>
        </w:rPr>
      </w:pPr>
      <w:hyperlink w:anchor="_Toc145412821" w:history="1">
        <w:r w:rsidR="00EC35C4" w:rsidRPr="00503338">
          <w:rPr>
            <w:rStyle w:val="Hyperlink"/>
            <w:noProof/>
          </w:rPr>
          <w:t>Part D: Pensions</w:t>
        </w:r>
        <w:r w:rsidR="00EC35C4">
          <w:rPr>
            <w:noProof/>
            <w:webHidden/>
          </w:rPr>
          <w:tab/>
        </w:r>
        <w:r w:rsidR="00EC35C4">
          <w:rPr>
            <w:noProof/>
            <w:webHidden/>
          </w:rPr>
          <w:fldChar w:fldCharType="begin"/>
        </w:r>
        <w:r w:rsidR="00EC35C4">
          <w:rPr>
            <w:noProof/>
            <w:webHidden/>
          </w:rPr>
          <w:instrText xml:space="preserve"> PAGEREF _Toc145412821 \h </w:instrText>
        </w:r>
        <w:r w:rsidR="00EC35C4">
          <w:rPr>
            <w:noProof/>
            <w:webHidden/>
          </w:rPr>
        </w:r>
        <w:r w:rsidR="00EC35C4">
          <w:rPr>
            <w:noProof/>
            <w:webHidden/>
          </w:rPr>
          <w:fldChar w:fldCharType="separate"/>
        </w:r>
        <w:r w:rsidR="007A1473">
          <w:rPr>
            <w:noProof/>
            <w:webHidden/>
          </w:rPr>
          <w:t>453</w:t>
        </w:r>
        <w:r w:rsidR="00EC35C4">
          <w:rPr>
            <w:noProof/>
            <w:webHidden/>
          </w:rPr>
          <w:fldChar w:fldCharType="end"/>
        </w:r>
      </w:hyperlink>
    </w:p>
    <w:p w14:paraId="6F37E865" w14:textId="1FB1F970" w:rsidR="00EC35C4" w:rsidRDefault="00236244">
      <w:pPr>
        <w:pStyle w:val="TOC2"/>
        <w:rPr>
          <w:rFonts w:eastAsiaTheme="minorEastAsia" w:cstheme="minorBidi"/>
          <w:noProof/>
          <w:sz w:val="22"/>
          <w:szCs w:val="22"/>
          <w:lang w:eastAsia="en-GB"/>
        </w:rPr>
      </w:pPr>
      <w:hyperlink w:anchor="_Toc145412822" w:history="1">
        <w:r w:rsidR="00EC35C4" w:rsidRPr="00503338">
          <w:rPr>
            <w:rStyle w:val="Hyperlink"/>
            <w:noProof/>
          </w:rPr>
          <w:t>Annex D1: CSPS</w:t>
        </w:r>
        <w:r w:rsidR="00EC35C4">
          <w:rPr>
            <w:noProof/>
            <w:webHidden/>
          </w:rPr>
          <w:tab/>
        </w:r>
        <w:r w:rsidR="00EC35C4">
          <w:rPr>
            <w:noProof/>
            <w:webHidden/>
          </w:rPr>
          <w:fldChar w:fldCharType="begin"/>
        </w:r>
        <w:r w:rsidR="00EC35C4">
          <w:rPr>
            <w:noProof/>
            <w:webHidden/>
          </w:rPr>
          <w:instrText xml:space="preserve"> PAGEREF _Toc145412822 \h </w:instrText>
        </w:r>
        <w:r w:rsidR="00EC35C4">
          <w:rPr>
            <w:noProof/>
            <w:webHidden/>
          </w:rPr>
        </w:r>
        <w:r w:rsidR="00EC35C4">
          <w:rPr>
            <w:noProof/>
            <w:webHidden/>
          </w:rPr>
          <w:fldChar w:fldCharType="separate"/>
        </w:r>
        <w:r w:rsidR="007A1473">
          <w:rPr>
            <w:noProof/>
            <w:webHidden/>
          </w:rPr>
          <w:t>463</w:t>
        </w:r>
        <w:r w:rsidR="00EC35C4">
          <w:rPr>
            <w:noProof/>
            <w:webHidden/>
          </w:rPr>
          <w:fldChar w:fldCharType="end"/>
        </w:r>
      </w:hyperlink>
    </w:p>
    <w:p w14:paraId="4EDB4D12" w14:textId="65BC932B" w:rsidR="00EC35C4" w:rsidRDefault="00236244">
      <w:pPr>
        <w:pStyle w:val="TOC2"/>
        <w:rPr>
          <w:rFonts w:eastAsiaTheme="minorEastAsia" w:cstheme="minorBidi"/>
          <w:noProof/>
          <w:sz w:val="22"/>
          <w:szCs w:val="22"/>
          <w:lang w:eastAsia="en-GB"/>
        </w:rPr>
      </w:pPr>
      <w:hyperlink w:anchor="_Toc145412823" w:history="1">
        <w:r w:rsidR="00EC35C4" w:rsidRPr="00503338">
          <w:rPr>
            <w:rStyle w:val="Hyperlink"/>
            <w:noProof/>
          </w:rPr>
          <w:t>Annex D2: NHSPS</w:t>
        </w:r>
        <w:r w:rsidR="00EC35C4">
          <w:rPr>
            <w:noProof/>
            <w:webHidden/>
          </w:rPr>
          <w:tab/>
        </w:r>
        <w:r w:rsidR="00EC35C4">
          <w:rPr>
            <w:noProof/>
            <w:webHidden/>
          </w:rPr>
          <w:fldChar w:fldCharType="begin"/>
        </w:r>
        <w:r w:rsidR="00EC35C4">
          <w:rPr>
            <w:noProof/>
            <w:webHidden/>
          </w:rPr>
          <w:instrText xml:space="preserve"> PAGEREF _Toc145412823 \h </w:instrText>
        </w:r>
        <w:r w:rsidR="00EC35C4">
          <w:rPr>
            <w:noProof/>
            <w:webHidden/>
          </w:rPr>
        </w:r>
        <w:r w:rsidR="00EC35C4">
          <w:rPr>
            <w:noProof/>
            <w:webHidden/>
          </w:rPr>
          <w:fldChar w:fldCharType="separate"/>
        </w:r>
        <w:r w:rsidR="007A1473">
          <w:rPr>
            <w:noProof/>
            <w:webHidden/>
          </w:rPr>
          <w:t>465</w:t>
        </w:r>
        <w:r w:rsidR="00EC35C4">
          <w:rPr>
            <w:noProof/>
            <w:webHidden/>
          </w:rPr>
          <w:fldChar w:fldCharType="end"/>
        </w:r>
      </w:hyperlink>
    </w:p>
    <w:p w14:paraId="4E289869" w14:textId="1551E51C" w:rsidR="00EC35C4" w:rsidRDefault="00236244">
      <w:pPr>
        <w:pStyle w:val="TOC2"/>
        <w:rPr>
          <w:rFonts w:eastAsiaTheme="minorEastAsia" w:cstheme="minorBidi"/>
          <w:noProof/>
          <w:sz w:val="22"/>
          <w:szCs w:val="22"/>
          <w:lang w:eastAsia="en-GB"/>
        </w:rPr>
      </w:pPr>
      <w:hyperlink w:anchor="_Toc145412824" w:history="1">
        <w:r w:rsidR="00EC35C4" w:rsidRPr="00503338">
          <w:rPr>
            <w:rStyle w:val="Hyperlink"/>
            <w:noProof/>
          </w:rPr>
          <w:t>Annex D3: LGPS</w:t>
        </w:r>
        <w:r w:rsidR="00EC35C4">
          <w:rPr>
            <w:noProof/>
            <w:webHidden/>
          </w:rPr>
          <w:tab/>
        </w:r>
        <w:r w:rsidR="00EC35C4">
          <w:rPr>
            <w:noProof/>
            <w:webHidden/>
          </w:rPr>
          <w:fldChar w:fldCharType="begin"/>
        </w:r>
        <w:r w:rsidR="00EC35C4">
          <w:rPr>
            <w:noProof/>
            <w:webHidden/>
          </w:rPr>
          <w:instrText xml:space="preserve"> PAGEREF _Toc145412824 \h </w:instrText>
        </w:r>
        <w:r w:rsidR="00EC35C4">
          <w:rPr>
            <w:noProof/>
            <w:webHidden/>
          </w:rPr>
        </w:r>
        <w:r w:rsidR="00EC35C4">
          <w:rPr>
            <w:noProof/>
            <w:webHidden/>
          </w:rPr>
          <w:fldChar w:fldCharType="separate"/>
        </w:r>
        <w:r w:rsidR="007A1473">
          <w:rPr>
            <w:noProof/>
            <w:webHidden/>
          </w:rPr>
          <w:t>470</w:t>
        </w:r>
        <w:r w:rsidR="00EC35C4">
          <w:rPr>
            <w:noProof/>
            <w:webHidden/>
          </w:rPr>
          <w:fldChar w:fldCharType="end"/>
        </w:r>
      </w:hyperlink>
    </w:p>
    <w:p w14:paraId="066BCB11" w14:textId="0362106D" w:rsidR="00EC35C4" w:rsidRDefault="00236244">
      <w:pPr>
        <w:pStyle w:val="TOC2"/>
        <w:rPr>
          <w:rFonts w:eastAsiaTheme="minorEastAsia" w:cstheme="minorBidi"/>
          <w:noProof/>
          <w:sz w:val="22"/>
          <w:szCs w:val="22"/>
          <w:lang w:eastAsia="en-GB"/>
        </w:rPr>
      </w:pPr>
      <w:hyperlink w:anchor="_Toc145412825" w:history="1">
        <w:r w:rsidR="00EC35C4" w:rsidRPr="00503338">
          <w:rPr>
            <w:rStyle w:val="Hyperlink"/>
            <w:noProof/>
            <w:lang w:eastAsia="en-GB"/>
          </w:rPr>
          <w:t>Annex D4:</w:t>
        </w:r>
        <w:r w:rsidR="00EC35C4" w:rsidRPr="00503338">
          <w:rPr>
            <w:rStyle w:val="Hyperlink"/>
            <w:noProof/>
          </w:rPr>
          <w:t xml:space="preserve"> </w:t>
        </w:r>
        <w:r w:rsidR="00EC35C4" w:rsidRPr="00503338">
          <w:rPr>
            <w:rStyle w:val="Hyperlink"/>
            <w:noProof/>
            <w:lang w:eastAsia="en-GB"/>
          </w:rPr>
          <w:t>Other Schemes</w:t>
        </w:r>
        <w:r w:rsidR="00EC35C4">
          <w:rPr>
            <w:noProof/>
            <w:webHidden/>
          </w:rPr>
          <w:tab/>
        </w:r>
        <w:r w:rsidR="00EC35C4">
          <w:rPr>
            <w:noProof/>
            <w:webHidden/>
          </w:rPr>
          <w:fldChar w:fldCharType="begin"/>
        </w:r>
        <w:r w:rsidR="00EC35C4">
          <w:rPr>
            <w:noProof/>
            <w:webHidden/>
          </w:rPr>
          <w:instrText xml:space="preserve"> PAGEREF _Toc145412825 \h </w:instrText>
        </w:r>
        <w:r w:rsidR="00EC35C4">
          <w:rPr>
            <w:noProof/>
            <w:webHidden/>
          </w:rPr>
        </w:r>
        <w:r w:rsidR="00EC35C4">
          <w:rPr>
            <w:noProof/>
            <w:webHidden/>
          </w:rPr>
          <w:fldChar w:fldCharType="separate"/>
        </w:r>
        <w:r w:rsidR="007A1473">
          <w:rPr>
            <w:noProof/>
            <w:webHidden/>
          </w:rPr>
          <w:t>476</w:t>
        </w:r>
        <w:r w:rsidR="00EC35C4">
          <w:rPr>
            <w:noProof/>
            <w:webHidden/>
          </w:rPr>
          <w:fldChar w:fldCharType="end"/>
        </w:r>
      </w:hyperlink>
    </w:p>
    <w:p w14:paraId="7059F343" w14:textId="4078E550" w:rsidR="00EC35C4" w:rsidRDefault="00236244">
      <w:pPr>
        <w:pStyle w:val="TOC2"/>
        <w:rPr>
          <w:rFonts w:eastAsiaTheme="minorEastAsia" w:cstheme="minorBidi"/>
          <w:noProof/>
          <w:sz w:val="22"/>
          <w:szCs w:val="22"/>
          <w:lang w:eastAsia="en-GB"/>
        </w:rPr>
      </w:pPr>
      <w:hyperlink w:anchor="_Toc145412826" w:history="1">
        <w:r w:rsidR="00EC35C4" w:rsidRPr="00503338">
          <w:rPr>
            <w:rStyle w:val="Hyperlink"/>
            <w:noProof/>
          </w:rPr>
          <w:t>Part E: Employment Exit Provisions</w:t>
        </w:r>
        <w:r w:rsidR="00EC35C4">
          <w:rPr>
            <w:noProof/>
            <w:webHidden/>
          </w:rPr>
          <w:tab/>
        </w:r>
        <w:r w:rsidR="00EC35C4">
          <w:rPr>
            <w:noProof/>
            <w:webHidden/>
          </w:rPr>
          <w:fldChar w:fldCharType="begin"/>
        </w:r>
        <w:r w:rsidR="00EC35C4">
          <w:rPr>
            <w:noProof/>
            <w:webHidden/>
          </w:rPr>
          <w:instrText xml:space="preserve"> PAGEREF _Toc145412826 \h </w:instrText>
        </w:r>
        <w:r w:rsidR="00EC35C4">
          <w:rPr>
            <w:noProof/>
            <w:webHidden/>
          </w:rPr>
        </w:r>
        <w:r w:rsidR="00EC35C4">
          <w:rPr>
            <w:noProof/>
            <w:webHidden/>
          </w:rPr>
          <w:fldChar w:fldCharType="separate"/>
        </w:r>
        <w:r w:rsidR="007A1473">
          <w:rPr>
            <w:noProof/>
            <w:webHidden/>
          </w:rPr>
          <w:t>477</w:t>
        </w:r>
        <w:r w:rsidR="00EC35C4">
          <w:rPr>
            <w:noProof/>
            <w:webHidden/>
          </w:rPr>
          <w:fldChar w:fldCharType="end"/>
        </w:r>
      </w:hyperlink>
    </w:p>
    <w:p w14:paraId="45D631FF" w14:textId="5BA8B51A" w:rsidR="00EC35C4" w:rsidRDefault="00236244">
      <w:pPr>
        <w:pStyle w:val="TOC2"/>
        <w:rPr>
          <w:rFonts w:eastAsiaTheme="minorEastAsia" w:cstheme="minorBidi"/>
          <w:noProof/>
          <w:sz w:val="22"/>
          <w:szCs w:val="22"/>
          <w:lang w:eastAsia="en-GB"/>
        </w:rPr>
      </w:pPr>
      <w:hyperlink w:anchor="_Toc145412827" w:history="1">
        <w:r w:rsidR="00EC35C4" w:rsidRPr="00503338">
          <w:rPr>
            <w:rStyle w:val="Hyperlink"/>
            <w:noProof/>
          </w:rPr>
          <w:t>Annex E1: List of Notified Sub-contractors</w:t>
        </w:r>
        <w:r w:rsidR="00EC35C4">
          <w:rPr>
            <w:noProof/>
            <w:webHidden/>
          </w:rPr>
          <w:tab/>
        </w:r>
        <w:r w:rsidR="00EC35C4">
          <w:rPr>
            <w:noProof/>
            <w:webHidden/>
          </w:rPr>
          <w:fldChar w:fldCharType="begin"/>
        </w:r>
        <w:r w:rsidR="00EC35C4">
          <w:rPr>
            <w:noProof/>
            <w:webHidden/>
          </w:rPr>
          <w:instrText xml:space="preserve"> PAGEREF _Toc145412827 \h </w:instrText>
        </w:r>
        <w:r w:rsidR="00EC35C4">
          <w:rPr>
            <w:noProof/>
            <w:webHidden/>
          </w:rPr>
        </w:r>
        <w:r w:rsidR="00EC35C4">
          <w:rPr>
            <w:noProof/>
            <w:webHidden/>
          </w:rPr>
          <w:fldChar w:fldCharType="separate"/>
        </w:r>
        <w:r w:rsidR="007A1473">
          <w:rPr>
            <w:noProof/>
            <w:webHidden/>
          </w:rPr>
          <w:t>485</w:t>
        </w:r>
        <w:r w:rsidR="00EC35C4">
          <w:rPr>
            <w:noProof/>
            <w:webHidden/>
          </w:rPr>
          <w:fldChar w:fldCharType="end"/>
        </w:r>
      </w:hyperlink>
    </w:p>
    <w:p w14:paraId="4548E9C4" w14:textId="7CAF8169" w:rsidR="00EC35C4" w:rsidRDefault="00236244">
      <w:pPr>
        <w:pStyle w:val="TOC2"/>
        <w:rPr>
          <w:rFonts w:eastAsiaTheme="minorEastAsia" w:cstheme="minorBidi"/>
          <w:noProof/>
          <w:sz w:val="22"/>
          <w:szCs w:val="22"/>
          <w:lang w:eastAsia="en-GB"/>
        </w:rPr>
      </w:pPr>
      <w:hyperlink w:anchor="_Toc145412828" w:history="1">
        <w:r w:rsidR="00EC35C4" w:rsidRPr="00503338">
          <w:rPr>
            <w:rStyle w:val="Hyperlink"/>
            <w:noProof/>
          </w:rPr>
          <w:t>Annex E2: Staffing Information</w:t>
        </w:r>
        <w:r w:rsidR="00EC35C4">
          <w:rPr>
            <w:noProof/>
            <w:webHidden/>
          </w:rPr>
          <w:tab/>
        </w:r>
        <w:r w:rsidR="00EC35C4">
          <w:rPr>
            <w:noProof/>
            <w:webHidden/>
          </w:rPr>
          <w:fldChar w:fldCharType="begin"/>
        </w:r>
        <w:r w:rsidR="00EC35C4">
          <w:rPr>
            <w:noProof/>
            <w:webHidden/>
          </w:rPr>
          <w:instrText xml:space="preserve"> PAGEREF _Toc145412828 \h </w:instrText>
        </w:r>
        <w:r w:rsidR="00EC35C4">
          <w:rPr>
            <w:noProof/>
            <w:webHidden/>
          </w:rPr>
        </w:r>
        <w:r w:rsidR="00EC35C4">
          <w:rPr>
            <w:noProof/>
            <w:webHidden/>
          </w:rPr>
          <w:fldChar w:fldCharType="separate"/>
        </w:r>
        <w:r w:rsidR="007A1473">
          <w:rPr>
            <w:noProof/>
            <w:webHidden/>
          </w:rPr>
          <w:t>486</w:t>
        </w:r>
        <w:r w:rsidR="00EC35C4">
          <w:rPr>
            <w:noProof/>
            <w:webHidden/>
          </w:rPr>
          <w:fldChar w:fldCharType="end"/>
        </w:r>
      </w:hyperlink>
    </w:p>
    <w:p w14:paraId="193CCDC9" w14:textId="7175A651" w:rsidR="00EC35C4" w:rsidRDefault="00236244">
      <w:pPr>
        <w:pStyle w:val="TOC1"/>
        <w:rPr>
          <w:rFonts w:eastAsiaTheme="minorEastAsia" w:cstheme="minorBidi"/>
          <w:b w:val="0"/>
          <w:noProof/>
          <w:color w:val="auto"/>
          <w:sz w:val="22"/>
          <w:szCs w:val="22"/>
          <w:lang w:eastAsia="en-GB"/>
        </w:rPr>
      </w:pPr>
      <w:hyperlink w:anchor="_Toc145412829" w:history="1">
        <w:r w:rsidR="00EC35C4" w:rsidRPr="00503338">
          <w:rPr>
            <w:rStyle w:val="Hyperlink"/>
            <w:noProof/>
          </w:rPr>
          <w:t>Schedule 29: Key Personnel</w:t>
        </w:r>
        <w:r w:rsidR="00EC35C4">
          <w:rPr>
            <w:noProof/>
            <w:webHidden/>
          </w:rPr>
          <w:tab/>
        </w:r>
        <w:r w:rsidR="00EC35C4">
          <w:rPr>
            <w:noProof/>
            <w:webHidden/>
          </w:rPr>
          <w:fldChar w:fldCharType="begin"/>
        </w:r>
        <w:r w:rsidR="00EC35C4">
          <w:rPr>
            <w:noProof/>
            <w:webHidden/>
          </w:rPr>
          <w:instrText xml:space="preserve"> PAGEREF _Toc145412829 \h </w:instrText>
        </w:r>
        <w:r w:rsidR="00EC35C4">
          <w:rPr>
            <w:noProof/>
            <w:webHidden/>
          </w:rPr>
        </w:r>
        <w:r w:rsidR="00EC35C4">
          <w:rPr>
            <w:noProof/>
            <w:webHidden/>
          </w:rPr>
          <w:fldChar w:fldCharType="separate"/>
        </w:r>
        <w:r w:rsidR="007A1473">
          <w:rPr>
            <w:noProof/>
            <w:webHidden/>
          </w:rPr>
          <w:t>496</w:t>
        </w:r>
        <w:r w:rsidR="00EC35C4">
          <w:rPr>
            <w:noProof/>
            <w:webHidden/>
          </w:rPr>
          <w:fldChar w:fldCharType="end"/>
        </w:r>
      </w:hyperlink>
    </w:p>
    <w:p w14:paraId="4CAF59BB" w14:textId="752D2FDC" w:rsidR="00EC35C4" w:rsidRDefault="00236244">
      <w:pPr>
        <w:pStyle w:val="TOC1"/>
        <w:rPr>
          <w:rFonts w:eastAsiaTheme="minorEastAsia" w:cstheme="minorBidi"/>
          <w:b w:val="0"/>
          <w:noProof/>
          <w:color w:val="auto"/>
          <w:sz w:val="22"/>
          <w:szCs w:val="22"/>
          <w:lang w:eastAsia="en-GB"/>
        </w:rPr>
      </w:pPr>
      <w:hyperlink w:anchor="_Toc145412830" w:history="1">
        <w:r w:rsidR="00EC35C4" w:rsidRPr="00503338">
          <w:rPr>
            <w:rStyle w:val="Hyperlink"/>
            <w:rFonts w:ascii="Arial" w:hAnsi="Arial" w:cs="Arial"/>
            <w:noProof/>
            <w:lang w:eastAsia="en-GB"/>
          </w:rPr>
          <w:t>Schedule 30: Deed of</w:t>
        </w:r>
        <w:r w:rsidR="00EC35C4" w:rsidRPr="00503338">
          <w:rPr>
            <w:rStyle w:val="Hyperlink"/>
            <w:noProof/>
          </w:rPr>
          <w:t xml:space="preserve"> </w:t>
        </w:r>
        <w:r w:rsidR="00EC35C4" w:rsidRPr="00503338">
          <w:rPr>
            <w:rStyle w:val="Hyperlink"/>
            <w:rFonts w:ascii="Arial" w:hAnsi="Arial" w:cs="Arial"/>
            <w:noProof/>
            <w:lang w:eastAsia="en-GB"/>
          </w:rPr>
          <w:t>Guarantee</w:t>
        </w:r>
        <w:r w:rsidR="00EC35C4">
          <w:rPr>
            <w:noProof/>
            <w:webHidden/>
          </w:rPr>
          <w:tab/>
        </w:r>
        <w:r w:rsidR="00EC35C4">
          <w:rPr>
            <w:noProof/>
            <w:webHidden/>
          </w:rPr>
          <w:fldChar w:fldCharType="begin"/>
        </w:r>
        <w:r w:rsidR="00EC35C4">
          <w:rPr>
            <w:noProof/>
            <w:webHidden/>
          </w:rPr>
          <w:instrText xml:space="preserve"> PAGEREF _Toc145412830 \h </w:instrText>
        </w:r>
        <w:r w:rsidR="00EC35C4">
          <w:rPr>
            <w:noProof/>
            <w:webHidden/>
          </w:rPr>
        </w:r>
        <w:r w:rsidR="00EC35C4">
          <w:rPr>
            <w:noProof/>
            <w:webHidden/>
          </w:rPr>
          <w:fldChar w:fldCharType="separate"/>
        </w:r>
        <w:r w:rsidR="007A1473">
          <w:rPr>
            <w:noProof/>
            <w:webHidden/>
          </w:rPr>
          <w:t>498</w:t>
        </w:r>
        <w:r w:rsidR="00EC35C4">
          <w:rPr>
            <w:noProof/>
            <w:webHidden/>
          </w:rPr>
          <w:fldChar w:fldCharType="end"/>
        </w:r>
      </w:hyperlink>
    </w:p>
    <w:p w14:paraId="7E12403C" w14:textId="383AD98C" w:rsidR="00EC35C4" w:rsidRDefault="00236244">
      <w:pPr>
        <w:pStyle w:val="TOC1"/>
        <w:rPr>
          <w:rFonts w:eastAsiaTheme="minorEastAsia" w:cstheme="minorBidi"/>
          <w:b w:val="0"/>
          <w:noProof/>
          <w:color w:val="auto"/>
          <w:sz w:val="22"/>
          <w:szCs w:val="22"/>
          <w:lang w:eastAsia="en-GB"/>
        </w:rPr>
      </w:pPr>
      <w:hyperlink w:anchor="_Toc145412831" w:history="1">
        <w:r w:rsidR="00EC35C4" w:rsidRPr="00503338">
          <w:rPr>
            <w:rStyle w:val="Hyperlink"/>
            <w:noProof/>
          </w:rPr>
          <w:t>Schedule 31: Processing Personal Data</w:t>
        </w:r>
        <w:r w:rsidR="00EC35C4">
          <w:rPr>
            <w:noProof/>
            <w:webHidden/>
          </w:rPr>
          <w:tab/>
        </w:r>
        <w:r w:rsidR="00EC35C4">
          <w:rPr>
            <w:noProof/>
            <w:webHidden/>
          </w:rPr>
          <w:fldChar w:fldCharType="begin"/>
        </w:r>
        <w:r w:rsidR="00EC35C4">
          <w:rPr>
            <w:noProof/>
            <w:webHidden/>
          </w:rPr>
          <w:instrText xml:space="preserve"> PAGEREF _Toc145412831 \h </w:instrText>
        </w:r>
        <w:r w:rsidR="00EC35C4">
          <w:rPr>
            <w:noProof/>
            <w:webHidden/>
          </w:rPr>
        </w:r>
        <w:r w:rsidR="00EC35C4">
          <w:rPr>
            <w:noProof/>
            <w:webHidden/>
          </w:rPr>
          <w:fldChar w:fldCharType="separate"/>
        </w:r>
        <w:r w:rsidR="007A1473">
          <w:rPr>
            <w:noProof/>
            <w:webHidden/>
          </w:rPr>
          <w:t>508</w:t>
        </w:r>
        <w:r w:rsidR="00EC35C4">
          <w:rPr>
            <w:noProof/>
            <w:webHidden/>
          </w:rPr>
          <w:fldChar w:fldCharType="end"/>
        </w:r>
      </w:hyperlink>
    </w:p>
    <w:p w14:paraId="1D372DD1" w14:textId="7892C962" w:rsidR="00EC35C4" w:rsidRDefault="00236244">
      <w:pPr>
        <w:pStyle w:val="TOC2"/>
        <w:rPr>
          <w:rFonts w:eastAsiaTheme="minorEastAsia" w:cstheme="minorBidi"/>
          <w:noProof/>
          <w:sz w:val="22"/>
          <w:szCs w:val="22"/>
          <w:lang w:eastAsia="en-GB"/>
        </w:rPr>
      </w:pPr>
      <w:hyperlink w:anchor="_Toc145412832" w:history="1">
        <w:r w:rsidR="00EC35C4" w:rsidRPr="00503338">
          <w:rPr>
            <w:rStyle w:val="Hyperlink"/>
            <w:noProof/>
          </w:rPr>
          <w:t>Annex 1: Joint Controller Agreement</w:t>
        </w:r>
        <w:r w:rsidR="00EC35C4">
          <w:rPr>
            <w:noProof/>
            <w:webHidden/>
          </w:rPr>
          <w:tab/>
        </w:r>
        <w:r w:rsidR="00EC35C4">
          <w:rPr>
            <w:noProof/>
            <w:webHidden/>
          </w:rPr>
          <w:fldChar w:fldCharType="begin"/>
        </w:r>
        <w:r w:rsidR="00EC35C4">
          <w:rPr>
            <w:noProof/>
            <w:webHidden/>
          </w:rPr>
          <w:instrText xml:space="preserve"> PAGEREF _Toc145412832 \h </w:instrText>
        </w:r>
        <w:r w:rsidR="00EC35C4">
          <w:rPr>
            <w:noProof/>
            <w:webHidden/>
          </w:rPr>
        </w:r>
        <w:r w:rsidR="00EC35C4">
          <w:rPr>
            <w:noProof/>
            <w:webHidden/>
          </w:rPr>
          <w:fldChar w:fldCharType="separate"/>
        </w:r>
        <w:r w:rsidR="007A1473">
          <w:rPr>
            <w:noProof/>
            <w:webHidden/>
          </w:rPr>
          <w:t>513</w:t>
        </w:r>
        <w:r w:rsidR="00EC35C4">
          <w:rPr>
            <w:noProof/>
            <w:webHidden/>
          </w:rPr>
          <w:fldChar w:fldCharType="end"/>
        </w:r>
      </w:hyperlink>
    </w:p>
    <w:p w14:paraId="68E573AE" w14:textId="0CDCA26C" w:rsidR="00EC35C4" w:rsidRDefault="00236244">
      <w:pPr>
        <w:pStyle w:val="TOC2"/>
        <w:rPr>
          <w:rFonts w:eastAsiaTheme="minorEastAsia" w:cstheme="minorBidi"/>
          <w:noProof/>
          <w:sz w:val="22"/>
          <w:szCs w:val="22"/>
          <w:lang w:eastAsia="en-GB"/>
        </w:rPr>
      </w:pPr>
      <w:hyperlink w:anchor="_Toc145412833" w:history="1">
        <w:r w:rsidR="00EC35C4" w:rsidRPr="00503338">
          <w:rPr>
            <w:rStyle w:val="Hyperlink"/>
            <w:noProof/>
          </w:rPr>
          <w:t>Annex 2: Not Used</w:t>
        </w:r>
        <w:r w:rsidR="00EC35C4">
          <w:rPr>
            <w:noProof/>
            <w:webHidden/>
          </w:rPr>
          <w:tab/>
        </w:r>
        <w:r w:rsidR="00EC35C4">
          <w:rPr>
            <w:noProof/>
            <w:webHidden/>
          </w:rPr>
          <w:fldChar w:fldCharType="begin"/>
        </w:r>
        <w:r w:rsidR="00EC35C4">
          <w:rPr>
            <w:noProof/>
            <w:webHidden/>
          </w:rPr>
          <w:instrText xml:space="preserve"> PAGEREF _Toc145412833 \h </w:instrText>
        </w:r>
        <w:r w:rsidR="00EC35C4">
          <w:rPr>
            <w:noProof/>
            <w:webHidden/>
          </w:rPr>
        </w:r>
        <w:r w:rsidR="00EC35C4">
          <w:rPr>
            <w:noProof/>
            <w:webHidden/>
          </w:rPr>
          <w:fldChar w:fldCharType="separate"/>
        </w:r>
        <w:r w:rsidR="007A1473">
          <w:rPr>
            <w:noProof/>
            <w:webHidden/>
          </w:rPr>
          <w:t>521</w:t>
        </w:r>
        <w:r w:rsidR="00EC35C4">
          <w:rPr>
            <w:noProof/>
            <w:webHidden/>
          </w:rPr>
          <w:fldChar w:fldCharType="end"/>
        </w:r>
      </w:hyperlink>
    </w:p>
    <w:p w14:paraId="4593C25C" w14:textId="19BC7BA5" w:rsidR="00EC35C4" w:rsidRDefault="00236244">
      <w:pPr>
        <w:pStyle w:val="TOC2"/>
        <w:rPr>
          <w:rFonts w:eastAsiaTheme="minorEastAsia" w:cstheme="minorBidi"/>
          <w:noProof/>
          <w:sz w:val="22"/>
          <w:szCs w:val="22"/>
          <w:lang w:eastAsia="en-GB"/>
        </w:rPr>
      </w:pPr>
      <w:hyperlink w:anchor="_Toc145412834" w:history="1">
        <w:r w:rsidR="00EC35C4" w:rsidRPr="00503338">
          <w:rPr>
            <w:rStyle w:val="Hyperlink"/>
            <w:noProof/>
          </w:rPr>
          <w:t>Annex 3: Not Used</w:t>
        </w:r>
        <w:r w:rsidR="00EC35C4">
          <w:rPr>
            <w:noProof/>
            <w:webHidden/>
          </w:rPr>
          <w:tab/>
        </w:r>
        <w:r w:rsidR="00EC35C4">
          <w:rPr>
            <w:noProof/>
            <w:webHidden/>
          </w:rPr>
          <w:fldChar w:fldCharType="begin"/>
        </w:r>
        <w:r w:rsidR="00EC35C4">
          <w:rPr>
            <w:noProof/>
            <w:webHidden/>
          </w:rPr>
          <w:instrText xml:space="preserve"> PAGEREF _Toc145412834 \h </w:instrText>
        </w:r>
        <w:r w:rsidR="00EC35C4">
          <w:rPr>
            <w:noProof/>
            <w:webHidden/>
          </w:rPr>
        </w:r>
        <w:r w:rsidR="00EC35C4">
          <w:rPr>
            <w:noProof/>
            <w:webHidden/>
          </w:rPr>
          <w:fldChar w:fldCharType="separate"/>
        </w:r>
        <w:r w:rsidR="007A1473">
          <w:rPr>
            <w:noProof/>
            <w:webHidden/>
          </w:rPr>
          <w:t>522</w:t>
        </w:r>
        <w:r w:rsidR="00EC35C4">
          <w:rPr>
            <w:noProof/>
            <w:webHidden/>
          </w:rPr>
          <w:fldChar w:fldCharType="end"/>
        </w:r>
      </w:hyperlink>
    </w:p>
    <w:p w14:paraId="50942FB1" w14:textId="27F3D7EE" w:rsidR="00EC35C4" w:rsidRDefault="00236244">
      <w:pPr>
        <w:pStyle w:val="TOC1"/>
        <w:rPr>
          <w:rFonts w:eastAsiaTheme="minorEastAsia" w:cstheme="minorBidi"/>
          <w:b w:val="0"/>
          <w:noProof/>
          <w:color w:val="auto"/>
          <w:sz w:val="22"/>
          <w:szCs w:val="22"/>
          <w:lang w:eastAsia="en-GB"/>
        </w:rPr>
      </w:pPr>
      <w:hyperlink w:anchor="_Toc145412835" w:history="1">
        <w:r w:rsidR="00EC35C4" w:rsidRPr="00503338">
          <w:rPr>
            <w:rStyle w:val="Hyperlink"/>
            <w:noProof/>
          </w:rPr>
          <w:t>Schedule 32: Intellectual Property Rights</w:t>
        </w:r>
        <w:r w:rsidR="00EC35C4">
          <w:rPr>
            <w:noProof/>
            <w:webHidden/>
          </w:rPr>
          <w:tab/>
        </w:r>
        <w:r w:rsidR="00EC35C4">
          <w:rPr>
            <w:noProof/>
            <w:webHidden/>
          </w:rPr>
          <w:fldChar w:fldCharType="begin"/>
        </w:r>
        <w:r w:rsidR="00EC35C4">
          <w:rPr>
            <w:noProof/>
            <w:webHidden/>
          </w:rPr>
          <w:instrText xml:space="preserve"> PAGEREF _Toc145412835 \h </w:instrText>
        </w:r>
        <w:r w:rsidR="00EC35C4">
          <w:rPr>
            <w:noProof/>
            <w:webHidden/>
          </w:rPr>
        </w:r>
        <w:r w:rsidR="00EC35C4">
          <w:rPr>
            <w:noProof/>
            <w:webHidden/>
          </w:rPr>
          <w:fldChar w:fldCharType="separate"/>
        </w:r>
        <w:r w:rsidR="007A1473">
          <w:rPr>
            <w:noProof/>
            <w:webHidden/>
          </w:rPr>
          <w:t>524</w:t>
        </w:r>
        <w:r w:rsidR="00EC35C4">
          <w:rPr>
            <w:noProof/>
            <w:webHidden/>
          </w:rPr>
          <w:fldChar w:fldCharType="end"/>
        </w:r>
      </w:hyperlink>
    </w:p>
    <w:p w14:paraId="5FF68532" w14:textId="68111E22" w:rsidR="00EC35C4" w:rsidRDefault="00236244">
      <w:pPr>
        <w:pStyle w:val="TOC2"/>
        <w:rPr>
          <w:noProof/>
        </w:rPr>
      </w:pPr>
      <w:hyperlink w:anchor="_Toc145412836" w:history="1">
        <w:r w:rsidR="00EC35C4" w:rsidRPr="00503338">
          <w:rPr>
            <w:rStyle w:val="Hyperlink"/>
            <w:noProof/>
          </w:rPr>
          <w:t>Annex 1: Project Specific IPR and Specially Written Software</w:t>
        </w:r>
        <w:r w:rsidR="00EC35C4">
          <w:rPr>
            <w:noProof/>
            <w:webHidden/>
          </w:rPr>
          <w:tab/>
        </w:r>
        <w:r w:rsidR="00EC35C4">
          <w:rPr>
            <w:noProof/>
            <w:webHidden/>
          </w:rPr>
          <w:fldChar w:fldCharType="begin"/>
        </w:r>
        <w:r w:rsidR="00EC35C4">
          <w:rPr>
            <w:noProof/>
            <w:webHidden/>
          </w:rPr>
          <w:instrText xml:space="preserve"> PAGEREF _Toc145412836 \h </w:instrText>
        </w:r>
        <w:r w:rsidR="00EC35C4">
          <w:rPr>
            <w:noProof/>
            <w:webHidden/>
          </w:rPr>
        </w:r>
        <w:r w:rsidR="00EC35C4">
          <w:rPr>
            <w:noProof/>
            <w:webHidden/>
          </w:rPr>
          <w:fldChar w:fldCharType="separate"/>
        </w:r>
        <w:r w:rsidR="007A1473">
          <w:rPr>
            <w:noProof/>
            <w:webHidden/>
          </w:rPr>
          <w:t>535</w:t>
        </w:r>
        <w:r w:rsidR="00EC35C4">
          <w:rPr>
            <w:noProof/>
            <w:webHidden/>
          </w:rPr>
          <w:fldChar w:fldCharType="end"/>
        </w:r>
      </w:hyperlink>
    </w:p>
    <w:p w14:paraId="73BDFDF4" w14:textId="01B67B8A" w:rsidR="002B4645" w:rsidRDefault="002B4645">
      <w:pPr>
        <w:pStyle w:val="TOC2"/>
        <w:rPr>
          <w:rFonts w:eastAsiaTheme="minorEastAsia" w:cstheme="minorBidi"/>
          <w:noProof/>
          <w:sz w:val="22"/>
          <w:szCs w:val="22"/>
          <w:lang w:eastAsia="en-GB"/>
        </w:rPr>
      </w:pPr>
      <w:r>
        <w:rPr>
          <w:noProof/>
        </w:rPr>
        <w:t>Signature Page……………………………………………………………………………</w:t>
      </w:r>
      <w:r w:rsidR="003A666F">
        <w:rPr>
          <w:noProof/>
        </w:rPr>
        <w:t>...</w:t>
      </w:r>
      <w:r>
        <w:rPr>
          <w:noProof/>
        </w:rPr>
        <w:t>…………536</w:t>
      </w:r>
    </w:p>
    <w:p w14:paraId="390174B4" w14:textId="79AEF1AD" w:rsidR="00F67E9E" w:rsidRDefault="00F67E9E" w:rsidP="00F67E9E">
      <w:r>
        <w:rPr>
          <w:rFonts w:ascii="Times New Roman" w:eastAsia="STZhongsong" w:hAnsi="Times New Roman" w:cs="Arial"/>
          <w:caps/>
          <w:sz w:val="22"/>
          <w:lang w:eastAsia="zh-CN"/>
        </w:rPr>
        <w:fldChar w:fldCharType="end"/>
      </w:r>
      <w:r w:rsidR="002B4645">
        <w:rPr>
          <w:rFonts w:ascii="Times New Roman" w:eastAsia="STZhongsong" w:hAnsi="Times New Roman" w:cs="Arial"/>
          <w:caps/>
          <w:sz w:val="22"/>
          <w:lang w:eastAsia="zh-CN"/>
        </w:rPr>
        <w:t xml:space="preserve"> </w:t>
      </w:r>
    </w:p>
    <w:p w14:paraId="07E6DEA9" w14:textId="77777777" w:rsidR="00F67E9E" w:rsidRDefault="00F67E9E" w:rsidP="00F67E9E"/>
    <w:p w14:paraId="3EF8A587" w14:textId="77777777" w:rsidR="00F67E9E" w:rsidRPr="00CD26AF" w:rsidRDefault="00F67E9E" w:rsidP="00F67E9E"/>
    <w:p w14:paraId="63F3055B" w14:textId="77777777" w:rsidR="00F67E9E" w:rsidRPr="00CD26AF" w:rsidRDefault="00F67E9E" w:rsidP="00F67E9E">
      <w:pPr>
        <w:sectPr w:rsidR="00F67E9E" w:rsidRPr="00CD26AF" w:rsidSect="00240D26">
          <w:headerReference w:type="even" r:id="rId12"/>
          <w:headerReference w:type="default" r:id="rId13"/>
          <w:footerReference w:type="even" r:id="rId14"/>
          <w:footerReference w:type="default" r:id="rId15"/>
          <w:headerReference w:type="first" r:id="rId16"/>
          <w:footerReference w:type="first" r:id="rId17"/>
          <w:pgSz w:w="11900" w:h="16840" w:code="9"/>
          <w:pgMar w:top="1701" w:right="851" w:bottom="1134" w:left="851" w:header="567" w:footer="567" w:gutter="0"/>
          <w:cols w:space="720"/>
          <w:docGrid w:linePitch="360"/>
        </w:sectPr>
      </w:pPr>
    </w:p>
    <w:p w14:paraId="7D2161AD" w14:textId="77777777" w:rsidR="00F67E9E" w:rsidRPr="007C55B2" w:rsidRDefault="00F67E9E" w:rsidP="00F67E9E">
      <w:pPr>
        <w:pStyle w:val="Dividername"/>
      </w:pPr>
      <w:r w:rsidRPr="007C55B2">
        <w:lastRenderedPageBreak/>
        <w:t>Schedule 1</w:t>
      </w:r>
    </w:p>
    <w:p w14:paraId="04AD2017" w14:textId="77777777" w:rsidR="00F67E9E" w:rsidRPr="007C55B2" w:rsidRDefault="00F67E9E" w:rsidP="00F67E9E">
      <w:pPr>
        <w:pStyle w:val="Dividername"/>
      </w:pPr>
      <w:r w:rsidRPr="007C55B2">
        <w:t>Definitions</w:t>
      </w:r>
    </w:p>
    <w:p w14:paraId="00B4B7C0" w14:textId="77777777" w:rsidR="00F67E9E" w:rsidRDefault="00F67E9E" w:rsidP="00F67E9E"/>
    <w:p w14:paraId="2FF9E65E" w14:textId="77777777" w:rsidR="00F67E9E" w:rsidRPr="00724541" w:rsidRDefault="00F67E9E" w:rsidP="00F67E9E">
      <w:pPr>
        <w:pStyle w:val="Heading1"/>
        <w:rPr>
          <w:rFonts w:eastAsia="Times New Roman"/>
          <w:lang w:eastAsia="en-GB"/>
        </w:rPr>
      </w:pPr>
      <w:bookmarkStart w:id="2" w:name="Schedule1"/>
      <w:bookmarkStart w:id="3" w:name="_Ref92197513"/>
      <w:bookmarkStart w:id="4" w:name="_Toc145412734"/>
      <w:r w:rsidRPr="00724541">
        <w:lastRenderedPageBreak/>
        <w:t>Schedule</w:t>
      </w:r>
      <w:r>
        <w:t> </w:t>
      </w:r>
      <w:r w:rsidRPr="00724541">
        <w:t>1</w:t>
      </w:r>
      <w:bookmarkEnd w:id="2"/>
      <w:r>
        <w:t xml:space="preserve">: </w:t>
      </w:r>
      <w:bookmarkStart w:id="5" w:name="Schedule1Heading"/>
      <w:r w:rsidRPr="00F62024">
        <w:t>Definitions</w:t>
      </w:r>
      <w:bookmarkEnd w:id="3"/>
      <w:bookmarkEnd w:id="4"/>
      <w:bookmarkEnd w:id="5"/>
    </w:p>
    <w:p w14:paraId="21075EAC" w14:textId="77777777" w:rsidR="00F67E9E" w:rsidRPr="00724541" w:rsidRDefault="00F67E9E" w:rsidP="00F67E9E">
      <w:pPr>
        <w:pStyle w:val="Numbered1"/>
      </w:pPr>
      <w:r w:rsidRPr="00724541">
        <w:t>Definitions</w:t>
      </w:r>
    </w:p>
    <w:p w14:paraId="32C7A625" w14:textId="6C7FB907" w:rsidR="00F67E9E" w:rsidRPr="00724541" w:rsidRDefault="00F67E9E" w:rsidP="00F67E9E">
      <w:pPr>
        <w:pStyle w:val="Numbered11"/>
      </w:pPr>
      <w:r w:rsidRPr="00724541">
        <w:t xml:space="preserve">In the Contract, unless the context otherwise requires, capitalised expressions shall have the meanings set out in this </w:t>
      </w:r>
      <w:r>
        <w:fldChar w:fldCharType="begin"/>
      </w:r>
      <w:r>
        <w:instrText xml:space="preserve"> REF Schedule1 \h </w:instrText>
      </w:r>
      <w:r>
        <w:fldChar w:fldCharType="separate"/>
      </w:r>
      <w:r w:rsidR="007A1473" w:rsidRPr="00724541">
        <w:t>Schedule</w:t>
      </w:r>
      <w:r w:rsidR="007A1473">
        <w:t> </w:t>
      </w:r>
      <w:r w:rsidR="007A1473" w:rsidRPr="00724541">
        <w:t>1</w:t>
      </w:r>
      <w:r>
        <w:fldChar w:fldCharType="end"/>
      </w:r>
      <w:r w:rsidRPr="00724541">
        <w:t xml:space="preserve"> (</w:t>
      </w:r>
      <w:r w:rsidRPr="0087475A">
        <w:rPr>
          <w:i/>
          <w:iCs/>
        </w:rPr>
        <w:fldChar w:fldCharType="begin"/>
      </w:r>
      <w:r w:rsidRPr="0087475A">
        <w:rPr>
          <w:i/>
          <w:iCs/>
        </w:rPr>
        <w:instrText xml:space="preserve"> REF Schedule1Heading \h  \* MERGEFORMAT </w:instrText>
      </w:r>
      <w:r w:rsidRPr="0087475A">
        <w:rPr>
          <w:i/>
          <w:iCs/>
        </w:rPr>
      </w:r>
      <w:r w:rsidRPr="0087475A">
        <w:rPr>
          <w:i/>
          <w:iCs/>
        </w:rPr>
        <w:fldChar w:fldCharType="separate"/>
      </w:r>
      <w:r w:rsidR="007A1473" w:rsidRPr="007A1473">
        <w:rPr>
          <w:i/>
          <w:iCs/>
        </w:rPr>
        <w:t>Definitions</w:t>
      </w:r>
      <w:r w:rsidRPr="0087475A">
        <w:rPr>
          <w:i/>
          <w:iCs/>
        </w:rPr>
        <w:fldChar w:fldCharType="end"/>
      </w:r>
      <w:r w:rsidRPr="00724541">
        <w:t>) or the relevant Schedule in which that capitalised expression appears.</w:t>
      </w:r>
    </w:p>
    <w:p w14:paraId="303D975F" w14:textId="77777777" w:rsidR="00F67E9E" w:rsidRPr="00724541" w:rsidRDefault="00F67E9E" w:rsidP="00F67E9E">
      <w:pPr>
        <w:pStyle w:val="Numbered11"/>
      </w:pPr>
      <w:r w:rsidRPr="00724541">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5E4E300" w14:textId="77777777" w:rsidR="00F67E9E" w:rsidRPr="00724541" w:rsidRDefault="00F67E9E" w:rsidP="00F67E9E">
      <w:pPr>
        <w:pStyle w:val="Numbered11"/>
      </w:pPr>
      <w:r w:rsidRPr="00724541">
        <w:t>In the Contract, unless the context otherwise requires:</w:t>
      </w:r>
    </w:p>
    <w:p w14:paraId="78E56421" w14:textId="77777777" w:rsidR="00F67E9E" w:rsidRDefault="00F67E9E" w:rsidP="00F67E9E">
      <w:pPr>
        <w:pStyle w:val="Numbered111"/>
      </w:pPr>
      <w:r w:rsidRPr="00724541">
        <w:t>the singular includes the plural and vice versa;</w:t>
      </w:r>
    </w:p>
    <w:p w14:paraId="133F4884" w14:textId="77777777" w:rsidR="00F67E9E" w:rsidRPr="00724541" w:rsidRDefault="00F67E9E" w:rsidP="00F67E9E">
      <w:pPr>
        <w:pStyle w:val="Numbered111"/>
      </w:pPr>
      <w:r w:rsidRPr="00724541">
        <w:t>reference to a gender includes the other gender and the neuter;</w:t>
      </w:r>
    </w:p>
    <w:p w14:paraId="7DCDB39C" w14:textId="77777777" w:rsidR="00F67E9E" w:rsidRPr="00724541" w:rsidRDefault="00F67E9E" w:rsidP="00F67E9E">
      <w:pPr>
        <w:pStyle w:val="Numbered111"/>
      </w:pPr>
      <w:r w:rsidRPr="00724541">
        <w:t>references to a person include an individual, company, body corporate, corporation, unincorporated association, firm, partnership or other legal entity or Crown Body;</w:t>
      </w:r>
    </w:p>
    <w:p w14:paraId="577068B3" w14:textId="3FCD7B25" w:rsidR="00F67E9E" w:rsidRDefault="00F67E9E" w:rsidP="00F67E9E">
      <w:pPr>
        <w:pStyle w:val="Numbered111"/>
      </w:pPr>
      <w:r>
        <w:t xml:space="preserve">a reference to any Law includes a reference to that Law as amended, extended, consolidated, replaced or re-enacted (including as a consequence of the Retained EU Law (Revocation and Reform) </w:t>
      </w:r>
      <w:r w:rsidR="00C27495">
        <w:t>Act 2023</w:t>
      </w:r>
      <w:r>
        <w:t>) from time to time;</w:t>
      </w:r>
    </w:p>
    <w:p w14:paraId="0E6D6CC7" w14:textId="77777777" w:rsidR="00F67E9E" w:rsidRPr="00724541" w:rsidRDefault="00F67E9E" w:rsidP="00F67E9E">
      <w:pPr>
        <w:pStyle w:val="Numbered111"/>
      </w:pPr>
      <w:r w:rsidRPr="00724541">
        <w:t xml:space="preserve">the words </w:t>
      </w:r>
      <w:r>
        <w:t>“</w:t>
      </w:r>
      <w:r w:rsidRPr="00724541">
        <w:rPr>
          <w:b/>
        </w:rPr>
        <w:t>including</w:t>
      </w:r>
      <w:r>
        <w:t>”</w:t>
      </w:r>
      <w:r w:rsidRPr="00724541">
        <w:t xml:space="preserve">, </w:t>
      </w:r>
      <w:r>
        <w:t>“</w:t>
      </w:r>
      <w:r w:rsidRPr="00724541">
        <w:rPr>
          <w:b/>
        </w:rPr>
        <w:t>other</w:t>
      </w:r>
      <w:r>
        <w:t>”</w:t>
      </w:r>
      <w:r w:rsidRPr="00724541">
        <w:t xml:space="preserve">, </w:t>
      </w:r>
      <w:r>
        <w:t>“</w:t>
      </w:r>
      <w:r w:rsidRPr="00724541">
        <w:rPr>
          <w:b/>
        </w:rPr>
        <w:t>in particular</w:t>
      </w:r>
      <w:r>
        <w:t>”</w:t>
      </w:r>
      <w:r w:rsidRPr="00724541">
        <w:t xml:space="preserve">, </w:t>
      </w:r>
      <w:r>
        <w:t>“</w:t>
      </w:r>
      <w:r w:rsidRPr="00724541">
        <w:rPr>
          <w:b/>
        </w:rPr>
        <w:t>for example</w:t>
      </w:r>
      <w:r>
        <w:t>”</w:t>
      </w:r>
      <w:r w:rsidRPr="00724541">
        <w:t xml:space="preserve"> and similar words shall not limit the generality of the preceding words and shall be construed as if they were immediately followed by the words </w:t>
      </w:r>
      <w:r>
        <w:t>“</w:t>
      </w:r>
      <w:r w:rsidRPr="00724541">
        <w:rPr>
          <w:b/>
        </w:rPr>
        <w:t>without limitation</w:t>
      </w:r>
      <w:r>
        <w:t>”</w:t>
      </w:r>
      <w:r w:rsidRPr="00724541">
        <w:t>;</w:t>
      </w:r>
    </w:p>
    <w:p w14:paraId="16F2C84A" w14:textId="77777777" w:rsidR="00F67E9E" w:rsidRPr="00724541" w:rsidRDefault="00F67E9E" w:rsidP="00F67E9E">
      <w:pPr>
        <w:pStyle w:val="Numbered111"/>
      </w:pPr>
      <w:r w:rsidRPr="00724541">
        <w:t xml:space="preserve">references to </w:t>
      </w:r>
      <w:r>
        <w:t>“</w:t>
      </w:r>
      <w:r w:rsidRPr="00724541">
        <w:rPr>
          <w:b/>
        </w:rPr>
        <w:t>writing</w:t>
      </w:r>
      <w:r>
        <w:t>”</w:t>
      </w:r>
      <w:r w:rsidRPr="00724541">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7AFA88FC" w14:textId="77777777" w:rsidR="00F67E9E" w:rsidRPr="00724541" w:rsidRDefault="00F67E9E" w:rsidP="00F67E9E">
      <w:pPr>
        <w:pStyle w:val="Numbered111"/>
      </w:pPr>
      <w:r w:rsidRPr="00724541">
        <w:t xml:space="preserve">references to </w:t>
      </w:r>
      <w:r>
        <w:t>“</w:t>
      </w:r>
      <w:r w:rsidRPr="00724541">
        <w:rPr>
          <w:b/>
        </w:rPr>
        <w:t>representations</w:t>
      </w:r>
      <w:r>
        <w:t>”</w:t>
      </w:r>
      <w:r w:rsidRPr="00724541">
        <w:t xml:space="preserve"> shall be construed as references to present facts, to </w:t>
      </w:r>
      <w:r>
        <w:t>“</w:t>
      </w:r>
      <w:r w:rsidRPr="00724541">
        <w:rPr>
          <w:b/>
        </w:rPr>
        <w:t>warranties</w:t>
      </w:r>
      <w:r>
        <w:t>”</w:t>
      </w:r>
      <w:r w:rsidRPr="00724541">
        <w:t xml:space="preserve"> as references to present and future facts and to </w:t>
      </w:r>
      <w:r>
        <w:t>“</w:t>
      </w:r>
      <w:r w:rsidRPr="00724541">
        <w:rPr>
          <w:b/>
        </w:rPr>
        <w:t>undertakings</w:t>
      </w:r>
      <w:r>
        <w:rPr>
          <w:b/>
        </w:rPr>
        <w:t>”</w:t>
      </w:r>
      <w:r w:rsidRPr="00724541">
        <w:t xml:space="preserve"> as references to obligations under the Contract; </w:t>
      </w:r>
    </w:p>
    <w:p w14:paraId="78661E09" w14:textId="77777777" w:rsidR="00F67E9E" w:rsidRPr="00724541" w:rsidRDefault="00F67E9E" w:rsidP="00F67E9E">
      <w:pPr>
        <w:pStyle w:val="Numbered111"/>
      </w:pPr>
      <w:r w:rsidRPr="00724541">
        <w:t xml:space="preserve">references to </w:t>
      </w:r>
      <w:r>
        <w:rPr>
          <w:b/>
        </w:rPr>
        <w:t>“</w:t>
      </w:r>
      <w:r w:rsidRPr="00724541">
        <w:rPr>
          <w:b/>
        </w:rPr>
        <w:t>Clauses</w:t>
      </w:r>
      <w:r>
        <w:rPr>
          <w:b/>
        </w:rPr>
        <w:t>”</w:t>
      </w:r>
      <w:r w:rsidRPr="00724541">
        <w:rPr>
          <w:b/>
        </w:rPr>
        <w:t xml:space="preserve"> </w:t>
      </w:r>
      <w:r w:rsidRPr="00724541">
        <w:t xml:space="preserve">and </w:t>
      </w:r>
      <w:r>
        <w:rPr>
          <w:b/>
        </w:rPr>
        <w:t>“</w:t>
      </w:r>
      <w:r w:rsidRPr="00724541">
        <w:rPr>
          <w:b/>
        </w:rPr>
        <w:t>Schedules</w:t>
      </w:r>
      <w:r>
        <w:rPr>
          <w:b/>
        </w:rPr>
        <w:t>”</w:t>
      </w:r>
      <w:r w:rsidRPr="00724541">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09B2E18" w14:textId="77777777" w:rsidR="00F67E9E" w:rsidRPr="00724541" w:rsidRDefault="00F67E9E" w:rsidP="00F67E9E">
      <w:pPr>
        <w:pStyle w:val="Numbered111"/>
      </w:pPr>
      <w:r w:rsidRPr="00724541">
        <w:t xml:space="preserve">references to </w:t>
      </w:r>
      <w:r>
        <w:rPr>
          <w:b/>
        </w:rPr>
        <w:t>“</w:t>
      </w:r>
      <w:r w:rsidRPr="00724541">
        <w:rPr>
          <w:b/>
        </w:rPr>
        <w:t>Paragraphs</w:t>
      </w:r>
      <w:r>
        <w:rPr>
          <w:b/>
        </w:rPr>
        <w:t>”</w:t>
      </w:r>
      <w:r w:rsidRPr="00724541">
        <w:t xml:space="preserve"> are, unless otherwise provided, references to the paragraph of the appropriate Schedules unless otherwise provided; and</w:t>
      </w:r>
    </w:p>
    <w:p w14:paraId="5C43F4B5" w14:textId="77777777" w:rsidR="00F67E9E" w:rsidRPr="00724541" w:rsidRDefault="00F67E9E" w:rsidP="00F67E9E">
      <w:pPr>
        <w:pStyle w:val="Numbered111"/>
      </w:pPr>
      <w:r w:rsidRPr="00724541">
        <w:t>references to a series of Clauses or Paragraphs shall be inclusive of the clause numbers specified.</w:t>
      </w:r>
    </w:p>
    <w:p w14:paraId="360FA11E" w14:textId="77777777" w:rsidR="00F67E9E" w:rsidRPr="00724541" w:rsidRDefault="00F67E9E" w:rsidP="00F67E9E">
      <w:pPr>
        <w:pStyle w:val="Numbered111"/>
      </w:pPr>
      <w:r w:rsidRPr="00724541">
        <w:lastRenderedPageBreak/>
        <w:t>the headings in the Contract are for ease of reference only and shall not affect the interpretation or construction of the Contract; and</w:t>
      </w:r>
    </w:p>
    <w:p w14:paraId="10A4C748" w14:textId="77777777" w:rsidR="00F67E9E" w:rsidRPr="00724541" w:rsidRDefault="00F67E9E" w:rsidP="00F67E9E">
      <w:pPr>
        <w:pStyle w:val="Numbered111"/>
      </w:pPr>
      <w:r w:rsidRPr="00724541">
        <w:t>where the Buyer is a Crown Body it shall be treated as contracting with the Crown as a whole.</w:t>
      </w:r>
    </w:p>
    <w:p w14:paraId="1C7DBE4B" w14:textId="77777777" w:rsidR="00F67E9E" w:rsidRPr="00724541" w:rsidRDefault="00F67E9E" w:rsidP="00F67E9E">
      <w:pPr>
        <w:pStyle w:val="Numbered11"/>
      </w:pPr>
      <w:r w:rsidRPr="00724541">
        <w:t xml:space="preserve">Any reference in this Contract which immediately before IP Completion Day (or such later date when relevant EU law ceases to have effect pursuant to Section 1A of the European Union (Withdrawal) Act 2018) is a reference to (as it has effect from time to time): </w:t>
      </w:r>
    </w:p>
    <w:p w14:paraId="1EFA125F" w14:textId="77777777" w:rsidR="00F67E9E" w:rsidRPr="00724541" w:rsidRDefault="00F67E9E" w:rsidP="00F67E9E">
      <w:pPr>
        <w:pStyle w:val="Numbered111"/>
      </w:pPr>
      <w:r w:rsidRPr="00724541">
        <w:t xml:space="preserve">any EU regulation, EU decision, EU tertiary legislation or </w:t>
      </w:r>
      <w:r w:rsidRPr="00166697">
        <w:t>provision</w:t>
      </w:r>
      <w:r w:rsidRPr="00724541">
        <w:t xml:space="preserve"> of the EEA agreement (</w:t>
      </w:r>
      <w:r>
        <w:t>“</w:t>
      </w:r>
      <w:r w:rsidRPr="00724541">
        <w:rPr>
          <w:b/>
        </w:rPr>
        <w:t>EU References</w:t>
      </w:r>
      <w:r>
        <w:t>”</w:t>
      </w:r>
      <w:r w:rsidRPr="00724541">
        <w:t>) which is to form part of domestic law by application of Section 3 of the European Union (Withdrawal) Act 2018 shall be read on and after IP Completion Day as a reference to the EU References as they form part of domestic law by virtue of Section 3 of the European Union (Withdrawal) Act 2018 as modified by domestic law from time to time; and</w:t>
      </w:r>
    </w:p>
    <w:p w14:paraId="7A9F9928" w14:textId="77777777" w:rsidR="00F67E9E" w:rsidRPr="00724541" w:rsidRDefault="00F67E9E" w:rsidP="00F67E9E">
      <w:pPr>
        <w:pStyle w:val="Numbered111"/>
      </w:pPr>
      <w:r w:rsidRPr="00724541">
        <w:t xml:space="preserve">any EU institution or EU authority or other such EU body </w:t>
      </w:r>
      <w:r w:rsidRPr="00166697">
        <w:t>shall</w:t>
      </w:r>
      <w:r w:rsidRPr="00724541">
        <w:t xml:space="preserve"> be read on and after IP Completion Day as a reference to the UK institution, authority or body to which its functions were transferred.</w:t>
      </w:r>
    </w:p>
    <w:p w14:paraId="57C37AC8" w14:textId="77777777" w:rsidR="00F67E9E" w:rsidRPr="00166697" w:rsidRDefault="00F67E9E" w:rsidP="00F67E9E">
      <w:pPr>
        <w:pStyle w:val="Numbered11"/>
      </w:pPr>
      <w:r w:rsidRPr="00166697">
        <w:t>Where a standard, policy or document is referred to in this Contract by reference to a hyperlink, then if the hyperlink is changed or no longer provides access to the relevant standard, policy or document, the Supplier shall notify the Authority and the Parties shall update this Contract with a reference to the replacement hyperlink.</w:t>
      </w:r>
    </w:p>
    <w:tbl>
      <w:tblPr>
        <w:tblStyle w:val="MSAdefinitions"/>
        <w:tblW w:w="9638" w:type="dxa"/>
        <w:tblLayout w:type="fixed"/>
        <w:tblLook w:val="04A0" w:firstRow="1" w:lastRow="0" w:firstColumn="1" w:lastColumn="0" w:noHBand="0" w:noVBand="1"/>
      </w:tblPr>
      <w:tblGrid>
        <w:gridCol w:w="2835"/>
        <w:gridCol w:w="6803"/>
      </w:tblGrid>
      <w:tr w:rsidR="00F67E9E" w:rsidRPr="00724541" w14:paraId="7EA67E88" w14:textId="77777777" w:rsidTr="0052486C">
        <w:tc>
          <w:tcPr>
            <w:tcW w:w="2835" w:type="dxa"/>
          </w:tcPr>
          <w:p w14:paraId="014A3030" w14:textId="77777777" w:rsidR="00F67E9E" w:rsidRPr="00724541" w:rsidRDefault="00F67E9E" w:rsidP="0052486C">
            <w:pPr>
              <w:pStyle w:val="StdBodyTextBold"/>
              <w:rPr>
                <w:rFonts w:cs="Arial"/>
              </w:rPr>
            </w:pPr>
            <w:r>
              <w:rPr>
                <w:rFonts w:cs="Arial"/>
              </w:rPr>
              <w:t>“</w:t>
            </w:r>
            <w:r w:rsidRPr="00724541">
              <w:rPr>
                <w:rFonts w:cs="Arial"/>
              </w:rPr>
              <w:t>Accounting Reference Date</w:t>
            </w:r>
            <w:r>
              <w:rPr>
                <w:rFonts w:cs="Arial"/>
              </w:rPr>
              <w:t>”</w:t>
            </w:r>
          </w:p>
        </w:tc>
        <w:tc>
          <w:tcPr>
            <w:tcW w:w="6803" w:type="dxa"/>
          </w:tcPr>
          <w:p w14:paraId="162759A3" w14:textId="77777777" w:rsidR="00F67E9E" w:rsidRPr="00724541" w:rsidRDefault="00F67E9E" w:rsidP="0052486C">
            <w:pPr>
              <w:pStyle w:val="StdBodyText"/>
              <w:rPr>
                <w:rFonts w:cs="Arial"/>
              </w:rPr>
            </w:pPr>
            <w:r w:rsidRPr="00724541">
              <w:rPr>
                <w:rFonts w:cs="Arial"/>
              </w:rPr>
              <w:t>means in each year the date to which the Supplier prepares its annual audited financial statements;</w:t>
            </w:r>
          </w:p>
        </w:tc>
      </w:tr>
      <w:tr w:rsidR="00F67E9E" w:rsidRPr="00724541" w14:paraId="656D0811" w14:textId="77777777" w:rsidTr="0052486C">
        <w:tc>
          <w:tcPr>
            <w:tcW w:w="2835" w:type="dxa"/>
          </w:tcPr>
          <w:p w14:paraId="54511536" w14:textId="77777777" w:rsidR="00F67E9E" w:rsidRPr="00724541" w:rsidRDefault="00F67E9E" w:rsidP="0052486C">
            <w:pPr>
              <w:pStyle w:val="StdBodyTextBold"/>
              <w:rPr>
                <w:rFonts w:cs="Arial"/>
              </w:rPr>
            </w:pPr>
            <w:r>
              <w:rPr>
                <w:rFonts w:cs="Arial"/>
              </w:rPr>
              <w:t>“</w:t>
            </w:r>
            <w:r w:rsidRPr="00724541">
              <w:rPr>
                <w:rFonts w:cs="Arial"/>
              </w:rPr>
              <w:t>Achieve</w:t>
            </w:r>
            <w:r>
              <w:rPr>
                <w:rFonts w:cs="Arial"/>
              </w:rPr>
              <w:t>”</w:t>
            </w:r>
          </w:p>
        </w:tc>
        <w:tc>
          <w:tcPr>
            <w:tcW w:w="6803" w:type="dxa"/>
          </w:tcPr>
          <w:p w14:paraId="45A7AD21" w14:textId="77777777" w:rsidR="00F67E9E" w:rsidRPr="00724541" w:rsidRDefault="00F67E9E" w:rsidP="00F13933">
            <w:pPr>
              <w:pStyle w:val="DefinitionList"/>
              <w:numPr>
                <w:ilvl w:val="0"/>
                <w:numId w:val="78"/>
              </w:numPr>
            </w:pPr>
            <w:r w:rsidRPr="00724541">
              <w:t xml:space="preserve">in respect of a Test, to successfully pass a Test without any Test Issues; and </w:t>
            </w:r>
          </w:p>
          <w:p w14:paraId="4CA9B623" w14:textId="3C3D0135" w:rsidR="00F67E9E" w:rsidRPr="00724541" w:rsidRDefault="00F67E9E" w:rsidP="00F13933">
            <w:pPr>
              <w:pStyle w:val="DefinitionList"/>
              <w:numPr>
                <w:ilvl w:val="0"/>
                <w:numId w:val="78"/>
              </w:numPr>
            </w:pPr>
            <w:r w:rsidRPr="00724541">
              <w:t xml:space="preserve">in respect of a Milestone, the issue of a </w:t>
            </w:r>
            <w:bookmarkStart w:id="6" w:name="_9kMHG5YVt4CCFMHYLrowC94vJCqxv9A235LlRDT"/>
            <w:r w:rsidRPr="00724541">
              <w:t>Milestone Achievement Certificate</w:t>
            </w:r>
            <w:bookmarkEnd w:id="6"/>
            <w:r w:rsidRPr="00724541">
              <w:t xml:space="preserve"> in respect of that Milestone in accordance with the provisions of</w:t>
            </w:r>
            <w:r>
              <w:t xml:space="preserve"> </w:t>
            </w:r>
            <w:r>
              <w:rPr>
                <w:rFonts w:cs="Arial"/>
              </w:rPr>
              <w:fldChar w:fldCharType="begin"/>
            </w:r>
            <w:r>
              <w:rPr>
                <w:rFonts w:cs="Arial"/>
              </w:rPr>
              <w:instrText xml:space="preserve"> REF Schedule14 \h </w:instrText>
            </w:r>
            <w:r>
              <w:rPr>
                <w:rFonts w:cs="Arial"/>
              </w:rPr>
            </w:r>
            <w:r>
              <w:rPr>
                <w:rFonts w:cs="Arial"/>
              </w:rPr>
              <w:fldChar w:fldCharType="separate"/>
            </w:r>
            <w:r w:rsidR="007A1473" w:rsidRPr="005D0525">
              <w:t>Schedule</w:t>
            </w:r>
            <w:r w:rsidR="007A1473">
              <w:t> </w:t>
            </w:r>
            <w:r w:rsidR="007A1473" w:rsidRPr="005D0525">
              <w:t>14</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Schedule14Heading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Testing Procedures</w:t>
            </w:r>
            <w:r w:rsidRPr="00B91437">
              <w:rPr>
                <w:rFonts w:cs="Arial"/>
                <w:i/>
                <w:iCs/>
              </w:rPr>
              <w:fldChar w:fldCharType="end"/>
            </w:r>
            <w:r>
              <w:rPr>
                <w:rFonts w:cs="Arial"/>
              </w:rPr>
              <w:t>)</w:t>
            </w:r>
            <w:r w:rsidRPr="00724541">
              <w:t>,</w:t>
            </w:r>
          </w:p>
          <w:p w14:paraId="25BD2CD1" w14:textId="77777777" w:rsidR="00F67E9E" w:rsidRPr="00724541" w:rsidRDefault="00F67E9E" w:rsidP="0052486C">
            <w:pPr>
              <w:pStyle w:val="StdBodyText"/>
              <w:rPr>
                <w:rFonts w:cs="Arial"/>
              </w:rPr>
            </w:pPr>
            <w:r w:rsidRPr="00724541">
              <w:rPr>
                <w:rFonts w:cs="Arial"/>
              </w:rPr>
              <w:t xml:space="preserve">and </w:t>
            </w:r>
            <w:r>
              <w:rPr>
                <w:rFonts w:cs="Arial"/>
              </w:rPr>
              <w:t>“</w:t>
            </w:r>
            <w:r w:rsidRPr="00724541">
              <w:rPr>
                <w:rStyle w:val="StdBodyTextBoldChar"/>
                <w:rFonts w:cs="Arial"/>
              </w:rPr>
              <w:t>Achieved</w:t>
            </w:r>
            <w:r>
              <w:rPr>
                <w:rFonts w:cs="Arial"/>
              </w:rPr>
              <w:t>”</w:t>
            </w:r>
            <w:r w:rsidRPr="00724541">
              <w:rPr>
                <w:rFonts w:cs="Arial"/>
              </w:rPr>
              <w:t xml:space="preserve"> and </w:t>
            </w:r>
            <w:r>
              <w:rPr>
                <w:rFonts w:cs="Arial"/>
              </w:rPr>
              <w:t>“</w:t>
            </w:r>
            <w:r w:rsidRPr="00724541">
              <w:rPr>
                <w:rStyle w:val="StdBodyTextBoldChar"/>
                <w:rFonts w:cs="Arial"/>
              </w:rPr>
              <w:t>Achievement</w:t>
            </w:r>
            <w:r>
              <w:rPr>
                <w:rFonts w:cs="Arial"/>
              </w:rPr>
              <w:t>”</w:t>
            </w:r>
            <w:r w:rsidRPr="00724541">
              <w:rPr>
                <w:rFonts w:cs="Arial"/>
              </w:rPr>
              <w:t xml:space="preserve"> shall be construed accordingly;</w:t>
            </w:r>
          </w:p>
        </w:tc>
      </w:tr>
      <w:tr w:rsidR="002071BF" w:rsidRPr="00724541" w14:paraId="56F78D81" w14:textId="77777777" w:rsidTr="0052486C">
        <w:tc>
          <w:tcPr>
            <w:tcW w:w="2835" w:type="dxa"/>
          </w:tcPr>
          <w:p w14:paraId="19E5A3B4" w14:textId="7682427D" w:rsidR="002071BF" w:rsidRDefault="002071BF" w:rsidP="0052486C">
            <w:pPr>
              <w:pStyle w:val="StdBodyTextBold"/>
              <w:rPr>
                <w:rFonts w:cs="Arial"/>
              </w:rPr>
            </w:pPr>
            <w:r>
              <w:rPr>
                <w:rFonts w:cs="Arial"/>
              </w:rPr>
              <w:t>"Advert Only Platform Customer"</w:t>
            </w:r>
          </w:p>
        </w:tc>
        <w:tc>
          <w:tcPr>
            <w:tcW w:w="6803" w:type="dxa"/>
          </w:tcPr>
          <w:p w14:paraId="19C5DE8D" w14:textId="0A558D01" w:rsidR="002071BF" w:rsidRPr="002071BF" w:rsidRDefault="002071BF" w:rsidP="002071BF">
            <w:pPr>
              <w:pStyle w:val="StdBodyText"/>
              <w:rPr>
                <w:rFonts w:cs="Arial"/>
                <w:b/>
              </w:rPr>
            </w:pPr>
            <w:r w:rsidRPr="002071BF">
              <w:rPr>
                <w:rFonts w:cs="Arial"/>
                <w:color w:val="000000"/>
              </w:rPr>
              <w:t xml:space="preserve">means any Platform Customer </w:t>
            </w:r>
            <w:r w:rsidR="00D24999">
              <w:rPr>
                <w:rFonts w:cs="Arial"/>
                <w:color w:val="000000"/>
              </w:rPr>
              <w:t xml:space="preserve">(as identified by the Authority to the Supplier) </w:t>
            </w:r>
            <w:r w:rsidRPr="002071BF">
              <w:rPr>
                <w:rFonts w:cs="Arial"/>
                <w:color w:val="000000"/>
              </w:rPr>
              <w:t>that can post vacancies on the Civil Service Jobs platform, but where the application process will not take place via the Civil Service Jobs platform and will be undertaken on a separate applicant tracking system</w:t>
            </w:r>
            <w:r>
              <w:rPr>
                <w:rFonts w:cs="Arial"/>
                <w:color w:val="000000"/>
              </w:rPr>
              <w:t xml:space="preserve">, and the term </w:t>
            </w:r>
            <w:r w:rsidRPr="002071BF">
              <w:rPr>
                <w:rFonts w:cs="Arial"/>
                <w:b/>
                <w:color w:val="000000"/>
              </w:rPr>
              <w:t>"Advert Only"</w:t>
            </w:r>
            <w:r>
              <w:rPr>
                <w:rFonts w:cs="Arial"/>
                <w:color w:val="000000"/>
              </w:rPr>
              <w:t xml:space="preserve"> will be construed accordingly</w:t>
            </w:r>
            <w:r w:rsidRPr="002071BF">
              <w:rPr>
                <w:rFonts w:cs="Arial"/>
                <w:color w:val="000000"/>
              </w:rPr>
              <w:t>;</w:t>
            </w:r>
          </w:p>
        </w:tc>
      </w:tr>
      <w:tr w:rsidR="00F67E9E" w:rsidRPr="00724541" w14:paraId="1BD39CA9" w14:textId="77777777" w:rsidTr="0052486C">
        <w:tc>
          <w:tcPr>
            <w:tcW w:w="2835" w:type="dxa"/>
          </w:tcPr>
          <w:p w14:paraId="22DB7295" w14:textId="77777777" w:rsidR="00F67E9E" w:rsidRPr="00724541" w:rsidRDefault="00F67E9E" w:rsidP="0052486C">
            <w:pPr>
              <w:pStyle w:val="StdBodyTextBold"/>
              <w:rPr>
                <w:rFonts w:cs="Arial"/>
              </w:rPr>
            </w:pPr>
            <w:r>
              <w:rPr>
                <w:rFonts w:cs="Arial"/>
              </w:rPr>
              <w:t>“</w:t>
            </w:r>
            <w:r w:rsidRPr="00724541">
              <w:rPr>
                <w:rFonts w:cs="Arial"/>
              </w:rPr>
              <w:t>Affected Party</w:t>
            </w:r>
            <w:r>
              <w:rPr>
                <w:rFonts w:cs="Arial"/>
              </w:rPr>
              <w:t>”</w:t>
            </w:r>
          </w:p>
        </w:tc>
        <w:tc>
          <w:tcPr>
            <w:tcW w:w="6803" w:type="dxa"/>
          </w:tcPr>
          <w:p w14:paraId="57C78203" w14:textId="77777777" w:rsidR="00F67E9E" w:rsidRPr="00724541" w:rsidRDefault="00F67E9E" w:rsidP="0052486C">
            <w:pPr>
              <w:pStyle w:val="StdBodyText"/>
              <w:rPr>
                <w:rFonts w:cs="Arial"/>
              </w:rPr>
            </w:pPr>
            <w:r w:rsidRPr="00724541">
              <w:rPr>
                <w:rFonts w:cs="Arial"/>
              </w:rPr>
              <w:t>the Party seeking to claim relief in respect of a Force Majeure Event;</w:t>
            </w:r>
          </w:p>
        </w:tc>
      </w:tr>
      <w:tr w:rsidR="00F67E9E" w:rsidRPr="00724541" w14:paraId="3D55A90D" w14:textId="77777777" w:rsidTr="0052486C">
        <w:tc>
          <w:tcPr>
            <w:tcW w:w="2835" w:type="dxa"/>
          </w:tcPr>
          <w:p w14:paraId="202DC4A1" w14:textId="77777777" w:rsidR="00F67E9E" w:rsidRPr="00724541" w:rsidRDefault="00F67E9E" w:rsidP="0052486C">
            <w:pPr>
              <w:pStyle w:val="StdBodyTextBold"/>
              <w:rPr>
                <w:rFonts w:cs="Arial"/>
              </w:rPr>
            </w:pPr>
            <w:r>
              <w:rPr>
                <w:rFonts w:cs="Arial"/>
              </w:rPr>
              <w:t>“</w:t>
            </w:r>
            <w:r w:rsidRPr="00724541">
              <w:rPr>
                <w:rFonts w:cs="Arial"/>
              </w:rPr>
              <w:t>Affiliate</w:t>
            </w:r>
            <w:r>
              <w:rPr>
                <w:rFonts w:cs="Arial"/>
              </w:rPr>
              <w:t>”</w:t>
            </w:r>
          </w:p>
        </w:tc>
        <w:tc>
          <w:tcPr>
            <w:tcW w:w="6803" w:type="dxa"/>
          </w:tcPr>
          <w:p w14:paraId="16DD2809" w14:textId="77777777" w:rsidR="00F67E9E" w:rsidRPr="00724541" w:rsidRDefault="00F67E9E" w:rsidP="0052486C">
            <w:pPr>
              <w:pStyle w:val="StdBodyText"/>
              <w:rPr>
                <w:rFonts w:cs="Arial"/>
              </w:rPr>
            </w:pPr>
            <w:r w:rsidRPr="00724541">
              <w:rPr>
                <w:rFonts w:cs="Arial"/>
              </w:rPr>
              <w:t xml:space="preserve">in relation to a body corporate, any other entity which directly or indirectly Controls, is Controlled by, or is under direct or </w:t>
            </w:r>
            <w:r w:rsidRPr="00724541">
              <w:rPr>
                <w:rFonts w:cs="Arial"/>
              </w:rPr>
              <w:lastRenderedPageBreak/>
              <w:t>indirect common Control with, that body corporate from time to time;</w:t>
            </w:r>
          </w:p>
        </w:tc>
      </w:tr>
      <w:tr w:rsidR="00F67E9E" w:rsidRPr="00724541" w14:paraId="70444247" w14:textId="77777777" w:rsidTr="0052486C">
        <w:tc>
          <w:tcPr>
            <w:tcW w:w="2835" w:type="dxa"/>
          </w:tcPr>
          <w:p w14:paraId="1A433204" w14:textId="77777777" w:rsidR="00F67E9E" w:rsidRPr="00724541" w:rsidRDefault="00F67E9E" w:rsidP="0052486C">
            <w:pPr>
              <w:pStyle w:val="StdBodyTextBold"/>
              <w:rPr>
                <w:rFonts w:cs="Arial"/>
              </w:rPr>
            </w:pPr>
            <w:r>
              <w:rPr>
                <w:rFonts w:cs="Arial"/>
              </w:rPr>
              <w:lastRenderedPageBreak/>
              <w:t>“</w:t>
            </w:r>
            <w:r w:rsidRPr="00724541">
              <w:rPr>
                <w:rFonts w:cs="Arial"/>
              </w:rPr>
              <w:t>Allowable Assumptions</w:t>
            </w:r>
            <w:r>
              <w:rPr>
                <w:rFonts w:cs="Arial"/>
              </w:rPr>
              <w:t>”</w:t>
            </w:r>
          </w:p>
        </w:tc>
        <w:tc>
          <w:tcPr>
            <w:tcW w:w="6803" w:type="dxa"/>
          </w:tcPr>
          <w:p w14:paraId="1EE27236" w14:textId="648B95AC" w:rsidR="00F67E9E" w:rsidRPr="00724541" w:rsidRDefault="00F67E9E" w:rsidP="0052486C">
            <w:pPr>
              <w:pStyle w:val="StdBodyText"/>
              <w:rPr>
                <w:rFonts w:cs="Arial"/>
              </w:rPr>
            </w:pPr>
            <w:r w:rsidRPr="00724541">
              <w:rPr>
                <w:rFonts w:cs="Arial"/>
              </w:rPr>
              <w:t xml:space="preserve">the assumptions set out in Annex </w:t>
            </w:r>
            <w:r w:rsidRPr="00724541">
              <w:rPr>
                <w:rFonts w:cs="Arial"/>
              </w:rPr>
              <w:fldChar w:fldCharType="begin"/>
            </w:r>
            <w:r w:rsidRPr="00724541">
              <w:rPr>
                <w:rFonts w:cs="Arial"/>
              </w:rPr>
              <w:instrText xml:space="preserve"> REF ANNEX5_SCHEDULE15 \h  \* MERGEFORMAT </w:instrText>
            </w:r>
            <w:r w:rsidRPr="00724541">
              <w:rPr>
                <w:rFonts w:cs="Arial"/>
              </w:rPr>
            </w:r>
            <w:r w:rsidRPr="00724541">
              <w:rPr>
                <w:rFonts w:cs="Arial"/>
              </w:rPr>
              <w:fldChar w:fldCharType="separate"/>
            </w:r>
            <w:r w:rsidR="007A1473" w:rsidRPr="007A1473">
              <w:rPr>
                <w:rFonts w:cs="Arial"/>
              </w:rPr>
              <w:t>5</w:t>
            </w:r>
            <w:r w:rsidRPr="00724541">
              <w:rPr>
                <w:rFonts w:cs="Arial"/>
              </w:rPr>
              <w:fldChar w:fldCharType="end"/>
            </w:r>
            <w:r w:rsidRPr="00724541">
              <w:rPr>
                <w:rFonts w:cs="Arial"/>
              </w:rPr>
              <w:t xml:space="preserve"> of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724541">
              <w:rPr>
                <w:rFonts w:cs="Arial"/>
              </w:rPr>
              <w:t>;</w:t>
            </w:r>
          </w:p>
        </w:tc>
      </w:tr>
      <w:tr w:rsidR="00F67E9E" w:rsidRPr="00724541" w14:paraId="2C683586" w14:textId="77777777" w:rsidTr="0052486C">
        <w:tc>
          <w:tcPr>
            <w:tcW w:w="2835" w:type="dxa"/>
          </w:tcPr>
          <w:p w14:paraId="05AF94A2" w14:textId="77777777" w:rsidR="00F67E9E" w:rsidRPr="00724541" w:rsidRDefault="00F67E9E" w:rsidP="0052486C">
            <w:pPr>
              <w:pStyle w:val="StdBodyTextBold"/>
              <w:rPr>
                <w:rFonts w:cs="Arial"/>
              </w:rPr>
            </w:pPr>
            <w:r>
              <w:rPr>
                <w:rFonts w:cs="Arial"/>
              </w:rPr>
              <w:t>“</w:t>
            </w:r>
            <w:r w:rsidRPr="00724541">
              <w:rPr>
                <w:rFonts w:cs="Arial"/>
              </w:rPr>
              <w:t>Allowable Price</w:t>
            </w:r>
            <w:r>
              <w:rPr>
                <w:rFonts w:cs="Arial"/>
              </w:rPr>
              <w:t>”</w:t>
            </w:r>
          </w:p>
        </w:tc>
        <w:tc>
          <w:tcPr>
            <w:tcW w:w="6803" w:type="dxa"/>
          </w:tcPr>
          <w:p w14:paraId="3BE5C1A0" w14:textId="77777777" w:rsidR="00F67E9E" w:rsidRPr="00724541" w:rsidRDefault="00F67E9E" w:rsidP="0052486C">
            <w:pPr>
              <w:pStyle w:val="StdBodyText"/>
              <w:rPr>
                <w:rFonts w:cs="Arial"/>
              </w:rPr>
            </w:pPr>
            <w:r w:rsidRPr="00724541">
              <w:rPr>
                <w:rFonts w:cs="Arial"/>
              </w:rPr>
              <w:t>in relation to the Retained Deliverables relating to a CPP Milestone, if any, an amount determined in accordance with the formula:</w:t>
            </w:r>
          </w:p>
          <w:p w14:paraId="7841E87E" w14:textId="77777777" w:rsidR="00F67E9E" w:rsidRPr="00724541" w:rsidRDefault="00F67E9E" w:rsidP="0052486C">
            <w:pPr>
              <w:pStyle w:val="StdBodyText"/>
              <w:rPr>
                <w:rFonts w:cs="Arial"/>
              </w:rPr>
            </w:pPr>
            <w:r w:rsidRPr="00724541">
              <w:rPr>
                <w:rFonts w:cs="Arial"/>
              </w:rPr>
              <w:t>A – B</w:t>
            </w:r>
          </w:p>
          <w:p w14:paraId="13813405" w14:textId="77777777" w:rsidR="00F67E9E" w:rsidRPr="00724541" w:rsidRDefault="00F67E9E" w:rsidP="0052486C">
            <w:pPr>
              <w:pStyle w:val="StdBodyText"/>
              <w:rPr>
                <w:rFonts w:cs="Arial"/>
              </w:rPr>
            </w:pPr>
            <w:r w:rsidRPr="00724541">
              <w:rPr>
                <w:rFonts w:cs="Arial"/>
              </w:rPr>
              <w:t>where:</w:t>
            </w:r>
          </w:p>
          <w:p w14:paraId="5EB55C3C" w14:textId="77777777" w:rsidR="00F67E9E" w:rsidRPr="000A6AA5" w:rsidRDefault="00F67E9E" w:rsidP="00F13933">
            <w:pPr>
              <w:pStyle w:val="DefinitionList"/>
              <w:numPr>
                <w:ilvl w:val="0"/>
                <w:numId w:val="112"/>
              </w:numPr>
              <w:rPr>
                <w:rFonts w:cs="Arial"/>
              </w:rPr>
            </w:pPr>
            <w:r w:rsidRPr="000A6AA5">
              <w:rPr>
                <w:rFonts w:cs="Arial"/>
              </w:rPr>
              <w:t>A is an amount equal to the Costs incurred by the Supplier in providing or developing the relevant Retained Deliverables as reflected in the Financial Model together with an amount equal to the Anticipated Contract Life Profit Margin thereon; and</w:t>
            </w:r>
          </w:p>
          <w:p w14:paraId="6EA06161" w14:textId="77777777" w:rsidR="00F67E9E" w:rsidRPr="00724541" w:rsidRDefault="00F67E9E" w:rsidP="00F13933">
            <w:pPr>
              <w:pStyle w:val="DefinitionList"/>
              <w:numPr>
                <w:ilvl w:val="0"/>
                <w:numId w:val="78"/>
              </w:numPr>
              <w:rPr>
                <w:rFonts w:cs="Arial"/>
              </w:rPr>
            </w:pPr>
            <w:r w:rsidRPr="00724541">
              <w:rPr>
                <w:rFonts w:cs="Arial"/>
              </w:rPr>
              <w:t>B is an amount equal to the Allowable Price Adjustment relating to the relevant Retained Deliverables, if any, or if there is no such Allowable Price Adjustment, zero,</w:t>
            </w:r>
          </w:p>
          <w:p w14:paraId="19C4C28C" w14:textId="77777777" w:rsidR="00F67E9E" w:rsidRPr="00724541" w:rsidRDefault="00F67E9E" w:rsidP="0052486C">
            <w:pPr>
              <w:pStyle w:val="StdBodyText"/>
              <w:rPr>
                <w:rFonts w:cs="Arial"/>
              </w:rPr>
            </w:pPr>
            <w:r w:rsidRPr="00724541">
              <w:rPr>
                <w:rFonts w:cs="Arial"/>
              </w:rPr>
              <w:t>provided that the Allowable Price for any Retained Deliverables shall in no circumstances exceed the aggregate amount of the Milestone Payments paid to the Supplier in respect of the Milestones (or in the case of Partial Termination, the Milestones for the parts of the Services terminated) relating to that CPP Milestone;</w:t>
            </w:r>
          </w:p>
        </w:tc>
      </w:tr>
      <w:tr w:rsidR="00F67E9E" w:rsidRPr="00724541" w14:paraId="1F1258F8" w14:textId="77777777" w:rsidTr="0052486C">
        <w:tc>
          <w:tcPr>
            <w:tcW w:w="2835" w:type="dxa"/>
          </w:tcPr>
          <w:p w14:paraId="34DA2627" w14:textId="77777777" w:rsidR="00F67E9E" w:rsidRPr="00724541" w:rsidRDefault="00F67E9E" w:rsidP="0052486C">
            <w:pPr>
              <w:pStyle w:val="StdBodyTextBold"/>
              <w:rPr>
                <w:rFonts w:cs="Arial"/>
              </w:rPr>
            </w:pPr>
            <w:r>
              <w:rPr>
                <w:rFonts w:cs="Arial"/>
              </w:rPr>
              <w:t>“</w:t>
            </w:r>
            <w:r w:rsidRPr="00724541">
              <w:rPr>
                <w:rFonts w:cs="Arial"/>
              </w:rPr>
              <w:t>Allowable Price Adjustment</w:t>
            </w:r>
            <w:r>
              <w:rPr>
                <w:rFonts w:cs="Arial"/>
              </w:rPr>
              <w:t>”</w:t>
            </w:r>
          </w:p>
        </w:tc>
        <w:tc>
          <w:tcPr>
            <w:tcW w:w="6803" w:type="dxa"/>
          </w:tcPr>
          <w:p w14:paraId="2FF68328" w14:textId="77777777" w:rsidR="00F67E9E" w:rsidRPr="00724541" w:rsidRDefault="00F67E9E" w:rsidP="0052486C">
            <w:pPr>
              <w:pStyle w:val="StdBodyText"/>
              <w:rPr>
                <w:rFonts w:cs="Arial"/>
              </w:rPr>
            </w:pPr>
            <w:r w:rsidRPr="00724541">
              <w:rPr>
                <w:rFonts w:cs="Arial"/>
              </w:rPr>
              <w:t xml:space="preserve">has the meaning given in </w:t>
            </w:r>
            <w:bookmarkStart w:id="7" w:name="_9kMHG5YVtCJBAGKJHNwv1x90aV41r52tTP49KHE"/>
            <w:bookmarkStart w:id="8" w:name="_9kMHG5YVtCIAAGLKHNwv1x90aV41r52tTP49KHE"/>
            <w:r w:rsidRPr="00724541">
              <w:rPr>
                <w:rFonts w:cs="Arial"/>
              </w:rPr>
              <w:t>Clause</w:t>
            </w:r>
            <w:r>
              <w:rPr>
                <w:rFonts w:cs="Arial"/>
              </w:rPr>
              <w:t> </w:t>
            </w:r>
            <w:r w:rsidRPr="00724541">
              <w:rPr>
                <w:rFonts w:cs="Arial"/>
              </w:rPr>
              <w:t xml:space="preserve"> </w:t>
            </w:r>
            <w:bookmarkEnd w:id="7"/>
            <w:bookmarkEnd w:id="8"/>
            <w:r w:rsidRPr="00724541">
              <w:rPr>
                <w:rFonts w:cs="Arial"/>
              </w:rPr>
              <w:t>32.8(c) (</w:t>
            </w:r>
            <w:r w:rsidRPr="00C04B2F">
              <w:rPr>
                <w:rFonts w:cs="Arial"/>
                <w:i/>
                <w:iCs/>
              </w:rPr>
              <w:t>Payments by the Supplier</w:t>
            </w:r>
            <w:r w:rsidRPr="00724541">
              <w:rPr>
                <w:rFonts w:cs="Arial"/>
              </w:rPr>
              <w:t>);</w:t>
            </w:r>
          </w:p>
        </w:tc>
      </w:tr>
      <w:tr w:rsidR="00F67E9E" w:rsidRPr="00724541" w14:paraId="3DB6F3D4" w14:textId="77777777" w:rsidTr="0052486C">
        <w:tc>
          <w:tcPr>
            <w:tcW w:w="2835" w:type="dxa"/>
          </w:tcPr>
          <w:p w14:paraId="1DEBE7DB" w14:textId="77777777" w:rsidR="00F67E9E" w:rsidRPr="00724541" w:rsidRDefault="00F67E9E" w:rsidP="0052486C">
            <w:pPr>
              <w:pStyle w:val="StdBodyTextBold"/>
              <w:rPr>
                <w:rFonts w:cs="Arial"/>
              </w:rPr>
            </w:pPr>
            <w:r>
              <w:rPr>
                <w:rFonts w:cs="Arial"/>
              </w:rPr>
              <w:t>“</w:t>
            </w:r>
            <w:r w:rsidRPr="00724541">
              <w:rPr>
                <w:rFonts w:cs="Arial"/>
              </w:rPr>
              <w:t>Annual Contract Report</w:t>
            </w:r>
            <w:r>
              <w:rPr>
                <w:rFonts w:cs="Arial"/>
              </w:rPr>
              <w:t>”</w:t>
            </w:r>
          </w:p>
        </w:tc>
        <w:tc>
          <w:tcPr>
            <w:tcW w:w="6803" w:type="dxa"/>
          </w:tcPr>
          <w:p w14:paraId="7E2A7427" w14:textId="13DA0973" w:rsidR="00F67E9E" w:rsidRPr="00724541" w:rsidRDefault="00F67E9E" w:rsidP="0052486C">
            <w:pPr>
              <w:pStyle w:val="StdBodyText"/>
              <w:rPr>
                <w:rFonts w:cs="Arial"/>
              </w:rPr>
            </w:pPr>
            <w:r w:rsidRPr="00724541">
              <w:rPr>
                <w:rFonts w:cs="Arial"/>
              </w:rPr>
              <w:t xml:space="preserve">has the meaning given in </w:t>
            </w:r>
            <w:r>
              <w:rPr>
                <w:rFonts w:cs="Arial"/>
              </w:rPr>
              <w:fldChar w:fldCharType="begin"/>
            </w:r>
            <w:r>
              <w:rPr>
                <w:rFonts w:cs="Arial"/>
              </w:rPr>
              <w:instrText xml:space="preserve"> REF Schedule19 \h </w:instrText>
            </w:r>
            <w:r>
              <w:rPr>
                <w:rFonts w:cs="Arial"/>
              </w:rPr>
            </w:r>
            <w:r>
              <w:rPr>
                <w:rFonts w:cs="Arial"/>
              </w:rPr>
              <w:fldChar w:fldCharType="separate"/>
            </w:r>
            <w:r w:rsidR="007A1473" w:rsidRPr="005D0525">
              <w:t>Schedule</w:t>
            </w:r>
            <w:r w:rsidR="007A1473">
              <w:t> </w:t>
            </w:r>
            <w:r w:rsidR="007A1473" w:rsidRPr="005D0525">
              <w:t>19</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Schedule19Heading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Reports and Audit Rights</w:t>
            </w:r>
            <w:r w:rsidRPr="002F30DB">
              <w:rPr>
                <w:rFonts w:cs="Arial"/>
                <w:i/>
                <w:iCs/>
              </w:rPr>
              <w:fldChar w:fldCharType="end"/>
            </w:r>
            <w:r>
              <w:rPr>
                <w:rFonts w:cs="Arial"/>
              </w:rPr>
              <w:t>)</w:t>
            </w:r>
            <w:r w:rsidRPr="00724541">
              <w:rPr>
                <w:rFonts w:cs="Arial"/>
              </w:rPr>
              <w:t>;</w:t>
            </w:r>
          </w:p>
        </w:tc>
      </w:tr>
      <w:tr w:rsidR="00F67E9E" w:rsidRPr="00724541" w14:paraId="51C548EF" w14:textId="77777777" w:rsidTr="0052486C">
        <w:tc>
          <w:tcPr>
            <w:tcW w:w="2835" w:type="dxa"/>
          </w:tcPr>
          <w:p w14:paraId="2EB4E901" w14:textId="77777777" w:rsidR="00F67E9E" w:rsidRPr="00724541" w:rsidRDefault="00F67E9E" w:rsidP="0052486C">
            <w:pPr>
              <w:pStyle w:val="StdBodyTextBold"/>
              <w:rPr>
                <w:rFonts w:cs="Arial"/>
              </w:rPr>
            </w:pPr>
            <w:r>
              <w:rPr>
                <w:rFonts w:cs="Arial"/>
              </w:rPr>
              <w:t>“</w:t>
            </w:r>
            <w:r w:rsidRPr="00724541">
              <w:rPr>
                <w:rFonts w:cs="Arial"/>
              </w:rPr>
              <w:t>Annual Revenue</w:t>
            </w:r>
            <w:r>
              <w:rPr>
                <w:rFonts w:cs="Arial"/>
              </w:rPr>
              <w:t>”</w:t>
            </w:r>
          </w:p>
        </w:tc>
        <w:tc>
          <w:tcPr>
            <w:tcW w:w="6803" w:type="dxa"/>
          </w:tcPr>
          <w:p w14:paraId="6D5B8ECC" w14:textId="77777777" w:rsidR="00F67E9E" w:rsidRPr="00724541" w:rsidRDefault="00F67E9E" w:rsidP="0052486C">
            <w:pPr>
              <w:pStyle w:val="StdBodyText"/>
              <w:rPr>
                <w:rFonts w:cs="Arial"/>
              </w:rPr>
            </w:pPr>
            <w:r w:rsidRPr="00724541">
              <w:rPr>
                <w:rFonts w:cs="Arial"/>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6C82143A" w14:textId="77777777" w:rsidR="00F67E9E" w:rsidRPr="00724541" w:rsidRDefault="00F67E9E" w:rsidP="00F13933">
            <w:pPr>
              <w:pStyle w:val="DefinitionList"/>
              <w:numPr>
                <w:ilvl w:val="0"/>
                <w:numId w:val="105"/>
              </w:numPr>
            </w:pPr>
            <w:r w:rsidRPr="00724541">
              <w:t>figures for accounting periods of other than 12 months should be scaled pro rata to produce a proforma figure for a 12 month period; and</w:t>
            </w:r>
          </w:p>
          <w:p w14:paraId="554EF978" w14:textId="77777777" w:rsidR="00F67E9E" w:rsidRPr="00724541" w:rsidRDefault="00F67E9E" w:rsidP="00F13933">
            <w:pPr>
              <w:pStyle w:val="DefinitionList"/>
              <w:numPr>
                <w:ilvl w:val="0"/>
                <w:numId w:val="78"/>
              </w:numPr>
              <w:rPr>
                <w:rFonts w:cs="Arial"/>
              </w:rPr>
            </w:pPr>
            <w:r w:rsidRPr="00724541">
              <w:rPr>
                <w:rFonts w:cs="Arial"/>
              </w:rPr>
              <w:t xml:space="preserve">where the Supplier, the Supplier Group and/or their joint ventures and Associates report in a foreign currency, revenue should be converted to British Pound Sterling </w:t>
            </w:r>
            <w:r w:rsidRPr="00724541">
              <w:rPr>
                <w:rFonts w:cs="Arial"/>
              </w:rPr>
              <w:lastRenderedPageBreak/>
              <w:t>at the closing exchange rate on the Accounting Reference Date;</w:t>
            </w:r>
          </w:p>
        </w:tc>
      </w:tr>
      <w:tr w:rsidR="00F67E9E" w:rsidRPr="00724541" w14:paraId="5CB523B6" w14:textId="77777777" w:rsidTr="0052486C">
        <w:tc>
          <w:tcPr>
            <w:tcW w:w="2835" w:type="dxa"/>
          </w:tcPr>
          <w:p w14:paraId="188BD896" w14:textId="77777777" w:rsidR="00F67E9E" w:rsidRPr="00724541" w:rsidRDefault="00F67E9E" w:rsidP="0052486C">
            <w:pPr>
              <w:pStyle w:val="StdBodyTextBold"/>
              <w:rPr>
                <w:rFonts w:cs="Arial"/>
              </w:rPr>
            </w:pPr>
            <w:r>
              <w:rPr>
                <w:rFonts w:cs="Arial"/>
              </w:rPr>
              <w:lastRenderedPageBreak/>
              <w:t>“</w:t>
            </w:r>
            <w:r w:rsidRPr="00724541">
              <w:rPr>
                <w:rFonts w:cs="Arial"/>
              </w:rPr>
              <w:t>Anticipated Contract Life Profit Margin</w:t>
            </w:r>
            <w:r>
              <w:rPr>
                <w:rFonts w:cs="Arial"/>
              </w:rPr>
              <w:t>”</w:t>
            </w:r>
          </w:p>
        </w:tc>
        <w:tc>
          <w:tcPr>
            <w:tcW w:w="6803" w:type="dxa"/>
          </w:tcPr>
          <w:p w14:paraId="4800AB36" w14:textId="064FE54D" w:rsidR="00F67E9E" w:rsidRPr="00724541" w:rsidRDefault="00F67E9E" w:rsidP="0052486C">
            <w:pPr>
              <w:pStyle w:val="StdBodyText"/>
              <w:rPr>
                <w:rFonts w:cs="Arial"/>
              </w:rPr>
            </w:pPr>
            <w:r w:rsidRPr="00724541">
              <w:rPr>
                <w:rFonts w:cs="Arial"/>
              </w:rPr>
              <w:t xml:space="preserve">has the meaning given in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724541">
              <w:rPr>
                <w:rFonts w:cs="Arial"/>
              </w:rPr>
              <w:t>;</w:t>
            </w:r>
          </w:p>
        </w:tc>
      </w:tr>
      <w:tr w:rsidR="00F67E9E" w:rsidRPr="00724541" w14:paraId="2F7E9B5E" w14:textId="77777777" w:rsidTr="0052486C">
        <w:tc>
          <w:tcPr>
            <w:tcW w:w="2835" w:type="dxa"/>
          </w:tcPr>
          <w:p w14:paraId="2C27E8F1" w14:textId="77777777" w:rsidR="00F67E9E" w:rsidRPr="00724541" w:rsidRDefault="00F67E9E" w:rsidP="0052486C">
            <w:pPr>
              <w:pStyle w:val="StdBodyTextBold"/>
              <w:rPr>
                <w:rFonts w:cs="Arial"/>
              </w:rPr>
            </w:pPr>
            <w:r>
              <w:rPr>
                <w:rFonts w:cs="Arial"/>
              </w:rPr>
              <w:t>“</w:t>
            </w:r>
            <w:r w:rsidRPr="00724541">
              <w:rPr>
                <w:rFonts w:cs="Arial"/>
              </w:rPr>
              <w:t>Approved Sub</w:t>
            </w:r>
            <w:r>
              <w:rPr>
                <w:rFonts w:cs="Arial"/>
              </w:rPr>
              <w:noBreakHyphen/>
            </w:r>
            <w:r w:rsidRPr="00724541">
              <w:rPr>
                <w:rFonts w:cs="Arial"/>
              </w:rPr>
              <w:t>Licensee</w:t>
            </w:r>
            <w:r>
              <w:rPr>
                <w:rFonts w:cs="Arial"/>
              </w:rPr>
              <w:t>”</w:t>
            </w:r>
          </w:p>
        </w:tc>
        <w:tc>
          <w:tcPr>
            <w:tcW w:w="6803" w:type="dxa"/>
          </w:tcPr>
          <w:p w14:paraId="122027A4" w14:textId="77777777" w:rsidR="00F67E9E" w:rsidRPr="00724541" w:rsidRDefault="00F67E9E" w:rsidP="0052486C">
            <w:pPr>
              <w:pStyle w:val="StdBodyText"/>
              <w:rPr>
                <w:rFonts w:cs="Arial"/>
              </w:rPr>
            </w:pPr>
            <w:r w:rsidRPr="00724541">
              <w:rPr>
                <w:rFonts w:cs="Arial"/>
              </w:rPr>
              <w:t xml:space="preserve">any of the following: </w:t>
            </w:r>
          </w:p>
          <w:p w14:paraId="769D79FE" w14:textId="77777777" w:rsidR="00F67E9E" w:rsidRPr="00724541" w:rsidRDefault="00F67E9E" w:rsidP="00F13933">
            <w:pPr>
              <w:pStyle w:val="DefinitionList"/>
              <w:numPr>
                <w:ilvl w:val="0"/>
                <w:numId w:val="106"/>
              </w:numPr>
            </w:pPr>
            <w:r w:rsidRPr="00724541">
              <w:t xml:space="preserve">a </w:t>
            </w:r>
            <w:r>
              <w:t>Crown</w:t>
            </w:r>
            <w:r w:rsidRPr="00724541">
              <w:t xml:space="preserve"> Body; </w:t>
            </w:r>
          </w:p>
          <w:p w14:paraId="125E070D" w14:textId="77777777" w:rsidR="00F67E9E" w:rsidRPr="00724541" w:rsidRDefault="00F67E9E" w:rsidP="00F13933">
            <w:pPr>
              <w:pStyle w:val="DefinitionList"/>
              <w:numPr>
                <w:ilvl w:val="0"/>
                <w:numId w:val="78"/>
              </w:numPr>
              <w:rPr>
                <w:rFonts w:cs="Arial"/>
              </w:rPr>
            </w:pPr>
            <w:r w:rsidRPr="00724541">
              <w:rPr>
                <w:rFonts w:cs="Arial"/>
              </w:rPr>
              <w:t xml:space="preserve">any third party providing services to a </w:t>
            </w:r>
            <w:r>
              <w:t>Crown</w:t>
            </w:r>
            <w:r w:rsidRPr="00724541">
              <w:t xml:space="preserve"> </w:t>
            </w:r>
            <w:r w:rsidRPr="00724541">
              <w:rPr>
                <w:rFonts w:cs="Arial"/>
              </w:rPr>
              <w:t>Body; and/or</w:t>
            </w:r>
          </w:p>
          <w:p w14:paraId="3C414847" w14:textId="77777777" w:rsidR="00F67E9E" w:rsidRPr="00724541" w:rsidRDefault="00F67E9E" w:rsidP="00F13933">
            <w:pPr>
              <w:pStyle w:val="DefinitionList"/>
              <w:numPr>
                <w:ilvl w:val="0"/>
                <w:numId w:val="78"/>
              </w:numPr>
              <w:rPr>
                <w:rFonts w:cs="Arial"/>
              </w:rPr>
            </w:pPr>
            <w:r w:rsidRPr="00724541">
              <w:rPr>
                <w:rFonts w:cs="Arial"/>
              </w:rPr>
              <w:t xml:space="preserve">any body (including any private sector body) which performs or carries on any of the functions and/or activities that previously had been performed and/or carried on by the Authority; </w:t>
            </w:r>
          </w:p>
        </w:tc>
      </w:tr>
      <w:tr w:rsidR="00F67E9E" w:rsidRPr="00724541" w14:paraId="0DBC1BFD" w14:textId="77777777" w:rsidTr="0052486C">
        <w:tc>
          <w:tcPr>
            <w:tcW w:w="2835" w:type="dxa"/>
          </w:tcPr>
          <w:p w14:paraId="271B3B3E" w14:textId="77777777" w:rsidR="00F67E9E" w:rsidRPr="00724541" w:rsidRDefault="00F67E9E" w:rsidP="0052486C">
            <w:pPr>
              <w:pStyle w:val="StdBodyTextBold"/>
              <w:rPr>
                <w:rFonts w:cs="Arial"/>
              </w:rPr>
            </w:pPr>
            <w:r>
              <w:rPr>
                <w:rFonts w:cs="Arial"/>
              </w:rPr>
              <w:t>“</w:t>
            </w:r>
            <w:r w:rsidRPr="00724541">
              <w:rPr>
                <w:rFonts w:cs="Arial"/>
              </w:rPr>
              <w:t>Assets</w:t>
            </w:r>
            <w:r>
              <w:rPr>
                <w:rFonts w:cs="Arial"/>
              </w:rPr>
              <w:t>”</w:t>
            </w:r>
          </w:p>
        </w:tc>
        <w:tc>
          <w:tcPr>
            <w:tcW w:w="6803" w:type="dxa"/>
          </w:tcPr>
          <w:p w14:paraId="5ABC880C" w14:textId="77777777" w:rsidR="00F67E9E" w:rsidRPr="00724541" w:rsidRDefault="00F67E9E" w:rsidP="0052486C">
            <w:pPr>
              <w:pStyle w:val="StdBodyText"/>
              <w:rPr>
                <w:rFonts w:cs="Arial"/>
              </w:rPr>
            </w:pPr>
            <w:r w:rsidRPr="00724541">
              <w:rPr>
                <w:rFonts w:cs="Arial"/>
              </w:rPr>
              <w:t>all assets and rights used by the Supplier to provide the Services in accordance with this Contract but excluding the Authority Assets;</w:t>
            </w:r>
          </w:p>
        </w:tc>
      </w:tr>
      <w:tr w:rsidR="00F67E9E" w:rsidRPr="00724541" w14:paraId="7CD3FFE7" w14:textId="77777777" w:rsidTr="0052486C">
        <w:tc>
          <w:tcPr>
            <w:tcW w:w="2835" w:type="dxa"/>
          </w:tcPr>
          <w:p w14:paraId="048A7468" w14:textId="77777777" w:rsidR="00F67E9E" w:rsidRPr="00724541" w:rsidRDefault="00F67E9E" w:rsidP="0052486C">
            <w:pPr>
              <w:pStyle w:val="StdBodyTextBold"/>
              <w:rPr>
                <w:rFonts w:cs="Arial"/>
              </w:rPr>
            </w:pPr>
            <w:r>
              <w:rPr>
                <w:rFonts w:cs="Arial"/>
              </w:rPr>
              <w:t>“</w:t>
            </w:r>
            <w:r w:rsidRPr="00724541">
              <w:rPr>
                <w:rFonts w:cs="Arial"/>
              </w:rPr>
              <w:t>Associated Person</w:t>
            </w:r>
            <w:r>
              <w:rPr>
                <w:rFonts w:cs="Arial"/>
              </w:rPr>
              <w:t>”</w:t>
            </w:r>
          </w:p>
        </w:tc>
        <w:tc>
          <w:tcPr>
            <w:tcW w:w="6803" w:type="dxa"/>
          </w:tcPr>
          <w:p w14:paraId="4EA075CC" w14:textId="77777777" w:rsidR="00F67E9E" w:rsidRPr="00724541" w:rsidRDefault="00F67E9E" w:rsidP="0052486C">
            <w:pPr>
              <w:pStyle w:val="StdBodyText"/>
              <w:rPr>
                <w:rFonts w:cs="Arial"/>
              </w:rPr>
            </w:pPr>
            <w:r w:rsidRPr="00724541">
              <w:rPr>
                <w:rFonts w:cs="Arial"/>
              </w:rPr>
              <w:t xml:space="preserve">has the meaning given to it in </w:t>
            </w:r>
            <w:bookmarkStart w:id="9" w:name="_9kR3WTr277DGAbLcszv1INO9y47tPXA67921hZE"/>
            <w:r w:rsidRPr="00724541">
              <w:rPr>
                <w:rFonts w:cs="Arial"/>
              </w:rPr>
              <w:t>Section 44(4) of the Criminal Finances Act 2017</w:t>
            </w:r>
            <w:bookmarkEnd w:id="9"/>
            <w:r w:rsidRPr="00724541">
              <w:rPr>
                <w:rFonts w:cs="Arial"/>
              </w:rPr>
              <w:t>;</w:t>
            </w:r>
          </w:p>
        </w:tc>
      </w:tr>
      <w:tr w:rsidR="00F67E9E" w:rsidRPr="00724541" w14:paraId="4A25D797" w14:textId="77777777" w:rsidTr="0052486C">
        <w:tc>
          <w:tcPr>
            <w:tcW w:w="2835" w:type="dxa"/>
          </w:tcPr>
          <w:p w14:paraId="6C0D373A" w14:textId="77777777" w:rsidR="00F67E9E" w:rsidRPr="00724541" w:rsidRDefault="00F67E9E" w:rsidP="0052486C">
            <w:pPr>
              <w:pStyle w:val="StdBodyTextBold"/>
              <w:rPr>
                <w:rFonts w:cs="Arial"/>
              </w:rPr>
            </w:pPr>
            <w:r>
              <w:rPr>
                <w:rFonts w:cs="Arial"/>
              </w:rPr>
              <w:t>“</w:t>
            </w:r>
            <w:r w:rsidRPr="00724541">
              <w:rPr>
                <w:rFonts w:cs="Arial"/>
              </w:rPr>
              <w:t>Associates</w:t>
            </w:r>
            <w:r>
              <w:rPr>
                <w:rFonts w:cs="Arial"/>
              </w:rPr>
              <w:t>”</w:t>
            </w:r>
          </w:p>
        </w:tc>
        <w:tc>
          <w:tcPr>
            <w:tcW w:w="6803" w:type="dxa"/>
          </w:tcPr>
          <w:p w14:paraId="520CA514" w14:textId="77777777" w:rsidR="00F67E9E" w:rsidRPr="00724541" w:rsidRDefault="00F67E9E" w:rsidP="0052486C">
            <w:pPr>
              <w:pStyle w:val="StdBodyText"/>
              <w:rPr>
                <w:rFonts w:cs="Arial"/>
              </w:rPr>
            </w:pPr>
            <w:r w:rsidRPr="00724541">
              <w:rPr>
                <w:rFonts w:cs="Arial"/>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F67E9E" w:rsidRPr="00724541" w14:paraId="78B8AA9F" w14:textId="77777777" w:rsidTr="0052486C">
        <w:tc>
          <w:tcPr>
            <w:tcW w:w="2835" w:type="dxa"/>
          </w:tcPr>
          <w:p w14:paraId="28CCA834" w14:textId="77777777" w:rsidR="00F67E9E" w:rsidRPr="00724541" w:rsidRDefault="00F67E9E" w:rsidP="0052486C">
            <w:pPr>
              <w:pStyle w:val="StdBodyTextBold"/>
              <w:rPr>
                <w:rFonts w:cs="Arial"/>
              </w:rPr>
            </w:pPr>
            <w:r>
              <w:rPr>
                <w:rFonts w:cs="Arial"/>
              </w:rPr>
              <w:t>“</w:t>
            </w:r>
            <w:r w:rsidRPr="00724541">
              <w:rPr>
                <w:rFonts w:cs="Arial"/>
              </w:rPr>
              <w:t>Assurance</w:t>
            </w:r>
            <w:r>
              <w:rPr>
                <w:rFonts w:cs="Arial"/>
              </w:rPr>
              <w:t>”</w:t>
            </w:r>
          </w:p>
        </w:tc>
        <w:tc>
          <w:tcPr>
            <w:tcW w:w="6803" w:type="dxa"/>
          </w:tcPr>
          <w:p w14:paraId="4E5D9F64" w14:textId="77777777" w:rsidR="00F67E9E" w:rsidRPr="00724541" w:rsidRDefault="00F67E9E" w:rsidP="0052486C">
            <w:pPr>
              <w:pStyle w:val="StdBodyText"/>
              <w:rPr>
                <w:rFonts w:cs="Arial"/>
              </w:rPr>
            </w:pPr>
            <w:r w:rsidRPr="00724541">
              <w:rPr>
                <w:rFonts w:cs="Arial"/>
              </w:rPr>
              <w:t>means written confirmation from a Relevant Authority to the Supplier that the CRP Information is approved by the Relevant Authority;</w:t>
            </w:r>
          </w:p>
        </w:tc>
      </w:tr>
      <w:tr w:rsidR="00F67E9E" w:rsidRPr="00724541" w14:paraId="2C5AB08F" w14:textId="77777777" w:rsidTr="0052486C">
        <w:tc>
          <w:tcPr>
            <w:tcW w:w="2835" w:type="dxa"/>
          </w:tcPr>
          <w:p w14:paraId="5F769A29" w14:textId="77777777" w:rsidR="00F67E9E" w:rsidRPr="00724541" w:rsidRDefault="00F67E9E" w:rsidP="0052486C">
            <w:pPr>
              <w:pStyle w:val="StdBodyTextBold"/>
              <w:rPr>
                <w:rFonts w:cs="Arial"/>
              </w:rPr>
            </w:pPr>
            <w:r>
              <w:rPr>
                <w:rFonts w:cs="Arial"/>
              </w:rPr>
              <w:t>“</w:t>
            </w:r>
            <w:r w:rsidRPr="00724541">
              <w:rPr>
                <w:rFonts w:cs="Arial"/>
              </w:rPr>
              <w:t>ATP Milestone</w:t>
            </w:r>
            <w:r>
              <w:rPr>
                <w:rFonts w:cs="Arial"/>
              </w:rPr>
              <w:t>”</w:t>
            </w:r>
          </w:p>
        </w:tc>
        <w:tc>
          <w:tcPr>
            <w:tcW w:w="6803" w:type="dxa"/>
          </w:tcPr>
          <w:p w14:paraId="6404EF3C" w14:textId="77777777" w:rsidR="00F67E9E" w:rsidRPr="00724541" w:rsidRDefault="00F67E9E" w:rsidP="0052486C">
            <w:pPr>
              <w:pStyle w:val="StdBodyText"/>
              <w:rPr>
                <w:rFonts w:cs="Arial"/>
              </w:rPr>
            </w:pPr>
            <w:r w:rsidRPr="00724541">
              <w:rPr>
                <w:rFonts w:cs="Arial"/>
              </w:rPr>
              <w:t>the Milestone linked to Authority to Proceed for the relevant Operational Services set out in the Implementation Plan;</w:t>
            </w:r>
          </w:p>
        </w:tc>
      </w:tr>
      <w:tr w:rsidR="00F67E9E" w:rsidRPr="00724541" w14:paraId="5627A8CD" w14:textId="77777777" w:rsidTr="0052486C">
        <w:tc>
          <w:tcPr>
            <w:tcW w:w="2835" w:type="dxa"/>
          </w:tcPr>
          <w:p w14:paraId="2E3416AC" w14:textId="77777777" w:rsidR="00F67E9E" w:rsidRPr="00724541" w:rsidRDefault="00F67E9E" w:rsidP="0052486C">
            <w:pPr>
              <w:pStyle w:val="StdBodyTextBold"/>
              <w:rPr>
                <w:rFonts w:cs="Arial"/>
              </w:rPr>
            </w:pPr>
            <w:r>
              <w:rPr>
                <w:rFonts w:cs="Arial"/>
              </w:rPr>
              <w:t>“</w:t>
            </w:r>
            <w:r w:rsidRPr="00724541">
              <w:rPr>
                <w:rFonts w:cs="Arial"/>
              </w:rPr>
              <w:t>Audit</w:t>
            </w:r>
            <w:r>
              <w:rPr>
                <w:rFonts w:cs="Arial"/>
              </w:rPr>
              <w:t>”</w:t>
            </w:r>
          </w:p>
        </w:tc>
        <w:tc>
          <w:tcPr>
            <w:tcW w:w="6803" w:type="dxa"/>
          </w:tcPr>
          <w:p w14:paraId="1F568B38" w14:textId="1376B5AA" w:rsidR="00F67E9E" w:rsidRPr="00724541" w:rsidRDefault="00F67E9E" w:rsidP="0052486C">
            <w:pPr>
              <w:pStyle w:val="StdBodyText"/>
              <w:rPr>
                <w:rFonts w:cs="Arial"/>
              </w:rPr>
            </w:pPr>
            <w:r w:rsidRPr="00724541">
              <w:rPr>
                <w:rFonts w:cs="Arial"/>
              </w:rPr>
              <w:t xml:space="preserve">any exercise by the Authority of its Audit Rights pursuant to </w:t>
            </w:r>
            <w:bookmarkStart w:id="10" w:name="_9kMJI5YVtCIA8BEgSz3p9LJKl5r2I8APCBMPVXF"/>
            <w:r w:rsidRPr="00724541">
              <w:rPr>
                <w:rFonts w:cs="Arial"/>
              </w:rPr>
              <w:t xml:space="preserve">Clause </w:t>
            </w:r>
            <w:bookmarkEnd w:id="10"/>
            <w:r w:rsidRPr="00724541">
              <w:rPr>
                <w:rFonts w:cs="Arial"/>
              </w:rPr>
              <w:t>12 (</w:t>
            </w:r>
            <w:r w:rsidRPr="00C04B2F">
              <w:rPr>
                <w:rFonts w:cs="Arial"/>
                <w:i/>
                <w:iCs/>
              </w:rPr>
              <w:t>Records, Reports, Audit and Open Book Data</w:t>
            </w:r>
            <w:r w:rsidRPr="00724541">
              <w:rPr>
                <w:rFonts w:cs="Arial"/>
              </w:rPr>
              <w:t xml:space="preserve">) and </w:t>
            </w:r>
            <w:r>
              <w:rPr>
                <w:rFonts w:cs="Arial"/>
              </w:rPr>
              <w:fldChar w:fldCharType="begin"/>
            </w:r>
            <w:r>
              <w:rPr>
                <w:rFonts w:cs="Arial"/>
              </w:rPr>
              <w:instrText xml:space="preserve"> REF Schedule19 \h </w:instrText>
            </w:r>
            <w:r>
              <w:rPr>
                <w:rFonts w:cs="Arial"/>
              </w:rPr>
            </w:r>
            <w:r>
              <w:rPr>
                <w:rFonts w:cs="Arial"/>
              </w:rPr>
              <w:fldChar w:fldCharType="separate"/>
            </w:r>
            <w:r w:rsidR="007A1473" w:rsidRPr="005D0525">
              <w:t>Schedule</w:t>
            </w:r>
            <w:r w:rsidR="007A1473">
              <w:t> </w:t>
            </w:r>
            <w:r w:rsidR="007A1473" w:rsidRPr="005D0525">
              <w:t>19</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Schedule19Heading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Reports and Audit Rights</w:t>
            </w:r>
            <w:r w:rsidRPr="002F30DB">
              <w:rPr>
                <w:rFonts w:cs="Arial"/>
                <w:i/>
                <w:iCs/>
              </w:rPr>
              <w:fldChar w:fldCharType="end"/>
            </w:r>
            <w:r>
              <w:rPr>
                <w:rFonts w:cs="Arial"/>
              </w:rPr>
              <w:t>)</w:t>
            </w:r>
            <w:r w:rsidRPr="00724541">
              <w:rPr>
                <w:rFonts w:cs="Arial"/>
              </w:rPr>
              <w:t>;</w:t>
            </w:r>
          </w:p>
        </w:tc>
      </w:tr>
      <w:tr w:rsidR="00F67E9E" w:rsidRPr="00724541" w14:paraId="384B3DF9" w14:textId="77777777" w:rsidTr="0052486C">
        <w:tc>
          <w:tcPr>
            <w:tcW w:w="2835" w:type="dxa"/>
          </w:tcPr>
          <w:p w14:paraId="4A83A8EC" w14:textId="77777777" w:rsidR="00F67E9E" w:rsidRPr="00724541" w:rsidRDefault="00F67E9E" w:rsidP="0052486C">
            <w:pPr>
              <w:pStyle w:val="StdBodyTextBold"/>
              <w:rPr>
                <w:rFonts w:cs="Arial"/>
              </w:rPr>
            </w:pPr>
            <w:r>
              <w:rPr>
                <w:rFonts w:cs="Arial"/>
              </w:rPr>
              <w:t>“</w:t>
            </w:r>
            <w:r w:rsidRPr="00724541">
              <w:rPr>
                <w:rFonts w:cs="Arial"/>
              </w:rPr>
              <w:t>Audit Agents</w:t>
            </w:r>
            <w:r>
              <w:rPr>
                <w:rFonts w:cs="Arial"/>
              </w:rPr>
              <w:t>”</w:t>
            </w:r>
          </w:p>
        </w:tc>
        <w:tc>
          <w:tcPr>
            <w:tcW w:w="6803" w:type="dxa"/>
          </w:tcPr>
          <w:p w14:paraId="37F44784" w14:textId="77777777" w:rsidR="00F67E9E" w:rsidRPr="00724541" w:rsidRDefault="00F67E9E" w:rsidP="00F13933">
            <w:pPr>
              <w:pStyle w:val="DefinitionList"/>
              <w:numPr>
                <w:ilvl w:val="0"/>
                <w:numId w:val="107"/>
              </w:numPr>
            </w:pPr>
            <w:r w:rsidRPr="00724541">
              <w:t>the Authority</w:t>
            </w:r>
            <w:r>
              <w:t>’</w:t>
            </w:r>
            <w:r w:rsidRPr="00724541">
              <w:t>s internal and external auditors;</w:t>
            </w:r>
          </w:p>
          <w:p w14:paraId="31686E5E" w14:textId="77777777" w:rsidR="00F67E9E" w:rsidRPr="00724541" w:rsidRDefault="00F67E9E" w:rsidP="00F13933">
            <w:pPr>
              <w:pStyle w:val="DefinitionList"/>
              <w:numPr>
                <w:ilvl w:val="0"/>
                <w:numId w:val="78"/>
              </w:numPr>
              <w:rPr>
                <w:rFonts w:cs="Arial"/>
              </w:rPr>
            </w:pPr>
            <w:r w:rsidRPr="00724541">
              <w:rPr>
                <w:rFonts w:cs="Arial"/>
              </w:rPr>
              <w:t>the Authority</w:t>
            </w:r>
            <w:r>
              <w:rPr>
                <w:rFonts w:cs="Arial"/>
              </w:rPr>
              <w:t>’</w:t>
            </w:r>
            <w:r w:rsidRPr="00724541">
              <w:rPr>
                <w:rFonts w:cs="Arial"/>
              </w:rPr>
              <w:t xml:space="preserve">s statutory or regulatory auditors; </w:t>
            </w:r>
          </w:p>
          <w:p w14:paraId="0E5ED6B5" w14:textId="77777777" w:rsidR="00F67E9E" w:rsidRPr="00724541" w:rsidRDefault="00F67E9E" w:rsidP="00F13933">
            <w:pPr>
              <w:pStyle w:val="DefinitionList"/>
              <w:numPr>
                <w:ilvl w:val="0"/>
                <w:numId w:val="78"/>
              </w:numPr>
              <w:rPr>
                <w:rFonts w:cs="Arial"/>
              </w:rPr>
            </w:pPr>
            <w:r w:rsidRPr="00724541">
              <w:rPr>
                <w:rFonts w:cs="Arial"/>
              </w:rPr>
              <w:t xml:space="preserve">the Comptroller and Auditor General, their staff and/or any appointed representatives of the National Audit Office; </w:t>
            </w:r>
          </w:p>
          <w:p w14:paraId="675F86F6" w14:textId="77777777" w:rsidR="00F67E9E" w:rsidRPr="00724541" w:rsidRDefault="00F67E9E" w:rsidP="00F13933">
            <w:pPr>
              <w:pStyle w:val="DefinitionList"/>
              <w:numPr>
                <w:ilvl w:val="0"/>
                <w:numId w:val="78"/>
              </w:numPr>
              <w:rPr>
                <w:rFonts w:cs="Arial"/>
              </w:rPr>
            </w:pPr>
            <w:r w:rsidRPr="00724541">
              <w:rPr>
                <w:rFonts w:cs="Arial"/>
              </w:rPr>
              <w:lastRenderedPageBreak/>
              <w:t>HM Treasury or the Cabinet Office;</w:t>
            </w:r>
          </w:p>
          <w:p w14:paraId="56C987D2" w14:textId="77777777" w:rsidR="00F67E9E" w:rsidRPr="00724541" w:rsidRDefault="00F67E9E" w:rsidP="00F13933">
            <w:pPr>
              <w:pStyle w:val="DefinitionList"/>
              <w:numPr>
                <w:ilvl w:val="0"/>
                <w:numId w:val="78"/>
              </w:numPr>
              <w:rPr>
                <w:rFonts w:cs="Arial"/>
              </w:rPr>
            </w:pPr>
            <w:r w:rsidRPr="00724541">
              <w:rPr>
                <w:rFonts w:cs="Arial"/>
              </w:rPr>
              <w:t>any party formally appointed by the Authority to carry out audit or similar review functions; and</w:t>
            </w:r>
          </w:p>
          <w:p w14:paraId="0C6C782E" w14:textId="77777777" w:rsidR="00F67E9E" w:rsidRPr="00724541" w:rsidRDefault="00F67E9E" w:rsidP="00F13933">
            <w:pPr>
              <w:pStyle w:val="DefinitionList"/>
              <w:numPr>
                <w:ilvl w:val="0"/>
                <w:numId w:val="78"/>
              </w:numPr>
              <w:rPr>
                <w:rFonts w:cs="Arial"/>
              </w:rPr>
            </w:pPr>
            <w:r w:rsidRPr="00724541">
              <w:rPr>
                <w:rFonts w:cs="Arial"/>
              </w:rPr>
              <w:t>successors or assigns of any of the above;</w:t>
            </w:r>
          </w:p>
        </w:tc>
      </w:tr>
      <w:tr w:rsidR="00F67E9E" w:rsidRPr="00724541" w14:paraId="03B451DA" w14:textId="77777777" w:rsidTr="0052486C">
        <w:tc>
          <w:tcPr>
            <w:tcW w:w="2835" w:type="dxa"/>
          </w:tcPr>
          <w:p w14:paraId="39955B50" w14:textId="77777777" w:rsidR="00F67E9E" w:rsidRPr="00724541" w:rsidRDefault="00F67E9E" w:rsidP="0052486C">
            <w:pPr>
              <w:pStyle w:val="StdBodyTextBold"/>
              <w:rPr>
                <w:rFonts w:cs="Arial"/>
              </w:rPr>
            </w:pPr>
            <w:r>
              <w:rPr>
                <w:rFonts w:cs="Arial"/>
              </w:rPr>
              <w:lastRenderedPageBreak/>
              <w:t>“</w:t>
            </w:r>
            <w:r w:rsidRPr="00724541">
              <w:rPr>
                <w:rFonts w:cs="Arial"/>
              </w:rPr>
              <w:t>Audit Rights</w:t>
            </w:r>
            <w:r>
              <w:rPr>
                <w:rFonts w:cs="Arial"/>
              </w:rPr>
              <w:t>”</w:t>
            </w:r>
          </w:p>
        </w:tc>
        <w:tc>
          <w:tcPr>
            <w:tcW w:w="6803" w:type="dxa"/>
          </w:tcPr>
          <w:p w14:paraId="31DCEE72" w14:textId="248C4591" w:rsidR="00F67E9E" w:rsidRPr="00724541" w:rsidRDefault="00F67E9E" w:rsidP="0052486C">
            <w:pPr>
              <w:pStyle w:val="StdBodyText"/>
              <w:rPr>
                <w:rFonts w:cs="Arial"/>
              </w:rPr>
            </w:pPr>
            <w:r w:rsidRPr="00724541">
              <w:rPr>
                <w:rFonts w:cs="Arial"/>
              </w:rPr>
              <w:t xml:space="preserve">the audit and access rights referred to in </w:t>
            </w:r>
            <w:r>
              <w:rPr>
                <w:rFonts w:cs="Arial"/>
              </w:rPr>
              <w:fldChar w:fldCharType="begin"/>
            </w:r>
            <w:r>
              <w:rPr>
                <w:rFonts w:cs="Arial"/>
              </w:rPr>
              <w:instrText xml:space="preserve"> REF Schedule19 \h </w:instrText>
            </w:r>
            <w:r>
              <w:rPr>
                <w:rFonts w:cs="Arial"/>
              </w:rPr>
            </w:r>
            <w:r>
              <w:rPr>
                <w:rFonts w:cs="Arial"/>
              </w:rPr>
              <w:fldChar w:fldCharType="separate"/>
            </w:r>
            <w:r w:rsidR="007A1473" w:rsidRPr="005D0525">
              <w:t>Schedule</w:t>
            </w:r>
            <w:r w:rsidR="007A1473">
              <w:t> </w:t>
            </w:r>
            <w:r w:rsidR="007A1473" w:rsidRPr="005D0525">
              <w:t>19</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Schedule19Heading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Reports and Audit Rights</w:t>
            </w:r>
            <w:r w:rsidRPr="002F30DB">
              <w:rPr>
                <w:rFonts w:cs="Arial"/>
                <w:i/>
                <w:iCs/>
              </w:rPr>
              <w:fldChar w:fldCharType="end"/>
            </w:r>
            <w:r>
              <w:rPr>
                <w:rFonts w:cs="Arial"/>
              </w:rPr>
              <w:t>)</w:t>
            </w:r>
            <w:r w:rsidRPr="00724541">
              <w:rPr>
                <w:rFonts w:cs="Arial"/>
              </w:rPr>
              <w:t>;</w:t>
            </w:r>
          </w:p>
        </w:tc>
      </w:tr>
      <w:tr w:rsidR="00F67E9E" w:rsidRPr="00724541" w14:paraId="022BD95B" w14:textId="77777777" w:rsidTr="0052486C">
        <w:tc>
          <w:tcPr>
            <w:tcW w:w="2835" w:type="dxa"/>
          </w:tcPr>
          <w:p w14:paraId="37B4C1C8" w14:textId="77777777" w:rsidR="00F67E9E" w:rsidRPr="00724541" w:rsidRDefault="00F67E9E" w:rsidP="0052486C">
            <w:pPr>
              <w:pStyle w:val="StdBodyTextBold"/>
              <w:rPr>
                <w:rFonts w:cs="Arial"/>
              </w:rPr>
            </w:pPr>
            <w:r>
              <w:rPr>
                <w:rFonts w:cs="Arial"/>
              </w:rPr>
              <w:t>“</w:t>
            </w:r>
            <w:r w:rsidRPr="00724541">
              <w:rPr>
                <w:rFonts w:cs="Arial"/>
              </w:rPr>
              <w:t>Authority Assets</w:t>
            </w:r>
            <w:r>
              <w:rPr>
                <w:rFonts w:cs="Arial"/>
              </w:rPr>
              <w:t>”</w:t>
            </w:r>
          </w:p>
        </w:tc>
        <w:tc>
          <w:tcPr>
            <w:tcW w:w="6803" w:type="dxa"/>
          </w:tcPr>
          <w:p w14:paraId="2C7AE83B" w14:textId="77777777" w:rsidR="00F67E9E" w:rsidRPr="00724541" w:rsidRDefault="00F67E9E" w:rsidP="0052486C">
            <w:pPr>
              <w:pStyle w:val="StdBodyText"/>
              <w:rPr>
                <w:rFonts w:cs="Arial"/>
              </w:rPr>
            </w:pPr>
            <w:r w:rsidRPr="00724541">
              <w:rPr>
                <w:rFonts w:cs="Arial"/>
              </w:rPr>
              <w:t>the Authority Materials, the Authority infrastructure and any other data, software, assets, equipment or other property owned by and/or licensed or leased to the Authority and which is or may be used in connection with the provision or receipt of the Services;</w:t>
            </w:r>
          </w:p>
        </w:tc>
      </w:tr>
      <w:tr w:rsidR="00F67E9E" w:rsidRPr="00724541" w14:paraId="0A01AC9C" w14:textId="77777777" w:rsidTr="0052486C">
        <w:tc>
          <w:tcPr>
            <w:tcW w:w="2835" w:type="dxa"/>
          </w:tcPr>
          <w:p w14:paraId="673E3B31" w14:textId="77777777" w:rsidR="00F67E9E" w:rsidRPr="00724541" w:rsidRDefault="00F67E9E" w:rsidP="0052486C">
            <w:pPr>
              <w:pStyle w:val="StdBodyTextBold"/>
              <w:rPr>
                <w:rFonts w:cs="Arial"/>
              </w:rPr>
            </w:pPr>
            <w:r>
              <w:rPr>
                <w:rFonts w:cs="Arial"/>
              </w:rPr>
              <w:t>“</w:t>
            </w:r>
            <w:r w:rsidRPr="00724541">
              <w:rPr>
                <w:rFonts w:cs="Arial"/>
              </w:rPr>
              <w:t>Authority Background IPRs</w:t>
            </w:r>
            <w:r>
              <w:rPr>
                <w:rFonts w:cs="Arial"/>
              </w:rPr>
              <w:t>”</w:t>
            </w:r>
          </w:p>
        </w:tc>
        <w:tc>
          <w:tcPr>
            <w:tcW w:w="6803" w:type="dxa"/>
          </w:tcPr>
          <w:p w14:paraId="5971BD6A" w14:textId="77777777" w:rsidR="00F67E9E" w:rsidRPr="00724541" w:rsidRDefault="00F67E9E" w:rsidP="00F13933">
            <w:pPr>
              <w:pStyle w:val="DefinitionList"/>
              <w:numPr>
                <w:ilvl w:val="0"/>
                <w:numId w:val="108"/>
              </w:numPr>
            </w:pPr>
            <w:r w:rsidRPr="00724541">
              <w:t xml:space="preserve">IPRs owned by the Authority before the Effective Date, including IPRs contained in any of the </w:t>
            </w:r>
            <w:bookmarkStart w:id="11" w:name="_9kMK9N6ZWu9A679B"/>
            <w:r w:rsidRPr="00724541">
              <w:t>Authority</w:t>
            </w:r>
            <w:r>
              <w:t>’</w:t>
            </w:r>
            <w:r w:rsidRPr="00724541">
              <w:t>s</w:t>
            </w:r>
            <w:bookmarkEnd w:id="11"/>
            <w:r w:rsidRPr="00724541">
              <w:t xml:space="preserve"> Know</w:t>
            </w:r>
            <w:r>
              <w:noBreakHyphen/>
            </w:r>
            <w:r w:rsidRPr="00724541">
              <w:t xml:space="preserve">How, documentation, processes and procedures; </w:t>
            </w:r>
          </w:p>
          <w:p w14:paraId="7B7C6A97" w14:textId="77777777" w:rsidR="00F67E9E" w:rsidRPr="00724541" w:rsidRDefault="00F67E9E" w:rsidP="00F13933">
            <w:pPr>
              <w:pStyle w:val="DefinitionList"/>
              <w:numPr>
                <w:ilvl w:val="0"/>
                <w:numId w:val="78"/>
              </w:numPr>
              <w:rPr>
                <w:rFonts w:cs="Arial"/>
              </w:rPr>
            </w:pPr>
            <w:r w:rsidRPr="00724541">
              <w:rPr>
                <w:rFonts w:cs="Arial"/>
              </w:rPr>
              <w:t>IPRs created by the Authority independently of this Contract; and/or</w:t>
            </w:r>
          </w:p>
          <w:p w14:paraId="6F120FF3" w14:textId="77777777" w:rsidR="00F67E9E" w:rsidRPr="00724541" w:rsidRDefault="00F67E9E" w:rsidP="00F13933">
            <w:pPr>
              <w:pStyle w:val="DefinitionList"/>
              <w:numPr>
                <w:ilvl w:val="0"/>
                <w:numId w:val="78"/>
              </w:numPr>
              <w:rPr>
                <w:rFonts w:cs="Arial"/>
              </w:rPr>
            </w:pPr>
            <w:r w:rsidRPr="00724541">
              <w:rPr>
                <w:rFonts w:cs="Arial"/>
              </w:rPr>
              <w:t>Crown Copyright which is not available to the Supplier otherwise than under this Contract;</w:t>
            </w:r>
          </w:p>
          <w:p w14:paraId="22FAC91A" w14:textId="77777777" w:rsidR="00F67E9E" w:rsidRPr="00724541" w:rsidRDefault="00F67E9E" w:rsidP="0052486C">
            <w:pPr>
              <w:pStyle w:val="StdBodyText"/>
              <w:rPr>
                <w:rFonts w:cs="Arial"/>
              </w:rPr>
            </w:pPr>
            <w:r w:rsidRPr="00724541">
              <w:rPr>
                <w:rFonts w:cs="Arial"/>
              </w:rPr>
              <w:t>but excluding IPRs owned by the Authority subsisting in the Authority Software;</w:t>
            </w:r>
          </w:p>
        </w:tc>
      </w:tr>
      <w:tr w:rsidR="00F67E9E" w:rsidRPr="00724541" w14:paraId="6FCE1C0A" w14:textId="77777777" w:rsidTr="0052486C">
        <w:tc>
          <w:tcPr>
            <w:tcW w:w="2835" w:type="dxa"/>
          </w:tcPr>
          <w:p w14:paraId="7D479F0E" w14:textId="77777777" w:rsidR="00F67E9E" w:rsidRPr="00724541" w:rsidRDefault="00F67E9E" w:rsidP="0052486C">
            <w:pPr>
              <w:pStyle w:val="StdBodyTextBold"/>
              <w:rPr>
                <w:rFonts w:cs="Arial"/>
              </w:rPr>
            </w:pPr>
            <w:r>
              <w:rPr>
                <w:rFonts w:cs="Arial"/>
              </w:rPr>
              <w:t>“</w:t>
            </w:r>
            <w:r w:rsidRPr="00724541">
              <w:rPr>
                <w:rFonts w:cs="Arial"/>
              </w:rPr>
              <w:t>Authority Cause</w:t>
            </w:r>
            <w:r>
              <w:rPr>
                <w:rFonts w:cs="Arial"/>
              </w:rPr>
              <w:t>”</w:t>
            </w:r>
          </w:p>
        </w:tc>
        <w:tc>
          <w:tcPr>
            <w:tcW w:w="6803" w:type="dxa"/>
          </w:tcPr>
          <w:p w14:paraId="3FADD9BE" w14:textId="77777777" w:rsidR="00F67E9E" w:rsidRPr="00724541" w:rsidRDefault="00F67E9E" w:rsidP="0052486C">
            <w:pPr>
              <w:pStyle w:val="StdBodyText"/>
              <w:rPr>
                <w:rFonts w:cs="Arial"/>
              </w:rPr>
            </w:pPr>
            <w:r w:rsidRPr="00724541">
              <w:rPr>
                <w:rFonts w:cs="Arial"/>
              </w:rPr>
              <w:t>any material breach by the Authority of any of the Authority Responsibilities, except to the extent that such breach is:</w:t>
            </w:r>
          </w:p>
          <w:p w14:paraId="0B871908" w14:textId="77777777" w:rsidR="00F67E9E" w:rsidRPr="004E7DA4" w:rsidRDefault="00F67E9E" w:rsidP="00F13933">
            <w:pPr>
              <w:pStyle w:val="DefinitionList"/>
              <w:numPr>
                <w:ilvl w:val="0"/>
                <w:numId w:val="109"/>
              </w:numPr>
              <w:rPr>
                <w:rFonts w:cs="Arial"/>
              </w:rPr>
            </w:pPr>
            <w:r w:rsidRPr="004E7DA4">
              <w:rPr>
                <w:rFonts w:cs="Arial"/>
              </w:rPr>
              <w:t>the result of any act or omission by the Authority to which the Supplier has given its prior consent; or</w:t>
            </w:r>
          </w:p>
          <w:p w14:paraId="58D7F490" w14:textId="77777777" w:rsidR="00F67E9E" w:rsidRPr="00724541" w:rsidRDefault="00F67E9E" w:rsidP="00F13933">
            <w:pPr>
              <w:pStyle w:val="DefinitionList"/>
              <w:numPr>
                <w:ilvl w:val="0"/>
                <w:numId w:val="78"/>
              </w:numPr>
              <w:rPr>
                <w:rFonts w:cs="Arial"/>
              </w:rPr>
            </w:pPr>
            <w:r w:rsidRPr="00724541">
              <w:rPr>
                <w:rFonts w:cs="Arial"/>
              </w:rPr>
              <w:t>caused by the Supplier, any Sub-contractor or any Supplier Personnel;</w:t>
            </w:r>
          </w:p>
        </w:tc>
      </w:tr>
      <w:tr w:rsidR="00F67E9E" w:rsidRPr="00724541" w14:paraId="68772076" w14:textId="77777777" w:rsidTr="0052486C">
        <w:tc>
          <w:tcPr>
            <w:tcW w:w="2835" w:type="dxa"/>
          </w:tcPr>
          <w:p w14:paraId="5116A2C5" w14:textId="77777777" w:rsidR="00F67E9E" w:rsidRPr="00724541" w:rsidRDefault="00F67E9E" w:rsidP="0052486C">
            <w:pPr>
              <w:pStyle w:val="StdBodyTextBold"/>
              <w:rPr>
                <w:rFonts w:cs="Arial"/>
              </w:rPr>
            </w:pPr>
            <w:r>
              <w:rPr>
                <w:rFonts w:cs="Arial"/>
              </w:rPr>
              <w:t>“</w:t>
            </w:r>
            <w:r w:rsidRPr="00724541">
              <w:rPr>
                <w:rFonts w:cs="Arial"/>
              </w:rPr>
              <w:t>Authority Data</w:t>
            </w:r>
            <w:r>
              <w:rPr>
                <w:rFonts w:cs="Arial"/>
              </w:rPr>
              <w:t>”</w:t>
            </w:r>
          </w:p>
        </w:tc>
        <w:tc>
          <w:tcPr>
            <w:tcW w:w="6803" w:type="dxa"/>
          </w:tcPr>
          <w:p w14:paraId="6C6F3236" w14:textId="77777777" w:rsidR="00F67E9E" w:rsidRPr="004E7DA4" w:rsidRDefault="00F67E9E" w:rsidP="00F13933">
            <w:pPr>
              <w:pStyle w:val="DefinitionList"/>
              <w:numPr>
                <w:ilvl w:val="0"/>
                <w:numId w:val="110"/>
              </w:numPr>
              <w:rPr>
                <w:rFonts w:cs="Arial"/>
              </w:rPr>
            </w:pPr>
            <w:r w:rsidRPr="004E7DA4">
              <w:rPr>
                <w:rFonts w:cs="Arial"/>
              </w:rPr>
              <w:t>the data, text, drawings, diagrams, images or sounds (together with any database made up of any of these) which are embodied in any electronic, magnetic, optical or tangible media, and which are:</w:t>
            </w:r>
          </w:p>
          <w:p w14:paraId="00E628DF" w14:textId="77777777" w:rsidR="00F67E9E" w:rsidRPr="00724541" w:rsidRDefault="00F67E9E" w:rsidP="00F13933">
            <w:pPr>
              <w:pStyle w:val="DefinitionListLevel1"/>
              <w:numPr>
                <w:ilvl w:val="1"/>
                <w:numId w:val="78"/>
              </w:numPr>
            </w:pPr>
            <w:r w:rsidRPr="00724541">
              <w:t xml:space="preserve">supplied to the Supplier by or on behalf of the Authority; and/or </w:t>
            </w:r>
          </w:p>
          <w:p w14:paraId="18BAB22E" w14:textId="77777777" w:rsidR="00F67E9E" w:rsidRPr="00724541" w:rsidRDefault="00F67E9E" w:rsidP="00F13933">
            <w:pPr>
              <w:pStyle w:val="DefinitionListLevel1"/>
              <w:numPr>
                <w:ilvl w:val="1"/>
                <w:numId w:val="78"/>
              </w:numPr>
              <w:rPr>
                <w:rFonts w:cs="Arial"/>
              </w:rPr>
            </w:pPr>
            <w:r w:rsidRPr="00724541">
              <w:rPr>
                <w:rFonts w:cs="Arial"/>
              </w:rPr>
              <w:t>which the Supplier is required to generate, process, store or transmit pursuant to this Contract; or</w:t>
            </w:r>
          </w:p>
          <w:p w14:paraId="4D5246E8" w14:textId="77777777" w:rsidR="00F67E9E" w:rsidRPr="00724541" w:rsidRDefault="00F67E9E" w:rsidP="00F13933">
            <w:pPr>
              <w:pStyle w:val="DefinitionList"/>
              <w:numPr>
                <w:ilvl w:val="0"/>
                <w:numId w:val="78"/>
              </w:numPr>
              <w:rPr>
                <w:rFonts w:cs="Arial"/>
              </w:rPr>
            </w:pPr>
            <w:r w:rsidRPr="00724541">
              <w:rPr>
                <w:rFonts w:cs="Arial"/>
              </w:rPr>
              <w:t>any Personal Data for which the Authority is the Controller;</w:t>
            </w:r>
          </w:p>
        </w:tc>
      </w:tr>
      <w:tr w:rsidR="00F67E9E" w:rsidRPr="00724541" w14:paraId="4A17F434" w14:textId="77777777" w:rsidTr="0052486C">
        <w:tc>
          <w:tcPr>
            <w:tcW w:w="2835" w:type="dxa"/>
          </w:tcPr>
          <w:p w14:paraId="3D253FDC" w14:textId="77777777" w:rsidR="00F67E9E" w:rsidRPr="00724541" w:rsidRDefault="00F67E9E" w:rsidP="0052486C">
            <w:pPr>
              <w:pStyle w:val="StdBodyTextBold"/>
              <w:rPr>
                <w:rFonts w:cs="Arial"/>
              </w:rPr>
            </w:pPr>
            <w:r>
              <w:rPr>
                <w:rFonts w:cs="Arial"/>
              </w:rPr>
              <w:lastRenderedPageBreak/>
              <w:t>“</w:t>
            </w:r>
            <w:r w:rsidRPr="00724541">
              <w:rPr>
                <w:rFonts w:cs="Arial"/>
              </w:rPr>
              <w:t>Authority IT Strategy</w:t>
            </w:r>
            <w:r>
              <w:rPr>
                <w:rFonts w:cs="Arial"/>
              </w:rPr>
              <w:t>”</w:t>
            </w:r>
          </w:p>
        </w:tc>
        <w:tc>
          <w:tcPr>
            <w:tcW w:w="6803" w:type="dxa"/>
          </w:tcPr>
          <w:p w14:paraId="590FB176" w14:textId="77777777" w:rsidR="00F67E9E" w:rsidRPr="00724541" w:rsidRDefault="00F67E9E" w:rsidP="0052486C">
            <w:pPr>
              <w:pStyle w:val="StdBodyText"/>
              <w:rPr>
                <w:rFonts w:cs="Arial"/>
              </w:rPr>
            </w:pPr>
            <w:r w:rsidRPr="00724541">
              <w:rPr>
                <w:rFonts w:cs="Arial"/>
              </w:rPr>
              <w:t xml:space="preserve">the </w:t>
            </w:r>
            <w:bookmarkStart w:id="12" w:name="_9kMKAO6ZWu9A679B"/>
            <w:r w:rsidRPr="00724541">
              <w:rPr>
                <w:rFonts w:cs="Arial"/>
              </w:rPr>
              <w:t>Authority</w:t>
            </w:r>
            <w:r>
              <w:rPr>
                <w:rFonts w:cs="Arial"/>
              </w:rPr>
              <w:t>’</w:t>
            </w:r>
            <w:r w:rsidRPr="00724541">
              <w:rPr>
                <w:rFonts w:cs="Arial"/>
              </w:rPr>
              <w:t>s</w:t>
            </w:r>
            <w:bookmarkEnd w:id="12"/>
            <w:r w:rsidRPr="00724541">
              <w:rPr>
                <w:rFonts w:cs="Arial"/>
              </w:rPr>
              <w:t xml:space="preserve"> IT policy in force as at the Effective Date (a copy of which has been supplied to the Supplier), as updated from time to time in accordance with the Change Control Procedure;</w:t>
            </w:r>
          </w:p>
        </w:tc>
      </w:tr>
      <w:tr w:rsidR="00F67E9E" w:rsidRPr="00724541" w14:paraId="36D075C9" w14:textId="77777777" w:rsidTr="0052486C">
        <w:tc>
          <w:tcPr>
            <w:tcW w:w="2835" w:type="dxa"/>
          </w:tcPr>
          <w:p w14:paraId="14003DCB" w14:textId="77777777" w:rsidR="00F67E9E" w:rsidRPr="00724541" w:rsidRDefault="00F67E9E" w:rsidP="0052486C">
            <w:pPr>
              <w:pStyle w:val="StdBodyTextBold"/>
              <w:rPr>
                <w:rFonts w:cs="Arial"/>
              </w:rPr>
            </w:pPr>
            <w:r>
              <w:rPr>
                <w:rFonts w:cs="Arial"/>
              </w:rPr>
              <w:t>“</w:t>
            </w:r>
            <w:r w:rsidRPr="00724541">
              <w:rPr>
                <w:rFonts w:cs="Arial"/>
              </w:rPr>
              <w:t>Authority Materials</w:t>
            </w:r>
            <w:r>
              <w:rPr>
                <w:rFonts w:cs="Arial"/>
              </w:rPr>
              <w:t>”</w:t>
            </w:r>
          </w:p>
        </w:tc>
        <w:tc>
          <w:tcPr>
            <w:tcW w:w="6803" w:type="dxa"/>
          </w:tcPr>
          <w:p w14:paraId="684F527C" w14:textId="77777777" w:rsidR="00F67E9E" w:rsidRPr="00724541" w:rsidRDefault="00F67E9E" w:rsidP="0052486C">
            <w:pPr>
              <w:pStyle w:val="StdBodyText"/>
              <w:rPr>
                <w:rFonts w:cs="Arial"/>
              </w:rPr>
            </w:pPr>
            <w:r w:rsidRPr="00724541">
              <w:rPr>
                <w:rFonts w:cs="Arial"/>
              </w:rPr>
              <w:t>the Authority Data together with any materials, documentation, information, programs and codes supplied by the Authority to the Supplier, the IPRs in which:</w:t>
            </w:r>
          </w:p>
          <w:p w14:paraId="461C52A9" w14:textId="77777777" w:rsidR="00F67E9E" w:rsidRPr="00724541" w:rsidRDefault="00F67E9E" w:rsidP="00F13933">
            <w:pPr>
              <w:pStyle w:val="DefinitionList"/>
              <w:numPr>
                <w:ilvl w:val="0"/>
                <w:numId w:val="111"/>
              </w:numPr>
            </w:pPr>
            <w:r w:rsidRPr="00724541">
              <w:t>are owned or used by or on behalf of the Authority; and</w:t>
            </w:r>
          </w:p>
          <w:p w14:paraId="479C01A6" w14:textId="77777777" w:rsidR="00F67E9E" w:rsidRPr="00724541" w:rsidRDefault="00F67E9E" w:rsidP="00F13933">
            <w:pPr>
              <w:pStyle w:val="DefinitionList"/>
              <w:numPr>
                <w:ilvl w:val="0"/>
                <w:numId w:val="78"/>
              </w:numPr>
              <w:rPr>
                <w:rFonts w:cs="Arial"/>
              </w:rPr>
            </w:pPr>
            <w:r w:rsidRPr="00724541">
              <w:rPr>
                <w:rFonts w:cs="Arial"/>
              </w:rPr>
              <w:t>are or may be used in connection with the provision or receipt of the Services,</w:t>
            </w:r>
          </w:p>
          <w:p w14:paraId="46F8187E" w14:textId="77777777" w:rsidR="00F67E9E" w:rsidRPr="00724541" w:rsidRDefault="00F67E9E" w:rsidP="0052486C">
            <w:pPr>
              <w:pStyle w:val="StdBodyText"/>
              <w:rPr>
                <w:rFonts w:cs="Arial"/>
              </w:rPr>
            </w:pPr>
            <w:r w:rsidRPr="00724541">
              <w:rPr>
                <w:rFonts w:cs="Arial"/>
              </w:rPr>
              <w:t>but excluding any Project Specific IPRs, Specially Written Software, Supplier Software, Third Party Software and Documentation relating to Supplier Software or Third Party Software;</w:t>
            </w:r>
          </w:p>
        </w:tc>
      </w:tr>
      <w:tr w:rsidR="00F67E9E" w:rsidRPr="00724541" w14:paraId="489E3BB2" w14:textId="77777777" w:rsidTr="0052486C">
        <w:tc>
          <w:tcPr>
            <w:tcW w:w="2835" w:type="dxa"/>
          </w:tcPr>
          <w:p w14:paraId="76437BF4" w14:textId="77777777" w:rsidR="00F67E9E" w:rsidRPr="00724541" w:rsidRDefault="00F67E9E" w:rsidP="0052486C">
            <w:pPr>
              <w:pStyle w:val="StdBodyTextBold"/>
              <w:rPr>
                <w:rFonts w:cs="Arial"/>
              </w:rPr>
            </w:pPr>
            <w:r>
              <w:rPr>
                <w:rFonts w:cs="Arial"/>
              </w:rPr>
              <w:t>“</w:t>
            </w:r>
            <w:r w:rsidRPr="00724541">
              <w:rPr>
                <w:rFonts w:cs="Arial"/>
              </w:rPr>
              <w:t>Authority Premises</w:t>
            </w:r>
            <w:r>
              <w:rPr>
                <w:rFonts w:cs="Arial"/>
              </w:rPr>
              <w:t>”</w:t>
            </w:r>
          </w:p>
        </w:tc>
        <w:tc>
          <w:tcPr>
            <w:tcW w:w="6803" w:type="dxa"/>
          </w:tcPr>
          <w:p w14:paraId="15F73AFA" w14:textId="77777777" w:rsidR="00F67E9E" w:rsidRPr="00724541" w:rsidRDefault="00F67E9E" w:rsidP="0052486C">
            <w:pPr>
              <w:pStyle w:val="StdBodyText"/>
              <w:rPr>
                <w:rFonts w:cs="Arial"/>
              </w:rPr>
            </w:pPr>
            <w:r w:rsidRPr="00724541">
              <w:rPr>
                <w:rFonts w:cs="Arial"/>
              </w:rPr>
              <w:t xml:space="preserve">premises owned, controlled or occupied by the Authority and/or any </w:t>
            </w:r>
            <w:r>
              <w:t>Crown</w:t>
            </w:r>
            <w:r w:rsidRPr="00724541">
              <w:t xml:space="preserve"> </w:t>
            </w:r>
            <w:r w:rsidRPr="00724541">
              <w:rPr>
                <w:rFonts w:cs="Arial"/>
              </w:rPr>
              <w:t>Body which are made available for use by the Supplier or its Sub-contractors for provision of the Services (or any of them);</w:t>
            </w:r>
          </w:p>
        </w:tc>
      </w:tr>
      <w:tr w:rsidR="00F67E9E" w:rsidRPr="00724541" w14:paraId="08A1478A" w14:textId="77777777" w:rsidTr="0052486C">
        <w:tc>
          <w:tcPr>
            <w:tcW w:w="2835" w:type="dxa"/>
          </w:tcPr>
          <w:p w14:paraId="79650250" w14:textId="77777777" w:rsidR="00F67E9E" w:rsidRPr="00724541" w:rsidRDefault="00F67E9E" w:rsidP="0052486C">
            <w:pPr>
              <w:pStyle w:val="StdBodyTextBold"/>
              <w:rPr>
                <w:rFonts w:cs="Arial"/>
              </w:rPr>
            </w:pPr>
            <w:r>
              <w:rPr>
                <w:rFonts w:cs="Arial"/>
              </w:rPr>
              <w:t>“</w:t>
            </w:r>
            <w:r w:rsidRPr="00724541">
              <w:rPr>
                <w:rFonts w:cs="Arial"/>
              </w:rPr>
              <w:t>Authority Representative</w:t>
            </w:r>
            <w:r>
              <w:rPr>
                <w:rFonts w:cs="Arial"/>
              </w:rPr>
              <w:t>”</w:t>
            </w:r>
          </w:p>
        </w:tc>
        <w:tc>
          <w:tcPr>
            <w:tcW w:w="6803" w:type="dxa"/>
          </w:tcPr>
          <w:p w14:paraId="3316B16C" w14:textId="77777777" w:rsidR="00F67E9E" w:rsidRPr="00724541" w:rsidRDefault="00F67E9E" w:rsidP="0052486C">
            <w:pPr>
              <w:pStyle w:val="StdBodyText"/>
              <w:rPr>
                <w:rFonts w:cs="Arial"/>
              </w:rPr>
            </w:pPr>
            <w:r w:rsidRPr="00724541">
              <w:rPr>
                <w:rFonts w:cs="Arial"/>
              </w:rPr>
              <w:t xml:space="preserve">the representative appointed by the Authority pursuant to </w:t>
            </w:r>
            <w:bookmarkStart w:id="13" w:name="_9kMHG5YVtCIAEJCACGjUmGRH51C7ARRBuzBEIPK"/>
            <w:r w:rsidRPr="00724541">
              <w:rPr>
                <w:rFonts w:cs="Arial"/>
              </w:rPr>
              <w:t xml:space="preserve">Clause </w:t>
            </w:r>
            <w:bookmarkEnd w:id="13"/>
            <w:r w:rsidRPr="00724541">
              <w:rPr>
                <w:rFonts w:cs="Arial"/>
              </w:rPr>
              <w:t>11.4 (</w:t>
            </w:r>
            <w:r w:rsidRPr="00C04B2F">
              <w:rPr>
                <w:rFonts w:cs="Arial"/>
                <w:i/>
                <w:iCs/>
              </w:rPr>
              <w:t>Representatives</w:t>
            </w:r>
            <w:r w:rsidRPr="00724541">
              <w:rPr>
                <w:rFonts w:cs="Arial"/>
              </w:rPr>
              <w:t>);</w:t>
            </w:r>
          </w:p>
        </w:tc>
      </w:tr>
      <w:tr w:rsidR="00F67E9E" w:rsidRPr="00724541" w14:paraId="6266FAA2" w14:textId="77777777" w:rsidTr="0052486C">
        <w:tc>
          <w:tcPr>
            <w:tcW w:w="2835" w:type="dxa"/>
          </w:tcPr>
          <w:p w14:paraId="2E4241AA" w14:textId="77777777" w:rsidR="00F67E9E" w:rsidRPr="00724541" w:rsidRDefault="00F67E9E" w:rsidP="0052486C">
            <w:pPr>
              <w:pStyle w:val="StdBodyTextBold"/>
              <w:rPr>
                <w:rFonts w:cs="Arial"/>
              </w:rPr>
            </w:pPr>
            <w:r>
              <w:rPr>
                <w:rFonts w:cs="Arial"/>
              </w:rPr>
              <w:t>“</w:t>
            </w:r>
            <w:r w:rsidRPr="00724541">
              <w:rPr>
                <w:rFonts w:cs="Arial"/>
              </w:rPr>
              <w:t>Authority Requirements</w:t>
            </w:r>
            <w:r>
              <w:rPr>
                <w:rFonts w:cs="Arial"/>
              </w:rPr>
              <w:t>”</w:t>
            </w:r>
          </w:p>
        </w:tc>
        <w:tc>
          <w:tcPr>
            <w:tcW w:w="6803" w:type="dxa"/>
          </w:tcPr>
          <w:p w14:paraId="3EDDEA01" w14:textId="3D4A4F58" w:rsidR="00F67E9E" w:rsidRPr="00724541" w:rsidRDefault="00F67E9E" w:rsidP="0052486C">
            <w:pPr>
              <w:pStyle w:val="StdBodyText"/>
              <w:rPr>
                <w:rFonts w:cs="Arial"/>
              </w:rPr>
            </w:pPr>
            <w:r w:rsidRPr="00724541">
              <w:rPr>
                <w:rFonts w:cs="Arial"/>
              </w:rPr>
              <w:t xml:space="preserve">the requirements of the Authority set out in </w:t>
            </w:r>
            <w:r>
              <w:rPr>
                <w:rFonts w:cs="Arial"/>
              </w:rPr>
              <w:fldChar w:fldCharType="begin"/>
            </w:r>
            <w:r>
              <w:rPr>
                <w:rFonts w:cs="Arial"/>
              </w:rPr>
              <w:instrText xml:space="preserve"> REF Schedule2 \h </w:instrText>
            </w:r>
            <w:r>
              <w:rPr>
                <w:rFonts w:cs="Arial"/>
              </w:rPr>
            </w:r>
            <w:r>
              <w:rPr>
                <w:rFonts w:cs="Arial"/>
              </w:rPr>
              <w:fldChar w:fldCharType="separate"/>
            </w:r>
            <w:r w:rsidR="007A1473" w:rsidRPr="005D0525">
              <w:t>Schedule</w:t>
            </w:r>
            <w:r w:rsidR="007A1473">
              <w:t> </w:t>
            </w:r>
            <w:r w:rsidR="007A1473" w:rsidRPr="005D0525">
              <w:t>2</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Services Description</w:t>
            </w:r>
            <w:r w:rsidRPr="00A22335">
              <w:rPr>
                <w:rFonts w:cs="Arial"/>
                <w:i/>
                <w:iCs/>
              </w:rPr>
              <w:fldChar w:fldCharType="end"/>
            </w:r>
            <w:r>
              <w:rPr>
                <w:rFonts w:cs="Arial"/>
              </w:rPr>
              <w:t>)</w:t>
            </w:r>
            <w:r w:rsidRPr="00724541">
              <w:rPr>
                <w:rFonts w:cs="Arial"/>
              </w:rPr>
              <w:t xml:space="preserve">,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 xml:space="preserve">) </w:t>
            </w:r>
            <w:r>
              <w:rPr>
                <w:rFonts w:cs="Arial"/>
              </w:rPr>
              <w:fldChar w:fldCharType="begin"/>
            </w:r>
            <w:r>
              <w:rPr>
                <w:rFonts w:cs="Arial"/>
              </w:rPr>
              <w:instrText xml:space="preserve"> REF Schedule4 \h </w:instrText>
            </w:r>
            <w:r>
              <w:rPr>
                <w:rFonts w:cs="Arial"/>
              </w:rPr>
            </w:r>
            <w:r>
              <w:rPr>
                <w:rFonts w:cs="Arial"/>
              </w:rPr>
              <w:fldChar w:fldCharType="separate"/>
            </w:r>
            <w:r w:rsidR="007A1473" w:rsidRPr="005D0525">
              <w:t>Schedule</w:t>
            </w:r>
            <w:r w:rsidR="007A1473">
              <w:t> </w:t>
            </w:r>
            <w:r w:rsidR="007A1473" w:rsidRPr="005D0525">
              <w:t>4</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Schedule4Heading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Standards</w:t>
            </w:r>
            <w:r w:rsidRPr="00A22335">
              <w:rPr>
                <w:rFonts w:cs="Arial"/>
                <w:i/>
                <w:iCs/>
              </w:rPr>
              <w:fldChar w:fldCharType="end"/>
            </w:r>
            <w:r>
              <w:rPr>
                <w:rFonts w:cs="Arial"/>
              </w:rPr>
              <w:t>)</w:t>
            </w:r>
            <w:r w:rsidRPr="00724541">
              <w:rPr>
                <w:rFonts w:cs="Arial"/>
              </w:rPr>
              <w:t xml:space="preserve">, </w:t>
            </w:r>
            <w:r>
              <w:rPr>
                <w:rFonts w:cs="Arial"/>
              </w:rPr>
              <w:fldChar w:fldCharType="begin"/>
            </w:r>
            <w:r>
              <w:rPr>
                <w:rFonts w:cs="Arial"/>
              </w:rPr>
              <w:instrText xml:space="preserve"> REF Schedule5 \h </w:instrText>
            </w:r>
            <w:r>
              <w:rPr>
                <w:rFonts w:cs="Arial"/>
              </w:rPr>
            </w:r>
            <w:r>
              <w:rPr>
                <w:rFonts w:cs="Arial"/>
              </w:rPr>
              <w:fldChar w:fldCharType="separate"/>
            </w:r>
            <w:r w:rsidR="007A1473" w:rsidRPr="005D0525">
              <w:t>Schedule</w:t>
            </w:r>
            <w:r w:rsidR="007A1473">
              <w:t> </w:t>
            </w:r>
            <w:r w:rsidR="007A1473" w:rsidRPr="005D0525">
              <w:t>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Security Management</w:t>
            </w:r>
            <w:r w:rsidRPr="00A22335">
              <w:rPr>
                <w:rFonts w:cs="Arial"/>
                <w:i/>
                <w:iCs/>
              </w:rPr>
              <w:fldChar w:fldCharType="end"/>
            </w:r>
            <w:r>
              <w:rPr>
                <w:rFonts w:cs="Arial"/>
              </w:rPr>
              <w:t>)</w:t>
            </w:r>
            <w:r w:rsidRPr="00724541">
              <w:rPr>
                <w:rFonts w:cs="Arial"/>
              </w:rPr>
              <w:t xml:space="preserve">, </w:t>
            </w:r>
            <w:r>
              <w:rPr>
                <w:rFonts w:cs="Arial"/>
              </w:rPr>
              <w:fldChar w:fldCharType="begin"/>
            </w:r>
            <w:r>
              <w:rPr>
                <w:rFonts w:cs="Arial"/>
              </w:rPr>
              <w:instrText xml:space="preserve"> REF Schedule6 \h </w:instrText>
            </w:r>
            <w:r>
              <w:rPr>
                <w:rFonts w:cs="Arial"/>
              </w:rPr>
            </w:r>
            <w:r>
              <w:rPr>
                <w:rFonts w:cs="Arial"/>
              </w:rPr>
              <w:fldChar w:fldCharType="separate"/>
            </w:r>
            <w:r w:rsidR="007A1473" w:rsidRPr="005D0525">
              <w:t>Schedule</w:t>
            </w:r>
            <w:r w:rsidR="007A1473">
              <w:t> </w:t>
            </w:r>
            <w:r w:rsidR="007A1473" w:rsidRPr="005D0525">
              <w:t>6</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Schedule6Heading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Insurance Requirements</w:t>
            </w:r>
            <w:r w:rsidRPr="00A22335">
              <w:rPr>
                <w:rFonts w:cs="Arial"/>
                <w:i/>
                <w:iCs/>
              </w:rPr>
              <w:fldChar w:fldCharType="end"/>
            </w:r>
            <w:r>
              <w:rPr>
                <w:rFonts w:cs="Arial"/>
              </w:rPr>
              <w:t xml:space="preserve">) </w:t>
            </w:r>
            <w:r>
              <w:rPr>
                <w:rFonts w:cs="Arial"/>
              </w:rPr>
              <w:fldChar w:fldCharType="begin"/>
            </w:r>
            <w:r>
              <w:rPr>
                <w:rFonts w:cs="Arial"/>
              </w:rPr>
              <w:instrText xml:space="preserve"> REF Schedule13 \h </w:instrText>
            </w:r>
            <w:r>
              <w:rPr>
                <w:rFonts w:cs="Arial"/>
              </w:rPr>
            </w:r>
            <w:r>
              <w:rPr>
                <w:rFonts w:cs="Arial"/>
              </w:rPr>
              <w:fldChar w:fldCharType="separate"/>
            </w:r>
            <w:r w:rsidR="007A1473" w:rsidRPr="005D0525">
              <w:t>Schedule</w:t>
            </w:r>
            <w:r w:rsidR="007A1473">
              <w:t> </w:t>
            </w:r>
            <w:r w:rsidR="007A1473" w:rsidRPr="005D0525">
              <w:t>13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Schedule13Heading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Implementation Plan</w:t>
            </w:r>
            <w:r w:rsidRPr="00A22335">
              <w:rPr>
                <w:rFonts w:cs="Arial"/>
                <w:i/>
                <w:iCs/>
              </w:rPr>
              <w:fldChar w:fldCharType="end"/>
            </w:r>
            <w:r>
              <w:rPr>
                <w:rFonts w:cs="Arial"/>
              </w:rPr>
              <w:t>)</w:t>
            </w:r>
            <w:r w:rsidRPr="00724541">
              <w:rPr>
                <w:rFonts w:cs="Arial"/>
              </w:rPr>
              <w:t xml:space="preserve">, </w:t>
            </w:r>
            <w:r>
              <w:rPr>
                <w:rFonts w:cs="Arial"/>
              </w:rPr>
              <w:fldChar w:fldCharType="begin"/>
            </w:r>
            <w:r>
              <w:rPr>
                <w:rFonts w:cs="Arial"/>
              </w:rPr>
              <w:instrText xml:space="preserve"> REF Schedule24 \h </w:instrText>
            </w:r>
            <w:r>
              <w:rPr>
                <w:rFonts w:cs="Arial"/>
              </w:rPr>
            </w:r>
            <w:r>
              <w:rPr>
                <w:rFonts w:cs="Arial"/>
              </w:rPr>
              <w:fldChar w:fldCharType="separate"/>
            </w:r>
            <w:r w:rsidR="007A1473" w:rsidRPr="005D0525">
              <w:t>Schedule</w:t>
            </w:r>
            <w:r w:rsidR="007A1473">
              <w:t> </w:t>
            </w:r>
            <w:r w:rsidR="007A1473" w:rsidRPr="005D0525">
              <w:t>24</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Schedule24Heading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Reports and Records Provisions</w:t>
            </w:r>
            <w:r w:rsidRPr="00A22335">
              <w:rPr>
                <w:rFonts w:cs="Arial"/>
                <w:i/>
                <w:iCs/>
              </w:rPr>
              <w:fldChar w:fldCharType="end"/>
            </w:r>
            <w:r>
              <w:rPr>
                <w:rFonts w:cs="Arial"/>
              </w:rPr>
              <w:t>)</w:t>
            </w:r>
            <w:r w:rsidRPr="00724541">
              <w:rPr>
                <w:rFonts w:cs="Arial"/>
              </w:rPr>
              <w:t xml:space="preserve">, </w:t>
            </w:r>
            <w:r>
              <w:rPr>
                <w:rFonts w:cs="Arial"/>
              </w:rPr>
              <w:fldChar w:fldCharType="begin"/>
            </w:r>
            <w:r>
              <w:rPr>
                <w:rFonts w:cs="Arial"/>
              </w:rPr>
              <w:instrText xml:space="preserve"> REF Schedule25 \h </w:instrText>
            </w:r>
            <w:r>
              <w:rPr>
                <w:rFonts w:cs="Arial"/>
              </w:rPr>
            </w:r>
            <w:r>
              <w:rPr>
                <w:rFonts w:cs="Arial"/>
              </w:rPr>
              <w:fldChar w:fldCharType="separate"/>
            </w:r>
            <w:r w:rsidR="007A1473" w:rsidRPr="005D0525">
              <w:t>Schedule 25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Exit Management</w:t>
            </w:r>
            <w:r w:rsidRPr="00A22335">
              <w:rPr>
                <w:rFonts w:cs="Arial"/>
                <w:i/>
                <w:iCs/>
              </w:rPr>
              <w:fldChar w:fldCharType="end"/>
            </w:r>
            <w:r>
              <w:rPr>
                <w:rFonts w:cs="Arial"/>
              </w:rPr>
              <w:t>) and</w:t>
            </w:r>
            <w:r w:rsidRPr="00724541">
              <w:rPr>
                <w:rFonts w:cs="Arial"/>
              </w:rPr>
              <w:t xml:space="preserve"> </w:t>
            </w:r>
            <w:r>
              <w:rPr>
                <w:rFonts w:cs="Arial"/>
              </w:rPr>
              <w:fldChar w:fldCharType="begin"/>
            </w:r>
            <w:r>
              <w:rPr>
                <w:rFonts w:cs="Arial"/>
              </w:rPr>
              <w:instrText xml:space="preserve"> REF Schedule26 \h </w:instrText>
            </w:r>
            <w:r>
              <w:rPr>
                <w:rFonts w:cs="Arial"/>
              </w:rPr>
            </w:r>
            <w:r>
              <w:rPr>
                <w:rFonts w:cs="Arial"/>
              </w:rPr>
              <w:fldChar w:fldCharType="separate"/>
            </w:r>
            <w:r w:rsidR="007A1473" w:rsidRPr="005D0525">
              <w:t>Schedule</w:t>
            </w:r>
            <w:r w:rsidR="007A1473">
              <w:t> </w:t>
            </w:r>
            <w:r w:rsidR="007A1473" w:rsidRPr="005D0525">
              <w:t>26</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Schedule26Heading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 Continuity Plan and Corporate Resolution Planning</w:t>
            </w:r>
            <w:r w:rsidRPr="00A22335">
              <w:rPr>
                <w:rFonts w:cs="Arial"/>
                <w:i/>
                <w:iCs/>
              </w:rPr>
              <w:fldChar w:fldCharType="end"/>
            </w:r>
            <w:r>
              <w:rPr>
                <w:rFonts w:cs="Arial"/>
              </w:rPr>
              <w:t>)</w:t>
            </w:r>
            <w:r w:rsidRPr="00724541">
              <w:rPr>
                <w:rFonts w:cs="Arial"/>
              </w:rPr>
              <w:t>;</w:t>
            </w:r>
          </w:p>
        </w:tc>
      </w:tr>
      <w:tr w:rsidR="00F67E9E" w:rsidRPr="00724541" w14:paraId="2FA94223" w14:textId="77777777" w:rsidTr="0052486C">
        <w:tc>
          <w:tcPr>
            <w:tcW w:w="2835" w:type="dxa"/>
          </w:tcPr>
          <w:p w14:paraId="23AA03A0" w14:textId="77777777" w:rsidR="00F67E9E" w:rsidRPr="00724541" w:rsidRDefault="00F67E9E" w:rsidP="0052486C">
            <w:pPr>
              <w:pStyle w:val="StdBodyTextBold"/>
              <w:rPr>
                <w:rFonts w:cs="Arial"/>
              </w:rPr>
            </w:pPr>
            <w:r>
              <w:rPr>
                <w:rFonts w:cs="Arial"/>
              </w:rPr>
              <w:t>“</w:t>
            </w:r>
            <w:r w:rsidRPr="00724541">
              <w:rPr>
                <w:rFonts w:cs="Arial"/>
              </w:rPr>
              <w:t>Authority Responsibilities</w:t>
            </w:r>
            <w:r>
              <w:rPr>
                <w:rFonts w:cs="Arial"/>
              </w:rPr>
              <w:t>”</w:t>
            </w:r>
          </w:p>
        </w:tc>
        <w:tc>
          <w:tcPr>
            <w:tcW w:w="6803" w:type="dxa"/>
          </w:tcPr>
          <w:p w14:paraId="4C59E4BF" w14:textId="6A3C584F" w:rsidR="00F67E9E" w:rsidRPr="00724541" w:rsidRDefault="00F67E9E" w:rsidP="0052486C">
            <w:pPr>
              <w:pStyle w:val="StdBodyText"/>
              <w:rPr>
                <w:rFonts w:cs="Arial"/>
              </w:rPr>
            </w:pPr>
            <w:r w:rsidRPr="00724541">
              <w:rPr>
                <w:rFonts w:cs="Arial"/>
              </w:rPr>
              <w:t>the responsibilities of the Authority specified in</w:t>
            </w:r>
            <w:r>
              <w:rPr>
                <w:rFonts w:cs="Arial"/>
              </w:rPr>
              <w:t xml:space="preserve"> </w:t>
            </w:r>
            <w:r>
              <w:rPr>
                <w:rFonts w:cs="Arial"/>
              </w:rPr>
              <w:fldChar w:fldCharType="begin"/>
            </w:r>
            <w:r>
              <w:rPr>
                <w:rFonts w:cs="Arial"/>
              </w:rPr>
              <w:instrText xml:space="preserve"> REF Schedule7 \h </w:instrText>
            </w:r>
            <w:r>
              <w:rPr>
                <w:rFonts w:cs="Arial"/>
              </w:rPr>
            </w:r>
            <w:r>
              <w:rPr>
                <w:rFonts w:cs="Arial"/>
              </w:rPr>
              <w:fldChar w:fldCharType="separate"/>
            </w:r>
            <w:r w:rsidR="007A1473" w:rsidRPr="005D0525">
              <w:t>Schedule</w:t>
            </w:r>
            <w:r w:rsidR="007A1473">
              <w:t> </w:t>
            </w:r>
            <w:r w:rsidR="007A1473" w:rsidRPr="005D0525">
              <w:t>7</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Schedule7Heading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Authority Responsibilities</w:t>
            </w:r>
            <w:r w:rsidRPr="00A22335">
              <w:rPr>
                <w:rFonts w:cs="Arial"/>
                <w:i/>
                <w:iCs/>
              </w:rPr>
              <w:fldChar w:fldCharType="end"/>
            </w:r>
            <w:r>
              <w:rPr>
                <w:rFonts w:cs="Arial"/>
              </w:rPr>
              <w:t>)</w:t>
            </w:r>
            <w:r w:rsidRPr="00724541">
              <w:rPr>
                <w:rFonts w:cs="Arial"/>
              </w:rPr>
              <w:t>;</w:t>
            </w:r>
          </w:p>
        </w:tc>
      </w:tr>
      <w:tr w:rsidR="00F67E9E" w:rsidRPr="00724541" w14:paraId="7F80AFB8" w14:textId="77777777" w:rsidTr="0052486C">
        <w:tc>
          <w:tcPr>
            <w:tcW w:w="2835" w:type="dxa"/>
          </w:tcPr>
          <w:p w14:paraId="0B5B0EE3" w14:textId="77777777" w:rsidR="00F67E9E" w:rsidRPr="00724541" w:rsidRDefault="00F67E9E" w:rsidP="0052486C">
            <w:pPr>
              <w:pStyle w:val="StdBodyTextBold"/>
              <w:rPr>
                <w:rFonts w:cs="Arial"/>
              </w:rPr>
            </w:pPr>
            <w:r>
              <w:rPr>
                <w:rFonts w:cs="Arial"/>
              </w:rPr>
              <w:t>“</w:t>
            </w:r>
            <w:r w:rsidRPr="00724541">
              <w:rPr>
                <w:rFonts w:cs="Arial"/>
              </w:rPr>
              <w:t>Authority Software</w:t>
            </w:r>
            <w:r>
              <w:rPr>
                <w:rFonts w:cs="Arial"/>
              </w:rPr>
              <w:t>”</w:t>
            </w:r>
          </w:p>
        </w:tc>
        <w:tc>
          <w:tcPr>
            <w:tcW w:w="6803" w:type="dxa"/>
          </w:tcPr>
          <w:p w14:paraId="3F56C998" w14:textId="77777777" w:rsidR="00F67E9E" w:rsidRPr="00724541" w:rsidRDefault="00F67E9E" w:rsidP="0052486C">
            <w:pPr>
              <w:pStyle w:val="StdBodyText"/>
              <w:rPr>
                <w:rFonts w:cs="Arial"/>
              </w:rPr>
            </w:pPr>
            <w:r w:rsidRPr="00724541">
              <w:rPr>
                <w:rFonts w:cs="Arial"/>
              </w:rPr>
              <w:t>software which is owned by or licensed to the Authority (other than under or pursuant to this Contract) and which is or will be used by the Supplier for the purposes of providing the Services;</w:t>
            </w:r>
          </w:p>
        </w:tc>
      </w:tr>
      <w:tr w:rsidR="00F67E9E" w:rsidRPr="00724541" w14:paraId="11407BEC" w14:textId="77777777" w:rsidTr="0052486C">
        <w:tc>
          <w:tcPr>
            <w:tcW w:w="2835" w:type="dxa"/>
          </w:tcPr>
          <w:p w14:paraId="06E22E71" w14:textId="77777777" w:rsidR="00F67E9E" w:rsidRPr="00724541" w:rsidRDefault="00F67E9E" w:rsidP="0052486C">
            <w:pPr>
              <w:pStyle w:val="StdBodyTextBold"/>
              <w:rPr>
                <w:rFonts w:cs="Arial"/>
              </w:rPr>
            </w:pPr>
            <w:r>
              <w:rPr>
                <w:rFonts w:cs="Arial"/>
              </w:rPr>
              <w:t>“</w:t>
            </w:r>
            <w:r w:rsidRPr="00724541">
              <w:rPr>
                <w:rFonts w:cs="Arial"/>
              </w:rPr>
              <w:t>Authority System</w:t>
            </w:r>
            <w:r>
              <w:rPr>
                <w:rFonts w:cs="Arial"/>
              </w:rPr>
              <w:t>”</w:t>
            </w:r>
          </w:p>
        </w:tc>
        <w:tc>
          <w:tcPr>
            <w:tcW w:w="6803" w:type="dxa"/>
          </w:tcPr>
          <w:p w14:paraId="2E1C5DA0" w14:textId="77777777" w:rsidR="00F67E9E" w:rsidRPr="00724541" w:rsidRDefault="00F67E9E" w:rsidP="0052486C">
            <w:pPr>
              <w:pStyle w:val="StdBodyText"/>
              <w:rPr>
                <w:rFonts w:cs="Arial"/>
              </w:rPr>
            </w:pPr>
            <w:r w:rsidRPr="00724541">
              <w:rPr>
                <w:rFonts w:cs="Arial"/>
              </w:rPr>
              <w:t xml:space="preserve">the </w:t>
            </w:r>
            <w:bookmarkStart w:id="14" w:name="_9kMKBP6ZWu9A679B"/>
            <w:r w:rsidRPr="00724541">
              <w:rPr>
                <w:rFonts w:cs="Arial"/>
              </w:rPr>
              <w:t>Authority</w:t>
            </w:r>
            <w:r>
              <w:rPr>
                <w:rFonts w:cs="Arial"/>
              </w:rPr>
              <w:t>’</w:t>
            </w:r>
            <w:r w:rsidRPr="00724541">
              <w:rPr>
                <w:rFonts w:cs="Arial"/>
              </w:rPr>
              <w:t>s</w:t>
            </w:r>
            <w:bookmarkEnd w:id="14"/>
            <w:r w:rsidRPr="00724541">
              <w:rPr>
                <w:rFonts w:cs="Arial"/>
              </w:rPr>
              <w:t xml:space="preserve"> computing environment (consisting of hardware, software and/or telecommunications networks or equipment) used by the Authority or the Supplier in connection with this Contract which is owned by the Authority or licensed to it by a third party and which interfaces with the Supplier </w:t>
            </w:r>
            <w:r w:rsidRPr="00724541">
              <w:rPr>
                <w:rFonts w:cs="Arial"/>
              </w:rPr>
              <w:lastRenderedPageBreak/>
              <w:t>System or which is necessary for the Authority to receive the Services;</w:t>
            </w:r>
          </w:p>
        </w:tc>
      </w:tr>
      <w:tr w:rsidR="00F67E9E" w:rsidRPr="00724541" w14:paraId="6C301B01" w14:textId="77777777" w:rsidTr="0052486C">
        <w:tc>
          <w:tcPr>
            <w:tcW w:w="2835" w:type="dxa"/>
          </w:tcPr>
          <w:p w14:paraId="71DEDA6F" w14:textId="77777777" w:rsidR="00F67E9E" w:rsidRPr="00724541" w:rsidRDefault="00F67E9E" w:rsidP="0052486C">
            <w:pPr>
              <w:pStyle w:val="StdBodyTextBold"/>
              <w:rPr>
                <w:rFonts w:cs="Arial"/>
              </w:rPr>
            </w:pPr>
            <w:r>
              <w:rPr>
                <w:rFonts w:cs="Arial"/>
              </w:rPr>
              <w:lastRenderedPageBreak/>
              <w:t>“</w:t>
            </w:r>
            <w:r w:rsidRPr="00724541">
              <w:rPr>
                <w:rFonts w:cs="Arial"/>
              </w:rPr>
              <w:t>Authority to Proceed</w:t>
            </w:r>
            <w:r>
              <w:rPr>
                <w:rFonts w:cs="Arial"/>
              </w:rPr>
              <w:t>”</w:t>
            </w:r>
            <w:r w:rsidRPr="00724541">
              <w:rPr>
                <w:rFonts w:cs="Arial"/>
              </w:rPr>
              <w:t xml:space="preserve"> or </w:t>
            </w:r>
            <w:r>
              <w:rPr>
                <w:rFonts w:cs="Arial"/>
              </w:rPr>
              <w:t>“</w:t>
            </w:r>
            <w:r w:rsidRPr="00724541">
              <w:rPr>
                <w:rFonts w:cs="Arial"/>
              </w:rPr>
              <w:t>ATP</w:t>
            </w:r>
            <w:r>
              <w:rPr>
                <w:rFonts w:cs="Arial"/>
              </w:rPr>
              <w:t>”</w:t>
            </w:r>
          </w:p>
        </w:tc>
        <w:tc>
          <w:tcPr>
            <w:tcW w:w="6803" w:type="dxa"/>
          </w:tcPr>
          <w:p w14:paraId="0D6EBC07" w14:textId="03D500F1" w:rsidR="00F67E9E" w:rsidRPr="00724541" w:rsidRDefault="00F67E9E" w:rsidP="0052486C">
            <w:pPr>
              <w:pStyle w:val="StdBodyText"/>
              <w:rPr>
                <w:rFonts w:cs="Arial"/>
              </w:rPr>
            </w:pPr>
            <w:r w:rsidRPr="00724541">
              <w:rPr>
                <w:rFonts w:cs="Arial"/>
              </w:rPr>
              <w:t xml:space="preserve">the authorisation to the Supplier to commence the provision of the relevant Operational Services to the Authority, provided by the Authority in the form of a </w:t>
            </w:r>
            <w:bookmarkStart w:id="15" w:name="_9kMIH5YVt4CCFMHYLrowC94vJCqxv9A235LlRDT"/>
            <w:r w:rsidRPr="00724541">
              <w:rPr>
                <w:rFonts w:cs="Arial"/>
              </w:rPr>
              <w:t>Milestone Achievement Certificate</w:t>
            </w:r>
            <w:bookmarkEnd w:id="15"/>
            <w:r w:rsidRPr="00724541">
              <w:rPr>
                <w:rFonts w:cs="Arial"/>
              </w:rPr>
              <w:t xml:space="preserve"> in respect of the ATP Milestone;</w:t>
            </w:r>
          </w:p>
        </w:tc>
      </w:tr>
      <w:tr w:rsidR="00F67E9E" w:rsidRPr="00724541" w14:paraId="3444C7FE" w14:textId="77777777" w:rsidTr="0052486C">
        <w:tc>
          <w:tcPr>
            <w:tcW w:w="2835" w:type="dxa"/>
          </w:tcPr>
          <w:p w14:paraId="0C88D3A0" w14:textId="77777777" w:rsidR="00F67E9E" w:rsidRPr="00724541" w:rsidRDefault="00F67E9E" w:rsidP="0052486C">
            <w:pPr>
              <w:pStyle w:val="StdBodyTextBold"/>
              <w:rPr>
                <w:rFonts w:cs="Arial"/>
              </w:rPr>
            </w:pPr>
            <w:r>
              <w:rPr>
                <w:rFonts w:cs="Arial"/>
              </w:rPr>
              <w:t>“</w:t>
            </w:r>
            <w:r w:rsidRPr="00724541">
              <w:rPr>
                <w:rFonts w:cs="Arial"/>
              </w:rPr>
              <w:t>Balanced Scorecard Report</w:t>
            </w:r>
            <w:r>
              <w:rPr>
                <w:rFonts w:cs="Arial"/>
              </w:rPr>
              <w:t>”</w:t>
            </w:r>
          </w:p>
        </w:tc>
        <w:tc>
          <w:tcPr>
            <w:tcW w:w="6803" w:type="dxa"/>
          </w:tcPr>
          <w:p w14:paraId="782B6814" w14:textId="3E27C6BC" w:rsidR="00F67E9E" w:rsidRPr="00724541" w:rsidRDefault="00F67E9E" w:rsidP="00835D25">
            <w:pPr>
              <w:pStyle w:val="StdBodyText"/>
              <w:rPr>
                <w:rFonts w:cs="Arial"/>
              </w:rPr>
            </w:pPr>
            <w:r w:rsidRPr="00724541">
              <w:rPr>
                <w:rFonts w:cs="Arial"/>
              </w:rPr>
              <w:t xml:space="preserve">has the meaning given in </w:t>
            </w:r>
            <w:bookmarkStart w:id="16" w:name="_9kR3WTr2CC4EIZEnoewrqyBJu"/>
            <w:r w:rsidRPr="00724541">
              <w:rPr>
                <w:rFonts w:cs="Arial"/>
              </w:rPr>
              <w:t>Paragraph</w:t>
            </w:r>
            <w:bookmarkEnd w:id="16"/>
            <w:r>
              <w:rPr>
                <w:rFonts w:cs="Arial"/>
              </w:rPr>
              <w:t> </w:t>
            </w:r>
            <w:r w:rsidR="00835D25">
              <w:rPr>
                <w:rFonts w:cs="Arial"/>
              </w:rPr>
              <w:t>1.1.2</w:t>
            </w:r>
            <w:r w:rsidRPr="00724541">
              <w:rPr>
                <w:rFonts w:cs="Arial"/>
              </w:rPr>
              <w:t xml:space="preserve"> of </w:t>
            </w:r>
            <w:r w:rsidR="00835D25">
              <w:rPr>
                <w:rFonts w:cs="Arial"/>
              </w:rPr>
              <w:t>Part B</w:t>
            </w:r>
            <w:r w:rsidRPr="00724541">
              <w:rPr>
                <w:rFonts w:cs="Arial"/>
              </w:rPr>
              <w:t xml:space="preserve"> of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724541">
              <w:rPr>
                <w:rFonts w:cs="Arial"/>
              </w:rPr>
              <w:t>;</w:t>
            </w:r>
          </w:p>
        </w:tc>
      </w:tr>
      <w:tr w:rsidR="00F67E9E" w:rsidRPr="00724541" w14:paraId="5851C9DB" w14:textId="77777777" w:rsidTr="0052486C">
        <w:tc>
          <w:tcPr>
            <w:tcW w:w="2835" w:type="dxa"/>
          </w:tcPr>
          <w:p w14:paraId="18BAF3A8" w14:textId="77777777" w:rsidR="00F67E9E" w:rsidRPr="00724541" w:rsidRDefault="00F67E9E" w:rsidP="0052486C">
            <w:pPr>
              <w:pStyle w:val="StdBodyTextBold"/>
              <w:rPr>
                <w:rFonts w:cs="Arial"/>
              </w:rPr>
            </w:pPr>
            <w:r>
              <w:rPr>
                <w:rFonts w:cs="Arial"/>
              </w:rPr>
              <w:t>“</w:t>
            </w:r>
            <w:r w:rsidRPr="00724541">
              <w:rPr>
                <w:rFonts w:cs="Arial"/>
              </w:rPr>
              <w:t>Board</w:t>
            </w:r>
            <w:r>
              <w:rPr>
                <w:rFonts w:cs="Arial"/>
              </w:rPr>
              <w:t>”</w:t>
            </w:r>
          </w:p>
        </w:tc>
        <w:tc>
          <w:tcPr>
            <w:tcW w:w="6803" w:type="dxa"/>
          </w:tcPr>
          <w:p w14:paraId="5722422E" w14:textId="77777777" w:rsidR="00F67E9E" w:rsidRPr="00724541" w:rsidRDefault="00F67E9E" w:rsidP="0052486C">
            <w:pPr>
              <w:pStyle w:val="StdBodyText"/>
              <w:rPr>
                <w:rFonts w:cs="Arial"/>
              </w:rPr>
            </w:pPr>
            <w:r w:rsidRPr="00724541">
              <w:rPr>
                <w:rFonts w:cs="Arial"/>
              </w:rPr>
              <w:t>means the Supplier</w:t>
            </w:r>
            <w:r>
              <w:rPr>
                <w:rFonts w:cs="Arial"/>
              </w:rPr>
              <w:t>’</w:t>
            </w:r>
            <w:r w:rsidRPr="00724541">
              <w:rPr>
                <w:rFonts w:cs="Arial"/>
              </w:rPr>
              <w:t>s board of directors;</w:t>
            </w:r>
          </w:p>
        </w:tc>
      </w:tr>
      <w:tr w:rsidR="00F67E9E" w:rsidRPr="00724541" w14:paraId="1A075D32" w14:textId="77777777" w:rsidTr="0052486C">
        <w:tc>
          <w:tcPr>
            <w:tcW w:w="2835" w:type="dxa"/>
          </w:tcPr>
          <w:p w14:paraId="54B9CD05" w14:textId="77777777" w:rsidR="00F67E9E" w:rsidRPr="00724541" w:rsidRDefault="00F67E9E" w:rsidP="0052486C">
            <w:pPr>
              <w:pStyle w:val="StdBodyTextBold"/>
              <w:rPr>
                <w:rFonts w:cs="Arial"/>
              </w:rPr>
            </w:pPr>
            <w:r>
              <w:rPr>
                <w:rFonts w:cs="Arial"/>
              </w:rPr>
              <w:t>“</w:t>
            </w:r>
            <w:r w:rsidRPr="00724541">
              <w:rPr>
                <w:rFonts w:cs="Arial"/>
              </w:rPr>
              <w:t>Board Confirmation</w:t>
            </w:r>
            <w:r>
              <w:rPr>
                <w:rFonts w:cs="Arial"/>
              </w:rPr>
              <w:t>”</w:t>
            </w:r>
          </w:p>
        </w:tc>
        <w:tc>
          <w:tcPr>
            <w:tcW w:w="6803" w:type="dxa"/>
          </w:tcPr>
          <w:p w14:paraId="76FB1952" w14:textId="653703A6" w:rsidR="00F67E9E" w:rsidRPr="00724541" w:rsidRDefault="00F67E9E" w:rsidP="0052486C">
            <w:pPr>
              <w:pStyle w:val="StdBodyText"/>
              <w:rPr>
                <w:rFonts w:cs="Arial"/>
              </w:rPr>
            </w:pPr>
            <w:r w:rsidRPr="00724541">
              <w:rPr>
                <w:rFonts w:cs="Arial"/>
              </w:rPr>
              <w:t xml:space="preserve">means the written confirmation from the Board in accordance with </w:t>
            </w:r>
            <w:bookmarkStart w:id="17" w:name="_9kR3WTr2CC4EJaEnoewrqyI"/>
            <w:r w:rsidRPr="00724541">
              <w:rPr>
                <w:rFonts w:cs="Arial"/>
              </w:rPr>
              <w:t xml:space="preserve">Paragraph </w:t>
            </w:r>
            <w:bookmarkEnd w:id="17"/>
            <w:r w:rsidRPr="00724541">
              <w:rPr>
                <w:rFonts w:cs="Arial"/>
              </w:rPr>
              <w:fldChar w:fldCharType="begin"/>
            </w:r>
            <w:r w:rsidRPr="00724541">
              <w:rPr>
                <w:rFonts w:cs="Arial"/>
              </w:rPr>
              <w:instrText xml:space="preserve"> REF _Ref_ContractCompanion_9kb9Ur246 \w \h  \* MERGEFORMAT </w:instrText>
            </w:r>
            <w:r w:rsidRPr="00724541">
              <w:rPr>
                <w:rFonts w:cs="Arial"/>
              </w:rPr>
            </w:r>
            <w:r w:rsidRPr="00724541">
              <w:rPr>
                <w:rFonts w:cs="Arial"/>
              </w:rPr>
              <w:fldChar w:fldCharType="separate"/>
            </w:r>
            <w:r w:rsidR="007A1473">
              <w:rPr>
                <w:rFonts w:cs="Arial"/>
              </w:rPr>
              <w:t>8</w:t>
            </w:r>
            <w:r w:rsidRPr="00724541">
              <w:rPr>
                <w:rFonts w:cs="Arial"/>
              </w:rPr>
              <w:fldChar w:fldCharType="end"/>
            </w:r>
            <w:r w:rsidRPr="00724541">
              <w:rPr>
                <w:rFonts w:cs="Arial"/>
              </w:rPr>
              <w:t xml:space="preserve"> of </w:t>
            </w:r>
            <w:r>
              <w:rPr>
                <w:rFonts w:cs="Arial"/>
              </w:rPr>
              <w:fldChar w:fldCharType="begin"/>
            </w:r>
            <w:r>
              <w:rPr>
                <w:rFonts w:cs="Arial"/>
              </w:rPr>
              <w:instrText xml:space="preserve"> REF Schedule18 \h </w:instrText>
            </w:r>
            <w:r>
              <w:rPr>
                <w:rFonts w:cs="Arial"/>
              </w:rPr>
            </w:r>
            <w:r>
              <w:rPr>
                <w:rFonts w:cs="Arial"/>
              </w:rPr>
              <w:fldChar w:fldCharType="separate"/>
            </w:r>
            <w:r w:rsidR="007A1473" w:rsidRPr="005D0525">
              <w:t>Schedule</w:t>
            </w:r>
            <w:r w:rsidR="007A1473">
              <w:t> </w:t>
            </w:r>
            <w:r w:rsidR="007A1473" w:rsidRPr="005D0525">
              <w:t>18</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Schedule18Heading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Distress</w:t>
            </w:r>
            <w:r w:rsidRPr="002F30DB">
              <w:rPr>
                <w:rFonts w:cs="Arial"/>
                <w:i/>
                <w:iCs/>
              </w:rPr>
              <w:fldChar w:fldCharType="end"/>
            </w:r>
            <w:r>
              <w:rPr>
                <w:rFonts w:cs="Arial"/>
              </w:rPr>
              <w:t>)</w:t>
            </w:r>
            <w:r w:rsidRPr="00724541">
              <w:rPr>
                <w:rFonts w:cs="Arial"/>
              </w:rPr>
              <w:t>;</w:t>
            </w:r>
          </w:p>
        </w:tc>
      </w:tr>
      <w:tr w:rsidR="00F67E9E" w:rsidRPr="00724541" w14:paraId="6D016B95" w14:textId="77777777" w:rsidTr="0052486C">
        <w:tc>
          <w:tcPr>
            <w:tcW w:w="2835" w:type="dxa"/>
          </w:tcPr>
          <w:p w14:paraId="278F0B20" w14:textId="77777777" w:rsidR="00F67E9E" w:rsidRPr="00724541" w:rsidRDefault="00F67E9E" w:rsidP="0052486C">
            <w:pPr>
              <w:pStyle w:val="StdBodyTextBold"/>
              <w:rPr>
                <w:rFonts w:cs="Arial"/>
              </w:rPr>
            </w:pPr>
            <w:r>
              <w:rPr>
                <w:rFonts w:cs="Arial"/>
              </w:rPr>
              <w:t>“</w:t>
            </w:r>
            <w:r w:rsidRPr="00724541">
              <w:rPr>
                <w:rFonts w:cs="Arial"/>
              </w:rPr>
              <w:t>Breakage Costs Payment</w:t>
            </w:r>
            <w:r>
              <w:rPr>
                <w:rFonts w:cs="Arial"/>
              </w:rPr>
              <w:t>”</w:t>
            </w:r>
          </w:p>
        </w:tc>
        <w:tc>
          <w:tcPr>
            <w:tcW w:w="6803" w:type="dxa"/>
          </w:tcPr>
          <w:p w14:paraId="35AA9ACD" w14:textId="6E45388A" w:rsidR="00F67E9E" w:rsidRPr="00724541" w:rsidRDefault="00F67E9E" w:rsidP="0052486C">
            <w:pPr>
              <w:pStyle w:val="StdBodyText"/>
              <w:rPr>
                <w:rFonts w:cs="Arial"/>
              </w:rPr>
            </w:pPr>
            <w:r w:rsidRPr="00724541">
              <w:rPr>
                <w:rFonts w:cs="Arial"/>
              </w:rPr>
              <w:t>has the meaning given in</w:t>
            </w:r>
            <w:r>
              <w:rPr>
                <w:rFonts w:cs="Arial"/>
              </w:rPr>
              <w:t xml:space="preserve"> </w:t>
            </w:r>
            <w:r>
              <w:rPr>
                <w:rFonts w:cs="Arial"/>
              </w:rPr>
              <w:fldChar w:fldCharType="begin"/>
            </w:r>
            <w:r>
              <w:rPr>
                <w:rFonts w:cs="Arial"/>
              </w:rPr>
              <w:instrText xml:space="preserve"> REF Schedule16 \h </w:instrText>
            </w:r>
            <w:r>
              <w:rPr>
                <w:rFonts w:cs="Arial"/>
              </w:rPr>
            </w:r>
            <w:r>
              <w:rPr>
                <w:rFonts w:cs="Arial"/>
              </w:rPr>
              <w:fldChar w:fldCharType="separate"/>
            </w:r>
            <w:r w:rsidR="007A1473" w:rsidRPr="005D0525">
              <w:t>Schedule</w:t>
            </w:r>
            <w:r w:rsidR="007A1473">
              <w:t> </w:t>
            </w:r>
            <w:r w:rsidR="007A1473" w:rsidRPr="005D0525">
              <w:t>16</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Schedule16Heading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Payments on Termination</w:t>
            </w:r>
            <w:r w:rsidRPr="00B91437">
              <w:rPr>
                <w:rFonts w:cs="Arial"/>
                <w:i/>
                <w:iCs/>
              </w:rPr>
              <w:fldChar w:fldCharType="end"/>
            </w:r>
            <w:r>
              <w:rPr>
                <w:rFonts w:cs="Arial"/>
              </w:rPr>
              <w:t>)</w:t>
            </w:r>
            <w:r w:rsidRPr="00724541">
              <w:rPr>
                <w:rFonts w:cs="Arial"/>
              </w:rPr>
              <w:t>;</w:t>
            </w:r>
          </w:p>
        </w:tc>
      </w:tr>
      <w:tr w:rsidR="00F67E9E" w:rsidRPr="00724541" w14:paraId="3423EE40" w14:textId="77777777" w:rsidTr="0052486C">
        <w:tc>
          <w:tcPr>
            <w:tcW w:w="2835" w:type="dxa"/>
          </w:tcPr>
          <w:p w14:paraId="6A892D69" w14:textId="77777777" w:rsidR="00F67E9E" w:rsidRPr="00724541" w:rsidRDefault="00F67E9E" w:rsidP="0052486C">
            <w:pPr>
              <w:pStyle w:val="StdBodyTextBold"/>
              <w:rPr>
                <w:rFonts w:cs="Arial"/>
              </w:rPr>
            </w:pPr>
            <w:r>
              <w:rPr>
                <w:rFonts w:cs="Arial"/>
              </w:rPr>
              <w:t>“</w:t>
            </w:r>
            <w:r w:rsidRPr="00724541">
              <w:rPr>
                <w:rFonts w:cs="Arial"/>
              </w:rPr>
              <w:t>Cabinet Office Markets and Suppliers Team</w:t>
            </w:r>
            <w:r>
              <w:rPr>
                <w:rFonts w:cs="Arial"/>
              </w:rPr>
              <w:t>”</w:t>
            </w:r>
          </w:p>
        </w:tc>
        <w:tc>
          <w:tcPr>
            <w:tcW w:w="6803" w:type="dxa"/>
          </w:tcPr>
          <w:p w14:paraId="2B9FFFC5" w14:textId="77777777" w:rsidR="00F67E9E" w:rsidRPr="00724541" w:rsidRDefault="00F67E9E" w:rsidP="0052486C">
            <w:pPr>
              <w:pStyle w:val="StdBodyText"/>
              <w:rPr>
                <w:rFonts w:cs="Arial"/>
              </w:rPr>
            </w:pPr>
            <w:r w:rsidRPr="00724541">
              <w:rPr>
                <w:rFonts w:cs="Arial"/>
              </w:rPr>
              <w:t>means the UK Government</w:t>
            </w:r>
            <w:r>
              <w:rPr>
                <w:rFonts w:cs="Arial"/>
              </w:rPr>
              <w:t>’</w:t>
            </w:r>
            <w:r w:rsidRPr="00724541">
              <w:rPr>
                <w:rFonts w:cs="Arial"/>
              </w:rPr>
              <w:t>s team responsible for managing the relationship between government and its Strategic Suppliers, or any replacement or successor body carrying out the same function;</w:t>
            </w:r>
          </w:p>
        </w:tc>
      </w:tr>
      <w:tr w:rsidR="00F67E9E" w:rsidRPr="00724541" w14:paraId="614A4116" w14:textId="77777777" w:rsidTr="0052486C">
        <w:tc>
          <w:tcPr>
            <w:tcW w:w="2835" w:type="dxa"/>
          </w:tcPr>
          <w:p w14:paraId="6177E43D" w14:textId="77777777" w:rsidR="00F67E9E" w:rsidRPr="00724541" w:rsidRDefault="00F67E9E" w:rsidP="0052486C">
            <w:pPr>
              <w:pStyle w:val="StdBodyTextBold"/>
              <w:rPr>
                <w:rFonts w:cs="Arial"/>
              </w:rPr>
            </w:pPr>
            <w:r>
              <w:rPr>
                <w:rFonts w:cs="Arial"/>
              </w:rPr>
              <w:t>“</w:t>
            </w:r>
            <w:r w:rsidRPr="00724541">
              <w:rPr>
                <w:rFonts w:cs="Arial"/>
              </w:rPr>
              <w:t>Certificate of Costs</w:t>
            </w:r>
            <w:r>
              <w:rPr>
                <w:rFonts w:cs="Arial"/>
              </w:rPr>
              <w:t>”</w:t>
            </w:r>
          </w:p>
        </w:tc>
        <w:tc>
          <w:tcPr>
            <w:tcW w:w="6803" w:type="dxa"/>
          </w:tcPr>
          <w:p w14:paraId="4F7BF3F1" w14:textId="0C594636" w:rsidR="00F67E9E" w:rsidRPr="00724541" w:rsidRDefault="00F67E9E" w:rsidP="0052486C">
            <w:pPr>
              <w:pStyle w:val="StdBodyText"/>
              <w:rPr>
                <w:rFonts w:cs="Arial"/>
              </w:rPr>
            </w:pPr>
            <w:r w:rsidRPr="00724541">
              <w:rPr>
                <w:rFonts w:cs="Arial"/>
              </w:rPr>
              <w:t xml:space="preserve">has the meaning given in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724541">
              <w:rPr>
                <w:rFonts w:cs="Arial"/>
              </w:rPr>
              <w:t>;</w:t>
            </w:r>
          </w:p>
        </w:tc>
      </w:tr>
      <w:tr w:rsidR="00F67E9E" w:rsidRPr="00724541" w14:paraId="5085DAED" w14:textId="77777777" w:rsidTr="0052486C">
        <w:tc>
          <w:tcPr>
            <w:tcW w:w="2835" w:type="dxa"/>
          </w:tcPr>
          <w:p w14:paraId="78AFCF57" w14:textId="77777777" w:rsidR="00F67E9E" w:rsidRPr="00724541" w:rsidRDefault="00F67E9E" w:rsidP="0052486C">
            <w:pPr>
              <w:pStyle w:val="StdBodyTextBold"/>
              <w:rPr>
                <w:rFonts w:cs="Arial"/>
              </w:rPr>
            </w:pPr>
            <w:r>
              <w:rPr>
                <w:rFonts w:cs="Arial"/>
              </w:rPr>
              <w:t>“</w:t>
            </w:r>
            <w:r w:rsidRPr="00724541">
              <w:rPr>
                <w:rFonts w:cs="Arial"/>
              </w:rPr>
              <w:t>Change</w:t>
            </w:r>
            <w:r>
              <w:rPr>
                <w:rFonts w:cs="Arial"/>
              </w:rPr>
              <w:t>”</w:t>
            </w:r>
          </w:p>
        </w:tc>
        <w:tc>
          <w:tcPr>
            <w:tcW w:w="6803" w:type="dxa"/>
          </w:tcPr>
          <w:p w14:paraId="0BB24175" w14:textId="77777777" w:rsidR="00F67E9E" w:rsidRPr="00724541" w:rsidRDefault="00F67E9E" w:rsidP="0052486C">
            <w:pPr>
              <w:pStyle w:val="StdBodyText"/>
              <w:rPr>
                <w:rFonts w:cs="Arial"/>
              </w:rPr>
            </w:pPr>
            <w:r w:rsidRPr="00724541">
              <w:rPr>
                <w:rFonts w:cs="Arial"/>
              </w:rPr>
              <w:t>any change to this Contract;</w:t>
            </w:r>
          </w:p>
        </w:tc>
      </w:tr>
      <w:tr w:rsidR="00F67E9E" w:rsidRPr="00724541" w14:paraId="6AEFB5C6" w14:textId="77777777" w:rsidTr="0052486C">
        <w:tc>
          <w:tcPr>
            <w:tcW w:w="2835" w:type="dxa"/>
          </w:tcPr>
          <w:p w14:paraId="3A2CA37E" w14:textId="77777777" w:rsidR="00F67E9E" w:rsidRPr="00724541" w:rsidRDefault="00F67E9E" w:rsidP="0052486C">
            <w:pPr>
              <w:pStyle w:val="StdBodyTextBold"/>
              <w:rPr>
                <w:rFonts w:cs="Arial"/>
              </w:rPr>
            </w:pPr>
            <w:r>
              <w:rPr>
                <w:rFonts w:cs="Arial"/>
              </w:rPr>
              <w:t>“</w:t>
            </w:r>
            <w:r w:rsidRPr="00724541">
              <w:rPr>
                <w:rFonts w:cs="Arial"/>
              </w:rPr>
              <w:t>Change Authorisation Note</w:t>
            </w:r>
            <w:r>
              <w:rPr>
                <w:rFonts w:cs="Arial"/>
              </w:rPr>
              <w:t>”</w:t>
            </w:r>
          </w:p>
        </w:tc>
        <w:tc>
          <w:tcPr>
            <w:tcW w:w="6803" w:type="dxa"/>
          </w:tcPr>
          <w:p w14:paraId="5D88FA1B" w14:textId="5FF104FA" w:rsidR="00F67E9E" w:rsidRPr="00724541" w:rsidRDefault="00F67E9E" w:rsidP="0052486C">
            <w:pPr>
              <w:pStyle w:val="StdBodyText"/>
              <w:rPr>
                <w:rFonts w:cs="Arial"/>
              </w:rPr>
            </w:pPr>
            <w:r w:rsidRPr="00724541">
              <w:rPr>
                <w:rFonts w:cs="Arial"/>
              </w:rPr>
              <w:t xml:space="preserve">a form setting out an agreed Contract Change which shall be substantially in the form of </w:t>
            </w:r>
            <w:r w:rsidRPr="00724541">
              <w:rPr>
                <w:rFonts w:cs="Arial"/>
              </w:rPr>
              <w:fldChar w:fldCharType="begin"/>
            </w:r>
            <w:r w:rsidRPr="00724541">
              <w:rPr>
                <w:rFonts w:cs="Arial"/>
              </w:rPr>
              <w:instrText xml:space="preserve"> REF  _Ref44507489 \* Caps \h  \* MERGEFORMAT </w:instrText>
            </w:r>
            <w:r w:rsidRPr="00724541">
              <w:rPr>
                <w:rFonts w:cs="Arial"/>
              </w:rPr>
            </w:r>
            <w:r w:rsidRPr="00724541">
              <w:rPr>
                <w:rFonts w:cs="Arial"/>
              </w:rPr>
              <w:fldChar w:fldCharType="separate"/>
            </w:r>
            <w:r w:rsidR="007A1473" w:rsidRPr="007A1473">
              <w:rPr>
                <w:rFonts w:cs="Arial"/>
              </w:rPr>
              <w:t>Annex 2: Change Authorisation Note</w:t>
            </w:r>
            <w:r w:rsidRPr="00724541">
              <w:rPr>
                <w:rFonts w:cs="Arial"/>
              </w:rPr>
              <w:fldChar w:fldCharType="end"/>
            </w:r>
            <w:r w:rsidRPr="00724541">
              <w:rPr>
                <w:rFonts w:cs="Arial"/>
              </w:rPr>
              <w:t>;</w:t>
            </w:r>
          </w:p>
        </w:tc>
      </w:tr>
      <w:tr w:rsidR="00F67E9E" w:rsidRPr="00724541" w14:paraId="07B68CA6" w14:textId="77777777" w:rsidTr="0052486C">
        <w:tc>
          <w:tcPr>
            <w:tcW w:w="2835" w:type="dxa"/>
          </w:tcPr>
          <w:p w14:paraId="091D5037" w14:textId="77777777" w:rsidR="00F67E9E" w:rsidRPr="00724541" w:rsidRDefault="00F67E9E" w:rsidP="0052486C">
            <w:pPr>
              <w:pStyle w:val="StdBodyTextBold"/>
              <w:rPr>
                <w:rFonts w:cs="Arial"/>
              </w:rPr>
            </w:pPr>
            <w:r>
              <w:rPr>
                <w:rFonts w:cs="Arial"/>
              </w:rPr>
              <w:t>“</w:t>
            </w:r>
            <w:r w:rsidRPr="00724541">
              <w:rPr>
                <w:rFonts w:cs="Arial"/>
              </w:rPr>
              <w:t>Change Control Procedure</w:t>
            </w:r>
            <w:r>
              <w:rPr>
                <w:rFonts w:cs="Arial"/>
              </w:rPr>
              <w:t>”</w:t>
            </w:r>
          </w:p>
        </w:tc>
        <w:tc>
          <w:tcPr>
            <w:tcW w:w="6803" w:type="dxa"/>
          </w:tcPr>
          <w:p w14:paraId="449AF505" w14:textId="789A5CE8" w:rsidR="00F67E9E" w:rsidRPr="00724541" w:rsidRDefault="00F67E9E" w:rsidP="0052486C">
            <w:pPr>
              <w:pStyle w:val="StdBodyText"/>
              <w:rPr>
                <w:rFonts w:cs="Arial"/>
              </w:rPr>
            </w:pPr>
            <w:r w:rsidRPr="00724541">
              <w:rPr>
                <w:rFonts w:cs="Arial"/>
              </w:rPr>
              <w:t>the procedure for changing this Contract set out in</w:t>
            </w:r>
            <w:r>
              <w:rPr>
                <w:rFonts w:cs="Arial"/>
              </w:rPr>
              <w:t xml:space="preserve"> </w:t>
            </w:r>
            <w:r>
              <w:rPr>
                <w:rFonts w:cs="Arial"/>
              </w:rPr>
              <w:fldChar w:fldCharType="begin"/>
            </w:r>
            <w:r>
              <w:rPr>
                <w:rFonts w:cs="Arial"/>
              </w:rPr>
              <w:instrText xml:space="preserve"> REF Schedule22 \h </w:instrText>
            </w:r>
            <w:r>
              <w:rPr>
                <w:rFonts w:cs="Arial"/>
              </w:rPr>
            </w:r>
            <w:r>
              <w:rPr>
                <w:rFonts w:cs="Arial"/>
              </w:rPr>
              <w:fldChar w:fldCharType="separate"/>
            </w:r>
            <w:r w:rsidR="007A1473" w:rsidRPr="005D0525">
              <w:t>Schedule</w:t>
            </w:r>
            <w:r w:rsidR="007A1473">
              <w:t> </w:t>
            </w:r>
            <w:r w:rsidR="007A1473" w:rsidRPr="005D0525">
              <w:t>22</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Schedule22Heading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Change Control Procedure</w:t>
            </w:r>
            <w:r w:rsidRPr="002F30DB">
              <w:rPr>
                <w:rFonts w:cs="Arial"/>
                <w:i/>
                <w:iCs/>
              </w:rPr>
              <w:fldChar w:fldCharType="end"/>
            </w:r>
            <w:r>
              <w:rPr>
                <w:rFonts w:cs="Arial"/>
              </w:rPr>
              <w:t>)</w:t>
            </w:r>
            <w:r w:rsidRPr="00724541">
              <w:rPr>
                <w:rFonts w:cs="Arial"/>
              </w:rPr>
              <w:t>;</w:t>
            </w:r>
          </w:p>
        </w:tc>
      </w:tr>
      <w:tr w:rsidR="00F67E9E" w:rsidRPr="00724541" w14:paraId="154AEAF8" w14:textId="77777777" w:rsidTr="0052486C">
        <w:tc>
          <w:tcPr>
            <w:tcW w:w="2835" w:type="dxa"/>
          </w:tcPr>
          <w:p w14:paraId="013E68E4" w14:textId="77777777" w:rsidR="00F67E9E" w:rsidRPr="00724541" w:rsidRDefault="00F67E9E" w:rsidP="0052486C">
            <w:pPr>
              <w:pStyle w:val="StdBodyTextBold"/>
              <w:rPr>
                <w:rFonts w:cs="Arial"/>
              </w:rPr>
            </w:pPr>
            <w:r>
              <w:rPr>
                <w:rFonts w:cs="Arial"/>
              </w:rPr>
              <w:t>“</w:t>
            </w:r>
            <w:r w:rsidRPr="00724541">
              <w:rPr>
                <w:rFonts w:cs="Arial"/>
              </w:rPr>
              <w:t>Change in Law</w:t>
            </w:r>
            <w:r>
              <w:rPr>
                <w:rFonts w:cs="Arial"/>
              </w:rPr>
              <w:t>”</w:t>
            </w:r>
          </w:p>
        </w:tc>
        <w:tc>
          <w:tcPr>
            <w:tcW w:w="6803" w:type="dxa"/>
          </w:tcPr>
          <w:p w14:paraId="524AA93A" w14:textId="77777777" w:rsidR="00F67E9E" w:rsidRPr="00724541" w:rsidRDefault="00F67E9E" w:rsidP="0052486C">
            <w:pPr>
              <w:pStyle w:val="StdBodyText"/>
              <w:rPr>
                <w:rFonts w:cs="Arial"/>
              </w:rPr>
            </w:pPr>
            <w:r w:rsidRPr="00724541">
              <w:rPr>
                <w:rFonts w:cs="Arial"/>
              </w:rPr>
              <w:t>any change in Law which impacts on the performance of the Services which comes into force after the Effective Date;</w:t>
            </w:r>
          </w:p>
        </w:tc>
      </w:tr>
      <w:tr w:rsidR="00F67E9E" w:rsidRPr="00724541" w14:paraId="03858F0B" w14:textId="77777777" w:rsidTr="0052486C">
        <w:tc>
          <w:tcPr>
            <w:tcW w:w="2835" w:type="dxa"/>
          </w:tcPr>
          <w:p w14:paraId="7624E350" w14:textId="77777777" w:rsidR="00F67E9E" w:rsidRPr="00724541" w:rsidRDefault="00F67E9E" w:rsidP="0052486C">
            <w:pPr>
              <w:pStyle w:val="StdBodyTextBold"/>
              <w:rPr>
                <w:rFonts w:cs="Arial"/>
              </w:rPr>
            </w:pPr>
            <w:r>
              <w:rPr>
                <w:rFonts w:cs="Arial"/>
              </w:rPr>
              <w:t>“</w:t>
            </w:r>
            <w:r w:rsidRPr="00724541">
              <w:rPr>
                <w:rFonts w:cs="Arial"/>
              </w:rPr>
              <w:t>Change Request</w:t>
            </w:r>
            <w:r>
              <w:rPr>
                <w:rFonts w:cs="Arial"/>
              </w:rPr>
              <w:t>”</w:t>
            </w:r>
          </w:p>
        </w:tc>
        <w:tc>
          <w:tcPr>
            <w:tcW w:w="6803" w:type="dxa"/>
          </w:tcPr>
          <w:p w14:paraId="00316F40" w14:textId="70FFEAB3" w:rsidR="00F67E9E" w:rsidRPr="00724541" w:rsidRDefault="00F67E9E" w:rsidP="0052486C">
            <w:pPr>
              <w:pStyle w:val="StdBodyText"/>
              <w:rPr>
                <w:rFonts w:cs="Arial"/>
              </w:rPr>
            </w:pPr>
            <w:r w:rsidRPr="00724541">
              <w:rPr>
                <w:rFonts w:cs="Arial"/>
              </w:rPr>
              <w:t xml:space="preserve">a written request for a Contract Change substantially in the form of </w:t>
            </w:r>
            <w:r w:rsidRPr="00724541">
              <w:rPr>
                <w:rFonts w:cs="Arial"/>
              </w:rPr>
              <w:fldChar w:fldCharType="begin"/>
            </w:r>
            <w:r w:rsidRPr="00724541">
              <w:rPr>
                <w:rFonts w:cs="Arial"/>
              </w:rPr>
              <w:instrText xml:space="preserve"> REF ANNEX1_SCHEDULE22 \h  \* MERGEFORMAT </w:instrText>
            </w:r>
            <w:r w:rsidRPr="00724541">
              <w:rPr>
                <w:rFonts w:cs="Arial"/>
              </w:rPr>
            </w:r>
            <w:r w:rsidRPr="00724541">
              <w:rPr>
                <w:rFonts w:cs="Arial"/>
              </w:rPr>
              <w:fldChar w:fldCharType="separate"/>
            </w:r>
            <w:r w:rsidR="007A1473" w:rsidRPr="007A1473">
              <w:rPr>
                <w:rFonts w:cs="Arial"/>
              </w:rPr>
              <w:t>1</w:t>
            </w:r>
            <w:r w:rsidRPr="00724541">
              <w:rPr>
                <w:rFonts w:cs="Arial"/>
              </w:rPr>
              <w:fldChar w:fldCharType="end"/>
            </w:r>
            <w:r w:rsidRPr="00724541">
              <w:rPr>
                <w:rFonts w:cs="Arial"/>
              </w:rPr>
              <w:t xml:space="preserve"> </w:t>
            </w:r>
            <w:r w:rsidRPr="00200CC3">
              <w:rPr>
                <w:rFonts w:cs="Arial"/>
              </w:rPr>
              <w:t>(</w:t>
            </w:r>
            <w:r w:rsidRPr="00B74235">
              <w:rPr>
                <w:rFonts w:cs="Arial"/>
                <w:i/>
                <w:iCs/>
              </w:rPr>
              <w:fldChar w:fldCharType="begin"/>
            </w:r>
            <w:r w:rsidRPr="00B74235">
              <w:rPr>
                <w:rFonts w:cs="Arial"/>
                <w:i/>
                <w:iCs/>
              </w:rPr>
              <w:instrText xml:space="preserve"> REF Annex1HEADINGSCHEDULE22 \h </w:instrText>
            </w:r>
            <w:r>
              <w:rPr>
                <w:rFonts w:cs="Arial"/>
                <w:i/>
                <w:iCs/>
              </w:rPr>
              <w:instrText xml:space="preserve"> \* MERGEFORMAT </w:instrText>
            </w:r>
            <w:r w:rsidRPr="00B74235">
              <w:rPr>
                <w:rFonts w:cs="Arial"/>
                <w:i/>
                <w:iCs/>
              </w:rPr>
            </w:r>
            <w:r w:rsidRPr="00B74235">
              <w:rPr>
                <w:rFonts w:cs="Arial"/>
                <w:i/>
                <w:iCs/>
              </w:rPr>
              <w:fldChar w:fldCharType="separate"/>
            </w:r>
            <w:r w:rsidR="007A1473" w:rsidRPr="007A1473">
              <w:rPr>
                <w:i/>
                <w:iCs/>
              </w:rPr>
              <w:t>Change Request Form</w:t>
            </w:r>
            <w:r w:rsidRPr="00B74235">
              <w:rPr>
                <w:rFonts w:cs="Arial"/>
                <w:i/>
                <w:iCs/>
              </w:rPr>
              <w:fldChar w:fldCharType="end"/>
            </w:r>
            <w:r w:rsidRPr="00200CC3">
              <w:rPr>
                <w:rFonts w:cs="Arial"/>
              </w:rPr>
              <w:t>)</w:t>
            </w:r>
            <w:r w:rsidRPr="00724541">
              <w:rPr>
                <w:rFonts w:cs="Arial"/>
                <w:i/>
                <w:iCs/>
              </w:rPr>
              <w:t>;</w:t>
            </w:r>
          </w:p>
        </w:tc>
      </w:tr>
      <w:tr w:rsidR="00F67E9E" w:rsidRPr="00724541" w14:paraId="7F0A95B7" w14:textId="77777777" w:rsidTr="0052486C">
        <w:tc>
          <w:tcPr>
            <w:tcW w:w="2835" w:type="dxa"/>
          </w:tcPr>
          <w:p w14:paraId="35CD5398" w14:textId="77777777" w:rsidR="00F67E9E" w:rsidRPr="00724541" w:rsidRDefault="00F67E9E" w:rsidP="0052486C">
            <w:pPr>
              <w:pStyle w:val="StdBodyTextBold"/>
              <w:rPr>
                <w:rFonts w:cs="Arial"/>
              </w:rPr>
            </w:pPr>
            <w:r>
              <w:rPr>
                <w:rFonts w:cs="Arial"/>
              </w:rPr>
              <w:t>“</w:t>
            </w:r>
            <w:r w:rsidRPr="00724541">
              <w:rPr>
                <w:rFonts w:cs="Arial"/>
              </w:rPr>
              <w:t>Charges</w:t>
            </w:r>
            <w:r>
              <w:rPr>
                <w:rFonts w:cs="Arial"/>
              </w:rPr>
              <w:t>”</w:t>
            </w:r>
          </w:p>
        </w:tc>
        <w:tc>
          <w:tcPr>
            <w:tcW w:w="6803" w:type="dxa"/>
          </w:tcPr>
          <w:p w14:paraId="210CB1B8" w14:textId="390E6F1B" w:rsidR="00F67E9E" w:rsidRPr="00724541" w:rsidRDefault="00F67E9E" w:rsidP="0052486C">
            <w:pPr>
              <w:pStyle w:val="StdBodyText"/>
              <w:rPr>
                <w:rFonts w:cs="Arial"/>
              </w:rPr>
            </w:pPr>
            <w:r w:rsidRPr="00724541">
              <w:rPr>
                <w:rFonts w:cs="Arial"/>
              </w:rPr>
              <w:t xml:space="preserve">the charges for the provision of the Services set out in or otherwise calculated in accordance with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724541">
              <w:rPr>
                <w:rFonts w:cs="Arial"/>
              </w:rPr>
              <w:t>, including any Milestone Payment or Service Charge;</w:t>
            </w:r>
          </w:p>
        </w:tc>
      </w:tr>
      <w:tr w:rsidR="00F67E9E" w:rsidRPr="00724541" w14:paraId="429FF26F" w14:textId="77777777" w:rsidTr="0052486C">
        <w:tc>
          <w:tcPr>
            <w:tcW w:w="2835" w:type="dxa"/>
          </w:tcPr>
          <w:p w14:paraId="541E7E52" w14:textId="77777777" w:rsidR="00F67E9E" w:rsidRPr="00724541" w:rsidRDefault="00F67E9E" w:rsidP="0052486C">
            <w:pPr>
              <w:pStyle w:val="StdBodyTextBold"/>
              <w:rPr>
                <w:rFonts w:cs="Arial"/>
              </w:rPr>
            </w:pPr>
            <w:r>
              <w:rPr>
                <w:rFonts w:cs="Arial"/>
              </w:rPr>
              <w:lastRenderedPageBreak/>
              <w:t>“</w:t>
            </w:r>
            <w:r w:rsidRPr="00724541">
              <w:rPr>
                <w:rFonts w:cs="Arial"/>
              </w:rPr>
              <w:t>Class 1 Transaction</w:t>
            </w:r>
            <w:r>
              <w:rPr>
                <w:rFonts w:cs="Arial"/>
              </w:rPr>
              <w:t>”</w:t>
            </w:r>
          </w:p>
        </w:tc>
        <w:tc>
          <w:tcPr>
            <w:tcW w:w="6803" w:type="dxa"/>
          </w:tcPr>
          <w:p w14:paraId="30E0FEE9" w14:textId="77777777" w:rsidR="00F67E9E" w:rsidRPr="00724541" w:rsidRDefault="00F67E9E" w:rsidP="0052486C">
            <w:pPr>
              <w:pStyle w:val="StdBodyText"/>
              <w:rPr>
                <w:rFonts w:cs="Arial"/>
              </w:rPr>
            </w:pPr>
            <w:r w:rsidRPr="00724541">
              <w:rPr>
                <w:rFonts w:cs="Arial"/>
              </w:rPr>
              <w:t>has the meaning set out in the listing rules issued by the UK Listing Authority;</w:t>
            </w:r>
          </w:p>
        </w:tc>
      </w:tr>
      <w:tr w:rsidR="00F67E9E" w:rsidRPr="00724541" w14:paraId="7D01BEEE" w14:textId="77777777" w:rsidTr="0052486C">
        <w:tc>
          <w:tcPr>
            <w:tcW w:w="2835" w:type="dxa"/>
          </w:tcPr>
          <w:p w14:paraId="0D24523C" w14:textId="77777777" w:rsidR="00F67E9E" w:rsidRPr="00724541" w:rsidRDefault="00F67E9E" w:rsidP="0052486C">
            <w:pPr>
              <w:pStyle w:val="StdBodyTextBold"/>
              <w:rPr>
                <w:rFonts w:cs="Arial"/>
              </w:rPr>
            </w:pPr>
            <w:r>
              <w:rPr>
                <w:rFonts w:cs="Arial"/>
              </w:rPr>
              <w:t>“</w:t>
            </w:r>
            <w:r w:rsidRPr="00724541">
              <w:rPr>
                <w:rFonts w:cs="Arial"/>
              </w:rPr>
              <w:t>CNI</w:t>
            </w:r>
            <w:r>
              <w:rPr>
                <w:rFonts w:cs="Arial"/>
              </w:rPr>
              <w:t>”</w:t>
            </w:r>
          </w:p>
        </w:tc>
        <w:tc>
          <w:tcPr>
            <w:tcW w:w="6803" w:type="dxa"/>
          </w:tcPr>
          <w:p w14:paraId="45738D55" w14:textId="77777777" w:rsidR="00F67E9E" w:rsidRPr="00724541" w:rsidRDefault="00F67E9E" w:rsidP="0052486C">
            <w:pPr>
              <w:pStyle w:val="StdBodyText"/>
              <w:rPr>
                <w:rFonts w:cs="Arial"/>
              </w:rPr>
            </w:pPr>
            <w:r w:rsidRPr="00724541">
              <w:rPr>
                <w:rFonts w:cs="Arial"/>
              </w:rPr>
              <w:t>means Critical National Infrastructure;</w:t>
            </w:r>
          </w:p>
        </w:tc>
      </w:tr>
      <w:tr w:rsidR="00F67E9E" w:rsidRPr="00724541" w14:paraId="61453689" w14:textId="77777777" w:rsidTr="0052486C">
        <w:tc>
          <w:tcPr>
            <w:tcW w:w="2835" w:type="dxa"/>
          </w:tcPr>
          <w:p w14:paraId="4706B47C" w14:textId="77777777" w:rsidR="00F67E9E" w:rsidRPr="00724541" w:rsidRDefault="00F67E9E" w:rsidP="0052486C">
            <w:pPr>
              <w:pStyle w:val="StdBodyTextBold"/>
              <w:rPr>
                <w:rFonts w:cs="Arial"/>
              </w:rPr>
            </w:pPr>
            <w:r>
              <w:rPr>
                <w:rFonts w:cs="Arial"/>
              </w:rPr>
              <w:t>“</w:t>
            </w:r>
            <w:r w:rsidRPr="00724541">
              <w:rPr>
                <w:rFonts w:cs="Arial"/>
              </w:rPr>
              <w:t>Commercially Sensitive Information</w:t>
            </w:r>
            <w:r>
              <w:rPr>
                <w:rFonts w:cs="Arial"/>
              </w:rPr>
              <w:t>”</w:t>
            </w:r>
          </w:p>
        </w:tc>
        <w:tc>
          <w:tcPr>
            <w:tcW w:w="6803" w:type="dxa"/>
          </w:tcPr>
          <w:p w14:paraId="6746D4FB" w14:textId="10BC67AD" w:rsidR="00F67E9E" w:rsidRPr="00724541" w:rsidRDefault="00F67E9E" w:rsidP="0052486C">
            <w:pPr>
              <w:pStyle w:val="StdBodyText"/>
              <w:rPr>
                <w:rFonts w:cs="Arial"/>
              </w:rPr>
            </w:pPr>
            <w:r w:rsidRPr="00724541">
              <w:rPr>
                <w:rFonts w:cs="Arial"/>
              </w:rPr>
              <w:t>the information listed in</w:t>
            </w:r>
            <w:r>
              <w:rPr>
                <w:rFonts w:cs="Arial"/>
              </w:rPr>
              <w:t xml:space="preserve"> </w:t>
            </w:r>
            <w:r>
              <w:rPr>
                <w:rFonts w:cs="Arial"/>
              </w:rPr>
              <w:fldChar w:fldCharType="begin"/>
            </w:r>
            <w:r>
              <w:rPr>
                <w:rFonts w:cs="Arial"/>
              </w:rPr>
              <w:instrText xml:space="preserve"> REF Schedule9 \h </w:instrText>
            </w:r>
            <w:r>
              <w:rPr>
                <w:rFonts w:cs="Arial"/>
              </w:rPr>
            </w:r>
            <w:r>
              <w:rPr>
                <w:rFonts w:cs="Arial"/>
              </w:rPr>
              <w:fldChar w:fldCharType="separate"/>
            </w:r>
            <w:r w:rsidR="007A1473" w:rsidRPr="005D0525">
              <w:t>Schedule</w:t>
            </w:r>
            <w:r w:rsidR="007A1473">
              <w:t> </w:t>
            </w:r>
            <w:r w:rsidR="007A1473" w:rsidRPr="005D0525">
              <w:t>9</w:t>
            </w:r>
            <w:r>
              <w:rPr>
                <w:rFonts w:cs="Arial"/>
              </w:rPr>
              <w:fldChar w:fldCharType="end"/>
            </w:r>
            <w:r>
              <w:rPr>
                <w:rFonts w:cs="Arial"/>
              </w:rPr>
              <w:t xml:space="preserve"> (</w:t>
            </w:r>
            <w:r w:rsidRPr="00910061">
              <w:rPr>
                <w:rFonts w:cs="Arial"/>
                <w:i/>
                <w:iCs/>
              </w:rPr>
              <w:fldChar w:fldCharType="begin"/>
            </w:r>
            <w:r w:rsidRPr="00910061">
              <w:rPr>
                <w:rFonts w:cs="Arial"/>
                <w:i/>
                <w:iCs/>
              </w:rPr>
              <w:instrText xml:space="preserve"> REF Schedule9Heading \h </w:instrText>
            </w:r>
            <w:r>
              <w:rPr>
                <w:rFonts w:cs="Arial"/>
                <w:i/>
                <w:iCs/>
              </w:rPr>
              <w:instrText xml:space="preserve"> \* MERGEFORMAT </w:instrText>
            </w:r>
            <w:r w:rsidRPr="00910061">
              <w:rPr>
                <w:rFonts w:cs="Arial"/>
                <w:i/>
                <w:iCs/>
              </w:rPr>
            </w:r>
            <w:r w:rsidRPr="00910061">
              <w:rPr>
                <w:rFonts w:cs="Arial"/>
                <w:i/>
                <w:iCs/>
              </w:rPr>
              <w:fldChar w:fldCharType="separate"/>
            </w:r>
            <w:r w:rsidR="007A1473" w:rsidRPr="007A1473">
              <w:rPr>
                <w:i/>
                <w:iCs/>
              </w:rPr>
              <w:t>Commercially Sensitive Information</w:t>
            </w:r>
            <w:r w:rsidRPr="00910061">
              <w:rPr>
                <w:rFonts w:cs="Arial"/>
                <w:i/>
                <w:iCs/>
              </w:rPr>
              <w:fldChar w:fldCharType="end"/>
            </w:r>
            <w:r>
              <w:rPr>
                <w:rFonts w:cs="Arial"/>
              </w:rPr>
              <w:t>)</w:t>
            </w:r>
            <w:r w:rsidRPr="00724541">
              <w:rPr>
                <w:rFonts w:cs="Arial"/>
              </w:rPr>
              <w:t xml:space="preserve"> comprising the information of a commercially sensitive nature relating to:</w:t>
            </w:r>
          </w:p>
          <w:p w14:paraId="23659C85" w14:textId="77777777" w:rsidR="00F67E9E" w:rsidRPr="00724541" w:rsidRDefault="00F67E9E" w:rsidP="00F13933">
            <w:pPr>
              <w:pStyle w:val="DefinitionList"/>
              <w:numPr>
                <w:ilvl w:val="0"/>
                <w:numId w:val="137"/>
              </w:numPr>
            </w:pPr>
            <w:r w:rsidRPr="00577E60">
              <w:rPr>
                <w:rFonts w:cs="Arial"/>
              </w:rPr>
              <w:t>the</w:t>
            </w:r>
            <w:r w:rsidRPr="00724541">
              <w:t xml:space="preserve"> pricing of the Services;</w:t>
            </w:r>
          </w:p>
          <w:p w14:paraId="0C324D0C" w14:textId="77777777" w:rsidR="00F67E9E" w:rsidRPr="00724541" w:rsidRDefault="00F67E9E" w:rsidP="00F13933">
            <w:pPr>
              <w:pStyle w:val="DefinitionList"/>
              <w:numPr>
                <w:ilvl w:val="0"/>
                <w:numId w:val="78"/>
              </w:numPr>
              <w:rPr>
                <w:rFonts w:cs="Arial"/>
              </w:rPr>
            </w:pPr>
            <w:r w:rsidRPr="00724541">
              <w:rPr>
                <w:rFonts w:cs="Arial"/>
              </w:rPr>
              <w:t xml:space="preserve">details of the </w:t>
            </w:r>
            <w:bookmarkStart w:id="18" w:name="_9kR3WTr5DA489Zb51ysmwB"/>
            <w:r w:rsidRPr="00724541">
              <w:rPr>
                <w:rFonts w:cs="Arial"/>
              </w:rPr>
              <w:t>Supplier</w:t>
            </w:r>
            <w:r>
              <w:rPr>
                <w:rFonts w:cs="Arial"/>
              </w:rPr>
              <w:t>’</w:t>
            </w:r>
            <w:r w:rsidRPr="00724541">
              <w:rPr>
                <w:rFonts w:cs="Arial"/>
              </w:rPr>
              <w:t>s</w:t>
            </w:r>
            <w:bookmarkEnd w:id="18"/>
            <w:r w:rsidRPr="00724541">
              <w:rPr>
                <w:rFonts w:cs="Arial"/>
              </w:rPr>
              <w:t xml:space="preserve"> IPRs; and</w:t>
            </w:r>
          </w:p>
          <w:p w14:paraId="00C277B7" w14:textId="77777777" w:rsidR="00F67E9E" w:rsidRPr="00724541" w:rsidRDefault="00F67E9E" w:rsidP="00F13933">
            <w:pPr>
              <w:pStyle w:val="DefinitionList"/>
              <w:numPr>
                <w:ilvl w:val="0"/>
                <w:numId w:val="78"/>
              </w:numPr>
              <w:rPr>
                <w:rFonts w:cs="Arial"/>
              </w:rPr>
            </w:pPr>
            <w:r w:rsidRPr="00724541">
              <w:rPr>
                <w:rFonts w:cs="Arial"/>
              </w:rPr>
              <w:t>the Supplier</w:t>
            </w:r>
            <w:r>
              <w:rPr>
                <w:rFonts w:cs="Arial"/>
              </w:rPr>
              <w:t>’</w:t>
            </w:r>
            <w:r w:rsidRPr="00724541">
              <w:rPr>
                <w:rFonts w:cs="Arial"/>
              </w:rPr>
              <w:t>s business and investment plans;</w:t>
            </w:r>
          </w:p>
          <w:p w14:paraId="3F775D5B" w14:textId="77777777" w:rsidR="00F67E9E" w:rsidRPr="00724541" w:rsidRDefault="00F67E9E" w:rsidP="0052486C">
            <w:pPr>
              <w:pStyle w:val="StdBodyText"/>
              <w:rPr>
                <w:rFonts w:cs="Arial"/>
              </w:rPr>
            </w:pPr>
            <w:r w:rsidRPr="00724541">
              <w:rPr>
                <w:rFonts w:cs="Arial"/>
              </w:rPr>
              <w:t>which the Supplier has indicated to the Authority that, if disclosed by the Authority, would cause the Supplier significant commercial disadvantage or material financial loss;</w:t>
            </w:r>
          </w:p>
        </w:tc>
      </w:tr>
      <w:tr w:rsidR="00F67E9E" w:rsidRPr="00724541" w14:paraId="03AE58CD" w14:textId="77777777" w:rsidTr="0052486C">
        <w:tc>
          <w:tcPr>
            <w:tcW w:w="2835" w:type="dxa"/>
          </w:tcPr>
          <w:p w14:paraId="374A2034" w14:textId="77777777" w:rsidR="00F67E9E" w:rsidRPr="00724541" w:rsidRDefault="00F67E9E" w:rsidP="0052486C">
            <w:pPr>
              <w:pStyle w:val="StdBodyTextBold"/>
              <w:rPr>
                <w:rFonts w:cs="Arial"/>
              </w:rPr>
            </w:pPr>
            <w:r>
              <w:rPr>
                <w:rFonts w:cs="Arial"/>
              </w:rPr>
              <w:t>“</w:t>
            </w:r>
            <w:r w:rsidRPr="00724541">
              <w:rPr>
                <w:rFonts w:cs="Arial"/>
              </w:rPr>
              <w:t>Comparable Supply</w:t>
            </w:r>
            <w:r>
              <w:rPr>
                <w:rFonts w:cs="Arial"/>
              </w:rPr>
              <w:t>”</w:t>
            </w:r>
          </w:p>
        </w:tc>
        <w:tc>
          <w:tcPr>
            <w:tcW w:w="6803" w:type="dxa"/>
          </w:tcPr>
          <w:p w14:paraId="31C23D17" w14:textId="77777777" w:rsidR="00F67E9E" w:rsidRPr="00724541" w:rsidRDefault="00F67E9E" w:rsidP="0052486C">
            <w:pPr>
              <w:pStyle w:val="StdBodyText"/>
              <w:rPr>
                <w:rFonts w:cs="Arial"/>
              </w:rPr>
            </w:pPr>
            <w:r w:rsidRPr="00724541">
              <w:rPr>
                <w:rFonts w:cs="Arial"/>
              </w:rPr>
              <w:t>the supply of services to another customer of the Supplier that are the same or similar to any of the Services;</w:t>
            </w:r>
          </w:p>
        </w:tc>
      </w:tr>
      <w:tr w:rsidR="00F67E9E" w:rsidRPr="00724541" w14:paraId="425FD8BA" w14:textId="77777777" w:rsidTr="0052486C">
        <w:tc>
          <w:tcPr>
            <w:tcW w:w="2835" w:type="dxa"/>
          </w:tcPr>
          <w:p w14:paraId="529161D9" w14:textId="77777777" w:rsidR="00F67E9E" w:rsidRPr="00724541" w:rsidRDefault="00F67E9E" w:rsidP="0052486C">
            <w:pPr>
              <w:pStyle w:val="StdBodyTextBold"/>
              <w:rPr>
                <w:rFonts w:cs="Arial"/>
              </w:rPr>
            </w:pPr>
            <w:r>
              <w:rPr>
                <w:rFonts w:cs="Arial"/>
              </w:rPr>
              <w:t>“</w:t>
            </w:r>
            <w:r w:rsidRPr="00724541">
              <w:rPr>
                <w:rFonts w:cs="Arial"/>
              </w:rPr>
              <w:t>Compensation for Unacceptable KPI Failure</w:t>
            </w:r>
            <w:r>
              <w:rPr>
                <w:rFonts w:cs="Arial"/>
              </w:rPr>
              <w:t>”</w:t>
            </w:r>
          </w:p>
        </w:tc>
        <w:tc>
          <w:tcPr>
            <w:tcW w:w="6803" w:type="dxa"/>
          </w:tcPr>
          <w:p w14:paraId="2E63B692" w14:textId="77777777" w:rsidR="00F67E9E" w:rsidRPr="00724541" w:rsidRDefault="00F67E9E" w:rsidP="0052486C">
            <w:pPr>
              <w:pStyle w:val="StdBodyText"/>
              <w:rPr>
                <w:rFonts w:cs="Arial"/>
              </w:rPr>
            </w:pPr>
            <w:r w:rsidRPr="00724541">
              <w:rPr>
                <w:rFonts w:cs="Arial"/>
              </w:rPr>
              <w:t xml:space="preserve">has the meaning given in </w:t>
            </w:r>
            <w:bookmarkStart w:id="19" w:name="_9kMIH5YVt4DD8HINEjtCxDRv"/>
            <w:r w:rsidRPr="00724541">
              <w:rPr>
                <w:rFonts w:cs="Arial"/>
              </w:rPr>
              <w:t xml:space="preserve">Clause </w:t>
            </w:r>
            <w:bookmarkEnd w:id="19"/>
            <w:r w:rsidRPr="00724541">
              <w:rPr>
                <w:rFonts w:cs="Arial"/>
              </w:rPr>
              <w:t>7.4(a) (</w:t>
            </w:r>
            <w:r w:rsidRPr="00C04B2F">
              <w:rPr>
                <w:rFonts w:cs="Arial"/>
                <w:i/>
                <w:iCs/>
              </w:rPr>
              <w:t>Unacceptable KPI Failure</w:t>
            </w:r>
            <w:r w:rsidRPr="00724541">
              <w:rPr>
                <w:rFonts w:cs="Arial"/>
              </w:rPr>
              <w:t>);</w:t>
            </w:r>
          </w:p>
        </w:tc>
      </w:tr>
      <w:tr w:rsidR="00F67E9E" w:rsidRPr="00724541" w14:paraId="4A569FAA" w14:textId="77777777" w:rsidTr="0052486C">
        <w:tc>
          <w:tcPr>
            <w:tcW w:w="2835" w:type="dxa"/>
          </w:tcPr>
          <w:p w14:paraId="720A41AB" w14:textId="77777777" w:rsidR="00F67E9E" w:rsidRPr="00724541" w:rsidRDefault="00F67E9E" w:rsidP="0052486C">
            <w:pPr>
              <w:pStyle w:val="StdBodyTextBold"/>
              <w:rPr>
                <w:rFonts w:cs="Arial"/>
              </w:rPr>
            </w:pPr>
            <w:r>
              <w:rPr>
                <w:rFonts w:cs="Arial"/>
              </w:rPr>
              <w:t>“</w:t>
            </w:r>
            <w:r w:rsidRPr="00724541">
              <w:rPr>
                <w:rFonts w:cs="Arial"/>
              </w:rPr>
              <w:t>Compensation Payment</w:t>
            </w:r>
            <w:r>
              <w:rPr>
                <w:rFonts w:cs="Arial"/>
              </w:rPr>
              <w:t>”</w:t>
            </w:r>
          </w:p>
        </w:tc>
        <w:tc>
          <w:tcPr>
            <w:tcW w:w="6803" w:type="dxa"/>
          </w:tcPr>
          <w:p w14:paraId="0E861EC2" w14:textId="7E1BAABF" w:rsidR="00F67E9E" w:rsidRPr="00724541" w:rsidRDefault="00F67E9E" w:rsidP="0052486C">
            <w:pPr>
              <w:pStyle w:val="StdBodyText"/>
              <w:rPr>
                <w:rFonts w:cs="Arial"/>
              </w:rPr>
            </w:pPr>
            <w:r w:rsidRPr="00724541">
              <w:rPr>
                <w:rFonts w:cs="Arial"/>
              </w:rPr>
              <w:t xml:space="preserve">has the meaning given in </w:t>
            </w:r>
            <w:r>
              <w:rPr>
                <w:rFonts w:cs="Arial"/>
              </w:rPr>
              <w:fldChar w:fldCharType="begin"/>
            </w:r>
            <w:r>
              <w:rPr>
                <w:rFonts w:cs="Arial"/>
              </w:rPr>
              <w:instrText xml:space="preserve"> REF Schedule16 \h </w:instrText>
            </w:r>
            <w:r>
              <w:rPr>
                <w:rFonts w:cs="Arial"/>
              </w:rPr>
            </w:r>
            <w:r>
              <w:rPr>
                <w:rFonts w:cs="Arial"/>
              </w:rPr>
              <w:fldChar w:fldCharType="separate"/>
            </w:r>
            <w:r w:rsidR="007A1473" w:rsidRPr="005D0525">
              <w:t>Schedule</w:t>
            </w:r>
            <w:r w:rsidR="007A1473">
              <w:t> </w:t>
            </w:r>
            <w:r w:rsidR="007A1473" w:rsidRPr="005D0525">
              <w:t>16</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Schedule16Heading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Payments on Termination</w:t>
            </w:r>
            <w:r w:rsidRPr="00B91437">
              <w:rPr>
                <w:rFonts w:cs="Arial"/>
                <w:i/>
                <w:iCs/>
              </w:rPr>
              <w:fldChar w:fldCharType="end"/>
            </w:r>
            <w:r>
              <w:rPr>
                <w:rFonts w:cs="Arial"/>
              </w:rPr>
              <w:t>)</w:t>
            </w:r>
            <w:r w:rsidRPr="00724541">
              <w:rPr>
                <w:rFonts w:cs="Arial"/>
              </w:rPr>
              <w:t>;</w:t>
            </w:r>
          </w:p>
        </w:tc>
      </w:tr>
      <w:tr w:rsidR="00F67E9E" w:rsidRPr="00724541" w14:paraId="58E8ABF2" w14:textId="77777777" w:rsidTr="0052486C">
        <w:tc>
          <w:tcPr>
            <w:tcW w:w="2835" w:type="dxa"/>
          </w:tcPr>
          <w:p w14:paraId="49BEC442" w14:textId="77777777" w:rsidR="00F67E9E" w:rsidRPr="00724541" w:rsidRDefault="00F67E9E" w:rsidP="0052486C">
            <w:pPr>
              <w:pStyle w:val="StdBodyTextBold"/>
              <w:rPr>
                <w:rFonts w:cs="Arial"/>
              </w:rPr>
            </w:pPr>
            <w:r>
              <w:rPr>
                <w:rFonts w:cs="Arial"/>
              </w:rPr>
              <w:t>“</w:t>
            </w:r>
            <w:r w:rsidRPr="00724541">
              <w:rPr>
                <w:rFonts w:cs="Arial"/>
              </w:rPr>
              <w:t>Confidential Information</w:t>
            </w:r>
            <w:r>
              <w:rPr>
                <w:rFonts w:cs="Arial"/>
              </w:rPr>
              <w:t>”</w:t>
            </w:r>
          </w:p>
        </w:tc>
        <w:tc>
          <w:tcPr>
            <w:tcW w:w="6803" w:type="dxa"/>
          </w:tcPr>
          <w:p w14:paraId="367BE321" w14:textId="77777777" w:rsidR="00F67E9E" w:rsidRPr="00724541" w:rsidRDefault="00F67E9E" w:rsidP="00F13933">
            <w:pPr>
              <w:pStyle w:val="DefinitionList"/>
              <w:numPr>
                <w:ilvl w:val="0"/>
                <w:numId w:val="138"/>
              </w:numPr>
            </w:pPr>
            <w:r w:rsidRPr="00577E60">
              <w:rPr>
                <w:rFonts w:cs="Arial"/>
              </w:rPr>
              <w:t>Information</w:t>
            </w:r>
            <w:r w:rsidRPr="00724541">
              <w:t>, including all Personal Data, which (however it is conveyed) is provided by the Disclosing Party pursuant to or in anticipation of this Contract that relates to:</w:t>
            </w:r>
          </w:p>
          <w:p w14:paraId="49C549F2" w14:textId="77777777" w:rsidR="00F67E9E" w:rsidRPr="00724541" w:rsidRDefault="00F67E9E" w:rsidP="00F13933">
            <w:pPr>
              <w:pStyle w:val="DefinitionListLevel1"/>
              <w:numPr>
                <w:ilvl w:val="1"/>
                <w:numId w:val="78"/>
              </w:numPr>
            </w:pPr>
            <w:r w:rsidRPr="00724541">
              <w:t>the Disclosing Party Group; or</w:t>
            </w:r>
          </w:p>
          <w:p w14:paraId="30B2A467" w14:textId="77777777" w:rsidR="00F67E9E" w:rsidRPr="00724541" w:rsidRDefault="00F67E9E" w:rsidP="00F13933">
            <w:pPr>
              <w:pStyle w:val="DefinitionListLevel1"/>
              <w:numPr>
                <w:ilvl w:val="1"/>
                <w:numId w:val="78"/>
              </w:numPr>
              <w:rPr>
                <w:rFonts w:cs="Arial"/>
              </w:rPr>
            </w:pPr>
            <w:r w:rsidRPr="00724541">
              <w:rPr>
                <w:rFonts w:cs="Arial"/>
              </w:rPr>
              <w:t>the operations, business, affairs, developments, intellectual property rights, trade secrets, know-how and/or personnel of the Disclosing Party Group;</w:t>
            </w:r>
          </w:p>
          <w:p w14:paraId="5059D4F0" w14:textId="77777777" w:rsidR="00F67E9E" w:rsidRPr="00724541" w:rsidRDefault="00F67E9E" w:rsidP="00F13933">
            <w:pPr>
              <w:pStyle w:val="DefinitionList"/>
              <w:numPr>
                <w:ilvl w:val="0"/>
                <w:numId w:val="78"/>
              </w:numPr>
            </w:pPr>
            <w:r w:rsidRPr="00724541">
              <w:t xml:space="preserve">other Information provided by the Disclosing Party pursuant to or in anticipation of this Contract that is clearly designated as being confidential or </w:t>
            </w:r>
            <w:bookmarkStart w:id="20" w:name="_9kR3WTr5DA48Amp6z1ulqt9"/>
            <w:r w:rsidRPr="00724541">
              <w:t>equivalent</w:t>
            </w:r>
            <w:bookmarkEnd w:id="20"/>
            <w:r w:rsidRPr="00724541">
              <w:t xml:space="preserve"> or that ought reasonably to be considered to be confidential (whether or not it is so marked) which comes (or has come) to the Recipient</w:t>
            </w:r>
            <w:r>
              <w:t>’</w:t>
            </w:r>
            <w:r w:rsidRPr="00724541">
              <w:t>s attention or into the Recipient</w:t>
            </w:r>
            <w:r>
              <w:t>’</w:t>
            </w:r>
            <w:r w:rsidRPr="00724541">
              <w:t xml:space="preserve">s possession in connection with this Contract; </w:t>
            </w:r>
          </w:p>
          <w:p w14:paraId="214AED01" w14:textId="77777777" w:rsidR="00F67E9E" w:rsidRPr="00724541" w:rsidRDefault="00F67E9E" w:rsidP="00F13933">
            <w:pPr>
              <w:pStyle w:val="DefinitionList"/>
              <w:numPr>
                <w:ilvl w:val="0"/>
                <w:numId w:val="78"/>
              </w:numPr>
              <w:rPr>
                <w:rFonts w:cs="Arial"/>
              </w:rPr>
            </w:pPr>
            <w:r w:rsidRPr="00724541">
              <w:rPr>
                <w:rFonts w:cs="Arial"/>
              </w:rPr>
              <w:t xml:space="preserve">discussions, negotiations, and correspondence between the Disclosing Party or any of its directors, officers, </w:t>
            </w:r>
            <w:r w:rsidRPr="00724541">
              <w:rPr>
                <w:rFonts w:cs="Arial"/>
              </w:rPr>
              <w:lastRenderedPageBreak/>
              <w:t>employees, consultants or professional advisers and the Recipient or any of its directors, officers, employees, consultants and professional advisers in connection with this Contract and all matters arising therefrom; and</w:t>
            </w:r>
          </w:p>
          <w:p w14:paraId="527315D4" w14:textId="77777777" w:rsidR="00F67E9E" w:rsidRPr="00724541" w:rsidRDefault="00F67E9E" w:rsidP="00F13933">
            <w:pPr>
              <w:pStyle w:val="DefinitionList"/>
              <w:numPr>
                <w:ilvl w:val="0"/>
                <w:numId w:val="78"/>
              </w:numPr>
              <w:rPr>
                <w:rFonts w:cs="Arial"/>
              </w:rPr>
            </w:pPr>
            <w:r w:rsidRPr="00724541">
              <w:rPr>
                <w:rFonts w:cs="Arial"/>
              </w:rPr>
              <w:t>Information derived from any of the above,</w:t>
            </w:r>
          </w:p>
          <w:p w14:paraId="24195762" w14:textId="77777777" w:rsidR="00F67E9E" w:rsidRPr="00724541" w:rsidRDefault="00F67E9E" w:rsidP="0052486C">
            <w:pPr>
              <w:pStyle w:val="StdBodyText"/>
              <w:rPr>
                <w:rFonts w:cs="Arial"/>
              </w:rPr>
            </w:pPr>
            <w:r w:rsidRPr="00724541">
              <w:rPr>
                <w:rFonts w:cs="Arial"/>
              </w:rPr>
              <w:t>but not including any Information which:</w:t>
            </w:r>
          </w:p>
          <w:p w14:paraId="7B3A1D9E" w14:textId="77777777" w:rsidR="00F67E9E" w:rsidRPr="00724541" w:rsidRDefault="00F67E9E" w:rsidP="00F13933">
            <w:pPr>
              <w:pStyle w:val="DefinitionListLevel1"/>
              <w:numPr>
                <w:ilvl w:val="1"/>
                <w:numId w:val="78"/>
              </w:numPr>
            </w:pPr>
            <w:r w:rsidRPr="00724541">
              <w:t xml:space="preserve">was in the possession of the Recipient without obligation of confidentiality prior to its disclosure by the Disclosing Party; </w:t>
            </w:r>
          </w:p>
          <w:p w14:paraId="7F8F407D" w14:textId="77777777" w:rsidR="00F67E9E" w:rsidRPr="00724541" w:rsidRDefault="00F67E9E" w:rsidP="00F13933">
            <w:pPr>
              <w:pStyle w:val="DefinitionListLevel1"/>
              <w:numPr>
                <w:ilvl w:val="1"/>
                <w:numId w:val="78"/>
              </w:numPr>
              <w:rPr>
                <w:rFonts w:cs="Arial"/>
              </w:rPr>
            </w:pPr>
            <w:r w:rsidRPr="00724541">
              <w:rPr>
                <w:rFonts w:cs="Arial"/>
              </w:rPr>
              <w:t>the Recipient obtained on a non-confidential basis from a third party who is not, to the Recipient</w:t>
            </w:r>
            <w:r>
              <w:rPr>
                <w:rFonts w:cs="Arial"/>
              </w:rPr>
              <w:t>’</w:t>
            </w:r>
            <w:r w:rsidRPr="00724541">
              <w:rPr>
                <w:rFonts w:cs="Arial"/>
              </w:rPr>
              <w:t xml:space="preserve">s knowledge or belief, bound by a </w:t>
            </w:r>
            <w:bookmarkStart w:id="21" w:name="_9kR3WTr2AADMGllxplkhs84mqz8P7q87v457NXN"/>
            <w:r w:rsidRPr="00724541">
              <w:rPr>
                <w:rFonts w:cs="Arial"/>
              </w:rPr>
              <w:t>confidentiality agreement with the Disclosing Party</w:t>
            </w:r>
            <w:bookmarkEnd w:id="21"/>
            <w:r w:rsidRPr="00724541">
              <w:rPr>
                <w:rFonts w:cs="Arial"/>
              </w:rPr>
              <w:t xml:space="preserve"> or otherwise prohibited from disclosing the information to the Recipient; </w:t>
            </w:r>
          </w:p>
          <w:p w14:paraId="35A9F29F" w14:textId="77777777" w:rsidR="00F67E9E" w:rsidRPr="00724541" w:rsidRDefault="00F67E9E" w:rsidP="00F13933">
            <w:pPr>
              <w:pStyle w:val="DefinitionListLevel1"/>
              <w:numPr>
                <w:ilvl w:val="1"/>
                <w:numId w:val="78"/>
              </w:numPr>
              <w:rPr>
                <w:rFonts w:cs="Arial"/>
              </w:rPr>
            </w:pPr>
            <w:r w:rsidRPr="00724541">
              <w:rPr>
                <w:rFonts w:cs="Arial"/>
              </w:rPr>
              <w:t xml:space="preserve">was already generally available and in the public domain at the time of disclosure otherwise than by a breach of this Contract or breach of a duty of confidentiality; </w:t>
            </w:r>
          </w:p>
          <w:p w14:paraId="53CD974D" w14:textId="77777777" w:rsidR="00F67E9E" w:rsidRPr="00724541" w:rsidRDefault="00F67E9E" w:rsidP="00F13933">
            <w:pPr>
              <w:pStyle w:val="DefinitionListLevel1"/>
              <w:numPr>
                <w:ilvl w:val="1"/>
                <w:numId w:val="78"/>
              </w:numPr>
              <w:rPr>
                <w:rFonts w:cs="Arial"/>
              </w:rPr>
            </w:pPr>
            <w:r w:rsidRPr="00724541">
              <w:rPr>
                <w:rFonts w:cs="Arial"/>
              </w:rPr>
              <w:t>was independently developed without access to the Confidential Information; or</w:t>
            </w:r>
          </w:p>
          <w:p w14:paraId="11324123" w14:textId="77777777" w:rsidR="00F67E9E" w:rsidRPr="00724541" w:rsidRDefault="00F67E9E" w:rsidP="00F13933">
            <w:pPr>
              <w:pStyle w:val="DefinitionListLevel1"/>
              <w:numPr>
                <w:ilvl w:val="1"/>
                <w:numId w:val="78"/>
              </w:numPr>
              <w:rPr>
                <w:rFonts w:cs="Arial"/>
              </w:rPr>
            </w:pPr>
            <w:r w:rsidRPr="00724541">
              <w:rPr>
                <w:rFonts w:cs="Arial"/>
              </w:rPr>
              <w:t>relates to the Supplier</w:t>
            </w:r>
            <w:r>
              <w:rPr>
                <w:rFonts w:cs="Arial"/>
              </w:rPr>
              <w:t>’</w:t>
            </w:r>
            <w:r w:rsidRPr="00724541">
              <w:rPr>
                <w:rFonts w:cs="Arial"/>
              </w:rPr>
              <w:t>s:</w:t>
            </w:r>
          </w:p>
          <w:p w14:paraId="4FF99F39" w14:textId="77777777" w:rsidR="00F67E9E" w:rsidRPr="00724541" w:rsidRDefault="00F67E9E" w:rsidP="00F13933">
            <w:pPr>
              <w:pStyle w:val="DefinitionListLevel2"/>
              <w:numPr>
                <w:ilvl w:val="2"/>
                <w:numId w:val="78"/>
              </w:numPr>
              <w:ind w:left="2160"/>
            </w:pPr>
            <w:r w:rsidRPr="00724541">
              <w:t xml:space="preserve">performance under this Contract; or </w:t>
            </w:r>
          </w:p>
          <w:p w14:paraId="365E40CC" w14:textId="77777777" w:rsidR="00F67E9E" w:rsidRPr="00724541" w:rsidRDefault="00F67E9E" w:rsidP="00F13933">
            <w:pPr>
              <w:pStyle w:val="DefinitionListLevel2"/>
              <w:numPr>
                <w:ilvl w:val="2"/>
                <w:numId w:val="78"/>
              </w:numPr>
              <w:ind w:left="2160"/>
              <w:rPr>
                <w:rFonts w:cs="Arial"/>
              </w:rPr>
            </w:pPr>
            <w:r w:rsidRPr="00724541">
              <w:rPr>
                <w:rFonts w:cs="Arial"/>
              </w:rPr>
              <w:t xml:space="preserve">failure to pay any Sub-contractor as required pursuant to </w:t>
            </w:r>
            <w:bookmarkStart w:id="22" w:name="_9kMJI5YVtCIAEFFHGHIsqr12sHPFzvBJMRCxCUP"/>
            <w:r w:rsidRPr="00724541">
              <w:rPr>
                <w:rFonts w:cs="Arial"/>
              </w:rPr>
              <w:t xml:space="preserve">Clause </w:t>
            </w:r>
            <w:bookmarkEnd w:id="22"/>
            <w:r w:rsidRPr="00724541">
              <w:rPr>
                <w:rFonts w:cs="Arial"/>
              </w:rPr>
              <w:t>15.15(a) (</w:t>
            </w:r>
            <w:r w:rsidRPr="00C04B2F">
              <w:rPr>
                <w:rFonts w:cs="Arial"/>
                <w:i/>
                <w:iCs/>
              </w:rPr>
              <w:t>Supply Chain Protection</w:t>
            </w:r>
            <w:r w:rsidRPr="00724541">
              <w:rPr>
                <w:rFonts w:cs="Arial"/>
              </w:rPr>
              <w:t>);</w:t>
            </w:r>
          </w:p>
        </w:tc>
      </w:tr>
      <w:tr w:rsidR="00F67E9E" w:rsidRPr="00724541" w14:paraId="76576F6B" w14:textId="77777777" w:rsidTr="0052486C">
        <w:tc>
          <w:tcPr>
            <w:tcW w:w="2835" w:type="dxa"/>
          </w:tcPr>
          <w:p w14:paraId="71195AF2" w14:textId="77777777" w:rsidR="00F67E9E" w:rsidRPr="00724541" w:rsidRDefault="00F67E9E" w:rsidP="0052486C">
            <w:pPr>
              <w:pStyle w:val="StdBodyTextBold"/>
              <w:keepNext/>
              <w:rPr>
                <w:rFonts w:cs="Arial"/>
              </w:rPr>
            </w:pPr>
            <w:r>
              <w:rPr>
                <w:rFonts w:cs="Arial"/>
              </w:rPr>
              <w:lastRenderedPageBreak/>
              <w:t>“</w:t>
            </w:r>
            <w:r w:rsidRPr="00724541">
              <w:rPr>
                <w:rFonts w:cs="Arial"/>
              </w:rPr>
              <w:t>Conflict of Interest</w:t>
            </w:r>
            <w:r>
              <w:rPr>
                <w:rFonts w:cs="Arial"/>
              </w:rPr>
              <w:t>”</w:t>
            </w:r>
          </w:p>
        </w:tc>
        <w:tc>
          <w:tcPr>
            <w:tcW w:w="6803" w:type="dxa"/>
          </w:tcPr>
          <w:p w14:paraId="74C2F5AA" w14:textId="77777777" w:rsidR="00F67E9E" w:rsidRPr="005D0525" w:rsidRDefault="00F67E9E" w:rsidP="0052486C">
            <w:pPr>
              <w:pStyle w:val="StdBodyText"/>
              <w:rPr>
                <w:rFonts w:cs="Arial"/>
              </w:rPr>
            </w:pPr>
            <w:r w:rsidRPr="005D0525">
              <w:rPr>
                <w:rFonts w:cs="Arial"/>
              </w:rPr>
              <w:t>a conflict between the financial or personal duties of the Supplier or the Supplier Personnel and the duties owed to the Authority under the Contract, in the reasonable opinion of the Authority;</w:t>
            </w:r>
          </w:p>
        </w:tc>
      </w:tr>
      <w:tr w:rsidR="00F67E9E" w:rsidRPr="00724541" w14:paraId="5115DCF0" w14:textId="77777777" w:rsidTr="0052486C">
        <w:tc>
          <w:tcPr>
            <w:tcW w:w="2835" w:type="dxa"/>
          </w:tcPr>
          <w:p w14:paraId="135A5508" w14:textId="77777777" w:rsidR="00F67E9E" w:rsidRDefault="00F67E9E" w:rsidP="0052486C">
            <w:pPr>
              <w:pStyle w:val="StdBodyTextBold"/>
              <w:keepNext/>
              <w:rPr>
                <w:rFonts w:cs="Arial"/>
              </w:rPr>
            </w:pPr>
            <w:r>
              <w:rPr>
                <w:rFonts w:eastAsia="Arial" w:cs="Arial"/>
                <w:color w:val="000000"/>
              </w:rPr>
              <w:t>“Contract”</w:t>
            </w:r>
          </w:p>
        </w:tc>
        <w:tc>
          <w:tcPr>
            <w:tcW w:w="6803" w:type="dxa"/>
          </w:tcPr>
          <w:p w14:paraId="0B7CE2CF" w14:textId="77777777" w:rsidR="00F67E9E" w:rsidRPr="005D0525" w:rsidRDefault="00F67E9E" w:rsidP="0052486C">
            <w:pPr>
              <w:pStyle w:val="StdBodyText"/>
              <w:rPr>
                <w:rFonts w:cs="Arial"/>
              </w:rPr>
            </w:pPr>
            <w:r>
              <w:rPr>
                <w:rFonts w:eastAsia="Arial" w:cs="Arial"/>
                <w:color w:val="000000"/>
              </w:rPr>
              <w:t>the contract between the Authority and the Supplier;</w:t>
            </w:r>
          </w:p>
        </w:tc>
      </w:tr>
      <w:tr w:rsidR="00F67E9E" w:rsidRPr="00724541" w14:paraId="7C9F6CC1" w14:textId="77777777" w:rsidTr="0052486C">
        <w:tc>
          <w:tcPr>
            <w:tcW w:w="2835" w:type="dxa"/>
          </w:tcPr>
          <w:p w14:paraId="4EC9D6CD" w14:textId="77777777" w:rsidR="00F67E9E" w:rsidRPr="00724541" w:rsidRDefault="00F67E9E" w:rsidP="0052486C">
            <w:pPr>
              <w:pStyle w:val="StdBodyTextBold"/>
              <w:rPr>
                <w:rFonts w:cs="Arial"/>
              </w:rPr>
            </w:pPr>
            <w:r>
              <w:rPr>
                <w:rFonts w:cs="Arial"/>
              </w:rPr>
              <w:t>“</w:t>
            </w:r>
            <w:r w:rsidRPr="00724541">
              <w:rPr>
                <w:rFonts w:cs="Arial"/>
              </w:rPr>
              <w:t>Contract Change</w:t>
            </w:r>
            <w:r>
              <w:rPr>
                <w:rFonts w:cs="Arial"/>
              </w:rPr>
              <w:t>”</w:t>
            </w:r>
          </w:p>
        </w:tc>
        <w:tc>
          <w:tcPr>
            <w:tcW w:w="6803" w:type="dxa"/>
          </w:tcPr>
          <w:p w14:paraId="30425ABA" w14:textId="77777777" w:rsidR="00F67E9E" w:rsidRPr="00724541" w:rsidRDefault="00F67E9E" w:rsidP="0052486C">
            <w:pPr>
              <w:pStyle w:val="StdBodyText"/>
              <w:rPr>
                <w:rFonts w:cs="Arial"/>
              </w:rPr>
            </w:pPr>
            <w:r w:rsidRPr="00724541">
              <w:rPr>
                <w:rFonts w:cs="Arial"/>
              </w:rPr>
              <w:t>any change to this Contract other than an Operational Change;</w:t>
            </w:r>
          </w:p>
        </w:tc>
      </w:tr>
      <w:tr w:rsidR="00F67E9E" w:rsidRPr="00724541" w14:paraId="001D004E" w14:textId="77777777" w:rsidTr="0052486C">
        <w:tc>
          <w:tcPr>
            <w:tcW w:w="2835" w:type="dxa"/>
          </w:tcPr>
          <w:p w14:paraId="0B1C2A7E" w14:textId="77777777" w:rsidR="00F67E9E" w:rsidRPr="00724541" w:rsidRDefault="00F67E9E" w:rsidP="0052486C">
            <w:pPr>
              <w:pStyle w:val="StdBodyTextBold"/>
              <w:rPr>
                <w:rFonts w:cs="Arial"/>
              </w:rPr>
            </w:pPr>
            <w:r>
              <w:rPr>
                <w:rFonts w:cs="Arial"/>
              </w:rPr>
              <w:t>“</w:t>
            </w:r>
            <w:r w:rsidRPr="00724541">
              <w:rPr>
                <w:rFonts w:cs="Arial"/>
              </w:rPr>
              <w:t>Contract Inception Report</w:t>
            </w:r>
            <w:r>
              <w:rPr>
                <w:rFonts w:cs="Arial"/>
              </w:rPr>
              <w:t>”</w:t>
            </w:r>
          </w:p>
        </w:tc>
        <w:tc>
          <w:tcPr>
            <w:tcW w:w="6803" w:type="dxa"/>
          </w:tcPr>
          <w:p w14:paraId="5296D959" w14:textId="77777777" w:rsidR="00F67E9E" w:rsidRPr="00724541" w:rsidRDefault="00F67E9E" w:rsidP="0052486C">
            <w:pPr>
              <w:pStyle w:val="StdBodyText"/>
              <w:rPr>
                <w:rFonts w:cs="Arial"/>
              </w:rPr>
            </w:pPr>
            <w:r w:rsidRPr="00724541">
              <w:rPr>
                <w:rFonts w:cs="Arial"/>
              </w:rPr>
              <w:t xml:space="preserve">the initial financial </w:t>
            </w:r>
            <w:bookmarkStart w:id="23" w:name="_9kR3WTr5DA48Bvvnen"/>
            <w:r w:rsidRPr="00724541">
              <w:rPr>
                <w:rFonts w:cs="Arial"/>
              </w:rPr>
              <w:t>model</w:t>
            </w:r>
            <w:bookmarkEnd w:id="23"/>
            <w:r w:rsidRPr="00724541">
              <w:rPr>
                <w:rFonts w:cs="Arial"/>
              </w:rPr>
              <w:t xml:space="preserve"> in a form agreed by the Supplier and the Authority in writing on or before the Effective Date;</w:t>
            </w:r>
          </w:p>
        </w:tc>
      </w:tr>
      <w:tr w:rsidR="00F67E9E" w:rsidRPr="00724541" w14:paraId="7FAC66AA" w14:textId="77777777" w:rsidTr="0052486C">
        <w:tc>
          <w:tcPr>
            <w:tcW w:w="2835" w:type="dxa"/>
          </w:tcPr>
          <w:p w14:paraId="73A1630F" w14:textId="77777777" w:rsidR="00F67E9E" w:rsidRPr="00724541" w:rsidRDefault="00F67E9E" w:rsidP="0052486C">
            <w:pPr>
              <w:pStyle w:val="StdBodyTextBold"/>
              <w:rPr>
                <w:rFonts w:cs="Arial"/>
              </w:rPr>
            </w:pPr>
            <w:r>
              <w:rPr>
                <w:rFonts w:cs="Arial"/>
              </w:rPr>
              <w:t>“</w:t>
            </w:r>
            <w:r w:rsidRPr="00724541">
              <w:rPr>
                <w:rFonts w:cs="Arial"/>
              </w:rPr>
              <w:t>Contracts Finder</w:t>
            </w:r>
            <w:r>
              <w:rPr>
                <w:rFonts w:cs="Arial"/>
              </w:rPr>
              <w:t>”</w:t>
            </w:r>
          </w:p>
        </w:tc>
        <w:tc>
          <w:tcPr>
            <w:tcW w:w="6803" w:type="dxa"/>
          </w:tcPr>
          <w:p w14:paraId="11623588" w14:textId="77777777" w:rsidR="00F67E9E" w:rsidRPr="00724541" w:rsidRDefault="00F67E9E" w:rsidP="0052486C">
            <w:pPr>
              <w:pStyle w:val="StdBodyText"/>
              <w:rPr>
                <w:rFonts w:cs="Arial"/>
              </w:rPr>
            </w:pPr>
            <w:r w:rsidRPr="00724541">
              <w:rPr>
                <w:rFonts w:cs="Arial"/>
              </w:rPr>
              <w:t xml:space="preserve">the online government portal which allows suppliers to search for information about contracts as prescribed by </w:t>
            </w:r>
            <w:bookmarkStart w:id="24" w:name="_9kR3WTr2AADJHcEn7L4tz2oXi1t1tOVDJO6sC2i"/>
            <w:r w:rsidRPr="00724541">
              <w:rPr>
                <w:rFonts w:cs="Arial"/>
              </w:rPr>
              <w:t>Part 4 of the Public Contract Regulations 2015</w:t>
            </w:r>
            <w:bookmarkEnd w:id="24"/>
            <w:r w:rsidRPr="00724541">
              <w:rPr>
                <w:rFonts w:cs="Arial"/>
              </w:rPr>
              <w:t>;</w:t>
            </w:r>
          </w:p>
        </w:tc>
      </w:tr>
      <w:tr w:rsidR="00F67E9E" w:rsidRPr="00724541" w14:paraId="40A89AAE" w14:textId="77777777" w:rsidTr="0052486C">
        <w:tc>
          <w:tcPr>
            <w:tcW w:w="2835" w:type="dxa"/>
          </w:tcPr>
          <w:p w14:paraId="13EB73CF" w14:textId="77777777" w:rsidR="00F67E9E" w:rsidRPr="00724541" w:rsidRDefault="00F67E9E" w:rsidP="0052486C">
            <w:pPr>
              <w:pStyle w:val="StdBodyTextBold"/>
              <w:rPr>
                <w:rFonts w:cs="Arial"/>
              </w:rPr>
            </w:pPr>
            <w:r>
              <w:rPr>
                <w:rFonts w:cs="Arial"/>
              </w:rPr>
              <w:lastRenderedPageBreak/>
              <w:t>“</w:t>
            </w:r>
            <w:r w:rsidRPr="00724541">
              <w:rPr>
                <w:rFonts w:cs="Arial"/>
              </w:rPr>
              <w:t>Contract Year</w:t>
            </w:r>
            <w:r>
              <w:rPr>
                <w:rFonts w:cs="Arial"/>
              </w:rPr>
              <w:t>”</w:t>
            </w:r>
          </w:p>
        </w:tc>
        <w:tc>
          <w:tcPr>
            <w:tcW w:w="6803" w:type="dxa"/>
          </w:tcPr>
          <w:p w14:paraId="4AC67CFA" w14:textId="77777777" w:rsidR="00F67E9E" w:rsidRPr="00724541" w:rsidRDefault="00F67E9E" w:rsidP="00F13933">
            <w:pPr>
              <w:pStyle w:val="DefinitionList"/>
              <w:numPr>
                <w:ilvl w:val="0"/>
                <w:numId w:val="139"/>
              </w:numPr>
            </w:pPr>
            <w:r w:rsidRPr="00724541">
              <w:t>a period of 12 months commencing on the Effective Date; or</w:t>
            </w:r>
          </w:p>
          <w:p w14:paraId="3BB5662D" w14:textId="77777777" w:rsidR="00F67E9E" w:rsidRPr="00724541" w:rsidRDefault="00F67E9E" w:rsidP="00F13933">
            <w:pPr>
              <w:pStyle w:val="DefinitionList"/>
              <w:numPr>
                <w:ilvl w:val="0"/>
                <w:numId w:val="78"/>
              </w:numPr>
              <w:rPr>
                <w:rFonts w:cs="Arial"/>
              </w:rPr>
            </w:pPr>
            <w:r w:rsidRPr="00724541">
              <w:rPr>
                <w:rFonts w:cs="Arial"/>
              </w:rPr>
              <w:t>thereafter a period of 12 months commencing on each anniversary of the Effective Date;</w:t>
            </w:r>
          </w:p>
          <w:p w14:paraId="391DA0A5" w14:textId="77777777" w:rsidR="00F67E9E" w:rsidRPr="00724541" w:rsidRDefault="00F67E9E" w:rsidP="0052486C">
            <w:pPr>
              <w:pStyle w:val="StdBodyText"/>
              <w:rPr>
                <w:rFonts w:cs="Arial"/>
              </w:rPr>
            </w:pPr>
            <w:r w:rsidRPr="00724541">
              <w:rPr>
                <w:rFonts w:cs="Arial"/>
              </w:rPr>
              <w:t>provided that the final Contract Year shall end on the expiry or termination of the Term;</w:t>
            </w:r>
          </w:p>
        </w:tc>
      </w:tr>
      <w:tr w:rsidR="00F67E9E" w:rsidRPr="00724541" w14:paraId="22E80A95" w14:textId="77777777" w:rsidTr="0052486C">
        <w:tc>
          <w:tcPr>
            <w:tcW w:w="2835" w:type="dxa"/>
          </w:tcPr>
          <w:p w14:paraId="1F42DCA8" w14:textId="77777777" w:rsidR="00F67E9E" w:rsidRPr="00724541" w:rsidRDefault="00F67E9E" w:rsidP="0052486C">
            <w:pPr>
              <w:pStyle w:val="StdBodyTextBold"/>
              <w:rPr>
                <w:rFonts w:cs="Arial"/>
              </w:rPr>
            </w:pPr>
            <w:r>
              <w:rPr>
                <w:rFonts w:cs="Arial"/>
              </w:rPr>
              <w:t>“</w:t>
            </w:r>
            <w:r w:rsidRPr="00724541">
              <w:rPr>
                <w:rFonts w:cs="Arial"/>
              </w:rPr>
              <w:t>Control</w:t>
            </w:r>
            <w:r>
              <w:rPr>
                <w:rFonts w:cs="Arial"/>
              </w:rPr>
              <w:t>”</w:t>
            </w:r>
          </w:p>
        </w:tc>
        <w:tc>
          <w:tcPr>
            <w:tcW w:w="6803" w:type="dxa"/>
          </w:tcPr>
          <w:p w14:paraId="6317CB88" w14:textId="77777777" w:rsidR="00F67E9E" w:rsidRPr="00724541" w:rsidRDefault="00F67E9E" w:rsidP="0052486C">
            <w:pPr>
              <w:pStyle w:val="StdBodyText"/>
              <w:rPr>
                <w:rFonts w:cs="Arial"/>
              </w:rPr>
            </w:pPr>
            <w:r w:rsidRPr="00724541">
              <w:rPr>
                <w:rFonts w:cs="Arial"/>
              </w:rPr>
              <w:t xml:space="preserve">the possession by person, directly or indirectly, of the power to direct or cause the direction of the management and policies of the other person (whether through the ownership of voting shares, by contract or otherwise) and </w:t>
            </w:r>
            <w:r>
              <w:rPr>
                <w:rFonts w:cs="Arial"/>
              </w:rPr>
              <w:t>“</w:t>
            </w:r>
            <w:r w:rsidRPr="00724541">
              <w:rPr>
                <w:rStyle w:val="StdBodyTextBoldChar"/>
                <w:rFonts w:cs="Arial"/>
              </w:rPr>
              <w:t>Controls</w:t>
            </w:r>
            <w:r>
              <w:rPr>
                <w:rFonts w:cs="Arial"/>
              </w:rPr>
              <w:t>”</w:t>
            </w:r>
            <w:r w:rsidRPr="00724541">
              <w:rPr>
                <w:rFonts w:cs="Arial"/>
              </w:rPr>
              <w:t xml:space="preserve"> and </w:t>
            </w:r>
            <w:r>
              <w:rPr>
                <w:rFonts w:cs="Arial"/>
              </w:rPr>
              <w:t>“</w:t>
            </w:r>
            <w:r w:rsidRPr="00724541">
              <w:rPr>
                <w:rStyle w:val="StdBodyTextBoldChar"/>
                <w:rFonts w:cs="Arial"/>
              </w:rPr>
              <w:t>Controlled</w:t>
            </w:r>
            <w:r>
              <w:rPr>
                <w:rFonts w:cs="Arial"/>
              </w:rPr>
              <w:t>”</w:t>
            </w:r>
            <w:r w:rsidRPr="00724541">
              <w:rPr>
                <w:rFonts w:cs="Arial"/>
              </w:rPr>
              <w:t xml:space="preserve"> shall be interpreted accordingly;</w:t>
            </w:r>
          </w:p>
        </w:tc>
      </w:tr>
      <w:tr w:rsidR="00F67E9E" w:rsidRPr="00724541" w14:paraId="451FA309" w14:textId="77777777" w:rsidTr="0052486C">
        <w:tc>
          <w:tcPr>
            <w:tcW w:w="2835" w:type="dxa"/>
          </w:tcPr>
          <w:p w14:paraId="3AEAB85E" w14:textId="77777777" w:rsidR="00F67E9E" w:rsidRPr="00724541" w:rsidRDefault="00F67E9E" w:rsidP="0052486C">
            <w:pPr>
              <w:pStyle w:val="StdBodyTextBold"/>
              <w:rPr>
                <w:rFonts w:cs="Arial"/>
              </w:rPr>
            </w:pPr>
            <w:r>
              <w:rPr>
                <w:rFonts w:cs="Arial"/>
              </w:rPr>
              <w:t>“</w:t>
            </w:r>
            <w:r w:rsidRPr="00724541">
              <w:rPr>
                <w:rFonts w:cs="Arial"/>
              </w:rPr>
              <w:t>Controller</w:t>
            </w:r>
            <w:r>
              <w:rPr>
                <w:rFonts w:cs="Arial"/>
              </w:rPr>
              <w:t>”</w:t>
            </w:r>
          </w:p>
        </w:tc>
        <w:tc>
          <w:tcPr>
            <w:tcW w:w="6803" w:type="dxa"/>
          </w:tcPr>
          <w:p w14:paraId="59AFB781" w14:textId="77777777" w:rsidR="00F67E9E" w:rsidRPr="00724541" w:rsidRDefault="00F67E9E" w:rsidP="0052486C">
            <w:pPr>
              <w:pStyle w:val="StdBodyText"/>
              <w:rPr>
                <w:rFonts w:cs="Arial"/>
              </w:rPr>
            </w:pPr>
            <w:r w:rsidRPr="00724541">
              <w:rPr>
                <w:rFonts w:cs="Arial"/>
              </w:rPr>
              <w:t>has the meaning given in the UK GDPR or the EU GDPR as the context requires;</w:t>
            </w:r>
          </w:p>
        </w:tc>
      </w:tr>
      <w:tr w:rsidR="00F67E9E" w:rsidRPr="00724541" w14:paraId="207DD602" w14:textId="77777777" w:rsidTr="0052486C">
        <w:tc>
          <w:tcPr>
            <w:tcW w:w="2835" w:type="dxa"/>
          </w:tcPr>
          <w:p w14:paraId="69BE5B92" w14:textId="77777777" w:rsidR="00F67E9E" w:rsidRPr="00724541" w:rsidRDefault="00F67E9E" w:rsidP="0052486C">
            <w:pPr>
              <w:pStyle w:val="StdBodyTextBold"/>
              <w:rPr>
                <w:rFonts w:cs="Arial"/>
              </w:rPr>
            </w:pPr>
            <w:r>
              <w:rPr>
                <w:rFonts w:cs="Arial"/>
              </w:rPr>
              <w:t>“</w:t>
            </w:r>
            <w:r w:rsidRPr="00724541">
              <w:rPr>
                <w:rFonts w:cs="Arial"/>
              </w:rPr>
              <w:t>Corporate Change Event</w:t>
            </w:r>
            <w:r>
              <w:rPr>
                <w:rFonts w:cs="Arial"/>
              </w:rPr>
              <w:t>”</w:t>
            </w:r>
          </w:p>
        </w:tc>
        <w:tc>
          <w:tcPr>
            <w:tcW w:w="6803" w:type="dxa"/>
          </w:tcPr>
          <w:p w14:paraId="46CBDEEF" w14:textId="77777777" w:rsidR="00F67E9E" w:rsidRPr="00724541" w:rsidRDefault="00F67E9E" w:rsidP="0052486C">
            <w:pPr>
              <w:pStyle w:val="StdBodyText"/>
              <w:rPr>
                <w:rFonts w:cs="Arial"/>
              </w:rPr>
            </w:pPr>
            <w:r w:rsidRPr="00724541">
              <w:rPr>
                <w:rFonts w:cs="Arial"/>
              </w:rPr>
              <w:t>means:</w:t>
            </w:r>
          </w:p>
          <w:p w14:paraId="16344A13" w14:textId="77777777" w:rsidR="00F67E9E" w:rsidRPr="00724541" w:rsidRDefault="00F67E9E" w:rsidP="00F13933">
            <w:pPr>
              <w:pStyle w:val="DefinitionList"/>
              <w:numPr>
                <w:ilvl w:val="0"/>
                <w:numId w:val="140"/>
              </w:numPr>
            </w:pPr>
            <w:r w:rsidRPr="00724541">
              <w:t>any change of Control of the Supplier or a Parent Undertaking of the Supplier;</w:t>
            </w:r>
          </w:p>
          <w:p w14:paraId="6F0A66CF" w14:textId="77777777" w:rsidR="00F67E9E" w:rsidRPr="00724541" w:rsidRDefault="00F67E9E" w:rsidP="00F13933">
            <w:pPr>
              <w:pStyle w:val="DefinitionList"/>
              <w:numPr>
                <w:ilvl w:val="0"/>
                <w:numId w:val="78"/>
              </w:numPr>
              <w:rPr>
                <w:rFonts w:cs="Arial"/>
              </w:rPr>
            </w:pPr>
            <w:r w:rsidRPr="00724541">
              <w:rPr>
                <w:rFonts w:cs="Arial"/>
              </w:rPr>
              <w:t xml:space="preserve">any change of Control of any member of the Supplier Group which, in the reasonable opinion of the Authority, could have a material adverse effect on the Services; </w:t>
            </w:r>
          </w:p>
          <w:p w14:paraId="7D16FDF8" w14:textId="77777777" w:rsidR="00F67E9E" w:rsidRPr="00724541" w:rsidRDefault="00F67E9E" w:rsidP="00F13933">
            <w:pPr>
              <w:pStyle w:val="DefinitionList"/>
              <w:numPr>
                <w:ilvl w:val="0"/>
                <w:numId w:val="78"/>
              </w:numPr>
              <w:rPr>
                <w:rFonts w:cs="Arial"/>
              </w:rPr>
            </w:pPr>
            <w:r w:rsidRPr="00724541">
              <w:rPr>
                <w:rFonts w:cs="Arial"/>
              </w:rPr>
              <w:t>any change to the business of the Supplier or any member of the Supplier Group which, in the reasonable opinion of the Authority, could have a material adverse effect on the Services;</w:t>
            </w:r>
          </w:p>
          <w:p w14:paraId="761A0D26" w14:textId="77777777" w:rsidR="00F67E9E" w:rsidRPr="00724541" w:rsidRDefault="00F67E9E" w:rsidP="00F13933">
            <w:pPr>
              <w:pStyle w:val="DefinitionList"/>
              <w:numPr>
                <w:ilvl w:val="0"/>
                <w:numId w:val="78"/>
              </w:numPr>
              <w:rPr>
                <w:rFonts w:cs="Arial"/>
              </w:rPr>
            </w:pPr>
            <w:r w:rsidRPr="00724541">
              <w:rPr>
                <w:rFonts w:cs="Arial"/>
              </w:rPr>
              <w:t>a Class 1 Transaction taking place in relation to the shares of the Supplier or any Parent Undertaking of the Supplier whose shares are listed on the main market of the London Stock Exchange plc;</w:t>
            </w:r>
          </w:p>
          <w:p w14:paraId="607766F6" w14:textId="77777777" w:rsidR="00F67E9E" w:rsidRPr="00724541" w:rsidRDefault="00F67E9E" w:rsidP="00F13933">
            <w:pPr>
              <w:pStyle w:val="DefinitionList"/>
              <w:numPr>
                <w:ilvl w:val="0"/>
                <w:numId w:val="78"/>
              </w:numPr>
            </w:pPr>
            <w:bookmarkStart w:id="25" w:name="_Ref_ContractCompanion_9kb9Ur29B"/>
            <w:bookmarkStart w:id="26" w:name="_9kR3WTrAG86DHetjmj09ubTOACAD038SQv291am"/>
            <w:bookmarkStart w:id="27" w:name="_9kR3WTr299DIDctjmj09ubTOACAD038SQv291am"/>
            <w:r w:rsidRPr="00724541">
              <w:t>an event that could reasonably be regarded as being equivalent to a Class 1 Transaction taking place in respect of the Supplier or any Parent Undertaking of the Supplier;</w:t>
            </w:r>
            <w:bookmarkEnd w:id="25"/>
            <w:bookmarkEnd w:id="26"/>
            <w:bookmarkEnd w:id="27"/>
          </w:p>
          <w:p w14:paraId="5FB5C475" w14:textId="77777777" w:rsidR="00F67E9E" w:rsidRPr="00724541" w:rsidRDefault="00F67E9E" w:rsidP="00F13933">
            <w:pPr>
              <w:pStyle w:val="DefinitionList"/>
              <w:numPr>
                <w:ilvl w:val="0"/>
                <w:numId w:val="78"/>
              </w:numPr>
              <w:rPr>
                <w:rFonts w:cs="Arial"/>
              </w:rPr>
            </w:pPr>
            <w:r w:rsidRPr="00724541">
              <w:rPr>
                <w:rFonts w:cs="Arial"/>
              </w:rPr>
              <w:t>payment of dividends by the Supplier or the ultimate Parent Undertaking of the Supplier Group exceeding 25% of the Net Asset Value of the Supplier or the ultimate Parent Undertaking of the Supplier Group respectively in any 12 month period;</w:t>
            </w:r>
          </w:p>
          <w:p w14:paraId="5B3E9538" w14:textId="77777777" w:rsidR="00F67E9E" w:rsidRPr="00724541" w:rsidRDefault="00F67E9E" w:rsidP="00F13933">
            <w:pPr>
              <w:pStyle w:val="DefinitionList"/>
              <w:numPr>
                <w:ilvl w:val="0"/>
                <w:numId w:val="78"/>
              </w:numPr>
              <w:rPr>
                <w:rFonts w:cs="Arial"/>
              </w:rPr>
            </w:pPr>
            <w:bookmarkStart w:id="28" w:name="_9kR3WTrAG86DEbtjmj09ubTOACAD038SQv291am"/>
            <w:bookmarkStart w:id="29" w:name="_9kR3WTr299DICbtjmj09ubTOACAD038SQv291am"/>
            <w:bookmarkStart w:id="30" w:name="_Ref_ContractCompanion_9kb9Ur298"/>
            <w:r w:rsidRPr="00724541">
              <w:rPr>
                <w:rFonts w:cs="Arial"/>
              </w:rPr>
              <w:t>an order is made or an effective resolution is passed for the winding up of any member of the Supplier Group;</w:t>
            </w:r>
            <w:bookmarkEnd w:id="28"/>
            <w:bookmarkEnd w:id="29"/>
            <w:r w:rsidRPr="00724541">
              <w:rPr>
                <w:rFonts w:cs="Arial"/>
              </w:rPr>
              <w:t xml:space="preserve"> </w:t>
            </w:r>
            <w:bookmarkEnd w:id="30"/>
          </w:p>
          <w:p w14:paraId="0AEF6196" w14:textId="77777777" w:rsidR="00F67E9E" w:rsidRPr="00724541" w:rsidRDefault="00F67E9E" w:rsidP="00F13933">
            <w:pPr>
              <w:pStyle w:val="DefinitionList"/>
              <w:numPr>
                <w:ilvl w:val="0"/>
                <w:numId w:val="78"/>
              </w:numPr>
              <w:rPr>
                <w:rFonts w:cs="Arial"/>
              </w:rPr>
            </w:pPr>
            <w:r w:rsidRPr="00724541">
              <w:rPr>
                <w:rFonts w:cs="Arial"/>
              </w:rPr>
              <w:lastRenderedPageBreak/>
              <w:t xml:space="preserve">any member of the Supplier Group stopping payment of its debts generally or becoming unable to pay its debts within the meaning of </w:t>
            </w:r>
            <w:bookmarkStart w:id="31" w:name="_9kR3WTr277DH9zrcszv1FILL7z58uWaHJDLF87J"/>
            <w:r w:rsidRPr="00724541">
              <w:rPr>
                <w:rFonts w:cs="Arial"/>
              </w:rPr>
              <w:t>section 123(1) of the Insolvency Act 1986</w:t>
            </w:r>
            <w:bookmarkEnd w:id="31"/>
            <w:r w:rsidRPr="00724541">
              <w:rPr>
                <w:rFonts w:cs="Arial"/>
              </w:rPr>
              <w:t xml:space="preserve"> or any member of the Supplier Group ceasing to carry on all or substantially all its business, or any compromise, composition, arrangement or agreement being made with creditors of any member of the Supplier Group;</w:t>
            </w:r>
          </w:p>
          <w:p w14:paraId="1C7F5B9C" w14:textId="77777777" w:rsidR="00F67E9E" w:rsidRPr="00724541" w:rsidRDefault="00F67E9E" w:rsidP="00F13933">
            <w:pPr>
              <w:pStyle w:val="DefinitionList"/>
              <w:numPr>
                <w:ilvl w:val="0"/>
                <w:numId w:val="78"/>
              </w:numPr>
              <w:rPr>
                <w:rFonts w:cs="Arial"/>
              </w:rPr>
            </w:pPr>
            <w:r w:rsidRPr="00724541">
              <w:rPr>
                <w:rFonts w:cs="Arial"/>
              </w:rPr>
              <w:t>the appointment of a receiver, administrative receiver or administrator in respect of or over all or a material part of the undertaking or assets of any member of the Supplier Group; and/or</w:t>
            </w:r>
          </w:p>
          <w:p w14:paraId="5CEA3847" w14:textId="35AB7E1B" w:rsidR="00F67E9E" w:rsidRPr="00724541" w:rsidRDefault="00F67E9E" w:rsidP="00F13933">
            <w:pPr>
              <w:pStyle w:val="DefinitionList"/>
              <w:numPr>
                <w:ilvl w:val="0"/>
                <w:numId w:val="78"/>
              </w:numPr>
              <w:rPr>
                <w:rFonts w:cs="Arial"/>
              </w:rPr>
            </w:pPr>
            <w:r w:rsidRPr="00724541">
              <w:rPr>
                <w:rFonts w:cs="Arial"/>
              </w:rPr>
              <w:t xml:space="preserve">any process or events with an effect analogous to those in </w:t>
            </w:r>
            <w:bookmarkStart w:id="32" w:name="_9kMHG5YVtCIA8FJgvlol2BwdVQCECF25AUSx4B3"/>
            <w:r w:rsidRPr="00724541">
              <w:rPr>
                <w:rFonts w:cs="Arial"/>
              </w:rPr>
              <w:t xml:space="preserve">Paragraphs </w:t>
            </w:r>
            <w:r w:rsidRPr="00724541">
              <w:rPr>
                <w:rFonts w:cs="Arial"/>
              </w:rPr>
              <w:fldChar w:fldCharType="begin"/>
            </w:r>
            <w:r w:rsidRPr="00724541">
              <w:rPr>
                <w:rFonts w:cs="Arial"/>
              </w:rPr>
              <w:instrText xml:space="preserve"> REF _Ref_ContractCompanion_9kb9Ur29B \w \n \h \t \* MERGEFORMAT </w:instrText>
            </w:r>
            <w:r w:rsidRPr="00724541">
              <w:rPr>
                <w:rFonts w:cs="Arial"/>
              </w:rPr>
            </w:r>
            <w:r w:rsidRPr="00724541">
              <w:rPr>
                <w:rFonts w:cs="Arial"/>
              </w:rPr>
              <w:fldChar w:fldCharType="separate"/>
            </w:r>
            <w:bookmarkStart w:id="33" w:name="_9kMHG5YVt4BBFKFevlol2BwdVQCECF25AUSx4B3"/>
            <w:r w:rsidR="007A1473">
              <w:rPr>
                <w:rFonts w:cs="Arial"/>
              </w:rPr>
              <w:t>(e)</w:t>
            </w:r>
            <w:bookmarkEnd w:id="33"/>
            <w:r w:rsidRPr="00724541">
              <w:rPr>
                <w:rFonts w:cs="Arial"/>
              </w:rPr>
              <w:fldChar w:fldCharType="end"/>
            </w:r>
            <w:bookmarkEnd w:id="32"/>
            <w:r w:rsidRPr="00724541">
              <w:rPr>
                <w:rFonts w:cs="Arial"/>
              </w:rPr>
              <w:t xml:space="preserve"> to </w:t>
            </w:r>
            <w:bookmarkStart w:id="34" w:name="_9kMHG5YVtCIA8FGdvlol2BwdVQCECF25AUSx4B3"/>
            <w:r w:rsidRPr="00724541">
              <w:rPr>
                <w:rFonts w:cs="Arial"/>
              </w:rPr>
              <w:fldChar w:fldCharType="begin"/>
            </w:r>
            <w:r w:rsidRPr="00724541">
              <w:rPr>
                <w:rFonts w:cs="Arial"/>
              </w:rPr>
              <w:instrText xml:space="preserve"> REF _Ref_ContractCompanion_9kb9Ur298 \w \n \h \t \* MERGEFORMAT </w:instrText>
            </w:r>
            <w:r w:rsidRPr="00724541">
              <w:rPr>
                <w:rFonts w:cs="Arial"/>
              </w:rPr>
            </w:r>
            <w:r w:rsidRPr="00724541">
              <w:rPr>
                <w:rFonts w:cs="Arial"/>
              </w:rPr>
              <w:fldChar w:fldCharType="separate"/>
            </w:r>
            <w:bookmarkStart w:id="35" w:name="_9kMHG5YVt4BBFKEdvlol2BwdVQCECF25AUSx4B3"/>
            <w:r w:rsidR="007A1473">
              <w:rPr>
                <w:rFonts w:cs="Arial"/>
              </w:rPr>
              <w:t>(g)</w:t>
            </w:r>
            <w:bookmarkEnd w:id="35"/>
            <w:r w:rsidRPr="00724541">
              <w:rPr>
                <w:rFonts w:cs="Arial"/>
              </w:rPr>
              <w:fldChar w:fldCharType="end"/>
            </w:r>
            <w:bookmarkEnd w:id="34"/>
            <w:r w:rsidRPr="00724541">
              <w:rPr>
                <w:rFonts w:cs="Arial"/>
              </w:rPr>
              <w:t xml:space="preserve"> inclusive above occurring to a member of the Supplier Group in a jurisdiction outside England and Wales;</w:t>
            </w:r>
          </w:p>
        </w:tc>
      </w:tr>
      <w:tr w:rsidR="00F67E9E" w:rsidRPr="00724541" w14:paraId="048C88C8" w14:textId="77777777" w:rsidTr="0052486C">
        <w:tc>
          <w:tcPr>
            <w:tcW w:w="2835" w:type="dxa"/>
          </w:tcPr>
          <w:p w14:paraId="1687D8E1" w14:textId="77777777" w:rsidR="00F67E9E" w:rsidRPr="00724541" w:rsidRDefault="00F67E9E" w:rsidP="0052486C">
            <w:pPr>
              <w:pStyle w:val="StdBodyTextBold"/>
              <w:rPr>
                <w:rFonts w:cs="Arial"/>
              </w:rPr>
            </w:pPr>
            <w:r>
              <w:rPr>
                <w:rFonts w:cs="Arial"/>
              </w:rPr>
              <w:lastRenderedPageBreak/>
              <w:t>“</w:t>
            </w:r>
            <w:r w:rsidRPr="00724541">
              <w:rPr>
                <w:rFonts w:cs="Arial"/>
              </w:rPr>
              <w:t>Corporate Change Event Grace Period</w:t>
            </w:r>
            <w:r>
              <w:rPr>
                <w:rFonts w:cs="Arial"/>
              </w:rPr>
              <w:t>”</w:t>
            </w:r>
          </w:p>
        </w:tc>
        <w:tc>
          <w:tcPr>
            <w:tcW w:w="6803" w:type="dxa"/>
          </w:tcPr>
          <w:p w14:paraId="7497F485" w14:textId="77777777" w:rsidR="00F67E9E" w:rsidRPr="00724541" w:rsidRDefault="00F67E9E" w:rsidP="0052486C">
            <w:pPr>
              <w:pStyle w:val="StdBodyText"/>
              <w:rPr>
                <w:rFonts w:cs="Arial"/>
              </w:rPr>
            </w:pPr>
            <w:r w:rsidRPr="00724541">
              <w:rPr>
                <w:rFonts w:cs="Arial"/>
              </w:rPr>
              <w:t>means a grace period agreed to by the Relevant Authority for providing CRP Information and/or updates to Service Continuity Plan after a Corporate Change Event</w:t>
            </w:r>
          </w:p>
        </w:tc>
      </w:tr>
      <w:tr w:rsidR="00F67E9E" w:rsidRPr="00724541" w14:paraId="0088AFBC" w14:textId="77777777" w:rsidTr="0052486C">
        <w:tc>
          <w:tcPr>
            <w:tcW w:w="2835" w:type="dxa"/>
          </w:tcPr>
          <w:p w14:paraId="1E681AE1" w14:textId="77777777" w:rsidR="00F67E9E" w:rsidRPr="00724541" w:rsidRDefault="00F67E9E" w:rsidP="0052486C">
            <w:pPr>
              <w:pStyle w:val="StdBodyTextBold"/>
              <w:rPr>
                <w:rFonts w:cs="Arial"/>
              </w:rPr>
            </w:pPr>
            <w:r>
              <w:rPr>
                <w:rFonts w:cs="Arial"/>
              </w:rPr>
              <w:t>“</w:t>
            </w:r>
            <w:r w:rsidRPr="00724541">
              <w:rPr>
                <w:rFonts w:cs="Arial"/>
              </w:rPr>
              <w:t>Corporate Resolvability Assessment (Structural Review)</w:t>
            </w:r>
            <w:r>
              <w:rPr>
                <w:rFonts w:cs="Arial"/>
              </w:rPr>
              <w:t>”</w:t>
            </w:r>
          </w:p>
        </w:tc>
        <w:tc>
          <w:tcPr>
            <w:tcW w:w="6803" w:type="dxa"/>
          </w:tcPr>
          <w:p w14:paraId="1ADBE263" w14:textId="7FCAE01D" w:rsidR="00F67E9E" w:rsidRPr="00724541" w:rsidRDefault="00F67E9E" w:rsidP="0052486C">
            <w:pPr>
              <w:pStyle w:val="StdBodyText"/>
              <w:rPr>
                <w:rFonts w:cs="Arial"/>
              </w:rPr>
            </w:pPr>
            <w:r w:rsidRPr="00724541">
              <w:rPr>
                <w:rFonts w:cs="Arial"/>
              </w:rPr>
              <w:t xml:space="preserve">means part of the CRP Information relating to the Supplier Group to be provided by the Supplier in accordance with Paragraphs </w:t>
            </w:r>
            <w:r w:rsidRPr="00724541">
              <w:rPr>
                <w:rFonts w:cs="Arial"/>
              </w:rPr>
              <w:fldChar w:fldCharType="begin"/>
            </w:r>
            <w:r w:rsidRPr="00724541">
              <w:rPr>
                <w:rFonts w:cs="Arial"/>
              </w:rPr>
              <w:instrText xml:space="preserve"> REF _Ref_ContractCompanion_9kb9Ur29F \w \h  \* MERGEFORMAT </w:instrText>
            </w:r>
            <w:r w:rsidRPr="00724541">
              <w:rPr>
                <w:rFonts w:cs="Arial"/>
              </w:rPr>
            </w:r>
            <w:r w:rsidRPr="00724541">
              <w:rPr>
                <w:rFonts w:cs="Arial"/>
              </w:rPr>
              <w:fldChar w:fldCharType="separate"/>
            </w:r>
            <w:r w:rsidR="007A1473">
              <w:rPr>
                <w:rFonts w:cs="Arial"/>
              </w:rPr>
              <w:t>2</w:t>
            </w:r>
            <w:r w:rsidRPr="00724541">
              <w:rPr>
                <w:rFonts w:cs="Arial"/>
              </w:rPr>
              <w:fldChar w:fldCharType="end"/>
            </w:r>
            <w:r w:rsidRPr="00724541">
              <w:rPr>
                <w:rFonts w:cs="Arial"/>
              </w:rPr>
              <w:t xml:space="preserve"> and </w:t>
            </w:r>
            <w:r w:rsidRPr="00724541">
              <w:rPr>
                <w:rFonts w:cs="Arial"/>
              </w:rPr>
              <w:fldChar w:fldCharType="begin"/>
            </w:r>
            <w:r w:rsidRPr="00724541">
              <w:rPr>
                <w:rFonts w:cs="Arial"/>
              </w:rPr>
              <w:instrText xml:space="preserve"> REF  _Ref92450999 \* Caps \h  \* MERGEFORMAT </w:instrText>
            </w:r>
            <w:r w:rsidRPr="00724541">
              <w:rPr>
                <w:rFonts w:cs="Arial"/>
              </w:rPr>
            </w:r>
            <w:r w:rsidRPr="00724541">
              <w:rPr>
                <w:rFonts w:cs="Arial"/>
              </w:rPr>
              <w:fldChar w:fldCharType="separate"/>
            </w:r>
            <w:r w:rsidR="007A1473" w:rsidRPr="007A1473">
              <w:rPr>
                <w:rFonts w:cs="Arial"/>
              </w:rPr>
              <w:t>Annex 2: Corporate Resolvability Assessment (Structural Review)</w:t>
            </w:r>
            <w:r w:rsidRPr="00724541">
              <w:rPr>
                <w:rFonts w:cs="Arial"/>
              </w:rPr>
              <w:fldChar w:fldCharType="end"/>
            </w:r>
            <w:r w:rsidRPr="00724541">
              <w:rPr>
                <w:rFonts w:cs="Arial"/>
              </w:rPr>
              <w:t xml:space="preserve"> of </w:t>
            </w:r>
            <w:r>
              <w:rPr>
                <w:rFonts w:cs="Arial"/>
              </w:rPr>
              <w:fldChar w:fldCharType="begin"/>
            </w:r>
            <w:r>
              <w:rPr>
                <w:rFonts w:cs="Arial"/>
              </w:rPr>
              <w:instrText xml:space="preserve"> REF Schedule26 \h </w:instrText>
            </w:r>
            <w:r>
              <w:rPr>
                <w:rFonts w:cs="Arial"/>
              </w:rPr>
            </w:r>
            <w:r>
              <w:rPr>
                <w:rFonts w:cs="Arial"/>
              </w:rPr>
              <w:fldChar w:fldCharType="separate"/>
            </w:r>
            <w:r w:rsidR="007A1473" w:rsidRPr="005D0525">
              <w:t>Schedule</w:t>
            </w:r>
            <w:r w:rsidR="007A1473">
              <w:t> </w:t>
            </w:r>
            <w:r w:rsidR="007A1473" w:rsidRPr="005D0525">
              <w:t>26</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Schedule26Heading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 Continuity Plan and Corporate Resolution Planning</w:t>
            </w:r>
            <w:r w:rsidRPr="00A22335">
              <w:rPr>
                <w:rFonts w:cs="Arial"/>
                <w:i/>
                <w:iCs/>
              </w:rPr>
              <w:fldChar w:fldCharType="end"/>
            </w:r>
            <w:r>
              <w:rPr>
                <w:rFonts w:cs="Arial"/>
              </w:rPr>
              <w:t>)</w:t>
            </w:r>
            <w:r w:rsidRPr="00724541">
              <w:rPr>
                <w:rFonts w:cs="Arial"/>
              </w:rPr>
              <w:t>;</w:t>
            </w:r>
          </w:p>
        </w:tc>
      </w:tr>
      <w:tr w:rsidR="00F67E9E" w:rsidRPr="00724541" w14:paraId="378F2190" w14:textId="77777777" w:rsidTr="0052486C">
        <w:tc>
          <w:tcPr>
            <w:tcW w:w="2835" w:type="dxa"/>
          </w:tcPr>
          <w:p w14:paraId="16CA6284" w14:textId="77777777" w:rsidR="00F67E9E" w:rsidRPr="00724541" w:rsidRDefault="00F67E9E" w:rsidP="0052486C">
            <w:pPr>
              <w:pStyle w:val="StdBodyTextBold"/>
              <w:rPr>
                <w:rFonts w:cs="Arial"/>
              </w:rPr>
            </w:pPr>
            <w:r>
              <w:rPr>
                <w:rFonts w:cs="Arial"/>
              </w:rPr>
              <w:t>“</w:t>
            </w:r>
            <w:r w:rsidRPr="00724541">
              <w:rPr>
                <w:rFonts w:cs="Arial"/>
              </w:rPr>
              <w:t>Costs</w:t>
            </w:r>
            <w:r>
              <w:rPr>
                <w:rFonts w:cs="Arial"/>
              </w:rPr>
              <w:t>”</w:t>
            </w:r>
          </w:p>
        </w:tc>
        <w:tc>
          <w:tcPr>
            <w:tcW w:w="6803" w:type="dxa"/>
          </w:tcPr>
          <w:p w14:paraId="6D3223AA" w14:textId="2CB8C43E" w:rsidR="00F67E9E" w:rsidRPr="00724541" w:rsidRDefault="00F67E9E" w:rsidP="0052486C">
            <w:pPr>
              <w:pStyle w:val="StdBodyText"/>
              <w:rPr>
                <w:rFonts w:cs="Arial"/>
              </w:rPr>
            </w:pPr>
            <w:r w:rsidRPr="00724541">
              <w:rPr>
                <w:rFonts w:cs="Arial"/>
              </w:rPr>
              <w:t xml:space="preserve">has the meaning given in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724541">
              <w:rPr>
                <w:rFonts w:cs="Arial"/>
              </w:rPr>
              <w:t>;</w:t>
            </w:r>
          </w:p>
        </w:tc>
      </w:tr>
      <w:tr w:rsidR="00F67E9E" w:rsidRPr="00724541" w14:paraId="7E5C33AE" w14:textId="77777777" w:rsidTr="0052486C">
        <w:tc>
          <w:tcPr>
            <w:tcW w:w="2835" w:type="dxa"/>
          </w:tcPr>
          <w:p w14:paraId="090769A8" w14:textId="77777777" w:rsidR="00F67E9E" w:rsidRPr="00724541" w:rsidRDefault="00F67E9E" w:rsidP="0052486C">
            <w:pPr>
              <w:pStyle w:val="StdBodyTextBold"/>
              <w:rPr>
                <w:rFonts w:cs="Arial"/>
              </w:rPr>
            </w:pPr>
            <w:r>
              <w:rPr>
                <w:rFonts w:cs="Arial"/>
              </w:rPr>
              <w:t>“</w:t>
            </w:r>
            <w:r w:rsidRPr="00724541">
              <w:rPr>
                <w:rFonts w:cs="Arial"/>
              </w:rPr>
              <w:t>CPP Milestone</w:t>
            </w:r>
            <w:r>
              <w:rPr>
                <w:rFonts w:cs="Arial"/>
              </w:rPr>
              <w:t>”</w:t>
            </w:r>
          </w:p>
        </w:tc>
        <w:tc>
          <w:tcPr>
            <w:tcW w:w="6803" w:type="dxa"/>
          </w:tcPr>
          <w:p w14:paraId="7C6D0B6C" w14:textId="23C7B17D" w:rsidR="00F67E9E" w:rsidRPr="00724541" w:rsidRDefault="00F67E9E" w:rsidP="0052486C">
            <w:pPr>
              <w:pStyle w:val="StdBodyText"/>
              <w:rPr>
                <w:rFonts w:cs="Arial"/>
              </w:rPr>
            </w:pPr>
            <w:r w:rsidRPr="00724541">
              <w:rPr>
                <w:rFonts w:cs="Arial"/>
              </w:rPr>
              <w:t>a contract performance point as set out in the Implementation Plan, being the Milestone at which the Supplier has demonstrated that the Supplier Solution or relevant Service is working satisfactorily in its operating environment in accordance with</w:t>
            </w:r>
            <w:r>
              <w:rPr>
                <w:rFonts w:cs="Arial"/>
              </w:rPr>
              <w:t xml:space="preserve"> </w:t>
            </w:r>
            <w:r>
              <w:rPr>
                <w:rFonts w:cs="Arial"/>
              </w:rPr>
              <w:fldChar w:fldCharType="begin"/>
            </w:r>
            <w:r>
              <w:rPr>
                <w:rFonts w:cs="Arial"/>
              </w:rPr>
              <w:instrText xml:space="preserve"> REF Schedule14 \h </w:instrText>
            </w:r>
            <w:r>
              <w:rPr>
                <w:rFonts w:cs="Arial"/>
              </w:rPr>
            </w:r>
            <w:r>
              <w:rPr>
                <w:rFonts w:cs="Arial"/>
              </w:rPr>
              <w:fldChar w:fldCharType="separate"/>
            </w:r>
            <w:r w:rsidR="007A1473" w:rsidRPr="005D0525">
              <w:t>Schedule</w:t>
            </w:r>
            <w:r w:rsidR="007A1473">
              <w:t> </w:t>
            </w:r>
            <w:r w:rsidR="007A1473" w:rsidRPr="005D0525">
              <w:t>14</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Schedule14Heading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Testing Procedures</w:t>
            </w:r>
            <w:r w:rsidRPr="00B91437">
              <w:rPr>
                <w:rFonts w:cs="Arial"/>
                <w:i/>
                <w:iCs/>
              </w:rPr>
              <w:fldChar w:fldCharType="end"/>
            </w:r>
            <w:r>
              <w:rPr>
                <w:rFonts w:cs="Arial"/>
              </w:rPr>
              <w:t>)</w:t>
            </w:r>
            <w:r w:rsidRPr="00724541">
              <w:rPr>
                <w:rFonts w:cs="Arial"/>
              </w:rPr>
              <w:t>;</w:t>
            </w:r>
          </w:p>
        </w:tc>
      </w:tr>
      <w:tr w:rsidR="00F67E9E" w:rsidRPr="00F55457" w14:paraId="60D0A5B7" w14:textId="77777777" w:rsidTr="0052486C">
        <w:tc>
          <w:tcPr>
            <w:tcW w:w="2835" w:type="dxa"/>
          </w:tcPr>
          <w:p w14:paraId="32378762" w14:textId="77777777" w:rsidR="00F67E9E" w:rsidRPr="00724541" w:rsidRDefault="00F67E9E" w:rsidP="0052486C">
            <w:pPr>
              <w:pStyle w:val="StdBodyTextBold"/>
              <w:rPr>
                <w:rFonts w:cs="Arial"/>
              </w:rPr>
            </w:pPr>
            <w:r>
              <w:rPr>
                <w:rFonts w:cs="Arial"/>
              </w:rPr>
              <w:t>“</w:t>
            </w:r>
            <w:r w:rsidRPr="00724541">
              <w:rPr>
                <w:rFonts w:cs="Arial"/>
              </w:rPr>
              <w:t>Critical National Infrastructure</w:t>
            </w:r>
            <w:r>
              <w:rPr>
                <w:rFonts w:cs="Arial"/>
              </w:rPr>
              <w:t>”</w:t>
            </w:r>
          </w:p>
        </w:tc>
        <w:tc>
          <w:tcPr>
            <w:tcW w:w="6803" w:type="dxa"/>
          </w:tcPr>
          <w:p w14:paraId="1751871B" w14:textId="77777777" w:rsidR="00F67E9E" w:rsidRPr="00724541" w:rsidRDefault="00F67E9E" w:rsidP="0052486C">
            <w:pPr>
              <w:pStyle w:val="StdBodyText"/>
              <w:rPr>
                <w:rFonts w:cs="Arial"/>
              </w:rPr>
            </w:pPr>
            <w:r w:rsidRPr="00724541">
              <w:rPr>
                <w:rFonts w:cs="Arial"/>
              </w:rPr>
              <w:t>means those critical elements of UK national infrastructure (namely assets, facilities, systems, networks or processes and the essential workers that operate and facilitate them), the loss or compromise of which could result in:</w:t>
            </w:r>
          </w:p>
          <w:p w14:paraId="2DB8DBBE" w14:textId="77777777" w:rsidR="00F67E9E" w:rsidRPr="00724541" w:rsidRDefault="00F67E9E" w:rsidP="00F13933">
            <w:pPr>
              <w:pStyle w:val="DefinitionList"/>
              <w:numPr>
                <w:ilvl w:val="0"/>
                <w:numId w:val="141"/>
              </w:numPr>
            </w:pPr>
            <w:r w:rsidRPr="00724541">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27D2E60F" w14:textId="77777777" w:rsidR="00F67E9E" w:rsidRPr="00724541" w:rsidRDefault="00F67E9E" w:rsidP="00F13933">
            <w:pPr>
              <w:pStyle w:val="DefinitionList"/>
              <w:numPr>
                <w:ilvl w:val="0"/>
                <w:numId w:val="78"/>
              </w:numPr>
              <w:rPr>
                <w:rFonts w:cs="Arial"/>
              </w:rPr>
            </w:pPr>
            <w:r w:rsidRPr="00724541">
              <w:rPr>
                <w:rFonts w:cs="Arial"/>
              </w:rPr>
              <w:lastRenderedPageBreak/>
              <w:t>significant impact on the national security, national defence, or the functioning of the UK;</w:t>
            </w:r>
          </w:p>
        </w:tc>
      </w:tr>
      <w:tr w:rsidR="00F67E9E" w:rsidRPr="00F55457" w14:paraId="1109FD5E" w14:textId="77777777" w:rsidTr="0052486C">
        <w:tc>
          <w:tcPr>
            <w:tcW w:w="2835" w:type="dxa"/>
          </w:tcPr>
          <w:p w14:paraId="3F723645" w14:textId="77777777" w:rsidR="00F67E9E" w:rsidRPr="00F55457" w:rsidRDefault="00F67E9E" w:rsidP="0052486C">
            <w:pPr>
              <w:pStyle w:val="StdBodyTextBold"/>
              <w:rPr>
                <w:rFonts w:cs="Arial"/>
              </w:rPr>
            </w:pPr>
            <w:r>
              <w:rPr>
                <w:rFonts w:cs="Arial"/>
              </w:rPr>
              <w:lastRenderedPageBreak/>
              <w:t>“</w:t>
            </w:r>
            <w:r w:rsidRPr="00F55457">
              <w:rPr>
                <w:rFonts w:cs="Arial"/>
              </w:rPr>
              <w:t>Critical Performance Failure</w:t>
            </w:r>
            <w:r>
              <w:rPr>
                <w:rFonts w:cs="Arial"/>
              </w:rPr>
              <w:t>”</w:t>
            </w:r>
          </w:p>
        </w:tc>
        <w:tc>
          <w:tcPr>
            <w:tcW w:w="6803" w:type="dxa"/>
          </w:tcPr>
          <w:p w14:paraId="1B98D846" w14:textId="224FBBDC" w:rsidR="00F67E9E" w:rsidRPr="00577E60" w:rsidRDefault="00F67E9E" w:rsidP="00F13933">
            <w:pPr>
              <w:pStyle w:val="DefinitionList"/>
              <w:numPr>
                <w:ilvl w:val="0"/>
                <w:numId w:val="142"/>
              </w:numPr>
              <w:rPr>
                <w:rFonts w:cs="Arial"/>
              </w:rPr>
            </w:pPr>
            <w:r w:rsidRPr="00577E60">
              <w:rPr>
                <w:rFonts w:cs="Arial"/>
              </w:rPr>
              <w:t xml:space="preserve">the Supplier accruing in aggregate </w:t>
            </w:r>
            <w:r w:rsidR="00F23231" w:rsidRPr="00F23231">
              <w:rPr>
                <w:rFonts w:cs="Arial"/>
              </w:rPr>
              <w:t>20</w:t>
            </w:r>
            <w:r w:rsidRPr="00577E60">
              <w:rPr>
                <w:rFonts w:cs="Arial"/>
              </w:rPr>
              <w:t xml:space="preserve"> or more Service Points (in terms of the number of points allocated) in any period of </w:t>
            </w:r>
            <w:r w:rsidR="00F23231">
              <w:rPr>
                <w:rFonts w:cs="Arial"/>
              </w:rPr>
              <w:t xml:space="preserve">one </w:t>
            </w:r>
            <w:r w:rsidRPr="00577E60">
              <w:rPr>
                <w:rFonts w:cs="Arial"/>
              </w:rPr>
              <w:t>month; or</w:t>
            </w:r>
          </w:p>
          <w:p w14:paraId="51ADBBC9" w14:textId="77777777" w:rsidR="00F67E9E" w:rsidRPr="00F55457" w:rsidRDefault="00F67E9E" w:rsidP="00F13933">
            <w:pPr>
              <w:pStyle w:val="DefinitionList"/>
              <w:numPr>
                <w:ilvl w:val="0"/>
                <w:numId w:val="78"/>
              </w:numPr>
              <w:rPr>
                <w:rFonts w:cs="Arial"/>
              </w:rPr>
            </w:pPr>
            <w:r w:rsidRPr="00F55457">
              <w:rPr>
                <w:rFonts w:cs="Arial"/>
              </w:rPr>
              <w:t xml:space="preserve">the Supplier accruing Service Credits or Compensation for Unacceptable KPI Failure which meet or exceed the Service Credit Cap; </w:t>
            </w:r>
          </w:p>
        </w:tc>
      </w:tr>
      <w:tr w:rsidR="00F67E9E" w:rsidRPr="00F55457" w14:paraId="05648D18" w14:textId="77777777" w:rsidTr="0052486C">
        <w:tc>
          <w:tcPr>
            <w:tcW w:w="2835" w:type="dxa"/>
          </w:tcPr>
          <w:p w14:paraId="4749AF7A" w14:textId="77777777" w:rsidR="00F67E9E" w:rsidRPr="00AB0447" w:rsidRDefault="00F67E9E" w:rsidP="0052486C">
            <w:pPr>
              <w:pStyle w:val="StdBodyTextBold"/>
              <w:rPr>
                <w:rFonts w:cs="Arial"/>
              </w:rPr>
            </w:pPr>
            <w:r>
              <w:rPr>
                <w:rFonts w:cs="Arial"/>
              </w:rPr>
              <w:t>“</w:t>
            </w:r>
            <w:r w:rsidRPr="00AB0447">
              <w:rPr>
                <w:rFonts w:cs="Arial"/>
              </w:rPr>
              <w:t>Critical Service Contract</w:t>
            </w:r>
            <w:r>
              <w:rPr>
                <w:rFonts w:cs="Arial"/>
              </w:rPr>
              <w:t>”</w:t>
            </w:r>
          </w:p>
        </w:tc>
        <w:tc>
          <w:tcPr>
            <w:tcW w:w="6803" w:type="dxa"/>
          </w:tcPr>
          <w:p w14:paraId="70DDBB3A" w14:textId="6F60836E" w:rsidR="00F67E9E" w:rsidRPr="00AB0447" w:rsidRDefault="00F67E9E" w:rsidP="0052486C">
            <w:pPr>
              <w:pStyle w:val="StdBodyText"/>
              <w:rPr>
                <w:rFonts w:cs="Arial"/>
              </w:rPr>
            </w:pPr>
            <w:r w:rsidRPr="00AB0447">
              <w:rPr>
                <w:rFonts w:cs="Arial"/>
              </w:rPr>
              <w:t xml:space="preserve">means the overall status of the Services provided under this Contract as determined by the Authority and specified in </w:t>
            </w:r>
            <w:bookmarkStart w:id="36" w:name="_9kR3WTr2CC4EK1knoewrqyBIJ"/>
            <w:r w:rsidRPr="00AB0447">
              <w:rPr>
                <w:rFonts w:cs="Arial"/>
              </w:rPr>
              <w:t xml:space="preserve">Paragraph </w:t>
            </w:r>
            <w:bookmarkEnd w:id="36"/>
            <w:r w:rsidRPr="00AB0447">
              <w:rPr>
                <w:rFonts w:cs="Arial"/>
              </w:rPr>
              <w:fldChar w:fldCharType="begin"/>
            </w:r>
            <w:r w:rsidRPr="00AB0447">
              <w:rPr>
                <w:rFonts w:cs="Arial"/>
              </w:rPr>
              <w:instrText xml:space="preserve"> REF _Ref44508113 \w \h  \* MERGEFORMAT </w:instrText>
            </w:r>
            <w:r w:rsidRPr="00AB0447">
              <w:rPr>
                <w:rFonts w:cs="Arial"/>
              </w:rPr>
            </w:r>
            <w:r w:rsidRPr="00AB0447">
              <w:rPr>
                <w:rFonts w:cs="Arial"/>
              </w:rPr>
              <w:fldChar w:fldCharType="separate"/>
            </w:r>
            <w:r w:rsidR="007A1473">
              <w:rPr>
                <w:rFonts w:cs="Arial"/>
              </w:rPr>
              <w:t>1.1</w:t>
            </w:r>
            <w:r w:rsidRPr="00AB0447">
              <w:rPr>
                <w:rFonts w:cs="Arial"/>
              </w:rPr>
              <w:fldChar w:fldCharType="end"/>
            </w:r>
            <w:r w:rsidRPr="00AB0447">
              <w:rPr>
                <w:rFonts w:cs="Arial"/>
              </w:rPr>
              <w:t xml:space="preserve"> of </w:t>
            </w:r>
            <w:r>
              <w:rPr>
                <w:rFonts w:cs="Arial"/>
              </w:rPr>
              <w:fldChar w:fldCharType="begin"/>
            </w:r>
            <w:r>
              <w:rPr>
                <w:rFonts w:cs="Arial"/>
              </w:rPr>
              <w:instrText xml:space="preserve"> REF Sch26PartB \h </w:instrText>
            </w:r>
            <w:r>
              <w:rPr>
                <w:rFonts w:cs="Arial"/>
              </w:rPr>
            </w:r>
            <w:r>
              <w:rPr>
                <w:rFonts w:cs="Arial"/>
              </w:rPr>
              <w:fldChar w:fldCharType="separate"/>
            </w:r>
            <w:r w:rsidR="007A1473" w:rsidRPr="00025910">
              <w:t>Part B</w:t>
            </w:r>
            <w:r>
              <w:rPr>
                <w:rFonts w:cs="Arial"/>
              </w:rPr>
              <w:fldChar w:fldCharType="end"/>
            </w:r>
            <w:r w:rsidRPr="00AB0447">
              <w:rPr>
                <w:rFonts w:cs="Arial"/>
              </w:rPr>
              <w:t xml:space="preserve"> to </w:t>
            </w:r>
            <w:r>
              <w:rPr>
                <w:rFonts w:cs="Arial"/>
              </w:rPr>
              <w:fldChar w:fldCharType="begin"/>
            </w:r>
            <w:r>
              <w:rPr>
                <w:rFonts w:cs="Arial"/>
              </w:rPr>
              <w:instrText xml:space="preserve"> REF Schedule26 \h </w:instrText>
            </w:r>
            <w:r>
              <w:rPr>
                <w:rFonts w:cs="Arial"/>
              </w:rPr>
            </w:r>
            <w:r>
              <w:rPr>
                <w:rFonts w:cs="Arial"/>
              </w:rPr>
              <w:fldChar w:fldCharType="separate"/>
            </w:r>
            <w:r w:rsidR="007A1473" w:rsidRPr="005D0525">
              <w:t>Schedule</w:t>
            </w:r>
            <w:r w:rsidR="007A1473">
              <w:t> </w:t>
            </w:r>
            <w:r w:rsidR="007A1473" w:rsidRPr="005D0525">
              <w:t>26</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Schedule26Heading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 Continuity Plan and Corporate Resolution Planning</w:t>
            </w:r>
            <w:r w:rsidRPr="00A22335">
              <w:rPr>
                <w:rFonts w:cs="Arial"/>
                <w:i/>
                <w:iCs/>
              </w:rPr>
              <w:fldChar w:fldCharType="end"/>
            </w:r>
            <w:r>
              <w:rPr>
                <w:rFonts w:cs="Arial"/>
              </w:rPr>
              <w:t>)</w:t>
            </w:r>
            <w:r w:rsidRPr="00AB0447">
              <w:rPr>
                <w:rFonts w:cs="Arial"/>
              </w:rPr>
              <w:t>;</w:t>
            </w:r>
          </w:p>
        </w:tc>
      </w:tr>
      <w:tr w:rsidR="00F67E9E" w:rsidRPr="00F55457" w14:paraId="1203431A" w14:textId="77777777" w:rsidTr="0052486C">
        <w:tc>
          <w:tcPr>
            <w:tcW w:w="2835" w:type="dxa"/>
          </w:tcPr>
          <w:p w14:paraId="7D859048" w14:textId="77777777" w:rsidR="00F67E9E" w:rsidRPr="00AB0447" w:rsidRDefault="00F67E9E" w:rsidP="0052486C">
            <w:pPr>
              <w:pStyle w:val="StdBodyTextBold"/>
              <w:rPr>
                <w:rFonts w:cs="Arial"/>
              </w:rPr>
            </w:pPr>
            <w:r>
              <w:rPr>
                <w:rFonts w:cs="Arial"/>
              </w:rPr>
              <w:t>“</w:t>
            </w:r>
            <w:r w:rsidRPr="00AB0447">
              <w:rPr>
                <w:rFonts w:cs="Arial"/>
              </w:rPr>
              <w:t>Crown Body</w:t>
            </w:r>
            <w:r>
              <w:rPr>
                <w:rFonts w:cs="Arial"/>
              </w:rPr>
              <w:t>”</w:t>
            </w:r>
          </w:p>
        </w:tc>
        <w:tc>
          <w:tcPr>
            <w:tcW w:w="6803" w:type="dxa"/>
          </w:tcPr>
          <w:p w14:paraId="07FD0DB3" w14:textId="77777777" w:rsidR="00F67E9E" w:rsidRPr="00AB0447" w:rsidRDefault="00F67E9E" w:rsidP="0052486C">
            <w:pPr>
              <w:pStyle w:val="StdBodyText"/>
              <w:rPr>
                <w:rFonts w:cs="Arial"/>
              </w:rPr>
            </w:pPr>
            <w:r w:rsidRPr="00AB0447">
              <w:rPr>
                <w:rFonts w:cs="Arial"/>
              </w:rPr>
              <w:t xml:space="preserve">means </w:t>
            </w:r>
            <w:r w:rsidRPr="00AB0447">
              <w:t xml:space="preserve">the government of the United Kingdom (including the Northern Ireland Assembly and Executive Committee, the Scottish Government and the </w:t>
            </w:r>
            <w:r>
              <w:t>Welsh Government</w:t>
            </w:r>
            <w:r w:rsidRPr="00AB0447">
              <w:t>), including government ministers and government departments and particular bodies, persons, commissions or agencies from time to time carrying out functions on its behalf;</w:t>
            </w:r>
          </w:p>
        </w:tc>
      </w:tr>
      <w:tr w:rsidR="00F67E9E" w:rsidRPr="00F55457" w14:paraId="3B7C4ADA" w14:textId="77777777" w:rsidTr="0052486C">
        <w:tc>
          <w:tcPr>
            <w:tcW w:w="2835" w:type="dxa"/>
          </w:tcPr>
          <w:p w14:paraId="22320354" w14:textId="77777777" w:rsidR="00F67E9E" w:rsidRPr="00AB0447" w:rsidRDefault="00F67E9E" w:rsidP="0052486C">
            <w:pPr>
              <w:pStyle w:val="StdBodyTextBold"/>
              <w:rPr>
                <w:rFonts w:cs="Arial"/>
              </w:rPr>
            </w:pPr>
            <w:r>
              <w:rPr>
                <w:rFonts w:cs="Arial"/>
              </w:rPr>
              <w:t>“</w:t>
            </w:r>
            <w:r w:rsidRPr="00AB0447">
              <w:rPr>
                <w:rFonts w:cs="Arial"/>
              </w:rPr>
              <w:t>Crown Copyright</w:t>
            </w:r>
            <w:r>
              <w:rPr>
                <w:rFonts w:cs="Arial"/>
              </w:rPr>
              <w:t>”</w:t>
            </w:r>
          </w:p>
        </w:tc>
        <w:tc>
          <w:tcPr>
            <w:tcW w:w="6803" w:type="dxa"/>
          </w:tcPr>
          <w:p w14:paraId="73B680E8" w14:textId="77777777" w:rsidR="00F67E9E" w:rsidRPr="00AB0447" w:rsidRDefault="00F67E9E" w:rsidP="0052486C">
            <w:pPr>
              <w:pStyle w:val="StdBodyText"/>
              <w:rPr>
                <w:rFonts w:cs="Arial"/>
              </w:rPr>
            </w:pPr>
            <w:r w:rsidRPr="00AB0447">
              <w:rPr>
                <w:rFonts w:cs="Arial"/>
              </w:rPr>
              <w:t>has the meaning given in the Copyright, Designs and Patents Act 1988</w:t>
            </w:r>
          </w:p>
        </w:tc>
      </w:tr>
      <w:tr w:rsidR="00F67E9E" w:rsidRPr="00F55457" w14:paraId="23338F3F" w14:textId="77777777" w:rsidTr="0052486C">
        <w:tc>
          <w:tcPr>
            <w:tcW w:w="2835" w:type="dxa"/>
          </w:tcPr>
          <w:p w14:paraId="2A506FBA" w14:textId="77777777" w:rsidR="00F67E9E" w:rsidRPr="00AB0447" w:rsidRDefault="00F67E9E" w:rsidP="0052486C">
            <w:pPr>
              <w:pStyle w:val="StdBodyTextBold"/>
              <w:rPr>
                <w:rFonts w:cs="Arial"/>
              </w:rPr>
            </w:pPr>
            <w:r>
              <w:rPr>
                <w:rFonts w:cs="Arial"/>
              </w:rPr>
              <w:t>“</w:t>
            </w:r>
            <w:r w:rsidRPr="00AB0447">
              <w:rPr>
                <w:rFonts w:cs="Arial"/>
              </w:rPr>
              <w:t>CRP Information</w:t>
            </w:r>
            <w:r>
              <w:rPr>
                <w:rFonts w:cs="Arial"/>
              </w:rPr>
              <w:t>”</w:t>
            </w:r>
          </w:p>
        </w:tc>
        <w:tc>
          <w:tcPr>
            <w:tcW w:w="6803" w:type="dxa"/>
          </w:tcPr>
          <w:p w14:paraId="6ADB06F0" w14:textId="77777777" w:rsidR="00F67E9E" w:rsidRPr="00AB0447" w:rsidRDefault="00F67E9E" w:rsidP="0052486C">
            <w:pPr>
              <w:pStyle w:val="StdBodyText"/>
              <w:rPr>
                <w:rFonts w:cs="Arial"/>
              </w:rPr>
            </w:pPr>
            <w:r w:rsidRPr="00AB0447">
              <w:rPr>
                <w:rFonts w:cs="Arial"/>
              </w:rPr>
              <w:t>means the Corporate Resolution Planning Information, together, the:</w:t>
            </w:r>
          </w:p>
          <w:p w14:paraId="6FA61341" w14:textId="77777777" w:rsidR="00F67E9E" w:rsidRPr="00577E60" w:rsidRDefault="00F67E9E" w:rsidP="00F13933">
            <w:pPr>
              <w:pStyle w:val="DefinitionList"/>
              <w:numPr>
                <w:ilvl w:val="0"/>
                <w:numId w:val="143"/>
              </w:numPr>
              <w:rPr>
                <w:rFonts w:cs="Arial"/>
              </w:rPr>
            </w:pPr>
            <w:r w:rsidRPr="00577E60">
              <w:rPr>
                <w:rFonts w:cs="Arial"/>
              </w:rPr>
              <w:t>Exposure Information (Contracts List);</w:t>
            </w:r>
          </w:p>
          <w:p w14:paraId="513D9E5F" w14:textId="77777777" w:rsidR="00F67E9E" w:rsidRPr="00AB0447" w:rsidRDefault="00F67E9E" w:rsidP="00F13933">
            <w:pPr>
              <w:pStyle w:val="DefinitionList"/>
              <w:numPr>
                <w:ilvl w:val="0"/>
                <w:numId w:val="78"/>
              </w:numPr>
            </w:pPr>
            <w:r w:rsidRPr="00AB0447">
              <w:t>Corporate Resolvability Assessment</w:t>
            </w:r>
            <w:r>
              <w:t xml:space="preserve"> </w:t>
            </w:r>
            <w:r w:rsidRPr="00AB0447">
              <w:t>(Structural Review); and</w:t>
            </w:r>
          </w:p>
          <w:p w14:paraId="43F182CB" w14:textId="77777777" w:rsidR="00F67E9E" w:rsidRPr="00AB0447" w:rsidRDefault="00F67E9E" w:rsidP="00F13933">
            <w:pPr>
              <w:pStyle w:val="DefinitionList"/>
              <w:numPr>
                <w:ilvl w:val="0"/>
                <w:numId w:val="78"/>
              </w:numPr>
            </w:pPr>
            <w:r w:rsidRPr="00AB0447">
              <w:t>Financial Information and Commentary</w:t>
            </w:r>
          </w:p>
        </w:tc>
      </w:tr>
      <w:tr w:rsidR="00F67E9E" w:rsidRPr="00F55457" w14:paraId="23CB63E9" w14:textId="77777777" w:rsidTr="0052486C">
        <w:tc>
          <w:tcPr>
            <w:tcW w:w="2835" w:type="dxa"/>
          </w:tcPr>
          <w:p w14:paraId="0C0B3423" w14:textId="77777777" w:rsidR="00F67E9E" w:rsidRPr="00AB0447" w:rsidRDefault="00F67E9E" w:rsidP="0052486C">
            <w:pPr>
              <w:pStyle w:val="StdBodyTextBold"/>
              <w:rPr>
                <w:rFonts w:cs="Arial"/>
              </w:rPr>
            </w:pPr>
            <w:r>
              <w:rPr>
                <w:rFonts w:cs="Arial"/>
              </w:rPr>
              <w:t>“</w:t>
            </w:r>
            <w:r w:rsidRPr="00AB0447">
              <w:rPr>
                <w:rFonts w:cs="Arial"/>
              </w:rPr>
              <w:t>CRTPA</w:t>
            </w:r>
            <w:r>
              <w:rPr>
                <w:rFonts w:cs="Arial"/>
              </w:rPr>
              <w:t>”</w:t>
            </w:r>
          </w:p>
        </w:tc>
        <w:tc>
          <w:tcPr>
            <w:tcW w:w="6803" w:type="dxa"/>
          </w:tcPr>
          <w:p w14:paraId="24DBEACC" w14:textId="77777777" w:rsidR="00F67E9E" w:rsidRPr="00AB0447" w:rsidRDefault="00F67E9E" w:rsidP="0052486C">
            <w:pPr>
              <w:pStyle w:val="StdBodyText"/>
              <w:rPr>
                <w:rFonts w:cs="Arial"/>
              </w:rPr>
            </w:pPr>
            <w:r w:rsidRPr="00AB0447">
              <w:rPr>
                <w:rFonts w:cs="Arial"/>
              </w:rPr>
              <w:t xml:space="preserve">the </w:t>
            </w:r>
            <w:bookmarkStart w:id="37" w:name="_9kR3WTr277DMFKFx38qcwDmXtt7JF3jg2D9ia9T"/>
            <w:r w:rsidRPr="00AB0447">
              <w:rPr>
                <w:rFonts w:cs="Arial"/>
              </w:rPr>
              <w:t>Contracts (Rights of Third Parties) Act 1999</w:t>
            </w:r>
            <w:bookmarkEnd w:id="37"/>
            <w:r w:rsidRPr="00AB0447">
              <w:rPr>
                <w:rFonts w:cs="Arial"/>
              </w:rPr>
              <w:t>;</w:t>
            </w:r>
          </w:p>
        </w:tc>
      </w:tr>
      <w:tr w:rsidR="00F67E9E" w:rsidRPr="00F55457" w14:paraId="40633E2D" w14:textId="77777777" w:rsidTr="0052486C">
        <w:tc>
          <w:tcPr>
            <w:tcW w:w="2835" w:type="dxa"/>
          </w:tcPr>
          <w:p w14:paraId="4CC4A647" w14:textId="77777777" w:rsidR="00F67E9E" w:rsidRPr="00AB0447" w:rsidRDefault="00F67E9E" w:rsidP="0052486C">
            <w:pPr>
              <w:pStyle w:val="StdBodyTextBold"/>
              <w:keepNext/>
              <w:rPr>
                <w:rFonts w:cs="Arial"/>
              </w:rPr>
            </w:pPr>
            <w:r>
              <w:rPr>
                <w:rFonts w:cs="Arial"/>
              </w:rPr>
              <w:t>“</w:t>
            </w:r>
            <w:r w:rsidRPr="00AB0447">
              <w:rPr>
                <w:rFonts w:cs="Arial"/>
              </w:rPr>
              <w:t>Data Loss Event</w:t>
            </w:r>
            <w:r>
              <w:rPr>
                <w:rFonts w:cs="Arial"/>
              </w:rPr>
              <w:t>”</w:t>
            </w:r>
          </w:p>
        </w:tc>
        <w:tc>
          <w:tcPr>
            <w:tcW w:w="6803" w:type="dxa"/>
          </w:tcPr>
          <w:p w14:paraId="2F2BDA52" w14:textId="77777777" w:rsidR="00F67E9E" w:rsidRPr="00AB0447" w:rsidRDefault="00F67E9E" w:rsidP="0052486C">
            <w:pPr>
              <w:pStyle w:val="StdBodyText"/>
              <w:rPr>
                <w:rFonts w:cs="Arial"/>
              </w:rPr>
            </w:pPr>
            <w:r w:rsidRPr="00AB0447">
              <w:rPr>
                <w:rFonts w:cs="Arial"/>
              </w:rPr>
              <w:t xml:space="preserve">any event that results, or may result, in unauthorised access to Personal Data held by the Supplier under this Contract, and/or actual or potential loss and/or destruction of Personal Data in breach of this Contract, including any </w:t>
            </w:r>
            <w:r>
              <w:rPr>
                <w:rFonts w:cs="Arial"/>
              </w:rPr>
              <w:t>Data Loss Event</w:t>
            </w:r>
            <w:r w:rsidRPr="00AB0447">
              <w:rPr>
                <w:rFonts w:cs="Arial"/>
              </w:rPr>
              <w:t>;</w:t>
            </w:r>
          </w:p>
        </w:tc>
      </w:tr>
      <w:tr w:rsidR="00F67E9E" w:rsidRPr="00F55457" w14:paraId="4A68A047" w14:textId="77777777" w:rsidTr="0052486C">
        <w:tc>
          <w:tcPr>
            <w:tcW w:w="2835" w:type="dxa"/>
          </w:tcPr>
          <w:p w14:paraId="3A551BA4" w14:textId="77777777" w:rsidR="00F67E9E" w:rsidRPr="00AB0447" w:rsidRDefault="00F67E9E" w:rsidP="0052486C">
            <w:pPr>
              <w:pStyle w:val="StdBodyTextBold"/>
              <w:rPr>
                <w:rFonts w:cs="Arial"/>
              </w:rPr>
            </w:pPr>
            <w:r>
              <w:rPr>
                <w:rFonts w:cs="Arial"/>
              </w:rPr>
              <w:t>“</w:t>
            </w:r>
            <w:r w:rsidRPr="00AB0447">
              <w:rPr>
                <w:rFonts w:cs="Arial"/>
              </w:rPr>
              <w:t>Data Protection Impact Assessment</w:t>
            </w:r>
            <w:r>
              <w:rPr>
                <w:rFonts w:cs="Arial"/>
              </w:rPr>
              <w:t>”</w:t>
            </w:r>
          </w:p>
        </w:tc>
        <w:tc>
          <w:tcPr>
            <w:tcW w:w="6803" w:type="dxa"/>
          </w:tcPr>
          <w:p w14:paraId="6E122D81" w14:textId="77777777" w:rsidR="00F67E9E" w:rsidRPr="00AB0447" w:rsidRDefault="00F67E9E" w:rsidP="0052486C">
            <w:pPr>
              <w:pStyle w:val="StdBodyText"/>
              <w:rPr>
                <w:rFonts w:cs="Arial"/>
              </w:rPr>
            </w:pPr>
            <w:r w:rsidRPr="00AB0447">
              <w:rPr>
                <w:rFonts w:cs="Arial"/>
              </w:rPr>
              <w:t>an assessment by the Controller of the impact of the envisaged processing on the protection of Personal Data;</w:t>
            </w:r>
          </w:p>
        </w:tc>
      </w:tr>
      <w:tr w:rsidR="00F67E9E" w:rsidRPr="00F55457" w14:paraId="38116849" w14:textId="77777777" w:rsidTr="0052486C">
        <w:tc>
          <w:tcPr>
            <w:tcW w:w="2835" w:type="dxa"/>
          </w:tcPr>
          <w:p w14:paraId="2AD9ABB8" w14:textId="77777777" w:rsidR="00F67E9E" w:rsidRPr="00AB0447" w:rsidRDefault="00F67E9E" w:rsidP="0052486C">
            <w:pPr>
              <w:pStyle w:val="StdBodyTextBold"/>
              <w:rPr>
                <w:rFonts w:cs="Arial"/>
              </w:rPr>
            </w:pPr>
            <w:r>
              <w:rPr>
                <w:rFonts w:cs="Arial"/>
              </w:rPr>
              <w:t>“</w:t>
            </w:r>
            <w:r w:rsidRPr="00AB0447">
              <w:rPr>
                <w:rFonts w:cs="Arial"/>
              </w:rPr>
              <w:t>Data Protection Legislation</w:t>
            </w:r>
            <w:r>
              <w:rPr>
                <w:rFonts w:cs="Arial"/>
              </w:rPr>
              <w:t>”</w:t>
            </w:r>
          </w:p>
        </w:tc>
        <w:tc>
          <w:tcPr>
            <w:tcW w:w="6803" w:type="dxa"/>
          </w:tcPr>
          <w:p w14:paraId="7B9D8935" w14:textId="77777777" w:rsidR="00F67E9E" w:rsidRPr="00577E60" w:rsidRDefault="00F67E9E" w:rsidP="00F13933">
            <w:pPr>
              <w:pStyle w:val="DefinitionList"/>
              <w:numPr>
                <w:ilvl w:val="0"/>
                <w:numId w:val="144"/>
              </w:numPr>
              <w:rPr>
                <w:rFonts w:cs="Arial"/>
              </w:rPr>
            </w:pPr>
            <w:bookmarkStart w:id="38" w:name="_9kR3WTr8E845Fs"/>
            <w:bookmarkEnd w:id="38"/>
            <w:r w:rsidRPr="00577E60">
              <w:rPr>
                <w:rFonts w:eastAsia="Arial"/>
              </w:rPr>
              <w:t xml:space="preserve">the UK GDPR; </w:t>
            </w:r>
          </w:p>
          <w:p w14:paraId="65A5AE83" w14:textId="77777777" w:rsidR="00F67E9E" w:rsidRPr="00AB0447" w:rsidRDefault="00F67E9E" w:rsidP="00F13933">
            <w:pPr>
              <w:pStyle w:val="DefinitionList"/>
              <w:numPr>
                <w:ilvl w:val="0"/>
                <w:numId w:val="78"/>
              </w:numPr>
              <w:rPr>
                <w:rFonts w:cs="Arial"/>
              </w:rPr>
            </w:pPr>
            <w:r w:rsidRPr="00AB0447">
              <w:rPr>
                <w:rFonts w:eastAsia="Arial"/>
              </w:rPr>
              <w:t xml:space="preserve">the DPA 2018 to the extent that it relates to processing of personal data and privacy; </w:t>
            </w:r>
          </w:p>
          <w:p w14:paraId="2024C5F6" w14:textId="77777777" w:rsidR="00F67E9E" w:rsidRPr="00AB0447" w:rsidRDefault="00F67E9E" w:rsidP="00F13933">
            <w:pPr>
              <w:pStyle w:val="DefinitionList"/>
              <w:numPr>
                <w:ilvl w:val="0"/>
                <w:numId w:val="78"/>
              </w:numPr>
              <w:rPr>
                <w:rFonts w:cs="Arial"/>
              </w:rPr>
            </w:pPr>
            <w:r w:rsidRPr="00AB0447">
              <w:rPr>
                <w:rFonts w:eastAsia="Arial"/>
              </w:rPr>
              <w:lastRenderedPageBreak/>
              <w:t xml:space="preserve">all applicable Law about the processing of personal data and privacy; and </w:t>
            </w:r>
          </w:p>
          <w:p w14:paraId="3DCB3733" w14:textId="77777777" w:rsidR="00F67E9E" w:rsidRPr="00AB0447" w:rsidRDefault="00F67E9E" w:rsidP="00F13933">
            <w:pPr>
              <w:pStyle w:val="DefinitionList"/>
              <w:numPr>
                <w:ilvl w:val="0"/>
                <w:numId w:val="78"/>
              </w:numPr>
              <w:rPr>
                <w:rFonts w:cs="Arial"/>
              </w:rPr>
            </w:pPr>
            <w:r w:rsidRPr="00AB0447">
              <w:rPr>
                <w:rFonts w:eastAsia="Arial"/>
              </w:rPr>
              <w:t>(to the extent that it applies) the EU GDPR</w:t>
            </w:r>
            <w:r w:rsidRPr="00AB0447">
              <w:rPr>
                <w:rFonts w:cs="Arial"/>
              </w:rPr>
              <w:t>;</w:t>
            </w:r>
          </w:p>
        </w:tc>
      </w:tr>
      <w:tr w:rsidR="00F67E9E" w:rsidRPr="00F55457" w14:paraId="15D89C35" w14:textId="77777777" w:rsidTr="0052486C">
        <w:tc>
          <w:tcPr>
            <w:tcW w:w="2835" w:type="dxa"/>
          </w:tcPr>
          <w:p w14:paraId="0EDA7A4F" w14:textId="77777777" w:rsidR="00F67E9E" w:rsidRPr="00AB0447" w:rsidRDefault="00F67E9E" w:rsidP="0052486C">
            <w:pPr>
              <w:pStyle w:val="StdBodyTextBold"/>
              <w:rPr>
                <w:rFonts w:cs="Arial"/>
              </w:rPr>
            </w:pPr>
            <w:r>
              <w:rPr>
                <w:rFonts w:cs="Arial"/>
              </w:rPr>
              <w:lastRenderedPageBreak/>
              <w:t>“</w:t>
            </w:r>
            <w:r w:rsidRPr="00AB0447">
              <w:rPr>
                <w:rFonts w:cs="Arial"/>
              </w:rPr>
              <w:t>Data Subject</w:t>
            </w:r>
            <w:r>
              <w:rPr>
                <w:rFonts w:cs="Arial"/>
              </w:rPr>
              <w:t>”</w:t>
            </w:r>
          </w:p>
        </w:tc>
        <w:tc>
          <w:tcPr>
            <w:tcW w:w="6803" w:type="dxa"/>
          </w:tcPr>
          <w:p w14:paraId="6E92EE9B" w14:textId="77777777" w:rsidR="00F67E9E" w:rsidRPr="00AB0447" w:rsidRDefault="00F67E9E" w:rsidP="0052486C">
            <w:pPr>
              <w:pStyle w:val="StdBodyText"/>
              <w:rPr>
                <w:rFonts w:cs="Arial"/>
              </w:rPr>
            </w:pPr>
            <w:r w:rsidRPr="00AB0447">
              <w:rPr>
                <w:rFonts w:cs="Arial"/>
              </w:rPr>
              <w:t xml:space="preserve">has the meaning given to it in the UK GDPR or the EU GDPR as the context requires; </w:t>
            </w:r>
          </w:p>
        </w:tc>
      </w:tr>
      <w:tr w:rsidR="00F67E9E" w:rsidRPr="00F55457" w14:paraId="2F7F1F36" w14:textId="77777777" w:rsidTr="0052486C">
        <w:tc>
          <w:tcPr>
            <w:tcW w:w="2835" w:type="dxa"/>
          </w:tcPr>
          <w:p w14:paraId="31ED664F" w14:textId="77777777" w:rsidR="00F67E9E" w:rsidRPr="00AB0447" w:rsidRDefault="00F67E9E" w:rsidP="0052486C">
            <w:pPr>
              <w:pStyle w:val="StdBodyTextBold"/>
              <w:rPr>
                <w:rFonts w:cs="Arial"/>
              </w:rPr>
            </w:pPr>
            <w:r>
              <w:rPr>
                <w:rFonts w:cs="Arial"/>
              </w:rPr>
              <w:t>“</w:t>
            </w:r>
            <w:r w:rsidRPr="00AB0447">
              <w:rPr>
                <w:rFonts w:cs="Arial"/>
              </w:rPr>
              <w:t>Data Subject Request</w:t>
            </w:r>
            <w:r>
              <w:rPr>
                <w:rFonts w:cs="Arial"/>
              </w:rPr>
              <w:t>”</w:t>
            </w:r>
          </w:p>
        </w:tc>
        <w:tc>
          <w:tcPr>
            <w:tcW w:w="6803" w:type="dxa"/>
          </w:tcPr>
          <w:p w14:paraId="7B7AC25B" w14:textId="77777777" w:rsidR="00F67E9E" w:rsidRPr="00AB0447" w:rsidRDefault="00F67E9E" w:rsidP="0052486C">
            <w:pPr>
              <w:pStyle w:val="StdBodyText"/>
              <w:rPr>
                <w:rFonts w:cs="Arial"/>
              </w:rPr>
            </w:pPr>
            <w:r w:rsidRPr="00AB0447">
              <w:rPr>
                <w:rFonts w:cs="Arial"/>
              </w:rPr>
              <w:t>a request made by, or on behalf of, a Data Subject in accordance with rights granted pursuant to the Data Protection Legislation to their Personal Data;</w:t>
            </w:r>
          </w:p>
        </w:tc>
      </w:tr>
      <w:tr w:rsidR="00F67E9E" w:rsidRPr="00F55457" w14:paraId="18C4B513" w14:textId="77777777" w:rsidTr="0052486C">
        <w:tc>
          <w:tcPr>
            <w:tcW w:w="2835" w:type="dxa"/>
          </w:tcPr>
          <w:p w14:paraId="3ADD21BA" w14:textId="77777777" w:rsidR="00F67E9E" w:rsidRPr="00AB0447" w:rsidRDefault="00F67E9E" w:rsidP="0052486C">
            <w:pPr>
              <w:pStyle w:val="StdBodyTextBold"/>
              <w:rPr>
                <w:rFonts w:cs="Arial"/>
              </w:rPr>
            </w:pPr>
            <w:r>
              <w:rPr>
                <w:rFonts w:cs="Arial"/>
              </w:rPr>
              <w:t>“</w:t>
            </w:r>
            <w:r w:rsidRPr="00AB0447">
              <w:rPr>
                <w:rFonts w:cs="Arial"/>
              </w:rPr>
              <w:t>Deductions</w:t>
            </w:r>
            <w:r>
              <w:rPr>
                <w:rFonts w:cs="Arial"/>
              </w:rPr>
              <w:t>”</w:t>
            </w:r>
          </w:p>
        </w:tc>
        <w:tc>
          <w:tcPr>
            <w:tcW w:w="6803" w:type="dxa"/>
          </w:tcPr>
          <w:p w14:paraId="50639E82" w14:textId="77777777" w:rsidR="00F67E9E" w:rsidRPr="00AB0447" w:rsidRDefault="00F67E9E" w:rsidP="0052486C">
            <w:pPr>
              <w:pStyle w:val="StdBodyText"/>
              <w:rPr>
                <w:rFonts w:cs="Arial"/>
              </w:rPr>
            </w:pPr>
            <w:r w:rsidRPr="00AB0447">
              <w:rPr>
                <w:rFonts w:cs="Arial"/>
              </w:rPr>
              <w:t>all Service Credits, Compensation for Unacceptable KPI Failure, Delay Payments or any other deduction which is paid or payable to the Authority under this Contract;</w:t>
            </w:r>
          </w:p>
        </w:tc>
      </w:tr>
      <w:tr w:rsidR="00F67E9E" w:rsidRPr="00F55457" w14:paraId="3462F07F" w14:textId="77777777" w:rsidTr="0052486C">
        <w:tc>
          <w:tcPr>
            <w:tcW w:w="2835" w:type="dxa"/>
          </w:tcPr>
          <w:p w14:paraId="4D635731" w14:textId="77777777" w:rsidR="00F67E9E" w:rsidRPr="00AB0447" w:rsidRDefault="00F67E9E" w:rsidP="0052486C">
            <w:pPr>
              <w:pStyle w:val="StdBodyTextBold"/>
              <w:rPr>
                <w:rFonts w:cs="Arial"/>
              </w:rPr>
            </w:pPr>
            <w:r>
              <w:rPr>
                <w:rFonts w:cs="Arial"/>
              </w:rPr>
              <w:t>“</w:t>
            </w:r>
            <w:r w:rsidRPr="00AB0447">
              <w:rPr>
                <w:rFonts w:cs="Arial"/>
              </w:rPr>
              <w:t>Default</w:t>
            </w:r>
            <w:r>
              <w:rPr>
                <w:rFonts w:cs="Arial"/>
              </w:rPr>
              <w:t>”</w:t>
            </w:r>
          </w:p>
        </w:tc>
        <w:tc>
          <w:tcPr>
            <w:tcW w:w="6803" w:type="dxa"/>
          </w:tcPr>
          <w:p w14:paraId="7714E2F7" w14:textId="77777777" w:rsidR="00F67E9E" w:rsidRPr="00AB0447" w:rsidRDefault="00F67E9E" w:rsidP="0052486C">
            <w:pPr>
              <w:pStyle w:val="StdBodyText"/>
              <w:rPr>
                <w:rFonts w:cs="Arial"/>
              </w:rPr>
            </w:pPr>
            <w:r w:rsidRPr="00AB0447">
              <w:rPr>
                <w:rFonts w:cs="Arial"/>
              </w:rPr>
              <w:t>any breach of the obligations of the relevant Party (including abandonment of this Contract in breach of its terms, repudiatory breach or breach of a fundamental term) or any other default, act, omission, negligence or statement:</w:t>
            </w:r>
          </w:p>
          <w:p w14:paraId="77541AB5" w14:textId="77777777" w:rsidR="00F67E9E" w:rsidRPr="00577E60" w:rsidRDefault="00F67E9E" w:rsidP="00F13933">
            <w:pPr>
              <w:pStyle w:val="DefinitionList"/>
              <w:numPr>
                <w:ilvl w:val="0"/>
                <w:numId w:val="145"/>
              </w:numPr>
              <w:rPr>
                <w:rFonts w:cs="Arial"/>
              </w:rPr>
            </w:pPr>
            <w:r w:rsidRPr="00577E60">
              <w:rPr>
                <w:rFonts w:cs="Arial"/>
              </w:rPr>
              <w:t>in the case of the Authority, of its employees, servants, agents; or</w:t>
            </w:r>
          </w:p>
          <w:p w14:paraId="7091910E" w14:textId="77777777" w:rsidR="00F67E9E" w:rsidRPr="00AB0447" w:rsidRDefault="00F67E9E" w:rsidP="00F13933">
            <w:pPr>
              <w:pStyle w:val="DefinitionList"/>
              <w:numPr>
                <w:ilvl w:val="0"/>
                <w:numId w:val="78"/>
              </w:numPr>
              <w:rPr>
                <w:rFonts w:cs="Arial"/>
              </w:rPr>
            </w:pPr>
            <w:r w:rsidRPr="00AB0447">
              <w:rPr>
                <w:rFonts w:cs="Arial"/>
              </w:rPr>
              <w:t>in the case of the Supplier, of its Sub-contractors or any Supplier Personnel,</w:t>
            </w:r>
          </w:p>
          <w:p w14:paraId="1B76B74E" w14:textId="77777777" w:rsidR="00F67E9E" w:rsidRPr="00AB0447" w:rsidRDefault="00F67E9E" w:rsidP="0052486C">
            <w:pPr>
              <w:pStyle w:val="StdBodyText"/>
              <w:rPr>
                <w:rFonts w:cs="Arial"/>
              </w:rPr>
            </w:pPr>
            <w:r w:rsidRPr="00AB0447">
              <w:rPr>
                <w:rFonts w:cs="Arial"/>
              </w:rPr>
              <w:t>in connection with or in relation to the subject-matter of this Contract and in respect of which such Party is liable to the other;</w:t>
            </w:r>
          </w:p>
        </w:tc>
      </w:tr>
      <w:tr w:rsidR="00F67E9E" w:rsidRPr="00F55457" w14:paraId="17B4EF03" w14:textId="77777777" w:rsidTr="0052486C">
        <w:tc>
          <w:tcPr>
            <w:tcW w:w="2835" w:type="dxa"/>
          </w:tcPr>
          <w:p w14:paraId="52B104B6" w14:textId="77777777" w:rsidR="00F67E9E" w:rsidRPr="00AB0447" w:rsidRDefault="00F67E9E" w:rsidP="0052486C">
            <w:pPr>
              <w:pStyle w:val="StdBodyTextBold"/>
              <w:rPr>
                <w:rFonts w:cs="Arial"/>
              </w:rPr>
            </w:pPr>
            <w:r>
              <w:rPr>
                <w:rFonts w:cs="Arial"/>
              </w:rPr>
              <w:t>“</w:t>
            </w:r>
            <w:r w:rsidRPr="00AB0447">
              <w:rPr>
                <w:rFonts w:cs="Arial"/>
              </w:rPr>
              <w:t>Defect</w:t>
            </w:r>
            <w:r>
              <w:rPr>
                <w:rFonts w:cs="Arial"/>
              </w:rPr>
              <w:t>”</w:t>
            </w:r>
          </w:p>
        </w:tc>
        <w:tc>
          <w:tcPr>
            <w:tcW w:w="6803" w:type="dxa"/>
          </w:tcPr>
          <w:p w14:paraId="6C0EAC61" w14:textId="77777777" w:rsidR="00F67E9E" w:rsidRPr="00577E60" w:rsidRDefault="00F67E9E" w:rsidP="00F13933">
            <w:pPr>
              <w:pStyle w:val="DefinitionList"/>
              <w:numPr>
                <w:ilvl w:val="0"/>
                <w:numId w:val="146"/>
              </w:numPr>
              <w:rPr>
                <w:rFonts w:cs="Arial"/>
              </w:rPr>
            </w:pPr>
            <w:r w:rsidRPr="00577E60">
              <w:rPr>
                <w:rFonts w:cs="Arial"/>
              </w:rPr>
              <w:t>any error, damage or defect in the manufacturing of a Deliverable; or</w:t>
            </w:r>
          </w:p>
          <w:p w14:paraId="09F80585" w14:textId="77777777" w:rsidR="00F67E9E" w:rsidRPr="00AB0447" w:rsidRDefault="00F67E9E" w:rsidP="00F13933">
            <w:pPr>
              <w:pStyle w:val="DefinitionList"/>
              <w:numPr>
                <w:ilvl w:val="0"/>
                <w:numId w:val="78"/>
              </w:numPr>
              <w:rPr>
                <w:rFonts w:cs="Arial"/>
              </w:rPr>
            </w:pPr>
            <w:r w:rsidRPr="00AB0447">
              <w:rPr>
                <w:rFonts w:cs="Arial"/>
              </w:rPr>
              <w:t>any error or failure of code within the Software which causes a Deliverable to malfunction or to produce unintelligible or incorrect results; or</w:t>
            </w:r>
          </w:p>
          <w:p w14:paraId="0AF87199" w14:textId="77777777" w:rsidR="00F67E9E" w:rsidRPr="00AB0447" w:rsidRDefault="00F67E9E" w:rsidP="00F13933">
            <w:pPr>
              <w:pStyle w:val="DefinitionList"/>
              <w:numPr>
                <w:ilvl w:val="0"/>
                <w:numId w:val="146"/>
              </w:numPr>
            </w:pPr>
            <w:r w:rsidRPr="00AB0447">
              <w:t>any failure of any Deliverable to provide the performance, features and functionality specified in the Authority Requirements or the Documentation (including any adverse effect on response times) regardless of whether or not it prevents the relevant Deliverable from meeting its associated Test Success Criteria; or</w:t>
            </w:r>
          </w:p>
          <w:p w14:paraId="782AA97C" w14:textId="77777777" w:rsidR="00F67E9E" w:rsidRPr="00AB0447" w:rsidRDefault="00F67E9E" w:rsidP="00F13933">
            <w:pPr>
              <w:pStyle w:val="DefinitionList"/>
              <w:numPr>
                <w:ilvl w:val="0"/>
                <w:numId w:val="78"/>
              </w:numPr>
              <w:rPr>
                <w:rFonts w:cs="Arial"/>
              </w:rPr>
            </w:pPr>
            <w:r w:rsidRPr="00AB0447">
              <w:rPr>
                <w:rFonts w:cs="Arial"/>
              </w:rPr>
              <w:t xml:space="preserve">any failure of any Deliverable to operate in conjunction with or interface with any other Deliverable in order to provide the performance, features and functionality specified in the Authority Requirements or the Documentation (including any adverse effect on response times) regardless of whether or not it prevents </w:t>
            </w:r>
            <w:r w:rsidRPr="00AB0447">
              <w:rPr>
                <w:rFonts w:cs="Arial"/>
              </w:rPr>
              <w:lastRenderedPageBreak/>
              <w:t>the relevant Deliverable from meeting its associated Test Success Criteria;</w:t>
            </w:r>
          </w:p>
        </w:tc>
      </w:tr>
      <w:tr w:rsidR="00F67E9E" w:rsidRPr="00F55457" w14:paraId="54D27BCD" w14:textId="77777777" w:rsidTr="0052486C">
        <w:tc>
          <w:tcPr>
            <w:tcW w:w="2835" w:type="dxa"/>
          </w:tcPr>
          <w:p w14:paraId="13420E66" w14:textId="77777777" w:rsidR="00F67E9E" w:rsidRPr="00AB0447" w:rsidRDefault="00F67E9E" w:rsidP="0052486C">
            <w:pPr>
              <w:pStyle w:val="StdBodyTextBold"/>
              <w:rPr>
                <w:rFonts w:cs="Arial"/>
              </w:rPr>
            </w:pPr>
            <w:r>
              <w:rPr>
                <w:rFonts w:cs="Arial"/>
              </w:rPr>
              <w:lastRenderedPageBreak/>
              <w:t>“</w:t>
            </w:r>
            <w:r w:rsidRPr="00AB0447">
              <w:rPr>
                <w:rFonts w:cs="Arial"/>
              </w:rPr>
              <w:t>Delay</w:t>
            </w:r>
            <w:r>
              <w:rPr>
                <w:rFonts w:cs="Arial"/>
              </w:rPr>
              <w:t>”</w:t>
            </w:r>
          </w:p>
        </w:tc>
        <w:tc>
          <w:tcPr>
            <w:tcW w:w="6803" w:type="dxa"/>
          </w:tcPr>
          <w:p w14:paraId="682F1D65" w14:textId="77777777" w:rsidR="00F67E9E" w:rsidRPr="00577E60" w:rsidRDefault="00F67E9E" w:rsidP="00F13933">
            <w:pPr>
              <w:pStyle w:val="DefinitionList"/>
              <w:numPr>
                <w:ilvl w:val="0"/>
                <w:numId w:val="147"/>
              </w:numPr>
              <w:rPr>
                <w:rFonts w:cs="Arial"/>
              </w:rPr>
            </w:pPr>
            <w:r w:rsidRPr="00577E60">
              <w:rPr>
                <w:rFonts w:cs="Arial"/>
              </w:rPr>
              <w:t>a delay in the Achievement of a Milestone by its Milestone Date; or</w:t>
            </w:r>
          </w:p>
          <w:p w14:paraId="72878A53" w14:textId="77777777" w:rsidR="00F67E9E" w:rsidRPr="00AB0447" w:rsidRDefault="00F67E9E" w:rsidP="00F13933">
            <w:pPr>
              <w:pStyle w:val="DefinitionList"/>
              <w:numPr>
                <w:ilvl w:val="0"/>
                <w:numId w:val="78"/>
              </w:numPr>
              <w:rPr>
                <w:rFonts w:cs="Arial"/>
              </w:rPr>
            </w:pPr>
            <w:r w:rsidRPr="00AB0447">
              <w:rPr>
                <w:rFonts w:cs="Arial"/>
              </w:rPr>
              <w:t>a delay in the design, development, testing or implementation of a Deliverable by the relevant date set out in the Implementation Plan;</w:t>
            </w:r>
          </w:p>
        </w:tc>
      </w:tr>
      <w:tr w:rsidR="00F67E9E" w:rsidRPr="00F55457" w14:paraId="6174B620" w14:textId="77777777" w:rsidTr="0052486C">
        <w:tc>
          <w:tcPr>
            <w:tcW w:w="2835" w:type="dxa"/>
          </w:tcPr>
          <w:p w14:paraId="29E445CF" w14:textId="77777777" w:rsidR="00F67E9E" w:rsidRPr="00AB0447" w:rsidRDefault="00F67E9E" w:rsidP="0052486C">
            <w:pPr>
              <w:pStyle w:val="StdBodyTextBold"/>
              <w:rPr>
                <w:rFonts w:cs="Arial"/>
              </w:rPr>
            </w:pPr>
            <w:r>
              <w:rPr>
                <w:rFonts w:cs="Arial"/>
              </w:rPr>
              <w:t>“</w:t>
            </w:r>
            <w:r w:rsidRPr="00AB0447">
              <w:rPr>
                <w:rFonts w:cs="Arial"/>
              </w:rPr>
              <w:t>Delay Deduction Period</w:t>
            </w:r>
            <w:r>
              <w:rPr>
                <w:rFonts w:cs="Arial"/>
              </w:rPr>
              <w:t>”</w:t>
            </w:r>
          </w:p>
        </w:tc>
        <w:tc>
          <w:tcPr>
            <w:tcW w:w="6803" w:type="dxa"/>
          </w:tcPr>
          <w:p w14:paraId="3556E3FA" w14:textId="77777777" w:rsidR="00F67E9E" w:rsidRPr="00AB0447" w:rsidRDefault="00F67E9E" w:rsidP="0052486C">
            <w:pPr>
              <w:pStyle w:val="StdBodyText"/>
              <w:rPr>
                <w:rFonts w:cs="Arial"/>
              </w:rPr>
            </w:pPr>
            <w:r w:rsidRPr="00AB0447">
              <w:rPr>
                <w:rFonts w:cs="Arial"/>
              </w:rPr>
              <w:t>the period of one hundred (100) days commencing on the relevant Milestone Date;</w:t>
            </w:r>
          </w:p>
        </w:tc>
      </w:tr>
      <w:tr w:rsidR="00F67E9E" w:rsidRPr="00F55457" w14:paraId="71FADA73" w14:textId="77777777" w:rsidTr="0052486C">
        <w:tc>
          <w:tcPr>
            <w:tcW w:w="2835" w:type="dxa"/>
          </w:tcPr>
          <w:p w14:paraId="557BCE54" w14:textId="77777777" w:rsidR="00F67E9E" w:rsidRPr="00AB0447" w:rsidRDefault="00F67E9E" w:rsidP="0052486C">
            <w:pPr>
              <w:pStyle w:val="StdBodyTextBold"/>
              <w:rPr>
                <w:rFonts w:cs="Arial"/>
              </w:rPr>
            </w:pPr>
            <w:r>
              <w:rPr>
                <w:rFonts w:cs="Arial"/>
              </w:rPr>
              <w:t>“</w:t>
            </w:r>
            <w:r w:rsidRPr="00AB0447">
              <w:rPr>
                <w:rFonts w:cs="Arial"/>
              </w:rPr>
              <w:t>Delay Payments</w:t>
            </w:r>
            <w:r>
              <w:rPr>
                <w:rFonts w:cs="Arial"/>
              </w:rPr>
              <w:t>”</w:t>
            </w:r>
          </w:p>
        </w:tc>
        <w:tc>
          <w:tcPr>
            <w:tcW w:w="6803" w:type="dxa"/>
          </w:tcPr>
          <w:p w14:paraId="09A74B27" w14:textId="66E66A4E" w:rsidR="00F67E9E" w:rsidRPr="00AB0447" w:rsidRDefault="00F67E9E" w:rsidP="0052486C">
            <w:pPr>
              <w:pStyle w:val="StdBodyText"/>
              <w:rPr>
                <w:rFonts w:cs="Arial"/>
              </w:rPr>
            </w:pPr>
            <w:r w:rsidRPr="00AB0447">
              <w:rPr>
                <w:rFonts w:cs="Arial"/>
              </w:rPr>
              <w:t xml:space="preserve">the amounts payable by the Supplier to the Authority in respect of a Delay in Achieving a Key Milestone as specified in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AB0447">
              <w:rPr>
                <w:rFonts w:cs="Arial"/>
              </w:rPr>
              <w:t>;</w:t>
            </w:r>
          </w:p>
        </w:tc>
      </w:tr>
      <w:tr w:rsidR="00F67E9E" w:rsidRPr="00F55457" w14:paraId="784C1379" w14:textId="77777777" w:rsidTr="0052486C">
        <w:tc>
          <w:tcPr>
            <w:tcW w:w="2835" w:type="dxa"/>
          </w:tcPr>
          <w:p w14:paraId="3F9B7253" w14:textId="77777777" w:rsidR="00F67E9E" w:rsidRPr="00AB0447" w:rsidRDefault="00F67E9E" w:rsidP="0052486C">
            <w:pPr>
              <w:pStyle w:val="StdBodyTextBold"/>
              <w:rPr>
                <w:rFonts w:cs="Arial"/>
              </w:rPr>
            </w:pPr>
            <w:r>
              <w:rPr>
                <w:rFonts w:cs="Arial"/>
              </w:rPr>
              <w:t>“</w:t>
            </w:r>
            <w:r w:rsidRPr="00AB0447">
              <w:rPr>
                <w:rFonts w:cs="Arial"/>
              </w:rPr>
              <w:t>Deliverable</w:t>
            </w:r>
            <w:r>
              <w:rPr>
                <w:rFonts w:cs="Arial"/>
              </w:rPr>
              <w:t>”</w:t>
            </w:r>
          </w:p>
        </w:tc>
        <w:tc>
          <w:tcPr>
            <w:tcW w:w="6803" w:type="dxa"/>
          </w:tcPr>
          <w:p w14:paraId="497DC06E" w14:textId="77777777" w:rsidR="00F67E9E" w:rsidRPr="00AB0447" w:rsidRDefault="00F67E9E" w:rsidP="0052486C">
            <w:pPr>
              <w:pStyle w:val="StdBodyText"/>
              <w:rPr>
                <w:rFonts w:cs="Arial"/>
              </w:rPr>
            </w:pPr>
            <w:r w:rsidRPr="00AB0447">
              <w:rPr>
                <w:rFonts w:cs="Arial"/>
              </w:rPr>
              <w:t>an item</w:t>
            </w:r>
            <w:r>
              <w:rPr>
                <w:rFonts w:cs="Arial"/>
              </w:rPr>
              <w:t>,</w:t>
            </w:r>
            <w:r w:rsidRPr="00AB0447">
              <w:rPr>
                <w:rFonts w:cs="Arial"/>
              </w:rPr>
              <w:t xml:space="preserve"> feature </w:t>
            </w:r>
            <w:r>
              <w:rPr>
                <w:rFonts w:cs="Arial"/>
              </w:rPr>
              <w:t xml:space="preserve">or software </w:t>
            </w:r>
            <w:r w:rsidRPr="00AB0447">
              <w:rPr>
                <w:rFonts w:cs="Arial"/>
              </w:rPr>
              <w:t>delivered or to be delivered by the Supplier at or before a Milestone Date or at any other stage during the performance of this Contract;</w:t>
            </w:r>
          </w:p>
        </w:tc>
      </w:tr>
      <w:tr w:rsidR="00F67E9E" w:rsidRPr="00F55457" w14:paraId="4E6DFA30" w14:textId="77777777" w:rsidTr="0052486C">
        <w:tc>
          <w:tcPr>
            <w:tcW w:w="2835" w:type="dxa"/>
          </w:tcPr>
          <w:p w14:paraId="19940F28" w14:textId="77777777" w:rsidR="00F67E9E" w:rsidRPr="00AB0447" w:rsidRDefault="00F67E9E" w:rsidP="0052486C">
            <w:pPr>
              <w:pStyle w:val="StdBodyTextBold"/>
              <w:rPr>
                <w:rFonts w:cs="Arial"/>
              </w:rPr>
            </w:pPr>
            <w:r>
              <w:rPr>
                <w:rFonts w:cs="Arial"/>
              </w:rPr>
              <w:t>“</w:t>
            </w:r>
            <w:r w:rsidRPr="00AB0447">
              <w:rPr>
                <w:rFonts w:cs="Arial"/>
              </w:rPr>
              <w:t>Dependent Parent Undertaking</w:t>
            </w:r>
            <w:r>
              <w:rPr>
                <w:rFonts w:cs="Arial"/>
              </w:rPr>
              <w:t>”</w:t>
            </w:r>
          </w:p>
        </w:tc>
        <w:tc>
          <w:tcPr>
            <w:tcW w:w="6803" w:type="dxa"/>
          </w:tcPr>
          <w:p w14:paraId="6016314B" w14:textId="77777777" w:rsidR="00F67E9E" w:rsidRPr="00AB0447" w:rsidRDefault="00F67E9E" w:rsidP="0052486C">
            <w:pPr>
              <w:pStyle w:val="StdBodyText"/>
              <w:rPr>
                <w:rFonts w:cs="Arial"/>
              </w:rPr>
            </w:pPr>
            <w:r w:rsidRPr="00AB0447">
              <w:rPr>
                <w:rFonts w:cs="Arial"/>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00F67E9E" w:rsidRPr="00F55457" w14:paraId="0B964BD9" w14:textId="77777777" w:rsidTr="0052486C">
        <w:tc>
          <w:tcPr>
            <w:tcW w:w="2835" w:type="dxa"/>
          </w:tcPr>
          <w:p w14:paraId="6C23EB83" w14:textId="77777777" w:rsidR="00F67E9E" w:rsidRPr="00AB0447" w:rsidRDefault="00F67E9E" w:rsidP="0052486C">
            <w:pPr>
              <w:pStyle w:val="StdBodyTextBold"/>
              <w:rPr>
                <w:rFonts w:cs="Arial"/>
              </w:rPr>
            </w:pPr>
            <w:r>
              <w:rPr>
                <w:rFonts w:cs="Arial"/>
              </w:rPr>
              <w:t>“</w:t>
            </w:r>
            <w:r w:rsidRPr="00AB0447">
              <w:rPr>
                <w:rFonts w:cs="Arial"/>
              </w:rPr>
              <w:t>Detailed Implementation Plan</w:t>
            </w:r>
            <w:r>
              <w:rPr>
                <w:rFonts w:cs="Arial"/>
              </w:rPr>
              <w:t>”</w:t>
            </w:r>
          </w:p>
        </w:tc>
        <w:tc>
          <w:tcPr>
            <w:tcW w:w="6803" w:type="dxa"/>
          </w:tcPr>
          <w:p w14:paraId="390EE5E5" w14:textId="519131EE" w:rsidR="00F67E9E" w:rsidRPr="00AB0447" w:rsidRDefault="00F67E9E" w:rsidP="0052486C">
            <w:pPr>
              <w:pStyle w:val="StdBodyText"/>
              <w:rPr>
                <w:rFonts w:cs="Arial"/>
              </w:rPr>
            </w:pPr>
            <w:r w:rsidRPr="00AB0447">
              <w:rPr>
                <w:rFonts w:cs="Arial"/>
              </w:rPr>
              <w:t xml:space="preserve">the plan developed and revised from time to time in accordance with </w:t>
            </w:r>
            <w:bookmarkStart w:id="39" w:name="_9kR3WTr2CC4EMdEnoewrqy2P"/>
            <w:r w:rsidRPr="00AB0447">
              <w:rPr>
                <w:rFonts w:cs="Arial"/>
              </w:rPr>
              <w:t xml:space="preserve">Paragraphs </w:t>
            </w:r>
            <w:bookmarkEnd w:id="39"/>
            <w:r w:rsidRPr="00AB0447">
              <w:rPr>
                <w:rFonts w:cs="Arial"/>
              </w:rPr>
              <w:fldChar w:fldCharType="begin"/>
            </w:r>
            <w:r w:rsidRPr="00AB0447">
              <w:rPr>
                <w:rFonts w:cs="Arial"/>
              </w:rPr>
              <w:instrText xml:space="preserve"> REF _Ref_ContractCompanion_9kb9Ur9FB \w \h  \* MERGEFORMAT </w:instrText>
            </w:r>
            <w:r w:rsidRPr="00AB0447">
              <w:rPr>
                <w:rFonts w:cs="Arial"/>
              </w:rPr>
            </w:r>
            <w:r w:rsidRPr="00AB0447">
              <w:rPr>
                <w:rFonts w:cs="Arial"/>
              </w:rPr>
              <w:fldChar w:fldCharType="separate"/>
            </w:r>
            <w:r w:rsidR="007A1473">
              <w:rPr>
                <w:rFonts w:cs="Arial"/>
              </w:rPr>
              <w:t>3</w:t>
            </w:r>
            <w:r w:rsidRPr="00AB0447">
              <w:rPr>
                <w:rFonts w:cs="Arial"/>
              </w:rPr>
              <w:fldChar w:fldCharType="end"/>
            </w:r>
            <w:r w:rsidRPr="00AB0447">
              <w:rPr>
                <w:rFonts w:cs="Arial"/>
              </w:rPr>
              <w:t xml:space="preserve"> and </w:t>
            </w:r>
            <w:r w:rsidRPr="00AB0447">
              <w:rPr>
                <w:rFonts w:cs="Arial"/>
              </w:rPr>
              <w:fldChar w:fldCharType="begin"/>
            </w:r>
            <w:r w:rsidRPr="00AB0447">
              <w:rPr>
                <w:rFonts w:cs="Arial"/>
              </w:rPr>
              <w:instrText xml:space="preserve"> REF _Ref44508311 \w \h  \* MERGEFORMAT </w:instrText>
            </w:r>
            <w:r w:rsidRPr="00AB0447">
              <w:rPr>
                <w:rFonts w:cs="Arial"/>
              </w:rPr>
            </w:r>
            <w:r w:rsidRPr="00AB0447">
              <w:rPr>
                <w:rFonts w:cs="Arial"/>
              </w:rPr>
              <w:fldChar w:fldCharType="separate"/>
            </w:r>
            <w:r w:rsidR="007A1473">
              <w:rPr>
                <w:rFonts w:cs="Arial"/>
              </w:rPr>
              <w:t>4</w:t>
            </w:r>
            <w:r w:rsidRPr="00AB0447">
              <w:rPr>
                <w:rFonts w:cs="Arial"/>
              </w:rPr>
              <w:fldChar w:fldCharType="end"/>
            </w:r>
            <w:r w:rsidRPr="00AB0447">
              <w:rPr>
                <w:rFonts w:cs="Arial"/>
              </w:rPr>
              <w:t xml:space="preserve"> of </w:t>
            </w:r>
            <w:r>
              <w:rPr>
                <w:rFonts w:cs="Arial"/>
              </w:rPr>
              <w:fldChar w:fldCharType="begin"/>
            </w:r>
            <w:r>
              <w:rPr>
                <w:rFonts w:cs="Arial"/>
              </w:rPr>
              <w:instrText xml:space="preserve"> REF Schedule13 \h </w:instrText>
            </w:r>
            <w:r>
              <w:rPr>
                <w:rFonts w:cs="Arial"/>
              </w:rPr>
            </w:r>
            <w:r>
              <w:rPr>
                <w:rFonts w:cs="Arial"/>
              </w:rPr>
              <w:fldChar w:fldCharType="separate"/>
            </w:r>
            <w:r w:rsidR="007A1473" w:rsidRPr="005D0525">
              <w:t>Schedule</w:t>
            </w:r>
            <w:r w:rsidR="007A1473">
              <w:t> </w:t>
            </w:r>
            <w:r w:rsidR="007A1473" w:rsidRPr="005D0525">
              <w:t>13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Schedule13Heading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Implementation Plan</w:t>
            </w:r>
            <w:r w:rsidRPr="00A22335">
              <w:rPr>
                <w:rFonts w:cs="Arial"/>
                <w:i/>
                <w:iCs/>
              </w:rPr>
              <w:fldChar w:fldCharType="end"/>
            </w:r>
            <w:r>
              <w:rPr>
                <w:rFonts w:cs="Arial"/>
              </w:rPr>
              <w:t>)</w:t>
            </w:r>
            <w:r w:rsidRPr="00AB0447">
              <w:rPr>
                <w:rFonts w:cs="Arial"/>
              </w:rPr>
              <w:t>;</w:t>
            </w:r>
          </w:p>
        </w:tc>
      </w:tr>
      <w:tr w:rsidR="00F67E9E" w:rsidRPr="00F55457" w14:paraId="7A379BF5" w14:textId="77777777" w:rsidTr="0052486C">
        <w:tc>
          <w:tcPr>
            <w:tcW w:w="2835" w:type="dxa"/>
          </w:tcPr>
          <w:p w14:paraId="1FE88C84" w14:textId="77777777" w:rsidR="00F67E9E" w:rsidRPr="00AB0447" w:rsidRDefault="00F67E9E" w:rsidP="0052486C">
            <w:pPr>
              <w:pStyle w:val="StdBodyTextBold"/>
              <w:rPr>
                <w:rFonts w:cs="Arial"/>
              </w:rPr>
            </w:pPr>
            <w:r>
              <w:rPr>
                <w:rFonts w:cs="Arial"/>
              </w:rPr>
              <w:t>“</w:t>
            </w:r>
            <w:r w:rsidRPr="00AB0447">
              <w:rPr>
                <w:rFonts w:cs="Arial"/>
              </w:rPr>
              <w:t>Disclosing Party</w:t>
            </w:r>
            <w:r>
              <w:rPr>
                <w:rFonts w:cs="Arial"/>
              </w:rPr>
              <w:t>”</w:t>
            </w:r>
          </w:p>
        </w:tc>
        <w:tc>
          <w:tcPr>
            <w:tcW w:w="6803" w:type="dxa"/>
          </w:tcPr>
          <w:p w14:paraId="37635EC6" w14:textId="77777777" w:rsidR="00F67E9E" w:rsidRPr="00AB0447" w:rsidRDefault="00F67E9E" w:rsidP="0052486C">
            <w:pPr>
              <w:pStyle w:val="StdBodyText"/>
              <w:rPr>
                <w:rFonts w:cs="Arial"/>
              </w:rPr>
            </w:pPr>
            <w:r w:rsidRPr="00AB0447">
              <w:rPr>
                <w:rFonts w:cs="Arial"/>
              </w:rPr>
              <w:t xml:space="preserve">has the meaning given in </w:t>
            </w:r>
            <w:bookmarkStart w:id="40" w:name="_9kMHG5YVtCIACJIFDDSN6C3pyFIECG78J7DG6In"/>
            <w:bookmarkStart w:id="41" w:name="_9kMHG5YVtCJBCJJGDDSN6C3pyFIECG78J7DG6In"/>
            <w:r w:rsidRPr="00AB0447">
              <w:rPr>
                <w:rFonts w:cs="Arial"/>
              </w:rPr>
              <w:t xml:space="preserve">Clause </w:t>
            </w:r>
            <w:bookmarkEnd w:id="40"/>
            <w:bookmarkEnd w:id="41"/>
            <w:r w:rsidRPr="00AB0447">
              <w:rPr>
                <w:rFonts w:cs="Arial"/>
              </w:rPr>
              <w:t>19.1 (</w:t>
            </w:r>
            <w:r w:rsidRPr="00C04B2F">
              <w:rPr>
                <w:rFonts w:cs="Arial"/>
                <w:i/>
                <w:iCs/>
              </w:rPr>
              <w:t>Confidentiality</w:t>
            </w:r>
            <w:r w:rsidRPr="00AB0447">
              <w:rPr>
                <w:rFonts w:cs="Arial"/>
              </w:rPr>
              <w:t>);</w:t>
            </w:r>
          </w:p>
        </w:tc>
      </w:tr>
      <w:tr w:rsidR="00F67E9E" w:rsidRPr="00F55457" w14:paraId="18B8B491" w14:textId="77777777" w:rsidTr="0052486C">
        <w:tc>
          <w:tcPr>
            <w:tcW w:w="2835" w:type="dxa"/>
          </w:tcPr>
          <w:p w14:paraId="4266F187" w14:textId="77777777" w:rsidR="00F67E9E" w:rsidRPr="00AB0447" w:rsidRDefault="00F67E9E" w:rsidP="0052486C">
            <w:pPr>
              <w:pStyle w:val="StdBodyTextBold"/>
              <w:rPr>
                <w:rFonts w:cs="Arial"/>
              </w:rPr>
            </w:pPr>
            <w:r>
              <w:rPr>
                <w:rFonts w:cs="Arial"/>
              </w:rPr>
              <w:t>“</w:t>
            </w:r>
            <w:r w:rsidRPr="00AB0447">
              <w:rPr>
                <w:rFonts w:cs="Arial"/>
              </w:rPr>
              <w:t>Disclosing Party Group</w:t>
            </w:r>
            <w:r>
              <w:rPr>
                <w:rFonts w:cs="Arial"/>
              </w:rPr>
              <w:t>”</w:t>
            </w:r>
          </w:p>
        </w:tc>
        <w:tc>
          <w:tcPr>
            <w:tcW w:w="6803" w:type="dxa"/>
          </w:tcPr>
          <w:p w14:paraId="024C94B3" w14:textId="77777777" w:rsidR="00F67E9E" w:rsidRPr="00AB0447" w:rsidRDefault="00F67E9E" w:rsidP="00F13933">
            <w:pPr>
              <w:pStyle w:val="DefinitionList"/>
              <w:numPr>
                <w:ilvl w:val="0"/>
                <w:numId w:val="148"/>
              </w:numPr>
            </w:pPr>
            <w:r w:rsidRPr="00AB0447">
              <w:t xml:space="preserve">where the Disclosing Party is the Supplier, the Supplier and any Affiliates of the Supplier; and </w:t>
            </w:r>
          </w:p>
          <w:p w14:paraId="4EF14389" w14:textId="76B44040" w:rsidR="00F67E9E" w:rsidRPr="00AB0447" w:rsidRDefault="00F67E9E" w:rsidP="00F13933">
            <w:pPr>
              <w:pStyle w:val="DefinitionList"/>
              <w:numPr>
                <w:ilvl w:val="0"/>
                <w:numId w:val="78"/>
              </w:numPr>
              <w:rPr>
                <w:rFonts w:cs="Arial"/>
              </w:rPr>
            </w:pPr>
            <w:r w:rsidRPr="00AB0447">
              <w:rPr>
                <w:rFonts w:cs="Arial"/>
              </w:rPr>
              <w:t xml:space="preserve">where the Disclosing Party is the Authority, the Authority and any </w:t>
            </w:r>
            <w:r>
              <w:rPr>
                <w:rFonts w:cs="Arial"/>
              </w:rPr>
              <w:t>Crown</w:t>
            </w:r>
            <w:r w:rsidRPr="00AB0447">
              <w:rPr>
                <w:rFonts w:cs="Arial"/>
              </w:rPr>
              <w:t xml:space="preserve"> </w:t>
            </w:r>
            <w:r w:rsidR="00B34128">
              <w:rPr>
                <w:rFonts w:cs="Arial"/>
              </w:rPr>
              <w:t xml:space="preserve">Body </w:t>
            </w:r>
            <w:r w:rsidRPr="00AB0447">
              <w:rPr>
                <w:rFonts w:cs="Arial"/>
              </w:rPr>
              <w:t>with which the Authority or the Supplier interacts in connection with this Contract;</w:t>
            </w:r>
          </w:p>
        </w:tc>
      </w:tr>
      <w:tr w:rsidR="00F67E9E" w:rsidRPr="00F55457" w14:paraId="26EEC822" w14:textId="77777777" w:rsidTr="0052486C">
        <w:tc>
          <w:tcPr>
            <w:tcW w:w="2835" w:type="dxa"/>
          </w:tcPr>
          <w:p w14:paraId="00F3E856" w14:textId="77777777" w:rsidR="00F67E9E" w:rsidRPr="00AB0447" w:rsidRDefault="00F67E9E" w:rsidP="0052486C">
            <w:pPr>
              <w:pStyle w:val="StdBodyTextBold"/>
              <w:rPr>
                <w:rFonts w:cs="Arial"/>
              </w:rPr>
            </w:pPr>
            <w:r>
              <w:rPr>
                <w:rFonts w:cs="Arial"/>
              </w:rPr>
              <w:t>“</w:t>
            </w:r>
            <w:r w:rsidRPr="00AB0447">
              <w:rPr>
                <w:rFonts w:cs="Arial"/>
              </w:rPr>
              <w:t>Dispute</w:t>
            </w:r>
            <w:r>
              <w:rPr>
                <w:rFonts w:cs="Arial"/>
              </w:rPr>
              <w:t>”</w:t>
            </w:r>
          </w:p>
        </w:tc>
        <w:tc>
          <w:tcPr>
            <w:tcW w:w="6803" w:type="dxa"/>
          </w:tcPr>
          <w:p w14:paraId="2824CD90" w14:textId="77777777" w:rsidR="00F67E9E" w:rsidRPr="00AB0447" w:rsidRDefault="00F67E9E" w:rsidP="0052486C">
            <w:pPr>
              <w:pStyle w:val="StdBodyText"/>
              <w:rPr>
                <w:rFonts w:cs="Arial"/>
              </w:rPr>
            </w:pPr>
            <w:r w:rsidRPr="00AB0447">
              <w:rPr>
                <w:rFonts w:cs="Arial"/>
              </w:rPr>
              <w:t xml:space="preserve">any dispute, difference or question of interpretation arising out of or in connection with this Contract, including any dispute, difference or question of interpretation relating to the Services, failure to agree in accordance with the Change Control Procedure or any matter where this Contract directs the </w:t>
            </w:r>
            <w:r w:rsidRPr="00AB0447">
              <w:rPr>
                <w:rFonts w:cs="Arial"/>
              </w:rPr>
              <w:lastRenderedPageBreak/>
              <w:t>Parties to resolve an issue by reference to the Dispute Resolution Procedure;</w:t>
            </w:r>
          </w:p>
        </w:tc>
      </w:tr>
      <w:tr w:rsidR="00F67E9E" w:rsidRPr="00F55457" w14:paraId="606201A2" w14:textId="77777777" w:rsidTr="0052486C">
        <w:tc>
          <w:tcPr>
            <w:tcW w:w="2835" w:type="dxa"/>
          </w:tcPr>
          <w:p w14:paraId="318095E2" w14:textId="77777777" w:rsidR="00F67E9E" w:rsidRPr="00AB0447" w:rsidRDefault="00F67E9E" w:rsidP="0052486C">
            <w:pPr>
              <w:pStyle w:val="StdBodyTextBold"/>
              <w:rPr>
                <w:rFonts w:cs="Arial"/>
              </w:rPr>
            </w:pPr>
            <w:r>
              <w:rPr>
                <w:rFonts w:cs="Arial"/>
              </w:rPr>
              <w:lastRenderedPageBreak/>
              <w:t>“</w:t>
            </w:r>
            <w:r w:rsidRPr="00AB0447">
              <w:rPr>
                <w:rFonts w:cs="Arial"/>
              </w:rPr>
              <w:t>Dispute Notice</w:t>
            </w:r>
            <w:r>
              <w:rPr>
                <w:rFonts w:cs="Arial"/>
              </w:rPr>
              <w:t>”</w:t>
            </w:r>
          </w:p>
        </w:tc>
        <w:tc>
          <w:tcPr>
            <w:tcW w:w="6803" w:type="dxa"/>
          </w:tcPr>
          <w:p w14:paraId="2D02D2E9" w14:textId="77777777" w:rsidR="00F67E9E" w:rsidRPr="00AB0447" w:rsidRDefault="00F67E9E" w:rsidP="0052486C">
            <w:pPr>
              <w:pStyle w:val="StdBodyText"/>
              <w:rPr>
                <w:rFonts w:cs="Arial"/>
              </w:rPr>
            </w:pPr>
            <w:r w:rsidRPr="00AB0447">
              <w:rPr>
                <w:rFonts w:cs="Arial"/>
              </w:rPr>
              <w:t>a written notice served by one Party on the other stating that the Party serving the notice believes that there is a Dispute;</w:t>
            </w:r>
          </w:p>
        </w:tc>
      </w:tr>
      <w:tr w:rsidR="00F67E9E" w:rsidRPr="00F55457" w14:paraId="1DFE192F" w14:textId="77777777" w:rsidTr="0052486C">
        <w:tc>
          <w:tcPr>
            <w:tcW w:w="2835" w:type="dxa"/>
          </w:tcPr>
          <w:p w14:paraId="2AE582E6" w14:textId="77777777" w:rsidR="00F67E9E" w:rsidRPr="00AB0447" w:rsidRDefault="00F67E9E" w:rsidP="0052486C">
            <w:pPr>
              <w:pStyle w:val="StdBodyTextBold"/>
              <w:rPr>
                <w:rFonts w:cs="Arial"/>
              </w:rPr>
            </w:pPr>
            <w:r>
              <w:rPr>
                <w:rFonts w:cs="Arial"/>
              </w:rPr>
              <w:t>“</w:t>
            </w:r>
            <w:r w:rsidRPr="00AB0447">
              <w:rPr>
                <w:rFonts w:cs="Arial"/>
              </w:rPr>
              <w:t>Dispute Resolution Procedure</w:t>
            </w:r>
            <w:r>
              <w:rPr>
                <w:rFonts w:cs="Arial"/>
              </w:rPr>
              <w:t>”</w:t>
            </w:r>
          </w:p>
        </w:tc>
        <w:tc>
          <w:tcPr>
            <w:tcW w:w="6803" w:type="dxa"/>
          </w:tcPr>
          <w:p w14:paraId="41DB8806" w14:textId="2414D319" w:rsidR="00F67E9E" w:rsidRPr="00AB0447" w:rsidRDefault="00F67E9E" w:rsidP="0052486C">
            <w:pPr>
              <w:pStyle w:val="StdBodyText"/>
              <w:rPr>
                <w:rFonts w:cs="Arial"/>
              </w:rPr>
            </w:pPr>
            <w:r w:rsidRPr="00AB0447">
              <w:rPr>
                <w:rFonts w:cs="Arial"/>
              </w:rPr>
              <w:t xml:space="preserve">the dispute resolution procedure set out in </w:t>
            </w:r>
            <w:r>
              <w:rPr>
                <w:rFonts w:cs="Arial"/>
              </w:rPr>
              <w:fldChar w:fldCharType="begin"/>
            </w:r>
            <w:r>
              <w:rPr>
                <w:rFonts w:cs="Arial"/>
              </w:rPr>
              <w:instrText xml:space="preserve"> REF Schedule23 \h </w:instrText>
            </w:r>
            <w:r>
              <w:rPr>
                <w:rFonts w:cs="Arial"/>
              </w:rPr>
            </w:r>
            <w:r>
              <w:rPr>
                <w:rFonts w:cs="Arial"/>
              </w:rPr>
              <w:fldChar w:fldCharType="separate"/>
            </w:r>
            <w:r w:rsidR="007A1473" w:rsidRPr="005D0525">
              <w:t>Schedule</w:t>
            </w:r>
            <w:r w:rsidR="007A1473">
              <w:t> </w:t>
            </w:r>
            <w:r w:rsidR="007A1473" w:rsidRPr="005D0525">
              <w:t>23</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Schedule23Heading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Dispute Resolution Procedure</w:t>
            </w:r>
            <w:r w:rsidRPr="002F30DB">
              <w:rPr>
                <w:rFonts w:cs="Arial"/>
                <w:i/>
                <w:iCs/>
              </w:rPr>
              <w:fldChar w:fldCharType="end"/>
            </w:r>
            <w:r>
              <w:rPr>
                <w:rFonts w:cs="Arial"/>
              </w:rPr>
              <w:t>)</w:t>
            </w:r>
            <w:r w:rsidRPr="00AB0447">
              <w:rPr>
                <w:rFonts w:cs="Arial"/>
              </w:rPr>
              <w:t>;</w:t>
            </w:r>
          </w:p>
        </w:tc>
      </w:tr>
      <w:tr w:rsidR="00F67E9E" w:rsidRPr="00F55457" w14:paraId="7F83420A" w14:textId="77777777" w:rsidTr="0052486C">
        <w:tc>
          <w:tcPr>
            <w:tcW w:w="2835" w:type="dxa"/>
          </w:tcPr>
          <w:p w14:paraId="3818F318" w14:textId="77777777" w:rsidR="00F67E9E" w:rsidRPr="00AB0447" w:rsidRDefault="00F67E9E" w:rsidP="0052486C">
            <w:pPr>
              <w:pStyle w:val="StdBodyTextBold"/>
              <w:rPr>
                <w:rFonts w:cs="Arial"/>
              </w:rPr>
            </w:pPr>
            <w:r>
              <w:rPr>
                <w:rFonts w:cs="Arial"/>
              </w:rPr>
              <w:t>“</w:t>
            </w:r>
            <w:r w:rsidRPr="00AB0447">
              <w:rPr>
                <w:rFonts w:cs="Arial"/>
              </w:rPr>
              <w:t>Documentation</w:t>
            </w:r>
            <w:r>
              <w:rPr>
                <w:rFonts w:cs="Arial"/>
              </w:rPr>
              <w:t>”</w:t>
            </w:r>
          </w:p>
        </w:tc>
        <w:tc>
          <w:tcPr>
            <w:tcW w:w="6803" w:type="dxa"/>
          </w:tcPr>
          <w:p w14:paraId="3032C373" w14:textId="77777777" w:rsidR="00F67E9E" w:rsidRPr="00AB0447" w:rsidRDefault="00F67E9E" w:rsidP="0052486C">
            <w:pPr>
              <w:pStyle w:val="StdBodyText"/>
              <w:rPr>
                <w:rFonts w:cs="Arial"/>
              </w:rPr>
            </w:pPr>
            <w:r w:rsidRPr="00AB0447">
              <w:rPr>
                <w:rFonts w:cs="Arial"/>
              </w:rPr>
              <w:t>descriptions of the Services and Performance Indicators, details of the Supplier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2680E38D" w14:textId="77777777" w:rsidR="00F67E9E" w:rsidRPr="00AB0447" w:rsidRDefault="00F67E9E" w:rsidP="00F13933">
            <w:pPr>
              <w:pStyle w:val="DefinitionList"/>
              <w:numPr>
                <w:ilvl w:val="0"/>
                <w:numId w:val="149"/>
              </w:numPr>
            </w:pPr>
            <w:r w:rsidRPr="00AB0447">
              <w:t>is required to be supplied by the Supplier to the Authority under this Contract;</w:t>
            </w:r>
          </w:p>
          <w:p w14:paraId="39A66AB8" w14:textId="77777777" w:rsidR="00F67E9E" w:rsidRPr="00AB0447" w:rsidRDefault="00F67E9E" w:rsidP="00F13933">
            <w:pPr>
              <w:pStyle w:val="DefinitionList"/>
              <w:numPr>
                <w:ilvl w:val="0"/>
                <w:numId w:val="78"/>
              </w:numPr>
              <w:rPr>
                <w:rFonts w:cs="Arial"/>
              </w:rPr>
            </w:pPr>
            <w:r w:rsidRPr="00AB0447">
              <w:rPr>
                <w:rFonts w:cs="Arial"/>
              </w:rPr>
              <w:t>would reasonably be required by a competent third party capable of Good Industry Practice contracted by the Authority to develop, configure, build, deploy, run, maintain, upgrade and test the individual systems that provide Services;</w:t>
            </w:r>
          </w:p>
          <w:p w14:paraId="4058EE29" w14:textId="77777777" w:rsidR="00F67E9E" w:rsidRPr="00AB0447" w:rsidRDefault="00F67E9E" w:rsidP="00F13933">
            <w:pPr>
              <w:pStyle w:val="DefinitionList"/>
              <w:numPr>
                <w:ilvl w:val="0"/>
                <w:numId w:val="78"/>
              </w:numPr>
              <w:rPr>
                <w:rFonts w:cs="Arial"/>
              </w:rPr>
            </w:pPr>
            <w:r w:rsidRPr="00AB0447">
              <w:rPr>
                <w:rFonts w:cs="Arial"/>
              </w:rPr>
              <w:t>is required by the Supplier in order to provide the Services; and/or</w:t>
            </w:r>
          </w:p>
          <w:p w14:paraId="2EB56227" w14:textId="77777777" w:rsidR="00F67E9E" w:rsidRPr="00AB0447" w:rsidRDefault="00F67E9E" w:rsidP="00F13933">
            <w:pPr>
              <w:pStyle w:val="DefinitionList"/>
              <w:numPr>
                <w:ilvl w:val="0"/>
                <w:numId w:val="78"/>
              </w:numPr>
              <w:rPr>
                <w:rFonts w:cs="Arial"/>
              </w:rPr>
            </w:pPr>
            <w:r w:rsidRPr="00AB0447">
              <w:rPr>
                <w:rFonts w:cs="Arial"/>
              </w:rPr>
              <w:t>has been or shall be generated for the purpose of providing the Services;</w:t>
            </w:r>
          </w:p>
        </w:tc>
      </w:tr>
      <w:tr w:rsidR="00F67E9E" w:rsidRPr="00F55457" w14:paraId="6E227C8A" w14:textId="77777777" w:rsidTr="0052486C">
        <w:tc>
          <w:tcPr>
            <w:tcW w:w="2835" w:type="dxa"/>
          </w:tcPr>
          <w:p w14:paraId="69896B99" w14:textId="77777777" w:rsidR="00F67E9E" w:rsidRPr="00AB0447" w:rsidRDefault="00F67E9E" w:rsidP="0052486C">
            <w:pPr>
              <w:pStyle w:val="StdBodyTextBold"/>
              <w:rPr>
                <w:rFonts w:cs="Arial"/>
              </w:rPr>
            </w:pPr>
            <w:r>
              <w:rPr>
                <w:rFonts w:cs="Arial"/>
              </w:rPr>
              <w:t>“</w:t>
            </w:r>
            <w:r w:rsidRPr="00AB0447">
              <w:rPr>
                <w:rFonts w:cs="Arial"/>
              </w:rPr>
              <w:t>DOTAS</w:t>
            </w:r>
            <w:r>
              <w:rPr>
                <w:rFonts w:cs="Arial"/>
              </w:rPr>
              <w:t>”</w:t>
            </w:r>
          </w:p>
        </w:tc>
        <w:tc>
          <w:tcPr>
            <w:tcW w:w="6803" w:type="dxa"/>
          </w:tcPr>
          <w:p w14:paraId="57F1B10F" w14:textId="77777777" w:rsidR="00F67E9E" w:rsidRPr="00AB0447" w:rsidRDefault="00F67E9E" w:rsidP="0052486C">
            <w:pPr>
              <w:pStyle w:val="StdBodyText"/>
              <w:rPr>
                <w:rFonts w:cs="Arial"/>
              </w:rPr>
            </w:pPr>
            <w:r w:rsidRPr="00AB0447">
              <w:rPr>
                <w:rFonts w:cs="Arial"/>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w:t>
            </w:r>
            <w:bookmarkStart w:id="42" w:name="_9kR3WTr277DJFaEn7O7tz2oNM1uvyqPI8ZUTY"/>
            <w:r w:rsidRPr="00AB0447">
              <w:rPr>
                <w:rFonts w:cs="Arial"/>
              </w:rPr>
              <w:t>Part 7 of the Finance Act 2004</w:t>
            </w:r>
            <w:bookmarkEnd w:id="42"/>
            <w:r w:rsidRPr="00AB0447">
              <w:rPr>
                <w:rFonts w:cs="Arial"/>
              </w:rPr>
              <w:t xml:space="preserve"> and in secondary legislation made under vires contained in </w:t>
            </w:r>
            <w:bookmarkStart w:id="43" w:name="_9kMHG5YVt499FLHcGp9Q9v14qPO3wx0sRKAbWVa"/>
            <w:r w:rsidRPr="00AB0447">
              <w:rPr>
                <w:rFonts w:cs="Arial"/>
              </w:rPr>
              <w:t>Part 7 of the Finance Act 2004</w:t>
            </w:r>
            <w:bookmarkEnd w:id="43"/>
            <w:r w:rsidRPr="00AB0447">
              <w:rPr>
                <w:rFonts w:cs="Arial"/>
              </w:rPr>
              <w:t xml:space="preserve"> and as extended to national insurance contributions by the </w:t>
            </w:r>
            <w:bookmarkStart w:id="44" w:name="_9kR3WTr277DJKdCpyu0nmVS9HHyvyqRWEKPF0DW"/>
            <w:r w:rsidRPr="00AB0447">
              <w:rPr>
                <w:rFonts w:cs="Arial"/>
              </w:rPr>
              <w:t>National Insurance Contributions (Application of Part 7 of the Finance Act 2004) Regulations 2012, SI 2012/1868</w:t>
            </w:r>
            <w:bookmarkEnd w:id="44"/>
            <w:r w:rsidRPr="00AB0447">
              <w:rPr>
                <w:rFonts w:cs="Arial"/>
              </w:rPr>
              <w:t xml:space="preserve">) made under </w:t>
            </w:r>
            <w:bookmarkStart w:id="45" w:name="_9kR3WTr277DGH8rcszv1FJLTNz58ugl2xw0thyF"/>
            <w:r w:rsidRPr="00AB0447">
              <w:rPr>
                <w:rFonts w:cs="Arial"/>
              </w:rPr>
              <w:t>section 132A of the Social Security Administration Act 1992</w:t>
            </w:r>
            <w:bookmarkEnd w:id="45"/>
            <w:r w:rsidRPr="00AB0447">
              <w:rPr>
                <w:rFonts w:cs="Arial"/>
              </w:rPr>
              <w:t>;</w:t>
            </w:r>
          </w:p>
        </w:tc>
      </w:tr>
      <w:tr w:rsidR="00F67E9E" w:rsidRPr="00F55457" w14:paraId="774CF722" w14:textId="77777777" w:rsidTr="0052486C">
        <w:tc>
          <w:tcPr>
            <w:tcW w:w="2835" w:type="dxa"/>
          </w:tcPr>
          <w:p w14:paraId="3C10B025" w14:textId="77777777" w:rsidR="00F67E9E" w:rsidRPr="00AB0447" w:rsidRDefault="00F67E9E" w:rsidP="0052486C">
            <w:pPr>
              <w:pStyle w:val="StdBodyTextBold"/>
              <w:rPr>
                <w:rFonts w:cs="Arial"/>
              </w:rPr>
            </w:pPr>
            <w:r>
              <w:rPr>
                <w:rFonts w:cs="Arial"/>
              </w:rPr>
              <w:t>“</w:t>
            </w:r>
            <w:r w:rsidRPr="00AB0447">
              <w:rPr>
                <w:rFonts w:cs="Arial"/>
              </w:rPr>
              <w:t>DPA 2018</w:t>
            </w:r>
            <w:r>
              <w:rPr>
                <w:rFonts w:cs="Arial"/>
              </w:rPr>
              <w:t>”</w:t>
            </w:r>
          </w:p>
        </w:tc>
        <w:tc>
          <w:tcPr>
            <w:tcW w:w="6803" w:type="dxa"/>
          </w:tcPr>
          <w:p w14:paraId="67425893" w14:textId="77777777" w:rsidR="00F67E9E" w:rsidRPr="00AB0447" w:rsidRDefault="00F67E9E" w:rsidP="0052486C">
            <w:pPr>
              <w:pStyle w:val="StdBodyText"/>
              <w:rPr>
                <w:rFonts w:cs="Arial"/>
              </w:rPr>
            </w:pPr>
            <w:r w:rsidRPr="00AB0447">
              <w:rPr>
                <w:rFonts w:cs="Arial"/>
              </w:rPr>
              <w:t xml:space="preserve">the </w:t>
            </w:r>
            <w:bookmarkStart w:id="46" w:name="_9kR3WTr277DLLS2pqNZ58zjz628VF5WRRa"/>
            <w:r w:rsidRPr="00AB0447">
              <w:rPr>
                <w:rFonts w:cs="Arial"/>
              </w:rPr>
              <w:t>Data Protection Act 2018</w:t>
            </w:r>
            <w:bookmarkEnd w:id="46"/>
            <w:r w:rsidRPr="00AB0447">
              <w:rPr>
                <w:rFonts w:cs="Arial"/>
              </w:rPr>
              <w:t>;</w:t>
            </w:r>
          </w:p>
        </w:tc>
      </w:tr>
      <w:tr w:rsidR="00F67E9E" w:rsidRPr="00F55457" w14:paraId="4E73CA96" w14:textId="77777777" w:rsidTr="0052486C">
        <w:tc>
          <w:tcPr>
            <w:tcW w:w="2835" w:type="dxa"/>
          </w:tcPr>
          <w:p w14:paraId="5EB1DD98" w14:textId="77777777" w:rsidR="00F67E9E" w:rsidRPr="00AB0447" w:rsidRDefault="00F67E9E" w:rsidP="0052486C">
            <w:pPr>
              <w:pStyle w:val="StdBodyTextBold"/>
              <w:rPr>
                <w:rFonts w:cs="Arial"/>
              </w:rPr>
            </w:pPr>
            <w:r>
              <w:rPr>
                <w:rFonts w:cs="Arial"/>
              </w:rPr>
              <w:lastRenderedPageBreak/>
              <w:t>“</w:t>
            </w:r>
            <w:r w:rsidRPr="00AB0447">
              <w:rPr>
                <w:rFonts w:cs="Arial"/>
              </w:rPr>
              <w:t>Due Diligence Information</w:t>
            </w:r>
            <w:r>
              <w:rPr>
                <w:rFonts w:cs="Arial"/>
              </w:rPr>
              <w:t>”</w:t>
            </w:r>
          </w:p>
        </w:tc>
        <w:tc>
          <w:tcPr>
            <w:tcW w:w="6803" w:type="dxa"/>
          </w:tcPr>
          <w:p w14:paraId="688EEF00" w14:textId="77777777" w:rsidR="00F67E9E" w:rsidRPr="00AB0447" w:rsidRDefault="00F67E9E" w:rsidP="0052486C">
            <w:pPr>
              <w:pStyle w:val="StdBodyText"/>
              <w:rPr>
                <w:rFonts w:cs="Arial"/>
              </w:rPr>
            </w:pPr>
            <w:r w:rsidRPr="00AB0447">
              <w:rPr>
                <w:rFonts w:cs="Arial"/>
              </w:rPr>
              <w:t>any information supplied to the Supplier by or on behalf of the Authority prior to the Effective Date;</w:t>
            </w:r>
          </w:p>
        </w:tc>
      </w:tr>
      <w:tr w:rsidR="00F67E9E" w:rsidRPr="00F55457" w14:paraId="6404F44C" w14:textId="77777777" w:rsidTr="0052486C">
        <w:tc>
          <w:tcPr>
            <w:tcW w:w="2835" w:type="dxa"/>
          </w:tcPr>
          <w:p w14:paraId="4B2FB26F" w14:textId="77777777" w:rsidR="00F67E9E" w:rsidRPr="00AB0447" w:rsidRDefault="00F67E9E" w:rsidP="0052486C">
            <w:pPr>
              <w:pStyle w:val="StdBodyTextBold"/>
              <w:rPr>
                <w:rFonts w:cs="Arial"/>
              </w:rPr>
            </w:pPr>
            <w:r>
              <w:rPr>
                <w:rFonts w:cs="Arial"/>
              </w:rPr>
              <w:t>“</w:t>
            </w:r>
            <w:r w:rsidRPr="00AB0447">
              <w:rPr>
                <w:rFonts w:cs="Arial"/>
              </w:rPr>
              <w:t>EEA</w:t>
            </w:r>
            <w:r>
              <w:rPr>
                <w:rFonts w:cs="Arial"/>
              </w:rPr>
              <w:t>”</w:t>
            </w:r>
          </w:p>
        </w:tc>
        <w:tc>
          <w:tcPr>
            <w:tcW w:w="6803" w:type="dxa"/>
          </w:tcPr>
          <w:p w14:paraId="7FDD3346" w14:textId="77777777" w:rsidR="00F67E9E" w:rsidRPr="00AB0447" w:rsidRDefault="00F67E9E" w:rsidP="0052486C">
            <w:pPr>
              <w:pStyle w:val="StdBodyText"/>
              <w:rPr>
                <w:rFonts w:cs="Arial"/>
              </w:rPr>
            </w:pPr>
            <w:r w:rsidRPr="00AB0447">
              <w:rPr>
                <w:rFonts w:cs="Arial"/>
              </w:rPr>
              <w:t>European Economic Area</w:t>
            </w:r>
          </w:p>
        </w:tc>
      </w:tr>
      <w:tr w:rsidR="00F67E9E" w:rsidRPr="00F55457" w14:paraId="4D1014BF" w14:textId="77777777" w:rsidTr="0052486C">
        <w:tc>
          <w:tcPr>
            <w:tcW w:w="2835" w:type="dxa"/>
          </w:tcPr>
          <w:p w14:paraId="2D1CE8CB" w14:textId="77777777" w:rsidR="00F67E9E" w:rsidRPr="00AB0447" w:rsidRDefault="00F67E9E" w:rsidP="0052486C">
            <w:pPr>
              <w:pStyle w:val="StdBodyTextBold"/>
              <w:rPr>
                <w:rFonts w:cs="Arial"/>
              </w:rPr>
            </w:pPr>
            <w:r>
              <w:rPr>
                <w:rFonts w:cs="Arial"/>
              </w:rPr>
              <w:t>“</w:t>
            </w:r>
            <w:r w:rsidRPr="00AB0447">
              <w:rPr>
                <w:rFonts w:cs="Arial"/>
              </w:rPr>
              <w:t>Effective Date</w:t>
            </w:r>
            <w:r>
              <w:rPr>
                <w:rFonts w:cs="Arial"/>
              </w:rPr>
              <w:t>”</w:t>
            </w:r>
          </w:p>
        </w:tc>
        <w:tc>
          <w:tcPr>
            <w:tcW w:w="6803" w:type="dxa"/>
          </w:tcPr>
          <w:p w14:paraId="3EB50074" w14:textId="257952D3" w:rsidR="00F67E9E" w:rsidRPr="003B4751" w:rsidRDefault="00F67E9E" w:rsidP="003B4751">
            <w:pPr>
              <w:pStyle w:val="StdBodyText"/>
              <w:rPr>
                <w:rFonts w:cs="Arial"/>
              </w:rPr>
            </w:pPr>
            <w:r w:rsidRPr="00AB0447">
              <w:rPr>
                <w:rFonts w:cs="Arial"/>
              </w:rPr>
              <w:t xml:space="preserve">the </w:t>
            </w:r>
            <w:r w:rsidRPr="00AB0447">
              <w:t xml:space="preserve">date on which this Contract is signed by both Parties; </w:t>
            </w:r>
          </w:p>
          <w:p w14:paraId="40DF2EB8" w14:textId="221B8419" w:rsidR="00F67E9E" w:rsidRPr="00AB0447" w:rsidRDefault="00F67E9E" w:rsidP="003B4751">
            <w:pPr>
              <w:pStyle w:val="DefinitionList"/>
              <w:numPr>
                <w:ilvl w:val="0"/>
                <w:numId w:val="0"/>
              </w:numPr>
              <w:ind w:left="720"/>
              <w:rPr>
                <w:rFonts w:cs="Arial"/>
              </w:rPr>
            </w:pPr>
          </w:p>
        </w:tc>
      </w:tr>
      <w:tr w:rsidR="00F67E9E" w:rsidRPr="00F55457" w14:paraId="57615B61" w14:textId="77777777" w:rsidTr="0052486C">
        <w:tc>
          <w:tcPr>
            <w:tcW w:w="2835" w:type="dxa"/>
          </w:tcPr>
          <w:p w14:paraId="7CF8BD4C" w14:textId="77777777" w:rsidR="00F67E9E" w:rsidRPr="00AB0447" w:rsidRDefault="00F67E9E" w:rsidP="0052486C">
            <w:pPr>
              <w:pStyle w:val="StdBodyTextBold"/>
              <w:rPr>
                <w:rFonts w:cs="Arial"/>
              </w:rPr>
            </w:pPr>
            <w:r>
              <w:rPr>
                <w:rFonts w:cs="Arial"/>
              </w:rPr>
              <w:t>“</w:t>
            </w:r>
            <w:r w:rsidRPr="00AB0447">
              <w:rPr>
                <w:rFonts w:cs="Arial"/>
              </w:rPr>
              <w:t>EIRs</w:t>
            </w:r>
            <w:r>
              <w:rPr>
                <w:rFonts w:cs="Arial"/>
              </w:rPr>
              <w:t>”</w:t>
            </w:r>
          </w:p>
        </w:tc>
        <w:tc>
          <w:tcPr>
            <w:tcW w:w="6803" w:type="dxa"/>
          </w:tcPr>
          <w:p w14:paraId="6D830B9C" w14:textId="77777777" w:rsidR="00F67E9E" w:rsidRPr="00AB0447" w:rsidRDefault="00F67E9E" w:rsidP="0052486C">
            <w:pPr>
              <w:pStyle w:val="StdBodyText"/>
              <w:rPr>
                <w:rFonts w:cs="Arial"/>
              </w:rPr>
            </w:pPr>
            <w:r w:rsidRPr="00AB0447">
              <w:rPr>
                <w:rFonts w:cs="Arial"/>
              </w:rPr>
              <w:t xml:space="preserve">the </w:t>
            </w:r>
            <w:bookmarkStart w:id="47" w:name="_9kR3WTr277DLJRG40x410suAyraX13GFz7GCIwi"/>
            <w:r w:rsidRPr="00AB0447">
              <w:rPr>
                <w:rFonts w:cs="Arial"/>
              </w:rPr>
              <w:t>Environmental Information Regulations 2004</w:t>
            </w:r>
            <w:bookmarkEnd w:id="47"/>
            <w:r w:rsidRPr="00AB0447">
              <w:rPr>
                <w:rFonts w:cs="Arial"/>
              </w:rPr>
              <w:t xml:space="preserve">, together with any guidance and/or codes of practice issued by the Information Commissioner or any </w:t>
            </w:r>
            <w:r>
              <w:rPr>
                <w:rFonts w:cs="Arial"/>
              </w:rPr>
              <w:t>Crown</w:t>
            </w:r>
            <w:r w:rsidRPr="00AB0447">
              <w:rPr>
                <w:rFonts w:cs="Arial"/>
              </w:rPr>
              <w:t xml:space="preserve"> Body in relation to such Regulations;</w:t>
            </w:r>
          </w:p>
        </w:tc>
      </w:tr>
      <w:tr w:rsidR="00F67E9E" w:rsidRPr="00F55457" w14:paraId="5DD3605C" w14:textId="77777777" w:rsidTr="0052486C">
        <w:tc>
          <w:tcPr>
            <w:tcW w:w="2835" w:type="dxa"/>
          </w:tcPr>
          <w:p w14:paraId="4CFB6DE1" w14:textId="77777777" w:rsidR="00F67E9E" w:rsidRPr="00AB0447" w:rsidRDefault="00F67E9E" w:rsidP="0052486C">
            <w:pPr>
              <w:pStyle w:val="StdBodyTextBold"/>
              <w:rPr>
                <w:rFonts w:cs="Arial"/>
              </w:rPr>
            </w:pPr>
            <w:r>
              <w:rPr>
                <w:rFonts w:cs="Arial"/>
              </w:rPr>
              <w:t>“</w:t>
            </w:r>
            <w:r w:rsidRPr="00AB0447">
              <w:rPr>
                <w:rFonts w:cs="Arial"/>
              </w:rPr>
              <w:t xml:space="preserve">Emergency </w:t>
            </w:r>
            <w:bookmarkStart w:id="48" w:name="_9kMON5YVt499FMJaDgu6ytqrum"/>
            <w:r w:rsidRPr="00AB0447">
              <w:rPr>
                <w:rFonts w:cs="Arial"/>
              </w:rPr>
              <w:t>Maintenance</w:t>
            </w:r>
            <w:bookmarkEnd w:id="48"/>
            <w:r>
              <w:rPr>
                <w:rFonts w:cs="Arial"/>
              </w:rPr>
              <w:t>”</w:t>
            </w:r>
          </w:p>
        </w:tc>
        <w:tc>
          <w:tcPr>
            <w:tcW w:w="6803" w:type="dxa"/>
          </w:tcPr>
          <w:p w14:paraId="64B3422E" w14:textId="77777777" w:rsidR="00F67E9E" w:rsidRPr="00AB0447" w:rsidRDefault="00F67E9E" w:rsidP="0052486C">
            <w:pPr>
              <w:pStyle w:val="StdBodyText"/>
              <w:rPr>
                <w:rFonts w:cs="Arial"/>
              </w:rPr>
            </w:pPr>
            <w:r w:rsidRPr="00AB0447">
              <w:rPr>
                <w:rFonts w:cs="Arial"/>
              </w:rPr>
              <w:t xml:space="preserve">ad hoc and unplanned </w:t>
            </w:r>
            <w:bookmarkStart w:id="49" w:name="_9kMPO5YVt499FMK1jgu6ytqrum"/>
            <w:r w:rsidRPr="00AB0447">
              <w:rPr>
                <w:rFonts w:cs="Arial"/>
              </w:rPr>
              <w:t>maintenance</w:t>
            </w:r>
            <w:bookmarkEnd w:id="49"/>
            <w:r w:rsidRPr="00AB0447">
              <w:rPr>
                <w:rFonts w:cs="Arial"/>
              </w:rPr>
              <w:t xml:space="preserve"> provided by the Supplier where:</w:t>
            </w:r>
          </w:p>
          <w:p w14:paraId="4BFEB8B3" w14:textId="77777777" w:rsidR="00F67E9E" w:rsidRPr="00AB0447" w:rsidRDefault="00F67E9E" w:rsidP="00F13933">
            <w:pPr>
              <w:pStyle w:val="DefinitionList"/>
              <w:numPr>
                <w:ilvl w:val="0"/>
                <w:numId w:val="151"/>
              </w:numPr>
            </w:pPr>
            <w:r w:rsidRPr="00AB0447">
              <w:t xml:space="preserve">the Authority reasonably suspects that the IT Environment or the Services, or any part of the IT Environment or the Services, has or may have developed a fault, and notifies the Supplier of the same; or </w:t>
            </w:r>
          </w:p>
          <w:p w14:paraId="06008AA4" w14:textId="77777777" w:rsidR="00F67E9E" w:rsidRPr="00AB0447" w:rsidRDefault="00F67E9E" w:rsidP="00F13933">
            <w:pPr>
              <w:pStyle w:val="DefinitionList"/>
              <w:numPr>
                <w:ilvl w:val="0"/>
                <w:numId w:val="78"/>
              </w:numPr>
              <w:rPr>
                <w:rFonts w:cs="Arial"/>
              </w:rPr>
            </w:pPr>
            <w:r w:rsidRPr="00AB0447">
              <w:rPr>
                <w:rFonts w:cs="Arial"/>
              </w:rPr>
              <w:t>the Supplier reasonably suspects that the IT Environment or the Services, or any part the IT Environment or the Services, has or may have developed a fault;</w:t>
            </w:r>
          </w:p>
        </w:tc>
      </w:tr>
      <w:tr w:rsidR="00F67E9E" w:rsidRPr="00F55457" w14:paraId="241D5705" w14:textId="77777777" w:rsidTr="0052486C">
        <w:tc>
          <w:tcPr>
            <w:tcW w:w="2835" w:type="dxa"/>
          </w:tcPr>
          <w:p w14:paraId="11249EC3" w14:textId="77777777" w:rsidR="00F67E9E" w:rsidRPr="00AB0447" w:rsidRDefault="00F67E9E" w:rsidP="0052486C">
            <w:pPr>
              <w:pStyle w:val="StdBodyTextBold"/>
              <w:rPr>
                <w:rFonts w:cs="Arial"/>
              </w:rPr>
            </w:pPr>
            <w:r>
              <w:rPr>
                <w:rFonts w:cs="Arial"/>
              </w:rPr>
              <w:t>“</w:t>
            </w:r>
            <w:r w:rsidRPr="00AB0447">
              <w:rPr>
                <w:rFonts w:cs="Arial"/>
              </w:rPr>
              <w:t>Employee Liabilities</w:t>
            </w:r>
            <w:r>
              <w:rPr>
                <w:rFonts w:cs="Arial"/>
              </w:rPr>
              <w:t>”</w:t>
            </w:r>
          </w:p>
        </w:tc>
        <w:tc>
          <w:tcPr>
            <w:tcW w:w="6803" w:type="dxa"/>
          </w:tcPr>
          <w:p w14:paraId="44EB638D" w14:textId="77777777" w:rsidR="00F67E9E" w:rsidRPr="00AB0447" w:rsidRDefault="00F67E9E" w:rsidP="0052486C">
            <w:pPr>
              <w:pStyle w:val="StdBodyText"/>
              <w:rPr>
                <w:rFonts w:cs="Arial"/>
              </w:rPr>
            </w:pPr>
            <w:r w:rsidRPr="00AB0447">
              <w:rPr>
                <w:rFonts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1556E15B" w14:textId="77777777" w:rsidR="00F67E9E" w:rsidRPr="00AB0447" w:rsidRDefault="00F67E9E" w:rsidP="00F13933">
            <w:pPr>
              <w:pStyle w:val="DefinitionList"/>
              <w:numPr>
                <w:ilvl w:val="0"/>
                <w:numId w:val="152"/>
              </w:numPr>
            </w:pPr>
            <w:r w:rsidRPr="00200CC3">
              <w:t>redundancy</w:t>
            </w:r>
            <w:r w:rsidRPr="00AB0447">
              <w:t xml:space="preserve"> payments including contractual or enhanced redundancy costs, termination costs and notice payments; </w:t>
            </w:r>
          </w:p>
          <w:p w14:paraId="41101E53" w14:textId="77777777" w:rsidR="00F67E9E" w:rsidRPr="00AB0447" w:rsidRDefault="00F67E9E" w:rsidP="00F13933">
            <w:pPr>
              <w:pStyle w:val="DefinitionList"/>
              <w:numPr>
                <w:ilvl w:val="0"/>
                <w:numId w:val="78"/>
              </w:numPr>
              <w:rPr>
                <w:rFonts w:cs="Arial"/>
              </w:rPr>
            </w:pPr>
            <w:r w:rsidRPr="00AB0447">
              <w:rPr>
                <w:rFonts w:cs="Arial"/>
              </w:rPr>
              <w:t>unfair, wrongful or constructive dismissal compensation;</w:t>
            </w:r>
          </w:p>
          <w:p w14:paraId="22682DD2" w14:textId="77777777" w:rsidR="00F67E9E" w:rsidRPr="00AB0447" w:rsidRDefault="00F67E9E" w:rsidP="00F13933">
            <w:pPr>
              <w:pStyle w:val="DefinitionList"/>
              <w:numPr>
                <w:ilvl w:val="0"/>
                <w:numId w:val="78"/>
              </w:numPr>
              <w:rPr>
                <w:rFonts w:cs="Arial"/>
              </w:rPr>
            </w:pPr>
            <w:r w:rsidRPr="00AB0447">
              <w:rPr>
                <w:rFonts w:cs="Arial"/>
              </w:rPr>
              <w:t>compensation fo</w:t>
            </w:r>
            <w:bookmarkStart w:id="50" w:name="_9kR3WTr5DA48Cyo"/>
            <w:bookmarkEnd w:id="50"/>
            <w:r w:rsidRPr="00AB0447">
              <w:rPr>
                <w:rFonts w:cs="Arial"/>
              </w:rPr>
              <w:t>r discrimination on grounds of sex, race, disability, age, religion or belief, gender reassignment, marriage or civil partne</w:t>
            </w:r>
            <w:bookmarkStart w:id="51" w:name="_9kR3WTr5DA48Dxhput3v2J"/>
            <w:bookmarkEnd w:id="51"/>
            <w:r w:rsidRPr="00AB0447">
              <w:rPr>
                <w:rFonts w:cs="Arial"/>
              </w:rPr>
              <w:t xml:space="preserve">rship, pregnancy and maternity or sexual orientation or claims for equal pay; </w:t>
            </w:r>
          </w:p>
          <w:p w14:paraId="11B298B3" w14:textId="77777777" w:rsidR="00F67E9E" w:rsidRPr="00AB0447" w:rsidRDefault="00F67E9E" w:rsidP="00F13933">
            <w:pPr>
              <w:pStyle w:val="DefinitionList"/>
              <w:numPr>
                <w:ilvl w:val="0"/>
                <w:numId w:val="78"/>
              </w:numPr>
              <w:rPr>
                <w:rFonts w:cs="Arial"/>
              </w:rPr>
            </w:pPr>
            <w:r w:rsidRPr="00AB0447">
              <w:rPr>
                <w:rFonts w:cs="Arial"/>
              </w:rPr>
              <w:t>compensation for less favourable treatment of part-time workers or fixed term employees;</w:t>
            </w:r>
          </w:p>
          <w:p w14:paraId="0B98C27A" w14:textId="77777777" w:rsidR="00F67E9E" w:rsidRPr="00AB0447" w:rsidRDefault="00F67E9E" w:rsidP="00F13933">
            <w:pPr>
              <w:pStyle w:val="DefinitionList"/>
              <w:numPr>
                <w:ilvl w:val="0"/>
                <w:numId w:val="78"/>
              </w:numPr>
              <w:rPr>
                <w:rFonts w:cs="Arial"/>
              </w:rPr>
            </w:pPr>
            <w:r w:rsidRPr="00AB0447">
              <w:rPr>
                <w:rFonts w:cs="Arial"/>
              </w:rPr>
              <w:lastRenderedPageBreak/>
              <w:t>outstanding employment debts and unlawful deduction of wages including any PAYE and national insurance contributions;</w:t>
            </w:r>
          </w:p>
          <w:p w14:paraId="7E6985AD" w14:textId="77777777" w:rsidR="00F67E9E" w:rsidRPr="00AB0447" w:rsidRDefault="00F67E9E" w:rsidP="00F13933">
            <w:pPr>
              <w:pStyle w:val="DefinitionList"/>
              <w:numPr>
                <w:ilvl w:val="0"/>
                <w:numId w:val="78"/>
              </w:numPr>
              <w:rPr>
                <w:rFonts w:cs="Arial"/>
              </w:rPr>
            </w:pPr>
            <w:r w:rsidRPr="00AB0447">
              <w:rPr>
                <w:rFonts w:cs="Arial"/>
              </w:rPr>
              <w:t>employment claims whether in tort, contract or statute or otherwise;</w:t>
            </w:r>
          </w:p>
          <w:p w14:paraId="313A495E" w14:textId="77777777" w:rsidR="00F67E9E" w:rsidRPr="00AB0447" w:rsidRDefault="00F67E9E" w:rsidP="00F13933">
            <w:pPr>
              <w:pStyle w:val="DefinitionList"/>
              <w:numPr>
                <w:ilvl w:val="0"/>
                <w:numId w:val="78"/>
              </w:numPr>
              <w:rPr>
                <w:rFonts w:cs="Arial"/>
              </w:rPr>
            </w:pPr>
            <w:r w:rsidRPr="00AB0447">
              <w:rPr>
                <w:rFonts w:cs="Arial"/>
              </w:rPr>
              <w:t>any investigation relating to employment matters by the Equality and Human Rights Commission or other enforcement, regulatory or supervisory body and of implementing any requirements which may arise from such investigation;</w:t>
            </w:r>
          </w:p>
        </w:tc>
      </w:tr>
      <w:tr w:rsidR="00F67E9E" w:rsidRPr="00F55457" w14:paraId="2F6FDB70" w14:textId="77777777" w:rsidTr="0052486C">
        <w:tc>
          <w:tcPr>
            <w:tcW w:w="2835" w:type="dxa"/>
          </w:tcPr>
          <w:p w14:paraId="14A01351" w14:textId="77777777" w:rsidR="00F67E9E" w:rsidRPr="00AB0447" w:rsidRDefault="00F67E9E" w:rsidP="0052486C">
            <w:pPr>
              <w:pStyle w:val="StdBodyTextBold"/>
              <w:rPr>
                <w:rFonts w:cs="Arial"/>
              </w:rPr>
            </w:pPr>
            <w:r>
              <w:rPr>
                <w:rFonts w:cs="Arial"/>
              </w:rPr>
              <w:lastRenderedPageBreak/>
              <w:t>“</w:t>
            </w:r>
            <w:r w:rsidRPr="00AB0447">
              <w:rPr>
                <w:rFonts w:cs="Arial"/>
              </w:rPr>
              <w:t>Employment Regulations</w:t>
            </w:r>
            <w:r>
              <w:rPr>
                <w:rFonts w:cs="Arial"/>
              </w:rPr>
              <w:t>”</w:t>
            </w:r>
          </w:p>
        </w:tc>
        <w:tc>
          <w:tcPr>
            <w:tcW w:w="6803" w:type="dxa"/>
          </w:tcPr>
          <w:p w14:paraId="5C11BC40" w14:textId="77777777" w:rsidR="00F67E9E" w:rsidRPr="00AB0447" w:rsidRDefault="00F67E9E" w:rsidP="0052486C">
            <w:pPr>
              <w:pStyle w:val="StdBodyText"/>
              <w:rPr>
                <w:rFonts w:cs="Arial"/>
              </w:rPr>
            </w:pPr>
            <w:r w:rsidRPr="00AB0447">
              <w:rPr>
                <w:rFonts w:cs="Arial"/>
              </w:rPr>
              <w:t xml:space="preserve">the </w:t>
            </w:r>
            <w:bookmarkStart w:id="52" w:name="_9kR3WTr277CKMjZnk3wjw7wdgwo3J3v487DxrNQ"/>
            <w:r w:rsidRPr="00AB0447">
              <w:rPr>
                <w:rFonts w:cs="Arial"/>
              </w:rPr>
              <w:t>Transfer of Undertakings (Protection of Employment) Regulations 2006</w:t>
            </w:r>
            <w:bookmarkEnd w:id="52"/>
            <w:r w:rsidRPr="00AB0447">
              <w:rPr>
                <w:rFonts w:cs="Arial"/>
              </w:rPr>
              <w:t xml:space="preserve"> (SI 2006/246) as amended or replaced;</w:t>
            </w:r>
          </w:p>
        </w:tc>
      </w:tr>
      <w:tr w:rsidR="00F67E9E" w:rsidRPr="00F55457" w14:paraId="34C5C752" w14:textId="77777777" w:rsidTr="0052486C">
        <w:tc>
          <w:tcPr>
            <w:tcW w:w="2835" w:type="dxa"/>
          </w:tcPr>
          <w:p w14:paraId="714218A6" w14:textId="77777777" w:rsidR="00F67E9E" w:rsidRPr="00AB0447" w:rsidRDefault="00F67E9E" w:rsidP="0052486C">
            <w:pPr>
              <w:pStyle w:val="StdBodyTextBold"/>
              <w:rPr>
                <w:rFonts w:cs="Arial"/>
              </w:rPr>
            </w:pPr>
            <w:r>
              <w:rPr>
                <w:rFonts w:cs="Arial"/>
              </w:rPr>
              <w:t>“</w:t>
            </w:r>
            <w:r w:rsidRPr="00AB0447">
              <w:rPr>
                <w:rFonts w:cs="Arial"/>
              </w:rPr>
              <w:t>Estimated Year 1 Charges</w:t>
            </w:r>
            <w:r>
              <w:rPr>
                <w:rFonts w:cs="Arial"/>
              </w:rPr>
              <w:t>”</w:t>
            </w:r>
          </w:p>
        </w:tc>
        <w:tc>
          <w:tcPr>
            <w:tcW w:w="6803" w:type="dxa"/>
          </w:tcPr>
          <w:p w14:paraId="0FB884A7" w14:textId="77777777" w:rsidR="00F67E9E" w:rsidRPr="00AB0447" w:rsidRDefault="00F67E9E" w:rsidP="0052486C">
            <w:pPr>
              <w:pStyle w:val="StdBodyText"/>
              <w:rPr>
                <w:rFonts w:cs="Arial"/>
              </w:rPr>
            </w:pPr>
            <w:r w:rsidRPr="00AB0447">
              <w:rPr>
                <w:rFonts w:cs="Arial"/>
              </w:rPr>
              <w:t>the estimated Charges payable by the Authority during the first Contract Year, as set out in the Financial Model;</w:t>
            </w:r>
          </w:p>
        </w:tc>
      </w:tr>
      <w:tr w:rsidR="00F67E9E" w:rsidRPr="00F55457" w14:paraId="66BECE73" w14:textId="77777777" w:rsidTr="0052486C">
        <w:tc>
          <w:tcPr>
            <w:tcW w:w="2835" w:type="dxa"/>
          </w:tcPr>
          <w:p w14:paraId="227C67A9" w14:textId="77777777" w:rsidR="00F67E9E" w:rsidRPr="00AB0447" w:rsidRDefault="00F67E9E" w:rsidP="0052486C">
            <w:pPr>
              <w:pStyle w:val="StdBodyTextBold"/>
              <w:rPr>
                <w:rFonts w:cs="Arial"/>
              </w:rPr>
            </w:pPr>
            <w:r>
              <w:rPr>
                <w:rFonts w:cs="Arial"/>
              </w:rPr>
              <w:t>“</w:t>
            </w:r>
            <w:r w:rsidRPr="00AB0447">
              <w:rPr>
                <w:rFonts w:cs="Arial"/>
              </w:rPr>
              <w:t>Estimated Initial Service Charges</w:t>
            </w:r>
            <w:r>
              <w:rPr>
                <w:rFonts w:cs="Arial"/>
              </w:rPr>
              <w:t>”</w:t>
            </w:r>
          </w:p>
        </w:tc>
        <w:tc>
          <w:tcPr>
            <w:tcW w:w="6803" w:type="dxa"/>
          </w:tcPr>
          <w:p w14:paraId="19A19431" w14:textId="77777777" w:rsidR="00F67E9E" w:rsidRPr="00AB0447" w:rsidRDefault="00F67E9E" w:rsidP="0052486C">
            <w:pPr>
              <w:pStyle w:val="StdBodyText"/>
              <w:rPr>
                <w:rFonts w:cs="Arial"/>
              </w:rPr>
            </w:pPr>
            <w:r w:rsidRPr="00AB0447">
              <w:rPr>
                <w:rFonts w:cs="Arial"/>
              </w:rPr>
              <w:t>the estimated Service Charges payable by the Authority during the period of 12 months from the first Operational Service Commencement Date, as set out in the Financial Model;</w:t>
            </w:r>
          </w:p>
        </w:tc>
      </w:tr>
      <w:tr w:rsidR="00F67E9E" w:rsidRPr="00995964" w14:paraId="71144DC1" w14:textId="77777777" w:rsidTr="0052486C">
        <w:tc>
          <w:tcPr>
            <w:tcW w:w="2835" w:type="dxa"/>
          </w:tcPr>
          <w:p w14:paraId="410309E3" w14:textId="77777777" w:rsidR="00F67E9E" w:rsidRPr="00AB0447" w:rsidRDefault="00F67E9E" w:rsidP="0052486C">
            <w:pPr>
              <w:pStyle w:val="StdBodyTextBold"/>
              <w:rPr>
                <w:rFonts w:cs="Arial"/>
              </w:rPr>
            </w:pPr>
            <w:r>
              <w:rPr>
                <w:rFonts w:cs="Arial"/>
              </w:rPr>
              <w:t>“</w:t>
            </w:r>
            <w:r w:rsidRPr="00AB0447">
              <w:rPr>
                <w:rFonts w:cs="Arial"/>
              </w:rPr>
              <w:t>EU GDPR</w:t>
            </w:r>
            <w:r>
              <w:rPr>
                <w:rFonts w:cs="Arial"/>
              </w:rPr>
              <w:t>”</w:t>
            </w:r>
          </w:p>
        </w:tc>
        <w:tc>
          <w:tcPr>
            <w:tcW w:w="6803" w:type="dxa"/>
          </w:tcPr>
          <w:p w14:paraId="2C9F29D3" w14:textId="77777777" w:rsidR="00F67E9E" w:rsidRPr="00AB0447" w:rsidRDefault="00F67E9E" w:rsidP="0052486C">
            <w:pPr>
              <w:pStyle w:val="StdBodyText"/>
              <w:rPr>
                <w:rFonts w:cs="Arial"/>
              </w:rPr>
            </w:pPr>
            <w:r w:rsidRPr="00AB0447">
              <w:rPr>
                <w:rFonts w:cs="Arial"/>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F67E9E" w:rsidRPr="00995964" w14:paraId="36DDB47B" w14:textId="77777777" w:rsidTr="0052486C">
        <w:tc>
          <w:tcPr>
            <w:tcW w:w="2835" w:type="dxa"/>
          </w:tcPr>
          <w:p w14:paraId="32F7D79B" w14:textId="77777777" w:rsidR="00F67E9E" w:rsidRPr="00AB0447" w:rsidRDefault="00F67E9E" w:rsidP="0052486C">
            <w:pPr>
              <w:pStyle w:val="StdBodyTextBold"/>
              <w:rPr>
                <w:rFonts w:cs="Arial"/>
              </w:rPr>
            </w:pPr>
            <w:r>
              <w:rPr>
                <w:rFonts w:cs="Arial"/>
              </w:rPr>
              <w:t>“</w:t>
            </w:r>
            <w:r w:rsidRPr="00AB0447">
              <w:rPr>
                <w:rFonts w:cs="Arial"/>
              </w:rPr>
              <w:t>EU</w:t>
            </w:r>
            <w:r>
              <w:rPr>
                <w:rFonts w:cs="Arial"/>
              </w:rPr>
              <w:t>”</w:t>
            </w:r>
          </w:p>
        </w:tc>
        <w:tc>
          <w:tcPr>
            <w:tcW w:w="6803" w:type="dxa"/>
          </w:tcPr>
          <w:p w14:paraId="69171DC3" w14:textId="77777777" w:rsidR="00F67E9E" w:rsidRPr="00AB0447" w:rsidRDefault="00F67E9E" w:rsidP="0052486C">
            <w:pPr>
              <w:pStyle w:val="StdBodyText"/>
              <w:rPr>
                <w:rFonts w:cs="Arial"/>
              </w:rPr>
            </w:pPr>
            <w:bookmarkStart w:id="53" w:name="_9kR3WTr277DLIQN721seojez17qgAAv64AB1cOE"/>
            <w:r w:rsidRPr="00AB0447">
              <w:rPr>
                <w:rFonts w:cs="Arial"/>
              </w:rPr>
              <w:t>European Union</w:t>
            </w:r>
            <w:bookmarkEnd w:id="53"/>
          </w:p>
        </w:tc>
      </w:tr>
      <w:tr w:rsidR="00F67E9E" w:rsidRPr="00F55457" w14:paraId="4636E91D" w14:textId="77777777" w:rsidTr="0052486C">
        <w:tc>
          <w:tcPr>
            <w:tcW w:w="2835" w:type="dxa"/>
          </w:tcPr>
          <w:p w14:paraId="7261A913" w14:textId="77777777" w:rsidR="00F67E9E" w:rsidRPr="00AB0447" w:rsidRDefault="00F67E9E" w:rsidP="0052486C">
            <w:pPr>
              <w:pStyle w:val="StdBodyTextBold"/>
              <w:keepNext/>
              <w:rPr>
                <w:rFonts w:cs="Arial"/>
              </w:rPr>
            </w:pPr>
            <w:r>
              <w:rPr>
                <w:rFonts w:cs="Arial"/>
              </w:rPr>
              <w:t>“</w:t>
            </w:r>
            <w:r w:rsidRPr="00AB0447">
              <w:rPr>
                <w:rFonts w:cs="Arial"/>
              </w:rPr>
              <w:t>Exit Management</w:t>
            </w:r>
            <w:r>
              <w:rPr>
                <w:rFonts w:cs="Arial"/>
              </w:rPr>
              <w:t>”</w:t>
            </w:r>
          </w:p>
        </w:tc>
        <w:tc>
          <w:tcPr>
            <w:tcW w:w="6803" w:type="dxa"/>
          </w:tcPr>
          <w:p w14:paraId="27A0284D" w14:textId="3A109411" w:rsidR="00F67E9E" w:rsidRPr="00AB0447" w:rsidRDefault="00F67E9E" w:rsidP="0052486C">
            <w:pPr>
              <w:pStyle w:val="StdBodyText"/>
              <w:keepNext/>
              <w:rPr>
                <w:rFonts w:cs="Arial"/>
              </w:rPr>
            </w:pPr>
            <w:r w:rsidRPr="00AB0447">
              <w:rPr>
                <w:rFonts w:cs="Arial"/>
              </w:rPr>
              <w:t xml:space="preserve">services, activities, processes and procedures to ensure a smooth and orderly transition of all or part of the Services from the Supplier to the Authority and/or a Replacement Supplier, as set out or referred to in </w:t>
            </w:r>
            <w:r>
              <w:rPr>
                <w:rFonts w:cs="Arial"/>
              </w:rPr>
              <w:fldChar w:fldCharType="begin"/>
            </w:r>
            <w:r>
              <w:rPr>
                <w:rFonts w:cs="Arial"/>
              </w:rPr>
              <w:instrText xml:space="preserve"> REF Schedule25 \h </w:instrText>
            </w:r>
            <w:r>
              <w:rPr>
                <w:rFonts w:cs="Arial"/>
              </w:rPr>
            </w:r>
            <w:r>
              <w:rPr>
                <w:rFonts w:cs="Arial"/>
              </w:rPr>
              <w:fldChar w:fldCharType="separate"/>
            </w:r>
            <w:r w:rsidR="007A1473" w:rsidRPr="005D0525">
              <w:t>Schedule 25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Exit Management</w:t>
            </w:r>
            <w:r w:rsidRPr="00A22335">
              <w:rPr>
                <w:rFonts w:cs="Arial"/>
                <w:i/>
                <w:iCs/>
              </w:rPr>
              <w:fldChar w:fldCharType="end"/>
            </w:r>
            <w:r>
              <w:rPr>
                <w:rFonts w:cs="Arial"/>
              </w:rPr>
              <w:t>)</w:t>
            </w:r>
            <w:r w:rsidRPr="00AB0447">
              <w:rPr>
                <w:rFonts w:cs="Arial"/>
              </w:rPr>
              <w:t>;</w:t>
            </w:r>
          </w:p>
        </w:tc>
      </w:tr>
      <w:tr w:rsidR="00F67E9E" w:rsidRPr="00F55457" w14:paraId="432F0F5D" w14:textId="77777777" w:rsidTr="0052486C">
        <w:tc>
          <w:tcPr>
            <w:tcW w:w="2835" w:type="dxa"/>
          </w:tcPr>
          <w:p w14:paraId="4399E0E4" w14:textId="77777777" w:rsidR="00F67E9E" w:rsidRPr="00AB0447" w:rsidRDefault="00F67E9E" w:rsidP="0052486C">
            <w:pPr>
              <w:pStyle w:val="StdBodyTextBold"/>
              <w:rPr>
                <w:rFonts w:cs="Arial"/>
              </w:rPr>
            </w:pPr>
            <w:r>
              <w:rPr>
                <w:rFonts w:cs="Arial"/>
              </w:rPr>
              <w:t>“</w:t>
            </w:r>
            <w:r w:rsidRPr="00AB0447">
              <w:rPr>
                <w:rFonts w:cs="Arial"/>
              </w:rPr>
              <w:t>Exit Plan</w:t>
            </w:r>
            <w:r>
              <w:rPr>
                <w:rFonts w:cs="Arial"/>
              </w:rPr>
              <w:t>”</w:t>
            </w:r>
          </w:p>
        </w:tc>
        <w:tc>
          <w:tcPr>
            <w:tcW w:w="6803" w:type="dxa"/>
          </w:tcPr>
          <w:p w14:paraId="01555F20" w14:textId="24F6A9A5" w:rsidR="00F67E9E" w:rsidRPr="00AB0447" w:rsidRDefault="00F67E9E" w:rsidP="0052486C">
            <w:pPr>
              <w:pStyle w:val="StdBodyText"/>
              <w:rPr>
                <w:rFonts w:cs="Arial"/>
              </w:rPr>
            </w:pPr>
            <w:r w:rsidRPr="00AB0447">
              <w:rPr>
                <w:rFonts w:cs="Arial"/>
              </w:rPr>
              <w:t xml:space="preserve">the plan produced and updated by the Supplier during the Term in accordance with </w:t>
            </w:r>
            <w:bookmarkStart w:id="54" w:name="_9kMIH5YVt4EE6EJcGpqgyts0G"/>
            <w:r w:rsidRPr="00AB0447">
              <w:rPr>
                <w:rFonts w:cs="Arial"/>
              </w:rPr>
              <w:t xml:space="preserve">Paragraph </w:t>
            </w:r>
            <w:bookmarkEnd w:id="54"/>
            <w:r w:rsidRPr="00AB0447">
              <w:rPr>
                <w:rFonts w:cs="Arial"/>
              </w:rPr>
              <w:fldChar w:fldCharType="begin"/>
            </w:r>
            <w:r w:rsidRPr="00AB0447">
              <w:rPr>
                <w:rFonts w:cs="Arial"/>
              </w:rPr>
              <w:instrText xml:space="preserve"> REF _Ref44508664 \w \h  \* MERGEFORMAT </w:instrText>
            </w:r>
            <w:r w:rsidRPr="00AB0447">
              <w:rPr>
                <w:rFonts w:cs="Arial"/>
              </w:rPr>
            </w:r>
            <w:r w:rsidRPr="00AB0447">
              <w:rPr>
                <w:rFonts w:cs="Arial"/>
              </w:rPr>
              <w:fldChar w:fldCharType="separate"/>
            </w:r>
            <w:r w:rsidR="007A1473">
              <w:rPr>
                <w:rFonts w:cs="Arial"/>
              </w:rPr>
              <w:t>4</w:t>
            </w:r>
            <w:r w:rsidRPr="00AB0447">
              <w:rPr>
                <w:rFonts w:cs="Arial"/>
              </w:rPr>
              <w:fldChar w:fldCharType="end"/>
            </w:r>
            <w:r w:rsidRPr="00AB0447">
              <w:rPr>
                <w:rFonts w:cs="Arial"/>
              </w:rPr>
              <w:t xml:space="preserve"> of </w:t>
            </w:r>
            <w:r>
              <w:rPr>
                <w:rFonts w:cs="Arial"/>
              </w:rPr>
              <w:fldChar w:fldCharType="begin"/>
            </w:r>
            <w:r>
              <w:rPr>
                <w:rFonts w:cs="Arial"/>
              </w:rPr>
              <w:instrText xml:space="preserve"> REF Schedule25 \h </w:instrText>
            </w:r>
            <w:r>
              <w:rPr>
                <w:rFonts w:cs="Arial"/>
              </w:rPr>
            </w:r>
            <w:r>
              <w:rPr>
                <w:rFonts w:cs="Arial"/>
              </w:rPr>
              <w:fldChar w:fldCharType="separate"/>
            </w:r>
            <w:r w:rsidR="007A1473" w:rsidRPr="005D0525">
              <w:t>Schedule 25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Exit Management</w:t>
            </w:r>
            <w:r w:rsidRPr="00A22335">
              <w:rPr>
                <w:rFonts w:cs="Arial"/>
                <w:i/>
                <w:iCs/>
              </w:rPr>
              <w:fldChar w:fldCharType="end"/>
            </w:r>
            <w:r>
              <w:rPr>
                <w:rFonts w:cs="Arial"/>
              </w:rPr>
              <w:t>)</w:t>
            </w:r>
            <w:r w:rsidRPr="00AB0447">
              <w:rPr>
                <w:rFonts w:cs="Arial"/>
              </w:rPr>
              <w:t>;</w:t>
            </w:r>
          </w:p>
        </w:tc>
      </w:tr>
      <w:tr w:rsidR="00F67E9E" w:rsidRPr="00F55457" w14:paraId="1CA5D64A" w14:textId="77777777" w:rsidTr="0052486C">
        <w:tc>
          <w:tcPr>
            <w:tcW w:w="2835" w:type="dxa"/>
          </w:tcPr>
          <w:p w14:paraId="7F6D3A39" w14:textId="77777777" w:rsidR="00F67E9E" w:rsidRPr="00AB0447" w:rsidRDefault="00F67E9E" w:rsidP="0052486C">
            <w:pPr>
              <w:pStyle w:val="StdBodyTextBold"/>
              <w:rPr>
                <w:rFonts w:cs="Arial"/>
              </w:rPr>
            </w:pPr>
            <w:r>
              <w:rPr>
                <w:rFonts w:cs="Arial"/>
              </w:rPr>
              <w:t>“</w:t>
            </w:r>
            <w:r w:rsidRPr="00AB0447">
              <w:rPr>
                <w:rFonts w:cs="Arial"/>
              </w:rPr>
              <w:t>Expedited Dispute Timetable</w:t>
            </w:r>
            <w:r>
              <w:rPr>
                <w:rFonts w:cs="Arial"/>
              </w:rPr>
              <w:t>”</w:t>
            </w:r>
          </w:p>
        </w:tc>
        <w:tc>
          <w:tcPr>
            <w:tcW w:w="6803" w:type="dxa"/>
          </w:tcPr>
          <w:p w14:paraId="1C5FA767" w14:textId="5B023743" w:rsidR="00F67E9E" w:rsidRPr="00AB0447" w:rsidRDefault="00F67E9E" w:rsidP="0052486C">
            <w:pPr>
              <w:pStyle w:val="StdBodyText"/>
              <w:rPr>
                <w:rFonts w:cs="Arial"/>
              </w:rPr>
            </w:pPr>
            <w:r w:rsidRPr="00AB0447">
              <w:rPr>
                <w:rFonts w:cs="Arial"/>
              </w:rPr>
              <w:t xml:space="preserve">the reduced timetable for the resolution of Disputes set out in </w:t>
            </w:r>
            <w:bookmarkStart w:id="55" w:name="_9kMIH5YVt4EE6CEZGpqgyts0F"/>
            <w:r w:rsidRPr="00AB0447">
              <w:rPr>
                <w:rFonts w:cs="Arial"/>
              </w:rPr>
              <w:t xml:space="preserve">Paragraph </w:t>
            </w:r>
            <w:bookmarkEnd w:id="55"/>
            <w:r w:rsidRPr="00AB0447">
              <w:rPr>
                <w:rFonts w:cs="Arial"/>
              </w:rPr>
              <w:fldChar w:fldCharType="begin"/>
            </w:r>
            <w:r w:rsidRPr="00AB0447">
              <w:rPr>
                <w:rFonts w:cs="Arial"/>
              </w:rPr>
              <w:instrText xml:space="preserve"> REF _Ref_ContractCompanion_9kb9Us4BB \w \h  \* MERGEFORMAT </w:instrText>
            </w:r>
            <w:r w:rsidRPr="00AB0447">
              <w:rPr>
                <w:rFonts w:cs="Arial"/>
              </w:rPr>
            </w:r>
            <w:r w:rsidRPr="00AB0447">
              <w:rPr>
                <w:rFonts w:cs="Arial"/>
              </w:rPr>
              <w:fldChar w:fldCharType="separate"/>
            </w:r>
            <w:r w:rsidR="007A1473">
              <w:rPr>
                <w:rFonts w:cs="Arial"/>
              </w:rPr>
              <w:t>3</w:t>
            </w:r>
            <w:r w:rsidRPr="00AB0447">
              <w:rPr>
                <w:rFonts w:cs="Arial"/>
              </w:rPr>
              <w:fldChar w:fldCharType="end"/>
            </w:r>
            <w:r w:rsidRPr="00AB0447">
              <w:rPr>
                <w:rFonts w:cs="Arial"/>
              </w:rPr>
              <w:t xml:space="preserve"> of </w:t>
            </w:r>
            <w:r>
              <w:rPr>
                <w:rFonts w:cs="Arial"/>
              </w:rPr>
              <w:fldChar w:fldCharType="begin"/>
            </w:r>
            <w:r>
              <w:rPr>
                <w:rFonts w:cs="Arial"/>
              </w:rPr>
              <w:instrText xml:space="preserve"> REF Schedule23 \h </w:instrText>
            </w:r>
            <w:r>
              <w:rPr>
                <w:rFonts w:cs="Arial"/>
              </w:rPr>
            </w:r>
            <w:r>
              <w:rPr>
                <w:rFonts w:cs="Arial"/>
              </w:rPr>
              <w:fldChar w:fldCharType="separate"/>
            </w:r>
            <w:r w:rsidR="007A1473" w:rsidRPr="005D0525">
              <w:t>Schedule</w:t>
            </w:r>
            <w:r w:rsidR="007A1473">
              <w:t> </w:t>
            </w:r>
            <w:r w:rsidR="007A1473" w:rsidRPr="005D0525">
              <w:t>23</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Schedule23Heading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Dispute Resolution Procedure</w:t>
            </w:r>
            <w:r w:rsidRPr="002F30DB">
              <w:rPr>
                <w:rFonts w:cs="Arial"/>
                <w:i/>
                <w:iCs/>
              </w:rPr>
              <w:fldChar w:fldCharType="end"/>
            </w:r>
            <w:r>
              <w:rPr>
                <w:rFonts w:cs="Arial"/>
              </w:rPr>
              <w:t>)</w:t>
            </w:r>
            <w:r w:rsidRPr="00AB0447">
              <w:rPr>
                <w:rFonts w:cs="Arial"/>
              </w:rPr>
              <w:t>;</w:t>
            </w:r>
          </w:p>
        </w:tc>
      </w:tr>
      <w:tr w:rsidR="00F67E9E" w:rsidRPr="00F55457" w14:paraId="4F673FC8" w14:textId="77777777" w:rsidTr="0052486C">
        <w:tc>
          <w:tcPr>
            <w:tcW w:w="2835" w:type="dxa"/>
          </w:tcPr>
          <w:p w14:paraId="211A8D62" w14:textId="77777777" w:rsidR="00F67E9E" w:rsidRPr="00AB0447" w:rsidRDefault="00F67E9E" w:rsidP="0052486C">
            <w:pPr>
              <w:pStyle w:val="StdBodyTextBold"/>
              <w:rPr>
                <w:rFonts w:cs="Arial"/>
              </w:rPr>
            </w:pPr>
            <w:r>
              <w:rPr>
                <w:rFonts w:cs="Arial"/>
              </w:rPr>
              <w:t>“</w:t>
            </w:r>
            <w:r w:rsidRPr="00AB0447">
              <w:rPr>
                <w:rFonts w:cs="Arial"/>
              </w:rPr>
              <w:t>Expert</w:t>
            </w:r>
            <w:r>
              <w:rPr>
                <w:rFonts w:cs="Arial"/>
              </w:rPr>
              <w:t>”</w:t>
            </w:r>
          </w:p>
        </w:tc>
        <w:tc>
          <w:tcPr>
            <w:tcW w:w="6803" w:type="dxa"/>
          </w:tcPr>
          <w:p w14:paraId="12AE9A6F" w14:textId="5373142E" w:rsidR="00F67E9E" w:rsidRPr="00AB0447" w:rsidRDefault="00F67E9E" w:rsidP="0052486C">
            <w:pPr>
              <w:pStyle w:val="StdBodyText"/>
              <w:rPr>
                <w:rFonts w:cs="Arial"/>
              </w:rPr>
            </w:pPr>
            <w:r w:rsidRPr="00AB0447">
              <w:rPr>
                <w:rFonts w:cs="Arial"/>
              </w:rPr>
              <w:t xml:space="preserve">has the meaning given in </w:t>
            </w:r>
            <w:r>
              <w:rPr>
                <w:rFonts w:cs="Arial"/>
              </w:rPr>
              <w:fldChar w:fldCharType="begin"/>
            </w:r>
            <w:r>
              <w:rPr>
                <w:rFonts w:cs="Arial"/>
              </w:rPr>
              <w:instrText xml:space="preserve"> REF Schedule23 \h </w:instrText>
            </w:r>
            <w:r>
              <w:rPr>
                <w:rFonts w:cs="Arial"/>
              </w:rPr>
            </w:r>
            <w:r>
              <w:rPr>
                <w:rFonts w:cs="Arial"/>
              </w:rPr>
              <w:fldChar w:fldCharType="separate"/>
            </w:r>
            <w:r w:rsidR="007A1473" w:rsidRPr="005D0525">
              <w:t>Schedule</w:t>
            </w:r>
            <w:r w:rsidR="007A1473">
              <w:t> </w:t>
            </w:r>
            <w:r w:rsidR="007A1473" w:rsidRPr="005D0525">
              <w:t>23</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Schedule23Heading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Dispute Resolution Procedure</w:t>
            </w:r>
            <w:r w:rsidRPr="002F30DB">
              <w:rPr>
                <w:rFonts w:cs="Arial"/>
                <w:i/>
                <w:iCs/>
              </w:rPr>
              <w:fldChar w:fldCharType="end"/>
            </w:r>
            <w:r>
              <w:rPr>
                <w:rFonts w:cs="Arial"/>
              </w:rPr>
              <w:t>)</w:t>
            </w:r>
            <w:r w:rsidRPr="00AB0447">
              <w:rPr>
                <w:rFonts w:cs="Arial"/>
              </w:rPr>
              <w:t>;</w:t>
            </w:r>
          </w:p>
        </w:tc>
      </w:tr>
      <w:tr w:rsidR="00F67E9E" w:rsidRPr="00F55457" w14:paraId="7C5B44E8" w14:textId="77777777" w:rsidTr="0052486C">
        <w:tc>
          <w:tcPr>
            <w:tcW w:w="2835" w:type="dxa"/>
          </w:tcPr>
          <w:p w14:paraId="4706C2FB" w14:textId="77777777" w:rsidR="00F67E9E" w:rsidRPr="00AB0447" w:rsidRDefault="00F67E9E" w:rsidP="0052486C">
            <w:pPr>
              <w:pStyle w:val="StdBodyTextBold"/>
              <w:rPr>
                <w:rFonts w:cs="Arial"/>
              </w:rPr>
            </w:pPr>
            <w:r>
              <w:rPr>
                <w:rFonts w:cs="Arial"/>
              </w:rPr>
              <w:t>“</w:t>
            </w:r>
            <w:r w:rsidRPr="00AB0447">
              <w:rPr>
                <w:rFonts w:cs="Arial"/>
              </w:rPr>
              <w:t>Expert Determination</w:t>
            </w:r>
            <w:r>
              <w:rPr>
                <w:rFonts w:cs="Arial"/>
              </w:rPr>
              <w:t>”</w:t>
            </w:r>
          </w:p>
        </w:tc>
        <w:tc>
          <w:tcPr>
            <w:tcW w:w="6803" w:type="dxa"/>
          </w:tcPr>
          <w:p w14:paraId="69730387" w14:textId="77B9BCC9" w:rsidR="00F67E9E" w:rsidRPr="00AB0447" w:rsidRDefault="00F67E9E" w:rsidP="0052486C">
            <w:pPr>
              <w:pStyle w:val="StdBodyText"/>
              <w:rPr>
                <w:rFonts w:cs="Arial"/>
              </w:rPr>
            </w:pPr>
            <w:r w:rsidRPr="00AB0447">
              <w:rPr>
                <w:rFonts w:cs="Arial"/>
              </w:rPr>
              <w:t xml:space="preserve">the process described in </w:t>
            </w:r>
            <w:bookmarkStart w:id="56" w:name="_9kMJI5YVt4EE6BIeGpqgyts0I"/>
            <w:r w:rsidRPr="00AB0447">
              <w:rPr>
                <w:rFonts w:cs="Arial"/>
              </w:rPr>
              <w:t xml:space="preserve">Paragraph </w:t>
            </w:r>
            <w:bookmarkEnd w:id="56"/>
            <w:r w:rsidRPr="00AB0447">
              <w:rPr>
                <w:rFonts w:cs="Arial"/>
              </w:rPr>
              <w:fldChar w:fldCharType="begin"/>
            </w:r>
            <w:r w:rsidRPr="00AB0447">
              <w:rPr>
                <w:rFonts w:cs="Arial"/>
              </w:rPr>
              <w:instrText xml:space="preserve"> REF _Ref_ContractCompanion_9kb9Us4AB \w \h  \* MERGEFORMAT </w:instrText>
            </w:r>
            <w:r w:rsidRPr="00AB0447">
              <w:rPr>
                <w:rFonts w:cs="Arial"/>
              </w:rPr>
            </w:r>
            <w:r w:rsidRPr="00AB0447">
              <w:rPr>
                <w:rFonts w:cs="Arial"/>
              </w:rPr>
              <w:fldChar w:fldCharType="separate"/>
            </w:r>
            <w:r w:rsidR="007A1473">
              <w:rPr>
                <w:rFonts w:cs="Arial"/>
              </w:rPr>
              <w:t>6</w:t>
            </w:r>
            <w:r w:rsidRPr="00AB0447">
              <w:rPr>
                <w:rFonts w:cs="Arial"/>
              </w:rPr>
              <w:fldChar w:fldCharType="end"/>
            </w:r>
            <w:r w:rsidRPr="00AB0447">
              <w:rPr>
                <w:rFonts w:cs="Arial"/>
              </w:rPr>
              <w:t xml:space="preserve"> of </w:t>
            </w:r>
            <w:r>
              <w:rPr>
                <w:rFonts w:cs="Arial"/>
              </w:rPr>
              <w:fldChar w:fldCharType="begin"/>
            </w:r>
            <w:r>
              <w:rPr>
                <w:rFonts w:cs="Arial"/>
              </w:rPr>
              <w:instrText xml:space="preserve"> REF Schedule23 \h </w:instrText>
            </w:r>
            <w:r>
              <w:rPr>
                <w:rFonts w:cs="Arial"/>
              </w:rPr>
            </w:r>
            <w:r>
              <w:rPr>
                <w:rFonts w:cs="Arial"/>
              </w:rPr>
              <w:fldChar w:fldCharType="separate"/>
            </w:r>
            <w:r w:rsidR="007A1473" w:rsidRPr="005D0525">
              <w:t>Schedule</w:t>
            </w:r>
            <w:r w:rsidR="007A1473">
              <w:t> </w:t>
            </w:r>
            <w:r w:rsidR="007A1473" w:rsidRPr="005D0525">
              <w:t>23</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Schedule23Heading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Dispute Resolution Procedure</w:t>
            </w:r>
            <w:r w:rsidRPr="002F30DB">
              <w:rPr>
                <w:rFonts w:cs="Arial"/>
                <w:i/>
                <w:iCs/>
              </w:rPr>
              <w:fldChar w:fldCharType="end"/>
            </w:r>
            <w:r>
              <w:rPr>
                <w:rFonts w:cs="Arial"/>
              </w:rPr>
              <w:t>)</w:t>
            </w:r>
            <w:r w:rsidRPr="00AB0447">
              <w:rPr>
                <w:rFonts w:cs="Arial"/>
              </w:rPr>
              <w:t>;</w:t>
            </w:r>
          </w:p>
        </w:tc>
      </w:tr>
      <w:tr w:rsidR="00F67E9E" w:rsidRPr="00F55457" w14:paraId="0F144ABE" w14:textId="77777777" w:rsidTr="0052486C">
        <w:tc>
          <w:tcPr>
            <w:tcW w:w="2835" w:type="dxa"/>
          </w:tcPr>
          <w:p w14:paraId="546F6394" w14:textId="77777777" w:rsidR="00F67E9E" w:rsidRPr="00AB0447" w:rsidRDefault="00F67E9E" w:rsidP="0052486C">
            <w:pPr>
              <w:pStyle w:val="StdBodyTextBold"/>
              <w:rPr>
                <w:rFonts w:cs="Arial"/>
              </w:rPr>
            </w:pPr>
            <w:r>
              <w:rPr>
                <w:rFonts w:cs="Arial"/>
              </w:rPr>
              <w:lastRenderedPageBreak/>
              <w:t>“</w:t>
            </w:r>
            <w:r w:rsidRPr="00AB0447">
              <w:rPr>
                <w:rFonts w:cs="Arial"/>
              </w:rPr>
              <w:t>Exposure Information (Contracts List)</w:t>
            </w:r>
            <w:r>
              <w:rPr>
                <w:rFonts w:cs="Arial"/>
              </w:rPr>
              <w:t>”</w:t>
            </w:r>
          </w:p>
        </w:tc>
        <w:tc>
          <w:tcPr>
            <w:tcW w:w="6803" w:type="dxa"/>
          </w:tcPr>
          <w:p w14:paraId="504C02CD" w14:textId="1A682EDF" w:rsidR="00F67E9E" w:rsidRPr="00AB0447" w:rsidRDefault="00F67E9E" w:rsidP="0052486C">
            <w:pPr>
              <w:pStyle w:val="StdBodyText"/>
              <w:rPr>
                <w:rFonts w:cs="Arial"/>
              </w:rPr>
            </w:pPr>
            <w:r w:rsidRPr="00AB0447">
              <w:rPr>
                <w:rFonts w:cs="Arial"/>
              </w:rPr>
              <w:t xml:space="preserve">means part of the CRP Information relating to the Supplier Group to be provided by the Supplier in accordance with Paragraph </w:t>
            </w:r>
            <w:r w:rsidRPr="00AB0447">
              <w:rPr>
                <w:rFonts w:cs="Arial"/>
              </w:rPr>
              <w:fldChar w:fldCharType="begin"/>
            </w:r>
            <w:r w:rsidRPr="00AB0447">
              <w:rPr>
                <w:rFonts w:cs="Arial"/>
              </w:rPr>
              <w:instrText xml:space="preserve"> REF _Ref_ContractCompanion_9kb9Ur29F \r \h  \* MERGEFORMAT </w:instrText>
            </w:r>
            <w:r w:rsidRPr="00AB0447">
              <w:rPr>
                <w:rFonts w:cs="Arial"/>
              </w:rPr>
            </w:r>
            <w:r w:rsidRPr="00AB0447">
              <w:rPr>
                <w:rFonts w:cs="Arial"/>
              </w:rPr>
              <w:fldChar w:fldCharType="separate"/>
            </w:r>
            <w:r w:rsidR="007A1473">
              <w:rPr>
                <w:rFonts w:cs="Arial"/>
              </w:rPr>
              <w:t>2</w:t>
            </w:r>
            <w:r w:rsidRPr="00AB0447">
              <w:rPr>
                <w:rFonts w:cs="Arial"/>
              </w:rPr>
              <w:fldChar w:fldCharType="end"/>
            </w:r>
            <w:r w:rsidRPr="00AB0447">
              <w:rPr>
                <w:rFonts w:cs="Arial"/>
              </w:rPr>
              <w:t xml:space="preserve"> and Annex </w:t>
            </w:r>
            <w:r w:rsidRPr="00AB0447">
              <w:rPr>
                <w:rFonts w:cs="Arial"/>
              </w:rPr>
              <w:fldChar w:fldCharType="begin"/>
            </w:r>
            <w:r w:rsidRPr="00AB0447">
              <w:rPr>
                <w:rFonts w:cs="Arial"/>
              </w:rPr>
              <w:instrText xml:space="preserve"> REF ANNEX1_PARTB_SCHEDULE26 \h </w:instrText>
            </w:r>
            <w:r>
              <w:rPr>
                <w:rFonts w:cs="Arial"/>
              </w:rPr>
              <w:instrText xml:space="preserve"> \* MERGEFORMAT </w:instrText>
            </w:r>
            <w:r w:rsidRPr="00AB0447">
              <w:rPr>
                <w:rFonts w:cs="Arial"/>
              </w:rPr>
            </w:r>
            <w:r w:rsidRPr="00AB0447">
              <w:rPr>
                <w:rFonts w:cs="Arial"/>
              </w:rPr>
              <w:fldChar w:fldCharType="separate"/>
            </w:r>
            <w:r w:rsidR="007A1473" w:rsidRPr="007A1473">
              <w:rPr>
                <w:rFonts w:cs="Arial"/>
              </w:rPr>
              <w:t>1</w:t>
            </w:r>
            <w:r w:rsidRPr="00AB0447">
              <w:rPr>
                <w:rFonts w:cs="Arial"/>
              </w:rPr>
              <w:fldChar w:fldCharType="end"/>
            </w:r>
            <w:r w:rsidRPr="00AB0447">
              <w:rPr>
                <w:rFonts w:cs="Arial"/>
              </w:rPr>
              <w:t xml:space="preserve"> of </w:t>
            </w:r>
            <w:r>
              <w:rPr>
                <w:rFonts w:cs="Arial"/>
              </w:rPr>
              <w:fldChar w:fldCharType="begin"/>
            </w:r>
            <w:r>
              <w:rPr>
                <w:rFonts w:cs="Arial"/>
              </w:rPr>
              <w:instrText xml:space="preserve"> REF Sch26PartB \h </w:instrText>
            </w:r>
            <w:r>
              <w:rPr>
                <w:rFonts w:cs="Arial"/>
              </w:rPr>
            </w:r>
            <w:r>
              <w:rPr>
                <w:rFonts w:cs="Arial"/>
              </w:rPr>
              <w:fldChar w:fldCharType="separate"/>
            </w:r>
            <w:r w:rsidR="007A1473" w:rsidRPr="00025910">
              <w:t>Part B</w:t>
            </w:r>
            <w:r>
              <w:rPr>
                <w:rFonts w:cs="Arial"/>
              </w:rPr>
              <w:fldChar w:fldCharType="end"/>
            </w:r>
            <w:r w:rsidRPr="00AB0447">
              <w:rPr>
                <w:rFonts w:cs="Arial"/>
              </w:rPr>
              <w:t xml:space="preserve"> of </w:t>
            </w:r>
            <w:r>
              <w:rPr>
                <w:rFonts w:cs="Arial"/>
              </w:rPr>
              <w:fldChar w:fldCharType="begin"/>
            </w:r>
            <w:r>
              <w:rPr>
                <w:rFonts w:cs="Arial"/>
              </w:rPr>
              <w:instrText xml:space="preserve"> REF Schedule26 \h </w:instrText>
            </w:r>
            <w:r>
              <w:rPr>
                <w:rFonts w:cs="Arial"/>
              </w:rPr>
            </w:r>
            <w:r>
              <w:rPr>
                <w:rFonts w:cs="Arial"/>
              </w:rPr>
              <w:fldChar w:fldCharType="separate"/>
            </w:r>
            <w:r w:rsidR="007A1473" w:rsidRPr="005D0525">
              <w:t>Schedule</w:t>
            </w:r>
            <w:r w:rsidR="007A1473">
              <w:t> </w:t>
            </w:r>
            <w:r w:rsidR="007A1473" w:rsidRPr="005D0525">
              <w:t>26</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Schedule26Heading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 Continuity Plan and Corporate Resolution Planning</w:t>
            </w:r>
            <w:r w:rsidRPr="00A22335">
              <w:rPr>
                <w:rFonts w:cs="Arial"/>
                <w:i/>
                <w:iCs/>
              </w:rPr>
              <w:fldChar w:fldCharType="end"/>
            </w:r>
            <w:r>
              <w:rPr>
                <w:rFonts w:cs="Arial"/>
              </w:rPr>
              <w:t>)</w:t>
            </w:r>
            <w:r w:rsidRPr="00AB0447">
              <w:rPr>
                <w:rFonts w:cs="Arial"/>
              </w:rPr>
              <w:t>;</w:t>
            </w:r>
          </w:p>
        </w:tc>
      </w:tr>
      <w:tr w:rsidR="00F67E9E" w:rsidRPr="00F55457" w14:paraId="5DDEA4E7" w14:textId="77777777" w:rsidTr="0052486C">
        <w:tc>
          <w:tcPr>
            <w:tcW w:w="2835" w:type="dxa"/>
          </w:tcPr>
          <w:p w14:paraId="18840D74" w14:textId="77777777" w:rsidR="00F67E9E" w:rsidRPr="00F55457" w:rsidRDefault="00F67E9E" w:rsidP="0052486C">
            <w:pPr>
              <w:pStyle w:val="StdBodyTextBold"/>
              <w:rPr>
                <w:rFonts w:cs="Arial"/>
              </w:rPr>
            </w:pPr>
            <w:r>
              <w:rPr>
                <w:rFonts w:cs="Arial"/>
              </w:rPr>
              <w:t>“</w:t>
            </w:r>
            <w:r w:rsidRPr="00F55457">
              <w:rPr>
                <w:rFonts w:cs="Arial"/>
              </w:rPr>
              <w:t>Extension Period</w:t>
            </w:r>
            <w:r>
              <w:rPr>
                <w:rFonts w:cs="Arial"/>
              </w:rPr>
              <w:t>”</w:t>
            </w:r>
          </w:p>
        </w:tc>
        <w:tc>
          <w:tcPr>
            <w:tcW w:w="6803" w:type="dxa"/>
          </w:tcPr>
          <w:p w14:paraId="1D04D7FC" w14:textId="6C8C2D4D" w:rsidR="00F67E9E" w:rsidRPr="00F55457" w:rsidRDefault="00F67E9E" w:rsidP="001C3778">
            <w:pPr>
              <w:pStyle w:val="StdBodyText"/>
              <w:rPr>
                <w:rFonts w:cs="Arial"/>
              </w:rPr>
            </w:pPr>
            <w:r w:rsidRPr="00F55457">
              <w:rPr>
                <w:rFonts w:cs="Arial"/>
              </w:rPr>
              <w:t xml:space="preserve">a period of </w:t>
            </w:r>
            <w:r w:rsidR="001C3778">
              <w:rPr>
                <w:rFonts w:cs="Arial"/>
              </w:rPr>
              <w:t>up to two</w:t>
            </w:r>
            <w:r w:rsidRPr="00F55457">
              <w:rPr>
                <w:rFonts w:cs="Arial"/>
              </w:rPr>
              <w:t xml:space="preserve"> years from the end of the Initial Term</w:t>
            </w:r>
            <w:r w:rsidR="001C3778">
              <w:rPr>
                <w:rFonts w:cs="Arial"/>
              </w:rPr>
              <w:t xml:space="preserve">, which shall be exercisable </w:t>
            </w:r>
            <w:r w:rsidR="007D3474">
              <w:rPr>
                <w:rFonts w:cs="Arial"/>
              </w:rPr>
              <w:t xml:space="preserve">by the Authority (in its sole discretion) </w:t>
            </w:r>
            <w:r w:rsidR="001C3778">
              <w:rPr>
                <w:rFonts w:cs="Arial"/>
              </w:rPr>
              <w:t xml:space="preserve">in two periods of up to one year in accordance with Clause 4.1.2 </w:t>
            </w:r>
            <w:r w:rsidR="001C3778" w:rsidRPr="001C3778">
              <w:rPr>
                <w:rFonts w:cs="Arial"/>
                <w:i/>
              </w:rPr>
              <w:t>(Term)</w:t>
            </w:r>
            <w:r w:rsidR="001C3778" w:rsidRPr="001C3778">
              <w:rPr>
                <w:rFonts w:cs="Arial"/>
              </w:rPr>
              <w:t>, the firs</w:t>
            </w:r>
            <w:r w:rsidR="001C3778">
              <w:rPr>
                <w:rFonts w:cs="Arial"/>
              </w:rPr>
              <w:t xml:space="preserve">t such period (commencing from the end of the Initial Term) being referred to as the </w:t>
            </w:r>
            <w:r w:rsidR="001C3778" w:rsidRPr="001C3778">
              <w:rPr>
                <w:rFonts w:cs="Arial"/>
                <w:b/>
              </w:rPr>
              <w:t>"First Extension Period"</w:t>
            </w:r>
            <w:r w:rsidR="001C3778">
              <w:rPr>
                <w:rFonts w:cs="Arial"/>
              </w:rPr>
              <w:t xml:space="preserve"> and the second such period (commencing from the end of the First Extension Period) being referred to as the </w:t>
            </w:r>
            <w:r w:rsidR="001C3778" w:rsidRPr="001C3778">
              <w:rPr>
                <w:rFonts w:cs="Arial"/>
                <w:b/>
              </w:rPr>
              <w:t>"Second Extension Period"</w:t>
            </w:r>
            <w:r w:rsidRPr="00F55457">
              <w:rPr>
                <w:rFonts w:cs="Arial"/>
              </w:rPr>
              <w:t>;</w:t>
            </w:r>
          </w:p>
        </w:tc>
      </w:tr>
      <w:tr w:rsidR="00F67E9E" w:rsidRPr="00F55457" w14:paraId="6FABB8D0" w14:textId="77777777" w:rsidTr="0052486C">
        <w:tc>
          <w:tcPr>
            <w:tcW w:w="2835" w:type="dxa"/>
          </w:tcPr>
          <w:p w14:paraId="41692143" w14:textId="77777777" w:rsidR="00F67E9E" w:rsidRPr="00AB0447" w:rsidRDefault="00F67E9E" w:rsidP="0052486C">
            <w:pPr>
              <w:pStyle w:val="StdBodyTextBold"/>
              <w:rPr>
                <w:rFonts w:cs="Arial"/>
              </w:rPr>
            </w:pPr>
            <w:r>
              <w:rPr>
                <w:rFonts w:cs="Arial"/>
              </w:rPr>
              <w:t>“</w:t>
            </w:r>
            <w:r w:rsidRPr="00AB0447">
              <w:rPr>
                <w:rFonts w:cs="Arial"/>
              </w:rPr>
              <w:t>Financial Distress Event</w:t>
            </w:r>
            <w:r>
              <w:rPr>
                <w:rFonts w:cs="Arial"/>
              </w:rPr>
              <w:t>”</w:t>
            </w:r>
          </w:p>
        </w:tc>
        <w:tc>
          <w:tcPr>
            <w:tcW w:w="6803" w:type="dxa"/>
          </w:tcPr>
          <w:p w14:paraId="792DDE07" w14:textId="4ACD9097" w:rsidR="00F67E9E" w:rsidRPr="00AB0447" w:rsidRDefault="00F67E9E" w:rsidP="0052486C">
            <w:pPr>
              <w:pStyle w:val="StdBodyText"/>
              <w:rPr>
                <w:rFonts w:cs="Arial"/>
              </w:rPr>
            </w:pPr>
            <w:r w:rsidRPr="00AB0447">
              <w:rPr>
                <w:rFonts w:cs="Arial"/>
              </w:rPr>
              <w:t xml:space="preserve">the occurrence of one or more of the events listed in </w:t>
            </w:r>
            <w:bookmarkStart w:id="57" w:name="_9kR3WTr2CC4EOfEnoewrqyDL"/>
            <w:r w:rsidRPr="00AB0447">
              <w:rPr>
                <w:rFonts w:cs="Arial"/>
              </w:rPr>
              <w:t xml:space="preserve">Paragraph </w:t>
            </w:r>
            <w:bookmarkEnd w:id="57"/>
            <w:r w:rsidRPr="00AB0447">
              <w:rPr>
                <w:rFonts w:cs="Arial"/>
              </w:rPr>
              <w:fldChar w:fldCharType="begin"/>
            </w:r>
            <w:r w:rsidRPr="00AB0447">
              <w:rPr>
                <w:rFonts w:cs="Arial"/>
              </w:rPr>
              <w:instrText xml:space="preserve"> REF _Ref44508774 \w \h  \* MERGEFORMAT </w:instrText>
            </w:r>
            <w:r w:rsidRPr="00AB0447">
              <w:rPr>
                <w:rFonts w:cs="Arial"/>
              </w:rPr>
            </w:r>
            <w:r w:rsidRPr="00AB0447">
              <w:rPr>
                <w:rFonts w:cs="Arial"/>
              </w:rPr>
              <w:fldChar w:fldCharType="separate"/>
            </w:r>
            <w:r w:rsidR="007A1473">
              <w:rPr>
                <w:rFonts w:cs="Arial"/>
              </w:rPr>
              <w:t>3.1</w:t>
            </w:r>
            <w:r w:rsidRPr="00AB0447">
              <w:rPr>
                <w:rFonts w:cs="Arial"/>
              </w:rPr>
              <w:fldChar w:fldCharType="end"/>
            </w:r>
            <w:r w:rsidRPr="00AB0447">
              <w:rPr>
                <w:rFonts w:cs="Arial"/>
              </w:rPr>
              <w:t xml:space="preserve"> of </w:t>
            </w:r>
            <w:r>
              <w:rPr>
                <w:rFonts w:cs="Arial"/>
              </w:rPr>
              <w:fldChar w:fldCharType="begin"/>
            </w:r>
            <w:r>
              <w:rPr>
                <w:rFonts w:cs="Arial"/>
              </w:rPr>
              <w:instrText xml:space="preserve"> REF Schedule18 \h </w:instrText>
            </w:r>
            <w:r>
              <w:rPr>
                <w:rFonts w:cs="Arial"/>
              </w:rPr>
            </w:r>
            <w:r>
              <w:rPr>
                <w:rFonts w:cs="Arial"/>
              </w:rPr>
              <w:fldChar w:fldCharType="separate"/>
            </w:r>
            <w:r w:rsidR="007A1473" w:rsidRPr="005D0525">
              <w:t>Schedule</w:t>
            </w:r>
            <w:r w:rsidR="007A1473">
              <w:t> </w:t>
            </w:r>
            <w:r w:rsidR="007A1473" w:rsidRPr="005D0525">
              <w:t>18</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Schedule18Heading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Distress</w:t>
            </w:r>
            <w:r w:rsidRPr="002F30DB">
              <w:rPr>
                <w:rFonts w:cs="Arial"/>
                <w:i/>
                <w:iCs/>
              </w:rPr>
              <w:fldChar w:fldCharType="end"/>
            </w:r>
            <w:r>
              <w:rPr>
                <w:rFonts w:cs="Arial"/>
              </w:rPr>
              <w:t>)</w:t>
            </w:r>
            <w:r w:rsidRPr="00AB0447">
              <w:rPr>
                <w:rFonts w:cs="Arial"/>
              </w:rPr>
              <w:t>;</w:t>
            </w:r>
          </w:p>
        </w:tc>
      </w:tr>
      <w:tr w:rsidR="00F67E9E" w:rsidRPr="00F55457" w14:paraId="7AC2319F" w14:textId="77777777" w:rsidTr="0052486C">
        <w:tc>
          <w:tcPr>
            <w:tcW w:w="2835" w:type="dxa"/>
          </w:tcPr>
          <w:p w14:paraId="29DDF096" w14:textId="77777777" w:rsidR="00F67E9E" w:rsidRPr="00AB0447" w:rsidRDefault="00F67E9E" w:rsidP="0052486C">
            <w:pPr>
              <w:pStyle w:val="StdBodyTextBold"/>
              <w:rPr>
                <w:rFonts w:cs="Arial"/>
              </w:rPr>
            </w:pPr>
            <w:r>
              <w:rPr>
                <w:rFonts w:cs="Arial"/>
              </w:rPr>
              <w:t>“</w:t>
            </w:r>
            <w:r w:rsidRPr="00AB0447">
              <w:rPr>
                <w:rFonts w:cs="Arial"/>
              </w:rPr>
              <w:t>Financial Information and Commentary</w:t>
            </w:r>
            <w:r>
              <w:rPr>
                <w:rFonts w:cs="Arial"/>
              </w:rPr>
              <w:t>”</w:t>
            </w:r>
          </w:p>
        </w:tc>
        <w:tc>
          <w:tcPr>
            <w:tcW w:w="6803" w:type="dxa"/>
          </w:tcPr>
          <w:p w14:paraId="4263690F" w14:textId="6197C974" w:rsidR="00F67E9E" w:rsidRPr="00AB0447" w:rsidRDefault="00F67E9E" w:rsidP="0052486C">
            <w:pPr>
              <w:pStyle w:val="StdBodyText"/>
              <w:rPr>
                <w:rFonts w:cs="Arial"/>
              </w:rPr>
            </w:pPr>
            <w:r w:rsidRPr="00AB0447">
              <w:rPr>
                <w:rFonts w:cs="Arial"/>
              </w:rPr>
              <w:t xml:space="preserve">means part of the CRP Information requirements set out in accordance with Paragraph </w:t>
            </w:r>
            <w:r w:rsidRPr="00AB0447">
              <w:rPr>
                <w:rFonts w:cs="Arial"/>
              </w:rPr>
              <w:fldChar w:fldCharType="begin"/>
            </w:r>
            <w:r w:rsidRPr="00AB0447">
              <w:rPr>
                <w:rFonts w:cs="Arial"/>
              </w:rPr>
              <w:instrText xml:space="preserve"> REF _Ref_ContractCompanion_9kb9Ur29F \w \h  \* MERGEFORMAT </w:instrText>
            </w:r>
            <w:r w:rsidRPr="00AB0447">
              <w:rPr>
                <w:rFonts w:cs="Arial"/>
              </w:rPr>
            </w:r>
            <w:r w:rsidRPr="00AB0447">
              <w:rPr>
                <w:rFonts w:cs="Arial"/>
              </w:rPr>
              <w:fldChar w:fldCharType="separate"/>
            </w:r>
            <w:r w:rsidR="007A1473">
              <w:rPr>
                <w:rFonts w:cs="Arial"/>
              </w:rPr>
              <w:t>2</w:t>
            </w:r>
            <w:r w:rsidRPr="00AB0447">
              <w:rPr>
                <w:rFonts w:cs="Arial"/>
              </w:rPr>
              <w:fldChar w:fldCharType="end"/>
            </w:r>
            <w:r>
              <w:rPr>
                <w:rFonts w:cs="Arial"/>
              </w:rPr>
              <w:t xml:space="preserve"> </w:t>
            </w:r>
            <w:r w:rsidRPr="00AB0447">
              <w:rPr>
                <w:rFonts w:cs="Arial"/>
              </w:rPr>
              <w:t xml:space="preserve">and Annex </w:t>
            </w:r>
            <w:r w:rsidRPr="00AB0447">
              <w:rPr>
                <w:rFonts w:cs="Arial"/>
              </w:rPr>
              <w:fldChar w:fldCharType="begin"/>
            </w:r>
            <w:r w:rsidRPr="00AB0447">
              <w:rPr>
                <w:rFonts w:cs="Arial"/>
              </w:rPr>
              <w:instrText xml:space="preserve"> REF ANNEX3_PARTB_SCHEDULE26 \h  \* MERGEFORMAT </w:instrText>
            </w:r>
            <w:r w:rsidRPr="00AB0447">
              <w:rPr>
                <w:rFonts w:cs="Arial"/>
              </w:rPr>
            </w:r>
            <w:r w:rsidRPr="00AB0447">
              <w:rPr>
                <w:rFonts w:cs="Arial"/>
              </w:rPr>
              <w:fldChar w:fldCharType="separate"/>
            </w:r>
            <w:r w:rsidR="007A1473" w:rsidRPr="007A1473">
              <w:rPr>
                <w:rFonts w:cs="Arial"/>
              </w:rPr>
              <w:t>3</w:t>
            </w:r>
            <w:r w:rsidRPr="00AB0447">
              <w:rPr>
                <w:rFonts w:cs="Arial"/>
              </w:rPr>
              <w:fldChar w:fldCharType="end"/>
            </w:r>
            <w:r w:rsidRPr="00AB0447">
              <w:rPr>
                <w:rFonts w:cs="Arial"/>
              </w:rPr>
              <w:t xml:space="preserve"> of </w:t>
            </w:r>
            <w:r>
              <w:rPr>
                <w:rFonts w:cs="Arial"/>
              </w:rPr>
              <w:fldChar w:fldCharType="begin"/>
            </w:r>
            <w:r>
              <w:rPr>
                <w:rFonts w:cs="Arial"/>
              </w:rPr>
              <w:instrText xml:space="preserve"> REF Sch26PartB \h </w:instrText>
            </w:r>
            <w:r>
              <w:rPr>
                <w:rFonts w:cs="Arial"/>
              </w:rPr>
            </w:r>
            <w:r>
              <w:rPr>
                <w:rFonts w:cs="Arial"/>
              </w:rPr>
              <w:fldChar w:fldCharType="separate"/>
            </w:r>
            <w:r w:rsidR="007A1473" w:rsidRPr="00025910">
              <w:t>Part B</w:t>
            </w:r>
            <w:r>
              <w:rPr>
                <w:rFonts w:cs="Arial"/>
              </w:rPr>
              <w:fldChar w:fldCharType="end"/>
            </w:r>
            <w:r w:rsidRPr="00AB0447">
              <w:rPr>
                <w:rFonts w:cs="Arial"/>
              </w:rPr>
              <w:t xml:space="preserve"> of </w:t>
            </w:r>
            <w:r>
              <w:rPr>
                <w:rFonts w:cs="Arial"/>
              </w:rPr>
              <w:fldChar w:fldCharType="begin"/>
            </w:r>
            <w:r>
              <w:rPr>
                <w:rFonts w:cs="Arial"/>
              </w:rPr>
              <w:instrText xml:space="preserve"> REF Schedule26 \h </w:instrText>
            </w:r>
            <w:r>
              <w:rPr>
                <w:rFonts w:cs="Arial"/>
              </w:rPr>
            </w:r>
            <w:r>
              <w:rPr>
                <w:rFonts w:cs="Arial"/>
              </w:rPr>
              <w:fldChar w:fldCharType="separate"/>
            </w:r>
            <w:r w:rsidR="007A1473" w:rsidRPr="005D0525">
              <w:t>Schedule</w:t>
            </w:r>
            <w:r w:rsidR="007A1473">
              <w:t> </w:t>
            </w:r>
            <w:r w:rsidR="007A1473" w:rsidRPr="005D0525">
              <w:t>26</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Schedule26Heading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 Continuity Plan and Corporate Resolution Planning</w:t>
            </w:r>
            <w:r w:rsidRPr="00A22335">
              <w:rPr>
                <w:rFonts w:cs="Arial"/>
                <w:i/>
                <w:iCs/>
              </w:rPr>
              <w:fldChar w:fldCharType="end"/>
            </w:r>
            <w:r>
              <w:rPr>
                <w:rFonts w:cs="Arial"/>
              </w:rPr>
              <w:t>)</w:t>
            </w:r>
            <w:r w:rsidRPr="00AB0447">
              <w:rPr>
                <w:rFonts w:cs="Arial"/>
              </w:rPr>
              <w:t>;</w:t>
            </w:r>
          </w:p>
        </w:tc>
      </w:tr>
      <w:tr w:rsidR="00F67E9E" w:rsidRPr="00F55457" w14:paraId="1E4230A7" w14:textId="77777777" w:rsidTr="0052486C">
        <w:tc>
          <w:tcPr>
            <w:tcW w:w="2835" w:type="dxa"/>
          </w:tcPr>
          <w:p w14:paraId="06F6A46A" w14:textId="77777777" w:rsidR="00F67E9E" w:rsidRPr="00AB0447" w:rsidRDefault="00F67E9E" w:rsidP="0052486C">
            <w:pPr>
              <w:pStyle w:val="StdBodyTextBold"/>
              <w:rPr>
                <w:rFonts w:cs="Arial"/>
              </w:rPr>
            </w:pPr>
            <w:r>
              <w:rPr>
                <w:rFonts w:cs="Arial"/>
              </w:rPr>
              <w:t>“</w:t>
            </w:r>
            <w:r w:rsidRPr="00AB0447">
              <w:rPr>
                <w:rFonts w:cs="Arial"/>
              </w:rPr>
              <w:t>Financial Distress Remediation Plan</w:t>
            </w:r>
            <w:r>
              <w:rPr>
                <w:rFonts w:cs="Arial"/>
              </w:rPr>
              <w:t>”</w:t>
            </w:r>
          </w:p>
        </w:tc>
        <w:tc>
          <w:tcPr>
            <w:tcW w:w="6803" w:type="dxa"/>
          </w:tcPr>
          <w:p w14:paraId="3F0E2F87" w14:textId="77777777" w:rsidR="00F67E9E" w:rsidRPr="00AB0447" w:rsidRDefault="00F67E9E" w:rsidP="0052486C">
            <w:pPr>
              <w:pStyle w:val="StdBodyText"/>
              <w:rPr>
                <w:rFonts w:cs="Arial"/>
              </w:rPr>
            </w:pPr>
            <w:r w:rsidRPr="00AB0447">
              <w:rPr>
                <w:rFonts w:cs="Arial"/>
              </w:rPr>
              <w:t>a plan setting out how the Supplier will ensure the continued performance and delivery of the Services in accordance with this Contract in the event that a Financial Distress Event occurs. This plan should include what the Authority would need to put in place to ensure</w:t>
            </w:r>
            <w:r>
              <w:rPr>
                <w:rFonts w:cs="Arial"/>
              </w:rPr>
              <w:t xml:space="preserve"> </w:t>
            </w:r>
            <w:r w:rsidRPr="00AB0447">
              <w:rPr>
                <w:rFonts w:cs="Arial"/>
              </w:rPr>
              <w:t>performance and delivery of the Services in accordance with this Contract up to and including any Insolvency Event in respect of the relevant FDE Group entity and may refer to the Insolvency Continuity Plan in this regard;</w:t>
            </w:r>
          </w:p>
        </w:tc>
      </w:tr>
      <w:tr w:rsidR="00F67E9E" w:rsidRPr="00F55457" w14:paraId="15C73AE4" w14:textId="77777777" w:rsidTr="0052486C">
        <w:tc>
          <w:tcPr>
            <w:tcW w:w="2835" w:type="dxa"/>
          </w:tcPr>
          <w:p w14:paraId="6C512BA4" w14:textId="77777777" w:rsidR="00F67E9E" w:rsidRPr="00AB0447" w:rsidRDefault="00F67E9E" w:rsidP="0052486C">
            <w:pPr>
              <w:pStyle w:val="StdBodyTextBold"/>
              <w:rPr>
                <w:rFonts w:cs="Arial"/>
              </w:rPr>
            </w:pPr>
            <w:r>
              <w:rPr>
                <w:rFonts w:cs="Arial"/>
              </w:rPr>
              <w:t>“</w:t>
            </w:r>
            <w:r w:rsidRPr="00AB0447">
              <w:rPr>
                <w:rFonts w:cs="Arial"/>
              </w:rPr>
              <w:t>Financial Model</w:t>
            </w:r>
            <w:r>
              <w:rPr>
                <w:rFonts w:cs="Arial"/>
              </w:rPr>
              <w:t>”</w:t>
            </w:r>
          </w:p>
        </w:tc>
        <w:tc>
          <w:tcPr>
            <w:tcW w:w="6803" w:type="dxa"/>
          </w:tcPr>
          <w:p w14:paraId="01041C88" w14:textId="3D715E64" w:rsidR="00F67E9E" w:rsidRPr="00AB0447" w:rsidRDefault="00F67E9E" w:rsidP="0052486C">
            <w:pPr>
              <w:pStyle w:val="StdBodyText"/>
              <w:rPr>
                <w:rFonts w:cs="Arial"/>
              </w:rPr>
            </w:pPr>
            <w:r w:rsidRPr="00AB0447">
              <w:rPr>
                <w:rFonts w:cs="Arial"/>
              </w:rPr>
              <w:t xml:space="preserve">has the meaning given in </w:t>
            </w:r>
            <w:r>
              <w:rPr>
                <w:rFonts w:cs="Arial"/>
              </w:rPr>
              <w:fldChar w:fldCharType="begin"/>
            </w:r>
            <w:r>
              <w:rPr>
                <w:rFonts w:cs="Arial"/>
              </w:rPr>
              <w:instrText xml:space="preserve"> REF Schedule19 \h </w:instrText>
            </w:r>
            <w:r>
              <w:rPr>
                <w:rFonts w:cs="Arial"/>
              </w:rPr>
            </w:r>
            <w:r>
              <w:rPr>
                <w:rFonts w:cs="Arial"/>
              </w:rPr>
              <w:fldChar w:fldCharType="separate"/>
            </w:r>
            <w:r w:rsidR="007A1473" w:rsidRPr="005D0525">
              <w:t>Schedule</w:t>
            </w:r>
            <w:r w:rsidR="007A1473">
              <w:t> </w:t>
            </w:r>
            <w:r w:rsidR="007A1473" w:rsidRPr="005D0525">
              <w:t>19</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Schedule19Heading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Reports and Audit Rights</w:t>
            </w:r>
            <w:r w:rsidRPr="002F30DB">
              <w:rPr>
                <w:rFonts w:cs="Arial"/>
                <w:i/>
                <w:iCs/>
              </w:rPr>
              <w:fldChar w:fldCharType="end"/>
            </w:r>
            <w:r>
              <w:rPr>
                <w:rFonts w:cs="Arial"/>
              </w:rPr>
              <w:t>)</w:t>
            </w:r>
            <w:r w:rsidRPr="00AB0447">
              <w:rPr>
                <w:rFonts w:cs="Arial"/>
              </w:rPr>
              <w:t>;</w:t>
            </w:r>
          </w:p>
        </w:tc>
      </w:tr>
      <w:tr w:rsidR="00F67E9E" w:rsidRPr="00F55457" w14:paraId="79E83BF0" w14:textId="77777777" w:rsidTr="0052486C">
        <w:tc>
          <w:tcPr>
            <w:tcW w:w="2835" w:type="dxa"/>
          </w:tcPr>
          <w:p w14:paraId="172AFA20" w14:textId="77777777" w:rsidR="00F67E9E" w:rsidRPr="00AB0447" w:rsidRDefault="00F67E9E" w:rsidP="0052486C">
            <w:pPr>
              <w:pStyle w:val="StdBodyTextBold"/>
              <w:rPr>
                <w:rFonts w:cs="Arial"/>
              </w:rPr>
            </w:pPr>
            <w:r>
              <w:rPr>
                <w:rFonts w:cs="Arial"/>
              </w:rPr>
              <w:t>“</w:t>
            </w:r>
            <w:r w:rsidRPr="00AB0447">
              <w:rPr>
                <w:rFonts w:cs="Arial"/>
              </w:rPr>
              <w:t>Financial Reports</w:t>
            </w:r>
            <w:r>
              <w:rPr>
                <w:rFonts w:cs="Arial"/>
              </w:rPr>
              <w:t>”</w:t>
            </w:r>
          </w:p>
        </w:tc>
        <w:tc>
          <w:tcPr>
            <w:tcW w:w="6803" w:type="dxa"/>
          </w:tcPr>
          <w:p w14:paraId="66CA4C91" w14:textId="7347C952" w:rsidR="00F67E9E" w:rsidRPr="00AB0447" w:rsidRDefault="00F67E9E" w:rsidP="0052486C">
            <w:pPr>
              <w:pStyle w:val="StdBodyText"/>
              <w:rPr>
                <w:rFonts w:cs="Arial"/>
              </w:rPr>
            </w:pPr>
            <w:r w:rsidRPr="00AB0447">
              <w:rPr>
                <w:rFonts w:cs="Arial"/>
              </w:rPr>
              <w:t xml:space="preserve">has the meaning given in </w:t>
            </w:r>
            <w:r>
              <w:rPr>
                <w:rFonts w:cs="Arial"/>
              </w:rPr>
              <w:fldChar w:fldCharType="begin"/>
            </w:r>
            <w:r>
              <w:rPr>
                <w:rFonts w:cs="Arial"/>
              </w:rPr>
              <w:instrText xml:space="preserve"> REF Schedule19 \h </w:instrText>
            </w:r>
            <w:r>
              <w:rPr>
                <w:rFonts w:cs="Arial"/>
              </w:rPr>
            </w:r>
            <w:r>
              <w:rPr>
                <w:rFonts w:cs="Arial"/>
              </w:rPr>
              <w:fldChar w:fldCharType="separate"/>
            </w:r>
            <w:r w:rsidR="007A1473" w:rsidRPr="005D0525">
              <w:t>Schedule</w:t>
            </w:r>
            <w:r w:rsidR="007A1473">
              <w:t> </w:t>
            </w:r>
            <w:r w:rsidR="007A1473" w:rsidRPr="005D0525">
              <w:t>19</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Schedule19Heading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Reports and Audit Rights</w:t>
            </w:r>
            <w:r w:rsidRPr="002F30DB">
              <w:rPr>
                <w:rFonts w:cs="Arial"/>
                <w:i/>
                <w:iCs/>
              </w:rPr>
              <w:fldChar w:fldCharType="end"/>
            </w:r>
            <w:r>
              <w:rPr>
                <w:rFonts w:cs="Arial"/>
              </w:rPr>
              <w:t>)</w:t>
            </w:r>
            <w:r w:rsidRPr="00AB0447">
              <w:rPr>
                <w:rFonts w:cs="Arial"/>
              </w:rPr>
              <w:t>;</w:t>
            </w:r>
          </w:p>
        </w:tc>
      </w:tr>
      <w:tr w:rsidR="00F67E9E" w:rsidRPr="00F55457" w14:paraId="4A3BE028" w14:textId="77777777" w:rsidTr="0052486C">
        <w:tc>
          <w:tcPr>
            <w:tcW w:w="2835" w:type="dxa"/>
          </w:tcPr>
          <w:p w14:paraId="5D5065DD" w14:textId="77777777" w:rsidR="00F67E9E" w:rsidRPr="00AB0447" w:rsidRDefault="00F67E9E" w:rsidP="0052486C">
            <w:pPr>
              <w:pStyle w:val="StdBodyTextBold"/>
              <w:rPr>
                <w:rFonts w:cs="Arial"/>
              </w:rPr>
            </w:pPr>
            <w:r>
              <w:rPr>
                <w:rFonts w:cs="Arial"/>
              </w:rPr>
              <w:t>“</w:t>
            </w:r>
            <w:r w:rsidRPr="00AB0447">
              <w:rPr>
                <w:rFonts w:cs="Arial"/>
              </w:rPr>
              <w:t>Financial Transparency Objectives</w:t>
            </w:r>
            <w:r>
              <w:rPr>
                <w:rFonts w:cs="Arial"/>
              </w:rPr>
              <w:t>”</w:t>
            </w:r>
          </w:p>
        </w:tc>
        <w:tc>
          <w:tcPr>
            <w:tcW w:w="6803" w:type="dxa"/>
          </w:tcPr>
          <w:p w14:paraId="7060BCE7" w14:textId="469FE502" w:rsidR="00F67E9E" w:rsidRPr="00AB0447" w:rsidRDefault="00F67E9E" w:rsidP="0052486C">
            <w:pPr>
              <w:pStyle w:val="StdBodyText"/>
              <w:rPr>
                <w:rFonts w:cs="Arial"/>
              </w:rPr>
            </w:pPr>
            <w:r w:rsidRPr="00AB0447">
              <w:rPr>
                <w:rFonts w:cs="Arial"/>
              </w:rPr>
              <w:t xml:space="preserve">has the meaning given in </w:t>
            </w:r>
            <w:r>
              <w:rPr>
                <w:rFonts w:cs="Arial"/>
              </w:rPr>
              <w:fldChar w:fldCharType="begin"/>
            </w:r>
            <w:r>
              <w:rPr>
                <w:rFonts w:cs="Arial"/>
              </w:rPr>
              <w:instrText xml:space="preserve"> REF Schedule19 \h </w:instrText>
            </w:r>
            <w:r>
              <w:rPr>
                <w:rFonts w:cs="Arial"/>
              </w:rPr>
            </w:r>
            <w:r>
              <w:rPr>
                <w:rFonts w:cs="Arial"/>
              </w:rPr>
              <w:fldChar w:fldCharType="separate"/>
            </w:r>
            <w:r w:rsidR="007A1473" w:rsidRPr="005D0525">
              <w:t>Schedule</w:t>
            </w:r>
            <w:r w:rsidR="007A1473">
              <w:t> </w:t>
            </w:r>
            <w:r w:rsidR="007A1473" w:rsidRPr="005D0525">
              <w:t>19</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Schedule19Heading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Reports and Audit Rights</w:t>
            </w:r>
            <w:r w:rsidRPr="002F30DB">
              <w:rPr>
                <w:rFonts w:cs="Arial"/>
                <w:i/>
                <w:iCs/>
              </w:rPr>
              <w:fldChar w:fldCharType="end"/>
            </w:r>
            <w:r>
              <w:rPr>
                <w:rFonts w:cs="Arial"/>
              </w:rPr>
              <w:t>)</w:t>
            </w:r>
            <w:r w:rsidRPr="00AB0447">
              <w:rPr>
                <w:rFonts w:cs="Arial"/>
              </w:rPr>
              <w:t>;</w:t>
            </w:r>
          </w:p>
        </w:tc>
      </w:tr>
      <w:tr w:rsidR="00F67E9E" w:rsidRPr="00F55457" w14:paraId="29B52F2C" w14:textId="77777777" w:rsidTr="0052486C">
        <w:tc>
          <w:tcPr>
            <w:tcW w:w="2835" w:type="dxa"/>
          </w:tcPr>
          <w:p w14:paraId="76132A48" w14:textId="77777777" w:rsidR="00F67E9E" w:rsidRPr="00AB0447" w:rsidRDefault="00F67E9E" w:rsidP="0052486C">
            <w:pPr>
              <w:pStyle w:val="StdBodyTextBold"/>
              <w:rPr>
                <w:rFonts w:cs="Arial"/>
              </w:rPr>
            </w:pPr>
            <w:r>
              <w:rPr>
                <w:rFonts w:cs="Arial"/>
              </w:rPr>
              <w:t>“</w:t>
            </w:r>
            <w:r w:rsidRPr="00AB0447">
              <w:rPr>
                <w:rFonts w:cs="Arial"/>
              </w:rPr>
              <w:t>FOIA</w:t>
            </w:r>
            <w:r>
              <w:rPr>
                <w:rFonts w:cs="Arial"/>
              </w:rPr>
              <w:t>”</w:t>
            </w:r>
          </w:p>
        </w:tc>
        <w:tc>
          <w:tcPr>
            <w:tcW w:w="6803" w:type="dxa"/>
          </w:tcPr>
          <w:p w14:paraId="5849FE7F" w14:textId="77777777" w:rsidR="00F67E9E" w:rsidRPr="00AB0447" w:rsidRDefault="00F67E9E" w:rsidP="0052486C">
            <w:pPr>
              <w:pStyle w:val="StdBodyText"/>
              <w:rPr>
                <w:rFonts w:cs="Arial"/>
              </w:rPr>
            </w:pPr>
            <w:r w:rsidRPr="00AB0447">
              <w:rPr>
                <w:rFonts w:cs="Arial"/>
              </w:rPr>
              <w:t xml:space="preserve">the </w:t>
            </w:r>
            <w:bookmarkStart w:id="58" w:name="_9kR3WTr277DLFOLrffq01vQTxzCBv3C8EbLBcXW"/>
            <w:r w:rsidRPr="00AB0447">
              <w:rPr>
                <w:rFonts w:cs="Arial"/>
              </w:rPr>
              <w:t>Freedom of Information Act 2000</w:t>
            </w:r>
            <w:bookmarkEnd w:id="58"/>
            <w:r w:rsidRPr="00AB0447">
              <w:rPr>
                <w:rFonts w:cs="Arial"/>
              </w:rPr>
              <w:t xml:space="preserve"> and any subordinate legislation made under that Act from time to time, together with any guidance and/or codes of practice issued by the Information Commissioner or any relevant </w:t>
            </w:r>
            <w:r>
              <w:rPr>
                <w:rFonts w:cs="Arial"/>
              </w:rPr>
              <w:t>Crown Body</w:t>
            </w:r>
            <w:r w:rsidRPr="00AB0447">
              <w:rPr>
                <w:rFonts w:cs="Arial"/>
              </w:rPr>
              <w:t xml:space="preserve"> in relation to such Act;</w:t>
            </w:r>
          </w:p>
        </w:tc>
      </w:tr>
      <w:tr w:rsidR="00F67E9E" w:rsidRPr="00F55457" w14:paraId="159E66F4" w14:textId="77777777" w:rsidTr="0052486C">
        <w:tc>
          <w:tcPr>
            <w:tcW w:w="2835" w:type="dxa"/>
          </w:tcPr>
          <w:p w14:paraId="26DF6714" w14:textId="77777777" w:rsidR="00F67E9E" w:rsidRPr="00AB0447" w:rsidRDefault="00F67E9E" w:rsidP="0052486C">
            <w:pPr>
              <w:pStyle w:val="StdBodyTextBold"/>
              <w:rPr>
                <w:rFonts w:cs="Arial"/>
              </w:rPr>
            </w:pPr>
            <w:r>
              <w:rPr>
                <w:rFonts w:cs="Arial"/>
              </w:rPr>
              <w:lastRenderedPageBreak/>
              <w:t>“</w:t>
            </w:r>
            <w:r w:rsidRPr="00AB0447">
              <w:rPr>
                <w:rFonts w:cs="Arial"/>
              </w:rPr>
              <w:t>Force Majeure Event</w:t>
            </w:r>
            <w:r>
              <w:rPr>
                <w:rFonts w:cs="Arial"/>
              </w:rPr>
              <w:t>”</w:t>
            </w:r>
          </w:p>
        </w:tc>
        <w:tc>
          <w:tcPr>
            <w:tcW w:w="6803" w:type="dxa"/>
          </w:tcPr>
          <w:p w14:paraId="638237AA" w14:textId="77777777" w:rsidR="00F67E9E" w:rsidRPr="00AB0447" w:rsidRDefault="00F67E9E" w:rsidP="0052486C">
            <w:pPr>
              <w:pStyle w:val="StdBodyText"/>
              <w:rPr>
                <w:rFonts w:cs="Arial"/>
              </w:rPr>
            </w:pPr>
            <w:r w:rsidRPr="00AB0447">
              <w:rPr>
                <w:rFonts w:cs="Arial"/>
              </w:rPr>
              <w:t>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Supplier or the Supplier Personnel or any other failure in the Supplier</w:t>
            </w:r>
            <w:r>
              <w:rPr>
                <w:rFonts w:cs="Arial"/>
              </w:rPr>
              <w:t>’</w:t>
            </w:r>
            <w:r w:rsidRPr="00AB0447">
              <w:rPr>
                <w:rFonts w:cs="Arial"/>
              </w:rPr>
              <w:t>s or a Sub-contractor</w:t>
            </w:r>
            <w:r>
              <w:rPr>
                <w:rFonts w:cs="Arial"/>
              </w:rPr>
              <w:t>’</w:t>
            </w:r>
            <w:r w:rsidRPr="00AB0447">
              <w:rPr>
                <w:rFonts w:cs="Arial"/>
              </w:rPr>
              <w:t>s supply chain;</w:t>
            </w:r>
          </w:p>
        </w:tc>
      </w:tr>
      <w:tr w:rsidR="00F67E9E" w:rsidRPr="00F55457" w14:paraId="13A91EA4" w14:textId="77777777" w:rsidTr="0052486C">
        <w:tc>
          <w:tcPr>
            <w:tcW w:w="2835" w:type="dxa"/>
          </w:tcPr>
          <w:p w14:paraId="78E04B38" w14:textId="77777777" w:rsidR="00F67E9E" w:rsidRPr="00AB0447" w:rsidRDefault="00F67E9E" w:rsidP="0052486C">
            <w:pPr>
              <w:pStyle w:val="StdBodyTextBold"/>
              <w:rPr>
                <w:rFonts w:cs="Arial"/>
              </w:rPr>
            </w:pPr>
            <w:r>
              <w:rPr>
                <w:rFonts w:cs="Arial"/>
              </w:rPr>
              <w:t>“</w:t>
            </w:r>
            <w:r w:rsidRPr="00AB0447">
              <w:rPr>
                <w:rFonts w:cs="Arial"/>
              </w:rPr>
              <w:t>Force Majeure Notice</w:t>
            </w:r>
            <w:r>
              <w:rPr>
                <w:rFonts w:cs="Arial"/>
              </w:rPr>
              <w:t>”</w:t>
            </w:r>
          </w:p>
        </w:tc>
        <w:tc>
          <w:tcPr>
            <w:tcW w:w="6803" w:type="dxa"/>
          </w:tcPr>
          <w:p w14:paraId="4FB2A678" w14:textId="77777777" w:rsidR="00F67E9E" w:rsidRPr="00AB0447" w:rsidRDefault="00F67E9E" w:rsidP="0052486C">
            <w:pPr>
              <w:pStyle w:val="StdBodyText"/>
              <w:rPr>
                <w:rFonts w:cs="Arial"/>
              </w:rPr>
            </w:pPr>
            <w:r w:rsidRPr="00AB0447">
              <w:rPr>
                <w:rFonts w:cs="Arial"/>
              </w:rPr>
              <w:t>a written notice s</w:t>
            </w:r>
            <w:bookmarkStart w:id="59" w:name="_9kR3WTr5DA48E0w"/>
            <w:bookmarkEnd w:id="59"/>
            <w:r w:rsidRPr="00AB0447">
              <w:rPr>
                <w:rFonts w:cs="Arial"/>
              </w:rPr>
              <w:t>erved by the Affected Party on the other Party stating that the Affected Party believes that there is a Force Majeure Event;</w:t>
            </w:r>
          </w:p>
        </w:tc>
      </w:tr>
      <w:tr w:rsidR="00F67E9E" w:rsidRPr="00F55457" w14:paraId="719297CA" w14:textId="77777777" w:rsidTr="0052486C">
        <w:tc>
          <w:tcPr>
            <w:tcW w:w="2835" w:type="dxa"/>
          </w:tcPr>
          <w:p w14:paraId="5A093346" w14:textId="77777777" w:rsidR="00F67E9E" w:rsidRPr="00AB0447" w:rsidRDefault="00F67E9E" w:rsidP="0052486C">
            <w:pPr>
              <w:pStyle w:val="StdBodyTextBold"/>
              <w:rPr>
                <w:rFonts w:cs="Arial"/>
              </w:rPr>
            </w:pPr>
            <w:r>
              <w:rPr>
                <w:rFonts w:cs="Arial"/>
              </w:rPr>
              <w:t>“</w:t>
            </w:r>
            <w:r w:rsidRPr="00AB0447">
              <w:rPr>
                <w:rFonts w:cs="Arial"/>
              </w:rPr>
              <w:t>Former Supplier</w:t>
            </w:r>
            <w:r>
              <w:rPr>
                <w:rFonts w:cs="Arial"/>
              </w:rPr>
              <w:t>”</w:t>
            </w:r>
          </w:p>
        </w:tc>
        <w:tc>
          <w:tcPr>
            <w:tcW w:w="6803" w:type="dxa"/>
          </w:tcPr>
          <w:p w14:paraId="2E00D906" w14:textId="3E549284" w:rsidR="00F67E9E" w:rsidRPr="00AB0447" w:rsidRDefault="00F67E9E" w:rsidP="0052486C">
            <w:pPr>
              <w:pStyle w:val="StdBodyText"/>
              <w:rPr>
                <w:rFonts w:cs="Arial"/>
              </w:rPr>
            </w:pPr>
            <w:r w:rsidRPr="00AB0447">
              <w:rPr>
                <w:rFonts w:cs="Arial"/>
              </w:rPr>
              <w:t>has the meaning given in</w:t>
            </w:r>
            <w:r>
              <w:rPr>
                <w:rFonts w:cs="Arial"/>
              </w:rPr>
              <w:t xml:space="preserve"> </w:t>
            </w:r>
            <w:r>
              <w:rPr>
                <w:rFonts w:cs="Arial"/>
              </w:rPr>
              <w:fldChar w:fldCharType="begin"/>
            </w:r>
            <w:r>
              <w:rPr>
                <w:rFonts w:cs="Arial"/>
              </w:rPr>
              <w:instrText xml:space="preserve"> REF Schedule28 \h </w:instrText>
            </w:r>
            <w:r>
              <w:rPr>
                <w:rFonts w:cs="Arial"/>
              </w:rPr>
            </w:r>
            <w:r>
              <w:rPr>
                <w:rFonts w:cs="Arial"/>
              </w:rPr>
              <w:fldChar w:fldCharType="separate"/>
            </w:r>
            <w:r w:rsidR="007A1473" w:rsidRPr="005D0525">
              <w:t>Schedule</w:t>
            </w:r>
            <w:r w:rsidR="007A1473">
              <w:t> </w:t>
            </w:r>
            <w:r w:rsidR="007A1473" w:rsidRPr="005D0525">
              <w:t>28</w:t>
            </w:r>
            <w:r>
              <w:rPr>
                <w:rFonts w:cs="Arial"/>
              </w:rPr>
              <w:fldChar w:fldCharType="end"/>
            </w:r>
            <w:r>
              <w:rPr>
                <w:rFonts w:cs="Arial"/>
              </w:rPr>
              <w:t xml:space="preserve"> (</w:t>
            </w:r>
            <w:r w:rsidRPr="006F064F">
              <w:rPr>
                <w:rFonts w:cs="Arial"/>
                <w:i/>
                <w:iCs/>
              </w:rPr>
              <w:fldChar w:fldCharType="begin"/>
            </w:r>
            <w:r w:rsidRPr="006F064F">
              <w:rPr>
                <w:rFonts w:cs="Arial"/>
                <w:i/>
                <w:iCs/>
              </w:rPr>
              <w:instrText xml:space="preserve"> REF Schedule28Heading \h </w:instrText>
            </w:r>
            <w:r>
              <w:rPr>
                <w:rFonts w:cs="Arial"/>
                <w:i/>
                <w:iCs/>
              </w:rPr>
              <w:instrText xml:space="preserve"> \* MERGEFORMAT </w:instrText>
            </w:r>
            <w:r w:rsidRPr="006F064F">
              <w:rPr>
                <w:rFonts w:cs="Arial"/>
                <w:i/>
                <w:iCs/>
              </w:rPr>
            </w:r>
            <w:r w:rsidRPr="006F064F">
              <w:rPr>
                <w:rFonts w:cs="Arial"/>
                <w:i/>
                <w:iCs/>
              </w:rPr>
              <w:fldChar w:fldCharType="separate"/>
            </w:r>
            <w:r w:rsidR="007A1473" w:rsidRPr="007A1473">
              <w:rPr>
                <w:i/>
                <w:iCs/>
              </w:rPr>
              <w:t>Staff Transfer</w:t>
            </w:r>
            <w:r w:rsidRPr="006F064F">
              <w:rPr>
                <w:rFonts w:cs="Arial"/>
                <w:i/>
                <w:iCs/>
              </w:rPr>
              <w:fldChar w:fldCharType="end"/>
            </w:r>
            <w:r>
              <w:rPr>
                <w:rFonts w:cs="Arial"/>
              </w:rPr>
              <w:t>)</w:t>
            </w:r>
            <w:r w:rsidRPr="00AB0447">
              <w:rPr>
                <w:rFonts w:cs="Arial"/>
              </w:rPr>
              <w:t>;</w:t>
            </w:r>
          </w:p>
        </w:tc>
      </w:tr>
      <w:tr w:rsidR="00FB2D9F" w:rsidRPr="00F55457" w14:paraId="4109E433" w14:textId="77777777" w:rsidTr="0052486C">
        <w:tc>
          <w:tcPr>
            <w:tcW w:w="2835" w:type="dxa"/>
          </w:tcPr>
          <w:p w14:paraId="4816A8E9" w14:textId="2EDA3151" w:rsidR="00FB2D9F" w:rsidRDefault="00FB2D9F" w:rsidP="0052486C">
            <w:pPr>
              <w:pStyle w:val="StdBodyTextBold"/>
              <w:rPr>
                <w:rFonts w:cs="Arial"/>
              </w:rPr>
            </w:pPr>
            <w:r>
              <w:rPr>
                <w:rFonts w:cs="Arial"/>
              </w:rPr>
              <w:t>“Full Service Platform Customer”</w:t>
            </w:r>
          </w:p>
        </w:tc>
        <w:tc>
          <w:tcPr>
            <w:tcW w:w="6803" w:type="dxa"/>
          </w:tcPr>
          <w:p w14:paraId="285ADE2B" w14:textId="62F672A8" w:rsidR="00FB2D9F" w:rsidRPr="00AB0447" w:rsidRDefault="00FB2D9F" w:rsidP="008A6F39">
            <w:pPr>
              <w:pStyle w:val="StdBodyText"/>
              <w:rPr>
                <w:rFonts w:cs="Arial"/>
              </w:rPr>
            </w:pPr>
            <w:r w:rsidRPr="002071BF">
              <w:rPr>
                <w:rFonts w:cs="Arial"/>
                <w:color w:val="000000"/>
              </w:rPr>
              <w:t xml:space="preserve">means any </w:t>
            </w:r>
            <w:r w:rsidR="000770C5">
              <w:rPr>
                <w:rFonts w:cs="Arial"/>
                <w:color w:val="000000"/>
              </w:rPr>
              <w:t xml:space="preserve">Full System </w:t>
            </w:r>
            <w:r w:rsidRPr="002071BF">
              <w:rPr>
                <w:rFonts w:cs="Arial"/>
                <w:color w:val="000000"/>
              </w:rPr>
              <w:t xml:space="preserve">Platform Customer </w:t>
            </w:r>
            <w:r>
              <w:rPr>
                <w:rFonts w:cs="Arial"/>
                <w:color w:val="000000"/>
              </w:rPr>
              <w:t xml:space="preserve">(as identified by the Authority to the Supplier) </w:t>
            </w:r>
            <w:r w:rsidRPr="002071BF">
              <w:rPr>
                <w:rFonts w:cs="Arial"/>
                <w:color w:val="000000"/>
              </w:rPr>
              <w:t>that can post vacancies on the Civil Service Jobs platform</w:t>
            </w:r>
            <w:r w:rsidR="00BF02DF">
              <w:rPr>
                <w:rFonts w:cs="Arial"/>
                <w:color w:val="000000"/>
              </w:rPr>
              <w:t xml:space="preserve"> </w:t>
            </w:r>
            <w:r>
              <w:rPr>
                <w:rFonts w:cs="Arial"/>
                <w:color w:val="000000"/>
              </w:rPr>
              <w:t xml:space="preserve">and </w:t>
            </w:r>
            <w:r w:rsidR="008A6F39">
              <w:rPr>
                <w:rFonts w:cs="Arial"/>
                <w:color w:val="000000"/>
              </w:rPr>
              <w:t xml:space="preserve">has </w:t>
            </w:r>
            <w:r>
              <w:rPr>
                <w:rFonts w:cs="Arial"/>
                <w:color w:val="000000"/>
              </w:rPr>
              <w:t>use of the end-to-end recruitment process management</w:t>
            </w:r>
            <w:r w:rsidR="008A6F39">
              <w:rPr>
                <w:rFonts w:cs="Arial"/>
                <w:color w:val="000000"/>
              </w:rPr>
              <w:t xml:space="preserve"> provided by the Government Recruitment Service</w:t>
            </w:r>
            <w:r>
              <w:rPr>
                <w:rFonts w:cs="Arial"/>
                <w:color w:val="000000"/>
              </w:rPr>
              <w:t xml:space="preserve">, and the term </w:t>
            </w:r>
            <w:r w:rsidRPr="002071BF">
              <w:rPr>
                <w:rFonts w:cs="Arial"/>
                <w:b/>
                <w:color w:val="000000"/>
              </w:rPr>
              <w:t>"</w:t>
            </w:r>
            <w:r>
              <w:rPr>
                <w:rFonts w:cs="Arial"/>
                <w:b/>
                <w:color w:val="000000"/>
              </w:rPr>
              <w:t>Full Service</w:t>
            </w:r>
            <w:r w:rsidRPr="002071BF">
              <w:rPr>
                <w:rFonts w:cs="Arial"/>
                <w:b/>
                <w:color w:val="000000"/>
              </w:rPr>
              <w:t>"</w:t>
            </w:r>
            <w:r>
              <w:rPr>
                <w:rFonts w:cs="Arial"/>
                <w:color w:val="000000"/>
              </w:rPr>
              <w:t xml:space="preserve"> will be construed accordingly</w:t>
            </w:r>
            <w:r w:rsidRPr="002071BF">
              <w:rPr>
                <w:rFonts w:cs="Arial"/>
                <w:color w:val="000000"/>
              </w:rPr>
              <w:t>;</w:t>
            </w:r>
          </w:p>
        </w:tc>
      </w:tr>
      <w:tr w:rsidR="002071BF" w:rsidRPr="00F55457" w14:paraId="4D394579" w14:textId="77777777" w:rsidTr="0052486C">
        <w:tc>
          <w:tcPr>
            <w:tcW w:w="2835" w:type="dxa"/>
          </w:tcPr>
          <w:p w14:paraId="4FC2E95D" w14:textId="7EF61777" w:rsidR="002071BF" w:rsidRDefault="002071BF" w:rsidP="002071BF">
            <w:pPr>
              <w:pStyle w:val="StdBodyTextBold"/>
              <w:rPr>
                <w:rFonts w:cs="Arial"/>
              </w:rPr>
            </w:pPr>
            <w:r>
              <w:rPr>
                <w:rFonts w:cs="Arial"/>
              </w:rPr>
              <w:t>"Full System Platform Customer"</w:t>
            </w:r>
          </w:p>
        </w:tc>
        <w:tc>
          <w:tcPr>
            <w:tcW w:w="6803" w:type="dxa"/>
          </w:tcPr>
          <w:p w14:paraId="037F7F0A" w14:textId="06AA5C11" w:rsidR="002071BF" w:rsidRPr="00AB0447" w:rsidRDefault="002071BF" w:rsidP="00D24999">
            <w:pPr>
              <w:pStyle w:val="StdBodyText"/>
              <w:rPr>
                <w:rFonts w:cs="Arial"/>
              </w:rPr>
            </w:pPr>
            <w:r w:rsidRPr="002071BF">
              <w:rPr>
                <w:rFonts w:cs="Arial"/>
                <w:color w:val="000000"/>
              </w:rPr>
              <w:t xml:space="preserve">means any Platform Customer </w:t>
            </w:r>
            <w:r w:rsidR="00D24999">
              <w:rPr>
                <w:rFonts w:cs="Arial"/>
                <w:color w:val="000000"/>
              </w:rPr>
              <w:t xml:space="preserve">(as identified by the Authority to the Supplier) </w:t>
            </w:r>
            <w:r w:rsidRPr="002071BF">
              <w:rPr>
                <w:rFonts w:cs="Arial"/>
                <w:color w:val="000000"/>
              </w:rPr>
              <w:t>that can post vacancies on the Civil Service Jobs platform</w:t>
            </w:r>
            <w:r>
              <w:rPr>
                <w:rFonts w:cs="Arial"/>
                <w:color w:val="000000"/>
              </w:rPr>
              <w:t xml:space="preserve"> and also has full use of the</w:t>
            </w:r>
            <w:r w:rsidR="00540F77">
              <w:rPr>
                <w:rFonts w:cs="Arial"/>
                <w:color w:val="000000"/>
              </w:rPr>
              <w:t xml:space="preserve"> system</w:t>
            </w:r>
            <w:r>
              <w:rPr>
                <w:rFonts w:cs="Arial"/>
                <w:color w:val="000000"/>
              </w:rPr>
              <w:t xml:space="preserve">functionality provided by the Civil Service Jobs Platform, and the term </w:t>
            </w:r>
            <w:r w:rsidRPr="002071BF">
              <w:rPr>
                <w:rFonts w:cs="Arial"/>
                <w:b/>
                <w:color w:val="000000"/>
              </w:rPr>
              <w:t>"</w:t>
            </w:r>
            <w:r w:rsidR="00D24999">
              <w:rPr>
                <w:rFonts w:cs="Arial"/>
                <w:b/>
                <w:color w:val="000000"/>
              </w:rPr>
              <w:t>Full System</w:t>
            </w:r>
            <w:r w:rsidRPr="002071BF">
              <w:rPr>
                <w:rFonts w:cs="Arial"/>
                <w:b/>
                <w:color w:val="000000"/>
              </w:rPr>
              <w:t>"</w:t>
            </w:r>
            <w:r>
              <w:rPr>
                <w:rFonts w:cs="Arial"/>
                <w:color w:val="000000"/>
              </w:rPr>
              <w:t xml:space="preserve"> will be construed accordingly</w:t>
            </w:r>
            <w:r w:rsidRPr="002071BF">
              <w:rPr>
                <w:rFonts w:cs="Arial"/>
                <w:color w:val="000000"/>
              </w:rPr>
              <w:t>;</w:t>
            </w:r>
          </w:p>
        </w:tc>
      </w:tr>
      <w:tr w:rsidR="002071BF" w:rsidRPr="00F55457" w14:paraId="519A8579" w14:textId="77777777" w:rsidTr="0052486C">
        <w:tc>
          <w:tcPr>
            <w:tcW w:w="2835" w:type="dxa"/>
          </w:tcPr>
          <w:p w14:paraId="1FD60DB5" w14:textId="77777777" w:rsidR="002071BF" w:rsidRPr="00AB0447" w:rsidRDefault="002071BF" w:rsidP="002071BF">
            <w:pPr>
              <w:pStyle w:val="StdBodyTextBold"/>
              <w:rPr>
                <w:rFonts w:cs="Arial"/>
              </w:rPr>
            </w:pPr>
            <w:r>
              <w:rPr>
                <w:rFonts w:cs="Arial"/>
              </w:rPr>
              <w:t>“</w:t>
            </w:r>
            <w:r w:rsidRPr="00AB0447">
              <w:rPr>
                <w:rFonts w:cs="Arial"/>
              </w:rPr>
              <w:t>General Anti-Abuse Rule</w:t>
            </w:r>
            <w:r>
              <w:rPr>
                <w:rFonts w:cs="Arial"/>
              </w:rPr>
              <w:t>”</w:t>
            </w:r>
          </w:p>
        </w:tc>
        <w:tc>
          <w:tcPr>
            <w:tcW w:w="6803" w:type="dxa"/>
          </w:tcPr>
          <w:p w14:paraId="71D88CD4" w14:textId="77777777" w:rsidR="002071BF" w:rsidRPr="00AB0447" w:rsidRDefault="002071BF" w:rsidP="002071BF">
            <w:pPr>
              <w:pStyle w:val="DefinitionList"/>
              <w:numPr>
                <w:ilvl w:val="0"/>
                <w:numId w:val="153"/>
              </w:numPr>
            </w:pPr>
            <w:r w:rsidRPr="00AB0447">
              <w:t xml:space="preserve">the legislation in </w:t>
            </w:r>
            <w:bookmarkStart w:id="60" w:name="_9kR3WTr277DJGbEn7M5tz2oNM1uvyqPI8ZUUY"/>
            <w:r w:rsidRPr="00AB0447">
              <w:t>Part 5 of the Finance Act 2013</w:t>
            </w:r>
            <w:bookmarkEnd w:id="60"/>
            <w:r w:rsidRPr="00AB0447">
              <w:t>; and</w:t>
            </w:r>
          </w:p>
          <w:p w14:paraId="1B9F8413" w14:textId="77777777" w:rsidR="002071BF" w:rsidRPr="00AB0447" w:rsidRDefault="002071BF" w:rsidP="002071BF">
            <w:pPr>
              <w:pStyle w:val="DefinitionList"/>
              <w:numPr>
                <w:ilvl w:val="0"/>
                <w:numId w:val="78"/>
              </w:numPr>
              <w:rPr>
                <w:rFonts w:cs="Arial"/>
              </w:rPr>
            </w:pPr>
            <w:r w:rsidRPr="00AB0447">
              <w:rPr>
                <w:rFonts w:cs="Arial"/>
              </w:rPr>
              <w:t>any future legislation introduced into Parliament to counteract tax advantages arising from abusive arrangements to avoid national insurance contributions;</w:t>
            </w:r>
          </w:p>
        </w:tc>
      </w:tr>
      <w:tr w:rsidR="002071BF" w:rsidRPr="00F55457" w14:paraId="5EB5D348" w14:textId="77777777" w:rsidTr="0052486C">
        <w:tc>
          <w:tcPr>
            <w:tcW w:w="2835" w:type="dxa"/>
          </w:tcPr>
          <w:p w14:paraId="2FFF521E" w14:textId="77777777" w:rsidR="002071BF" w:rsidRPr="00AB0447" w:rsidRDefault="002071BF" w:rsidP="002071BF">
            <w:pPr>
              <w:pStyle w:val="StdBodyTextBold"/>
              <w:rPr>
                <w:rFonts w:cs="Arial"/>
              </w:rPr>
            </w:pPr>
            <w:r>
              <w:rPr>
                <w:rFonts w:cs="Arial"/>
              </w:rPr>
              <w:t>“</w:t>
            </w:r>
            <w:r w:rsidRPr="00AB0447">
              <w:rPr>
                <w:rFonts w:cs="Arial"/>
              </w:rPr>
              <w:t>General Change in Law</w:t>
            </w:r>
            <w:r>
              <w:rPr>
                <w:rFonts w:cs="Arial"/>
              </w:rPr>
              <w:t>”</w:t>
            </w:r>
          </w:p>
        </w:tc>
        <w:tc>
          <w:tcPr>
            <w:tcW w:w="6803" w:type="dxa"/>
          </w:tcPr>
          <w:p w14:paraId="70FE1699" w14:textId="77777777" w:rsidR="002071BF" w:rsidRPr="00AB0447" w:rsidRDefault="002071BF" w:rsidP="002071BF">
            <w:pPr>
              <w:pStyle w:val="StdBodyText"/>
              <w:rPr>
                <w:rFonts w:cs="Arial"/>
              </w:rPr>
            </w:pPr>
            <w:r w:rsidRPr="00AB0447">
              <w:rPr>
                <w:rFonts w:cs="Arial"/>
              </w:rPr>
              <w:t>a Change in Law where the change is of a general legislative nature (including taxation or duties of any sort affecting the Supplier) or which affects or relates to a Comparable Supply;</w:t>
            </w:r>
          </w:p>
        </w:tc>
      </w:tr>
      <w:tr w:rsidR="002071BF" w:rsidRPr="00F55457" w14:paraId="5C206C39" w14:textId="77777777" w:rsidTr="0052486C">
        <w:tc>
          <w:tcPr>
            <w:tcW w:w="2835" w:type="dxa"/>
          </w:tcPr>
          <w:p w14:paraId="007759FC" w14:textId="77777777" w:rsidR="002071BF" w:rsidRPr="00AB0447" w:rsidRDefault="002071BF" w:rsidP="002071BF">
            <w:pPr>
              <w:pStyle w:val="StdBodyTextBold"/>
              <w:rPr>
                <w:rFonts w:cs="Arial"/>
              </w:rPr>
            </w:pPr>
            <w:r>
              <w:rPr>
                <w:rFonts w:cs="Arial"/>
              </w:rPr>
              <w:t>“</w:t>
            </w:r>
            <w:r w:rsidRPr="00AB0447">
              <w:rPr>
                <w:rFonts w:cs="Arial"/>
              </w:rPr>
              <w:t>Good Industry Practice</w:t>
            </w:r>
            <w:r>
              <w:rPr>
                <w:rFonts w:cs="Arial"/>
              </w:rPr>
              <w:t>”</w:t>
            </w:r>
          </w:p>
        </w:tc>
        <w:tc>
          <w:tcPr>
            <w:tcW w:w="6803" w:type="dxa"/>
          </w:tcPr>
          <w:p w14:paraId="7DC3D071" w14:textId="77777777" w:rsidR="002071BF" w:rsidRPr="00AB0447" w:rsidRDefault="002071BF" w:rsidP="002071BF">
            <w:pPr>
              <w:pStyle w:val="StdBodyText"/>
              <w:rPr>
                <w:rFonts w:cs="Arial"/>
              </w:rPr>
            </w:pPr>
            <w:r w:rsidRPr="00AB0447">
              <w:rPr>
                <w:rFonts w:cs="Arial"/>
              </w:rPr>
              <w:t>at any time the exercise of that degree of care, skill, diligence, prudence, efficiency, foresight and timeliness which would be reasonably expected at such time from a leading and expert supplier of services similar to the Services to a customer like the Authority, such supplier seeking to comply with its contractual obligations in full and complying with applicable Laws;</w:t>
            </w:r>
          </w:p>
        </w:tc>
      </w:tr>
      <w:tr w:rsidR="002071BF" w:rsidRPr="00F55457" w14:paraId="73B8096B" w14:textId="77777777" w:rsidTr="0052486C">
        <w:tc>
          <w:tcPr>
            <w:tcW w:w="2835" w:type="dxa"/>
          </w:tcPr>
          <w:p w14:paraId="62E49EBF" w14:textId="77777777" w:rsidR="002071BF" w:rsidRPr="00AB0447" w:rsidRDefault="002071BF" w:rsidP="002071BF">
            <w:pPr>
              <w:pStyle w:val="StdBodyTextBold"/>
              <w:rPr>
                <w:rFonts w:cs="Arial"/>
              </w:rPr>
            </w:pPr>
            <w:r>
              <w:rPr>
                <w:rFonts w:cs="Arial"/>
              </w:rPr>
              <w:lastRenderedPageBreak/>
              <w:t>“</w:t>
            </w:r>
            <w:r w:rsidRPr="00AB0447">
              <w:rPr>
                <w:rFonts w:cs="Arial"/>
              </w:rPr>
              <w:t>Goods</w:t>
            </w:r>
            <w:r>
              <w:rPr>
                <w:rFonts w:cs="Arial"/>
              </w:rPr>
              <w:t>”</w:t>
            </w:r>
          </w:p>
        </w:tc>
        <w:tc>
          <w:tcPr>
            <w:tcW w:w="6803" w:type="dxa"/>
          </w:tcPr>
          <w:p w14:paraId="77AAEFA2" w14:textId="77777777" w:rsidR="002071BF" w:rsidRPr="00AB0447" w:rsidRDefault="002071BF" w:rsidP="002071BF">
            <w:pPr>
              <w:pStyle w:val="StdBodyText"/>
              <w:rPr>
                <w:rFonts w:cs="Arial"/>
              </w:rPr>
            </w:pPr>
            <w:r w:rsidRPr="00AB0447">
              <w:rPr>
                <w:rFonts w:cs="Arial"/>
              </w:rPr>
              <w:t xml:space="preserve">has the meaning given in </w:t>
            </w:r>
            <w:bookmarkStart w:id="61" w:name="_9kMHG5YVtCIA9A8IQoWlwxhwCvyIG39CykfBTL3"/>
            <w:bookmarkStart w:id="62" w:name="_9kMHG5YVtCJB9A9JQoWlwxhwCvyIG39CykfBTL3"/>
            <w:bookmarkStart w:id="63" w:name="_9kMHG5YVt4AAFPHIQoWlwxhwCvyIG39CykfBTL3"/>
            <w:r w:rsidRPr="00AB0447">
              <w:rPr>
                <w:rFonts w:cs="Arial"/>
              </w:rPr>
              <w:t xml:space="preserve">Clause </w:t>
            </w:r>
            <w:bookmarkEnd w:id="61"/>
            <w:bookmarkEnd w:id="62"/>
            <w:bookmarkEnd w:id="63"/>
            <w:r w:rsidRPr="00AB0447">
              <w:rPr>
                <w:rFonts w:cs="Arial"/>
              </w:rPr>
              <w:t>9.7 (</w:t>
            </w:r>
            <w:r w:rsidRPr="00C04B2F">
              <w:rPr>
                <w:rFonts w:cs="Arial"/>
                <w:i/>
                <w:iCs/>
              </w:rPr>
              <w:t>Supply of Goods</w:t>
            </w:r>
            <w:r w:rsidRPr="00AB0447">
              <w:rPr>
                <w:rFonts w:cs="Arial"/>
              </w:rPr>
              <w:t>);</w:t>
            </w:r>
          </w:p>
        </w:tc>
      </w:tr>
      <w:tr w:rsidR="002071BF" w:rsidRPr="00F55457" w14:paraId="20C66AB3" w14:textId="77777777" w:rsidTr="0052486C">
        <w:tc>
          <w:tcPr>
            <w:tcW w:w="2835" w:type="dxa"/>
          </w:tcPr>
          <w:p w14:paraId="764E398A" w14:textId="77777777" w:rsidR="002071BF" w:rsidRPr="00AB0447" w:rsidRDefault="002071BF" w:rsidP="002071BF">
            <w:pPr>
              <w:pStyle w:val="StdBodyTextBold"/>
              <w:rPr>
                <w:rFonts w:cs="Arial"/>
              </w:rPr>
            </w:pPr>
            <w:r>
              <w:rPr>
                <w:rFonts w:cs="Arial"/>
              </w:rPr>
              <w:t>“</w:t>
            </w:r>
            <w:r w:rsidRPr="00AB0447">
              <w:rPr>
                <w:rFonts w:cs="Arial"/>
              </w:rPr>
              <w:t>Guarantee</w:t>
            </w:r>
            <w:r>
              <w:rPr>
                <w:rFonts w:cs="Arial"/>
              </w:rPr>
              <w:t>”</w:t>
            </w:r>
          </w:p>
        </w:tc>
        <w:tc>
          <w:tcPr>
            <w:tcW w:w="6803" w:type="dxa"/>
          </w:tcPr>
          <w:p w14:paraId="32026416" w14:textId="72D2DA66" w:rsidR="002071BF" w:rsidRPr="00AB0447" w:rsidRDefault="002071BF" w:rsidP="00AA0D24">
            <w:pPr>
              <w:pStyle w:val="StdBodyText"/>
              <w:rPr>
                <w:rFonts w:cs="Arial"/>
              </w:rPr>
            </w:pPr>
            <w:r w:rsidRPr="00AB0447">
              <w:rPr>
                <w:rFonts w:cs="Arial"/>
              </w:rPr>
              <w:t xml:space="preserve">the deed of guarantee </w:t>
            </w:r>
            <w:r w:rsidR="007D5EB9">
              <w:rPr>
                <w:rFonts w:cs="Arial"/>
              </w:rPr>
              <w:t xml:space="preserve">(if any) </w:t>
            </w:r>
            <w:r w:rsidRPr="00AB0447">
              <w:rPr>
                <w:rFonts w:cs="Arial"/>
              </w:rPr>
              <w:t xml:space="preserve">in favour of the Authority entered into by the Guarantor on or about the date of this Contract (which is in the form set out in </w:t>
            </w:r>
            <w:r w:rsidR="00AA0D24">
              <w:rPr>
                <w:rFonts w:cs="Arial"/>
              </w:rPr>
              <w:t xml:space="preserve">Schedule 30 </w:t>
            </w:r>
            <w:r>
              <w:rPr>
                <w:rFonts w:cs="Arial"/>
              </w:rPr>
              <w:t>(</w:t>
            </w:r>
            <w:r w:rsidR="00AA0D24">
              <w:rPr>
                <w:rFonts w:cs="Arial"/>
                <w:i/>
                <w:iCs/>
              </w:rPr>
              <w:t>Guarantee</w:t>
            </w:r>
            <w:r>
              <w:rPr>
                <w:rFonts w:cs="Arial"/>
              </w:rPr>
              <w:t>)</w:t>
            </w:r>
            <w:r w:rsidRPr="00AB0447">
              <w:rPr>
                <w:rFonts w:cs="Arial"/>
              </w:rPr>
              <w:t>, or any guarantee acceptable to the Authority that replaces it from time to time</w:t>
            </w:r>
            <w:r w:rsidR="00AA0D24">
              <w:rPr>
                <w:rFonts w:cs="Arial"/>
              </w:rPr>
              <w:t>. There is no Guarantee for the purposes of this Contract as at the Effective Date</w:t>
            </w:r>
            <w:r w:rsidRPr="00AB0447">
              <w:rPr>
                <w:rFonts w:cs="Arial"/>
              </w:rPr>
              <w:t>;</w:t>
            </w:r>
          </w:p>
        </w:tc>
      </w:tr>
      <w:tr w:rsidR="002071BF" w:rsidRPr="00F55457" w14:paraId="5593BBE0" w14:textId="77777777" w:rsidTr="0052486C">
        <w:tc>
          <w:tcPr>
            <w:tcW w:w="2835" w:type="dxa"/>
          </w:tcPr>
          <w:p w14:paraId="76F80C2C" w14:textId="77777777" w:rsidR="002071BF" w:rsidRPr="00F55457" w:rsidRDefault="002071BF" w:rsidP="002071BF">
            <w:pPr>
              <w:pStyle w:val="StdBodyTextBold"/>
              <w:rPr>
                <w:rFonts w:cs="Arial"/>
              </w:rPr>
            </w:pPr>
            <w:r>
              <w:rPr>
                <w:rFonts w:cs="Arial"/>
              </w:rPr>
              <w:t>“</w:t>
            </w:r>
            <w:r w:rsidRPr="00F55457">
              <w:rPr>
                <w:rFonts w:cs="Arial"/>
              </w:rPr>
              <w:t>Guarantor</w:t>
            </w:r>
            <w:r>
              <w:rPr>
                <w:rFonts w:cs="Arial"/>
              </w:rPr>
              <w:t>”</w:t>
            </w:r>
          </w:p>
        </w:tc>
        <w:tc>
          <w:tcPr>
            <w:tcW w:w="6803" w:type="dxa"/>
          </w:tcPr>
          <w:p w14:paraId="24F7E833" w14:textId="2E20F1B0" w:rsidR="002071BF" w:rsidRPr="00F55457" w:rsidRDefault="007D5EB9" w:rsidP="007D5EB9">
            <w:pPr>
              <w:pStyle w:val="StdBodyText"/>
              <w:rPr>
                <w:rFonts w:cs="Arial"/>
              </w:rPr>
            </w:pPr>
            <w:r w:rsidRPr="007D5EB9">
              <w:rPr>
                <w:rFonts w:cs="Arial"/>
              </w:rPr>
              <w:t>there is no Guarantor for the purposes of this Contract as at the Effective Date;</w:t>
            </w:r>
          </w:p>
        </w:tc>
      </w:tr>
      <w:tr w:rsidR="002071BF" w:rsidRPr="00F55457" w14:paraId="0EC7AF0D" w14:textId="77777777" w:rsidTr="0052486C">
        <w:tc>
          <w:tcPr>
            <w:tcW w:w="2835" w:type="dxa"/>
          </w:tcPr>
          <w:p w14:paraId="1F9B67EE" w14:textId="77777777" w:rsidR="002071BF" w:rsidRPr="00F55457" w:rsidRDefault="002071BF" w:rsidP="002071BF">
            <w:pPr>
              <w:pStyle w:val="StdBodyTextBold"/>
              <w:rPr>
                <w:rFonts w:cs="Arial"/>
              </w:rPr>
            </w:pPr>
            <w:r>
              <w:rPr>
                <w:rFonts w:cs="Arial"/>
              </w:rPr>
              <w:t>“</w:t>
            </w:r>
            <w:r w:rsidRPr="00F55457">
              <w:rPr>
                <w:rFonts w:cs="Arial"/>
              </w:rPr>
              <w:t>Halifax Abuse Principle</w:t>
            </w:r>
            <w:r>
              <w:rPr>
                <w:rFonts w:cs="Arial"/>
              </w:rPr>
              <w:t>”</w:t>
            </w:r>
          </w:p>
        </w:tc>
        <w:tc>
          <w:tcPr>
            <w:tcW w:w="6803" w:type="dxa"/>
          </w:tcPr>
          <w:p w14:paraId="27EEC9FD" w14:textId="77777777" w:rsidR="002071BF" w:rsidRPr="00F55457" w:rsidRDefault="002071BF" w:rsidP="002071BF">
            <w:pPr>
              <w:pStyle w:val="StdBodyText"/>
              <w:rPr>
                <w:rFonts w:cs="Arial"/>
              </w:rPr>
            </w:pPr>
            <w:r w:rsidRPr="00F55457">
              <w:rPr>
                <w:rFonts w:cs="Arial"/>
              </w:rPr>
              <w:t>the principle explained in the CJEU Case C-255/02 Halifax and others;</w:t>
            </w:r>
          </w:p>
        </w:tc>
      </w:tr>
      <w:tr w:rsidR="002071BF" w:rsidRPr="00F55457" w14:paraId="3FEAB1CD" w14:textId="77777777" w:rsidTr="0052486C">
        <w:tc>
          <w:tcPr>
            <w:tcW w:w="2835" w:type="dxa"/>
          </w:tcPr>
          <w:p w14:paraId="1D934BC8" w14:textId="77777777" w:rsidR="002071BF" w:rsidRPr="00F55457" w:rsidRDefault="002071BF" w:rsidP="002071BF">
            <w:pPr>
              <w:pStyle w:val="StdBodyTextBold"/>
              <w:rPr>
                <w:rFonts w:cs="Arial"/>
              </w:rPr>
            </w:pPr>
            <w:r>
              <w:rPr>
                <w:rFonts w:cs="Arial"/>
              </w:rPr>
              <w:t>“</w:t>
            </w:r>
            <w:r w:rsidRPr="00F55457">
              <w:rPr>
                <w:rFonts w:cs="Arial"/>
              </w:rPr>
              <w:t>Health and Safety Policy</w:t>
            </w:r>
            <w:r>
              <w:rPr>
                <w:rFonts w:cs="Arial"/>
              </w:rPr>
              <w:t>”</w:t>
            </w:r>
          </w:p>
        </w:tc>
        <w:tc>
          <w:tcPr>
            <w:tcW w:w="6803" w:type="dxa"/>
          </w:tcPr>
          <w:p w14:paraId="36CF0B21" w14:textId="77777777" w:rsidR="002071BF" w:rsidRPr="00F55457" w:rsidRDefault="002071BF" w:rsidP="002071BF">
            <w:pPr>
              <w:pStyle w:val="StdBodyText"/>
              <w:rPr>
                <w:rFonts w:cs="Arial"/>
              </w:rPr>
            </w:pPr>
            <w:r w:rsidRPr="00F55457">
              <w:rPr>
                <w:rFonts w:cs="Arial"/>
              </w:rPr>
              <w:t xml:space="preserve">the health and safety policy of the Authority and/or other relevant </w:t>
            </w:r>
            <w:r>
              <w:rPr>
                <w:rFonts w:cs="Arial"/>
              </w:rPr>
              <w:t>Crown Body</w:t>
            </w:r>
            <w:r w:rsidRPr="00F55457">
              <w:rPr>
                <w:rFonts w:cs="Arial"/>
              </w:rPr>
              <w:t xml:space="preserve">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rsidR="002071BF" w:rsidRPr="00F55457" w14:paraId="53642E04" w14:textId="77777777" w:rsidTr="0052486C">
        <w:tc>
          <w:tcPr>
            <w:tcW w:w="2835" w:type="dxa"/>
          </w:tcPr>
          <w:p w14:paraId="29B3E3E2" w14:textId="77777777" w:rsidR="002071BF" w:rsidRPr="00F55457" w:rsidRDefault="002071BF" w:rsidP="002071BF">
            <w:pPr>
              <w:pStyle w:val="StdBodyTextBold"/>
              <w:rPr>
                <w:rFonts w:cs="Arial"/>
              </w:rPr>
            </w:pPr>
            <w:r>
              <w:rPr>
                <w:rFonts w:cs="Arial"/>
              </w:rPr>
              <w:t>“</w:t>
            </w:r>
            <w:r w:rsidRPr="00F55457">
              <w:rPr>
                <w:rFonts w:cs="Arial"/>
              </w:rPr>
              <w:t>HMRC</w:t>
            </w:r>
            <w:r>
              <w:rPr>
                <w:rFonts w:cs="Arial"/>
              </w:rPr>
              <w:t>”</w:t>
            </w:r>
          </w:p>
        </w:tc>
        <w:tc>
          <w:tcPr>
            <w:tcW w:w="6803" w:type="dxa"/>
          </w:tcPr>
          <w:p w14:paraId="753A29D8" w14:textId="77777777" w:rsidR="002071BF" w:rsidRPr="00F55457" w:rsidRDefault="002071BF" w:rsidP="002071BF">
            <w:pPr>
              <w:pStyle w:val="StdBodyText"/>
              <w:rPr>
                <w:rFonts w:cs="Arial"/>
              </w:rPr>
            </w:pPr>
            <w:r w:rsidRPr="00F55457">
              <w:rPr>
                <w:rFonts w:cs="Arial"/>
              </w:rPr>
              <w:t>HM Revenue &amp; Customs;</w:t>
            </w:r>
          </w:p>
        </w:tc>
      </w:tr>
      <w:tr w:rsidR="002071BF" w:rsidRPr="00F55457" w14:paraId="462B3724" w14:textId="77777777" w:rsidTr="0052486C">
        <w:tc>
          <w:tcPr>
            <w:tcW w:w="2835" w:type="dxa"/>
          </w:tcPr>
          <w:p w14:paraId="454634AE" w14:textId="77777777" w:rsidR="002071BF" w:rsidRPr="00F55457" w:rsidRDefault="002071BF" w:rsidP="002071BF">
            <w:pPr>
              <w:pStyle w:val="StdBodyTextBold"/>
              <w:rPr>
                <w:rFonts w:cs="Arial"/>
              </w:rPr>
            </w:pPr>
            <w:r>
              <w:rPr>
                <w:rFonts w:cs="Arial"/>
              </w:rPr>
              <w:t>“</w:t>
            </w:r>
            <w:r w:rsidRPr="00F55457">
              <w:rPr>
                <w:rFonts w:cs="Arial"/>
              </w:rPr>
              <w:t>Impact Assessment</w:t>
            </w:r>
            <w:r>
              <w:rPr>
                <w:rFonts w:cs="Arial"/>
              </w:rPr>
              <w:t>”</w:t>
            </w:r>
          </w:p>
        </w:tc>
        <w:tc>
          <w:tcPr>
            <w:tcW w:w="6803" w:type="dxa"/>
          </w:tcPr>
          <w:p w14:paraId="315FE043" w14:textId="0C36CB4B" w:rsidR="002071BF" w:rsidRPr="00F55457" w:rsidRDefault="002071BF" w:rsidP="002071BF">
            <w:pPr>
              <w:pStyle w:val="StdBodyText"/>
              <w:rPr>
                <w:rFonts w:cs="Arial"/>
              </w:rPr>
            </w:pPr>
            <w:r w:rsidRPr="00F55457">
              <w:rPr>
                <w:rFonts w:cs="Arial"/>
              </w:rPr>
              <w:t xml:space="preserve">has the meaning given in </w:t>
            </w:r>
            <w:r>
              <w:rPr>
                <w:rFonts w:cs="Arial"/>
              </w:rPr>
              <w:fldChar w:fldCharType="begin"/>
            </w:r>
            <w:r>
              <w:rPr>
                <w:rFonts w:cs="Arial"/>
              </w:rPr>
              <w:instrText xml:space="preserve"> REF Schedule22 \h </w:instrText>
            </w:r>
            <w:r>
              <w:rPr>
                <w:rFonts w:cs="Arial"/>
              </w:rPr>
            </w:r>
            <w:r>
              <w:rPr>
                <w:rFonts w:cs="Arial"/>
              </w:rPr>
              <w:fldChar w:fldCharType="separate"/>
            </w:r>
            <w:r w:rsidR="007A1473" w:rsidRPr="005D0525">
              <w:t>Schedule</w:t>
            </w:r>
            <w:r w:rsidR="007A1473">
              <w:t> </w:t>
            </w:r>
            <w:r w:rsidR="007A1473" w:rsidRPr="005D0525">
              <w:t>22</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Schedule22Heading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Change Control Procedure</w:t>
            </w:r>
            <w:r w:rsidRPr="002F30DB">
              <w:rPr>
                <w:rFonts w:cs="Arial"/>
                <w:i/>
                <w:iCs/>
              </w:rPr>
              <w:fldChar w:fldCharType="end"/>
            </w:r>
            <w:r>
              <w:rPr>
                <w:rFonts w:cs="Arial"/>
              </w:rPr>
              <w:t>)</w:t>
            </w:r>
            <w:r w:rsidRPr="00F55457">
              <w:rPr>
                <w:rFonts w:cs="Arial"/>
              </w:rPr>
              <w:t>;</w:t>
            </w:r>
          </w:p>
        </w:tc>
      </w:tr>
      <w:tr w:rsidR="002071BF" w:rsidRPr="00F55457" w14:paraId="1E54FD39" w14:textId="77777777" w:rsidTr="0052486C">
        <w:tc>
          <w:tcPr>
            <w:tcW w:w="2835" w:type="dxa"/>
          </w:tcPr>
          <w:p w14:paraId="02EF40E4" w14:textId="77777777" w:rsidR="002071BF" w:rsidRPr="00F55457" w:rsidRDefault="002071BF" w:rsidP="002071BF">
            <w:pPr>
              <w:pStyle w:val="StdBodyTextBold"/>
              <w:rPr>
                <w:rFonts w:cs="Arial"/>
              </w:rPr>
            </w:pPr>
            <w:r>
              <w:rPr>
                <w:rFonts w:cs="Arial"/>
              </w:rPr>
              <w:t>“</w:t>
            </w:r>
            <w:r w:rsidRPr="00F55457">
              <w:rPr>
                <w:rFonts w:cs="Arial"/>
              </w:rPr>
              <w:t>Implementation Plan</w:t>
            </w:r>
            <w:r>
              <w:rPr>
                <w:rFonts w:cs="Arial"/>
              </w:rPr>
              <w:t>”</w:t>
            </w:r>
          </w:p>
        </w:tc>
        <w:tc>
          <w:tcPr>
            <w:tcW w:w="6803" w:type="dxa"/>
          </w:tcPr>
          <w:p w14:paraId="2F991204" w14:textId="123A1616" w:rsidR="002071BF" w:rsidRPr="00F55457" w:rsidRDefault="002071BF" w:rsidP="002071BF">
            <w:pPr>
              <w:pStyle w:val="StdBodyText"/>
              <w:rPr>
                <w:rFonts w:cs="Arial"/>
              </w:rPr>
            </w:pPr>
            <w:r w:rsidRPr="00F55457">
              <w:rPr>
                <w:rFonts w:cs="Arial"/>
              </w:rPr>
              <w:t xml:space="preserve">the Outline Implementation Plan or (if and when approved by the Authority pursuant to </w:t>
            </w:r>
            <w:bookmarkStart w:id="64" w:name="_9kMJI5YVt4EE6CEZGpqgyts0F"/>
            <w:r w:rsidRPr="003D320B">
              <w:rPr>
                <w:rFonts w:cs="Arial"/>
              </w:rPr>
              <w:t>Paragraph</w:t>
            </w:r>
            <w:r w:rsidRPr="00F55457">
              <w:rPr>
                <w:rFonts w:cs="Arial"/>
              </w:rPr>
              <w:t xml:space="preserve"> </w:t>
            </w:r>
            <w:bookmarkEnd w:id="64"/>
            <w:r w:rsidRPr="003D320B">
              <w:rPr>
                <w:rFonts w:cs="Arial"/>
              </w:rPr>
              <w:fldChar w:fldCharType="begin"/>
            </w:r>
            <w:r w:rsidRPr="00F55457">
              <w:rPr>
                <w:rFonts w:cs="Arial"/>
              </w:rPr>
              <w:instrText xml:space="preserve"> REF _Ref_ContractCompanion_9kb9Ur9FB \w \h  \* MERGEFORMAT </w:instrText>
            </w:r>
            <w:r w:rsidRPr="003D320B">
              <w:rPr>
                <w:rFonts w:cs="Arial"/>
              </w:rPr>
            </w:r>
            <w:r w:rsidRPr="003D320B">
              <w:rPr>
                <w:rFonts w:cs="Arial"/>
              </w:rPr>
              <w:fldChar w:fldCharType="separate"/>
            </w:r>
            <w:r w:rsidR="007A1473">
              <w:rPr>
                <w:rFonts w:cs="Arial"/>
              </w:rPr>
              <w:t>3</w:t>
            </w:r>
            <w:r w:rsidRPr="003D320B">
              <w:rPr>
                <w:rFonts w:cs="Arial"/>
              </w:rPr>
              <w:fldChar w:fldCharType="end"/>
            </w:r>
            <w:r w:rsidRPr="00F55457">
              <w:rPr>
                <w:rFonts w:cs="Arial"/>
              </w:rPr>
              <w:t xml:space="preserve"> of </w:t>
            </w:r>
            <w:r>
              <w:rPr>
                <w:rFonts w:cs="Arial"/>
              </w:rPr>
              <w:fldChar w:fldCharType="begin"/>
            </w:r>
            <w:r>
              <w:rPr>
                <w:rFonts w:cs="Arial"/>
              </w:rPr>
              <w:instrText xml:space="preserve"> REF Schedule13 \h </w:instrText>
            </w:r>
            <w:r>
              <w:rPr>
                <w:rFonts w:cs="Arial"/>
              </w:rPr>
            </w:r>
            <w:r>
              <w:rPr>
                <w:rFonts w:cs="Arial"/>
              </w:rPr>
              <w:fldChar w:fldCharType="separate"/>
            </w:r>
            <w:r w:rsidR="007A1473" w:rsidRPr="005D0525">
              <w:t>Schedule</w:t>
            </w:r>
            <w:r w:rsidR="007A1473">
              <w:t> </w:t>
            </w:r>
            <w:r w:rsidR="007A1473" w:rsidRPr="005D0525">
              <w:t>13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Schedule13Heading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Implementation Plan</w:t>
            </w:r>
            <w:r w:rsidRPr="00A22335">
              <w:rPr>
                <w:rFonts w:cs="Arial"/>
                <w:i/>
                <w:iCs/>
              </w:rPr>
              <w:fldChar w:fldCharType="end"/>
            </w:r>
            <w:r>
              <w:rPr>
                <w:rFonts w:cs="Arial"/>
              </w:rPr>
              <w:t>)</w:t>
            </w:r>
            <w:r w:rsidRPr="00F55457">
              <w:rPr>
                <w:rFonts w:cs="Arial"/>
              </w:rPr>
              <w:t xml:space="preserve">) the Detailed Implementation Plan as updated in accordance with </w:t>
            </w:r>
            <w:bookmarkStart w:id="65" w:name="_9kMJI5YVt4EE6EJcGpqgyts0G"/>
            <w:r w:rsidRPr="003D320B">
              <w:rPr>
                <w:rFonts w:cs="Arial"/>
              </w:rPr>
              <w:t>Paragraph</w:t>
            </w:r>
            <w:r w:rsidRPr="00F55457">
              <w:rPr>
                <w:rFonts w:cs="Arial"/>
              </w:rPr>
              <w:t xml:space="preserve"> </w:t>
            </w:r>
            <w:bookmarkEnd w:id="65"/>
            <w:r w:rsidRPr="003D320B">
              <w:rPr>
                <w:rFonts w:cs="Arial"/>
              </w:rPr>
              <w:fldChar w:fldCharType="begin"/>
            </w:r>
            <w:r w:rsidRPr="00F55457">
              <w:rPr>
                <w:rFonts w:cs="Arial"/>
              </w:rPr>
              <w:instrText xml:space="preserve"> REF _Ref44508311 \w \h  \* MERGEFORMAT </w:instrText>
            </w:r>
            <w:r w:rsidRPr="003D320B">
              <w:rPr>
                <w:rFonts w:cs="Arial"/>
              </w:rPr>
            </w:r>
            <w:r w:rsidRPr="003D320B">
              <w:rPr>
                <w:rFonts w:cs="Arial"/>
              </w:rPr>
              <w:fldChar w:fldCharType="separate"/>
            </w:r>
            <w:r w:rsidR="007A1473">
              <w:rPr>
                <w:rFonts w:cs="Arial"/>
              </w:rPr>
              <w:t>4</w:t>
            </w:r>
            <w:r w:rsidRPr="003D320B">
              <w:rPr>
                <w:rFonts w:cs="Arial"/>
              </w:rPr>
              <w:fldChar w:fldCharType="end"/>
            </w:r>
            <w:r w:rsidRPr="00F55457">
              <w:rPr>
                <w:rFonts w:cs="Arial"/>
              </w:rPr>
              <w:t xml:space="preserve"> of </w:t>
            </w:r>
            <w:r>
              <w:rPr>
                <w:rFonts w:cs="Arial"/>
              </w:rPr>
              <w:fldChar w:fldCharType="begin"/>
            </w:r>
            <w:r>
              <w:rPr>
                <w:rFonts w:cs="Arial"/>
              </w:rPr>
              <w:instrText xml:space="preserve"> REF Schedule13 \h </w:instrText>
            </w:r>
            <w:r>
              <w:rPr>
                <w:rFonts w:cs="Arial"/>
              </w:rPr>
            </w:r>
            <w:r>
              <w:rPr>
                <w:rFonts w:cs="Arial"/>
              </w:rPr>
              <w:fldChar w:fldCharType="separate"/>
            </w:r>
            <w:r w:rsidR="007A1473" w:rsidRPr="005D0525">
              <w:t>Schedule</w:t>
            </w:r>
            <w:r w:rsidR="007A1473">
              <w:t> </w:t>
            </w:r>
            <w:r w:rsidR="007A1473" w:rsidRPr="005D0525">
              <w:t>13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Schedule13Heading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Implementation Plan</w:t>
            </w:r>
            <w:r w:rsidRPr="00A22335">
              <w:rPr>
                <w:rFonts w:cs="Arial"/>
                <w:i/>
                <w:iCs/>
              </w:rPr>
              <w:fldChar w:fldCharType="end"/>
            </w:r>
            <w:r>
              <w:rPr>
                <w:rFonts w:cs="Arial"/>
              </w:rPr>
              <w:t>)</w:t>
            </w:r>
            <w:r w:rsidRPr="00F55457">
              <w:rPr>
                <w:rFonts w:cs="Arial"/>
              </w:rPr>
              <w:t xml:space="preserve"> from time to time;</w:t>
            </w:r>
          </w:p>
        </w:tc>
      </w:tr>
      <w:tr w:rsidR="002071BF" w:rsidRPr="00F55457" w14:paraId="57AE724B" w14:textId="77777777" w:rsidTr="0052486C">
        <w:tc>
          <w:tcPr>
            <w:tcW w:w="2835" w:type="dxa"/>
          </w:tcPr>
          <w:p w14:paraId="3D832F0D" w14:textId="77777777" w:rsidR="002071BF" w:rsidRPr="00F55457" w:rsidRDefault="002071BF" w:rsidP="002071BF">
            <w:pPr>
              <w:pStyle w:val="StdBodyTextBold"/>
              <w:rPr>
                <w:rFonts w:cs="Arial"/>
              </w:rPr>
            </w:pPr>
            <w:r>
              <w:rPr>
                <w:rFonts w:cs="Arial"/>
              </w:rPr>
              <w:t>“</w:t>
            </w:r>
            <w:r w:rsidRPr="00F55457">
              <w:rPr>
                <w:rFonts w:cs="Arial"/>
              </w:rPr>
              <w:t>Implementation Services</w:t>
            </w:r>
            <w:r>
              <w:rPr>
                <w:rFonts w:cs="Arial"/>
              </w:rPr>
              <w:t>”</w:t>
            </w:r>
          </w:p>
        </w:tc>
        <w:tc>
          <w:tcPr>
            <w:tcW w:w="6803" w:type="dxa"/>
          </w:tcPr>
          <w:p w14:paraId="6CB0DA2A" w14:textId="77777777" w:rsidR="002071BF" w:rsidRPr="00F55457" w:rsidRDefault="002071BF" w:rsidP="002071BF">
            <w:pPr>
              <w:pStyle w:val="StdBodyText"/>
              <w:rPr>
                <w:rFonts w:cs="Arial"/>
              </w:rPr>
            </w:pPr>
            <w:r w:rsidRPr="00F55457">
              <w:rPr>
                <w:rFonts w:cs="Arial"/>
              </w:rPr>
              <w:t>the implementation services described as such in the Services Description;</w:t>
            </w:r>
          </w:p>
        </w:tc>
      </w:tr>
      <w:tr w:rsidR="002071BF" w:rsidRPr="00F55457" w14:paraId="3FFE0479" w14:textId="77777777" w:rsidTr="0052486C">
        <w:tc>
          <w:tcPr>
            <w:tcW w:w="2835" w:type="dxa"/>
          </w:tcPr>
          <w:p w14:paraId="5A639CF5" w14:textId="77777777" w:rsidR="002071BF" w:rsidRPr="00F55457" w:rsidRDefault="002071BF" w:rsidP="002071BF">
            <w:pPr>
              <w:pStyle w:val="StdBodyTextBold"/>
              <w:rPr>
                <w:rFonts w:cs="Arial"/>
              </w:rPr>
            </w:pPr>
            <w:r>
              <w:rPr>
                <w:rFonts w:cs="Arial"/>
              </w:rPr>
              <w:t>“</w:t>
            </w:r>
            <w:r w:rsidRPr="00F55457">
              <w:rPr>
                <w:rFonts w:cs="Arial"/>
              </w:rPr>
              <w:t>Implementation Services Commencement Date</w:t>
            </w:r>
            <w:r>
              <w:rPr>
                <w:rFonts w:cs="Arial"/>
              </w:rPr>
              <w:t>”</w:t>
            </w:r>
          </w:p>
        </w:tc>
        <w:tc>
          <w:tcPr>
            <w:tcW w:w="6803" w:type="dxa"/>
          </w:tcPr>
          <w:p w14:paraId="3A894A8E" w14:textId="719D2B97" w:rsidR="002071BF" w:rsidRPr="00F55457" w:rsidRDefault="002071BF" w:rsidP="003A2FB5">
            <w:pPr>
              <w:pStyle w:val="StdBodyText"/>
              <w:rPr>
                <w:rFonts w:cs="Arial"/>
              </w:rPr>
            </w:pPr>
            <w:r w:rsidRPr="00F55457">
              <w:rPr>
                <w:rFonts w:cs="Arial"/>
              </w:rPr>
              <w:t>the date on which the Supplier is to commence provision of the first of the Services</w:t>
            </w:r>
            <w:r w:rsidRPr="00EC33A0">
              <w:rPr>
                <w:rFonts w:cs="Arial"/>
              </w:rPr>
              <w:t xml:space="preserve">, being </w:t>
            </w:r>
            <w:r w:rsidR="003A2FB5" w:rsidRPr="00EC33A0">
              <w:rPr>
                <w:rFonts w:cs="Arial"/>
              </w:rPr>
              <w:t>the Effective Date</w:t>
            </w:r>
            <w:r w:rsidRPr="00EC33A0">
              <w:rPr>
                <w:rFonts w:cs="Arial"/>
              </w:rPr>
              <w:t xml:space="preserve">; </w:t>
            </w:r>
          </w:p>
        </w:tc>
      </w:tr>
      <w:tr w:rsidR="002071BF" w:rsidRPr="00F55457" w14:paraId="25D3D792" w14:textId="77777777" w:rsidTr="0052486C">
        <w:tc>
          <w:tcPr>
            <w:tcW w:w="2835" w:type="dxa"/>
          </w:tcPr>
          <w:p w14:paraId="0EFE7C76" w14:textId="77777777" w:rsidR="002071BF" w:rsidRPr="00AB0447" w:rsidRDefault="002071BF" w:rsidP="002071BF">
            <w:pPr>
              <w:pStyle w:val="StdBodyTextBold"/>
              <w:rPr>
                <w:rFonts w:cs="Arial"/>
              </w:rPr>
            </w:pPr>
            <w:r>
              <w:rPr>
                <w:rFonts w:cs="Arial"/>
              </w:rPr>
              <w:t>“</w:t>
            </w:r>
            <w:r w:rsidRPr="00AB0447">
              <w:rPr>
                <w:rFonts w:cs="Arial"/>
              </w:rPr>
              <w:t>Indemnified Person</w:t>
            </w:r>
            <w:r>
              <w:rPr>
                <w:rFonts w:cs="Arial"/>
              </w:rPr>
              <w:t>”</w:t>
            </w:r>
          </w:p>
        </w:tc>
        <w:tc>
          <w:tcPr>
            <w:tcW w:w="6803" w:type="dxa"/>
          </w:tcPr>
          <w:p w14:paraId="53F980ED" w14:textId="77777777" w:rsidR="002071BF" w:rsidRPr="00AB0447" w:rsidRDefault="002071BF" w:rsidP="002071BF">
            <w:pPr>
              <w:pStyle w:val="StdBodyText"/>
              <w:rPr>
                <w:rFonts w:cs="Arial"/>
              </w:rPr>
            </w:pPr>
            <w:r w:rsidRPr="00AB0447">
              <w:rPr>
                <w:rFonts w:cs="Arial"/>
              </w:rPr>
              <w:t>the Authority and each and every person to whom the Authority (or any direct or indirect sub-licensee of the Authority) sub-licenses, assigns or novates any Relevant IPRs or rights in Relevant IPRs in accordance with this Contract;</w:t>
            </w:r>
          </w:p>
        </w:tc>
      </w:tr>
      <w:tr w:rsidR="002071BF" w:rsidRPr="00F55457" w14:paraId="2D2D700E" w14:textId="77777777" w:rsidTr="0052486C">
        <w:tc>
          <w:tcPr>
            <w:tcW w:w="2835" w:type="dxa"/>
          </w:tcPr>
          <w:p w14:paraId="4B01BCDA" w14:textId="77777777" w:rsidR="002071BF" w:rsidRPr="00F55457" w:rsidRDefault="002071BF" w:rsidP="002071BF">
            <w:pPr>
              <w:pStyle w:val="StdBodyTextBold"/>
              <w:rPr>
                <w:rFonts w:cs="Arial"/>
              </w:rPr>
            </w:pPr>
            <w:r>
              <w:rPr>
                <w:rFonts w:cs="Arial"/>
              </w:rPr>
              <w:lastRenderedPageBreak/>
              <w:t>“</w:t>
            </w:r>
            <w:r w:rsidRPr="00F55457">
              <w:rPr>
                <w:rFonts w:cs="Arial"/>
              </w:rPr>
              <w:t>Independent Control</w:t>
            </w:r>
            <w:r>
              <w:rPr>
                <w:rFonts w:cs="Arial"/>
              </w:rPr>
              <w:t>ler”</w:t>
            </w:r>
          </w:p>
        </w:tc>
        <w:tc>
          <w:tcPr>
            <w:tcW w:w="6803" w:type="dxa"/>
          </w:tcPr>
          <w:p w14:paraId="1CB6D59C" w14:textId="77777777" w:rsidR="002071BF" w:rsidRPr="00995964" w:rsidRDefault="002071BF" w:rsidP="002071BF">
            <w:pPr>
              <w:pStyle w:val="StdBodyText"/>
              <w:rPr>
                <w:rFonts w:cs="Arial"/>
              </w:rPr>
            </w:pPr>
            <w:r w:rsidRPr="00995964">
              <w:t>a party which is Controller of the same Personal Data as the other Party and there is no element of joint control with regards to that Personal Data;</w:t>
            </w:r>
          </w:p>
        </w:tc>
      </w:tr>
      <w:tr w:rsidR="002071BF" w:rsidRPr="00F55457" w14:paraId="31A2E78E" w14:textId="77777777" w:rsidTr="0052486C">
        <w:tc>
          <w:tcPr>
            <w:tcW w:w="2835" w:type="dxa"/>
          </w:tcPr>
          <w:p w14:paraId="43308D45" w14:textId="77777777" w:rsidR="002071BF" w:rsidRPr="00F55457" w:rsidRDefault="002071BF" w:rsidP="002071BF">
            <w:pPr>
              <w:pStyle w:val="StdBodyTextBold"/>
              <w:rPr>
                <w:rFonts w:cs="Arial"/>
              </w:rPr>
            </w:pPr>
            <w:r>
              <w:rPr>
                <w:rFonts w:cs="Arial"/>
              </w:rPr>
              <w:t>“</w:t>
            </w:r>
            <w:r w:rsidRPr="00F55457">
              <w:rPr>
                <w:rFonts w:cs="Arial"/>
              </w:rPr>
              <w:t>Information</w:t>
            </w:r>
            <w:r>
              <w:rPr>
                <w:rFonts w:cs="Arial"/>
              </w:rPr>
              <w:t>”</w:t>
            </w:r>
          </w:p>
        </w:tc>
        <w:tc>
          <w:tcPr>
            <w:tcW w:w="6803" w:type="dxa"/>
          </w:tcPr>
          <w:p w14:paraId="38A87525" w14:textId="77777777" w:rsidR="002071BF" w:rsidRPr="00F55457" w:rsidRDefault="002071BF" w:rsidP="002071BF">
            <w:pPr>
              <w:pStyle w:val="StdBodyText"/>
              <w:rPr>
                <w:rFonts w:cs="Arial"/>
              </w:rPr>
            </w:pPr>
            <w:r w:rsidRPr="00F55457">
              <w:rPr>
                <w:rFonts w:cs="Arial"/>
              </w:rPr>
              <w:t>all information of whatever nature, however conveyed and in whatever form, including in writing, orally, by demonstration, electronically and in a tangible, visual or machine-readable medium (including CD-ROM, magnetic and digital form);</w:t>
            </w:r>
          </w:p>
        </w:tc>
      </w:tr>
      <w:tr w:rsidR="002071BF" w:rsidRPr="00F55457" w14:paraId="77AD4E73" w14:textId="77777777" w:rsidTr="0052486C">
        <w:tc>
          <w:tcPr>
            <w:tcW w:w="2835" w:type="dxa"/>
          </w:tcPr>
          <w:p w14:paraId="519A07A1" w14:textId="77777777" w:rsidR="002071BF" w:rsidRPr="00F55457" w:rsidRDefault="002071BF" w:rsidP="002071BF">
            <w:pPr>
              <w:pStyle w:val="StdBodyTextBold"/>
              <w:rPr>
                <w:rFonts w:cs="Arial"/>
              </w:rPr>
            </w:pPr>
            <w:r>
              <w:rPr>
                <w:rFonts w:cs="Arial"/>
              </w:rPr>
              <w:t>“</w:t>
            </w:r>
            <w:r w:rsidRPr="00F55457">
              <w:rPr>
                <w:rFonts w:cs="Arial"/>
              </w:rPr>
              <w:t>Initial Term</w:t>
            </w:r>
            <w:r>
              <w:rPr>
                <w:rFonts w:cs="Arial"/>
              </w:rPr>
              <w:t>”</w:t>
            </w:r>
          </w:p>
        </w:tc>
        <w:tc>
          <w:tcPr>
            <w:tcW w:w="6803" w:type="dxa"/>
          </w:tcPr>
          <w:p w14:paraId="1D238B8C" w14:textId="42FF0F73" w:rsidR="002071BF" w:rsidRPr="00F55457" w:rsidRDefault="002071BF" w:rsidP="002071BF">
            <w:pPr>
              <w:pStyle w:val="StdBodyText"/>
              <w:rPr>
                <w:rFonts w:cs="Arial"/>
              </w:rPr>
            </w:pPr>
            <w:r w:rsidRPr="00F55457">
              <w:rPr>
                <w:rFonts w:cs="Arial"/>
              </w:rPr>
              <w:t xml:space="preserve">the period of </w:t>
            </w:r>
            <w:r w:rsidRPr="001C3778">
              <w:rPr>
                <w:rStyle w:val="StdBodyTextBoldChar"/>
                <w:rFonts w:cs="Arial"/>
                <w:b w:val="0"/>
                <w:bCs/>
              </w:rPr>
              <w:t>5 years</w:t>
            </w:r>
            <w:r w:rsidRPr="001C4B30">
              <w:rPr>
                <w:rFonts w:cs="Arial"/>
              </w:rPr>
              <w:t xml:space="preserve"> </w:t>
            </w:r>
            <w:r w:rsidRPr="00F55457">
              <w:rPr>
                <w:rFonts w:cs="Arial"/>
              </w:rPr>
              <w:t>from and including the Effective Date;</w:t>
            </w:r>
          </w:p>
        </w:tc>
      </w:tr>
      <w:tr w:rsidR="002071BF" w:rsidRPr="00F55457" w14:paraId="0F9EC7E8" w14:textId="77777777" w:rsidTr="0052486C">
        <w:tc>
          <w:tcPr>
            <w:tcW w:w="2835" w:type="dxa"/>
          </w:tcPr>
          <w:p w14:paraId="4EA794C0" w14:textId="77777777" w:rsidR="002071BF" w:rsidRPr="00F55457" w:rsidRDefault="002071BF" w:rsidP="002071BF">
            <w:pPr>
              <w:pStyle w:val="StdBodyTextBold"/>
              <w:rPr>
                <w:rFonts w:cs="Arial"/>
              </w:rPr>
            </w:pPr>
            <w:r>
              <w:rPr>
                <w:rFonts w:cs="Arial"/>
              </w:rPr>
              <w:t>“</w:t>
            </w:r>
            <w:r w:rsidRPr="00F55457">
              <w:rPr>
                <w:rFonts w:cs="Arial"/>
              </w:rPr>
              <w:t>Initial Upload Date</w:t>
            </w:r>
            <w:r>
              <w:rPr>
                <w:rFonts w:cs="Arial"/>
              </w:rPr>
              <w:t>”</w:t>
            </w:r>
          </w:p>
        </w:tc>
        <w:tc>
          <w:tcPr>
            <w:tcW w:w="6803" w:type="dxa"/>
          </w:tcPr>
          <w:p w14:paraId="0E027713" w14:textId="6760172D" w:rsidR="002071BF" w:rsidRPr="00DF43A1" w:rsidRDefault="002071BF" w:rsidP="002071BF">
            <w:pPr>
              <w:pStyle w:val="StdBodyText"/>
              <w:rPr>
                <w:rFonts w:cs="Arial"/>
              </w:rPr>
            </w:pPr>
            <w:r w:rsidRPr="00DF43A1">
              <w:rPr>
                <w:rFonts w:cs="Arial"/>
              </w:rPr>
              <w:t xml:space="preserve">means the occurrence of an event detailed in </w:t>
            </w:r>
            <w:r>
              <w:rPr>
                <w:rFonts w:cs="Arial"/>
              </w:rPr>
              <w:fldChar w:fldCharType="begin"/>
            </w:r>
            <w:r>
              <w:rPr>
                <w:rFonts w:cs="Arial"/>
              </w:rPr>
              <w:instrText xml:space="preserve"> REF Schedule24 \h </w:instrText>
            </w:r>
            <w:r>
              <w:rPr>
                <w:rFonts w:cs="Arial"/>
              </w:rPr>
            </w:r>
            <w:r>
              <w:rPr>
                <w:rFonts w:cs="Arial"/>
              </w:rPr>
              <w:fldChar w:fldCharType="separate"/>
            </w:r>
            <w:r w:rsidR="007A1473" w:rsidRPr="005D0525">
              <w:t>Schedule</w:t>
            </w:r>
            <w:r w:rsidR="007A1473">
              <w:t> </w:t>
            </w:r>
            <w:r w:rsidR="007A1473" w:rsidRPr="005D0525">
              <w:t>24</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Schedule24Heading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Reports and Records Provisions</w:t>
            </w:r>
            <w:r w:rsidRPr="00A22335">
              <w:rPr>
                <w:rFonts w:cs="Arial"/>
                <w:i/>
                <w:iCs/>
              </w:rPr>
              <w:fldChar w:fldCharType="end"/>
            </w:r>
            <w:r>
              <w:rPr>
                <w:rFonts w:cs="Arial"/>
              </w:rPr>
              <w:t xml:space="preserve">) </w:t>
            </w:r>
            <w:r w:rsidRPr="00DF43A1">
              <w:rPr>
                <w:rFonts w:cs="Arial"/>
              </w:rPr>
              <w:fldChar w:fldCharType="begin"/>
            </w:r>
            <w:r w:rsidRPr="00DF43A1">
              <w:rPr>
                <w:rFonts w:cs="Arial"/>
              </w:rPr>
              <w:instrText xml:space="preserve"> REF  _Ref_ContractCompanion_9kb9Ur5BA \* Caps \h  \* MERGEFORMAT </w:instrText>
            </w:r>
            <w:r w:rsidRPr="00DF43A1">
              <w:rPr>
                <w:rFonts w:cs="Arial"/>
              </w:rPr>
            </w:r>
            <w:r w:rsidRPr="00DF43A1">
              <w:rPr>
                <w:rFonts w:cs="Arial"/>
              </w:rPr>
              <w:fldChar w:fldCharType="separate"/>
            </w:r>
            <w:r w:rsidR="007A1473" w:rsidRPr="007A1473">
              <w:rPr>
                <w:rFonts w:cs="Arial"/>
              </w:rPr>
              <w:t>Annex 3: Records</w:t>
            </w:r>
            <w:r w:rsidR="007A1473" w:rsidRPr="007A1473">
              <w:rPr>
                <w:rFonts w:cs="Arial"/>
                <w:i/>
                <w:iCs/>
              </w:rPr>
              <w:t xml:space="preserve"> To Upload To Virtual Library</w:t>
            </w:r>
            <w:r w:rsidRPr="00DF43A1">
              <w:rPr>
                <w:rFonts w:cs="Arial"/>
              </w:rPr>
              <w:fldChar w:fldCharType="end"/>
            </w:r>
            <w:r w:rsidRPr="00DF43A1">
              <w:rPr>
                <w:rFonts w:cs="Arial"/>
              </w:rPr>
              <w:t>) which requires the Supplier to provide its initial upload of the relevant information to the Virtual Library;</w:t>
            </w:r>
          </w:p>
        </w:tc>
      </w:tr>
      <w:tr w:rsidR="002071BF" w:rsidRPr="00F55457" w14:paraId="0C2C3F23" w14:textId="77777777" w:rsidTr="0052486C">
        <w:tc>
          <w:tcPr>
            <w:tcW w:w="2835" w:type="dxa"/>
          </w:tcPr>
          <w:p w14:paraId="5967C501" w14:textId="77777777" w:rsidR="002071BF" w:rsidRPr="00F55457" w:rsidRDefault="002071BF" w:rsidP="002071BF">
            <w:pPr>
              <w:pStyle w:val="StdBodyTextBold"/>
              <w:rPr>
                <w:rFonts w:cs="Arial"/>
              </w:rPr>
            </w:pPr>
            <w:r>
              <w:rPr>
                <w:rFonts w:cs="Arial"/>
              </w:rPr>
              <w:t>“</w:t>
            </w:r>
            <w:r w:rsidRPr="00F55457">
              <w:rPr>
                <w:rFonts w:cs="Arial"/>
              </w:rPr>
              <w:t>Insolvency Event</w:t>
            </w:r>
            <w:r>
              <w:rPr>
                <w:rFonts w:cs="Arial"/>
              </w:rPr>
              <w:t>”</w:t>
            </w:r>
          </w:p>
        </w:tc>
        <w:tc>
          <w:tcPr>
            <w:tcW w:w="6803" w:type="dxa"/>
          </w:tcPr>
          <w:p w14:paraId="7CFD9A44" w14:textId="77777777" w:rsidR="002071BF" w:rsidRPr="00F55457" w:rsidRDefault="002071BF" w:rsidP="002071BF">
            <w:pPr>
              <w:pStyle w:val="StdBodyText"/>
              <w:rPr>
                <w:rFonts w:cs="Arial"/>
              </w:rPr>
            </w:pPr>
            <w:r w:rsidRPr="00F55457">
              <w:rPr>
                <w:rFonts w:cs="Arial"/>
              </w:rPr>
              <w:t>with respect to any person, means:</w:t>
            </w:r>
          </w:p>
          <w:p w14:paraId="281419EA" w14:textId="77777777" w:rsidR="002071BF" w:rsidRPr="00F55457" w:rsidRDefault="002071BF" w:rsidP="002071BF">
            <w:pPr>
              <w:pStyle w:val="DefinitionList"/>
              <w:numPr>
                <w:ilvl w:val="0"/>
                <w:numId w:val="154"/>
              </w:numPr>
            </w:pPr>
            <w:r w:rsidRPr="00F55457">
              <w:t>that person suspends, or threatens to suspend, payment of its debts, or is unable to pay its debts as they fall due or admits inability to pay its debts, or:</w:t>
            </w:r>
          </w:p>
          <w:p w14:paraId="2632FF8D" w14:textId="77777777" w:rsidR="002071BF" w:rsidRPr="00F55457" w:rsidRDefault="002071BF" w:rsidP="002071BF">
            <w:pPr>
              <w:pStyle w:val="DefinitionListLevel1"/>
              <w:numPr>
                <w:ilvl w:val="1"/>
                <w:numId w:val="78"/>
              </w:numPr>
            </w:pPr>
            <w:r w:rsidRPr="00F55457">
              <w:t xml:space="preserve">(being a company or a LLP) is deemed unable to pay its debts within the meaning of </w:t>
            </w:r>
            <w:bookmarkStart w:id="66" w:name="_9kR3WTr277DHA0rcszv1FIL8y47tVZGICKE76Ir"/>
            <w:r w:rsidRPr="00F55457">
              <w:t>section 123 of the Insolvency Act 1986</w:t>
            </w:r>
            <w:bookmarkEnd w:id="66"/>
            <w:r w:rsidRPr="00F55457">
              <w:t xml:space="preserve">, or </w:t>
            </w:r>
          </w:p>
          <w:p w14:paraId="0D827A06" w14:textId="77777777" w:rsidR="002071BF" w:rsidRPr="00F55457" w:rsidRDefault="002071BF" w:rsidP="002071BF">
            <w:pPr>
              <w:pStyle w:val="DefinitionListLevel1"/>
              <w:numPr>
                <w:ilvl w:val="1"/>
                <w:numId w:val="78"/>
              </w:numPr>
              <w:rPr>
                <w:rFonts w:cs="Arial"/>
              </w:rPr>
            </w:pPr>
            <w:r w:rsidRPr="00F55457">
              <w:rPr>
                <w:rFonts w:cs="Arial"/>
              </w:rPr>
              <w:t xml:space="preserve">(being a partnership) is deemed unable to pay its debts within the meaning of </w:t>
            </w:r>
            <w:bookmarkStart w:id="67" w:name="_9kR3WTr277DGC3rcszv1GJK7y47tVZGICKE76Ir"/>
            <w:r w:rsidRPr="00F55457">
              <w:rPr>
                <w:rFonts w:cs="Arial"/>
              </w:rPr>
              <w:t>section 222 of the Insolvency Act 1986</w:t>
            </w:r>
            <w:bookmarkEnd w:id="67"/>
            <w:r w:rsidRPr="00F55457">
              <w:rPr>
                <w:rFonts w:cs="Arial"/>
              </w:rPr>
              <w:t xml:space="preserve">; </w:t>
            </w:r>
          </w:p>
          <w:p w14:paraId="618FFBB0" w14:textId="77777777" w:rsidR="002071BF" w:rsidRPr="00F55457" w:rsidRDefault="002071BF" w:rsidP="002071BF">
            <w:pPr>
              <w:pStyle w:val="DefinitionList"/>
              <w:numPr>
                <w:ilvl w:val="0"/>
                <w:numId w:val="78"/>
              </w:numPr>
              <w:rPr>
                <w:rFonts w:cs="Arial"/>
              </w:rPr>
            </w:pPr>
            <w:r w:rsidRPr="00F55457">
              <w:rPr>
                <w:rFonts w:cs="Arial"/>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68" w:name="_9kR3WTr277DGFgLcszv1FQ7rvbVrur8H2SkIAGJ"/>
            <w:r w:rsidRPr="00F55457">
              <w:rPr>
                <w:rFonts w:cs="Arial"/>
              </w:rPr>
              <w:t xml:space="preserve">Section 1A </w:t>
            </w:r>
            <w:r w:rsidRPr="00DF43A1">
              <w:rPr>
                <w:rFonts w:cs="Arial"/>
              </w:rPr>
              <w:t>and Schedule A1 of the</w:t>
            </w:r>
            <w:r w:rsidRPr="00F55457">
              <w:rPr>
                <w:rFonts w:cs="Arial"/>
              </w:rPr>
              <w:t xml:space="preserve"> Insolvency Act 1986</w:t>
            </w:r>
            <w:bookmarkEnd w:id="68"/>
            <w:r w:rsidRPr="00F55457">
              <w:rPr>
                <w:rFonts w:cs="Arial"/>
              </w:rPr>
              <w:t xml:space="preserve"> other than (in the case of a company, a LLP or a partnership) for the sole purpose of a scheme for a solvent amalgamation of that person with one or more other companies or the solvent reconstruction of that person;</w:t>
            </w:r>
          </w:p>
          <w:p w14:paraId="6BB78206" w14:textId="77777777" w:rsidR="002071BF" w:rsidRPr="00F55457" w:rsidRDefault="002071BF" w:rsidP="002071BF">
            <w:pPr>
              <w:pStyle w:val="DefinitionList"/>
              <w:numPr>
                <w:ilvl w:val="0"/>
                <w:numId w:val="78"/>
              </w:numPr>
              <w:rPr>
                <w:rFonts w:cs="Arial"/>
              </w:rPr>
            </w:pPr>
            <w:r w:rsidRPr="00F55457">
              <w:rPr>
                <w:rFonts w:cs="Arial"/>
              </w:rPr>
              <w:t xml:space="preserve">another person becomes entitled to appoint a receiver over the assets </w:t>
            </w:r>
            <w:bookmarkStart w:id="69" w:name="_9kR3WTr5DA48F1o"/>
            <w:r w:rsidRPr="00F55457">
              <w:rPr>
                <w:rFonts w:cs="Arial"/>
              </w:rPr>
              <w:t>of</w:t>
            </w:r>
            <w:bookmarkEnd w:id="69"/>
            <w:r w:rsidRPr="00F55457">
              <w:rPr>
                <w:rFonts w:cs="Arial"/>
              </w:rPr>
              <w:t xml:space="preserve"> </w:t>
            </w:r>
            <w:bookmarkStart w:id="70" w:name="_9kR3WTr5DA48G7vdq"/>
            <w:bookmarkEnd w:id="70"/>
            <w:r w:rsidRPr="00F55457">
              <w:rPr>
                <w:rFonts w:cs="Arial"/>
              </w:rPr>
              <w:t xml:space="preserve">that person or a receiver is appointed over the assets of that person; </w:t>
            </w:r>
          </w:p>
          <w:p w14:paraId="7A042061" w14:textId="77777777" w:rsidR="002071BF" w:rsidRPr="00F55457" w:rsidRDefault="002071BF" w:rsidP="002071BF">
            <w:pPr>
              <w:pStyle w:val="DefinitionList"/>
              <w:numPr>
                <w:ilvl w:val="0"/>
                <w:numId w:val="78"/>
              </w:numPr>
              <w:rPr>
                <w:rFonts w:cs="Arial"/>
              </w:rPr>
            </w:pPr>
            <w:r w:rsidRPr="00F55457">
              <w:rPr>
                <w:rFonts w:cs="Arial"/>
              </w:rPr>
              <w:t xml:space="preserve">a creditor or encumbrancer of that person attaches or takes possession of, or a distress, execution or other such process is levied or enforced on or sued against, </w:t>
            </w:r>
            <w:r w:rsidRPr="00F55457">
              <w:rPr>
                <w:rFonts w:cs="Arial"/>
              </w:rPr>
              <w:lastRenderedPageBreak/>
              <w:t>the whole or any part of that person</w:t>
            </w:r>
            <w:r>
              <w:rPr>
                <w:rFonts w:cs="Arial"/>
              </w:rPr>
              <w:t>’</w:t>
            </w:r>
            <w:r w:rsidRPr="00F55457">
              <w:rPr>
                <w:rFonts w:cs="Arial"/>
              </w:rPr>
              <w:t xml:space="preserve">s assets and such attachment or process is not discharged within fourteen (14) days; </w:t>
            </w:r>
          </w:p>
          <w:p w14:paraId="0B5B215A" w14:textId="77777777" w:rsidR="002071BF" w:rsidRPr="00F55457" w:rsidRDefault="002071BF" w:rsidP="002071BF">
            <w:pPr>
              <w:pStyle w:val="DefinitionList"/>
              <w:numPr>
                <w:ilvl w:val="0"/>
                <w:numId w:val="78"/>
              </w:numPr>
              <w:rPr>
                <w:rFonts w:cs="Arial"/>
              </w:rPr>
            </w:pPr>
            <w:r w:rsidRPr="00F55457">
              <w:rPr>
                <w:rFonts w:cs="Arial"/>
              </w:rPr>
              <w:t>that person suspends or ceases, or threatens to suspend or cease, carrying on all or a substantial part of its business;</w:t>
            </w:r>
          </w:p>
          <w:p w14:paraId="421B33C4" w14:textId="77777777" w:rsidR="002071BF" w:rsidRPr="00F55457" w:rsidRDefault="002071BF" w:rsidP="002071BF">
            <w:pPr>
              <w:pStyle w:val="DefinitionList"/>
              <w:numPr>
                <w:ilvl w:val="0"/>
                <w:numId w:val="78"/>
              </w:numPr>
              <w:rPr>
                <w:rFonts w:cs="Arial"/>
              </w:rPr>
            </w:pPr>
            <w:r w:rsidRPr="00F55457">
              <w:rPr>
                <w:rFonts w:cs="Arial"/>
              </w:rPr>
              <w:t>where that person is a company, a LLP or a partnership:</w:t>
            </w:r>
          </w:p>
          <w:p w14:paraId="289DB747" w14:textId="77777777" w:rsidR="002071BF" w:rsidRPr="00F55457" w:rsidRDefault="002071BF" w:rsidP="002071BF">
            <w:pPr>
              <w:pStyle w:val="DefinitionListLevel1"/>
              <w:numPr>
                <w:ilvl w:val="1"/>
                <w:numId w:val="78"/>
              </w:numPr>
              <w:rPr>
                <w:rFonts w:cs="Arial"/>
              </w:rPr>
            </w:pPr>
            <w:r w:rsidRPr="00F55457">
              <w:rPr>
                <w:rFonts w:cs="Arial"/>
              </w:rP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458CE6CD" w14:textId="77777777" w:rsidR="002071BF" w:rsidRPr="00F55457" w:rsidRDefault="002071BF" w:rsidP="002071BF">
            <w:pPr>
              <w:pStyle w:val="DefinitionListLevel1"/>
              <w:numPr>
                <w:ilvl w:val="1"/>
                <w:numId w:val="78"/>
              </w:numPr>
              <w:rPr>
                <w:rFonts w:cs="Arial"/>
              </w:rPr>
            </w:pPr>
            <w:r w:rsidRPr="00F55457">
              <w:rPr>
                <w:rFonts w:cs="Arial"/>
              </w:rPr>
              <w:t xml:space="preserve">an application is made to court, or an order is made, for the appointment of an administrator, or if a notice of intention to appoint an administrator is filed at Court or given or if an administrator is appointed, over that person; </w:t>
            </w:r>
          </w:p>
          <w:p w14:paraId="497F0F4D" w14:textId="77777777" w:rsidR="002071BF" w:rsidRPr="00F55457" w:rsidRDefault="002071BF" w:rsidP="002071BF">
            <w:pPr>
              <w:pStyle w:val="DefinitionListLevel1"/>
              <w:numPr>
                <w:ilvl w:val="1"/>
                <w:numId w:val="78"/>
              </w:numPr>
              <w:rPr>
                <w:rFonts w:cs="Arial"/>
              </w:rPr>
            </w:pPr>
            <w:r w:rsidRPr="00F55457">
              <w:rPr>
                <w:rFonts w:cs="Arial"/>
              </w:rPr>
              <w:t xml:space="preserve">(being a company or a LLP) the holder of a qualifying floating charge over the assets of that </w:t>
            </w:r>
            <w:bookmarkStart w:id="71" w:name="_9kR3WTr5DA48H4or640"/>
            <w:r w:rsidRPr="00F55457">
              <w:rPr>
                <w:rFonts w:cs="Arial"/>
              </w:rPr>
              <w:t>person</w:t>
            </w:r>
            <w:bookmarkEnd w:id="71"/>
            <w:r w:rsidRPr="00F55457">
              <w:rPr>
                <w:rFonts w:cs="Arial"/>
              </w:rPr>
              <w:t xml:space="preserve"> has become entitled to appoint or has appointed an administrative receiver; or</w:t>
            </w:r>
          </w:p>
          <w:p w14:paraId="2A7AEC18" w14:textId="77777777" w:rsidR="002071BF" w:rsidRPr="00F55457" w:rsidRDefault="002071BF" w:rsidP="002071BF">
            <w:pPr>
              <w:pStyle w:val="DefinitionListLevel1"/>
              <w:numPr>
                <w:ilvl w:val="1"/>
                <w:numId w:val="78"/>
              </w:numPr>
              <w:rPr>
                <w:rFonts w:cs="Arial"/>
              </w:rPr>
            </w:pPr>
            <w:r w:rsidRPr="00F55457">
              <w:rPr>
                <w:rFonts w:cs="Arial"/>
              </w:rPr>
              <w:t xml:space="preserve">(being a partnership) the holder of an agricultural floating charge over the assets of that person has become entitled to appoint or has appointed an agricultural receiver; or </w:t>
            </w:r>
          </w:p>
          <w:p w14:paraId="48C01681" w14:textId="77777777" w:rsidR="002071BF" w:rsidRPr="00F55457" w:rsidRDefault="002071BF" w:rsidP="002071BF">
            <w:pPr>
              <w:pStyle w:val="DefinitionList"/>
              <w:numPr>
                <w:ilvl w:val="0"/>
                <w:numId w:val="78"/>
              </w:numPr>
              <w:rPr>
                <w:rFonts w:cs="Arial"/>
              </w:rPr>
            </w:pPr>
            <w:r w:rsidRPr="00F55457">
              <w:rPr>
                <w:rFonts w:cs="Arial"/>
              </w:rPr>
              <w:t>any event occurs, or proceeding is taken, with respect to that person in any jurisdiction to which it is subject that has an effect equivalent or similar to any of the events mentioned above;</w:t>
            </w:r>
          </w:p>
        </w:tc>
      </w:tr>
      <w:tr w:rsidR="002071BF" w:rsidRPr="00F55457" w14:paraId="3BB1D2A1" w14:textId="77777777" w:rsidTr="0052486C">
        <w:tc>
          <w:tcPr>
            <w:tcW w:w="2835" w:type="dxa"/>
          </w:tcPr>
          <w:p w14:paraId="187EE740" w14:textId="77777777" w:rsidR="002071BF" w:rsidRPr="00F55457" w:rsidRDefault="002071BF" w:rsidP="002071BF">
            <w:pPr>
              <w:pStyle w:val="StdBodyText"/>
              <w:rPr>
                <w:rFonts w:cs="Arial"/>
              </w:rPr>
            </w:pPr>
            <w:r>
              <w:rPr>
                <w:rStyle w:val="StdBodyTextBoldChar"/>
                <w:rFonts w:cs="Arial"/>
              </w:rPr>
              <w:lastRenderedPageBreak/>
              <w:t>“</w:t>
            </w:r>
            <w:r w:rsidRPr="00F55457">
              <w:rPr>
                <w:rStyle w:val="StdBodyTextBoldChar"/>
                <w:rFonts w:cs="Arial"/>
              </w:rPr>
              <w:t>Intellectual Property Rights</w:t>
            </w:r>
            <w:r>
              <w:rPr>
                <w:rStyle w:val="StdBodyTextBoldChar"/>
                <w:rFonts w:cs="Arial"/>
              </w:rPr>
              <w:t>”</w:t>
            </w:r>
            <w:r w:rsidRPr="00F55457">
              <w:rPr>
                <w:rFonts w:cs="Arial"/>
              </w:rPr>
              <w:t xml:space="preserve"> or </w:t>
            </w:r>
            <w:r>
              <w:rPr>
                <w:rStyle w:val="StdBodyTextBoldChar"/>
                <w:rFonts w:cs="Arial"/>
              </w:rPr>
              <w:t>“</w:t>
            </w:r>
            <w:r w:rsidRPr="00F55457">
              <w:rPr>
                <w:rStyle w:val="StdBodyTextBoldChar"/>
                <w:rFonts w:cs="Arial"/>
              </w:rPr>
              <w:t>IPRs</w:t>
            </w:r>
            <w:r>
              <w:rPr>
                <w:rStyle w:val="StdBodyTextBoldChar"/>
                <w:rFonts w:cs="Arial"/>
              </w:rPr>
              <w:t>”</w:t>
            </w:r>
          </w:p>
        </w:tc>
        <w:tc>
          <w:tcPr>
            <w:tcW w:w="6803" w:type="dxa"/>
          </w:tcPr>
          <w:p w14:paraId="577A4B4E" w14:textId="77777777" w:rsidR="002071BF" w:rsidRPr="00F55457" w:rsidRDefault="002071BF" w:rsidP="002071BF">
            <w:pPr>
              <w:pStyle w:val="DefinitionList"/>
              <w:numPr>
                <w:ilvl w:val="0"/>
                <w:numId w:val="155"/>
              </w:numPr>
            </w:pPr>
            <w:bookmarkStart w:id="72" w:name="_Ref44062808"/>
            <w:r w:rsidRPr="00F5545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bookmarkEnd w:id="72"/>
          </w:p>
          <w:p w14:paraId="09A7CD00" w14:textId="21FADE66" w:rsidR="002071BF" w:rsidRPr="00F55457" w:rsidRDefault="002071BF" w:rsidP="002071BF">
            <w:pPr>
              <w:pStyle w:val="DefinitionList"/>
              <w:numPr>
                <w:ilvl w:val="0"/>
                <w:numId w:val="78"/>
              </w:numPr>
              <w:rPr>
                <w:rFonts w:cs="Arial"/>
              </w:rPr>
            </w:pPr>
            <w:r w:rsidRPr="00F55457">
              <w:rPr>
                <w:rFonts w:cs="Arial"/>
              </w:rPr>
              <w:t xml:space="preserve">applications for registration, and the right to apply for registration, for any of the rights listed at </w:t>
            </w:r>
            <w:r w:rsidRPr="00F55457">
              <w:rPr>
                <w:rFonts w:cs="Arial"/>
              </w:rPr>
              <w:fldChar w:fldCharType="begin"/>
            </w:r>
            <w:r w:rsidRPr="00F55457">
              <w:rPr>
                <w:rFonts w:cs="Arial"/>
              </w:rPr>
              <w:instrText xml:space="preserve"> REF _Ref44062808 \r \h  \* MERGEFORMAT </w:instrText>
            </w:r>
            <w:r w:rsidRPr="00F55457">
              <w:rPr>
                <w:rFonts w:cs="Arial"/>
              </w:rPr>
            </w:r>
            <w:r w:rsidRPr="00F55457">
              <w:rPr>
                <w:rFonts w:cs="Arial"/>
              </w:rPr>
              <w:fldChar w:fldCharType="separate"/>
            </w:r>
            <w:r w:rsidR="007A1473">
              <w:rPr>
                <w:rFonts w:cs="Arial"/>
              </w:rPr>
              <w:t>(a)</w:t>
            </w:r>
            <w:r w:rsidRPr="00F55457">
              <w:rPr>
                <w:rFonts w:cs="Arial"/>
              </w:rPr>
              <w:fldChar w:fldCharType="end"/>
            </w:r>
            <w:r w:rsidRPr="00F55457">
              <w:rPr>
                <w:rFonts w:cs="Arial"/>
              </w:rPr>
              <w:t xml:space="preserve"> that are </w:t>
            </w:r>
            <w:r w:rsidRPr="00F55457">
              <w:rPr>
                <w:rFonts w:cs="Arial"/>
              </w:rPr>
              <w:lastRenderedPageBreak/>
              <w:t>capable of being registered in any country or jurisdiction; and</w:t>
            </w:r>
          </w:p>
          <w:p w14:paraId="05702E6E" w14:textId="77777777" w:rsidR="002071BF" w:rsidRPr="00F55457" w:rsidRDefault="002071BF" w:rsidP="002071BF">
            <w:pPr>
              <w:pStyle w:val="DefinitionList"/>
              <w:numPr>
                <w:ilvl w:val="0"/>
                <w:numId w:val="78"/>
              </w:numPr>
              <w:rPr>
                <w:rFonts w:cs="Arial"/>
              </w:rPr>
            </w:pPr>
            <w:r w:rsidRPr="00F55457">
              <w:rPr>
                <w:rFonts w:cs="Arial"/>
              </w:rPr>
              <w:t>all other rights having equivalent or similar effect in any country or jurisdiction;</w:t>
            </w:r>
          </w:p>
        </w:tc>
      </w:tr>
      <w:tr w:rsidR="002071BF" w:rsidRPr="00F55457" w14:paraId="1B6393E5" w14:textId="77777777" w:rsidTr="0052486C">
        <w:tc>
          <w:tcPr>
            <w:tcW w:w="2835" w:type="dxa"/>
          </w:tcPr>
          <w:p w14:paraId="2FEA4BD2" w14:textId="77777777" w:rsidR="002071BF" w:rsidRPr="00F55457" w:rsidRDefault="002071BF" w:rsidP="002071BF">
            <w:pPr>
              <w:pStyle w:val="StdBodyTextBold"/>
              <w:rPr>
                <w:rStyle w:val="StdBodyTextBoldChar"/>
                <w:rFonts w:cs="Arial"/>
              </w:rPr>
            </w:pPr>
            <w:r>
              <w:rPr>
                <w:rFonts w:cs="Arial"/>
              </w:rPr>
              <w:lastRenderedPageBreak/>
              <w:t>“</w:t>
            </w:r>
            <w:r w:rsidRPr="00F55457">
              <w:rPr>
                <w:rFonts w:cs="Arial"/>
              </w:rPr>
              <w:t>Intervention Cause</w:t>
            </w:r>
            <w:r>
              <w:rPr>
                <w:rFonts w:cs="Arial"/>
              </w:rPr>
              <w:t>”</w:t>
            </w:r>
          </w:p>
        </w:tc>
        <w:tc>
          <w:tcPr>
            <w:tcW w:w="6803" w:type="dxa"/>
          </w:tcPr>
          <w:p w14:paraId="4A6B8F41" w14:textId="77777777" w:rsidR="002071BF" w:rsidRPr="008D6A63" w:rsidRDefault="002071BF" w:rsidP="002071BF">
            <w:pPr>
              <w:pStyle w:val="StdBodyText"/>
              <w:rPr>
                <w:rFonts w:cs="Arial"/>
              </w:rPr>
            </w:pPr>
            <w:r w:rsidRPr="008D6A63">
              <w:rPr>
                <w:rFonts w:cs="Arial"/>
              </w:rPr>
              <w:t xml:space="preserve">has the meaning given in </w:t>
            </w:r>
            <w:bookmarkStart w:id="73" w:name="_9kMIH5YVtCIABJKGLLVH"/>
            <w:bookmarkStart w:id="74" w:name="_9kMHG5YVtCJBBJLHLLVH"/>
            <w:r w:rsidRPr="008D6A63">
              <w:rPr>
                <w:rFonts w:cs="Arial"/>
              </w:rPr>
              <w:t xml:space="preserve">Clause </w:t>
            </w:r>
            <w:bookmarkEnd w:id="73"/>
            <w:bookmarkEnd w:id="74"/>
            <w:r w:rsidRPr="008D6A63">
              <w:rPr>
                <w:rFonts w:cs="Arial"/>
              </w:rPr>
              <w:t>27.1 (</w:t>
            </w:r>
            <w:r w:rsidRPr="00C04B2F">
              <w:rPr>
                <w:rFonts w:cs="Arial"/>
                <w:i/>
                <w:iCs/>
              </w:rPr>
              <w:t>Remedial Adviser</w:t>
            </w:r>
            <w:r w:rsidRPr="008D6A63">
              <w:rPr>
                <w:rFonts w:cs="Arial"/>
              </w:rPr>
              <w:t>);</w:t>
            </w:r>
          </w:p>
        </w:tc>
      </w:tr>
      <w:tr w:rsidR="002071BF" w:rsidRPr="00F55457" w14:paraId="5075096A" w14:textId="77777777" w:rsidTr="0052486C">
        <w:tc>
          <w:tcPr>
            <w:tcW w:w="2835" w:type="dxa"/>
          </w:tcPr>
          <w:p w14:paraId="562D8584" w14:textId="77777777" w:rsidR="002071BF" w:rsidRPr="00F55457" w:rsidRDefault="002071BF" w:rsidP="002071BF">
            <w:pPr>
              <w:pStyle w:val="StdBodyTextBold"/>
              <w:rPr>
                <w:rFonts w:cs="Arial"/>
              </w:rPr>
            </w:pPr>
            <w:r>
              <w:rPr>
                <w:rFonts w:cs="Arial"/>
              </w:rPr>
              <w:t>“</w:t>
            </w:r>
            <w:bookmarkStart w:id="75" w:name="_9kMKJ5YVt4CCFMNaM4wvD1uA628ieHCwt"/>
            <w:r w:rsidRPr="00F55457">
              <w:rPr>
                <w:rFonts w:cs="Arial"/>
              </w:rPr>
              <w:t>Intervention Notice</w:t>
            </w:r>
            <w:bookmarkEnd w:id="75"/>
            <w:r>
              <w:rPr>
                <w:rFonts w:cs="Arial"/>
              </w:rPr>
              <w:t>”</w:t>
            </w:r>
          </w:p>
        </w:tc>
        <w:tc>
          <w:tcPr>
            <w:tcW w:w="6803" w:type="dxa"/>
          </w:tcPr>
          <w:p w14:paraId="2B68042D" w14:textId="77777777" w:rsidR="002071BF" w:rsidRPr="008D6A63" w:rsidRDefault="002071BF" w:rsidP="002071BF">
            <w:pPr>
              <w:pStyle w:val="StdBodyText"/>
              <w:rPr>
                <w:rFonts w:cs="Arial"/>
              </w:rPr>
            </w:pPr>
            <w:r w:rsidRPr="008D6A63">
              <w:rPr>
                <w:rFonts w:cs="Arial"/>
              </w:rPr>
              <w:t xml:space="preserve">has the meaning given in </w:t>
            </w:r>
            <w:bookmarkStart w:id="76" w:name="_9kMJI5YVtCIABJKGLLVH"/>
            <w:bookmarkStart w:id="77" w:name="_9kMIH5YVtCJBBJLHLLVH"/>
            <w:r w:rsidRPr="008D6A63">
              <w:rPr>
                <w:rFonts w:cs="Arial"/>
              </w:rPr>
              <w:t xml:space="preserve">Clause </w:t>
            </w:r>
            <w:bookmarkEnd w:id="76"/>
            <w:bookmarkEnd w:id="77"/>
            <w:r w:rsidRPr="008D6A63">
              <w:rPr>
                <w:rFonts w:cs="Arial"/>
              </w:rPr>
              <w:t>27.1 (</w:t>
            </w:r>
            <w:r w:rsidRPr="00C04B2F">
              <w:rPr>
                <w:rFonts w:cs="Arial"/>
                <w:i/>
                <w:iCs/>
              </w:rPr>
              <w:t>Remedial Adviser</w:t>
            </w:r>
            <w:r w:rsidRPr="008D6A63">
              <w:rPr>
                <w:rFonts w:cs="Arial"/>
              </w:rPr>
              <w:t>);</w:t>
            </w:r>
          </w:p>
        </w:tc>
      </w:tr>
      <w:tr w:rsidR="002071BF" w:rsidRPr="00F55457" w14:paraId="2B846109" w14:textId="77777777" w:rsidTr="0052486C">
        <w:tc>
          <w:tcPr>
            <w:tcW w:w="2835" w:type="dxa"/>
          </w:tcPr>
          <w:p w14:paraId="34F703E5" w14:textId="77777777" w:rsidR="002071BF" w:rsidRPr="00F55457" w:rsidRDefault="002071BF" w:rsidP="002071BF">
            <w:pPr>
              <w:pStyle w:val="StdBodyTextBold"/>
              <w:rPr>
                <w:rFonts w:cs="Arial"/>
              </w:rPr>
            </w:pPr>
            <w:r>
              <w:rPr>
                <w:rFonts w:cs="Arial"/>
              </w:rPr>
              <w:t>“</w:t>
            </w:r>
            <w:r w:rsidRPr="00F55457">
              <w:rPr>
                <w:rFonts w:cs="Arial"/>
              </w:rPr>
              <w:t>Intervention Period</w:t>
            </w:r>
            <w:r>
              <w:rPr>
                <w:rFonts w:cs="Arial"/>
              </w:rPr>
              <w:t>”</w:t>
            </w:r>
          </w:p>
        </w:tc>
        <w:tc>
          <w:tcPr>
            <w:tcW w:w="6803" w:type="dxa"/>
          </w:tcPr>
          <w:p w14:paraId="035D409C" w14:textId="77777777" w:rsidR="002071BF" w:rsidRPr="008D6A63" w:rsidRDefault="002071BF" w:rsidP="002071BF">
            <w:pPr>
              <w:pStyle w:val="StdBodyText"/>
              <w:rPr>
                <w:rFonts w:cs="Arial"/>
              </w:rPr>
            </w:pPr>
            <w:r w:rsidRPr="008D6A63">
              <w:rPr>
                <w:rFonts w:cs="Arial"/>
              </w:rPr>
              <w:t xml:space="preserve">has the meaning given in </w:t>
            </w:r>
            <w:bookmarkStart w:id="78" w:name="_9kMHG5YVtCIABIMJLMqcoDI3tt7F28BxRcSGCNI"/>
            <w:bookmarkStart w:id="79" w:name="_9kMHG5YVtCJBBINKLMqcoDI3tt7F28BxRcSGCNI"/>
            <w:r w:rsidRPr="008D6A63">
              <w:rPr>
                <w:rFonts w:cs="Arial"/>
              </w:rPr>
              <w:t xml:space="preserve">Clause </w:t>
            </w:r>
            <w:bookmarkEnd w:id="78"/>
            <w:bookmarkEnd w:id="79"/>
            <w:r w:rsidRPr="008D6A63">
              <w:rPr>
                <w:rFonts w:cs="Arial"/>
              </w:rPr>
              <w:t>27.2(c) (</w:t>
            </w:r>
            <w:r w:rsidRPr="00C04B2F">
              <w:rPr>
                <w:rFonts w:cs="Arial"/>
                <w:i/>
                <w:iCs/>
              </w:rPr>
              <w:t>Remedial Adviser</w:t>
            </w:r>
            <w:r w:rsidRPr="008D6A63">
              <w:rPr>
                <w:rFonts w:cs="Arial"/>
              </w:rPr>
              <w:t>);</w:t>
            </w:r>
          </w:p>
        </w:tc>
      </w:tr>
      <w:tr w:rsidR="002071BF" w:rsidRPr="00F55457" w14:paraId="479172A7" w14:textId="77777777" w:rsidTr="0052486C">
        <w:tc>
          <w:tcPr>
            <w:tcW w:w="2835" w:type="dxa"/>
          </w:tcPr>
          <w:p w14:paraId="108B713C" w14:textId="77777777" w:rsidR="002071BF" w:rsidRPr="00F55457" w:rsidRDefault="002071BF" w:rsidP="002071BF">
            <w:pPr>
              <w:pStyle w:val="StdBodyTextBold"/>
              <w:rPr>
                <w:rFonts w:cs="Arial"/>
              </w:rPr>
            </w:pPr>
            <w:r>
              <w:rPr>
                <w:rFonts w:cs="Arial"/>
              </w:rPr>
              <w:t>“</w:t>
            </w:r>
            <w:r w:rsidRPr="00F55457">
              <w:rPr>
                <w:rFonts w:cs="Arial"/>
              </w:rPr>
              <w:t>Intervention Trigger Event</w:t>
            </w:r>
            <w:r>
              <w:rPr>
                <w:rFonts w:cs="Arial"/>
              </w:rPr>
              <w:t>”</w:t>
            </w:r>
          </w:p>
        </w:tc>
        <w:tc>
          <w:tcPr>
            <w:tcW w:w="6803" w:type="dxa"/>
          </w:tcPr>
          <w:p w14:paraId="5083D1E7" w14:textId="46468C42" w:rsidR="002071BF" w:rsidRPr="00F55457" w:rsidRDefault="002071BF" w:rsidP="002071BF">
            <w:pPr>
              <w:pStyle w:val="DefinitionList"/>
              <w:numPr>
                <w:ilvl w:val="0"/>
                <w:numId w:val="156"/>
              </w:numPr>
            </w:pPr>
            <w:bookmarkStart w:id="80" w:name="_9kR3WTrAG86CKitjmj09ubZTB32K81HD9FvuG65"/>
            <w:r w:rsidRPr="00F55457">
              <w:t>any event falling within limb</w:t>
            </w:r>
            <w:bookmarkEnd w:id="80"/>
            <w:r w:rsidRPr="00F55457">
              <w:t xml:space="preserve"> </w:t>
            </w:r>
            <w:bookmarkStart w:id="81" w:name="_9kMHG5YVtCIA8EMkvlol2BwdbVD54MA3JFBHxwI"/>
            <w:r w:rsidRPr="00F55457">
              <w:fldChar w:fldCharType="begin"/>
            </w:r>
            <w:r w:rsidRPr="00F55457">
              <w:instrText xml:space="preserve"> REF _Ref_ContractCompanion_9kb9Ur28E \w \n \h \t \* MERGEFORMAT </w:instrText>
            </w:r>
            <w:r w:rsidRPr="00F55457">
              <w:fldChar w:fldCharType="separate"/>
            </w:r>
            <w:bookmarkStart w:id="82" w:name="_9kMHG5YVt4BBFJIivlol2BwdlmGC93x7xfAJBD6"/>
            <w:r w:rsidR="007A1473">
              <w:t>(a)</w:t>
            </w:r>
            <w:bookmarkEnd w:id="82"/>
            <w:r w:rsidRPr="00F55457">
              <w:fldChar w:fldCharType="end"/>
            </w:r>
            <w:bookmarkEnd w:id="81"/>
            <w:r w:rsidRPr="00F55457">
              <w:t xml:space="preserve">, </w:t>
            </w:r>
            <w:bookmarkStart w:id="83" w:name="_9kMHG5YVt4DDEMMr"/>
            <w:r w:rsidRPr="00F55457">
              <w:fldChar w:fldCharType="begin"/>
            </w:r>
            <w:r w:rsidRPr="00F55457">
              <w:instrText xml:space="preserve"> REF _Ref_ContractCompanion_9kb9Ur8GE \w \n \h \t \* MERGEFORMAT </w:instrText>
            </w:r>
            <w:r w:rsidRPr="00F55457">
              <w:fldChar w:fldCharType="separate"/>
            </w:r>
            <w:r w:rsidR="007A1473">
              <w:t>(b)</w:t>
            </w:r>
            <w:r w:rsidRPr="00F55457">
              <w:fldChar w:fldCharType="end"/>
            </w:r>
            <w:bookmarkEnd w:id="83"/>
            <w:r w:rsidRPr="00F55457">
              <w:t xml:space="preserve">, </w:t>
            </w:r>
            <w:bookmarkStart w:id="84" w:name="_9kR3WTr2BBCKHn"/>
            <w:r w:rsidRPr="00F55457">
              <w:fldChar w:fldCharType="begin"/>
            </w:r>
            <w:r w:rsidRPr="00F55457">
              <w:instrText xml:space="preserve"> REF _Ref_ContractCompanion_9kb9Ur8GB \w \n \h \t \* MERGEFORMAT </w:instrText>
            </w:r>
            <w:r w:rsidRPr="00F55457">
              <w:fldChar w:fldCharType="separate"/>
            </w:r>
            <w:r w:rsidR="007A1473">
              <w:t>(c)</w:t>
            </w:r>
            <w:r w:rsidRPr="00F55457">
              <w:fldChar w:fldCharType="end"/>
            </w:r>
            <w:bookmarkEnd w:id="84"/>
            <w:r w:rsidRPr="00F55457">
              <w:t xml:space="preserve">, </w:t>
            </w:r>
            <w:r w:rsidRPr="00F55457">
              <w:fldChar w:fldCharType="begin"/>
            </w:r>
            <w:r w:rsidRPr="00F55457">
              <w:instrText xml:space="preserve"> REF _Ref44573604 \r \h  \* MERGEFORMAT </w:instrText>
            </w:r>
            <w:r w:rsidRPr="00F55457">
              <w:fldChar w:fldCharType="separate"/>
            </w:r>
            <w:r w:rsidR="007A1473">
              <w:t>(e)</w:t>
            </w:r>
            <w:r w:rsidRPr="00F55457">
              <w:fldChar w:fldCharType="end"/>
            </w:r>
            <w:r w:rsidRPr="00F55457">
              <w:t xml:space="preserve">, </w:t>
            </w:r>
            <w:bookmarkStart w:id="85" w:name="_9kMHG5YVtCIA8DGfvlol2BwdlmGC93x7xfAJBD6"/>
            <w:r w:rsidRPr="00F55457">
              <w:fldChar w:fldCharType="begin"/>
            </w:r>
            <w:r w:rsidRPr="00F55457">
              <w:instrText xml:space="preserve"> REF _Ref_ContractCompanion_9kb9Ur278 \w \n \h \t \* MERGEFORMAT </w:instrText>
            </w:r>
            <w:r w:rsidRPr="00F55457">
              <w:fldChar w:fldCharType="separate"/>
            </w:r>
            <w:bookmarkStart w:id="86" w:name="_9kMHG5YVt4BBFJHhvlol2BwdlmGC93x7xfAJBD6"/>
            <w:r w:rsidR="007A1473">
              <w:t>(f)</w:t>
            </w:r>
            <w:bookmarkEnd w:id="86"/>
            <w:r w:rsidRPr="00F55457">
              <w:fldChar w:fldCharType="end"/>
            </w:r>
            <w:bookmarkEnd w:id="85"/>
            <w:r w:rsidRPr="00F55457">
              <w:t xml:space="preserve"> or </w:t>
            </w:r>
            <w:bookmarkStart w:id="87" w:name="_9kMIH5YVtCIA8DDcvlol2BwdlmGC93x7xfAJBD6"/>
            <w:r w:rsidRPr="00F55457">
              <w:fldChar w:fldCharType="begin"/>
            </w:r>
            <w:r w:rsidRPr="00F55457">
              <w:instrText xml:space="preserve"> REF _Ref_ContractCompanion_9kb9Ur26E \w \n \h \t \* MERGEFORMAT </w:instrText>
            </w:r>
            <w:r w:rsidRPr="00F55457">
              <w:fldChar w:fldCharType="separate"/>
            </w:r>
            <w:bookmarkStart w:id="88" w:name="_9kMIH5YVt4BBFJGgvlol2BwdlmGC93x7xfAJBD6"/>
            <w:r w:rsidR="007A1473">
              <w:t>(g)</w:t>
            </w:r>
            <w:bookmarkEnd w:id="88"/>
            <w:r w:rsidRPr="00F55457">
              <w:fldChar w:fldCharType="end"/>
            </w:r>
            <w:bookmarkEnd w:id="87"/>
            <w:r w:rsidRPr="00F55457">
              <w:t xml:space="preserve"> of the definition of a Supplier Termination Event;</w:t>
            </w:r>
          </w:p>
          <w:p w14:paraId="6C187337" w14:textId="77777777" w:rsidR="002071BF" w:rsidRPr="00F55457" w:rsidRDefault="002071BF" w:rsidP="002071BF">
            <w:pPr>
              <w:pStyle w:val="DefinitionList"/>
              <w:numPr>
                <w:ilvl w:val="0"/>
                <w:numId w:val="78"/>
              </w:numPr>
              <w:rPr>
                <w:rFonts w:cs="Arial"/>
              </w:rPr>
            </w:pPr>
            <w:r w:rsidRPr="00F55457">
              <w:rPr>
                <w:rFonts w:cs="Arial"/>
              </w:rPr>
              <w:t>a Default by the Supplier that is materially preventing or materially delaying the performance of the Services or any material part of the Services;</w:t>
            </w:r>
          </w:p>
          <w:p w14:paraId="0108FF31" w14:textId="7BF5A049" w:rsidR="002071BF" w:rsidRPr="00F55457" w:rsidRDefault="002071BF" w:rsidP="002071BF">
            <w:pPr>
              <w:pStyle w:val="DefinitionList"/>
              <w:numPr>
                <w:ilvl w:val="0"/>
                <w:numId w:val="78"/>
              </w:numPr>
              <w:rPr>
                <w:rFonts w:cs="Arial"/>
              </w:rPr>
            </w:pPr>
            <w:r w:rsidRPr="00F55457">
              <w:rPr>
                <w:rFonts w:cs="Arial"/>
              </w:rPr>
              <w:t xml:space="preserve">the Supplier accruing in aggregate </w:t>
            </w:r>
            <w:r>
              <w:rPr>
                <w:rFonts w:cs="Arial"/>
              </w:rPr>
              <w:t>15</w:t>
            </w:r>
            <w:r w:rsidRPr="00F55457">
              <w:rPr>
                <w:rFonts w:cs="Arial"/>
              </w:rPr>
              <w:t xml:space="preserve"> or more Service Points (in terms of the number of points allocated) in any period of </w:t>
            </w:r>
            <w:r>
              <w:rPr>
                <w:rFonts w:cs="Arial"/>
              </w:rPr>
              <w:t>one</w:t>
            </w:r>
            <w:r w:rsidRPr="001C4B30">
              <w:rPr>
                <w:rFonts w:cs="Arial"/>
              </w:rPr>
              <w:t xml:space="preserve"> </w:t>
            </w:r>
            <w:r w:rsidRPr="00F55457">
              <w:rPr>
                <w:rFonts w:cs="Arial"/>
              </w:rPr>
              <w:t xml:space="preserve">month; </w:t>
            </w:r>
          </w:p>
          <w:p w14:paraId="5132B82B" w14:textId="77777777" w:rsidR="002071BF" w:rsidRPr="00F55457" w:rsidRDefault="002071BF" w:rsidP="002071BF">
            <w:pPr>
              <w:pStyle w:val="DefinitionList"/>
              <w:numPr>
                <w:ilvl w:val="0"/>
                <w:numId w:val="78"/>
              </w:numPr>
              <w:rPr>
                <w:rFonts w:cs="Arial"/>
              </w:rPr>
            </w:pPr>
            <w:r w:rsidRPr="00F55457">
              <w:rPr>
                <w:rFonts w:cs="Arial"/>
              </w:rPr>
              <w:t>the Supplier accruing Service Credits which meet or exceed 75% of the Service Credit Cap; and/or</w:t>
            </w:r>
          </w:p>
          <w:p w14:paraId="21D01A66" w14:textId="77777777" w:rsidR="002071BF" w:rsidRPr="00F55457" w:rsidRDefault="002071BF" w:rsidP="002071BF">
            <w:pPr>
              <w:pStyle w:val="DefinitionList"/>
              <w:numPr>
                <w:ilvl w:val="0"/>
                <w:numId w:val="78"/>
              </w:numPr>
              <w:rPr>
                <w:rFonts w:cs="Arial"/>
              </w:rPr>
            </w:pPr>
            <w:r w:rsidRPr="00F55457">
              <w:rPr>
                <w:rFonts w:cs="Arial"/>
              </w:rPr>
              <w:t xml:space="preserve">the Supplier not Achieving a Key Milestone within seventy-five (75) days of its relevant Milestone Date; </w:t>
            </w:r>
          </w:p>
        </w:tc>
      </w:tr>
      <w:tr w:rsidR="002071BF" w:rsidRPr="00995964" w14:paraId="09DBDF6A" w14:textId="77777777" w:rsidTr="0052486C">
        <w:tc>
          <w:tcPr>
            <w:tcW w:w="2835" w:type="dxa"/>
          </w:tcPr>
          <w:p w14:paraId="31E841F7" w14:textId="77777777" w:rsidR="002071BF" w:rsidRPr="00995964" w:rsidRDefault="002071BF" w:rsidP="002071BF">
            <w:pPr>
              <w:pStyle w:val="StdBodyTextBold"/>
              <w:rPr>
                <w:rFonts w:cs="Arial"/>
              </w:rPr>
            </w:pPr>
            <w:r>
              <w:rPr>
                <w:rFonts w:cs="Arial"/>
              </w:rPr>
              <w:t>“</w:t>
            </w:r>
            <w:r w:rsidRPr="00995964">
              <w:rPr>
                <w:rFonts w:cs="Arial"/>
              </w:rPr>
              <w:t>IP Completion Day</w:t>
            </w:r>
            <w:r>
              <w:rPr>
                <w:rFonts w:cs="Arial"/>
              </w:rPr>
              <w:t>”</w:t>
            </w:r>
          </w:p>
        </w:tc>
        <w:tc>
          <w:tcPr>
            <w:tcW w:w="6803" w:type="dxa"/>
          </w:tcPr>
          <w:p w14:paraId="36377DA4" w14:textId="77777777" w:rsidR="002071BF" w:rsidRPr="008D6A63" w:rsidRDefault="002071BF" w:rsidP="002071BF">
            <w:pPr>
              <w:pStyle w:val="StdBodyText"/>
              <w:rPr>
                <w:rFonts w:cs="Arial"/>
              </w:rPr>
            </w:pPr>
            <w:r w:rsidRPr="008D6A63">
              <w:rPr>
                <w:rFonts w:cs="Arial"/>
              </w:rPr>
              <w:t>has the meaning given to it in the European Union (Withdrawal Agreement) Act 2020;</w:t>
            </w:r>
          </w:p>
        </w:tc>
      </w:tr>
      <w:tr w:rsidR="002071BF" w:rsidRPr="00F55457" w14:paraId="10F29C06" w14:textId="77777777" w:rsidTr="0052486C">
        <w:tc>
          <w:tcPr>
            <w:tcW w:w="2835" w:type="dxa"/>
          </w:tcPr>
          <w:p w14:paraId="53168906" w14:textId="77777777" w:rsidR="002071BF" w:rsidRPr="00F55457" w:rsidRDefault="002071BF" w:rsidP="002071BF">
            <w:pPr>
              <w:pStyle w:val="StdBodyTextBold"/>
              <w:rPr>
                <w:rFonts w:cs="Arial"/>
              </w:rPr>
            </w:pPr>
            <w:r>
              <w:rPr>
                <w:rFonts w:cs="Arial"/>
              </w:rPr>
              <w:t>“</w:t>
            </w:r>
            <w:r w:rsidRPr="00F55457">
              <w:rPr>
                <w:rFonts w:cs="Arial"/>
              </w:rPr>
              <w:t>IPRs Claim</w:t>
            </w:r>
            <w:r>
              <w:rPr>
                <w:rFonts w:cs="Arial"/>
              </w:rPr>
              <w:t>”</w:t>
            </w:r>
          </w:p>
        </w:tc>
        <w:tc>
          <w:tcPr>
            <w:tcW w:w="6803" w:type="dxa"/>
          </w:tcPr>
          <w:p w14:paraId="229388C4" w14:textId="77777777" w:rsidR="002071BF" w:rsidRPr="008D6A63" w:rsidRDefault="002071BF" w:rsidP="002071BF">
            <w:pPr>
              <w:pStyle w:val="StdBodyText"/>
              <w:rPr>
                <w:rFonts w:cs="Arial"/>
              </w:rPr>
            </w:pPr>
            <w:r w:rsidRPr="008D6A63">
              <w:rPr>
                <w:rFonts w:cs="Arial"/>
              </w:rPr>
              <w:t>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Authority Software by or on behalf of the Supplier, in either case in combination with any item not supplied or recommended by the Supplier pursuant to this Contract or for a purpose not reasonably to be inferred from the Services Description or the provisions of this Contract;</w:t>
            </w:r>
          </w:p>
        </w:tc>
      </w:tr>
      <w:tr w:rsidR="002071BF" w:rsidRPr="00F55457" w14:paraId="1BD2FB3B" w14:textId="77777777" w:rsidTr="0052486C">
        <w:tc>
          <w:tcPr>
            <w:tcW w:w="2835" w:type="dxa"/>
          </w:tcPr>
          <w:p w14:paraId="46585D55" w14:textId="77777777" w:rsidR="002071BF" w:rsidRPr="00F55457" w:rsidRDefault="002071BF" w:rsidP="002071BF">
            <w:pPr>
              <w:pStyle w:val="StdBodyTextBold"/>
              <w:rPr>
                <w:rFonts w:cs="Arial"/>
              </w:rPr>
            </w:pPr>
            <w:r>
              <w:rPr>
                <w:rFonts w:cs="Arial"/>
              </w:rPr>
              <w:t>“</w:t>
            </w:r>
            <w:r w:rsidRPr="00F55457">
              <w:rPr>
                <w:rFonts w:cs="Arial"/>
              </w:rPr>
              <w:t>IT</w:t>
            </w:r>
            <w:r>
              <w:rPr>
                <w:rFonts w:cs="Arial"/>
              </w:rPr>
              <w:t>”</w:t>
            </w:r>
          </w:p>
        </w:tc>
        <w:tc>
          <w:tcPr>
            <w:tcW w:w="6803" w:type="dxa"/>
          </w:tcPr>
          <w:p w14:paraId="470166D6" w14:textId="77777777" w:rsidR="002071BF" w:rsidRPr="00F55457" w:rsidRDefault="002071BF" w:rsidP="002071BF">
            <w:pPr>
              <w:pStyle w:val="StdBodyText"/>
              <w:rPr>
                <w:rFonts w:cs="Arial"/>
              </w:rPr>
            </w:pPr>
            <w:r w:rsidRPr="00F55457">
              <w:rPr>
                <w:rFonts w:cs="Arial"/>
              </w:rPr>
              <w:t>information and communications technology;</w:t>
            </w:r>
          </w:p>
        </w:tc>
      </w:tr>
      <w:tr w:rsidR="002071BF" w:rsidRPr="00F55457" w14:paraId="2EA667F9" w14:textId="77777777" w:rsidTr="0052486C">
        <w:tc>
          <w:tcPr>
            <w:tcW w:w="2835" w:type="dxa"/>
          </w:tcPr>
          <w:p w14:paraId="07FCD7F6" w14:textId="77777777" w:rsidR="002071BF" w:rsidRPr="00F55457" w:rsidRDefault="002071BF" w:rsidP="002071BF">
            <w:pPr>
              <w:pStyle w:val="StdBodyTextBold"/>
              <w:rPr>
                <w:rFonts w:cs="Arial"/>
              </w:rPr>
            </w:pPr>
            <w:r>
              <w:rPr>
                <w:rFonts w:cs="Arial"/>
              </w:rPr>
              <w:t>“</w:t>
            </w:r>
            <w:r w:rsidRPr="00F55457">
              <w:rPr>
                <w:rFonts w:cs="Arial"/>
              </w:rPr>
              <w:t>IT Environment</w:t>
            </w:r>
            <w:r>
              <w:rPr>
                <w:rFonts w:cs="Arial"/>
              </w:rPr>
              <w:t>”</w:t>
            </w:r>
          </w:p>
        </w:tc>
        <w:tc>
          <w:tcPr>
            <w:tcW w:w="6803" w:type="dxa"/>
          </w:tcPr>
          <w:p w14:paraId="09F59D76" w14:textId="77777777" w:rsidR="002071BF" w:rsidRPr="00F55457" w:rsidRDefault="002071BF" w:rsidP="002071BF">
            <w:pPr>
              <w:pStyle w:val="StdBodyText"/>
              <w:rPr>
                <w:rFonts w:cs="Arial"/>
              </w:rPr>
            </w:pPr>
            <w:r w:rsidRPr="00F55457">
              <w:rPr>
                <w:rFonts w:cs="Arial"/>
              </w:rPr>
              <w:t>the Authority System and the Supplier System;</w:t>
            </w:r>
          </w:p>
        </w:tc>
      </w:tr>
      <w:tr w:rsidR="002071BF" w:rsidRPr="00F55457" w14:paraId="4867FB32" w14:textId="77777777" w:rsidTr="0052486C">
        <w:tc>
          <w:tcPr>
            <w:tcW w:w="2835" w:type="dxa"/>
          </w:tcPr>
          <w:p w14:paraId="40EF8676" w14:textId="77777777" w:rsidR="002071BF" w:rsidRPr="00F55457" w:rsidRDefault="002071BF" w:rsidP="002071BF">
            <w:pPr>
              <w:pStyle w:val="StdBodyTextBold"/>
              <w:rPr>
                <w:rFonts w:cs="Arial"/>
              </w:rPr>
            </w:pPr>
            <w:r>
              <w:rPr>
                <w:rFonts w:cs="Arial"/>
              </w:rPr>
              <w:t>“</w:t>
            </w:r>
            <w:r w:rsidRPr="00F55457">
              <w:rPr>
                <w:rFonts w:cs="Arial"/>
              </w:rPr>
              <w:t>Joint Controllers</w:t>
            </w:r>
            <w:r>
              <w:rPr>
                <w:rFonts w:cs="Arial"/>
              </w:rPr>
              <w:t>”</w:t>
            </w:r>
          </w:p>
        </w:tc>
        <w:tc>
          <w:tcPr>
            <w:tcW w:w="6803" w:type="dxa"/>
          </w:tcPr>
          <w:p w14:paraId="40062FE3" w14:textId="77777777" w:rsidR="002071BF" w:rsidRPr="00F55457" w:rsidRDefault="002071BF" w:rsidP="002071BF">
            <w:pPr>
              <w:pStyle w:val="StdBodyText"/>
              <w:rPr>
                <w:rFonts w:cs="Arial"/>
              </w:rPr>
            </w:pPr>
            <w:r w:rsidRPr="00C166BF">
              <w:rPr>
                <w:rFonts w:cs="Arial"/>
              </w:rPr>
              <w:t>has the meaning given in Article 26 of the UK GDPR, or EU GDPR, as the context requires</w:t>
            </w:r>
            <w:r w:rsidRPr="00F55457">
              <w:rPr>
                <w:rFonts w:cs="Arial"/>
              </w:rPr>
              <w:t>;</w:t>
            </w:r>
          </w:p>
        </w:tc>
      </w:tr>
      <w:tr w:rsidR="002071BF" w:rsidRPr="00F55457" w14:paraId="335D3CE4" w14:textId="77777777" w:rsidTr="0052486C">
        <w:tc>
          <w:tcPr>
            <w:tcW w:w="2835" w:type="dxa"/>
          </w:tcPr>
          <w:p w14:paraId="581C7DF0" w14:textId="77777777" w:rsidR="002071BF" w:rsidRPr="00F55457" w:rsidRDefault="002071BF" w:rsidP="002071BF">
            <w:pPr>
              <w:pStyle w:val="StdBodyTextBold"/>
              <w:rPr>
                <w:rFonts w:cs="Arial"/>
              </w:rPr>
            </w:pPr>
            <w:r>
              <w:rPr>
                <w:rFonts w:cs="Arial"/>
              </w:rPr>
              <w:lastRenderedPageBreak/>
              <w:t>“</w:t>
            </w:r>
            <w:r w:rsidRPr="00F55457">
              <w:rPr>
                <w:rFonts w:cs="Arial"/>
              </w:rPr>
              <w:t>Key Milestone</w:t>
            </w:r>
            <w:r>
              <w:rPr>
                <w:rFonts w:cs="Arial"/>
              </w:rPr>
              <w:t>”</w:t>
            </w:r>
          </w:p>
        </w:tc>
        <w:tc>
          <w:tcPr>
            <w:tcW w:w="6803" w:type="dxa"/>
          </w:tcPr>
          <w:p w14:paraId="581832AF" w14:textId="73833151" w:rsidR="002071BF" w:rsidRPr="00F55457" w:rsidRDefault="002071BF" w:rsidP="002071BF">
            <w:pPr>
              <w:pStyle w:val="StdBodyText"/>
              <w:rPr>
                <w:rFonts w:cs="Arial"/>
              </w:rPr>
            </w:pPr>
            <w:r w:rsidRPr="00F55457">
              <w:rPr>
                <w:rFonts w:cs="Arial"/>
              </w:rPr>
              <w:t>the Milestones identified in the Implementation Plan as key milestones and in respect of which Delay Payments may be payable in accordanc</w:t>
            </w:r>
            <w:r w:rsidRPr="008D6A63">
              <w:rPr>
                <w:rFonts w:cs="Arial"/>
              </w:rPr>
              <w:t>e with Paragraph</w:t>
            </w:r>
            <w:bookmarkStart w:id="89" w:name="_9kMIH5YVt4EE6DLfGpqgyts0D"/>
            <w:r w:rsidRPr="008D6A63">
              <w:rPr>
                <w:rFonts w:cs="Arial"/>
              </w:rPr>
              <w:t xml:space="preserve"> </w:t>
            </w:r>
            <w:bookmarkEnd w:id="89"/>
            <w:r w:rsidRPr="008D6A63">
              <w:rPr>
                <w:rFonts w:cs="Arial"/>
              </w:rPr>
              <w:fldChar w:fldCharType="begin"/>
            </w:r>
            <w:r w:rsidRPr="008D6A63">
              <w:rPr>
                <w:rFonts w:cs="Arial"/>
              </w:rPr>
              <w:instrText xml:space="preserve"> REF _Ref44509569 \w \h  \* MERGEFORMAT </w:instrText>
            </w:r>
            <w:r w:rsidRPr="008D6A63">
              <w:rPr>
                <w:rFonts w:cs="Arial"/>
              </w:rPr>
            </w:r>
            <w:r w:rsidRPr="008D6A63">
              <w:rPr>
                <w:rFonts w:cs="Arial"/>
              </w:rPr>
              <w:fldChar w:fldCharType="separate"/>
            </w:r>
            <w:r w:rsidR="007A1473">
              <w:rPr>
                <w:rFonts w:cs="Arial"/>
              </w:rPr>
              <w:t>1</w:t>
            </w:r>
            <w:r w:rsidRPr="008D6A63">
              <w:rPr>
                <w:rFonts w:cs="Arial"/>
              </w:rPr>
              <w:fldChar w:fldCharType="end"/>
            </w:r>
            <w:r w:rsidRPr="008D6A63">
              <w:rPr>
                <w:rFonts w:cs="Arial"/>
              </w:rPr>
              <w:t xml:space="preserve"> of </w:t>
            </w:r>
            <w:r w:rsidRPr="008D6A63">
              <w:rPr>
                <w:rFonts w:cs="Arial"/>
              </w:rPr>
              <w:fldChar w:fldCharType="begin"/>
            </w:r>
            <w:r w:rsidRPr="008D6A63">
              <w:rPr>
                <w:rFonts w:cs="Arial"/>
              </w:rPr>
              <w:instrText xml:space="preserve"> REF Sch15PartC \h  \* MERGEFORMAT </w:instrText>
            </w:r>
            <w:r w:rsidRPr="008D6A63">
              <w:rPr>
                <w:rFonts w:cs="Arial"/>
              </w:rPr>
            </w:r>
            <w:r w:rsidRPr="008D6A63">
              <w:rPr>
                <w:rFonts w:cs="Arial"/>
              </w:rPr>
              <w:fldChar w:fldCharType="separate"/>
            </w:r>
            <w:r w:rsidR="007A1473" w:rsidRPr="007A1473">
              <w:rPr>
                <w:rFonts w:cs="Arial"/>
              </w:rPr>
              <w:t>Part C</w:t>
            </w:r>
            <w:r w:rsidRPr="008D6A63">
              <w:rPr>
                <w:rFonts w:cs="Arial"/>
              </w:rPr>
              <w:fldChar w:fldCharType="end"/>
            </w:r>
            <w:r w:rsidRPr="00F55457">
              <w:rPr>
                <w:rFonts w:cs="Arial"/>
              </w:rPr>
              <w:t xml:space="preserve"> of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F55457">
              <w:rPr>
                <w:rFonts w:cs="Arial"/>
              </w:rPr>
              <w:t xml:space="preserve"> if the Supplier fails to Achieve the Milestone Date in respect of such Milestone;</w:t>
            </w:r>
          </w:p>
        </w:tc>
      </w:tr>
      <w:tr w:rsidR="002071BF" w:rsidRPr="00F55457" w14:paraId="13D5BD46" w14:textId="77777777" w:rsidTr="0052486C">
        <w:tc>
          <w:tcPr>
            <w:tcW w:w="2835" w:type="dxa"/>
          </w:tcPr>
          <w:p w14:paraId="0D6E2E71" w14:textId="061D5C07" w:rsidR="002071BF" w:rsidRDefault="002071BF" w:rsidP="002071BF">
            <w:pPr>
              <w:pStyle w:val="StdBodyTextBold"/>
              <w:rPr>
                <w:rFonts w:cs="Arial"/>
              </w:rPr>
            </w:pPr>
            <w:r>
              <w:rPr>
                <w:rFonts w:cs="Arial"/>
              </w:rPr>
              <w:t>"Key Milestone Longstop Date"</w:t>
            </w:r>
          </w:p>
        </w:tc>
        <w:tc>
          <w:tcPr>
            <w:tcW w:w="6803" w:type="dxa"/>
          </w:tcPr>
          <w:p w14:paraId="56F86F61" w14:textId="79DAC3AE" w:rsidR="002071BF" w:rsidRPr="00F55457" w:rsidRDefault="002071BF" w:rsidP="002071BF">
            <w:pPr>
              <w:pStyle w:val="StdBodyText"/>
              <w:rPr>
                <w:rFonts w:cs="Arial"/>
              </w:rPr>
            </w:pPr>
            <w:r w:rsidRPr="00F55457">
              <w:rPr>
                <w:rFonts w:cs="Arial"/>
              </w:rPr>
              <w:t xml:space="preserve">the </w:t>
            </w:r>
            <w:r>
              <w:rPr>
                <w:rFonts w:cs="Arial"/>
              </w:rPr>
              <w:t xml:space="preserve">date (if applicable) that is specified in Annex A of Schedule 13 </w:t>
            </w:r>
            <w:r w:rsidRPr="00835D25">
              <w:rPr>
                <w:rFonts w:cs="Arial"/>
                <w:i/>
              </w:rPr>
              <w:t>(Implementation Plan)</w:t>
            </w:r>
            <w:r>
              <w:rPr>
                <w:rFonts w:cs="Arial"/>
              </w:rPr>
              <w:t xml:space="preserve"> in respect of a Key Milestone, which will give rise to a right for the Authority to terminate the Contract pursuant to Clause 6.6.3 if the </w:t>
            </w:r>
            <w:r w:rsidRPr="00F55457">
              <w:rPr>
                <w:rFonts w:cs="Arial"/>
              </w:rPr>
              <w:t xml:space="preserve">Supplier fails to Achieve the </w:t>
            </w:r>
            <w:r>
              <w:rPr>
                <w:rFonts w:cs="Arial"/>
              </w:rPr>
              <w:t xml:space="preserve">relevant Key </w:t>
            </w:r>
            <w:r w:rsidRPr="00F55457">
              <w:rPr>
                <w:rFonts w:cs="Arial"/>
              </w:rPr>
              <w:t xml:space="preserve">Milestone </w:t>
            </w:r>
            <w:r>
              <w:rPr>
                <w:rFonts w:cs="Arial"/>
              </w:rPr>
              <w:t>by that date;</w:t>
            </w:r>
          </w:p>
        </w:tc>
      </w:tr>
      <w:tr w:rsidR="002071BF" w:rsidRPr="00F55457" w14:paraId="2E420D41" w14:textId="77777777" w:rsidTr="0052486C">
        <w:tc>
          <w:tcPr>
            <w:tcW w:w="2835" w:type="dxa"/>
          </w:tcPr>
          <w:p w14:paraId="1AF5BE16" w14:textId="77777777" w:rsidR="002071BF" w:rsidRPr="00F55457" w:rsidRDefault="002071BF" w:rsidP="002071BF">
            <w:pPr>
              <w:pStyle w:val="StdBodyTextBold"/>
              <w:rPr>
                <w:rFonts w:cs="Arial"/>
              </w:rPr>
            </w:pPr>
            <w:r>
              <w:rPr>
                <w:rFonts w:cs="Arial"/>
              </w:rPr>
              <w:t>“</w:t>
            </w:r>
            <w:r w:rsidRPr="00F55457">
              <w:rPr>
                <w:rFonts w:cs="Arial"/>
              </w:rPr>
              <w:t>Key Performance Indicator</w:t>
            </w:r>
            <w:r>
              <w:rPr>
                <w:rFonts w:cs="Arial"/>
              </w:rPr>
              <w:t>”</w:t>
            </w:r>
          </w:p>
        </w:tc>
        <w:tc>
          <w:tcPr>
            <w:tcW w:w="6803" w:type="dxa"/>
          </w:tcPr>
          <w:p w14:paraId="608A21DD" w14:textId="391468FF" w:rsidR="002071BF" w:rsidRPr="00973218" w:rsidRDefault="002071BF" w:rsidP="002071BF">
            <w:pPr>
              <w:pStyle w:val="StdBodyText"/>
              <w:rPr>
                <w:rFonts w:cs="Arial"/>
              </w:rPr>
            </w:pPr>
            <w:r w:rsidRPr="00973218">
              <w:rPr>
                <w:rFonts w:cs="Arial"/>
              </w:rPr>
              <w:t xml:space="preserve">the key </w:t>
            </w:r>
            <w:r w:rsidRPr="00973218">
              <w:t>p</w:t>
            </w:r>
            <w:r w:rsidRPr="00973218">
              <w:rPr>
                <w:rFonts w:cs="Arial"/>
              </w:rPr>
              <w:t xml:space="preserve">erformance indicators set out in </w:t>
            </w:r>
            <w:bookmarkStart w:id="90" w:name="_9kR3WTr2CC56AeIXjn4"/>
            <w:r w:rsidRPr="00973218">
              <w:rPr>
                <w:rFonts w:cs="Arial"/>
              </w:rPr>
              <w:t>Table 1</w:t>
            </w:r>
            <w:bookmarkEnd w:id="90"/>
            <w:r w:rsidRPr="00973218">
              <w:rPr>
                <w:rFonts w:cs="Arial"/>
              </w:rPr>
              <w:t xml:space="preserve"> of </w:t>
            </w:r>
            <w:r>
              <w:t>Part A</w:t>
            </w:r>
            <w:r w:rsidRPr="00973218">
              <w:rPr>
                <w:rFonts w:cs="Arial"/>
              </w:rPr>
              <w:t xml:space="preserve"> of </w:t>
            </w:r>
            <w:r>
              <w:rPr>
                <w:rFonts w:cs="Arial"/>
              </w:rPr>
              <w:t>Annex 1</w:t>
            </w:r>
            <w:r w:rsidRPr="00973218">
              <w:rPr>
                <w:rFonts w:cs="Arial"/>
              </w:rPr>
              <w:t xml:space="preserve"> of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973218">
              <w:rPr>
                <w:rFonts w:cs="Arial"/>
              </w:rPr>
              <w:t>;</w:t>
            </w:r>
          </w:p>
        </w:tc>
      </w:tr>
      <w:tr w:rsidR="002071BF" w:rsidRPr="00F55457" w14:paraId="7454E683" w14:textId="77777777" w:rsidTr="0052486C">
        <w:tc>
          <w:tcPr>
            <w:tcW w:w="2835" w:type="dxa"/>
          </w:tcPr>
          <w:p w14:paraId="370334A8" w14:textId="77777777" w:rsidR="002071BF" w:rsidRPr="008D6A63" w:rsidRDefault="002071BF" w:rsidP="002071BF">
            <w:pPr>
              <w:pStyle w:val="StdBodyTextBold"/>
              <w:rPr>
                <w:rFonts w:cs="Arial"/>
              </w:rPr>
            </w:pPr>
            <w:r>
              <w:rPr>
                <w:rFonts w:cs="Arial"/>
              </w:rPr>
              <w:t>“</w:t>
            </w:r>
            <w:r w:rsidRPr="008D6A63">
              <w:rPr>
                <w:rFonts w:cs="Arial"/>
              </w:rPr>
              <w:t>Key Personnel</w:t>
            </w:r>
            <w:r>
              <w:rPr>
                <w:rFonts w:cs="Arial"/>
              </w:rPr>
              <w:t>”</w:t>
            </w:r>
          </w:p>
        </w:tc>
        <w:tc>
          <w:tcPr>
            <w:tcW w:w="6803" w:type="dxa"/>
          </w:tcPr>
          <w:p w14:paraId="1107D3CC" w14:textId="3D38B87C" w:rsidR="002071BF" w:rsidRPr="008D6A63" w:rsidRDefault="002071BF" w:rsidP="002071BF">
            <w:pPr>
              <w:pStyle w:val="StdBodyText"/>
              <w:rPr>
                <w:rFonts w:cs="Arial"/>
              </w:rPr>
            </w:pPr>
            <w:r w:rsidRPr="008D6A63">
              <w:rPr>
                <w:rFonts w:cs="Arial"/>
              </w:rPr>
              <w:t xml:space="preserve">those persons appointed by the Supplier to fulfil the Key Roles, being the persons listed in </w:t>
            </w:r>
            <w:r>
              <w:rPr>
                <w:rFonts w:cs="Arial"/>
              </w:rPr>
              <w:fldChar w:fldCharType="begin"/>
            </w:r>
            <w:r>
              <w:rPr>
                <w:rFonts w:cs="Arial"/>
              </w:rPr>
              <w:instrText xml:space="preserve"> REF Schedule29 \h </w:instrText>
            </w:r>
            <w:r>
              <w:rPr>
                <w:rFonts w:cs="Arial"/>
              </w:rPr>
            </w:r>
            <w:r>
              <w:rPr>
                <w:rFonts w:cs="Arial"/>
              </w:rPr>
              <w:fldChar w:fldCharType="separate"/>
            </w:r>
            <w:r w:rsidR="007A1473" w:rsidRPr="00DD4CC2">
              <w:t>Schedule</w:t>
            </w:r>
            <w:r w:rsidR="007A1473">
              <w:t> </w:t>
            </w:r>
            <w:r w:rsidR="007A1473" w:rsidRPr="00DD4CC2">
              <w:t>29</w:t>
            </w:r>
            <w:r>
              <w:rPr>
                <w:rFonts w:cs="Arial"/>
              </w:rPr>
              <w:fldChar w:fldCharType="end"/>
            </w:r>
            <w:r>
              <w:rPr>
                <w:rFonts w:cs="Arial"/>
              </w:rPr>
              <w:t xml:space="preserve"> (</w:t>
            </w:r>
            <w:r w:rsidRPr="006F064F">
              <w:rPr>
                <w:rFonts w:cs="Arial"/>
                <w:i/>
                <w:iCs/>
              </w:rPr>
              <w:fldChar w:fldCharType="begin"/>
            </w:r>
            <w:r w:rsidRPr="006F064F">
              <w:rPr>
                <w:rFonts w:cs="Arial"/>
                <w:i/>
                <w:iCs/>
              </w:rPr>
              <w:instrText xml:space="preserve"> REF Schedule29Heading \h </w:instrText>
            </w:r>
            <w:r>
              <w:rPr>
                <w:rFonts w:cs="Arial"/>
                <w:i/>
                <w:iCs/>
              </w:rPr>
              <w:instrText xml:space="preserve"> \* MERGEFORMAT </w:instrText>
            </w:r>
            <w:r w:rsidRPr="006F064F">
              <w:rPr>
                <w:rFonts w:cs="Arial"/>
                <w:i/>
                <w:iCs/>
              </w:rPr>
            </w:r>
            <w:r w:rsidRPr="006F064F">
              <w:rPr>
                <w:rFonts w:cs="Arial"/>
                <w:i/>
                <w:iCs/>
              </w:rPr>
              <w:fldChar w:fldCharType="separate"/>
            </w:r>
            <w:r w:rsidR="007A1473" w:rsidRPr="007A1473">
              <w:rPr>
                <w:i/>
                <w:iCs/>
              </w:rPr>
              <w:t>Key Personnel</w:t>
            </w:r>
            <w:r w:rsidRPr="006F064F">
              <w:rPr>
                <w:rFonts w:cs="Arial"/>
                <w:i/>
                <w:iCs/>
              </w:rPr>
              <w:fldChar w:fldCharType="end"/>
            </w:r>
            <w:r>
              <w:rPr>
                <w:rFonts w:cs="Arial"/>
              </w:rPr>
              <w:t>)</w:t>
            </w:r>
            <w:r w:rsidRPr="008D6A63">
              <w:rPr>
                <w:rFonts w:cs="Arial"/>
              </w:rPr>
              <w:t xml:space="preserve"> against each Key Role as at the Effective Date or as amended from time to time in accordance with </w:t>
            </w:r>
            <w:bookmarkStart w:id="91" w:name="_9kMHG5YVtCIAEICBFKkUmYjD960u4JAtyADHOSE"/>
            <w:r w:rsidRPr="008D6A63">
              <w:rPr>
                <w:rFonts w:cs="Arial"/>
              </w:rPr>
              <w:t xml:space="preserve">Clauses </w:t>
            </w:r>
            <w:bookmarkEnd w:id="91"/>
            <w:r w:rsidRPr="008D6A63">
              <w:rPr>
                <w:rFonts w:cs="Arial"/>
              </w:rPr>
              <w:t>14.5 and 14.6 (</w:t>
            </w:r>
            <w:r w:rsidRPr="00C04B2F">
              <w:rPr>
                <w:rFonts w:cs="Arial"/>
                <w:i/>
                <w:iCs/>
              </w:rPr>
              <w:t>Key Personnel</w:t>
            </w:r>
            <w:r w:rsidRPr="008D6A63">
              <w:rPr>
                <w:rFonts w:cs="Arial"/>
              </w:rPr>
              <w:t>);</w:t>
            </w:r>
          </w:p>
        </w:tc>
      </w:tr>
      <w:tr w:rsidR="002071BF" w:rsidRPr="00F55457" w14:paraId="712A8A0C" w14:textId="77777777" w:rsidTr="0052486C">
        <w:tc>
          <w:tcPr>
            <w:tcW w:w="2835" w:type="dxa"/>
          </w:tcPr>
          <w:p w14:paraId="781C32A3" w14:textId="77777777" w:rsidR="002071BF" w:rsidRPr="008D6A63" w:rsidRDefault="002071BF" w:rsidP="002071BF">
            <w:pPr>
              <w:pStyle w:val="StdBodyTextBold"/>
              <w:rPr>
                <w:rFonts w:cs="Arial"/>
              </w:rPr>
            </w:pPr>
            <w:r>
              <w:rPr>
                <w:rFonts w:cs="Arial"/>
              </w:rPr>
              <w:t>“</w:t>
            </w:r>
            <w:r w:rsidRPr="008D6A63">
              <w:rPr>
                <w:rFonts w:cs="Arial"/>
              </w:rPr>
              <w:t>Key Roles</w:t>
            </w:r>
            <w:r>
              <w:rPr>
                <w:rFonts w:cs="Arial"/>
              </w:rPr>
              <w:t>”</w:t>
            </w:r>
          </w:p>
        </w:tc>
        <w:tc>
          <w:tcPr>
            <w:tcW w:w="6803" w:type="dxa"/>
          </w:tcPr>
          <w:p w14:paraId="6CCF8B93" w14:textId="3EF36E40" w:rsidR="002071BF" w:rsidRPr="008D6A63" w:rsidRDefault="002071BF" w:rsidP="002071BF">
            <w:pPr>
              <w:pStyle w:val="StdBodyText"/>
              <w:rPr>
                <w:rFonts w:cs="Arial"/>
              </w:rPr>
            </w:pPr>
            <w:r w:rsidRPr="008D6A63">
              <w:rPr>
                <w:rFonts w:cs="Arial"/>
              </w:rPr>
              <w:t xml:space="preserve">a role described as a Key Role in </w:t>
            </w:r>
            <w:r>
              <w:rPr>
                <w:rFonts w:cs="Arial"/>
              </w:rPr>
              <w:fldChar w:fldCharType="begin"/>
            </w:r>
            <w:r>
              <w:rPr>
                <w:rFonts w:cs="Arial"/>
              </w:rPr>
              <w:instrText xml:space="preserve"> REF Schedule29 \h </w:instrText>
            </w:r>
            <w:r>
              <w:rPr>
                <w:rFonts w:cs="Arial"/>
              </w:rPr>
            </w:r>
            <w:r>
              <w:rPr>
                <w:rFonts w:cs="Arial"/>
              </w:rPr>
              <w:fldChar w:fldCharType="separate"/>
            </w:r>
            <w:r w:rsidR="007A1473" w:rsidRPr="00DD4CC2">
              <w:t>Schedule</w:t>
            </w:r>
            <w:r w:rsidR="007A1473">
              <w:t> </w:t>
            </w:r>
            <w:r w:rsidR="007A1473" w:rsidRPr="00DD4CC2">
              <w:t>29</w:t>
            </w:r>
            <w:r>
              <w:rPr>
                <w:rFonts w:cs="Arial"/>
              </w:rPr>
              <w:fldChar w:fldCharType="end"/>
            </w:r>
            <w:r>
              <w:rPr>
                <w:rFonts w:cs="Arial"/>
              </w:rPr>
              <w:t xml:space="preserve"> (</w:t>
            </w:r>
            <w:r w:rsidRPr="006F064F">
              <w:rPr>
                <w:rFonts w:cs="Arial"/>
                <w:i/>
                <w:iCs/>
              </w:rPr>
              <w:fldChar w:fldCharType="begin"/>
            </w:r>
            <w:r w:rsidRPr="006F064F">
              <w:rPr>
                <w:rFonts w:cs="Arial"/>
                <w:i/>
                <w:iCs/>
              </w:rPr>
              <w:instrText xml:space="preserve"> REF Schedule29Heading \h </w:instrText>
            </w:r>
            <w:r>
              <w:rPr>
                <w:rFonts w:cs="Arial"/>
                <w:i/>
                <w:iCs/>
              </w:rPr>
              <w:instrText xml:space="preserve"> \* MERGEFORMAT </w:instrText>
            </w:r>
            <w:r w:rsidRPr="006F064F">
              <w:rPr>
                <w:rFonts w:cs="Arial"/>
                <w:i/>
                <w:iCs/>
              </w:rPr>
            </w:r>
            <w:r w:rsidRPr="006F064F">
              <w:rPr>
                <w:rFonts w:cs="Arial"/>
                <w:i/>
                <w:iCs/>
              </w:rPr>
              <w:fldChar w:fldCharType="separate"/>
            </w:r>
            <w:r w:rsidR="007A1473" w:rsidRPr="007A1473">
              <w:rPr>
                <w:i/>
                <w:iCs/>
              </w:rPr>
              <w:t>Key Personnel</w:t>
            </w:r>
            <w:r w:rsidRPr="006F064F">
              <w:rPr>
                <w:rFonts w:cs="Arial"/>
                <w:i/>
                <w:iCs/>
              </w:rPr>
              <w:fldChar w:fldCharType="end"/>
            </w:r>
            <w:r>
              <w:rPr>
                <w:rFonts w:cs="Arial"/>
              </w:rPr>
              <w:t>)</w:t>
            </w:r>
            <w:r w:rsidRPr="008D6A63">
              <w:rPr>
                <w:rFonts w:cs="Arial"/>
              </w:rPr>
              <w:t xml:space="preserve"> and any additional roles added from time to time in accordance with </w:t>
            </w:r>
            <w:bookmarkStart w:id="92" w:name="_9kMHG5YVtCIAEIFEFJjUmGRH51C7ARLyBK0x8OK"/>
            <w:r w:rsidRPr="008D6A63">
              <w:rPr>
                <w:rFonts w:cs="Arial"/>
              </w:rPr>
              <w:t xml:space="preserve">Clause </w:t>
            </w:r>
            <w:bookmarkEnd w:id="92"/>
            <w:r w:rsidRPr="008D6A63">
              <w:rPr>
                <w:rFonts w:cs="Arial"/>
              </w:rPr>
              <w:t>14.4 (</w:t>
            </w:r>
            <w:r w:rsidRPr="00C04B2F">
              <w:rPr>
                <w:rFonts w:cs="Arial"/>
                <w:i/>
                <w:iCs/>
              </w:rPr>
              <w:t>Key Personnel</w:t>
            </w:r>
            <w:r w:rsidRPr="008D6A63">
              <w:rPr>
                <w:rFonts w:cs="Arial"/>
              </w:rPr>
              <w:t>);</w:t>
            </w:r>
          </w:p>
        </w:tc>
      </w:tr>
      <w:tr w:rsidR="002071BF" w:rsidRPr="00F55457" w14:paraId="00EBA7B8" w14:textId="77777777" w:rsidTr="0052486C">
        <w:tc>
          <w:tcPr>
            <w:tcW w:w="2835" w:type="dxa"/>
          </w:tcPr>
          <w:p w14:paraId="07FEF41C" w14:textId="77777777" w:rsidR="002071BF" w:rsidRPr="008D6A63" w:rsidRDefault="002071BF" w:rsidP="002071BF">
            <w:pPr>
              <w:pStyle w:val="StdBodyTextBold"/>
              <w:rPr>
                <w:rFonts w:cs="Arial"/>
              </w:rPr>
            </w:pPr>
            <w:r>
              <w:rPr>
                <w:rFonts w:cs="Arial"/>
              </w:rPr>
              <w:t>“</w:t>
            </w:r>
            <w:r w:rsidRPr="008D6A63">
              <w:rPr>
                <w:rFonts w:cs="Arial"/>
              </w:rPr>
              <w:t>Key Sub-contract</w:t>
            </w:r>
            <w:r>
              <w:rPr>
                <w:rFonts w:cs="Arial"/>
              </w:rPr>
              <w:t>”</w:t>
            </w:r>
          </w:p>
        </w:tc>
        <w:tc>
          <w:tcPr>
            <w:tcW w:w="6803" w:type="dxa"/>
          </w:tcPr>
          <w:p w14:paraId="5AE7927D" w14:textId="77777777" w:rsidR="002071BF" w:rsidRPr="008D6A63" w:rsidRDefault="002071BF" w:rsidP="002071BF">
            <w:pPr>
              <w:pStyle w:val="StdBodyText"/>
              <w:rPr>
                <w:rFonts w:cs="Arial"/>
              </w:rPr>
            </w:pPr>
            <w:r w:rsidRPr="008D6A63">
              <w:rPr>
                <w:rFonts w:cs="Arial"/>
              </w:rPr>
              <w:t>each Sub-contract with a Key Sub-contractor;</w:t>
            </w:r>
          </w:p>
        </w:tc>
      </w:tr>
      <w:tr w:rsidR="002071BF" w:rsidRPr="00F55457" w14:paraId="09709ED9" w14:textId="77777777" w:rsidTr="0052486C">
        <w:tc>
          <w:tcPr>
            <w:tcW w:w="2835" w:type="dxa"/>
          </w:tcPr>
          <w:p w14:paraId="6B8DFD4E" w14:textId="77777777" w:rsidR="002071BF" w:rsidRPr="008D6A63" w:rsidRDefault="002071BF" w:rsidP="002071BF">
            <w:pPr>
              <w:pStyle w:val="StdBodyTextBold"/>
              <w:rPr>
                <w:rFonts w:cs="Arial"/>
              </w:rPr>
            </w:pPr>
            <w:r>
              <w:rPr>
                <w:rFonts w:cs="Arial"/>
              </w:rPr>
              <w:t>“</w:t>
            </w:r>
            <w:r w:rsidRPr="008D6A63">
              <w:rPr>
                <w:rFonts w:cs="Arial"/>
              </w:rPr>
              <w:t>Key Sub-contractor</w:t>
            </w:r>
            <w:r>
              <w:rPr>
                <w:rFonts w:cs="Arial"/>
              </w:rPr>
              <w:t>”</w:t>
            </w:r>
          </w:p>
        </w:tc>
        <w:tc>
          <w:tcPr>
            <w:tcW w:w="6803" w:type="dxa"/>
          </w:tcPr>
          <w:p w14:paraId="413B93C5" w14:textId="77777777" w:rsidR="002071BF" w:rsidRPr="008D6A63" w:rsidRDefault="002071BF" w:rsidP="002071BF">
            <w:pPr>
              <w:pStyle w:val="StdBodyText"/>
              <w:rPr>
                <w:rFonts w:cs="Arial"/>
              </w:rPr>
            </w:pPr>
            <w:r w:rsidRPr="008D6A63">
              <w:rPr>
                <w:rFonts w:cs="Arial"/>
              </w:rPr>
              <w:t>any Sub-contractor:</w:t>
            </w:r>
          </w:p>
          <w:p w14:paraId="25A0CA4E" w14:textId="77777777" w:rsidR="002071BF" w:rsidRPr="008D6A63" w:rsidRDefault="002071BF" w:rsidP="002071BF">
            <w:pPr>
              <w:pStyle w:val="DefinitionList"/>
              <w:numPr>
                <w:ilvl w:val="0"/>
                <w:numId w:val="157"/>
              </w:numPr>
            </w:pPr>
            <w:r w:rsidRPr="008D6A63">
              <w:t>which, in the opinion of the Authority, performs (or would perform if appointed) a critical role in the provision of all or any part of the Services; and/or</w:t>
            </w:r>
          </w:p>
          <w:p w14:paraId="247DCEBB" w14:textId="77777777" w:rsidR="002071BF" w:rsidRPr="008D6A63" w:rsidRDefault="002071BF" w:rsidP="002071BF">
            <w:pPr>
              <w:pStyle w:val="DefinitionList"/>
              <w:numPr>
                <w:ilvl w:val="0"/>
                <w:numId w:val="78"/>
              </w:numPr>
              <w:rPr>
                <w:rFonts w:cs="Arial"/>
              </w:rPr>
            </w:pPr>
            <w:r w:rsidRPr="008D6A63">
              <w:rPr>
                <w:rFonts w:cs="Arial"/>
              </w:rPr>
              <w:t>with a Sub-contract with a contract value which at the time of appointment exceeds (or would exceed if appointed) 10% of the aggregate Charges forecast to be payable under this Contract (as set out in the Financial Model);</w:t>
            </w:r>
          </w:p>
        </w:tc>
      </w:tr>
      <w:tr w:rsidR="002071BF" w:rsidRPr="00F55457" w14:paraId="3C5D9A6C" w14:textId="77777777" w:rsidTr="0052486C">
        <w:tc>
          <w:tcPr>
            <w:tcW w:w="2835" w:type="dxa"/>
          </w:tcPr>
          <w:p w14:paraId="408AA62D" w14:textId="77777777" w:rsidR="002071BF" w:rsidRPr="008D6A63" w:rsidRDefault="002071BF" w:rsidP="002071BF">
            <w:pPr>
              <w:pStyle w:val="StdBodyTextBold"/>
              <w:rPr>
                <w:rFonts w:cs="Arial"/>
              </w:rPr>
            </w:pPr>
            <w:r>
              <w:rPr>
                <w:rFonts w:cs="Arial"/>
              </w:rPr>
              <w:t>“</w:t>
            </w:r>
            <w:r w:rsidRPr="008D6A63">
              <w:rPr>
                <w:rFonts w:cs="Arial"/>
              </w:rPr>
              <w:t>Know-How</w:t>
            </w:r>
            <w:r>
              <w:rPr>
                <w:rFonts w:cs="Arial"/>
              </w:rPr>
              <w:t>”</w:t>
            </w:r>
          </w:p>
        </w:tc>
        <w:tc>
          <w:tcPr>
            <w:tcW w:w="6803" w:type="dxa"/>
          </w:tcPr>
          <w:p w14:paraId="2215E0CB" w14:textId="77777777" w:rsidR="002071BF" w:rsidRPr="008D6A63" w:rsidRDefault="002071BF" w:rsidP="002071BF">
            <w:pPr>
              <w:pStyle w:val="StdBodyText"/>
              <w:rPr>
                <w:rFonts w:cs="Arial"/>
              </w:rPr>
            </w:pPr>
            <w:r w:rsidRPr="008D6A63">
              <w:rPr>
                <w:rFonts w:cs="Arial"/>
              </w:rPr>
              <w:t>all ideas, concepts, schemes, information, knowledge, techniques, methodology, and anything else in the nature of know how relating to the Services but excluding know how already in the other Party</w:t>
            </w:r>
            <w:r>
              <w:rPr>
                <w:rFonts w:cs="Arial"/>
              </w:rPr>
              <w:t>’</w:t>
            </w:r>
            <w:r w:rsidRPr="008D6A63">
              <w:rPr>
                <w:rFonts w:cs="Arial"/>
              </w:rPr>
              <w:t>s possession before this Contract;</w:t>
            </w:r>
          </w:p>
        </w:tc>
      </w:tr>
      <w:tr w:rsidR="002071BF" w:rsidRPr="00F55457" w14:paraId="4495F951" w14:textId="77777777" w:rsidTr="0052486C">
        <w:tc>
          <w:tcPr>
            <w:tcW w:w="2835" w:type="dxa"/>
          </w:tcPr>
          <w:p w14:paraId="6DF9F06E" w14:textId="77777777" w:rsidR="002071BF" w:rsidRPr="008D6A63" w:rsidRDefault="002071BF" w:rsidP="002071BF">
            <w:pPr>
              <w:pStyle w:val="StdBodyTextBold"/>
              <w:rPr>
                <w:rFonts w:cs="Arial"/>
              </w:rPr>
            </w:pPr>
            <w:r>
              <w:rPr>
                <w:rFonts w:cs="Arial"/>
              </w:rPr>
              <w:t>“</w:t>
            </w:r>
            <w:r w:rsidRPr="008D6A63">
              <w:rPr>
                <w:rFonts w:cs="Arial"/>
              </w:rPr>
              <w:t>KPI Failure</w:t>
            </w:r>
            <w:r>
              <w:rPr>
                <w:rFonts w:cs="Arial"/>
              </w:rPr>
              <w:t>”</w:t>
            </w:r>
          </w:p>
        </w:tc>
        <w:tc>
          <w:tcPr>
            <w:tcW w:w="6803" w:type="dxa"/>
          </w:tcPr>
          <w:p w14:paraId="2889ABF1" w14:textId="77777777" w:rsidR="002071BF" w:rsidRPr="008D6A63" w:rsidRDefault="002071BF" w:rsidP="002071BF">
            <w:pPr>
              <w:pStyle w:val="StdBodyText"/>
              <w:rPr>
                <w:rFonts w:cs="Arial"/>
              </w:rPr>
            </w:pPr>
            <w:r w:rsidRPr="008D6A63">
              <w:rPr>
                <w:rFonts w:cs="Arial"/>
              </w:rPr>
              <w:t>a failure to meet the Target Performance Level in respect of a Key Performance Indicator;</w:t>
            </w:r>
          </w:p>
        </w:tc>
      </w:tr>
      <w:tr w:rsidR="002071BF" w:rsidRPr="00F55457" w14:paraId="135C3CE2" w14:textId="77777777" w:rsidTr="0052486C">
        <w:tc>
          <w:tcPr>
            <w:tcW w:w="2835" w:type="dxa"/>
          </w:tcPr>
          <w:p w14:paraId="488A7E2E" w14:textId="77777777" w:rsidR="002071BF" w:rsidRPr="008D6A63" w:rsidRDefault="002071BF" w:rsidP="002071BF">
            <w:pPr>
              <w:pStyle w:val="StdBodyTextBold"/>
              <w:rPr>
                <w:rFonts w:cs="Arial"/>
              </w:rPr>
            </w:pPr>
            <w:r>
              <w:rPr>
                <w:rFonts w:cs="Arial"/>
              </w:rPr>
              <w:lastRenderedPageBreak/>
              <w:t>“</w:t>
            </w:r>
            <w:r w:rsidRPr="008D6A63">
              <w:rPr>
                <w:rFonts w:cs="Arial"/>
              </w:rPr>
              <w:t>KPI Service Threshold</w:t>
            </w:r>
            <w:r>
              <w:rPr>
                <w:rFonts w:cs="Arial"/>
              </w:rPr>
              <w:t>”</w:t>
            </w:r>
          </w:p>
        </w:tc>
        <w:tc>
          <w:tcPr>
            <w:tcW w:w="6803" w:type="dxa"/>
          </w:tcPr>
          <w:p w14:paraId="041777D1" w14:textId="43F615C0" w:rsidR="002071BF" w:rsidRPr="008D6A63" w:rsidRDefault="002071BF" w:rsidP="002071BF">
            <w:pPr>
              <w:pStyle w:val="StdBodyText"/>
              <w:rPr>
                <w:rFonts w:cs="Arial"/>
              </w:rPr>
            </w:pPr>
            <w:r w:rsidRPr="008D6A63">
              <w:rPr>
                <w:rFonts w:cs="Arial"/>
              </w:rPr>
              <w:t xml:space="preserve">shall be as set out against the relevant </w:t>
            </w:r>
            <w:bookmarkStart w:id="93" w:name="_9kR3WTr2AADKKZDykLuwu76qsvnUY0wwp7MLGDz"/>
            <w:r w:rsidRPr="008D6A63">
              <w:rPr>
                <w:rFonts w:cs="Arial"/>
              </w:rPr>
              <w:t xml:space="preserve">Key Performance Indicator in Table 1 of </w:t>
            </w:r>
            <w:r>
              <w:rPr>
                <w:rFonts w:cs="Arial"/>
              </w:rPr>
              <w:t>Part A</w:t>
            </w:r>
            <w:r w:rsidRPr="008D6A63">
              <w:rPr>
                <w:rFonts w:cs="Arial"/>
              </w:rPr>
              <w:t xml:space="preserve"> of </w:t>
            </w:r>
            <w:bookmarkEnd w:id="93"/>
            <w:r>
              <w:rPr>
                <w:rFonts w:cs="Arial"/>
              </w:rPr>
              <w:t>Annex 1</w:t>
            </w:r>
            <w:r w:rsidRPr="008D6A63">
              <w:rPr>
                <w:rFonts w:cs="Arial"/>
              </w:rPr>
              <w:t xml:space="preserve"> of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8D6A63">
              <w:rPr>
                <w:rFonts w:cs="Arial"/>
              </w:rPr>
              <w:t>;</w:t>
            </w:r>
          </w:p>
        </w:tc>
      </w:tr>
      <w:tr w:rsidR="002071BF" w:rsidRPr="00F55457" w14:paraId="172D3C16" w14:textId="77777777" w:rsidTr="0052486C">
        <w:tc>
          <w:tcPr>
            <w:tcW w:w="2835" w:type="dxa"/>
          </w:tcPr>
          <w:p w14:paraId="5498672B" w14:textId="77777777" w:rsidR="002071BF" w:rsidRPr="008D6A63" w:rsidRDefault="002071BF" w:rsidP="002071BF">
            <w:pPr>
              <w:pStyle w:val="StdBodyTextBold"/>
              <w:rPr>
                <w:rFonts w:cs="Arial"/>
              </w:rPr>
            </w:pPr>
            <w:r>
              <w:rPr>
                <w:rFonts w:cs="Arial"/>
              </w:rPr>
              <w:t>“</w:t>
            </w:r>
            <w:r w:rsidRPr="008D6A63">
              <w:rPr>
                <w:rFonts w:cs="Arial"/>
              </w:rPr>
              <w:t>Law</w:t>
            </w:r>
            <w:r>
              <w:rPr>
                <w:rFonts w:cs="Arial"/>
              </w:rPr>
              <w:t>”</w:t>
            </w:r>
          </w:p>
        </w:tc>
        <w:tc>
          <w:tcPr>
            <w:tcW w:w="6803" w:type="dxa"/>
          </w:tcPr>
          <w:p w14:paraId="75BAB7E1" w14:textId="77777777" w:rsidR="002071BF" w:rsidRPr="008D6A63" w:rsidRDefault="002071BF" w:rsidP="002071BF">
            <w:pPr>
              <w:pStyle w:val="StdBodyText"/>
              <w:rPr>
                <w:rFonts w:cs="Arial"/>
              </w:rPr>
            </w:pPr>
            <w:r w:rsidRPr="008D6A63">
              <w:rPr>
                <w:rFonts w:cs="Arial"/>
              </w:rPr>
              <w:t xml:space="preserve">any law, statute, subordinate legislation within the meaning of </w:t>
            </w:r>
            <w:bookmarkStart w:id="94" w:name="_9kR3WTr277DGD4rcszv1GII6y47tVZH98KLBEBC"/>
            <w:r w:rsidRPr="008D6A63">
              <w:rPr>
                <w:rFonts w:cs="Arial"/>
              </w:rPr>
              <w:t>Section 21(1) of the Interpretation Act 1978</w:t>
            </w:r>
            <w:bookmarkEnd w:id="94"/>
            <w:r w:rsidRPr="008D6A63">
              <w:rPr>
                <w:rFonts w:cs="Arial"/>
              </w:rPr>
              <w:t xml:space="preserve">, bye-law, right within the meaning of </w:t>
            </w:r>
            <w:bookmarkStart w:id="95" w:name="_9kR3WTr277DGE5rcszv1G5w25rPaKFE5r1eaHGP"/>
            <w:r w:rsidRPr="008D6A63">
              <w:rPr>
                <w:rFonts w:cs="Arial"/>
              </w:rPr>
              <w:t xml:space="preserve">the European Union (Withdrawal) Act </w:t>
            </w:r>
            <w:bookmarkEnd w:id="95"/>
            <w:r w:rsidRPr="008D6A63">
              <w:rPr>
                <w:rFonts w:cs="Arial"/>
              </w:rPr>
              <w:t>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071BF" w:rsidRPr="00302D39" w14:paraId="632324EF" w14:textId="77777777" w:rsidTr="0052486C">
        <w:tc>
          <w:tcPr>
            <w:tcW w:w="2835" w:type="dxa"/>
          </w:tcPr>
          <w:p w14:paraId="3D66C985" w14:textId="77777777" w:rsidR="002071BF" w:rsidRPr="008D6A63" w:rsidRDefault="002071BF" w:rsidP="002071BF">
            <w:pPr>
              <w:pStyle w:val="StdBodyTextBold"/>
              <w:rPr>
                <w:rFonts w:cs="Arial"/>
              </w:rPr>
            </w:pPr>
            <w:r>
              <w:rPr>
                <w:rFonts w:cs="Arial"/>
              </w:rPr>
              <w:t>“</w:t>
            </w:r>
            <w:r w:rsidRPr="008D6A63">
              <w:rPr>
                <w:rFonts w:cs="Arial"/>
              </w:rPr>
              <w:t>LED</w:t>
            </w:r>
            <w:r>
              <w:rPr>
                <w:rFonts w:cs="Arial"/>
              </w:rPr>
              <w:t>”</w:t>
            </w:r>
          </w:p>
        </w:tc>
        <w:tc>
          <w:tcPr>
            <w:tcW w:w="6803" w:type="dxa"/>
          </w:tcPr>
          <w:p w14:paraId="2B4DCFA1" w14:textId="77777777" w:rsidR="002071BF" w:rsidRPr="008D6A63" w:rsidRDefault="002071BF" w:rsidP="002071BF">
            <w:pPr>
              <w:pStyle w:val="StdBodyText"/>
              <w:rPr>
                <w:rFonts w:cs="Arial"/>
                <w:lang w:val="fr-FR"/>
              </w:rPr>
            </w:pPr>
            <w:r w:rsidRPr="008D6A63">
              <w:rPr>
                <w:rFonts w:cs="Arial"/>
                <w:lang w:val="fr-FR"/>
              </w:rPr>
              <w:t>Law Enforcement Directive (Directive (EU) 2016/680);</w:t>
            </w:r>
          </w:p>
        </w:tc>
      </w:tr>
      <w:tr w:rsidR="002071BF" w:rsidRPr="00F55457" w14:paraId="1C1FA789" w14:textId="77777777" w:rsidTr="0052486C">
        <w:tc>
          <w:tcPr>
            <w:tcW w:w="2835" w:type="dxa"/>
          </w:tcPr>
          <w:p w14:paraId="564CCFAC" w14:textId="77777777" w:rsidR="002071BF" w:rsidRPr="008D6A63" w:rsidRDefault="002071BF" w:rsidP="002071BF">
            <w:pPr>
              <w:pStyle w:val="StdBodyTextBold"/>
              <w:rPr>
                <w:rFonts w:cs="Arial"/>
              </w:rPr>
            </w:pPr>
            <w:r>
              <w:rPr>
                <w:rFonts w:cs="Arial"/>
              </w:rPr>
              <w:t>“</w:t>
            </w:r>
            <w:r w:rsidRPr="008D6A63">
              <w:rPr>
                <w:rFonts w:cs="Arial"/>
              </w:rPr>
              <w:t>Licensed Software</w:t>
            </w:r>
            <w:r>
              <w:rPr>
                <w:rFonts w:cs="Arial"/>
              </w:rPr>
              <w:t>”</w:t>
            </w:r>
          </w:p>
        </w:tc>
        <w:tc>
          <w:tcPr>
            <w:tcW w:w="6803" w:type="dxa"/>
          </w:tcPr>
          <w:p w14:paraId="5BC7D412" w14:textId="77777777" w:rsidR="002071BF" w:rsidRPr="008D6A63" w:rsidRDefault="002071BF" w:rsidP="002071BF">
            <w:pPr>
              <w:pStyle w:val="StdBodyText"/>
              <w:rPr>
                <w:rFonts w:cs="Arial"/>
              </w:rPr>
            </w:pPr>
            <w:r w:rsidRPr="008D6A63">
              <w:rPr>
                <w:rFonts w:cs="Arial"/>
              </w:rPr>
              <w:t>all and any Software licensed by or through the Supplier, its Sub-contractors or any third party to the Authority for the purposes of or pursuant to this Contract, including any Supplier Software, Third Party Software and/or any Specially Written Software;</w:t>
            </w:r>
          </w:p>
        </w:tc>
      </w:tr>
      <w:tr w:rsidR="002071BF" w:rsidRPr="00F55457" w14:paraId="12A6A427" w14:textId="77777777" w:rsidTr="0052486C">
        <w:tc>
          <w:tcPr>
            <w:tcW w:w="2835" w:type="dxa"/>
          </w:tcPr>
          <w:p w14:paraId="056AE2F4" w14:textId="77777777" w:rsidR="002071BF" w:rsidRPr="008D6A63" w:rsidRDefault="002071BF" w:rsidP="002071BF">
            <w:pPr>
              <w:pStyle w:val="StdBodyTextBold"/>
              <w:rPr>
                <w:rFonts w:cs="Arial"/>
              </w:rPr>
            </w:pPr>
            <w:r>
              <w:rPr>
                <w:rFonts w:cs="Arial"/>
              </w:rPr>
              <w:t>“</w:t>
            </w:r>
            <w:r w:rsidRPr="008D6A63">
              <w:rPr>
                <w:rFonts w:cs="Arial"/>
              </w:rPr>
              <w:t>Losses</w:t>
            </w:r>
            <w:r>
              <w:rPr>
                <w:rFonts w:cs="Arial"/>
              </w:rPr>
              <w:t>”</w:t>
            </w:r>
          </w:p>
        </w:tc>
        <w:tc>
          <w:tcPr>
            <w:tcW w:w="6803" w:type="dxa"/>
          </w:tcPr>
          <w:p w14:paraId="7091563F" w14:textId="77777777" w:rsidR="002071BF" w:rsidRPr="008D6A63" w:rsidRDefault="002071BF" w:rsidP="002071BF">
            <w:pPr>
              <w:pStyle w:val="StdBodyText"/>
              <w:rPr>
                <w:rFonts w:cs="Arial"/>
              </w:rPr>
            </w:pPr>
            <w:r w:rsidRPr="008D6A63">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2071BF" w:rsidRPr="00F55457" w14:paraId="5CEE4B56" w14:textId="77777777" w:rsidTr="0052486C">
        <w:tc>
          <w:tcPr>
            <w:tcW w:w="2835" w:type="dxa"/>
          </w:tcPr>
          <w:p w14:paraId="1DF429FC" w14:textId="77777777" w:rsidR="002071BF" w:rsidRPr="008D6A63" w:rsidRDefault="002071BF" w:rsidP="002071BF">
            <w:pPr>
              <w:pStyle w:val="StdBodyTextBold"/>
              <w:rPr>
                <w:rFonts w:cs="Arial"/>
              </w:rPr>
            </w:pPr>
            <w:r>
              <w:rPr>
                <w:rFonts w:cs="Arial"/>
              </w:rPr>
              <w:t>“</w:t>
            </w:r>
            <w:bookmarkStart w:id="96" w:name="_9kMPO5YVt499FMJaDgu6ytqrum"/>
            <w:r w:rsidRPr="008D6A63">
              <w:rPr>
                <w:rFonts w:cs="Arial"/>
              </w:rPr>
              <w:t>Maintenance</w:t>
            </w:r>
            <w:bookmarkEnd w:id="96"/>
            <w:r w:rsidRPr="008D6A63">
              <w:rPr>
                <w:rFonts w:cs="Arial"/>
              </w:rPr>
              <w:t xml:space="preserve"> Schedule</w:t>
            </w:r>
            <w:r>
              <w:rPr>
                <w:rFonts w:cs="Arial"/>
              </w:rPr>
              <w:t>”</w:t>
            </w:r>
          </w:p>
        </w:tc>
        <w:tc>
          <w:tcPr>
            <w:tcW w:w="6803" w:type="dxa"/>
          </w:tcPr>
          <w:p w14:paraId="3AFB7CC4" w14:textId="77777777" w:rsidR="002071BF" w:rsidRPr="008D6A63" w:rsidRDefault="002071BF" w:rsidP="002071BF">
            <w:pPr>
              <w:pStyle w:val="StdBodyText"/>
              <w:rPr>
                <w:rFonts w:cs="Arial"/>
              </w:rPr>
            </w:pPr>
            <w:r w:rsidRPr="008D6A63">
              <w:rPr>
                <w:rFonts w:cs="Arial"/>
              </w:rPr>
              <w:t xml:space="preserve">shall have the meaning set out in </w:t>
            </w:r>
            <w:bookmarkStart w:id="97" w:name="_9kMHG5YVtCIA9AFPNiTlXiC85zt3I9sx918BvBG"/>
            <w:r w:rsidRPr="008D6A63">
              <w:rPr>
                <w:rFonts w:cs="Arial"/>
              </w:rPr>
              <w:t xml:space="preserve">Clause </w:t>
            </w:r>
            <w:bookmarkEnd w:id="97"/>
            <w:r w:rsidRPr="008D6A63">
              <w:rPr>
                <w:rFonts w:cs="Arial"/>
              </w:rPr>
              <w:t>9.4 (</w:t>
            </w:r>
            <w:bookmarkStart w:id="98" w:name="_9kMHzG6ZWu5AAGNKbEhv7zursvn"/>
            <w:r w:rsidRPr="00C04B2F">
              <w:rPr>
                <w:rFonts w:cs="Arial"/>
                <w:i/>
                <w:iCs/>
              </w:rPr>
              <w:t>Maintenance</w:t>
            </w:r>
            <w:bookmarkEnd w:id="98"/>
            <w:r w:rsidRPr="008D6A63">
              <w:rPr>
                <w:rFonts w:cs="Arial"/>
              </w:rPr>
              <w:t>);</w:t>
            </w:r>
          </w:p>
        </w:tc>
      </w:tr>
      <w:tr w:rsidR="002071BF" w:rsidRPr="00F55457" w14:paraId="4DE07DD9" w14:textId="77777777" w:rsidTr="0052486C">
        <w:tc>
          <w:tcPr>
            <w:tcW w:w="2835" w:type="dxa"/>
          </w:tcPr>
          <w:p w14:paraId="3CCCFDCE" w14:textId="77777777" w:rsidR="002071BF" w:rsidRPr="008D6A63" w:rsidRDefault="002071BF" w:rsidP="002071BF">
            <w:pPr>
              <w:pStyle w:val="StdBodyTextBold"/>
              <w:rPr>
                <w:rFonts w:cs="Arial"/>
              </w:rPr>
            </w:pPr>
            <w:r>
              <w:rPr>
                <w:rFonts w:cs="Arial"/>
              </w:rPr>
              <w:t>“</w:t>
            </w:r>
            <w:r w:rsidRPr="008D6A63">
              <w:rPr>
                <w:rFonts w:cs="Arial"/>
              </w:rPr>
              <w:t>Malicious Software</w:t>
            </w:r>
            <w:r>
              <w:rPr>
                <w:rFonts w:cs="Arial"/>
              </w:rPr>
              <w:t>”</w:t>
            </w:r>
          </w:p>
        </w:tc>
        <w:tc>
          <w:tcPr>
            <w:tcW w:w="6803" w:type="dxa"/>
          </w:tcPr>
          <w:p w14:paraId="1F31A054" w14:textId="77777777" w:rsidR="002071BF" w:rsidRPr="008D6A63" w:rsidRDefault="002071BF" w:rsidP="002071BF">
            <w:pPr>
              <w:pStyle w:val="StdBodyText"/>
              <w:rPr>
                <w:rFonts w:cs="Arial"/>
              </w:rPr>
            </w:pPr>
            <w:r w:rsidRPr="008D6A63">
              <w:rPr>
                <w:rFonts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071BF" w:rsidRPr="00F55457" w14:paraId="5CB6C34B" w14:textId="77777777" w:rsidTr="0052486C">
        <w:tc>
          <w:tcPr>
            <w:tcW w:w="2835" w:type="dxa"/>
          </w:tcPr>
          <w:p w14:paraId="3848C4AD" w14:textId="77777777" w:rsidR="002071BF" w:rsidRPr="008D6A63" w:rsidRDefault="002071BF" w:rsidP="002071BF">
            <w:pPr>
              <w:pStyle w:val="StdBodyTextBold"/>
              <w:rPr>
                <w:rFonts w:cs="Arial"/>
              </w:rPr>
            </w:pPr>
            <w:r>
              <w:rPr>
                <w:rFonts w:cs="Arial"/>
              </w:rPr>
              <w:t>“</w:t>
            </w:r>
            <w:r w:rsidRPr="008D6A63">
              <w:rPr>
                <w:rFonts w:cs="Arial"/>
              </w:rPr>
              <w:t>Management Information</w:t>
            </w:r>
            <w:r>
              <w:rPr>
                <w:rFonts w:cs="Arial"/>
              </w:rPr>
              <w:t>”</w:t>
            </w:r>
          </w:p>
        </w:tc>
        <w:tc>
          <w:tcPr>
            <w:tcW w:w="6803" w:type="dxa"/>
          </w:tcPr>
          <w:p w14:paraId="5AADE854" w14:textId="7832043C" w:rsidR="002071BF" w:rsidRPr="008D6A63" w:rsidRDefault="002071BF" w:rsidP="002071BF">
            <w:pPr>
              <w:pStyle w:val="StdBodyText"/>
              <w:rPr>
                <w:rFonts w:cs="Arial"/>
              </w:rPr>
            </w:pPr>
            <w:r w:rsidRPr="008D6A63">
              <w:rPr>
                <w:rFonts w:cs="Arial"/>
              </w:rPr>
              <w:t xml:space="preserve">the management information specified in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8D6A63">
              <w:rPr>
                <w:rFonts w:cs="Arial"/>
              </w:rPr>
              <w:t xml:space="preserve">,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8D6A63">
              <w:rPr>
                <w:rFonts w:cs="Arial"/>
              </w:rPr>
              <w:t xml:space="preserve"> and </w:t>
            </w:r>
            <w:r>
              <w:rPr>
                <w:rFonts w:cs="Arial"/>
              </w:rPr>
              <w:fldChar w:fldCharType="begin"/>
            </w:r>
            <w:r>
              <w:rPr>
                <w:rFonts w:cs="Arial"/>
              </w:rPr>
              <w:instrText xml:space="preserve"> REF Schedule21 \h </w:instrText>
            </w:r>
            <w:r>
              <w:rPr>
                <w:rFonts w:cs="Arial"/>
              </w:rPr>
            </w:r>
            <w:r>
              <w:rPr>
                <w:rFonts w:cs="Arial"/>
              </w:rPr>
              <w:fldChar w:fldCharType="separate"/>
            </w:r>
            <w:r w:rsidR="007A1473" w:rsidRPr="005D0525">
              <w:t>Schedule</w:t>
            </w:r>
            <w:r w:rsidR="007A1473">
              <w:t> </w:t>
            </w:r>
            <w:r w:rsidR="007A1473" w:rsidRPr="005D0525">
              <w:t>21</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Schedule21Heading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Governance</w:t>
            </w:r>
            <w:r w:rsidRPr="002F30DB">
              <w:rPr>
                <w:rFonts w:cs="Arial"/>
                <w:i/>
                <w:iCs/>
              </w:rPr>
              <w:fldChar w:fldCharType="end"/>
            </w:r>
            <w:r>
              <w:rPr>
                <w:rFonts w:cs="Arial"/>
              </w:rPr>
              <w:t>)</w:t>
            </w:r>
            <w:r w:rsidRPr="008D6A63">
              <w:rPr>
                <w:rFonts w:cs="Arial"/>
              </w:rPr>
              <w:t xml:space="preserve"> to be provided by the Supplier to the Authority;</w:t>
            </w:r>
          </w:p>
        </w:tc>
      </w:tr>
      <w:tr w:rsidR="002071BF" w:rsidRPr="00F55457" w14:paraId="15139DAB" w14:textId="77777777" w:rsidTr="0052486C">
        <w:tc>
          <w:tcPr>
            <w:tcW w:w="2835" w:type="dxa"/>
          </w:tcPr>
          <w:p w14:paraId="6A6EF9D9" w14:textId="77777777" w:rsidR="002071BF" w:rsidRPr="008D6A63" w:rsidRDefault="002071BF" w:rsidP="002071BF">
            <w:pPr>
              <w:pStyle w:val="StdBodyTextBold"/>
              <w:rPr>
                <w:rFonts w:cs="Arial"/>
              </w:rPr>
            </w:pPr>
            <w:r>
              <w:rPr>
                <w:rFonts w:cs="Arial"/>
              </w:rPr>
              <w:t>“</w:t>
            </w:r>
            <w:r w:rsidRPr="008D6A63">
              <w:rPr>
                <w:rFonts w:cs="Arial"/>
              </w:rPr>
              <w:t>Material KPI Failure</w:t>
            </w:r>
            <w:r>
              <w:rPr>
                <w:rFonts w:cs="Arial"/>
              </w:rPr>
              <w:t>”</w:t>
            </w:r>
          </w:p>
        </w:tc>
        <w:tc>
          <w:tcPr>
            <w:tcW w:w="6803" w:type="dxa"/>
          </w:tcPr>
          <w:p w14:paraId="3E73DF5C" w14:textId="77777777" w:rsidR="002071BF" w:rsidRPr="008D6A63" w:rsidRDefault="002071BF" w:rsidP="002071BF">
            <w:pPr>
              <w:pStyle w:val="DefinitionList"/>
              <w:numPr>
                <w:ilvl w:val="0"/>
                <w:numId w:val="158"/>
              </w:numPr>
            </w:pPr>
            <w:r w:rsidRPr="008D6A63">
              <w:t>a Serious KPI Failure;</w:t>
            </w:r>
          </w:p>
          <w:p w14:paraId="7E4CAAFA" w14:textId="77777777" w:rsidR="002071BF" w:rsidRPr="008D6A63" w:rsidRDefault="002071BF" w:rsidP="002071BF">
            <w:pPr>
              <w:pStyle w:val="DefinitionList"/>
              <w:numPr>
                <w:ilvl w:val="0"/>
                <w:numId w:val="78"/>
              </w:numPr>
              <w:rPr>
                <w:rFonts w:cs="Arial"/>
              </w:rPr>
            </w:pPr>
            <w:r w:rsidRPr="008D6A63">
              <w:rPr>
                <w:rFonts w:cs="Arial"/>
              </w:rPr>
              <w:t>a Severe KPI Failure; or</w:t>
            </w:r>
          </w:p>
          <w:p w14:paraId="5E4841DD" w14:textId="77777777" w:rsidR="002071BF" w:rsidRPr="008D6A63" w:rsidRDefault="002071BF" w:rsidP="002071BF">
            <w:pPr>
              <w:pStyle w:val="DefinitionList"/>
              <w:numPr>
                <w:ilvl w:val="0"/>
                <w:numId w:val="78"/>
              </w:numPr>
              <w:rPr>
                <w:rFonts w:cs="Arial"/>
              </w:rPr>
            </w:pPr>
            <w:r w:rsidRPr="008D6A63">
              <w:rPr>
                <w:rFonts w:cs="Arial"/>
              </w:rPr>
              <w:t>a failure by the Supplier to meet a KPI Service Threshold;</w:t>
            </w:r>
          </w:p>
        </w:tc>
      </w:tr>
      <w:tr w:rsidR="002071BF" w:rsidRPr="00F55457" w14:paraId="5DF0D5E3" w14:textId="77777777" w:rsidTr="0052486C">
        <w:tc>
          <w:tcPr>
            <w:tcW w:w="2835" w:type="dxa"/>
          </w:tcPr>
          <w:p w14:paraId="2C946F8E" w14:textId="77777777" w:rsidR="002071BF" w:rsidRPr="008D6A63" w:rsidRDefault="002071BF" w:rsidP="002071BF">
            <w:pPr>
              <w:pStyle w:val="StdBodyTextBold"/>
              <w:rPr>
                <w:rFonts w:cs="Arial"/>
              </w:rPr>
            </w:pPr>
            <w:r>
              <w:rPr>
                <w:rFonts w:cs="Arial"/>
              </w:rPr>
              <w:lastRenderedPageBreak/>
              <w:t>“</w:t>
            </w:r>
            <w:r w:rsidRPr="008D6A63">
              <w:rPr>
                <w:rFonts w:cs="Arial"/>
              </w:rPr>
              <w:t>Material PI Failure</w:t>
            </w:r>
            <w:r>
              <w:rPr>
                <w:rFonts w:cs="Arial"/>
              </w:rPr>
              <w:t>”</w:t>
            </w:r>
          </w:p>
        </w:tc>
        <w:tc>
          <w:tcPr>
            <w:tcW w:w="6803" w:type="dxa"/>
          </w:tcPr>
          <w:p w14:paraId="55886A89" w14:textId="77777777" w:rsidR="002071BF" w:rsidRPr="008D6A63" w:rsidRDefault="002071BF" w:rsidP="002071BF">
            <w:pPr>
              <w:pStyle w:val="DefinitionList"/>
              <w:numPr>
                <w:ilvl w:val="0"/>
                <w:numId w:val="159"/>
              </w:numPr>
            </w:pPr>
            <w:r w:rsidRPr="008D6A63">
              <w:t>a failure by the Supplier to meet the PI Service Threshold in respect of 25% or more of the Subsidiary Performance Indicators that are measured in that Service Period; and/or</w:t>
            </w:r>
          </w:p>
          <w:p w14:paraId="6D6BDC57" w14:textId="77777777" w:rsidR="002071BF" w:rsidRPr="008D6A63" w:rsidRDefault="002071BF" w:rsidP="002071BF">
            <w:pPr>
              <w:pStyle w:val="DefinitionList"/>
              <w:numPr>
                <w:ilvl w:val="0"/>
                <w:numId w:val="78"/>
              </w:numPr>
              <w:rPr>
                <w:rFonts w:cs="Arial"/>
              </w:rPr>
            </w:pPr>
            <w:r w:rsidRPr="008D6A63">
              <w:rPr>
                <w:rFonts w:cs="Arial"/>
              </w:rPr>
              <w:t>a failure by the Supplier to meet the Target Performance Level in respect of 50% or more of the Subsidiary Performance Indicators that are measured in that Service Period;</w:t>
            </w:r>
          </w:p>
        </w:tc>
      </w:tr>
      <w:tr w:rsidR="002071BF" w:rsidRPr="00F55457" w14:paraId="2AD1B428" w14:textId="77777777" w:rsidTr="0052486C">
        <w:tc>
          <w:tcPr>
            <w:tcW w:w="2835" w:type="dxa"/>
          </w:tcPr>
          <w:p w14:paraId="7B4A4F09" w14:textId="77777777" w:rsidR="002071BF" w:rsidRPr="008D6A63" w:rsidRDefault="002071BF" w:rsidP="002071BF">
            <w:pPr>
              <w:pStyle w:val="StdBodyTextBold"/>
              <w:rPr>
                <w:rFonts w:cs="Arial"/>
              </w:rPr>
            </w:pPr>
            <w:r>
              <w:rPr>
                <w:rFonts w:cs="Arial"/>
              </w:rPr>
              <w:t>“</w:t>
            </w:r>
            <w:r w:rsidRPr="008D6A63">
              <w:rPr>
                <w:rFonts w:cs="Arial"/>
              </w:rPr>
              <w:t>Measurement Period</w:t>
            </w:r>
            <w:r>
              <w:rPr>
                <w:rFonts w:cs="Arial"/>
              </w:rPr>
              <w:t>”</w:t>
            </w:r>
          </w:p>
        </w:tc>
        <w:tc>
          <w:tcPr>
            <w:tcW w:w="6803" w:type="dxa"/>
          </w:tcPr>
          <w:p w14:paraId="6CC709D9" w14:textId="77777777" w:rsidR="002071BF" w:rsidRPr="008D6A63" w:rsidRDefault="002071BF" w:rsidP="002071BF">
            <w:pPr>
              <w:pStyle w:val="StdBodyText"/>
              <w:rPr>
                <w:rFonts w:cs="Arial"/>
              </w:rPr>
            </w:pPr>
            <w:r w:rsidRPr="008D6A63">
              <w:rPr>
                <w:rFonts w:cs="Arial"/>
              </w:rPr>
              <w:t>in relation to a Key Performance Indicator or Subsidiary Performance Indicator, the period over which the Supplier</w:t>
            </w:r>
            <w:r>
              <w:rPr>
                <w:rFonts w:cs="Arial"/>
              </w:rPr>
              <w:t>’</w:t>
            </w:r>
            <w:r w:rsidRPr="008D6A63">
              <w:rPr>
                <w:rFonts w:cs="Arial"/>
              </w:rPr>
              <w:t>s performance is measured (for example, a Service Period if measured monthly or a 12 month period if measured annually);</w:t>
            </w:r>
          </w:p>
        </w:tc>
      </w:tr>
      <w:tr w:rsidR="00FB2D9F" w:rsidRPr="00F55457" w14:paraId="49A55873" w14:textId="77777777" w:rsidTr="0052486C">
        <w:tc>
          <w:tcPr>
            <w:tcW w:w="2835" w:type="dxa"/>
          </w:tcPr>
          <w:p w14:paraId="3F49183E" w14:textId="0F2E784F" w:rsidR="00FB2D9F" w:rsidRDefault="00FB2D9F" w:rsidP="002071BF">
            <w:pPr>
              <w:pStyle w:val="StdBodyTextBold"/>
              <w:rPr>
                <w:rFonts w:cs="Arial"/>
              </w:rPr>
            </w:pPr>
            <w:r>
              <w:rPr>
                <w:rFonts w:cs="Arial"/>
              </w:rPr>
              <w:t>“Menu Services Platform Customer”</w:t>
            </w:r>
          </w:p>
        </w:tc>
        <w:tc>
          <w:tcPr>
            <w:tcW w:w="6803" w:type="dxa"/>
          </w:tcPr>
          <w:p w14:paraId="7233D5FE" w14:textId="061873BF" w:rsidR="00FB2D9F" w:rsidRPr="008D6A63" w:rsidRDefault="00FB2D9F" w:rsidP="002071BF">
            <w:pPr>
              <w:pStyle w:val="StdBodyText"/>
              <w:rPr>
                <w:rFonts w:cs="Arial"/>
              </w:rPr>
            </w:pPr>
            <w:r w:rsidRPr="002071BF">
              <w:rPr>
                <w:rFonts w:cs="Arial"/>
                <w:color w:val="000000"/>
              </w:rPr>
              <w:t xml:space="preserve">means any Platform Customer </w:t>
            </w:r>
            <w:r>
              <w:rPr>
                <w:rFonts w:cs="Arial"/>
                <w:color w:val="000000"/>
              </w:rPr>
              <w:t xml:space="preserve">(as identified by the Authority to the Supplier) </w:t>
            </w:r>
            <w:r w:rsidRPr="002071BF">
              <w:rPr>
                <w:rFonts w:cs="Arial"/>
                <w:color w:val="000000"/>
              </w:rPr>
              <w:t xml:space="preserve">that </w:t>
            </w:r>
            <w:r>
              <w:rPr>
                <w:rFonts w:cs="Arial"/>
                <w:color w:val="000000"/>
              </w:rPr>
              <w:t xml:space="preserve">has access to the additional </w:t>
            </w:r>
            <w:r w:rsidR="00540F77">
              <w:rPr>
                <w:rFonts w:cs="Arial"/>
                <w:color w:val="000000"/>
              </w:rPr>
              <w:t>recruitment  service</w:t>
            </w:r>
            <w:r>
              <w:rPr>
                <w:rFonts w:cs="Arial"/>
                <w:color w:val="000000"/>
              </w:rPr>
              <w:t xml:space="preserve"> options that can be taken and are charged as used, and the term </w:t>
            </w:r>
            <w:r w:rsidRPr="002071BF">
              <w:rPr>
                <w:rFonts w:cs="Arial"/>
                <w:b/>
                <w:color w:val="000000"/>
              </w:rPr>
              <w:t>"</w:t>
            </w:r>
            <w:r>
              <w:rPr>
                <w:rFonts w:cs="Arial"/>
                <w:b/>
                <w:color w:val="000000"/>
              </w:rPr>
              <w:t>Menu Services</w:t>
            </w:r>
            <w:r w:rsidRPr="002071BF">
              <w:rPr>
                <w:rFonts w:cs="Arial"/>
                <w:b/>
                <w:color w:val="000000"/>
              </w:rPr>
              <w:t>"</w:t>
            </w:r>
            <w:r>
              <w:rPr>
                <w:rFonts w:cs="Arial"/>
                <w:color w:val="000000"/>
              </w:rPr>
              <w:t xml:space="preserve"> will be construed accordingly</w:t>
            </w:r>
            <w:r w:rsidRPr="002071BF">
              <w:rPr>
                <w:rFonts w:cs="Arial"/>
                <w:color w:val="000000"/>
              </w:rPr>
              <w:t>;</w:t>
            </w:r>
          </w:p>
        </w:tc>
      </w:tr>
      <w:tr w:rsidR="002071BF" w:rsidRPr="00F55457" w14:paraId="2EC32476" w14:textId="77777777" w:rsidTr="0052486C">
        <w:tc>
          <w:tcPr>
            <w:tcW w:w="2835" w:type="dxa"/>
          </w:tcPr>
          <w:p w14:paraId="49F932C7" w14:textId="77777777" w:rsidR="002071BF" w:rsidRPr="008D6A63" w:rsidRDefault="002071BF" w:rsidP="002071BF">
            <w:pPr>
              <w:pStyle w:val="StdBodyTextBold"/>
              <w:rPr>
                <w:rFonts w:cs="Arial"/>
              </w:rPr>
            </w:pPr>
            <w:r>
              <w:rPr>
                <w:rFonts w:cs="Arial"/>
              </w:rPr>
              <w:t>“</w:t>
            </w:r>
            <w:r w:rsidRPr="008D6A63">
              <w:rPr>
                <w:rFonts w:cs="Arial"/>
              </w:rPr>
              <w:t>Milestone</w:t>
            </w:r>
            <w:r>
              <w:rPr>
                <w:rFonts w:cs="Arial"/>
              </w:rPr>
              <w:t>”</w:t>
            </w:r>
          </w:p>
        </w:tc>
        <w:tc>
          <w:tcPr>
            <w:tcW w:w="6803" w:type="dxa"/>
          </w:tcPr>
          <w:p w14:paraId="781DEABC" w14:textId="77777777" w:rsidR="002071BF" w:rsidRPr="008D6A63" w:rsidRDefault="002071BF" w:rsidP="002071BF">
            <w:pPr>
              <w:pStyle w:val="StdBodyText"/>
              <w:rPr>
                <w:rFonts w:cs="Arial"/>
              </w:rPr>
            </w:pPr>
            <w:r w:rsidRPr="008D6A63">
              <w:rPr>
                <w:rFonts w:cs="Arial"/>
              </w:rPr>
              <w:t>an event or task described in the Implementation Plan which, if applicable, shall be completed by the relevant Milestone Date;</w:t>
            </w:r>
          </w:p>
        </w:tc>
      </w:tr>
      <w:tr w:rsidR="002071BF" w:rsidRPr="00F55457" w14:paraId="442592D2" w14:textId="77777777" w:rsidTr="0052486C">
        <w:tc>
          <w:tcPr>
            <w:tcW w:w="2835" w:type="dxa"/>
          </w:tcPr>
          <w:p w14:paraId="0F5A8794" w14:textId="77777777" w:rsidR="002071BF" w:rsidRPr="008D6A63" w:rsidRDefault="002071BF" w:rsidP="002071BF">
            <w:pPr>
              <w:pStyle w:val="StdBodyTextBold"/>
              <w:rPr>
                <w:rFonts w:cs="Arial"/>
              </w:rPr>
            </w:pPr>
            <w:r>
              <w:rPr>
                <w:rFonts w:cs="Arial"/>
              </w:rPr>
              <w:t>“</w:t>
            </w:r>
            <w:bookmarkStart w:id="99" w:name="_9kMJI5YVt4CCFMHYLrowC94vJCqxv9A235LlRDT"/>
            <w:r w:rsidRPr="008D6A63">
              <w:rPr>
                <w:rFonts w:cs="Arial"/>
              </w:rPr>
              <w:t>Milestone Achievement Certificate</w:t>
            </w:r>
            <w:bookmarkEnd w:id="99"/>
            <w:r>
              <w:rPr>
                <w:rFonts w:cs="Arial"/>
              </w:rPr>
              <w:t>”</w:t>
            </w:r>
          </w:p>
        </w:tc>
        <w:tc>
          <w:tcPr>
            <w:tcW w:w="6803" w:type="dxa"/>
          </w:tcPr>
          <w:p w14:paraId="1F1001E6" w14:textId="26D6059E" w:rsidR="002071BF" w:rsidRPr="008D6A63" w:rsidRDefault="002071BF" w:rsidP="002071BF">
            <w:pPr>
              <w:pStyle w:val="StdBodyText"/>
              <w:rPr>
                <w:rFonts w:cs="Arial"/>
              </w:rPr>
            </w:pPr>
            <w:r w:rsidRPr="008D6A63">
              <w:rPr>
                <w:rFonts w:cs="Arial"/>
              </w:rPr>
              <w:t xml:space="preserve">the certificate to be granted by the Authority when the Supplier has Achieved a Milestone, which shall be in substantially the same form as that set out in Annex </w:t>
            </w:r>
            <w:r w:rsidRPr="008D6A63">
              <w:rPr>
                <w:rFonts w:cs="Arial"/>
              </w:rPr>
              <w:fldChar w:fldCharType="begin"/>
            </w:r>
            <w:r w:rsidRPr="008D6A63">
              <w:rPr>
                <w:rFonts w:cs="Arial"/>
              </w:rPr>
              <w:instrText xml:space="preserve"> REF ANNEX3_SCHEDULE14 \h </w:instrText>
            </w:r>
            <w:r w:rsidRPr="008D6A63">
              <w:rPr>
                <w:rFonts w:cs="Arial"/>
              </w:rPr>
            </w:r>
            <w:r w:rsidRPr="008D6A63">
              <w:rPr>
                <w:rFonts w:cs="Arial"/>
              </w:rPr>
              <w:fldChar w:fldCharType="separate"/>
            </w:r>
            <w:r w:rsidR="007A1473" w:rsidRPr="00D5341B">
              <w:t>3</w:t>
            </w:r>
            <w:r w:rsidRPr="008D6A63">
              <w:rPr>
                <w:rFonts w:cs="Arial"/>
              </w:rPr>
              <w:fldChar w:fldCharType="end"/>
            </w:r>
            <w:r w:rsidRPr="008D6A63">
              <w:rPr>
                <w:rFonts w:cs="Arial"/>
              </w:rPr>
              <w:t xml:space="preserve"> of </w:t>
            </w:r>
            <w:r>
              <w:rPr>
                <w:rFonts w:cs="Arial"/>
              </w:rPr>
              <w:fldChar w:fldCharType="begin"/>
            </w:r>
            <w:r>
              <w:rPr>
                <w:rFonts w:cs="Arial"/>
              </w:rPr>
              <w:instrText xml:space="preserve"> REF Schedule14 \h </w:instrText>
            </w:r>
            <w:r>
              <w:rPr>
                <w:rFonts w:cs="Arial"/>
              </w:rPr>
            </w:r>
            <w:r>
              <w:rPr>
                <w:rFonts w:cs="Arial"/>
              </w:rPr>
              <w:fldChar w:fldCharType="separate"/>
            </w:r>
            <w:r w:rsidR="007A1473" w:rsidRPr="005D0525">
              <w:t>Schedule</w:t>
            </w:r>
            <w:r w:rsidR="007A1473">
              <w:t> </w:t>
            </w:r>
            <w:r w:rsidR="007A1473" w:rsidRPr="005D0525">
              <w:t>14</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Schedule14Heading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Testing Procedures</w:t>
            </w:r>
            <w:r w:rsidRPr="00B91437">
              <w:rPr>
                <w:rFonts w:cs="Arial"/>
                <w:i/>
                <w:iCs/>
              </w:rPr>
              <w:fldChar w:fldCharType="end"/>
            </w:r>
            <w:r>
              <w:rPr>
                <w:rFonts w:cs="Arial"/>
              </w:rPr>
              <w:t>)</w:t>
            </w:r>
            <w:r w:rsidRPr="008D6A63">
              <w:rPr>
                <w:rFonts w:cs="Arial"/>
              </w:rPr>
              <w:t>;</w:t>
            </w:r>
          </w:p>
        </w:tc>
      </w:tr>
      <w:tr w:rsidR="002071BF" w:rsidRPr="00F55457" w14:paraId="1170EA5C" w14:textId="77777777" w:rsidTr="0052486C">
        <w:tc>
          <w:tcPr>
            <w:tcW w:w="2835" w:type="dxa"/>
          </w:tcPr>
          <w:p w14:paraId="707E59F4" w14:textId="77777777" w:rsidR="002071BF" w:rsidRPr="008D6A63" w:rsidRDefault="002071BF" w:rsidP="002071BF">
            <w:pPr>
              <w:pStyle w:val="StdBodyTextBold"/>
              <w:rPr>
                <w:rFonts w:cs="Arial"/>
              </w:rPr>
            </w:pPr>
            <w:r>
              <w:rPr>
                <w:rFonts w:cs="Arial"/>
              </w:rPr>
              <w:t>“</w:t>
            </w:r>
            <w:r w:rsidRPr="008D6A63">
              <w:rPr>
                <w:rFonts w:cs="Arial"/>
              </w:rPr>
              <w:t>Milestone Adjustment Payment Amount</w:t>
            </w:r>
            <w:r>
              <w:rPr>
                <w:rFonts w:cs="Arial"/>
              </w:rPr>
              <w:t>”</w:t>
            </w:r>
          </w:p>
        </w:tc>
        <w:tc>
          <w:tcPr>
            <w:tcW w:w="6803" w:type="dxa"/>
          </w:tcPr>
          <w:p w14:paraId="3A4DD369" w14:textId="77777777" w:rsidR="002071BF" w:rsidRPr="008D6A63" w:rsidRDefault="002071BF" w:rsidP="002071BF">
            <w:pPr>
              <w:pStyle w:val="StdBodyText"/>
              <w:rPr>
                <w:rFonts w:cs="Arial"/>
              </w:rPr>
            </w:pPr>
            <w:r w:rsidRPr="008D6A63">
              <w:rPr>
                <w:rFonts w:cs="Arial"/>
              </w:rPr>
              <w:t xml:space="preserve">in respect of each CPP Milestone the subject of a </w:t>
            </w:r>
            <w:bookmarkStart w:id="100" w:name="_9kMON5YVt4CCFMGXLrowC94vJDtBLLG24KxZFS9"/>
            <w:r w:rsidRPr="008D6A63">
              <w:rPr>
                <w:rFonts w:cs="Arial"/>
              </w:rPr>
              <w:t>Milestone Adjustment Payment Notice</w:t>
            </w:r>
            <w:bookmarkEnd w:id="100"/>
            <w:r w:rsidRPr="008D6A63">
              <w:rPr>
                <w:rFonts w:cs="Arial"/>
              </w:rPr>
              <w:t>, an amount determined in accordance with the formula:</w:t>
            </w:r>
          </w:p>
          <w:p w14:paraId="56B44107" w14:textId="77777777" w:rsidR="002071BF" w:rsidRPr="008D6A63" w:rsidRDefault="002071BF" w:rsidP="002071BF">
            <w:pPr>
              <w:pStyle w:val="StdBodyText"/>
              <w:rPr>
                <w:rFonts w:cs="Arial"/>
              </w:rPr>
            </w:pPr>
            <w:r w:rsidRPr="008D6A63">
              <w:rPr>
                <w:rFonts w:cs="Arial"/>
              </w:rPr>
              <w:t>A – B</w:t>
            </w:r>
          </w:p>
          <w:p w14:paraId="5C2F9A3C" w14:textId="77777777" w:rsidR="002071BF" w:rsidRPr="008D6A63" w:rsidRDefault="002071BF" w:rsidP="002071BF">
            <w:pPr>
              <w:pStyle w:val="StdBodyText"/>
              <w:rPr>
                <w:rFonts w:cs="Arial"/>
              </w:rPr>
            </w:pPr>
            <w:r w:rsidRPr="008D6A63">
              <w:rPr>
                <w:rFonts w:cs="Arial"/>
              </w:rPr>
              <w:t>where:</w:t>
            </w:r>
          </w:p>
          <w:p w14:paraId="293CD0D5" w14:textId="77777777" w:rsidR="002071BF" w:rsidRPr="008D6A63" w:rsidRDefault="002071BF" w:rsidP="002071BF">
            <w:pPr>
              <w:pStyle w:val="DefinitionList"/>
              <w:numPr>
                <w:ilvl w:val="0"/>
                <w:numId w:val="160"/>
              </w:numPr>
            </w:pPr>
            <w:r w:rsidRPr="008D6A63">
              <w:t>A is an amount equal to the aggregate sum of all Milestone Payments paid to the Supplier in respect of the Milestones (or in the case of Partial Termination, the Milestones for the parts of the Services terminated) relating to that CPP Milestone; and</w:t>
            </w:r>
          </w:p>
          <w:p w14:paraId="1D243779" w14:textId="77777777" w:rsidR="002071BF" w:rsidRPr="008D6A63" w:rsidRDefault="002071BF" w:rsidP="002071BF">
            <w:pPr>
              <w:pStyle w:val="DefinitionList"/>
              <w:numPr>
                <w:ilvl w:val="0"/>
                <w:numId w:val="78"/>
              </w:numPr>
              <w:rPr>
                <w:rFonts w:cs="Arial"/>
              </w:rPr>
            </w:pPr>
            <w:r w:rsidRPr="008D6A63">
              <w:rPr>
                <w:rFonts w:cs="Arial"/>
              </w:rPr>
              <w:t>B is an amount equal to the aggregate Allowable Price for the Retained Deliverables relating to that CPP Milestone or, if there are no such Retained Deliverables, zero;</w:t>
            </w:r>
          </w:p>
        </w:tc>
      </w:tr>
      <w:tr w:rsidR="002071BF" w:rsidRPr="00F55457" w14:paraId="44D96BED" w14:textId="77777777" w:rsidTr="0052486C">
        <w:tc>
          <w:tcPr>
            <w:tcW w:w="2835" w:type="dxa"/>
          </w:tcPr>
          <w:p w14:paraId="33DB9740" w14:textId="77777777" w:rsidR="002071BF" w:rsidRPr="008D6A63" w:rsidRDefault="002071BF" w:rsidP="002071BF">
            <w:pPr>
              <w:pStyle w:val="StdBodyTextBold"/>
              <w:rPr>
                <w:rFonts w:cs="Arial"/>
              </w:rPr>
            </w:pPr>
            <w:r>
              <w:rPr>
                <w:rFonts w:cs="Arial"/>
              </w:rPr>
              <w:t>“</w:t>
            </w:r>
            <w:bookmarkStart w:id="101" w:name="_9kMPO5YVt4CCFMGXLrowC94vJDtBLLG24KxZFS9"/>
            <w:r w:rsidRPr="008D6A63">
              <w:rPr>
                <w:rFonts w:cs="Arial"/>
              </w:rPr>
              <w:t>Milestone Adjustment Payment Notice</w:t>
            </w:r>
            <w:bookmarkEnd w:id="101"/>
            <w:r>
              <w:rPr>
                <w:rFonts w:cs="Arial"/>
              </w:rPr>
              <w:t>”</w:t>
            </w:r>
          </w:p>
        </w:tc>
        <w:tc>
          <w:tcPr>
            <w:tcW w:w="6803" w:type="dxa"/>
          </w:tcPr>
          <w:p w14:paraId="0A464533" w14:textId="77777777" w:rsidR="002071BF" w:rsidRPr="008D6A63" w:rsidRDefault="002071BF" w:rsidP="002071BF">
            <w:pPr>
              <w:pStyle w:val="StdBodyText"/>
              <w:rPr>
                <w:rFonts w:cs="Arial"/>
              </w:rPr>
            </w:pPr>
            <w:r w:rsidRPr="008D6A63">
              <w:rPr>
                <w:rFonts w:cs="Arial"/>
              </w:rPr>
              <w:t xml:space="preserve">has the meaning given in </w:t>
            </w:r>
            <w:bookmarkStart w:id="102" w:name="_9kMIH5YVtCIAAHJHHMbHz2s4XG43r013JFFREDM"/>
            <w:bookmarkStart w:id="103" w:name="_9kMHG5YVtCJBAHKIHMbHz2s4XG43r013JFFREDM"/>
            <w:r w:rsidRPr="008D6A63">
              <w:rPr>
                <w:rFonts w:cs="Arial"/>
              </w:rPr>
              <w:t xml:space="preserve">Clause </w:t>
            </w:r>
            <w:bookmarkEnd w:id="102"/>
            <w:bookmarkEnd w:id="103"/>
            <w:r w:rsidRPr="008D6A63">
              <w:rPr>
                <w:rFonts w:cs="Arial"/>
              </w:rPr>
              <w:t>32.7 (</w:t>
            </w:r>
            <w:r w:rsidRPr="00C04B2F">
              <w:rPr>
                <w:rFonts w:cs="Arial"/>
                <w:i/>
                <w:iCs/>
              </w:rPr>
              <w:t>Payments by the Supplier</w:t>
            </w:r>
            <w:r w:rsidRPr="008D6A63">
              <w:rPr>
                <w:rFonts w:cs="Arial"/>
              </w:rPr>
              <w:t>);</w:t>
            </w:r>
          </w:p>
        </w:tc>
      </w:tr>
      <w:tr w:rsidR="002071BF" w:rsidRPr="00F55457" w14:paraId="20E84888" w14:textId="77777777" w:rsidTr="0052486C">
        <w:tc>
          <w:tcPr>
            <w:tcW w:w="2835" w:type="dxa"/>
          </w:tcPr>
          <w:p w14:paraId="640E37FD" w14:textId="77777777" w:rsidR="002071BF" w:rsidRPr="008D6A63" w:rsidRDefault="002071BF" w:rsidP="002071BF">
            <w:pPr>
              <w:pStyle w:val="StdBodyTextBold"/>
              <w:rPr>
                <w:rFonts w:cs="Arial"/>
              </w:rPr>
            </w:pPr>
            <w:r>
              <w:rPr>
                <w:rFonts w:cs="Arial"/>
              </w:rPr>
              <w:lastRenderedPageBreak/>
              <w:t>“</w:t>
            </w:r>
            <w:r w:rsidRPr="008D6A63">
              <w:rPr>
                <w:rFonts w:cs="Arial"/>
              </w:rPr>
              <w:t>Milestone Date</w:t>
            </w:r>
            <w:r>
              <w:rPr>
                <w:rFonts w:cs="Arial"/>
              </w:rPr>
              <w:t>”</w:t>
            </w:r>
          </w:p>
        </w:tc>
        <w:tc>
          <w:tcPr>
            <w:tcW w:w="6803" w:type="dxa"/>
          </w:tcPr>
          <w:p w14:paraId="1086DD66" w14:textId="77777777" w:rsidR="002071BF" w:rsidRPr="008D6A63" w:rsidRDefault="002071BF" w:rsidP="002071BF">
            <w:pPr>
              <w:pStyle w:val="StdBodyText"/>
              <w:rPr>
                <w:rFonts w:cs="Arial"/>
              </w:rPr>
            </w:pPr>
            <w:r w:rsidRPr="008D6A63">
              <w:rPr>
                <w:rFonts w:cs="Arial"/>
              </w:rPr>
              <w:t>the target date set out against the relevant Milestone in the Implementation Plan by which the Milestone must be Achieved;</w:t>
            </w:r>
          </w:p>
        </w:tc>
      </w:tr>
      <w:tr w:rsidR="002071BF" w:rsidRPr="00F55457" w14:paraId="240D5F5E" w14:textId="77777777" w:rsidTr="0052486C">
        <w:tc>
          <w:tcPr>
            <w:tcW w:w="2835" w:type="dxa"/>
          </w:tcPr>
          <w:p w14:paraId="0A333EE9" w14:textId="77777777" w:rsidR="002071BF" w:rsidRPr="008D6A63" w:rsidRDefault="002071BF" w:rsidP="002071BF">
            <w:pPr>
              <w:pStyle w:val="StdBodyTextBold"/>
              <w:rPr>
                <w:rFonts w:cs="Arial"/>
              </w:rPr>
            </w:pPr>
            <w:r>
              <w:rPr>
                <w:rFonts w:cs="Arial"/>
              </w:rPr>
              <w:t>“</w:t>
            </w:r>
            <w:r w:rsidRPr="008D6A63">
              <w:rPr>
                <w:rFonts w:cs="Arial"/>
              </w:rPr>
              <w:t>Milestone Payment</w:t>
            </w:r>
            <w:r>
              <w:rPr>
                <w:rFonts w:cs="Arial"/>
              </w:rPr>
              <w:t>”</w:t>
            </w:r>
          </w:p>
        </w:tc>
        <w:tc>
          <w:tcPr>
            <w:tcW w:w="6803" w:type="dxa"/>
          </w:tcPr>
          <w:p w14:paraId="6B011848" w14:textId="2F69B85B" w:rsidR="002071BF" w:rsidRPr="008D6A63" w:rsidRDefault="002071BF" w:rsidP="002071BF">
            <w:pPr>
              <w:pStyle w:val="StdBodyText"/>
              <w:rPr>
                <w:rFonts w:cs="Arial"/>
              </w:rPr>
            </w:pPr>
            <w:r w:rsidRPr="008D6A63">
              <w:rPr>
                <w:rFonts w:cs="Arial"/>
              </w:rPr>
              <w:t xml:space="preserve">a payment identified in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8D6A63">
              <w:rPr>
                <w:rFonts w:cs="Arial"/>
              </w:rPr>
              <w:t xml:space="preserve"> to be made following the issue of a </w:t>
            </w:r>
            <w:bookmarkStart w:id="104" w:name="_9kMKJ5YVt4CCFMHYLrowC94vJCqxv9A235LlRDT"/>
            <w:r w:rsidRPr="008D6A63">
              <w:rPr>
                <w:rFonts w:cs="Arial"/>
              </w:rPr>
              <w:t>Milestone Achievement Certificate</w:t>
            </w:r>
            <w:bookmarkEnd w:id="104"/>
            <w:r w:rsidRPr="008D6A63">
              <w:rPr>
                <w:rFonts w:cs="Arial"/>
              </w:rPr>
              <w:t>;</w:t>
            </w:r>
          </w:p>
        </w:tc>
      </w:tr>
      <w:tr w:rsidR="002071BF" w:rsidRPr="00F55457" w14:paraId="55E658B4" w14:textId="77777777" w:rsidTr="0052486C">
        <w:tc>
          <w:tcPr>
            <w:tcW w:w="2835" w:type="dxa"/>
          </w:tcPr>
          <w:p w14:paraId="3010717D" w14:textId="77777777" w:rsidR="002071BF" w:rsidRPr="008D6A63" w:rsidRDefault="002071BF" w:rsidP="002071BF">
            <w:pPr>
              <w:pStyle w:val="StdBodyTextBold"/>
              <w:rPr>
                <w:rFonts w:cs="Arial"/>
              </w:rPr>
            </w:pPr>
            <w:r>
              <w:rPr>
                <w:rFonts w:cs="Arial"/>
              </w:rPr>
              <w:t>“</w:t>
            </w:r>
            <w:r w:rsidRPr="008D6A63">
              <w:rPr>
                <w:rFonts w:cs="Arial"/>
              </w:rPr>
              <w:t>Milestone Retention</w:t>
            </w:r>
            <w:r>
              <w:rPr>
                <w:rFonts w:cs="Arial"/>
              </w:rPr>
              <w:t>”</w:t>
            </w:r>
          </w:p>
        </w:tc>
        <w:tc>
          <w:tcPr>
            <w:tcW w:w="6803" w:type="dxa"/>
          </w:tcPr>
          <w:p w14:paraId="01DEA82C" w14:textId="1A01F3B9" w:rsidR="002071BF" w:rsidRPr="008D6A63" w:rsidRDefault="002071BF" w:rsidP="002071BF">
            <w:pPr>
              <w:pStyle w:val="StdBodyText"/>
              <w:rPr>
                <w:rFonts w:cs="Arial"/>
              </w:rPr>
            </w:pPr>
            <w:r w:rsidRPr="008D6A63">
              <w:rPr>
                <w:rFonts w:cs="Arial"/>
              </w:rPr>
              <w:t xml:space="preserve">has the meaning given in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8D6A63">
              <w:rPr>
                <w:rFonts w:cs="Arial"/>
              </w:rPr>
              <w:t>;</w:t>
            </w:r>
          </w:p>
        </w:tc>
      </w:tr>
      <w:tr w:rsidR="002071BF" w:rsidRPr="00F55457" w14:paraId="31737366" w14:textId="77777777" w:rsidTr="0052486C">
        <w:tc>
          <w:tcPr>
            <w:tcW w:w="2835" w:type="dxa"/>
          </w:tcPr>
          <w:p w14:paraId="00E5DE7E" w14:textId="77777777" w:rsidR="002071BF" w:rsidRPr="008D6A63" w:rsidRDefault="002071BF" w:rsidP="002071BF">
            <w:pPr>
              <w:pStyle w:val="StdBodyTextBold"/>
              <w:rPr>
                <w:rFonts w:cs="Arial"/>
              </w:rPr>
            </w:pPr>
            <w:r>
              <w:rPr>
                <w:rFonts w:cs="Arial"/>
              </w:rPr>
              <w:t>“</w:t>
            </w:r>
            <w:r w:rsidRPr="008D6A63">
              <w:rPr>
                <w:rFonts w:cs="Arial"/>
              </w:rPr>
              <w:t>Minor KPI Failure</w:t>
            </w:r>
            <w:r>
              <w:rPr>
                <w:rFonts w:cs="Arial"/>
              </w:rPr>
              <w:t>”</w:t>
            </w:r>
          </w:p>
        </w:tc>
        <w:tc>
          <w:tcPr>
            <w:tcW w:w="6803" w:type="dxa"/>
          </w:tcPr>
          <w:p w14:paraId="0D953DE0" w14:textId="6AA746D7" w:rsidR="002071BF" w:rsidRPr="008D6A63" w:rsidRDefault="002071BF" w:rsidP="002071BF">
            <w:pPr>
              <w:pStyle w:val="StdBodyText"/>
              <w:rPr>
                <w:rFonts w:cs="Arial"/>
              </w:rPr>
            </w:pPr>
            <w:r w:rsidRPr="008D6A63">
              <w:rPr>
                <w:rFonts w:cs="Arial"/>
              </w:rPr>
              <w:t xml:space="preserve">shall be as set out against the relevant </w:t>
            </w:r>
            <w:bookmarkStart w:id="105" w:name="_9kMHG5YVt4CCFMMbF0mNwyw98suxpWa2yyr9ONI"/>
            <w:r w:rsidRPr="008D6A63">
              <w:rPr>
                <w:rFonts w:cs="Arial"/>
              </w:rPr>
              <w:t xml:space="preserve">Key Performance Indicator in Table 1 of </w:t>
            </w:r>
            <w:r>
              <w:rPr>
                <w:rFonts w:cs="Arial"/>
              </w:rPr>
              <w:t>Part A</w:t>
            </w:r>
            <w:r w:rsidRPr="008D6A63">
              <w:rPr>
                <w:rFonts w:cs="Arial"/>
              </w:rPr>
              <w:t xml:space="preserve"> of </w:t>
            </w:r>
            <w:bookmarkEnd w:id="105"/>
            <w:r>
              <w:rPr>
                <w:rFonts w:cs="Arial"/>
              </w:rPr>
              <w:t>Annex 1</w:t>
            </w:r>
            <w:r w:rsidRPr="008D6A63">
              <w:rPr>
                <w:rFonts w:cs="Arial"/>
              </w:rPr>
              <w:t xml:space="preserve"> of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8D6A63">
              <w:rPr>
                <w:rFonts w:cs="Arial"/>
              </w:rPr>
              <w:t>;</w:t>
            </w:r>
          </w:p>
        </w:tc>
      </w:tr>
      <w:tr w:rsidR="002071BF" w:rsidRPr="00F55457" w14:paraId="1F6DD269" w14:textId="77777777" w:rsidTr="0052486C">
        <w:tc>
          <w:tcPr>
            <w:tcW w:w="2835" w:type="dxa"/>
          </w:tcPr>
          <w:p w14:paraId="5512A9FA" w14:textId="77777777" w:rsidR="002071BF" w:rsidRPr="00F55457" w:rsidRDefault="002071BF" w:rsidP="002071BF">
            <w:pPr>
              <w:pStyle w:val="StdBodyTextBold"/>
              <w:rPr>
                <w:rFonts w:cs="Arial"/>
              </w:rPr>
            </w:pPr>
            <w:r>
              <w:rPr>
                <w:rFonts w:cs="Arial"/>
              </w:rPr>
              <w:t>“M</w:t>
            </w:r>
            <w:r w:rsidRPr="00F55457">
              <w:rPr>
                <w:rFonts w:cs="Arial"/>
              </w:rPr>
              <w:t>onth</w:t>
            </w:r>
            <w:r>
              <w:rPr>
                <w:rFonts w:cs="Arial"/>
              </w:rPr>
              <w:t>”</w:t>
            </w:r>
          </w:p>
        </w:tc>
        <w:tc>
          <w:tcPr>
            <w:tcW w:w="6803" w:type="dxa"/>
          </w:tcPr>
          <w:p w14:paraId="480FC10C" w14:textId="77777777" w:rsidR="002071BF" w:rsidRPr="00F55457" w:rsidRDefault="002071BF" w:rsidP="002071BF">
            <w:pPr>
              <w:pStyle w:val="StdBodyText"/>
              <w:rPr>
                <w:rFonts w:cs="Arial"/>
              </w:rPr>
            </w:pPr>
            <w:r w:rsidRPr="00F55457">
              <w:rPr>
                <w:rFonts w:cs="Arial"/>
              </w:rPr>
              <w:t xml:space="preserve">a calendar month and </w:t>
            </w:r>
            <w:r>
              <w:rPr>
                <w:rFonts w:cs="Arial"/>
              </w:rPr>
              <w:t>“</w:t>
            </w:r>
            <w:r w:rsidRPr="00F55457">
              <w:rPr>
                <w:rStyle w:val="StdBodyTextBoldChar"/>
                <w:rFonts w:cs="Arial"/>
              </w:rPr>
              <w:t>monthly</w:t>
            </w:r>
            <w:r>
              <w:rPr>
                <w:rFonts w:cs="Arial"/>
              </w:rPr>
              <w:t>”</w:t>
            </w:r>
            <w:r w:rsidRPr="00F55457">
              <w:rPr>
                <w:rFonts w:cs="Arial"/>
              </w:rPr>
              <w:t xml:space="preserve"> shall be interpreted accordingly;</w:t>
            </w:r>
          </w:p>
        </w:tc>
      </w:tr>
      <w:tr w:rsidR="002071BF" w:rsidRPr="00F55457" w14:paraId="185E7CC3" w14:textId="77777777" w:rsidTr="0052486C">
        <w:tc>
          <w:tcPr>
            <w:tcW w:w="2835" w:type="dxa"/>
          </w:tcPr>
          <w:p w14:paraId="532DD2F2" w14:textId="77777777" w:rsidR="002071BF" w:rsidRPr="00F55457" w:rsidRDefault="002071BF" w:rsidP="002071BF">
            <w:pPr>
              <w:pStyle w:val="StdBodyTextBold"/>
              <w:rPr>
                <w:rFonts w:cs="Arial"/>
              </w:rPr>
            </w:pPr>
            <w:r>
              <w:rPr>
                <w:rFonts w:cs="Arial"/>
              </w:rPr>
              <w:t>“</w:t>
            </w:r>
            <w:r w:rsidRPr="00F55457">
              <w:rPr>
                <w:rFonts w:cs="Arial"/>
              </w:rPr>
              <w:t>Multi-Party Dispute Resolution Procedure</w:t>
            </w:r>
            <w:r>
              <w:rPr>
                <w:rFonts w:cs="Arial"/>
              </w:rPr>
              <w:t>”</w:t>
            </w:r>
          </w:p>
        </w:tc>
        <w:tc>
          <w:tcPr>
            <w:tcW w:w="6803" w:type="dxa"/>
          </w:tcPr>
          <w:p w14:paraId="20026EB9" w14:textId="1F3DFB45" w:rsidR="002071BF" w:rsidRPr="00F55457" w:rsidRDefault="002071BF" w:rsidP="002071BF">
            <w:pPr>
              <w:pStyle w:val="StdBodyText"/>
              <w:rPr>
                <w:rFonts w:cs="Arial"/>
              </w:rPr>
            </w:pPr>
            <w:r w:rsidRPr="00F55457">
              <w:rPr>
                <w:rFonts w:cs="Arial"/>
              </w:rPr>
              <w:t xml:space="preserve">has </w:t>
            </w:r>
            <w:r w:rsidRPr="00D10A05">
              <w:rPr>
                <w:rFonts w:cs="Arial"/>
              </w:rPr>
              <w:t xml:space="preserve">the meaning given in </w:t>
            </w:r>
            <w:bookmarkStart w:id="106" w:name="_9kR3WTr2CC56CcEnoewrqyJR"/>
            <w:r w:rsidRPr="00D10A05">
              <w:rPr>
                <w:rFonts w:cs="Arial"/>
              </w:rPr>
              <w:t xml:space="preserve">Paragraph </w:t>
            </w:r>
            <w:r w:rsidRPr="00D10A05">
              <w:rPr>
                <w:rFonts w:cs="Arial"/>
              </w:rPr>
              <w:fldChar w:fldCharType="begin"/>
            </w:r>
            <w:r w:rsidRPr="00D10A05">
              <w:rPr>
                <w:rFonts w:cs="Arial"/>
              </w:rPr>
              <w:instrText xml:space="preserve"> REF _Ref44510621 \r \h  \* MERGEFORMAT </w:instrText>
            </w:r>
            <w:r w:rsidRPr="00D10A05">
              <w:rPr>
                <w:rFonts w:cs="Arial"/>
              </w:rPr>
            </w:r>
            <w:r w:rsidRPr="00D10A05">
              <w:rPr>
                <w:rFonts w:cs="Arial"/>
              </w:rPr>
              <w:fldChar w:fldCharType="separate"/>
            </w:r>
            <w:r w:rsidR="007A1473">
              <w:rPr>
                <w:rFonts w:cs="Arial"/>
              </w:rPr>
              <w:t>9.1</w:t>
            </w:r>
            <w:r w:rsidRPr="00D10A05">
              <w:rPr>
                <w:rFonts w:cs="Arial"/>
              </w:rPr>
              <w:fldChar w:fldCharType="end"/>
            </w:r>
            <w:r w:rsidRPr="00D10A05">
              <w:rPr>
                <w:rFonts w:cs="Arial"/>
              </w:rPr>
              <w:t xml:space="preserve"> </w:t>
            </w:r>
            <w:bookmarkEnd w:id="106"/>
            <w:r w:rsidRPr="00D10A05">
              <w:rPr>
                <w:rFonts w:cs="Arial"/>
              </w:rPr>
              <w:t xml:space="preserve">of </w:t>
            </w:r>
            <w:r>
              <w:rPr>
                <w:rFonts w:cs="Arial"/>
              </w:rPr>
              <w:fldChar w:fldCharType="begin"/>
            </w:r>
            <w:r>
              <w:rPr>
                <w:rFonts w:cs="Arial"/>
              </w:rPr>
              <w:instrText xml:space="preserve"> REF Schedule28 \h </w:instrText>
            </w:r>
            <w:r>
              <w:rPr>
                <w:rFonts w:cs="Arial"/>
              </w:rPr>
            </w:r>
            <w:r>
              <w:rPr>
                <w:rFonts w:cs="Arial"/>
              </w:rPr>
              <w:fldChar w:fldCharType="separate"/>
            </w:r>
            <w:r w:rsidR="007A1473" w:rsidRPr="005D0525">
              <w:t>Schedule</w:t>
            </w:r>
            <w:r w:rsidR="007A1473">
              <w:t> </w:t>
            </w:r>
            <w:r w:rsidR="007A1473" w:rsidRPr="005D0525">
              <w:t>28</w:t>
            </w:r>
            <w:r>
              <w:rPr>
                <w:rFonts w:cs="Arial"/>
              </w:rPr>
              <w:fldChar w:fldCharType="end"/>
            </w:r>
            <w:r>
              <w:rPr>
                <w:rFonts w:cs="Arial"/>
              </w:rPr>
              <w:t xml:space="preserve"> (</w:t>
            </w:r>
            <w:r w:rsidRPr="006F064F">
              <w:rPr>
                <w:rFonts w:cs="Arial"/>
                <w:i/>
                <w:iCs/>
              </w:rPr>
              <w:fldChar w:fldCharType="begin"/>
            </w:r>
            <w:r w:rsidRPr="006F064F">
              <w:rPr>
                <w:rFonts w:cs="Arial"/>
                <w:i/>
                <w:iCs/>
              </w:rPr>
              <w:instrText xml:space="preserve"> REF Schedule28Heading \h </w:instrText>
            </w:r>
            <w:r>
              <w:rPr>
                <w:rFonts w:cs="Arial"/>
                <w:i/>
                <w:iCs/>
              </w:rPr>
              <w:instrText xml:space="preserve"> \* MERGEFORMAT </w:instrText>
            </w:r>
            <w:r w:rsidRPr="006F064F">
              <w:rPr>
                <w:rFonts w:cs="Arial"/>
                <w:i/>
                <w:iCs/>
              </w:rPr>
            </w:r>
            <w:r w:rsidRPr="006F064F">
              <w:rPr>
                <w:rFonts w:cs="Arial"/>
                <w:i/>
                <w:iCs/>
              </w:rPr>
              <w:fldChar w:fldCharType="separate"/>
            </w:r>
            <w:r w:rsidR="007A1473" w:rsidRPr="007A1473">
              <w:rPr>
                <w:i/>
                <w:iCs/>
              </w:rPr>
              <w:t>Staff Transfer</w:t>
            </w:r>
            <w:r w:rsidRPr="006F064F">
              <w:rPr>
                <w:rFonts w:cs="Arial"/>
                <w:i/>
                <w:iCs/>
              </w:rPr>
              <w:fldChar w:fldCharType="end"/>
            </w:r>
            <w:r>
              <w:rPr>
                <w:rFonts w:cs="Arial"/>
              </w:rPr>
              <w:t>)</w:t>
            </w:r>
            <w:r w:rsidRPr="00D10A05">
              <w:rPr>
                <w:rFonts w:cs="Arial"/>
              </w:rPr>
              <w:t xml:space="preserve"> of</w:t>
            </w:r>
            <w:r w:rsidRPr="00F55457">
              <w:rPr>
                <w:rFonts w:cs="Arial"/>
              </w:rPr>
              <w:t xml:space="preserve"> </w:t>
            </w:r>
            <w:r>
              <w:rPr>
                <w:rFonts w:cs="Arial"/>
              </w:rPr>
              <w:fldChar w:fldCharType="begin"/>
            </w:r>
            <w:r>
              <w:rPr>
                <w:rFonts w:cs="Arial"/>
              </w:rPr>
              <w:instrText xml:space="preserve"> REF Schedule23 \h </w:instrText>
            </w:r>
            <w:r>
              <w:rPr>
                <w:rFonts w:cs="Arial"/>
              </w:rPr>
            </w:r>
            <w:r>
              <w:rPr>
                <w:rFonts w:cs="Arial"/>
              </w:rPr>
              <w:fldChar w:fldCharType="separate"/>
            </w:r>
            <w:r w:rsidR="007A1473" w:rsidRPr="005D0525">
              <w:t>Schedule</w:t>
            </w:r>
            <w:r w:rsidR="007A1473">
              <w:t> </w:t>
            </w:r>
            <w:r w:rsidR="007A1473" w:rsidRPr="005D0525">
              <w:t>23</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Schedule23Heading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Dispute Resolution Procedure</w:t>
            </w:r>
            <w:r w:rsidRPr="002F30DB">
              <w:rPr>
                <w:rFonts w:cs="Arial"/>
                <w:i/>
                <w:iCs/>
              </w:rPr>
              <w:fldChar w:fldCharType="end"/>
            </w:r>
            <w:r>
              <w:rPr>
                <w:rFonts w:cs="Arial"/>
              </w:rPr>
              <w:t>)</w:t>
            </w:r>
            <w:r w:rsidRPr="00F55457">
              <w:rPr>
                <w:rFonts w:cs="Arial"/>
              </w:rPr>
              <w:t>;</w:t>
            </w:r>
          </w:p>
        </w:tc>
      </w:tr>
      <w:tr w:rsidR="002071BF" w:rsidRPr="00F55457" w14:paraId="1317E7A9" w14:textId="77777777" w:rsidTr="0052486C">
        <w:tc>
          <w:tcPr>
            <w:tcW w:w="2835" w:type="dxa"/>
          </w:tcPr>
          <w:p w14:paraId="7BE4F83D" w14:textId="77777777" w:rsidR="002071BF" w:rsidRPr="008D6A63" w:rsidRDefault="002071BF" w:rsidP="002071BF">
            <w:pPr>
              <w:pStyle w:val="StdBodyTextBold"/>
              <w:rPr>
                <w:rFonts w:cs="Arial"/>
              </w:rPr>
            </w:pPr>
            <w:r>
              <w:rPr>
                <w:rFonts w:cs="Arial"/>
              </w:rPr>
              <w:t>“</w:t>
            </w:r>
            <w:bookmarkStart w:id="107" w:name="_9kMHG5YVt4CCFMEVX331YLuEMthDzqs9O9bfCJK"/>
            <w:r w:rsidRPr="008D6A63">
              <w:rPr>
                <w:rFonts w:cs="Arial"/>
              </w:rPr>
              <w:t>Multi-Party Procedure Initiation Notice</w:t>
            </w:r>
            <w:bookmarkEnd w:id="107"/>
            <w:r>
              <w:rPr>
                <w:rFonts w:cs="Arial"/>
              </w:rPr>
              <w:t>”</w:t>
            </w:r>
          </w:p>
        </w:tc>
        <w:tc>
          <w:tcPr>
            <w:tcW w:w="6803" w:type="dxa"/>
          </w:tcPr>
          <w:p w14:paraId="1A142D3B" w14:textId="4CF4C975" w:rsidR="002071BF" w:rsidRPr="008D6A63" w:rsidRDefault="002071BF" w:rsidP="002071BF">
            <w:pPr>
              <w:pStyle w:val="StdBodyText"/>
              <w:rPr>
                <w:rFonts w:cs="Arial"/>
              </w:rPr>
            </w:pPr>
            <w:r w:rsidRPr="008D6A63">
              <w:rPr>
                <w:rFonts w:cs="Arial"/>
              </w:rPr>
              <w:t xml:space="preserve">has the meaning given in </w:t>
            </w:r>
            <w:bookmarkStart w:id="108" w:name="_9kR3WTr2CC56DdEnoewrqyJS"/>
            <w:r w:rsidRPr="008D6A63">
              <w:rPr>
                <w:rFonts w:cs="Arial"/>
              </w:rPr>
              <w:t xml:space="preserve">Paragraph </w:t>
            </w:r>
            <w:bookmarkEnd w:id="108"/>
            <w:r w:rsidRPr="008D6A63">
              <w:rPr>
                <w:rFonts w:cs="Arial"/>
              </w:rPr>
              <w:fldChar w:fldCharType="begin"/>
            </w:r>
            <w:r w:rsidRPr="008D6A63">
              <w:rPr>
                <w:rFonts w:cs="Arial"/>
              </w:rPr>
              <w:instrText xml:space="preserve"> REF _Ref_ContractCompanion_9kb9Us686 \w \h  \* MERGEFORMAT </w:instrText>
            </w:r>
            <w:r w:rsidRPr="008D6A63">
              <w:rPr>
                <w:rFonts w:cs="Arial"/>
              </w:rPr>
            </w:r>
            <w:r w:rsidRPr="008D6A63">
              <w:rPr>
                <w:rFonts w:cs="Arial"/>
              </w:rPr>
              <w:fldChar w:fldCharType="separate"/>
            </w:r>
            <w:r w:rsidR="007A1473">
              <w:rPr>
                <w:rFonts w:cs="Arial"/>
              </w:rPr>
              <w:t>9.2</w:t>
            </w:r>
            <w:r w:rsidRPr="008D6A63">
              <w:rPr>
                <w:rFonts w:cs="Arial"/>
              </w:rPr>
              <w:fldChar w:fldCharType="end"/>
            </w:r>
            <w:r w:rsidRPr="008D6A63">
              <w:rPr>
                <w:rFonts w:cs="Arial"/>
              </w:rPr>
              <w:t xml:space="preserve"> of </w:t>
            </w:r>
            <w:r>
              <w:rPr>
                <w:rFonts w:cs="Arial"/>
              </w:rPr>
              <w:fldChar w:fldCharType="begin"/>
            </w:r>
            <w:r>
              <w:rPr>
                <w:rFonts w:cs="Arial"/>
              </w:rPr>
              <w:instrText xml:space="preserve"> REF Schedule23 \h </w:instrText>
            </w:r>
            <w:r>
              <w:rPr>
                <w:rFonts w:cs="Arial"/>
              </w:rPr>
            </w:r>
            <w:r>
              <w:rPr>
                <w:rFonts w:cs="Arial"/>
              </w:rPr>
              <w:fldChar w:fldCharType="separate"/>
            </w:r>
            <w:r w:rsidR="007A1473" w:rsidRPr="005D0525">
              <w:t>Schedule</w:t>
            </w:r>
            <w:r w:rsidR="007A1473">
              <w:t> </w:t>
            </w:r>
            <w:r w:rsidR="007A1473" w:rsidRPr="005D0525">
              <w:t>23</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Schedule23Heading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Dispute Resolution Procedure</w:t>
            </w:r>
            <w:r w:rsidRPr="002F30DB">
              <w:rPr>
                <w:rFonts w:cs="Arial"/>
                <w:i/>
                <w:iCs/>
              </w:rPr>
              <w:fldChar w:fldCharType="end"/>
            </w:r>
            <w:r>
              <w:rPr>
                <w:rFonts w:cs="Arial"/>
              </w:rPr>
              <w:t>)</w:t>
            </w:r>
            <w:r w:rsidRPr="008D6A63">
              <w:rPr>
                <w:rFonts w:cs="Arial"/>
              </w:rPr>
              <w:t>;</w:t>
            </w:r>
          </w:p>
        </w:tc>
      </w:tr>
      <w:tr w:rsidR="002071BF" w:rsidRPr="00F55457" w14:paraId="49A5614A" w14:textId="77777777" w:rsidTr="0052486C">
        <w:tc>
          <w:tcPr>
            <w:tcW w:w="2835" w:type="dxa"/>
          </w:tcPr>
          <w:p w14:paraId="171EECDA" w14:textId="77777777" w:rsidR="002071BF" w:rsidRPr="008D6A63" w:rsidRDefault="002071BF" w:rsidP="002071BF">
            <w:pPr>
              <w:pStyle w:val="StdBodyTextBold"/>
              <w:rPr>
                <w:rFonts w:cs="Arial"/>
              </w:rPr>
            </w:pPr>
            <w:r>
              <w:rPr>
                <w:rFonts w:cs="Arial"/>
              </w:rPr>
              <w:t>“</w:t>
            </w:r>
            <w:r w:rsidRPr="008D6A63">
              <w:rPr>
                <w:rFonts w:cs="Arial"/>
              </w:rPr>
              <w:t>NCSC</w:t>
            </w:r>
            <w:r>
              <w:rPr>
                <w:rFonts w:cs="Arial"/>
              </w:rPr>
              <w:t>”</w:t>
            </w:r>
          </w:p>
        </w:tc>
        <w:tc>
          <w:tcPr>
            <w:tcW w:w="6803" w:type="dxa"/>
          </w:tcPr>
          <w:p w14:paraId="1871325A" w14:textId="77777777" w:rsidR="002071BF" w:rsidRPr="008D6A63" w:rsidRDefault="002071BF" w:rsidP="002071BF">
            <w:pPr>
              <w:pStyle w:val="StdBodyText"/>
              <w:rPr>
                <w:rFonts w:cs="Arial"/>
              </w:rPr>
            </w:pPr>
            <w:r w:rsidRPr="008D6A63">
              <w:rPr>
                <w:rFonts w:cs="Arial"/>
              </w:rPr>
              <w:t>the National Cyber Security Centre or any replacement or successor body carrying out the same function;</w:t>
            </w:r>
          </w:p>
        </w:tc>
      </w:tr>
      <w:tr w:rsidR="002071BF" w:rsidRPr="00F55457" w14:paraId="107021BA" w14:textId="77777777" w:rsidTr="0052486C">
        <w:tc>
          <w:tcPr>
            <w:tcW w:w="2835" w:type="dxa"/>
          </w:tcPr>
          <w:p w14:paraId="68922F5E" w14:textId="77777777" w:rsidR="002071BF" w:rsidRPr="008D6A63" w:rsidRDefault="002071BF" w:rsidP="002071BF">
            <w:pPr>
              <w:pStyle w:val="StdBodyTextBold"/>
              <w:rPr>
                <w:rFonts w:cs="Arial"/>
              </w:rPr>
            </w:pPr>
            <w:r>
              <w:rPr>
                <w:rFonts w:cs="Arial"/>
              </w:rPr>
              <w:t>“</w:t>
            </w:r>
            <w:r w:rsidRPr="008D6A63">
              <w:rPr>
                <w:rFonts w:cs="Arial"/>
              </w:rPr>
              <w:t>New Releases</w:t>
            </w:r>
            <w:r>
              <w:rPr>
                <w:rFonts w:cs="Arial"/>
              </w:rPr>
              <w:t>”</w:t>
            </w:r>
          </w:p>
        </w:tc>
        <w:tc>
          <w:tcPr>
            <w:tcW w:w="6803" w:type="dxa"/>
          </w:tcPr>
          <w:p w14:paraId="4B302109" w14:textId="77777777" w:rsidR="002071BF" w:rsidRPr="008D6A63" w:rsidRDefault="002071BF" w:rsidP="002071BF">
            <w:pPr>
              <w:pStyle w:val="StdBodyText"/>
              <w:rPr>
                <w:rFonts w:cs="Arial"/>
              </w:rPr>
            </w:pPr>
            <w:r w:rsidRPr="008D6A63">
              <w:rPr>
                <w:rFonts w:cs="Arial"/>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071BF" w:rsidRPr="00F55457" w14:paraId="4BCBE537" w14:textId="77777777" w:rsidTr="0052486C">
        <w:tc>
          <w:tcPr>
            <w:tcW w:w="2835" w:type="dxa"/>
          </w:tcPr>
          <w:p w14:paraId="38CA8CAD" w14:textId="77777777" w:rsidR="002071BF" w:rsidRPr="008D6A63" w:rsidRDefault="002071BF" w:rsidP="002071BF">
            <w:pPr>
              <w:pStyle w:val="StdBodyTextBold"/>
              <w:rPr>
                <w:rFonts w:cs="Arial"/>
              </w:rPr>
            </w:pPr>
            <w:r>
              <w:rPr>
                <w:rFonts w:cs="Arial"/>
              </w:rPr>
              <w:t>“</w:t>
            </w:r>
            <w:r w:rsidRPr="008D6A63">
              <w:rPr>
                <w:rFonts w:cs="Arial"/>
              </w:rPr>
              <w:t>Non-trivial Customer Base</w:t>
            </w:r>
            <w:r>
              <w:rPr>
                <w:rFonts w:cs="Arial"/>
              </w:rPr>
              <w:t>”</w:t>
            </w:r>
          </w:p>
        </w:tc>
        <w:tc>
          <w:tcPr>
            <w:tcW w:w="6803" w:type="dxa"/>
          </w:tcPr>
          <w:p w14:paraId="4D8393DA" w14:textId="77777777" w:rsidR="002071BF" w:rsidRPr="008D6A63" w:rsidRDefault="002071BF" w:rsidP="002071BF">
            <w:pPr>
              <w:pStyle w:val="StdBodyText"/>
              <w:rPr>
                <w:rFonts w:cs="Arial"/>
              </w:rPr>
            </w:pPr>
            <w:r w:rsidRPr="008D6A63">
              <w:rPr>
                <w:rFonts w:cs="Arial"/>
              </w:rPr>
              <w:t>a significant customer base with respect to the date of first release and the relevant market but excluding Affiliates and other entities related to the licensor;</w:t>
            </w:r>
          </w:p>
        </w:tc>
      </w:tr>
      <w:tr w:rsidR="002071BF" w:rsidRPr="00F55457" w14:paraId="6CDA5D52" w14:textId="77777777" w:rsidTr="0052486C">
        <w:tc>
          <w:tcPr>
            <w:tcW w:w="2835" w:type="dxa"/>
          </w:tcPr>
          <w:p w14:paraId="682552B5" w14:textId="77777777" w:rsidR="002071BF" w:rsidRPr="008D6A63" w:rsidRDefault="002071BF" w:rsidP="002071BF">
            <w:pPr>
              <w:pStyle w:val="StdBodyTextBold"/>
              <w:rPr>
                <w:rFonts w:cs="Arial"/>
              </w:rPr>
            </w:pPr>
            <w:r>
              <w:rPr>
                <w:rFonts w:cs="Arial"/>
              </w:rPr>
              <w:t>“</w:t>
            </w:r>
            <w:r w:rsidRPr="008D6A63">
              <w:rPr>
                <w:rFonts w:cs="Arial"/>
              </w:rPr>
              <w:t>Non-retained Deliverables</w:t>
            </w:r>
            <w:r>
              <w:rPr>
                <w:rFonts w:cs="Arial"/>
              </w:rPr>
              <w:t>”</w:t>
            </w:r>
          </w:p>
        </w:tc>
        <w:tc>
          <w:tcPr>
            <w:tcW w:w="6803" w:type="dxa"/>
          </w:tcPr>
          <w:p w14:paraId="7AE2E0E3" w14:textId="77777777" w:rsidR="002071BF" w:rsidRPr="008D6A63" w:rsidRDefault="002071BF" w:rsidP="002071BF">
            <w:pPr>
              <w:pStyle w:val="StdBodyText"/>
              <w:rPr>
                <w:rFonts w:cs="Arial"/>
              </w:rPr>
            </w:pPr>
            <w:r w:rsidRPr="008D6A63">
              <w:rPr>
                <w:rFonts w:cs="Arial"/>
              </w:rPr>
              <w:t>in relation to a CPP Milestone Payment Notice and each CPP Milestone the subject of that CPP Milestone Payment Notice, Deliverables provided to the Authority which relate to the relevant CPP Milestone(s) and which are not Retained Deliverables;</w:t>
            </w:r>
          </w:p>
        </w:tc>
      </w:tr>
      <w:tr w:rsidR="002071BF" w:rsidRPr="00F55457" w14:paraId="3D1A60D5" w14:textId="77777777" w:rsidTr="0052486C">
        <w:tc>
          <w:tcPr>
            <w:tcW w:w="2835" w:type="dxa"/>
          </w:tcPr>
          <w:p w14:paraId="103B128C" w14:textId="77777777" w:rsidR="002071BF" w:rsidRPr="008D6A63" w:rsidRDefault="002071BF" w:rsidP="002071BF">
            <w:pPr>
              <w:pStyle w:val="StdBodyTextBold"/>
              <w:rPr>
                <w:rFonts w:cs="Arial"/>
              </w:rPr>
            </w:pPr>
            <w:r>
              <w:rPr>
                <w:rFonts w:cs="Arial"/>
              </w:rPr>
              <w:t>“</w:t>
            </w:r>
            <w:r w:rsidRPr="008D6A63">
              <w:rPr>
                <w:rFonts w:cs="Arial"/>
              </w:rPr>
              <w:t>Notifiable Default</w:t>
            </w:r>
            <w:r>
              <w:rPr>
                <w:rFonts w:cs="Arial"/>
              </w:rPr>
              <w:t>”</w:t>
            </w:r>
          </w:p>
        </w:tc>
        <w:tc>
          <w:tcPr>
            <w:tcW w:w="6803" w:type="dxa"/>
          </w:tcPr>
          <w:p w14:paraId="45432CCC" w14:textId="77777777" w:rsidR="002071BF" w:rsidRPr="008D6A63" w:rsidRDefault="002071BF" w:rsidP="002071BF">
            <w:pPr>
              <w:pStyle w:val="StdBodyText"/>
              <w:rPr>
                <w:rFonts w:cs="Arial"/>
              </w:rPr>
            </w:pPr>
            <w:r w:rsidRPr="008D6A63">
              <w:rPr>
                <w:rFonts w:cs="Arial"/>
              </w:rPr>
              <w:t xml:space="preserve">shall have the meaning given in </w:t>
            </w:r>
            <w:bookmarkStart w:id="109" w:name="_9kMHG5YVtCJBBLLFJJVP72om45yELAs5"/>
            <w:bookmarkStart w:id="110" w:name="_9kMJI5YVtCIABLOIJJVP72om45yELAs5"/>
            <w:r w:rsidRPr="008D6A63">
              <w:rPr>
                <w:rFonts w:cs="Arial"/>
              </w:rPr>
              <w:t xml:space="preserve">Clause </w:t>
            </w:r>
            <w:bookmarkEnd w:id="109"/>
            <w:bookmarkEnd w:id="110"/>
            <w:r w:rsidRPr="008D6A63">
              <w:rPr>
                <w:rFonts w:cs="Arial"/>
              </w:rPr>
              <w:t>25.1 (</w:t>
            </w:r>
            <w:r w:rsidRPr="00214A89">
              <w:rPr>
                <w:rFonts w:cs="Arial"/>
                <w:i/>
                <w:iCs/>
              </w:rPr>
              <w:t>Rectification Plan Process</w:t>
            </w:r>
            <w:r w:rsidRPr="008D6A63">
              <w:rPr>
                <w:rFonts w:cs="Arial"/>
              </w:rPr>
              <w:t>);</w:t>
            </w:r>
          </w:p>
        </w:tc>
      </w:tr>
      <w:tr w:rsidR="002071BF" w:rsidRPr="00F55457" w14:paraId="00DE5816" w14:textId="77777777" w:rsidTr="0052486C">
        <w:tc>
          <w:tcPr>
            <w:tcW w:w="2835" w:type="dxa"/>
          </w:tcPr>
          <w:p w14:paraId="3801933C" w14:textId="77777777" w:rsidR="002071BF" w:rsidRPr="008D6A63" w:rsidRDefault="002071BF" w:rsidP="002071BF">
            <w:pPr>
              <w:pStyle w:val="StdBodyTextBold"/>
              <w:rPr>
                <w:rFonts w:cs="Arial"/>
              </w:rPr>
            </w:pPr>
            <w:r>
              <w:rPr>
                <w:rFonts w:cs="Arial"/>
              </w:rPr>
              <w:t>“</w:t>
            </w:r>
            <w:r w:rsidRPr="008D6A63">
              <w:rPr>
                <w:rFonts w:cs="Arial"/>
              </w:rPr>
              <w:t>Object Code</w:t>
            </w:r>
            <w:r>
              <w:rPr>
                <w:rFonts w:cs="Arial"/>
              </w:rPr>
              <w:t>”</w:t>
            </w:r>
          </w:p>
        </w:tc>
        <w:tc>
          <w:tcPr>
            <w:tcW w:w="6803" w:type="dxa"/>
          </w:tcPr>
          <w:p w14:paraId="2F7A460E" w14:textId="77777777" w:rsidR="002071BF" w:rsidRPr="008D6A63" w:rsidRDefault="002071BF" w:rsidP="002071BF">
            <w:pPr>
              <w:pStyle w:val="StdBodyText"/>
              <w:rPr>
                <w:rFonts w:cs="Arial"/>
              </w:rPr>
            </w:pPr>
            <w:r w:rsidRPr="008D6A63">
              <w:rPr>
                <w:rFonts w:cs="Arial"/>
              </w:rPr>
              <w:t>software and/or data in machine-readable, compiled object code form;</w:t>
            </w:r>
          </w:p>
        </w:tc>
      </w:tr>
      <w:tr w:rsidR="002071BF" w:rsidRPr="00F55457" w14:paraId="6B100C97" w14:textId="77777777" w:rsidTr="0052486C">
        <w:tc>
          <w:tcPr>
            <w:tcW w:w="2835" w:type="dxa"/>
          </w:tcPr>
          <w:p w14:paraId="6CE60507" w14:textId="77777777" w:rsidR="002071BF" w:rsidRPr="008D6A63" w:rsidRDefault="002071BF" w:rsidP="002071BF">
            <w:pPr>
              <w:pStyle w:val="StdBodyTextBold"/>
              <w:rPr>
                <w:rFonts w:cs="Arial"/>
              </w:rPr>
            </w:pPr>
            <w:r>
              <w:rPr>
                <w:rFonts w:cs="Arial"/>
              </w:rPr>
              <w:lastRenderedPageBreak/>
              <w:t>“</w:t>
            </w:r>
            <w:r w:rsidRPr="008D6A63">
              <w:rPr>
                <w:rFonts w:cs="Arial"/>
              </w:rPr>
              <w:t>Occasion of Tax Non-Compliance</w:t>
            </w:r>
            <w:r>
              <w:rPr>
                <w:rFonts w:cs="Arial"/>
              </w:rPr>
              <w:t>”</w:t>
            </w:r>
          </w:p>
        </w:tc>
        <w:tc>
          <w:tcPr>
            <w:tcW w:w="6803" w:type="dxa"/>
          </w:tcPr>
          <w:p w14:paraId="4F5BD0DC" w14:textId="77777777" w:rsidR="002071BF" w:rsidRPr="008D6A63" w:rsidRDefault="002071BF" w:rsidP="002071BF">
            <w:pPr>
              <w:pStyle w:val="DefinitionList"/>
              <w:numPr>
                <w:ilvl w:val="0"/>
                <w:numId w:val="161"/>
              </w:numPr>
            </w:pPr>
            <w:r w:rsidRPr="008D6A63">
              <w:t>any tax return of the Supplier submitted to a Relevant Tax Authority on or after 1 October 2012 is found on or after 1 April 2013 to be incorrect as a result of:</w:t>
            </w:r>
          </w:p>
          <w:p w14:paraId="10685BEB" w14:textId="77777777" w:rsidR="002071BF" w:rsidRPr="008D6A63" w:rsidRDefault="002071BF" w:rsidP="002071BF">
            <w:pPr>
              <w:pStyle w:val="DefinitionListLevel1"/>
              <w:numPr>
                <w:ilvl w:val="1"/>
                <w:numId w:val="78"/>
              </w:numPr>
              <w:rPr>
                <w:rFonts w:cs="Arial"/>
              </w:rPr>
            </w:pPr>
            <w:r w:rsidRPr="008D6A63">
              <w:rPr>
                <w:rFonts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E9B119A" w14:textId="77777777" w:rsidR="002071BF" w:rsidRPr="008D6A63" w:rsidRDefault="002071BF" w:rsidP="002071BF">
            <w:pPr>
              <w:pStyle w:val="DefinitionListLevel1"/>
              <w:numPr>
                <w:ilvl w:val="1"/>
                <w:numId w:val="78"/>
              </w:numPr>
              <w:rPr>
                <w:rFonts w:cs="Arial"/>
              </w:rPr>
            </w:pPr>
            <w:r w:rsidRPr="008D6A63">
              <w:rPr>
                <w:rFonts w:cs="Arial"/>
              </w:rPr>
              <w:t>the failure of an avoidance scheme which the Supplier was involved in, and which was, or should have been, notified to a Relevant Tax Authority under the DOTAS or any equivalent or similar regime; and/or</w:t>
            </w:r>
          </w:p>
          <w:p w14:paraId="6DFF0281" w14:textId="77777777" w:rsidR="002071BF" w:rsidRPr="008D6A63" w:rsidRDefault="002071BF" w:rsidP="002071BF">
            <w:pPr>
              <w:pStyle w:val="DefinitionList"/>
              <w:numPr>
                <w:ilvl w:val="0"/>
                <w:numId w:val="78"/>
              </w:numPr>
              <w:rPr>
                <w:rFonts w:cs="Arial"/>
              </w:rPr>
            </w:pPr>
            <w:r w:rsidRPr="008D6A63">
              <w:rPr>
                <w:rFonts w:cs="Arial"/>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2071BF" w:rsidRPr="00F55457" w14:paraId="1FFF2BE5" w14:textId="77777777" w:rsidTr="0052486C">
        <w:tc>
          <w:tcPr>
            <w:tcW w:w="2835" w:type="dxa"/>
          </w:tcPr>
          <w:p w14:paraId="61BFF543" w14:textId="77777777" w:rsidR="002071BF" w:rsidRPr="008D6A63" w:rsidRDefault="002071BF" w:rsidP="002071BF">
            <w:pPr>
              <w:pStyle w:val="StdBodyTextBold"/>
              <w:rPr>
                <w:rFonts w:cs="Arial"/>
              </w:rPr>
            </w:pPr>
            <w:r>
              <w:rPr>
                <w:rFonts w:cs="Arial"/>
              </w:rPr>
              <w:t>“</w:t>
            </w:r>
            <w:r w:rsidRPr="008D6A63">
              <w:rPr>
                <w:rFonts w:cs="Arial"/>
              </w:rPr>
              <w:t>Open Book Data</w:t>
            </w:r>
            <w:r>
              <w:rPr>
                <w:rFonts w:cs="Arial"/>
              </w:rPr>
              <w:t>”</w:t>
            </w:r>
          </w:p>
        </w:tc>
        <w:tc>
          <w:tcPr>
            <w:tcW w:w="6803" w:type="dxa"/>
          </w:tcPr>
          <w:p w14:paraId="1C3107A6" w14:textId="030112E7" w:rsidR="002071BF" w:rsidRPr="008D6A63" w:rsidRDefault="002071BF" w:rsidP="002071BF">
            <w:pPr>
              <w:pStyle w:val="StdBodyText"/>
              <w:rPr>
                <w:rFonts w:cs="Arial"/>
              </w:rPr>
            </w:pPr>
            <w:r w:rsidRPr="008D6A63">
              <w:rPr>
                <w:rFonts w:cs="Arial"/>
              </w:rPr>
              <w:t xml:space="preserve">has the meaning given in </w:t>
            </w:r>
            <w:r>
              <w:rPr>
                <w:rFonts w:cs="Arial"/>
              </w:rPr>
              <w:fldChar w:fldCharType="begin"/>
            </w:r>
            <w:r>
              <w:rPr>
                <w:rFonts w:cs="Arial"/>
              </w:rPr>
              <w:instrText xml:space="preserve"> REF Schedule19 \h </w:instrText>
            </w:r>
            <w:r>
              <w:rPr>
                <w:rFonts w:cs="Arial"/>
              </w:rPr>
            </w:r>
            <w:r>
              <w:rPr>
                <w:rFonts w:cs="Arial"/>
              </w:rPr>
              <w:fldChar w:fldCharType="separate"/>
            </w:r>
            <w:r w:rsidR="007A1473" w:rsidRPr="005D0525">
              <w:t>Schedule</w:t>
            </w:r>
            <w:r w:rsidR="007A1473">
              <w:t> </w:t>
            </w:r>
            <w:r w:rsidR="007A1473" w:rsidRPr="005D0525">
              <w:t>19</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Schedule19Heading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Reports and Audit Rights</w:t>
            </w:r>
            <w:r w:rsidRPr="002F30DB">
              <w:rPr>
                <w:rFonts w:cs="Arial"/>
                <w:i/>
                <w:iCs/>
              </w:rPr>
              <w:fldChar w:fldCharType="end"/>
            </w:r>
            <w:r>
              <w:rPr>
                <w:rFonts w:cs="Arial"/>
              </w:rPr>
              <w:t>)</w:t>
            </w:r>
            <w:r w:rsidRPr="008D6A63">
              <w:rPr>
                <w:rFonts w:cs="Arial"/>
              </w:rPr>
              <w:t>;</w:t>
            </w:r>
          </w:p>
        </w:tc>
      </w:tr>
      <w:tr w:rsidR="002071BF" w:rsidRPr="00F55457" w14:paraId="4637E8FE" w14:textId="77777777" w:rsidTr="0052486C">
        <w:tc>
          <w:tcPr>
            <w:tcW w:w="2835" w:type="dxa"/>
          </w:tcPr>
          <w:p w14:paraId="1B43B9B3" w14:textId="77777777" w:rsidR="002071BF" w:rsidRDefault="002071BF" w:rsidP="002071BF">
            <w:pPr>
              <w:pStyle w:val="StdBodyTextBold"/>
              <w:rPr>
                <w:rFonts w:cs="Arial"/>
              </w:rPr>
            </w:pPr>
            <w:r>
              <w:rPr>
                <w:rFonts w:cs="Arial"/>
              </w:rPr>
              <w:t>“Open Licence”</w:t>
            </w:r>
          </w:p>
        </w:tc>
        <w:tc>
          <w:tcPr>
            <w:tcW w:w="6803" w:type="dxa"/>
          </w:tcPr>
          <w:p w14:paraId="1037C2C6" w14:textId="0DDB6413" w:rsidR="002071BF" w:rsidRPr="008D6A63" w:rsidRDefault="002071BF" w:rsidP="002071BF">
            <w:pPr>
              <w:pStyle w:val="StdBodyText"/>
              <w:rPr>
                <w:rFonts w:cs="Arial"/>
              </w:rPr>
            </w:pPr>
            <w:r w:rsidRPr="0099084E">
              <w:rPr>
                <w:rFonts w:cs="Arial"/>
              </w:rPr>
              <w:t xml:space="preserve">means any material that is published for use, with rights to access, copy and modify and publish, by any person for free, under a generally recognised open licence including Open Government Licence as set out at http://www.nationalarchives.gov.uk/doc/open-government-licence/version/3/ and the Open Standards Principles documented at </w:t>
            </w:r>
            <w:hyperlink r:id="rId18" w:history="1">
              <w:r w:rsidRPr="002032FC">
                <w:rPr>
                  <w:rStyle w:val="Hyperlink"/>
                  <w:rFonts w:cs="Arial"/>
                </w:rPr>
                <w:t>https://www.gov.uk/government/publications/open-standards-principles/open-standards-principles</w:t>
              </w:r>
            </w:hyperlink>
            <w:r>
              <w:rPr>
                <w:rFonts w:cs="Arial"/>
              </w:rPr>
              <w:t xml:space="preserve"> , and includes the Open Source publication of Software;</w:t>
            </w:r>
          </w:p>
        </w:tc>
      </w:tr>
      <w:tr w:rsidR="002071BF" w:rsidRPr="00F55457" w14:paraId="15D6E4CF" w14:textId="77777777" w:rsidTr="0052486C">
        <w:tc>
          <w:tcPr>
            <w:tcW w:w="2835" w:type="dxa"/>
          </w:tcPr>
          <w:p w14:paraId="69F2218D" w14:textId="77777777" w:rsidR="002071BF" w:rsidRPr="008D6A63" w:rsidRDefault="002071BF" w:rsidP="002071BF">
            <w:pPr>
              <w:pStyle w:val="StdBodyTextBold"/>
              <w:rPr>
                <w:rFonts w:cs="Arial"/>
              </w:rPr>
            </w:pPr>
            <w:r>
              <w:rPr>
                <w:rFonts w:cs="Arial"/>
              </w:rPr>
              <w:t>“</w:t>
            </w:r>
            <w:r w:rsidRPr="008D6A63">
              <w:rPr>
                <w:rFonts w:cs="Arial"/>
              </w:rPr>
              <w:t>Open Source</w:t>
            </w:r>
            <w:r>
              <w:rPr>
                <w:rFonts w:cs="Arial"/>
              </w:rPr>
              <w:t>”</w:t>
            </w:r>
          </w:p>
        </w:tc>
        <w:tc>
          <w:tcPr>
            <w:tcW w:w="6803" w:type="dxa"/>
          </w:tcPr>
          <w:p w14:paraId="08FE10CB" w14:textId="77777777" w:rsidR="002071BF" w:rsidRPr="008D6A63" w:rsidRDefault="002071BF" w:rsidP="002071BF">
            <w:pPr>
              <w:pStyle w:val="StdBodyText"/>
              <w:rPr>
                <w:rFonts w:cs="Arial"/>
              </w:rPr>
            </w:pPr>
            <w:r w:rsidRPr="008D6A63">
              <w:rPr>
                <w:rFonts w:cs="Arial"/>
              </w:rPr>
              <w:t>computer Software that is released on the internet for use by any person, such release usually being made under a recognised open source licence and stating that it is released as open source;</w:t>
            </w:r>
          </w:p>
        </w:tc>
      </w:tr>
      <w:tr w:rsidR="002071BF" w:rsidRPr="00F55457" w14:paraId="3BCFE3AE" w14:textId="77777777" w:rsidTr="0052486C">
        <w:tc>
          <w:tcPr>
            <w:tcW w:w="2835" w:type="dxa"/>
          </w:tcPr>
          <w:p w14:paraId="7014A15A" w14:textId="77777777" w:rsidR="002071BF" w:rsidRPr="008D6A63" w:rsidRDefault="002071BF" w:rsidP="002071BF">
            <w:pPr>
              <w:pStyle w:val="StdBodyTextBold"/>
              <w:rPr>
                <w:rFonts w:cs="Arial"/>
              </w:rPr>
            </w:pPr>
            <w:r>
              <w:rPr>
                <w:rFonts w:cs="Arial"/>
              </w:rPr>
              <w:t>“</w:t>
            </w:r>
            <w:r w:rsidRPr="008D6A63">
              <w:rPr>
                <w:rFonts w:cs="Arial"/>
              </w:rPr>
              <w:t>Operating Environment</w:t>
            </w:r>
            <w:r>
              <w:rPr>
                <w:rFonts w:cs="Arial"/>
              </w:rPr>
              <w:t>”</w:t>
            </w:r>
          </w:p>
        </w:tc>
        <w:tc>
          <w:tcPr>
            <w:tcW w:w="6803" w:type="dxa"/>
          </w:tcPr>
          <w:p w14:paraId="627EF6D3" w14:textId="77777777" w:rsidR="002071BF" w:rsidRPr="008D6A63" w:rsidRDefault="002071BF" w:rsidP="002071BF">
            <w:pPr>
              <w:pStyle w:val="StdBodyText"/>
              <w:rPr>
                <w:rFonts w:cs="Arial"/>
              </w:rPr>
            </w:pPr>
            <w:r w:rsidRPr="008D6A63">
              <w:rPr>
                <w:rFonts w:cs="Arial"/>
              </w:rPr>
              <w:t>the Authority System and the Sites;</w:t>
            </w:r>
          </w:p>
        </w:tc>
      </w:tr>
      <w:tr w:rsidR="002071BF" w:rsidRPr="00F55457" w14:paraId="6CF495D2" w14:textId="77777777" w:rsidTr="0052486C">
        <w:tc>
          <w:tcPr>
            <w:tcW w:w="2835" w:type="dxa"/>
          </w:tcPr>
          <w:p w14:paraId="315E5AAF" w14:textId="77777777" w:rsidR="002071BF" w:rsidRPr="008D6A63" w:rsidRDefault="002071BF" w:rsidP="002071BF">
            <w:pPr>
              <w:pStyle w:val="StdBodyTextBold"/>
              <w:rPr>
                <w:rFonts w:cs="Arial"/>
              </w:rPr>
            </w:pPr>
            <w:r>
              <w:rPr>
                <w:rFonts w:cs="Arial"/>
              </w:rPr>
              <w:t>“</w:t>
            </w:r>
            <w:r w:rsidRPr="008D6A63">
              <w:rPr>
                <w:rFonts w:cs="Arial"/>
              </w:rPr>
              <w:t>Operational Change</w:t>
            </w:r>
            <w:r>
              <w:rPr>
                <w:rFonts w:cs="Arial"/>
              </w:rPr>
              <w:t>”</w:t>
            </w:r>
          </w:p>
        </w:tc>
        <w:tc>
          <w:tcPr>
            <w:tcW w:w="6803" w:type="dxa"/>
          </w:tcPr>
          <w:p w14:paraId="0BC9C890" w14:textId="77777777" w:rsidR="002071BF" w:rsidRPr="008D6A63" w:rsidRDefault="002071BF" w:rsidP="002071BF">
            <w:pPr>
              <w:pStyle w:val="StdBodyText"/>
              <w:rPr>
                <w:rFonts w:cs="Arial"/>
              </w:rPr>
            </w:pPr>
            <w:r w:rsidRPr="008D6A63">
              <w:rPr>
                <w:rFonts w:cs="Arial"/>
              </w:rPr>
              <w:t xml:space="preserve">any change in the </w:t>
            </w:r>
            <w:bookmarkStart w:id="111" w:name="_9kML4H6ZWu9A679B"/>
            <w:r w:rsidRPr="008D6A63">
              <w:rPr>
                <w:rFonts w:cs="Arial"/>
              </w:rPr>
              <w:t>Supplier</w:t>
            </w:r>
            <w:r>
              <w:rPr>
                <w:rFonts w:cs="Arial"/>
              </w:rPr>
              <w:t>’</w:t>
            </w:r>
            <w:r w:rsidRPr="008D6A63">
              <w:rPr>
                <w:rFonts w:cs="Arial"/>
              </w:rPr>
              <w:t>s</w:t>
            </w:r>
            <w:bookmarkEnd w:id="111"/>
            <w:r w:rsidRPr="008D6A63">
              <w:rPr>
                <w:rFonts w:cs="Arial"/>
              </w:rPr>
              <w:t xml:space="preserve"> operational procedures which in all respects, when implemented:</w:t>
            </w:r>
          </w:p>
          <w:p w14:paraId="571FFFBF" w14:textId="77777777" w:rsidR="002071BF" w:rsidRPr="008D6A63" w:rsidRDefault="002071BF" w:rsidP="002071BF">
            <w:pPr>
              <w:pStyle w:val="DefinitionList"/>
              <w:numPr>
                <w:ilvl w:val="0"/>
                <w:numId w:val="162"/>
              </w:numPr>
            </w:pPr>
            <w:r w:rsidRPr="008D6A63">
              <w:lastRenderedPageBreak/>
              <w:t xml:space="preserve">will not affect the Charges and will not result in any other costs to the Authority; </w:t>
            </w:r>
          </w:p>
          <w:p w14:paraId="01A32E83" w14:textId="77777777" w:rsidR="002071BF" w:rsidRPr="008D6A63" w:rsidRDefault="002071BF" w:rsidP="002071BF">
            <w:pPr>
              <w:pStyle w:val="DefinitionList"/>
              <w:numPr>
                <w:ilvl w:val="0"/>
                <w:numId w:val="78"/>
              </w:numPr>
              <w:rPr>
                <w:rFonts w:cs="Arial"/>
              </w:rPr>
            </w:pPr>
            <w:r w:rsidRPr="008D6A63">
              <w:rPr>
                <w:rFonts w:cs="Arial"/>
              </w:rPr>
              <w:t xml:space="preserve">may change the way in which the Services are delivered but will not adversely affect the output of the Services or increase the risks in performing or receiving the Services; </w:t>
            </w:r>
          </w:p>
          <w:p w14:paraId="6C3C0F2F" w14:textId="77777777" w:rsidR="002071BF" w:rsidRPr="008D6A63" w:rsidRDefault="002071BF" w:rsidP="002071BF">
            <w:pPr>
              <w:pStyle w:val="DefinitionList"/>
              <w:numPr>
                <w:ilvl w:val="0"/>
                <w:numId w:val="78"/>
              </w:numPr>
              <w:rPr>
                <w:rFonts w:cs="Arial"/>
              </w:rPr>
            </w:pPr>
            <w:r w:rsidRPr="008D6A63">
              <w:rPr>
                <w:rFonts w:cs="Arial"/>
              </w:rPr>
              <w:t xml:space="preserve">will not adversely affect the interfaces or interoperability of the Services with any of the </w:t>
            </w:r>
            <w:bookmarkStart w:id="112" w:name="_9kML5I6ZWu9A679B"/>
            <w:r w:rsidRPr="008D6A63">
              <w:rPr>
                <w:rFonts w:cs="Arial"/>
              </w:rPr>
              <w:t>Authority</w:t>
            </w:r>
            <w:r>
              <w:rPr>
                <w:rFonts w:cs="Arial"/>
              </w:rPr>
              <w:t>’</w:t>
            </w:r>
            <w:r w:rsidRPr="008D6A63">
              <w:rPr>
                <w:rFonts w:cs="Arial"/>
              </w:rPr>
              <w:t>s</w:t>
            </w:r>
            <w:bookmarkEnd w:id="112"/>
            <w:r w:rsidRPr="008D6A63">
              <w:rPr>
                <w:rFonts w:cs="Arial"/>
              </w:rPr>
              <w:t xml:space="preserve"> IT infrastructure; and</w:t>
            </w:r>
          </w:p>
          <w:p w14:paraId="571F75BC" w14:textId="77777777" w:rsidR="002071BF" w:rsidRPr="008D6A63" w:rsidRDefault="002071BF" w:rsidP="002071BF">
            <w:pPr>
              <w:pStyle w:val="DefinitionList"/>
              <w:numPr>
                <w:ilvl w:val="0"/>
                <w:numId w:val="78"/>
              </w:numPr>
              <w:rPr>
                <w:rFonts w:cs="Arial"/>
              </w:rPr>
            </w:pPr>
            <w:r w:rsidRPr="008D6A63">
              <w:rPr>
                <w:rFonts w:cs="Arial"/>
              </w:rPr>
              <w:t>will not require a change to this Contract;</w:t>
            </w:r>
          </w:p>
        </w:tc>
      </w:tr>
      <w:tr w:rsidR="002071BF" w:rsidRPr="00F55457" w14:paraId="6EEF085D" w14:textId="77777777" w:rsidTr="0052486C">
        <w:tc>
          <w:tcPr>
            <w:tcW w:w="2835" w:type="dxa"/>
          </w:tcPr>
          <w:p w14:paraId="7E248209" w14:textId="77777777" w:rsidR="002071BF" w:rsidRPr="008D6A63" w:rsidRDefault="002071BF" w:rsidP="002071BF">
            <w:pPr>
              <w:pStyle w:val="StdBodyTextBold"/>
              <w:rPr>
                <w:rFonts w:cs="Arial"/>
              </w:rPr>
            </w:pPr>
            <w:r>
              <w:rPr>
                <w:rFonts w:cs="Arial"/>
              </w:rPr>
              <w:lastRenderedPageBreak/>
              <w:t>“</w:t>
            </w:r>
            <w:r w:rsidRPr="008D6A63">
              <w:rPr>
                <w:rFonts w:cs="Arial"/>
              </w:rPr>
              <w:t>Operational Service Commencement Date</w:t>
            </w:r>
            <w:r>
              <w:rPr>
                <w:rFonts w:cs="Arial"/>
              </w:rPr>
              <w:t>”</w:t>
            </w:r>
          </w:p>
        </w:tc>
        <w:tc>
          <w:tcPr>
            <w:tcW w:w="6803" w:type="dxa"/>
          </w:tcPr>
          <w:p w14:paraId="599D9113" w14:textId="77777777" w:rsidR="002071BF" w:rsidRPr="008D6A63" w:rsidRDefault="002071BF" w:rsidP="002071BF">
            <w:pPr>
              <w:pStyle w:val="StdBodyText"/>
              <w:rPr>
                <w:rFonts w:cs="Arial"/>
              </w:rPr>
            </w:pPr>
            <w:r w:rsidRPr="008D6A63">
              <w:rPr>
                <w:rFonts w:cs="Arial"/>
              </w:rPr>
              <w:t>in relation to an Operational Service, the later of:</w:t>
            </w:r>
          </w:p>
          <w:p w14:paraId="0CD35ED8" w14:textId="77777777" w:rsidR="002071BF" w:rsidRPr="008D6A63" w:rsidRDefault="002071BF" w:rsidP="002071BF">
            <w:pPr>
              <w:pStyle w:val="DefinitionList"/>
              <w:numPr>
                <w:ilvl w:val="0"/>
                <w:numId w:val="163"/>
              </w:numPr>
            </w:pPr>
            <w:r w:rsidRPr="008D6A63">
              <w:t xml:space="preserve">the date identified in the Operational Services Implementation Plan upon which the Operational Service is to commence; and </w:t>
            </w:r>
          </w:p>
          <w:p w14:paraId="23EA4F40" w14:textId="77777777" w:rsidR="002071BF" w:rsidRPr="008D6A63" w:rsidRDefault="002071BF" w:rsidP="002071BF">
            <w:pPr>
              <w:pStyle w:val="DefinitionList"/>
              <w:numPr>
                <w:ilvl w:val="0"/>
                <w:numId w:val="78"/>
              </w:numPr>
              <w:rPr>
                <w:rFonts w:cs="Arial"/>
              </w:rPr>
            </w:pPr>
            <w:r w:rsidRPr="008D6A63">
              <w:rPr>
                <w:rFonts w:cs="Arial"/>
              </w:rPr>
              <w:t xml:space="preserve">where the Implementation Plan states that the Supplier must have Achieved the relevant ATP Milestone before it can commence the provision of that Operational Service, the date upon which the Supplier Achieves the relevant ATP Milestone; </w:t>
            </w:r>
          </w:p>
        </w:tc>
      </w:tr>
      <w:tr w:rsidR="002071BF" w:rsidRPr="00F55457" w14:paraId="63B3FD06" w14:textId="77777777" w:rsidTr="0052486C">
        <w:tc>
          <w:tcPr>
            <w:tcW w:w="2835" w:type="dxa"/>
          </w:tcPr>
          <w:p w14:paraId="6320C7E0" w14:textId="77777777" w:rsidR="002071BF" w:rsidRPr="008D6A63" w:rsidRDefault="002071BF" w:rsidP="002071BF">
            <w:pPr>
              <w:pStyle w:val="StdBodyTextBold"/>
              <w:rPr>
                <w:rFonts w:cs="Arial"/>
              </w:rPr>
            </w:pPr>
            <w:r>
              <w:rPr>
                <w:rFonts w:cs="Arial"/>
              </w:rPr>
              <w:t>“</w:t>
            </w:r>
            <w:r w:rsidRPr="008D6A63">
              <w:rPr>
                <w:rFonts w:cs="Arial"/>
              </w:rPr>
              <w:t>Operational Services</w:t>
            </w:r>
            <w:r>
              <w:rPr>
                <w:rFonts w:cs="Arial"/>
              </w:rPr>
              <w:t>”</w:t>
            </w:r>
          </w:p>
        </w:tc>
        <w:tc>
          <w:tcPr>
            <w:tcW w:w="6803" w:type="dxa"/>
          </w:tcPr>
          <w:p w14:paraId="7BA0D262" w14:textId="77777777" w:rsidR="002071BF" w:rsidRPr="008D6A63" w:rsidRDefault="002071BF" w:rsidP="002071BF">
            <w:pPr>
              <w:pStyle w:val="StdBodyText"/>
              <w:rPr>
                <w:rFonts w:cs="Arial"/>
              </w:rPr>
            </w:pPr>
            <w:r w:rsidRPr="008D6A63">
              <w:rPr>
                <w:rFonts w:cs="Arial"/>
              </w:rPr>
              <w:t>the operational services described as such in the Services Description;</w:t>
            </w:r>
          </w:p>
        </w:tc>
      </w:tr>
      <w:tr w:rsidR="002071BF" w:rsidRPr="00F55457" w14:paraId="5B02591F" w14:textId="77777777" w:rsidTr="0052486C">
        <w:tc>
          <w:tcPr>
            <w:tcW w:w="2835" w:type="dxa"/>
          </w:tcPr>
          <w:p w14:paraId="0AFEC01A" w14:textId="77777777" w:rsidR="002071BF" w:rsidRPr="008D6A63" w:rsidRDefault="002071BF" w:rsidP="002071BF">
            <w:pPr>
              <w:pStyle w:val="StdBodyTextBold"/>
              <w:rPr>
                <w:rFonts w:cs="Arial"/>
              </w:rPr>
            </w:pPr>
            <w:r>
              <w:rPr>
                <w:rFonts w:cs="Arial"/>
              </w:rPr>
              <w:t>“</w:t>
            </w:r>
            <w:r w:rsidRPr="008D6A63">
              <w:rPr>
                <w:rFonts w:cs="Arial"/>
              </w:rPr>
              <w:t>Optional Services</w:t>
            </w:r>
            <w:r>
              <w:rPr>
                <w:rFonts w:cs="Arial"/>
              </w:rPr>
              <w:t>”</w:t>
            </w:r>
          </w:p>
        </w:tc>
        <w:tc>
          <w:tcPr>
            <w:tcW w:w="6803" w:type="dxa"/>
          </w:tcPr>
          <w:p w14:paraId="6A1C4EA7" w14:textId="6F6A0EFE" w:rsidR="002071BF" w:rsidRPr="008D6A63" w:rsidRDefault="002071BF" w:rsidP="002071BF">
            <w:pPr>
              <w:pStyle w:val="StdBodyText"/>
              <w:rPr>
                <w:rFonts w:cs="Arial"/>
              </w:rPr>
            </w:pPr>
            <w:r w:rsidRPr="008D6A63">
              <w:rPr>
                <w:rFonts w:cs="Arial"/>
              </w:rPr>
              <w:t>the services described as such in</w:t>
            </w:r>
            <w:r>
              <w:rPr>
                <w:rFonts w:cs="Arial"/>
              </w:rPr>
              <w:t xml:space="preserve"> </w:t>
            </w:r>
            <w:r>
              <w:rPr>
                <w:rFonts w:cs="Arial"/>
              </w:rPr>
              <w:fldChar w:fldCharType="begin"/>
            </w:r>
            <w:r>
              <w:rPr>
                <w:rFonts w:cs="Arial"/>
              </w:rPr>
              <w:instrText xml:space="preserve"> REF Schedule2 \h </w:instrText>
            </w:r>
            <w:r>
              <w:rPr>
                <w:rFonts w:cs="Arial"/>
              </w:rPr>
            </w:r>
            <w:r>
              <w:rPr>
                <w:rFonts w:cs="Arial"/>
              </w:rPr>
              <w:fldChar w:fldCharType="separate"/>
            </w:r>
            <w:r w:rsidR="007A1473" w:rsidRPr="005D0525">
              <w:t>Schedule</w:t>
            </w:r>
            <w:r w:rsidR="007A1473">
              <w:t> </w:t>
            </w:r>
            <w:r w:rsidR="007A1473" w:rsidRPr="005D0525">
              <w:t>2</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Services Description</w:t>
            </w:r>
            <w:r w:rsidRPr="00A22335">
              <w:rPr>
                <w:rFonts w:cs="Arial"/>
                <w:i/>
                <w:iCs/>
              </w:rPr>
              <w:fldChar w:fldCharType="end"/>
            </w:r>
            <w:r>
              <w:rPr>
                <w:rFonts w:cs="Arial"/>
              </w:rPr>
              <w:t>)</w:t>
            </w:r>
            <w:r w:rsidRPr="008D6A63">
              <w:rPr>
                <w:rFonts w:cs="Arial"/>
              </w:rPr>
              <w:t xml:space="preserve"> which are to be provided by the Supplier if required by the Authority in accordance with </w:t>
            </w:r>
            <w:bookmarkStart w:id="113" w:name="_9kMIH5YVtCIAABBHGCfUmGRH51C7ARLyBTAARKI"/>
            <w:r w:rsidRPr="008D6A63">
              <w:rPr>
                <w:rFonts w:cs="Arial"/>
              </w:rPr>
              <w:t xml:space="preserve">Clause </w:t>
            </w:r>
            <w:bookmarkEnd w:id="113"/>
            <w:r w:rsidRPr="008D6A63">
              <w:rPr>
                <w:rFonts w:cs="Arial"/>
              </w:rPr>
              <w:t>5.10 (</w:t>
            </w:r>
            <w:r w:rsidRPr="00214A89">
              <w:rPr>
                <w:rFonts w:cs="Arial"/>
                <w:i/>
                <w:iCs/>
              </w:rPr>
              <w:t>Optional Services</w:t>
            </w:r>
            <w:r w:rsidRPr="008D6A63">
              <w:rPr>
                <w:rFonts w:cs="Arial"/>
              </w:rPr>
              <w:t>);</w:t>
            </w:r>
          </w:p>
        </w:tc>
      </w:tr>
      <w:tr w:rsidR="002071BF" w:rsidRPr="00F55457" w14:paraId="50AC99D1" w14:textId="77777777" w:rsidTr="0052486C">
        <w:tc>
          <w:tcPr>
            <w:tcW w:w="2835" w:type="dxa"/>
          </w:tcPr>
          <w:p w14:paraId="0421EF27" w14:textId="77777777" w:rsidR="002071BF" w:rsidRPr="008D6A63" w:rsidRDefault="002071BF" w:rsidP="002071BF">
            <w:pPr>
              <w:pStyle w:val="StdBodyTextBold"/>
              <w:rPr>
                <w:rFonts w:cs="Arial"/>
              </w:rPr>
            </w:pPr>
            <w:r>
              <w:rPr>
                <w:rFonts w:cs="Arial"/>
              </w:rPr>
              <w:t>“</w:t>
            </w:r>
            <w:r w:rsidRPr="008D6A63">
              <w:rPr>
                <w:rFonts w:cs="Arial"/>
              </w:rPr>
              <w:t>Optional Services Implementation Plan</w:t>
            </w:r>
            <w:r>
              <w:rPr>
                <w:rFonts w:cs="Arial"/>
              </w:rPr>
              <w:t>”</w:t>
            </w:r>
          </w:p>
        </w:tc>
        <w:tc>
          <w:tcPr>
            <w:tcW w:w="6803" w:type="dxa"/>
          </w:tcPr>
          <w:p w14:paraId="24E06C6F" w14:textId="77777777" w:rsidR="002071BF" w:rsidRPr="008D6A63" w:rsidRDefault="002071BF" w:rsidP="002071BF">
            <w:pPr>
              <w:pStyle w:val="StdBodyText"/>
              <w:rPr>
                <w:rFonts w:cs="Arial"/>
              </w:rPr>
            </w:pPr>
            <w:r w:rsidRPr="008D6A63">
              <w:rPr>
                <w:rFonts w:cs="Arial"/>
              </w:rPr>
              <w:t>the implementation plan to effect the Optional Services agreed between the Parties prior to the Effective Date and, if not agreed prior to the Effective Date, to be developed by the Supplier and approved by the Authority;</w:t>
            </w:r>
          </w:p>
        </w:tc>
      </w:tr>
      <w:tr w:rsidR="002071BF" w:rsidRPr="00F55457" w14:paraId="6450C24C" w14:textId="77777777" w:rsidTr="0052486C">
        <w:tc>
          <w:tcPr>
            <w:tcW w:w="2835" w:type="dxa"/>
          </w:tcPr>
          <w:p w14:paraId="0895C94F" w14:textId="77777777" w:rsidR="002071BF" w:rsidRPr="008D6A63" w:rsidRDefault="002071BF" w:rsidP="002071BF">
            <w:pPr>
              <w:pStyle w:val="StdBodyTextBold"/>
              <w:rPr>
                <w:rFonts w:cs="Arial"/>
              </w:rPr>
            </w:pPr>
            <w:r>
              <w:rPr>
                <w:rFonts w:cs="Arial"/>
              </w:rPr>
              <w:t>“</w:t>
            </w:r>
            <w:r w:rsidRPr="008D6A63">
              <w:rPr>
                <w:rFonts w:cs="Arial"/>
              </w:rPr>
              <w:t>Other Supplier</w:t>
            </w:r>
            <w:r>
              <w:rPr>
                <w:rFonts w:cs="Arial"/>
              </w:rPr>
              <w:t>”</w:t>
            </w:r>
          </w:p>
        </w:tc>
        <w:tc>
          <w:tcPr>
            <w:tcW w:w="6803" w:type="dxa"/>
          </w:tcPr>
          <w:p w14:paraId="7558A221" w14:textId="77777777" w:rsidR="002071BF" w:rsidRPr="008D6A63" w:rsidRDefault="002071BF" w:rsidP="002071BF">
            <w:pPr>
              <w:pStyle w:val="StdBodyText"/>
              <w:rPr>
                <w:rFonts w:cs="Arial"/>
              </w:rPr>
            </w:pPr>
            <w:r w:rsidRPr="008D6A63">
              <w:rPr>
                <w:rFonts w:cs="Arial"/>
              </w:rPr>
              <w:t>any supplier to the Authority (other than the Supplier) which is notified to the Supplier from time to time;</w:t>
            </w:r>
          </w:p>
        </w:tc>
      </w:tr>
      <w:tr w:rsidR="002071BF" w:rsidRPr="00F55457" w14:paraId="3E978FAF" w14:textId="77777777" w:rsidTr="0052486C">
        <w:tc>
          <w:tcPr>
            <w:tcW w:w="2835" w:type="dxa"/>
          </w:tcPr>
          <w:p w14:paraId="093AD69F" w14:textId="77777777" w:rsidR="002071BF" w:rsidRPr="008D6A63" w:rsidRDefault="002071BF" w:rsidP="002071BF">
            <w:pPr>
              <w:pStyle w:val="StdBodyTextBold"/>
              <w:rPr>
                <w:rFonts w:cs="Arial"/>
              </w:rPr>
            </w:pPr>
            <w:r>
              <w:rPr>
                <w:rFonts w:cs="Arial"/>
              </w:rPr>
              <w:t>“</w:t>
            </w:r>
            <w:r w:rsidRPr="008D6A63">
              <w:rPr>
                <w:rFonts w:cs="Arial"/>
              </w:rPr>
              <w:t>Outline Implementation Plan</w:t>
            </w:r>
            <w:r>
              <w:rPr>
                <w:rFonts w:cs="Arial"/>
              </w:rPr>
              <w:t>”</w:t>
            </w:r>
          </w:p>
        </w:tc>
        <w:tc>
          <w:tcPr>
            <w:tcW w:w="6803" w:type="dxa"/>
          </w:tcPr>
          <w:p w14:paraId="314852A7" w14:textId="0EAC3EC9" w:rsidR="002071BF" w:rsidRPr="008D6A63" w:rsidRDefault="002071BF" w:rsidP="002071BF">
            <w:pPr>
              <w:pStyle w:val="StdBodyText"/>
              <w:rPr>
                <w:rFonts w:cs="Arial"/>
              </w:rPr>
            </w:pPr>
            <w:r w:rsidRPr="008D6A63">
              <w:rPr>
                <w:rFonts w:cs="Arial"/>
              </w:rPr>
              <w:t xml:space="preserve">the outline plan set out at Annex </w:t>
            </w:r>
            <w:r w:rsidRPr="008D6A63">
              <w:rPr>
                <w:rFonts w:cs="Arial"/>
              </w:rPr>
              <w:fldChar w:fldCharType="begin"/>
            </w:r>
            <w:r w:rsidRPr="008D6A63">
              <w:rPr>
                <w:rFonts w:cs="Arial"/>
              </w:rPr>
              <w:instrText xml:space="preserve"> REF ANNEX1_SCHEDULE13 \h </w:instrText>
            </w:r>
            <w:r w:rsidRPr="008D6A63">
              <w:rPr>
                <w:rFonts w:cs="Arial"/>
              </w:rPr>
            </w:r>
            <w:r w:rsidRPr="008D6A63">
              <w:rPr>
                <w:rFonts w:cs="Arial"/>
              </w:rPr>
              <w:fldChar w:fldCharType="separate"/>
            </w:r>
            <w:r w:rsidR="007A1473">
              <w:t>A</w:t>
            </w:r>
            <w:r w:rsidRPr="008D6A63">
              <w:rPr>
                <w:rFonts w:cs="Arial"/>
              </w:rPr>
              <w:fldChar w:fldCharType="end"/>
            </w:r>
            <w:r w:rsidRPr="008D6A63">
              <w:rPr>
                <w:rFonts w:cs="Arial"/>
              </w:rPr>
              <w:t xml:space="preserve"> of </w:t>
            </w:r>
            <w:r>
              <w:rPr>
                <w:rFonts w:cs="Arial"/>
              </w:rPr>
              <w:fldChar w:fldCharType="begin"/>
            </w:r>
            <w:r>
              <w:rPr>
                <w:rFonts w:cs="Arial"/>
              </w:rPr>
              <w:instrText xml:space="preserve"> REF Schedule13 \h </w:instrText>
            </w:r>
            <w:r>
              <w:rPr>
                <w:rFonts w:cs="Arial"/>
              </w:rPr>
            </w:r>
            <w:r>
              <w:rPr>
                <w:rFonts w:cs="Arial"/>
              </w:rPr>
              <w:fldChar w:fldCharType="separate"/>
            </w:r>
            <w:r w:rsidR="007A1473" w:rsidRPr="005D0525">
              <w:t>Schedule</w:t>
            </w:r>
            <w:r w:rsidR="007A1473">
              <w:t> </w:t>
            </w:r>
            <w:r w:rsidR="007A1473" w:rsidRPr="005D0525">
              <w:t>13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Schedule13Heading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Implementation Plan</w:t>
            </w:r>
            <w:r w:rsidRPr="00A22335">
              <w:rPr>
                <w:rFonts w:cs="Arial"/>
                <w:i/>
                <w:iCs/>
              </w:rPr>
              <w:fldChar w:fldCharType="end"/>
            </w:r>
            <w:r>
              <w:rPr>
                <w:rFonts w:cs="Arial"/>
              </w:rPr>
              <w:t>)</w:t>
            </w:r>
            <w:r w:rsidRPr="008D6A63">
              <w:rPr>
                <w:rFonts w:cs="Arial"/>
              </w:rPr>
              <w:t>;</w:t>
            </w:r>
          </w:p>
        </w:tc>
      </w:tr>
      <w:tr w:rsidR="002071BF" w:rsidRPr="00F55457" w14:paraId="10C6F78D" w14:textId="77777777" w:rsidTr="0052486C">
        <w:tc>
          <w:tcPr>
            <w:tcW w:w="2835" w:type="dxa"/>
          </w:tcPr>
          <w:p w14:paraId="576FFD32" w14:textId="77777777" w:rsidR="002071BF" w:rsidRPr="008D6A63" w:rsidRDefault="002071BF" w:rsidP="002071BF">
            <w:pPr>
              <w:pStyle w:val="StdBodyTextBold"/>
              <w:rPr>
                <w:rFonts w:cs="Arial"/>
              </w:rPr>
            </w:pPr>
            <w:r>
              <w:rPr>
                <w:rFonts w:cs="Arial"/>
              </w:rPr>
              <w:t>“</w:t>
            </w:r>
            <w:r w:rsidRPr="008D6A63">
              <w:rPr>
                <w:rFonts w:cs="Arial"/>
              </w:rPr>
              <w:t>Parent Undertaking</w:t>
            </w:r>
            <w:r>
              <w:rPr>
                <w:rFonts w:cs="Arial"/>
              </w:rPr>
              <w:t>”</w:t>
            </w:r>
          </w:p>
        </w:tc>
        <w:tc>
          <w:tcPr>
            <w:tcW w:w="6803" w:type="dxa"/>
          </w:tcPr>
          <w:p w14:paraId="7E515215" w14:textId="77777777" w:rsidR="002071BF" w:rsidRPr="008D6A63" w:rsidRDefault="002071BF" w:rsidP="002071BF">
            <w:pPr>
              <w:pStyle w:val="StdBodyText"/>
              <w:rPr>
                <w:rFonts w:cs="Arial"/>
              </w:rPr>
            </w:pPr>
            <w:r w:rsidRPr="008D6A63">
              <w:rPr>
                <w:rFonts w:cs="Arial"/>
              </w:rPr>
              <w:t xml:space="preserve">has the meaning set out in </w:t>
            </w:r>
            <w:bookmarkStart w:id="114" w:name="_9kR3WTr277DHC2rcszv1FHNP8z58uQVCE32B3El"/>
            <w:r w:rsidRPr="008D6A63">
              <w:rPr>
                <w:rFonts w:cs="Arial"/>
              </w:rPr>
              <w:t>section 1162 of the Companies Act 2006</w:t>
            </w:r>
            <w:bookmarkEnd w:id="114"/>
            <w:r w:rsidRPr="008D6A63">
              <w:rPr>
                <w:rFonts w:cs="Arial"/>
              </w:rPr>
              <w:t>;</w:t>
            </w:r>
          </w:p>
        </w:tc>
      </w:tr>
      <w:tr w:rsidR="002071BF" w:rsidRPr="00F55457" w14:paraId="6E3E6B6D" w14:textId="77777777" w:rsidTr="0052486C">
        <w:tc>
          <w:tcPr>
            <w:tcW w:w="2835" w:type="dxa"/>
          </w:tcPr>
          <w:p w14:paraId="3C13A2E1" w14:textId="77777777" w:rsidR="002071BF" w:rsidRPr="008D6A63" w:rsidRDefault="002071BF" w:rsidP="002071BF">
            <w:pPr>
              <w:pStyle w:val="StdBodyTextBold"/>
              <w:rPr>
                <w:rFonts w:cs="Arial"/>
              </w:rPr>
            </w:pPr>
            <w:r>
              <w:rPr>
                <w:rFonts w:cs="Arial"/>
              </w:rPr>
              <w:t>“</w:t>
            </w:r>
            <w:r w:rsidRPr="008D6A63">
              <w:rPr>
                <w:rFonts w:cs="Arial"/>
              </w:rPr>
              <w:t>Partial Termination</w:t>
            </w:r>
            <w:r>
              <w:rPr>
                <w:rFonts w:cs="Arial"/>
              </w:rPr>
              <w:t>”</w:t>
            </w:r>
          </w:p>
        </w:tc>
        <w:tc>
          <w:tcPr>
            <w:tcW w:w="6803" w:type="dxa"/>
          </w:tcPr>
          <w:p w14:paraId="585C7697" w14:textId="77777777" w:rsidR="002071BF" w:rsidRPr="008D6A63" w:rsidRDefault="002071BF" w:rsidP="002071BF">
            <w:pPr>
              <w:pStyle w:val="StdBodyText"/>
              <w:rPr>
                <w:rFonts w:cs="Arial"/>
              </w:rPr>
            </w:pPr>
            <w:r w:rsidRPr="008D6A63">
              <w:rPr>
                <w:rFonts w:cs="Arial"/>
              </w:rPr>
              <w:t xml:space="preserve">the partial termination of this Contract to the extent that it relates to the provision of any part of the Services as further provided for in </w:t>
            </w:r>
            <w:bookmarkStart w:id="115" w:name="_9kMIH5YVtCIAAJNJGGpiiuE4q16wwANJKBAJBD6"/>
            <w:r w:rsidRPr="008D6A63">
              <w:rPr>
                <w:rFonts w:cs="Arial"/>
              </w:rPr>
              <w:t xml:space="preserve">Clause </w:t>
            </w:r>
            <w:bookmarkEnd w:id="115"/>
            <w:r w:rsidRPr="008D6A63">
              <w:rPr>
                <w:rFonts w:cs="Arial"/>
              </w:rPr>
              <w:t>31.2(b) (</w:t>
            </w:r>
            <w:r w:rsidRPr="00214A89">
              <w:rPr>
                <w:rFonts w:cs="Arial"/>
                <w:i/>
                <w:iCs/>
              </w:rPr>
              <w:t>Termination by the Authority</w:t>
            </w:r>
            <w:r w:rsidRPr="008D6A63">
              <w:rPr>
                <w:rFonts w:cs="Arial"/>
              </w:rPr>
              <w:t xml:space="preserve">) or </w:t>
            </w:r>
            <w:r w:rsidRPr="008D6A63">
              <w:rPr>
                <w:rFonts w:cs="Arial"/>
              </w:rPr>
              <w:lastRenderedPageBreak/>
              <w:t>31.3(b) (</w:t>
            </w:r>
            <w:r w:rsidRPr="00214A89">
              <w:rPr>
                <w:rFonts w:cs="Arial"/>
                <w:i/>
                <w:iCs/>
              </w:rPr>
              <w:t>Termination by the Supplier</w:t>
            </w:r>
            <w:r w:rsidRPr="008D6A63">
              <w:rPr>
                <w:rFonts w:cs="Arial"/>
              </w:rPr>
              <w:t>) or otherwise by mutual agreement by the Parties;</w:t>
            </w:r>
          </w:p>
        </w:tc>
      </w:tr>
      <w:tr w:rsidR="002071BF" w:rsidRPr="00F55457" w14:paraId="5DEC59D7" w14:textId="77777777" w:rsidTr="0052486C">
        <w:tc>
          <w:tcPr>
            <w:tcW w:w="2835" w:type="dxa"/>
          </w:tcPr>
          <w:p w14:paraId="6BAC1601" w14:textId="77777777" w:rsidR="002071BF" w:rsidRPr="008D6A63" w:rsidRDefault="002071BF" w:rsidP="002071BF">
            <w:pPr>
              <w:pStyle w:val="StdBodyText"/>
              <w:rPr>
                <w:rFonts w:cs="Arial"/>
              </w:rPr>
            </w:pPr>
            <w:r>
              <w:rPr>
                <w:rStyle w:val="StdBodyTextBoldChar"/>
                <w:rFonts w:cs="Arial"/>
              </w:rPr>
              <w:lastRenderedPageBreak/>
              <w:t>“</w:t>
            </w:r>
            <w:r w:rsidRPr="008D6A63">
              <w:rPr>
                <w:rStyle w:val="StdBodyTextBoldChar"/>
                <w:rFonts w:cs="Arial"/>
              </w:rPr>
              <w:t>Parties</w:t>
            </w:r>
            <w:r>
              <w:rPr>
                <w:rStyle w:val="StdBodyTextBoldChar"/>
                <w:rFonts w:cs="Arial"/>
              </w:rPr>
              <w:t>”</w:t>
            </w:r>
            <w:r w:rsidRPr="008D6A63">
              <w:rPr>
                <w:rFonts w:cs="Arial"/>
              </w:rPr>
              <w:t xml:space="preserve"> and </w:t>
            </w:r>
            <w:r>
              <w:rPr>
                <w:rStyle w:val="StdBodyTextBoldChar"/>
                <w:rFonts w:cs="Arial"/>
              </w:rPr>
              <w:t>“</w:t>
            </w:r>
            <w:r w:rsidRPr="008D6A63">
              <w:rPr>
                <w:rStyle w:val="StdBodyTextBoldChar"/>
                <w:rFonts w:cs="Arial"/>
              </w:rPr>
              <w:t>Party</w:t>
            </w:r>
            <w:r>
              <w:rPr>
                <w:rStyle w:val="StdBodyTextBoldChar"/>
                <w:rFonts w:cs="Arial"/>
              </w:rPr>
              <w:t>”</w:t>
            </w:r>
          </w:p>
        </w:tc>
        <w:tc>
          <w:tcPr>
            <w:tcW w:w="6803" w:type="dxa"/>
          </w:tcPr>
          <w:p w14:paraId="43D5034C" w14:textId="77777777" w:rsidR="002071BF" w:rsidRPr="008D6A63" w:rsidRDefault="002071BF" w:rsidP="002071BF">
            <w:pPr>
              <w:pStyle w:val="StdBodyText"/>
              <w:rPr>
                <w:rFonts w:cs="Arial"/>
              </w:rPr>
            </w:pPr>
            <w:r w:rsidRPr="008D6A63">
              <w:rPr>
                <w:rFonts w:cs="Arial"/>
              </w:rPr>
              <w:t>have the meanings respectively given on page 1 of this Contract;</w:t>
            </w:r>
          </w:p>
        </w:tc>
      </w:tr>
      <w:tr w:rsidR="002071BF" w:rsidRPr="00F55457" w14:paraId="3A044872" w14:textId="77777777" w:rsidTr="0052486C">
        <w:tc>
          <w:tcPr>
            <w:tcW w:w="2835" w:type="dxa"/>
          </w:tcPr>
          <w:p w14:paraId="4F3F8823" w14:textId="77777777" w:rsidR="002071BF" w:rsidRPr="008D6A63" w:rsidRDefault="002071BF" w:rsidP="002071BF">
            <w:pPr>
              <w:pStyle w:val="StdBodyTextBold"/>
              <w:rPr>
                <w:rStyle w:val="StdBodyTextBoldChar"/>
                <w:rFonts w:cs="Arial"/>
                <w:b/>
              </w:rPr>
            </w:pPr>
            <w:r>
              <w:rPr>
                <w:rFonts w:cs="Arial"/>
              </w:rPr>
              <w:t>“</w:t>
            </w:r>
            <w:r w:rsidRPr="008D6A63">
              <w:rPr>
                <w:rFonts w:cs="Arial"/>
              </w:rPr>
              <w:t>Performance Failure</w:t>
            </w:r>
            <w:r>
              <w:rPr>
                <w:rFonts w:cs="Arial"/>
              </w:rPr>
              <w:t>”</w:t>
            </w:r>
          </w:p>
        </w:tc>
        <w:tc>
          <w:tcPr>
            <w:tcW w:w="6803" w:type="dxa"/>
          </w:tcPr>
          <w:p w14:paraId="53568A4B" w14:textId="77777777" w:rsidR="002071BF" w:rsidRPr="008D6A63" w:rsidRDefault="002071BF" w:rsidP="002071BF">
            <w:pPr>
              <w:pStyle w:val="StdBodyText"/>
              <w:rPr>
                <w:rFonts w:cs="Arial"/>
              </w:rPr>
            </w:pPr>
            <w:r w:rsidRPr="008D6A63">
              <w:rPr>
                <w:rFonts w:cs="Arial"/>
              </w:rPr>
              <w:t>a KPI Failure or a PI Failure;</w:t>
            </w:r>
          </w:p>
        </w:tc>
      </w:tr>
      <w:tr w:rsidR="002071BF" w:rsidRPr="00F55457" w14:paraId="7E19C298" w14:textId="77777777" w:rsidTr="0052486C">
        <w:tc>
          <w:tcPr>
            <w:tcW w:w="2835" w:type="dxa"/>
          </w:tcPr>
          <w:p w14:paraId="515C1827" w14:textId="77777777" w:rsidR="002071BF" w:rsidRPr="008D6A63" w:rsidRDefault="002071BF" w:rsidP="002071BF">
            <w:pPr>
              <w:pStyle w:val="StdBodyTextBold"/>
              <w:rPr>
                <w:rFonts w:cs="Arial"/>
              </w:rPr>
            </w:pPr>
            <w:r>
              <w:rPr>
                <w:rFonts w:cs="Arial"/>
              </w:rPr>
              <w:t>“</w:t>
            </w:r>
            <w:r w:rsidRPr="008D6A63">
              <w:rPr>
                <w:rFonts w:cs="Arial"/>
              </w:rPr>
              <w:t>Performance Indicators</w:t>
            </w:r>
            <w:r>
              <w:rPr>
                <w:rFonts w:cs="Arial"/>
              </w:rPr>
              <w:t>”</w:t>
            </w:r>
          </w:p>
        </w:tc>
        <w:tc>
          <w:tcPr>
            <w:tcW w:w="6803" w:type="dxa"/>
          </w:tcPr>
          <w:p w14:paraId="551768BB" w14:textId="77777777" w:rsidR="002071BF" w:rsidRPr="008D6A63" w:rsidRDefault="002071BF" w:rsidP="002071BF">
            <w:pPr>
              <w:pStyle w:val="StdBodyText"/>
              <w:rPr>
                <w:rFonts w:cs="Arial"/>
              </w:rPr>
            </w:pPr>
            <w:r w:rsidRPr="008D6A63">
              <w:rPr>
                <w:rFonts w:cs="Arial"/>
              </w:rPr>
              <w:t>the Key Performance Indicators and the Subsidiary Performance Indicators;</w:t>
            </w:r>
          </w:p>
        </w:tc>
      </w:tr>
      <w:tr w:rsidR="002071BF" w:rsidRPr="00F55457" w14:paraId="04AA5B10" w14:textId="77777777" w:rsidTr="0052486C">
        <w:tc>
          <w:tcPr>
            <w:tcW w:w="2835" w:type="dxa"/>
          </w:tcPr>
          <w:p w14:paraId="3D4B3A4E" w14:textId="77777777" w:rsidR="002071BF" w:rsidRPr="008D6A63" w:rsidRDefault="002071BF" w:rsidP="002071BF">
            <w:pPr>
              <w:pStyle w:val="StdBodyTextBold"/>
              <w:rPr>
                <w:rFonts w:cs="Arial"/>
              </w:rPr>
            </w:pPr>
            <w:r>
              <w:rPr>
                <w:rFonts w:cs="Arial"/>
              </w:rPr>
              <w:t>“</w:t>
            </w:r>
            <w:r w:rsidRPr="008D6A63">
              <w:rPr>
                <w:rFonts w:cs="Arial"/>
              </w:rPr>
              <w:t xml:space="preserve">Permitted </w:t>
            </w:r>
            <w:bookmarkStart w:id="116" w:name="_9kMH0H6ZWu5AAGNKbEhv7zursvn"/>
            <w:r w:rsidRPr="008D6A63">
              <w:rPr>
                <w:rFonts w:cs="Arial"/>
              </w:rPr>
              <w:t>Maintenance</w:t>
            </w:r>
            <w:bookmarkEnd w:id="116"/>
            <w:r>
              <w:rPr>
                <w:rFonts w:cs="Arial"/>
              </w:rPr>
              <w:t>”</w:t>
            </w:r>
          </w:p>
        </w:tc>
        <w:tc>
          <w:tcPr>
            <w:tcW w:w="6803" w:type="dxa"/>
          </w:tcPr>
          <w:p w14:paraId="0A088A32" w14:textId="77777777" w:rsidR="002071BF" w:rsidRPr="008D6A63" w:rsidRDefault="002071BF" w:rsidP="002071BF">
            <w:pPr>
              <w:pStyle w:val="StdBodyText"/>
              <w:rPr>
                <w:rFonts w:cs="Arial"/>
              </w:rPr>
            </w:pPr>
            <w:r w:rsidRPr="008D6A63">
              <w:rPr>
                <w:rFonts w:cs="Arial"/>
              </w:rPr>
              <w:t xml:space="preserve">has the meaning given in </w:t>
            </w:r>
            <w:bookmarkStart w:id="117" w:name="_9kMHG5YVtCJB9ACMNiTlXiC85zt3I9sx918BvBG"/>
            <w:bookmarkStart w:id="118" w:name="_9kMIH5YVtCIA9AFPNiTlXiC85zt3I9sx918BvBG"/>
            <w:bookmarkStart w:id="119" w:name="_9kMHG5YVt4AAFPIJNiTlXiC85zt3I9sx918BvBG"/>
            <w:r w:rsidRPr="008D6A63">
              <w:rPr>
                <w:rFonts w:cs="Arial"/>
              </w:rPr>
              <w:t xml:space="preserve">Clause </w:t>
            </w:r>
            <w:bookmarkEnd w:id="117"/>
            <w:bookmarkEnd w:id="118"/>
            <w:bookmarkEnd w:id="119"/>
            <w:r w:rsidRPr="008D6A63">
              <w:rPr>
                <w:rFonts w:cs="Arial"/>
              </w:rPr>
              <w:t>9.4 (</w:t>
            </w:r>
            <w:bookmarkStart w:id="120" w:name="_9kMH1I6ZWu5AAGNKbEhv7zursvn"/>
            <w:r w:rsidRPr="00214A89">
              <w:rPr>
                <w:rFonts w:cs="Arial"/>
                <w:i/>
                <w:iCs/>
              </w:rPr>
              <w:t>Maintenance</w:t>
            </w:r>
            <w:bookmarkEnd w:id="120"/>
            <w:r w:rsidRPr="008D6A63">
              <w:rPr>
                <w:rFonts w:cs="Arial"/>
              </w:rPr>
              <w:t>);</w:t>
            </w:r>
          </w:p>
        </w:tc>
      </w:tr>
      <w:tr w:rsidR="002071BF" w:rsidRPr="00F55457" w14:paraId="658801E0" w14:textId="77777777" w:rsidTr="0052486C">
        <w:tc>
          <w:tcPr>
            <w:tcW w:w="2835" w:type="dxa"/>
          </w:tcPr>
          <w:p w14:paraId="16741F73" w14:textId="77777777" w:rsidR="002071BF" w:rsidRPr="008D6A63" w:rsidRDefault="002071BF" w:rsidP="002071BF">
            <w:pPr>
              <w:pStyle w:val="StdBodyTextBold"/>
              <w:rPr>
                <w:rFonts w:cs="Arial"/>
              </w:rPr>
            </w:pPr>
            <w:r>
              <w:rPr>
                <w:rFonts w:cs="Arial"/>
              </w:rPr>
              <w:t>“</w:t>
            </w:r>
            <w:r w:rsidRPr="008D6A63">
              <w:rPr>
                <w:rFonts w:cs="Arial"/>
              </w:rPr>
              <w:t>Performance Monitoring Report</w:t>
            </w:r>
            <w:r>
              <w:rPr>
                <w:rFonts w:cs="Arial"/>
              </w:rPr>
              <w:t>”</w:t>
            </w:r>
          </w:p>
        </w:tc>
        <w:tc>
          <w:tcPr>
            <w:tcW w:w="6803" w:type="dxa"/>
          </w:tcPr>
          <w:p w14:paraId="7FE73FD0" w14:textId="1790387D" w:rsidR="002071BF" w:rsidRPr="008D6A63" w:rsidRDefault="002071BF" w:rsidP="002071BF">
            <w:pPr>
              <w:pStyle w:val="StdBodyText"/>
              <w:rPr>
                <w:rFonts w:cs="Arial"/>
              </w:rPr>
            </w:pPr>
            <w:r w:rsidRPr="008D6A63">
              <w:rPr>
                <w:rFonts w:cs="Arial"/>
              </w:rPr>
              <w:t xml:space="preserve">has the meaning given in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8D6A63">
              <w:rPr>
                <w:rFonts w:cs="Arial"/>
              </w:rPr>
              <w:t>;</w:t>
            </w:r>
          </w:p>
        </w:tc>
      </w:tr>
      <w:tr w:rsidR="002071BF" w:rsidRPr="00F55457" w14:paraId="2FEB2C72" w14:textId="77777777" w:rsidTr="0052486C">
        <w:tc>
          <w:tcPr>
            <w:tcW w:w="2835" w:type="dxa"/>
          </w:tcPr>
          <w:p w14:paraId="2DBCDD32" w14:textId="77777777" w:rsidR="002071BF" w:rsidRPr="008D6A63" w:rsidRDefault="002071BF" w:rsidP="002071BF">
            <w:pPr>
              <w:pStyle w:val="StdBodyTextBold"/>
              <w:rPr>
                <w:rFonts w:cs="Arial"/>
              </w:rPr>
            </w:pPr>
            <w:r>
              <w:rPr>
                <w:rFonts w:cs="Arial"/>
              </w:rPr>
              <w:t>“</w:t>
            </w:r>
            <w:r w:rsidRPr="008D6A63">
              <w:rPr>
                <w:rFonts w:cs="Arial"/>
              </w:rPr>
              <w:t>Personal Data</w:t>
            </w:r>
            <w:r>
              <w:rPr>
                <w:rFonts w:cs="Arial"/>
              </w:rPr>
              <w:t>”</w:t>
            </w:r>
          </w:p>
        </w:tc>
        <w:tc>
          <w:tcPr>
            <w:tcW w:w="6803" w:type="dxa"/>
          </w:tcPr>
          <w:p w14:paraId="417E9371" w14:textId="77777777" w:rsidR="002071BF" w:rsidRPr="008D6A63" w:rsidRDefault="002071BF" w:rsidP="002071BF">
            <w:pPr>
              <w:pStyle w:val="StdBodyText"/>
              <w:rPr>
                <w:rFonts w:cs="Arial"/>
              </w:rPr>
            </w:pPr>
            <w:r w:rsidRPr="008D6A63">
              <w:rPr>
                <w:rFonts w:cs="Arial"/>
              </w:rPr>
              <w:t>has the meaning given in the UK GDPR or the EU GDPR as the context requires;</w:t>
            </w:r>
          </w:p>
        </w:tc>
      </w:tr>
      <w:tr w:rsidR="002071BF" w:rsidRPr="00F55457" w14:paraId="1464E1CE" w14:textId="77777777" w:rsidTr="0052486C">
        <w:tc>
          <w:tcPr>
            <w:tcW w:w="2835" w:type="dxa"/>
          </w:tcPr>
          <w:p w14:paraId="6C14D572" w14:textId="77777777" w:rsidR="002071BF" w:rsidRPr="008D6A63" w:rsidRDefault="002071BF" w:rsidP="002071BF">
            <w:pPr>
              <w:pStyle w:val="StdBodyTextBold"/>
              <w:rPr>
                <w:rFonts w:cs="Arial"/>
              </w:rPr>
            </w:pPr>
            <w:r>
              <w:rPr>
                <w:rFonts w:cs="Arial"/>
              </w:rPr>
              <w:t>“Data Loss Event”</w:t>
            </w:r>
          </w:p>
        </w:tc>
        <w:tc>
          <w:tcPr>
            <w:tcW w:w="6803" w:type="dxa"/>
          </w:tcPr>
          <w:p w14:paraId="764D73EA" w14:textId="77777777" w:rsidR="002071BF" w:rsidRPr="008D6A63" w:rsidRDefault="002071BF" w:rsidP="002071BF">
            <w:pPr>
              <w:pStyle w:val="StdBodyText"/>
              <w:rPr>
                <w:rFonts w:cs="Arial"/>
              </w:rPr>
            </w:pPr>
            <w:r w:rsidRPr="008D6A63">
              <w:rPr>
                <w:rFonts w:cs="Arial"/>
              </w:rPr>
              <w:t>has the meaning given in the UK GDPR or the EU GDPR as the context requires;</w:t>
            </w:r>
          </w:p>
        </w:tc>
      </w:tr>
      <w:tr w:rsidR="002071BF" w:rsidRPr="00F55457" w14:paraId="560028A6" w14:textId="77777777" w:rsidTr="0052486C">
        <w:tc>
          <w:tcPr>
            <w:tcW w:w="2835" w:type="dxa"/>
          </w:tcPr>
          <w:p w14:paraId="7D3750CF" w14:textId="77777777" w:rsidR="002071BF" w:rsidRPr="008D6A63" w:rsidRDefault="002071BF" w:rsidP="002071BF">
            <w:pPr>
              <w:pStyle w:val="StdBodyTextBold"/>
              <w:rPr>
                <w:rFonts w:cs="Arial"/>
              </w:rPr>
            </w:pPr>
            <w:r>
              <w:rPr>
                <w:rFonts w:cs="Arial"/>
              </w:rPr>
              <w:t>“</w:t>
            </w:r>
            <w:r w:rsidRPr="008D6A63">
              <w:rPr>
                <w:rFonts w:cs="Arial"/>
              </w:rPr>
              <w:t>PI Failure</w:t>
            </w:r>
            <w:r>
              <w:rPr>
                <w:rFonts w:cs="Arial"/>
              </w:rPr>
              <w:t>”</w:t>
            </w:r>
          </w:p>
        </w:tc>
        <w:tc>
          <w:tcPr>
            <w:tcW w:w="6803" w:type="dxa"/>
          </w:tcPr>
          <w:p w14:paraId="4E23FF26" w14:textId="77777777" w:rsidR="002071BF" w:rsidRPr="008D6A63" w:rsidRDefault="002071BF" w:rsidP="002071BF">
            <w:pPr>
              <w:pStyle w:val="StdBodyText"/>
              <w:rPr>
                <w:rFonts w:cs="Arial"/>
              </w:rPr>
            </w:pPr>
            <w:r w:rsidRPr="008D6A63">
              <w:rPr>
                <w:rFonts w:cs="Arial"/>
              </w:rPr>
              <w:t>a failure to meet the Target Performance Level in respect of a Subsidiary Performance Indicator;</w:t>
            </w:r>
          </w:p>
        </w:tc>
      </w:tr>
      <w:tr w:rsidR="002071BF" w:rsidRPr="00F55457" w14:paraId="4EC4FC9A" w14:textId="77777777" w:rsidTr="0052486C">
        <w:tc>
          <w:tcPr>
            <w:tcW w:w="2835" w:type="dxa"/>
          </w:tcPr>
          <w:p w14:paraId="5F244BF5" w14:textId="77777777" w:rsidR="002071BF" w:rsidRPr="008D6A63" w:rsidRDefault="002071BF" w:rsidP="002071BF">
            <w:pPr>
              <w:pStyle w:val="StdBodyTextBold"/>
              <w:rPr>
                <w:rFonts w:cs="Arial"/>
              </w:rPr>
            </w:pPr>
            <w:r>
              <w:rPr>
                <w:rFonts w:cs="Arial"/>
              </w:rPr>
              <w:t>“</w:t>
            </w:r>
            <w:r w:rsidRPr="008D6A63">
              <w:rPr>
                <w:rFonts w:cs="Arial"/>
              </w:rPr>
              <w:t>PI Service Threshold</w:t>
            </w:r>
            <w:r>
              <w:rPr>
                <w:rFonts w:cs="Arial"/>
              </w:rPr>
              <w:t>”</w:t>
            </w:r>
          </w:p>
        </w:tc>
        <w:tc>
          <w:tcPr>
            <w:tcW w:w="6803" w:type="dxa"/>
          </w:tcPr>
          <w:p w14:paraId="0E82E62D" w14:textId="0DD14B07" w:rsidR="002071BF" w:rsidRPr="008D6A63" w:rsidRDefault="002071BF" w:rsidP="002071BF">
            <w:pPr>
              <w:pStyle w:val="StdBodyText"/>
              <w:rPr>
                <w:rFonts w:cs="Arial"/>
              </w:rPr>
            </w:pPr>
            <w:r w:rsidRPr="008D6A63">
              <w:rPr>
                <w:rFonts w:cs="Arial"/>
              </w:rPr>
              <w:t xml:space="preserve">shall be as set out against the relevant Subsidiary Performance Indicator in </w:t>
            </w:r>
            <w:bookmarkStart w:id="121" w:name="_9kR3WTr2CC56EiIXjn5"/>
            <w:r w:rsidRPr="008D6A63">
              <w:rPr>
                <w:rFonts w:cs="Arial"/>
              </w:rPr>
              <w:t>Table 2</w:t>
            </w:r>
            <w:bookmarkEnd w:id="121"/>
            <w:r w:rsidRPr="008D6A63">
              <w:rPr>
                <w:rFonts w:cs="Arial"/>
              </w:rPr>
              <w:t xml:space="preserve"> in </w:t>
            </w:r>
            <w:r>
              <w:rPr>
                <w:rFonts w:cs="Arial"/>
              </w:rPr>
              <w:t>Part A</w:t>
            </w:r>
            <w:r w:rsidRPr="008D6A63">
              <w:rPr>
                <w:rFonts w:cs="Arial"/>
              </w:rPr>
              <w:t xml:space="preserve"> of </w:t>
            </w:r>
            <w:r>
              <w:rPr>
                <w:rFonts w:cs="Arial"/>
              </w:rPr>
              <w:t>Annex 1</w:t>
            </w:r>
            <w:r w:rsidRPr="008D6A63">
              <w:rPr>
                <w:rFonts w:cs="Arial"/>
              </w:rPr>
              <w:t xml:space="preserve"> of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8D6A63">
              <w:rPr>
                <w:rFonts w:cs="Arial"/>
              </w:rPr>
              <w:t>;</w:t>
            </w:r>
          </w:p>
        </w:tc>
      </w:tr>
      <w:tr w:rsidR="002071BF" w:rsidRPr="00F55457" w14:paraId="6A7F1B07" w14:textId="77777777" w:rsidTr="0052486C">
        <w:tc>
          <w:tcPr>
            <w:tcW w:w="2835" w:type="dxa"/>
          </w:tcPr>
          <w:p w14:paraId="658C7D52" w14:textId="400BA30E" w:rsidR="002071BF" w:rsidRDefault="002071BF" w:rsidP="002071BF">
            <w:pPr>
              <w:pStyle w:val="StdBodyTextBold"/>
              <w:rPr>
                <w:rFonts w:cs="Arial"/>
              </w:rPr>
            </w:pPr>
            <w:r>
              <w:rPr>
                <w:rFonts w:cs="Arial"/>
              </w:rPr>
              <w:t>"Platform Customer"</w:t>
            </w:r>
          </w:p>
        </w:tc>
        <w:tc>
          <w:tcPr>
            <w:tcW w:w="6803" w:type="dxa"/>
          </w:tcPr>
          <w:p w14:paraId="577B3FF3" w14:textId="0E35CE8E" w:rsidR="002071BF" w:rsidRDefault="002071BF" w:rsidP="002071BF">
            <w:pPr>
              <w:pStyle w:val="StdBodyText"/>
              <w:rPr>
                <w:rFonts w:cs="Arial"/>
              </w:rPr>
            </w:pPr>
            <w:r>
              <w:rPr>
                <w:rFonts w:cs="Arial"/>
              </w:rPr>
              <w:t>means any of following bodies that use the Civil Service Jobs platform (as it may be renamed or rebranded from time to time) at any time or from time to time:</w:t>
            </w:r>
          </w:p>
          <w:p w14:paraId="3DD4AB0E" w14:textId="77777777" w:rsidR="002071BF" w:rsidRDefault="002071BF" w:rsidP="002071BF">
            <w:pPr>
              <w:pStyle w:val="Numbered111a"/>
              <w:tabs>
                <w:tab w:val="clear" w:pos="2520"/>
                <w:tab w:val="num" w:pos="684"/>
              </w:tabs>
              <w:ind w:left="684" w:hanging="709"/>
            </w:pPr>
            <w:r w:rsidRPr="002428B7">
              <w:t>Ministerial Government Departments;</w:t>
            </w:r>
          </w:p>
          <w:p w14:paraId="277C3DEE" w14:textId="77777777" w:rsidR="002071BF" w:rsidRDefault="002071BF" w:rsidP="002071BF">
            <w:pPr>
              <w:pStyle w:val="Numbered111a"/>
              <w:tabs>
                <w:tab w:val="clear" w:pos="2520"/>
                <w:tab w:val="num" w:pos="684"/>
              </w:tabs>
              <w:ind w:left="684" w:hanging="709"/>
            </w:pPr>
            <w:r w:rsidRPr="002428B7">
              <w:t>Non-Ministerial Government Departments,</w:t>
            </w:r>
          </w:p>
          <w:p w14:paraId="772DAE97" w14:textId="77777777" w:rsidR="002071BF" w:rsidRDefault="002071BF" w:rsidP="002071BF">
            <w:pPr>
              <w:pStyle w:val="Numbered111a"/>
              <w:tabs>
                <w:tab w:val="clear" w:pos="2520"/>
                <w:tab w:val="num" w:pos="684"/>
              </w:tabs>
              <w:ind w:left="684" w:hanging="709"/>
            </w:pPr>
            <w:r w:rsidRPr="002428B7">
              <w:t>Executive Agencies of government and other subsidiary bodies;</w:t>
            </w:r>
          </w:p>
          <w:p w14:paraId="7D2DDF03" w14:textId="34C47C36" w:rsidR="002071BF" w:rsidRDefault="002071BF" w:rsidP="002071BF">
            <w:pPr>
              <w:pStyle w:val="Numbered111a"/>
              <w:tabs>
                <w:tab w:val="clear" w:pos="2520"/>
                <w:tab w:val="num" w:pos="684"/>
              </w:tabs>
              <w:ind w:left="684" w:hanging="709"/>
            </w:pPr>
            <w:r>
              <w:t>c</w:t>
            </w:r>
            <w:r w:rsidRPr="002428B7">
              <w:t>ivil service bodies, including public sector buying organisations;</w:t>
            </w:r>
          </w:p>
          <w:p w14:paraId="6B4FCBD8" w14:textId="5D72BACA" w:rsidR="002071BF" w:rsidRDefault="002071BF" w:rsidP="002071BF">
            <w:pPr>
              <w:pStyle w:val="Numbered111a"/>
              <w:tabs>
                <w:tab w:val="clear" w:pos="2520"/>
                <w:tab w:val="num" w:pos="684"/>
              </w:tabs>
              <w:ind w:left="684" w:hanging="709"/>
            </w:pPr>
            <w:r>
              <w:t>a</w:t>
            </w:r>
            <w:r w:rsidRPr="002428B7">
              <w:t>ll non-Crown Status Government Companies wholly or partly owned by Central Government Departments and their subsidiaries;</w:t>
            </w:r>
          </w:p>
          <w:p w14:paraId="16F0CFE1" w14:textId="38B9E4B8" w:rsidR="002071BF" w:rsidRDefault="002071BF" w:rsidP="002071BF">
            <w:pPr>
              <w:pStyle w:val="Numbered111a"/>
              <w:tabs>
                <w:tab w:val="clear" w:pos="2520"/>
                <w:tab w:val="num" w:pos="684"/>
              </w:tabs>
              <w:ind w:left="684" w:hanging="709"/>
            </w:pPr>
            <w:r w:rsidRPr="002428B7">
              <w:t xml:space="preserve">non-Departmental Public Bodies, other Public Bodies, Public Corporations and their subsidiary bodies sponsored by Central Government Departments which </w:t>
            </w:r>
            <w:r w:rsidRPr="002428B7">
              <w:lastRenderedPageBreak/>
              <w:t xml:space="preserve">are not covered by the above categories; </w:t>
            </w:r>
          </w:p>
          <w:p w14:paraId="3BB4F900" w14:textId="5011CE48" w:rsidR="002071BF" w:rsidRDefault="002071BF" w:rsidP="002071BF">
            <w:pPr>
              <w:pStyle w:val="Numbered111a"/>
              <w:tabs>
                <w:tab w:val="clear" w:pos="2520"/>
                <w:tab w:val="num" w:pos="684"/>
              </w:tabs>
              <w:ind w:left="684" w:hanging="709"/>
            </w:pPr>
            <w:r>
              <w:t>a</w:t>
            </w:r>
            <w:r w:rsidRPr="002428B7">
              <w:t xml:space="preserve">ll new bodies created which fall within </w:t>
            </w:r>
            <w:r>
              <w:t xml:space="preserve">any of </w:t>
            </w:r>
            <w:r w:rsidRPr="002428B7">
              <w:t>the criteria set out above;</w:t>
            </w:r>
          </w:p>
          <w:p w14:paraId="1961C78F" w14:textId="48106C28" w:rsidR="002071BF" w:rsidRDefault="002071BF" w:rsidP="002071BF">
            <w:pPr>
              <w:pStyle w:val="Numbered111a"/>
              <w:tabs>
                <w:tab w:val="clear" w:pos="2520"/>
                <w:tab w:val="num" w:pos="684"/>
              </w:tabs>
              <w:ind w:left="684" w:hanging="709"/>
            </w:pPr>
            <w:r>
              <w:t>t</w:t>
            </w:r>
            <w:r w:rsidRPr="002428B7">
              <w:t>hose listed by the Government on their website at https://www.gov.uk/government/organisations or any repl</w:t>
            </w:r>
            <w:r>
              <w:t>acement or updated web-link; and</w:t>
            </w:r>
          </w:p>
          <w:p w14:paraId="59B0B0E5" w14:textId="099E58FA" w:rsidR="002071BF" w:rsidRPr="002428B7" w:rsidRDefault="002071BF" w:rsidP="002071BF">
            <w:pPr>
              <w:pStyle w:val="Numbered111a"/>
              <w:tabs>
                <w:tab w:val="clear" w:pos="2520"/>
                <w:tab w:val="num" w:pos="684"/>
              </w:tabs>
              <w:ind w:left="684" w:hanging="709"/>
            </w:pPr>
            <w:r>
              <w:t>t</w:t>
            </w:r>
            <w:r w:rsidRPr="002428B7">
              <w:t xml:space="preserve">hose listed by the Office of National Statistics (ONS) as being part of Central Government at https://www.ons.gov.uk/economy/nationalaccounts/uksectoraccounts/datasets/publicsectorclassificationguide  or any </w:t>
            </w:r>
            <w:r>
              <w:t>replacement or updated web-link;</w:t>
            </w:r>
            <w:r w:rsidRPr="002428B7">
              <w:t xml:space="preserve"> </w:t>
            </w:r>
          </w:p>
        </w:tc>
      </w:tr>
      <w:tr w:rsidR="002071BF" w:rsidRPr="00F55457" w14:paraId="78FA9A26" w14:textId="77777777" w:rsidTr="0052486C">
        <w:tc>
          <w:tcPr>
            <w:tcW w:w="2835" w:type="dxa"/>
          </w:tcPr>
          <w:p w14:paraId="761B78E2" w14:textId="77777777" w:rsidR="002071BF" w:rsidRPr="008D6A63" w:rsidRDefault="002071BF" w:rsidP="002071BF">
            <w:pPr>
              <w:pStyle w:val="StdBodyTextBold"/>
              <w:rPr>
                <w:rFonts w:cs="Arial"/>
              </w:rPr>
            </w:pPr>
            <w:r>
              <w:rPr>
                <w:rFonts w:cs="Arial"/>
              </w:rPr>
              <w:lastRenderedPageBreak/>
              <w:t>“</w:t>
            </w:r>
            <w:r w:rsidRPr="008D6A63">
              <w:rPr>
                <w:rFonts w:cs="Arial"/>
              </w:rPr>
              <w:t>Preceding Services</w:t>
            </w:r>
            <w:r>
              <w:rPr>
                <w:rFonts w:cs="Arial"/>
              </w:rPr>
              <w:t>”</w:t>
            </w:r>
          </w:p>
        </w:tc>
        <w:tc>
          <w:tcPr>
            <w:tcW w:w="6803" w:type="dxa"/>
          </w:tcPr>
          <w:p w14:paraId="16F9673F" w14:textId="77777777" w:rsidR="002071BF" w:rsidRPr="008D6A63" w:rsidRDefault="002071BF" w:rsidP="002071BF">
            <w:pPr>
              <w:pStyle w:val="StdBodyText"/>
              <w:rPr>
                <w:rFonts w:cs="Arial"/>
              </w:rPr>
            </w:pPr>
            <w:r w:rsidRPr="008D6A63">
              <w:rPr>
                <w:rFonts w:cs="Arial"/>
              </w:rPr>
              <w:t xml:space="preserve">has the meaning given in </w:t>
            </w:r>
            <w:bookmarkStart w:id="122" w:name="_9kMHG5YVtCIA9JNKHow3mxy"/>
            <w:bookmarkStart w:id="123" w:name="_9kMHG5YVtCJB9JOLHow3mxy"/>
            <w:r w:rsidRPr="008D6A63">
              <w:rPr>
                <w:rFonts w:cs="Arial"/>
              </w:rPr>
              <w:t xml:space="preserve">Clause </w:t>
            </w:r>
            <w:bookmarkEnd w:id="122"/>
            <w:bookmarkEnd w:id="123"/>
            <w:r w:rsidRPr="008D6A63">
              <w:rPr>
                <w:rFonts w:cs="Arial"/>
              </w:rPr>
              <w:t>5.2(b) (</w:t>
            </w:r>
            <w:r w:rsidRPr="00214A89">
              <w:rPr>
                <w:rFonts w:cs="Arial"/>
                <w:i/>
                <w:iCs/>
              </w:rPr>
              <w:t>Standard of Services</w:t>
            </w:r>
            <w:r w:rsidRPr="008D6A63">
              <w:rPr>
                <w:rFonts w:cs="Arial"/>
              </w:rPr>
              <w:t>);</w:t>
            </w:r>
          </w:p>
        </w:tc>
      </w:tr>
      <w:tr w:rsidR="002071BF" w:rsidRPr="00F55457" w14:paraId="53AC8D5B" w14:textId="77777777" w:rsidTr="0052486C">
        <w:tc>
          <w:tcPr>
            <w:tcW w:w="2835" w:type="dxa"/>
          </w:tcPr>
          <w:p w14:paraId="40F8A1D6" w14:textId="77777777" w:rsidR="002071BF" w:rsidRPr="008D6A63" w:rsidRDefault="002071BF" w:rsidP="002071BF">
            <w:pPr>
              <w:pStyle w:val="StdBodyTextBold"/>
              <w:rPr>
                <w:rFonts w:cs="Arial"/>
              </w:rPr>
            </w:pPr>
            <w:r>
              <w:rPr>
                <w:rFonts w:cs="Arial"/>
              </w:rPr>
              <w:t>“</w:t>
            </w:r>
            <w:r w:rsidRPr="008D6A63">
              <w:rPr>
                <w:rFonts w:cs="Arial"/>
              </w:rPr>
              <w:t>Prescribed Person</w:t>
            </w:r>
            <w:r>
              <w:rPr>
                <w:rFonts w:cs="Arial"/>
              </w:rPr>
              <w:t>”</w:t>
            </w:r>
          </w:p>
        </w:tc>
        <w:tc>
          <w:tcPr>
            <w:tcW w:w="6803" w:type="dxa"/>
          </w:tcPr>
          <w:p w14:paraId="1D65564D" w14:textId="228B5882" w:rsidR="002071BF" w:rsidRPr="008D6A63" w:rsidRDefault="002071BF" w:rsidP="002071BF">
            <w:pPr>
              <w:pStyle w:val="StdBodyText"/>
              <w:rPr>
                <w:rFonts w:cs="Arial"/>
              </w:rPr>
            </w:pPr>
            <w:r w:rsidRPr="008D6A63">
              <w:rPr>
                <w:rFonts w:cs="Arial"/>
              </w:rPr>
              <w:t xml:space="preserve">a legal adviser, an MP, or an appropriate body which a whistle-blower may make a disclosure to as detailed in </w:t>
            </w:r>
            <w:r>
              <w:rPr>
                <w:rFonts w:cs="Arial"/>
              </w:rPr>
              <w:t>‘</w:t>
            </w:r>
            <w:r w:rsidRPr="008D6A63">
              <w:rPr>
                <w:rFonts w:cs="Arial"/>
              </w:rPr>
              <w:t>Whistleblowing: list of prescribed people and bodies</w:t>
            </w:r>
            <w:r>
              <w:rPr>
                <w:rFonts w:cs="Arial"/>
              </w:rPr>
              <w:t>’</w:t>
            </w:r>
            <w:r w:rsidRPr="008D6A63">
              <w:rPr>
                <w:rFonts w:cs="Arial"/>
              </w:rPr>
              <w:t xml:space="preserve">, available online at: </w:t>
            </w:r>
            <w:hyperlink r:id="rId19" w:history="1">
              <w:r w:rsidRPr="008D6A63">
                <w:rPr>
                  <w:rStyle w:val="Hyperlink"/>
                  <w:rFonts w:cs="Arial"/>
                </w:rPr>
                <w:t>https://www.gov.uk/government/publications/blowing-the-whistle-list-of-prescribed-people-and-bodies--2/whistleblowing-list-of-prescribed-people-and-bodies</w:t>
              </w:r>
            </w:hyperlink>
            <w:hyperlink r:id="rId20" w:history="1">
              <w:r w:rsidRPr="008D6A63">
                <w:rPr>
                  <w:rFonts w:cs="Arial"/>
                </w:rPr>
                <w:t>, as updated from time to time;</w:t>
              </w:r>
            </w:hyperlink>
          </w:p>
        </w:tc>
      </w:tr>
      <w:tr w:rsidR="002071BF" w:rsidRPr="00F55457" w14:paraId="71055D4E" w14:textId="77777777" w:rsidTr="0052486C">
        <w:tc>
          <w:tcPr>
            <w:tcW w:w="2835" w:type="dxa"/>
          </w:tcPr>
          <w:p w14:paraId="1DB7BD8B" w14:textId="77777777" w:rsidR="002071BF" w:rsidRPr="008D6A63" w:rsidRDefault="002071BF" w:rsidP="002071BF">
            <w:pPr>
              <w:pStyle w:val="StdBodyTextBold"/>
              <w:rPr>
                <w:rFonts w:cs="Arial"/>
              </w:rPr>
            </w:pPr>
            <w:r>
              <w:rPr>
                <w:rFonts w:cs="Arial"/>
              </w:rPr>
              <w:t>“</w:t>
            </w:r>
            <w:r w:rsidRPr="008D6A63">
              <w:rPr>
                <w:rFonts w:cs="Arial"/>
              </w:rPr>
              <w:t>Processor</w:t>
            </w:r>
            <w:r>
              <w:rPr>
                <w:rFonts w:cs="Arial"/>
              </w:rPr>
              <w:t>”</w:t>
            </w:r>
          </w:p>
        </w:tc>
        <w:tc>
          <w:tcPr>
            <w:tcW w:w="6803" w:type="dxa"/>
          </w:tcPr>
          <w:p w14:paraId="2CEF3D09" w14:textId="77777777" w:rsidR="002071BF" w:rsidRPr="008D6A63" w:rsidRDefault="002071BF" w:rsidP="002071BF">
            <w:pPr>
              <w:pStyle w:val="StdBodyText"/>
              <w:rPr>
                <w:rFonts w:cs="Arial"/>
              </w:rPr>
            </w:pPr>
            <w:r w:rsidRPr="008D6A63">
              <w:rPr>
                <w:rFonts w:cs="Arial"/>
              </w:rPr>
              <w:t>has the meaning given to it under the UK GDPR or the EU GDPR as the context requires;</w:t>
            </w:r>
          </w:p>
        </w:tc>
      </w:tr>
      <w:tr w:rsidR="002071BF" w:rsidRPr="00F55457" w14:paraId="2B1CAB36" w14:textId="77777777" w:rsidTr="0052486C">
        <w:tc>
          <w:tcPr>
            <w:tcW w:w="2835" w:type="dxa"/>
          </w:tcPr>
          <w:p w14:paraId="75D96DC6" w14:textId="77777777" w:rsidR="002071BF" w:rsidRPr="008D6A63" w:rsidRDefault="002071BF" w:rsidP="002071BF">
            <w:pPr>
              <w:pStyle w:val="StdBodyTextBold"/>
              <w:rPr>
                <w:rFonts w:cs="Arial"/>
              </w:rPr>
            </w:pPr>
            <w:r>
              <w:rPr>
                <w:rFonts w:cs="Arial"/>
              </w:rPr>
              <w:t>“</w:t>
            </w:r>
            <w:r w:rsidRPr="008D6A63">
              <w:rPr>
                <w:rFonts w:cs="Arial"/>
              </w:rPr>
              <w:t>Processor Personnel</w:t>
            </w:r>
            <w:r>
              <w:rPr>
                <w:rFonts w:cs="Arial"/>
              </w:rPr>
              <w:t>”</w:t>
            </w:r>
          </w:p>
        </w:tc>
        <w:tc>
          <w:tcPr>
            <w:tcW w:w="6803" w:type="dxa"/>
          </w:tcPr>
          <w:p w14:paraId="31552943" w14:textId="77777777" w:rsidR="002071BF" w:rsidRPr="008D6A63" w:rsidRDefault="002071BF" w:rsidP="002071BF">
            <w:pPr>
              <w:pStyle w:val="StdBodyText"/>
              <w:rPr>
                <w:rFonts w:cs="Arial"/>
              </w:rPr>
            </w:pPr>
            <w:r w:rsidRPr="008D6A63">
              <w:rPr>
                <w:rFonts w:cs="Arial"/>
              </w:rPr>
              <w:t>means all directors, officers, employees, agents, consultants and suppliers of the Processor and/or of any Sub-processor engaged in the performance of its obligations under this Contract;</w:t>
            </w:r>
          </w:p>
        </w:tc>
      </w:tr>
      <w:tr w:rsidR="002071BF" w:rsidRPr="00F55457" w14:paraId="7C95C863" w14:textId="77777777" w:rsidTr="0052486C">
        <w:tc>
          <w:tcPr>
            <w:tcW w:w="2835" w:type="dxa"/>
          </w:tcPr>
          <w:p w14:paraId="05E0EF1E" w14:textId="77777777" w:rsidR="002071BF" w:rsidRPr="008D6A63" w:rsidRDefault="002071BF" w:rsidP="002071BF">
            <w:pPr>
              <w:pStyle w:val="StdBodyTextBold"/>
              <w:rPr>
                <w:rFonts w:cs="Arial"/>
              </w:rPr>
            </w:pPr>
            <w:r>
              <w:rPr>
                <w:rFonts w:cs="Arial"/>
              </w:rPr>
              <w:t>“</w:t>
            </w:r>
            <w:r w:rsidRPr="008D6A63">
              <w:rPr>
                <w:rFonts w:cs="Arial"/>
              </w:rPr>
              <w:t>Programme Board</w:t>
            </w:r>
            <w:r>
              <w:rPr>
                <w:rFonts w:cs="Arial"/>
              </w:rPr>
              <w:t>”</w:t>
            </w:r>
          </w:p>
        </w:tc>
        <w:tc>
          <w:tcPr>
            <w:tcW w:w="6803" w:type="dxa"/>
          </w:tcPr>
          <w:p w14:paraId="214203BA" w14:textId="3E447FC2" w:rsidR="002071BF" w:rsidRPr="008D6A63" w:rsidRDefault="002071BF" w:rsidP="002071BF">
            <w:pPr>
              <w:pStyle w:val="StdBodyText"/>
              <w:rPr>
                <w:rFonts w:cs="Arial"/>
              </w:rPr>
            </w:pPr>
            <w:r w:rsidRPr="008D6A63">
              <w:rPr>
                <w:rFonts w:cs="Arial"/>
              </w:rPr>
              <w:t xml:space="preserve">the body described in </w:t>
            </w:r>
            <w:bookmarkStart w:id="124" w:name="_9kR3WTr2CC56FfEnoewrqyF"/>
            <w:r w:rsidRPr="008D6A63">
              <w:rPr>
                <w:rFonts w:cs="Arial"/>
              </w:rPr>
              <w:t xml:space="preserve">Paragraph </w:t>
            </w:r>
            <w:bookmarkEnd w:id="124"/>
            <w:r w:rsidRPr="008D6A63">
              <w:rPr>
                <w:rFonts w:cs="Arial"/>
              </w:rPr>
              <w:fldChar w:fldCharType="begin"/>
            </w:r>
            <w:r w:rsidRPr="008D6A63">
              <w:rPr>
                <w:rFonts w:cs="Arial"/>
              </w:rPr>
              <w:instrText xml:space="preserve"> REF _Ref44511058 \w \h  \* MERGEFORMAT </w:instrText>
            </w:r>
            <w:r w:rsidRPr="008D6A63">
              <w:rPr>
                <w:rFonts w:cs="Arial"/>
              </w:rPr>
            </w:r>
            <w:r w:rsidRPr="008D6A63">
              <w:rPr>
                <w:rFonts w:cs="Arial"/>
              </w:rPr>
              <w:fldChar w:fldCharType="separate"/>
            </w:r>
            <w:r w:rsidR="007A1473">
              <w:rPr>
                <w:rFonts w:cs="Arial"/>
              </w:rPr>
              <w:t>5</w:t>
            </w:r>
            <w:r w:rsidRPr="008D6A63">
              <w:rPr>
                <w:rFonts w:cs="Arial"/>
              </w:rPr>
              <w:fldChar w:fldCharType="end"/>
            </w:r>
            <w:r w:rsidRPr="008D6A63">
              <w:rPr>
                <w:rFonts w:cs="Arial"/>
              </w:rPr>
              <w:t xml:space="preserve"> of </w:t>
            </w:r>
            <w:r>
              <w:rPr>
                <w:rFonts w:cs="Arial"/>
              </w:rPr>
              <w:fldChar w:fldCharType="begin"/>
            </w:r>
            <w:r>
              <w:rPr>
                <w:rFonts w:cs="Arial"/>
              </w:rPr>
              <w:instrText xml:space="preserve"> REF Schedule21 \h </w:instrText>
            </w:r>
            <w:r>
              <w:rPr>
                <w:rFonts w:cs="Arial"/>
              </w:rPr>
            </w:r>
            <w:r>
              <w:rPr>
                <w:rFonts w:cs="Arial"/>
              </w:rPr>
              <w:fldChar w:fldCharType="separate"/>
            </w:r>
            <w:r w:rsidR="007A1473" w:rsidRPr="005D0525">
              <w:t>Schedule</w:t>
            </w:r>
            <w:r w:rsidR="007A1473">
              <w:t> </w:t>
            </w:r>
            <w:r w:rsidR="007A1473" w:rsidRPr="005D0525">
              <w:t>21</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Schedule21Heading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Governance</w:t>
            </w:r>
            <w:r w:rsidRPr="002F30DB">
              <w:rPr>
                <w:rFonts w:cs="Arial"/>
                <w:i/>
                <w:iCs/>
              </w:rPr>
              <w:fldChar w:fldCharType="end"/>
            </w:r>
            <w:r>
              <w:rPr>
                <w:rFonts w:cs="Arial"/>
              </w:rPr>
              <w:t>)</w:t>
            </w:r>
            <w:r w:rsidRPr="008D6A63">
              <w:rPr>
                <w:rFonts w:cs="Arial"/>
              </w:rPr>
              <w:t>;</w:t>
            </w:r>
          </w:p>
        </w:tc>
      </w:tr>
      <w:tr w:rsidR="002071BF" w:rsidRPr="00F55457" w14:paraId="54D53D0E" w14:textId="77777777" w:rsidTr="0052486C">
        <w:tc>
          <w:tcPr>
            <w:tcW w:w="2835" w:type="dxa"/>
          </w:tcPr>
          <w:p w14:paraId="19358BA8" w14:textId="77777777" w:rsidR="002071BF" w:rsidRPr="008D6A63" w:rsidRDefault="002071BF" w:rsidP="002071BF">
            <w:pPr>
              <w:pStyle w:val="StdBodyTextBold"/>
              <w:rPr>
                <w:rFonts w:cs="Arial"/>
              </w:rPr>
            </w:pPr>
            <w:r>
              <w:rPr>
                <w:rFonts w:cs="Arial"/>
              </w:rPr>
              <w:t>“</w:t>
            </w:r>
            <w:r w:rsidRPr="008D6A63">
              <w:rPr>
                <w:rFonts w:cs="Arial"/>
              </w:rPr>
              <w:t>Prohibited Act</w:t>
            </w:r>
            <w:r>
              <w:rPr>
                <w:rFonts w:cs="Arial"/>
              </w:rPr>
              <w:t>”</w:t>
            </w:r>
          </w:p>
        </w:tc>
        <w:tc>
          <w:tcPr>
            <w:tcW w:w="6803" w:type="dxa"/>
          </w:tcPr>
          <w:p w14:paraId="363B7217" w14:textId="77777777" w:rsidR="002071BF" w:rsidRPr="008D6A63" w:rsidRDefault="002071BF" w:rsidP="002071BF">
            <w:pPr>
              <w:pStyle w:val="DefinitionList"/>
              <w:numPr>
                <w:ilvl w:val="0"/>
                <w:numId w:val="164"/>
              </w:numPr>
            </w:pPr>
            <w:r w:rsidRPr="008D6A63">
              <w:t>to directly or indirectly offer, promise or give any person working for or engaged by the Authority a financial or other advantage to:</w:t>
            </w:r>
          </w:p>
          <w:p w14:paraId="2194AFD4" w14:textId="77777777" w:rsidR="002071BF" w:rsidRPr="008D6A63" w:rsidRDefault="002071BF" w:rsidP="002071BF">
            <w:pPr>
              <w:pStyle w:val="DefinitionListLevel1"/>
              <w:numPr>
                <w:ilvl w:val="1"/>
                <w:numId w:val="78"/>
              </w:numPr>
              <w:rPr>
                <w:rFonts w:cs="Arial"/>
              </w:rPr>
            </w:pPr>
            <w:r w:rsidRPr="008D6A63">
              <w:rPr>
                <w:rFonts w:cs="Arial"/>
              </w:rPr>
              <w:t xml:space="preserve">induce that person to perform improperly a relevant function or activity; or </w:t>
            </w:r>
          </w:p>
          <w:p w14:paraId="602A18D4" w14:textId="77777777" w:rsidR="002071BF" w:rsidRPr="008D6A63" w:rsidRDefault="002071BF" w:rsidP="002071BF">
            <w:pPr>
              <w:pStyle w:val="DefinitionListLevel1"/>
              <w:numPr>
                <w:ilvl w:val="1"/>
                <w:numId w:val="78"/>
              </w:numPr>
              <w:rPr>
                <w:rFonts w:cs="Arial"/>
              </w:rPr>
            </w:pPr>
            <w:r w:rsidRPr="008D6A63">
              <w:rPr>
                <w:rFonts w:cs="Arial"/>
              </w:rPr>
              <w:t>reward that person for improper performance of a relevant function or activity;</w:t>
            </w:r>
          </w:p>
          <w:p w14:paraId="4A075B6D" w14:textId="77777777" w:rsidR="002071BF" w:rsidRPr="008D6A63" w:rsidRDefault="002071BF" w:rsidP="002071BF">
            <w:pPr>
              <w:pStyle w:val="DefinitionList"/>
              <w:numPr>
                <w:ilvl w:val="0"/>
                <w:numId w:val="78"/>
              </w:numPr>
              <w:rPr>
                <w:rFonts w:cs="Arial"/>
              </w:rPr>
            </w:pPr>
            <w:r w:rsidRPr="008D6A63">
              <w:rPr>
                <w:rFonts w:cs="Arial"/>
              </w:rPr>
              <w:t xml:space="preserve">to directly or indirectly request, agree to receive or accept any financial or other advantage as an inducement or a reward for improper performance of a </w:t>
            </w:r>
            <w:r w:rsidRPr="008D6A63">
              <w:rPr>
                <w:rFonts w:cs="Arial"/>
              </w:rPr>
              <w:lastRenderedPageBreak/>
              <w:t>relevant function or activity in connection with this Contract;</w:t>
            </w:r>
          </w:p>
          <w:p w14:paraId="174B3958" w14:textId="77777777" w:rsidR="002071BF" w:rsidRPr="008D6A63" w:rsidRDefault="002071BF" w:rsidP="002071BF">
            <w:pPr>
              <w:pStyle w:val="DefinitionList"/>
              <w:numPr>
                <w:ilvl w:val="0"/>
                <w:numId w:val="164"/>
              </w:numPr>
              <w:rPr>
                <w:rFonts w:cs="Arial"/>
              </w:rPr>
            </w:pPr>
            <w:bookmarkStart w:id="125" w:name="_Ref_ContractCompanion_9kb9Ur28B"/>
            <w:bookmarkStart w:id="126" w:name="_9kR3WTrAG86CHftjmj09ubgeA1wrsB8tQKABt5K"/>
            <w:bookmarkStart w:id="127" w:name="_9kR3WTr299DIBatjmj09ubgeA1wrsB8tQKABt5K"/>
            <w:r w:rsidRPr="008D6A63">
              <w:rPr>
                <w:rFonts w:cs="Arial"/>
              </w:rPr>
              <w:t>an offence:</w:t>
            </w:r>
            <w:bookmarkEnd w:id="125"/>
            <w:bookmarkEnd w:id="126"/>
            <w:bookmarkEnd w:id="127"/>
          </w:p>
          <w:p w14:paraId="3BE3A927" w14:textId="77777777" w:rsidR="002071BF" w:rsidRPr="008D6A63" w:rsidRDefault="002071BF" w:rsidP="002071BF">
            <w:pPr>
              <w:pStyle w:val="DefinitionListLevel1"/>
              <w:numPr>
                <w:ilvl w:val="1"/>
                <w:numId w:val="78"/>
              </w:numPr>
              <w:rPr>
                <w:rFonts w:cs="Arial"/>
              </w:rPr>
            </w:pPr>
            <w:r w:rsidRPr="008D6A63">
              <w:rPr>
                <w:rFonts w:cs="Arial"/>
              </w:rPr>
              <w:t xml:space="preserve">under the </w:t>
            </w:r>
            <w:bookmarkStart w:id="128" w:name="_9kMHG5YVt499FOJNJxifwHbA0RMMN"/>
            <w:r w:rsidRPr="008D6A63">
              <w:rPr>
                <w:rFonts w:cs="Arial"/>
              </w:rPr>
              <w:t>Bribery Act 2010</w:t>
            </w:r>
            <w:bookmarkEnd w:id="128"/>
            <w:r w:rsidRPr="008D6A63">
              <w:rPr>
                <w:rFonts w:cs="Arial"/>
              </w:rPr>
              <w:t xml:space="preserve"> (or any legislation repealed or revoked by such Act); </w:t>
            </w:r>
          </w:p>
          <w:p w14:paraId="27DD223F" w14:textId="77777777" w:rsidR="002071BF" w:rsidRPr="008D6A63" w:rsidRDefault="002071BF" w:rsidP="002071BF">
            <w:pPr>
              <w:pStyle w:val="DefinitionListLevel1"/>
              <w:numPr>
                <w:ilvl w:val="1"/>
                <w:numId w:val="78"/>
              </w:numPr>
              <w:rPr>
                <w:rFonts w:cs="Arial"/>
              </w:rPr>
            </w:pPr>
            <w:r w:rsidRPr="008D6A63">
              <w:rPr>
                <w:rFonts w:cs="Arial"/>
              </w:rPr>
              <w:t>under legislation or common law concerning fraudulent acts; or</w:t>
            </w:r>
          </w:p>
          <w:p w14:paraId="6977A5FF" w14:textId="77777777" w:rsidR="002071BF" w:rsidRPr="008D6A63" w:rsidRDefault="002071BF" w:rsidP="002071BF">
            <w:pPr>
              <w:pStyle w:val="DefinitionListLevel1"/>
              <w:numPr>
                <w:ilvl w:val="1"/>
                <w:numId w:val="78"/>
              </w:numPr>
              <w:rPr>
                <w:rFonts w:cs="Arial"/>
              </w:rPr>
            </w:pPr>
            <w:r w:rsidRPr="008D6A63">
              <w:rPr>
                <w:rFonts w:cs="Arial"/>
              </w:rPr>
              <w:t xml:space="preserve">defrauding, attempting to defraud or conspiring to defraud the Authority (including offences by the Supplier under </w:t>
            </w:r>
            <w:bookmarkStart w:id="129" w:name="_9kR3WTr277DJIdEn7K3tz2oKS5124xwcU9236yF"/>
            <w:r w:rsidRPr="008D6A63">
              <w:rPr>
                <w:rFonts w:cs="Arial"/>
              </w:rPr>
              <w:t>Part 3 of the Criminal Finances Act 2017</w:t>
            </w:r>
            <w:bookmarkEnd w:id="129"/>
            <w:r w:rsidRPr="008D6A63">
              <w:rPr>
                <w:rFonts w:cs="Arial"/>
              </w:rPr>
              <w:t>); or</w:t>
            </w:r>
          </w:p>
          <w:p w14:paraId="2E28230C" w14:textId="67203C87" w:rsidR="002071BF" w:rsidRPr="008D6A63" w:rsidRDefault="002071BF" w:rsidP="002071BF">
            <w:pPr>
              <w:pStyle w:val="DefinitionList"/>
              <w:numPr>
                <w:ilvl w:val="0"/>
                <w:numId w:val="78"/>
              </w:numPr>
              <w:rPr>
                <w:rFonts w:cs="Arial"/>
              </w:rPr>
            </w:pPr>
            <w:r w:rsidRPr="008D6A63">
              <w:rPr>
                <w:rFonts w:cs="Arial"/>
              </w:rPr>
              <w:t xml:space="preserve">any activity, practice or conduct which would constitute one of the offences listed under </w:t>
            </w:r>
            <w:bookmarkStart w:id="130" w:name="_9kMHG5YVtCIA8EJhvlol2BwdigC3ytuDAvSMCDv"/>
            <w:r w:rsidRPr="008D6A63">
              <w:rPr>
                <w:rFonts w:cs="Arial"/>
              </w:rPr>
              <w:fldChar w:fldCharType="begin"/>
            </w:r>
            <w:r w:rsidRPr="008D6A63">
              <w:rPr>
                <w:rFonts w:cs="Arial"/>
              </w:rPr>
              <w:instrText xml:space="preserve"> REF _Ref_ContractCompanion_9kb9Ur28B \w \n \h \t \* MERGEFORMAT </w:instrText>
            </w:r>
            <w:r w:rsidRPr="008D6A63">
              <w:rPr>
                <w:rFonts w:cs="Arial"/>
              </w:rPr>
            </w:r>
            <w:r w:rsidRPr="008D6A63">
              <w:rPr>
                <w:rFonts w:cs="Arial"/>
              </w:rPr>
              <w:fldChar w:fldCharType="separate"/>
            </w:r>
            <w:bookmarkStart w:id="131" w:name="_9kMHG5YVt4BBFKDcvlol2BwdigC3ytuDAvSMCDv"/>
            <w:r w:rsidR="007A1473">
              <w:rPr>
                <w:rFonts w:cs="Arial"/>
              </w:rPr>
              <w:t>(c)</w:t>
            </w:r>
            <w:bookmarkEnd w:id="131"/>
            <w:r w:rsidRPr="008D6A63">
              <w:rPr>
                <w:rFonts w:cs="Arial"/>
              </w:rPr>
              <w:fldChar w:fldCharType="end"/>
            </w:r>
            <w:bookmarkEnd w:id="130"/>
            <w:r w:rsidRPr="008D6A63">
              <w:rPr>
                <w:rFonts w:cs="Arial"/>
              </w:rPr>
              <w:t xml:space="preserve"> above if such activity, practice or conduct had been carried out in the UK;</w:t>
            </w:r>
          </w:p>
        </w:tc>
      </w:tr>
      <w:tr w:rsidR="002071BF" w:rsidRPr="00F55457" w14:paraId="5D4E7E9C" w14:textId="77777777" w:rsidTr="0052486C">
        <w:tc>
          <w:tcPr>
            <w:tcW w:w="2835" w:type="dxa"/>
          </w:tcPr>
          <w:p w14:paraId="139416AF" w14:textId="77777777" w:rsidR="002071BF" w:rsidRPr="008D6A63" w:rsidRDefault="002071BF" w:rsidP="002071BF">
            <w:pPr>
              <w:pStyle w:val="StdBodyTextBold"/>
              <w:rPr>
                <w:rFonts w:cs="Arial"/>
              </w:rPr>
            </w:pPr>
            <w:r>
              <w:rPr>
                <w:rFonts w:cs="Arial"/>
              </w:rPr>
              <w:lastRenderedPageBreak/>
              <w:t>“</w:t>
            </w:r>
            <w:r w:rsidRPr="008D6A63">
              <w:rPr>
                <w:rFonts w:cs="Arial"/>
              </w:rPr>
              <w:t>Protective Measures</w:t>
            </w:r>
            <w:r>
              <w:rPr>
                <w:rFonts w:cs="Arial"/>
              </w:rPr>
              <w:t>”</w:t>
            </w:r>
          </w:p>
        </w:tc>
        <w:tc>
          <w:tcPr>
            <w:tcW w:w="6803" w:type="dxa"/>
          </w:tcPr>
          <w:p w14:paraId="3336EDD3" w14:textId="1EC26B5B" w:rsidR="002071BF" w:rsidRPr="008D6A63" w:rsidRDefault="002071BF" w:rsidP="002071BF">
            <w:pPr>
              <w:pStyle w:val="StdBodyText"/>
              <w:rPr>
                <w:rFonts w:cs="Arial"/>
              </w:rPr>
            </w:pPr>
            <w:r w:rsidRPr="00C42267">
              <w:rPr>
                <w:rFonts w:cs="Arial"/>
              </w:rPr>
              <w:t xml:space="preserve">appropriate technical and organisational measures designed to ensure compliance with obligations of the Parties arising under Data Protection Legislation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Pr>
                <w:rFonts w:cs="Arial"/>
              </w:rPr>
              <w:fldChar w:fldCharType="begin"/>
            </w:r>
            <w:r>
              <w:rPr>
                <w:rFonts w:cs="Arial"/>
              </w:rPr>
              <w:instrText xml:space="preserve"> REF Schedule5 \h </w:instrText>
            </w:r>
            <w:r>
              <w:rPr>
                <w:rFonts w:cs="Arial"/>
              </w:rPr>
            </w:r>
            <w:r>
              <w:rPr>
                <w:rFonts w:cs="Arial"/>
              </w:rPr>
              <w:fldChar w:fldCharType="separate"/>
            </w:r>
            <w:r w:rsidR="007A1473" w:rsidRPr="005D0525">
              <w:t>Schedule</w:t>
            </w:r>
            <w:r w:rsidR="007A1473">
              <w:t> </w:t>
            </w:r>
            <w:r w:rsidR="007A1473" w:rsidRPr="005D0525">
              <w:t>5</w:t>
            </w:r>
            <w:r>
              <w:rPr>
                <w:rFonts w:cs="Arial"/>
              </w:rPr>
              <w:fldChar w:fldCharType="end"/>
            </w:r>
            <w:r w:rsidRPr="00C42267">
              <w:rPr>
                <w:rFonts w:cs="Arial"/>
              </w:rPr>
              <w:t xml:space="preserve"> (</w:t>
            </w:r>
            <w:r w:rsidRPr="00A22335">
              <w:rPr>
                <w:rFonts w:cs="Arial"/>
                <w:i/>
                <w:iCs/>
              </w:rPr>
              <w:fldChar w:fldCharType="begin"/>
            </w:r>
            <w:r w:rsidRPr="00A22335">
              <w:rPr>
                <w:rFonts w:cs="Arial"/>
                <w:i/>
                <w:iCs/>
              </w:rPr>
              <w:instrText xml:space="preserve"> REF Schedule5Heading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Security Management</w:t>
            </w:r>
            <w:r w:rsidRPr="00A22335">
              <w:rPr>
                <w:rFonts w:cs="Arial"/>
                <w:i/>
                <w:iCs/>
              </w:rPr>
              <w:fldChar w:fldCharType="end"/>
            </w:r>
            <w:r w:rsidRPr="00C42267">
              <w:rPr>
                <w:rFonts w:cs="Arial"/>
              </w:rPr>
              <w:t>);</w:t>
            </w:r>
          </w:p>
        </w:tc>
      </w:tr>
      <w:tr w:rsidR="002071BF" w:rsidRPr="00F55457" w14:paraId="0EEB523C" w14:textId="77777777" w:rsidTr="0052486C">
        <w:tc>
          <w:tcPr>
            <w:tcW w:w="2835" w:type="dxa"/>
          </w:tcPr>
          <w:p w14:paraId="275C010A" w14:textId="77777777" w:rsidR="002071BF" w:rsidRPr="008D6A63" w:rsidRDefault="002071BF" w:rsidP="002071BF">
            <w:pPr>
              <w:pStyle w:val="StdBodyTextBold"/>
              <w:rPr>
                <w:rFonts w:cs="Arial"/>
              </w:rPr>
            </w:pPr>
            <w:r>
              <w:rPr>
                <w:rFonts w:cs="Arial"/>
              </w:rPr>
              <w:t>“</w:t>
            </w:r>
            <w:r w:rsidRPr="008D6A63">
              <w:rPr>
                <w:rFonts w:cs="Arial"/>
              </w:rPr>
              <w:t>Project Specific IPRs</w:t>
            </w:r>
            <w:r>
              <w:rPr>
                <w:rFonts w:cs="Arial"/>
              </w:rPr>
              <w:t>”</w:t>
            </w:r>
          </w:p>
        </w:tc>
        <w:tc>
          <w:tcPr>
            <w:tcW w:w="6803" w:type="dxa"/>
          </w:tcPr>
          <w:p w14:paraId="0FA0925C" w14:textId="77777777" w:rsidR="002071BF" w:rsidRPr="008D6A63" w:rsidRDefault="002071BF" w:rsidP="002071BF">
            <w:pPr>
              <w:pStyle w:val="DefinitionList"/>
              <w:numPr>
                <w:ilvl w:val="0"/>
                <w:numId w:val="66"/>
              </w:numPr>
            </w:pPr>
            <w:r w:rsidRPr="008D6A63">
              <w:t>Intellectual Property Rights in items created by the Supplier (or by a third party on behalf of the Supplier) specifically for the purposes of this Contract and updates and amendments of these items including (but not limited to) database schema; and/or</w:t>
            </w:r>
          </w:p>
          <w:p w14:paraId="1E1B8FF7" w14:textId="77777777" w:rsidR="002071BF" w:rsidRPr="008D6A63" w:rsidRDefault="002071BF" w:rsidP="002071BF">
            <w:pPr>
              <w:pStyle w:val="DefinitionList"/>
              <w:numPr>
                <w:ilvl w:val="0"/>
                <w:numId w:val="78"/>
              </w:numPr>
              <w:rPr>
                <w:rFonts w:cs="Arial"/>
              </w:rPr>
            </w:pPr>
            <w:r w:rsidRPr="008D6A63">
              <w:rPr>
                <w:rFonts w:cs="Arial"/>
              </w:rPr>
              <w:t xml:space="preserve">Intellectual Property Rights arising as a result of the performance of the </w:t>
            </w:r>
            <w:bookmarkStart w:id="132" w:name="_9kML6J6ZWu9A679B"/>
            <w:r w:rsidRPr="008D6A63">
              <w:rPr>
                <w:rFonts w:cs="Arial"/>
              </w:rPr>
              <w:t>Supplier</w:t>
            </w:r>
            <w:r>
              <w:rPr>
                <w:rFonts w:cs="Arial"/>
              </w:rPr>
              <w:t>’</w:t>
            </w:r>
            <w:r w:rsidRPr="008D6A63">
              <w:rPr>
                <w:rFonts w:cs="Arial"/>
              </w:rPr>
              <w:t>s</w:t>
            </w:r>
            <w:bookmarkEnd w:id="132"/>
            <w:r w:rsidRPr="008D6A63">
              <w:rPr>
                <w:rFonts w:cs="Arial"/>
              </w:rPr>
              <w:t xml:space="preserve"> obligations under this Contract;</w:t>
            </w:r>
          </w:p>
          <w:p w14:paraId="226EC795" w14:textId="77777777" w:rsidR="002071BF" w:rsidRPr="008D6A63" w:rsidRDefault="002071BF" w:rsidP="002071BF">
            <w:pPr>
              <w:pStyle w:val="StdBodyText"/>
              <w:rPr>
                <w:rFonts w:cs="Arial"/>
              </w:rPr>
            </w:pPr>
            <w:r w:rsidRPr="008D6A63">
              <w:rPr>
                <w:rFonts w:cs="Arial"/>
              </w:rPr>
              <w:t>but shall not include the Supplier Background IPRs or the Specially Written Software;</w:t>
            </w:r>
          </w:p>
        </w:tc>
      </w:tr>
      <w:tr w:rsidR="002071BF" w:rsidRPr="00F55457" w14:paraId="42925F9D" w14:textId="77777777" w:rsidTr="0052486C">
        <w:tc>
          <w:tcPr>
            <w:tcW w:w="2835" w:type="dxa"/>
          </w:tcPr>
          <w:p w14:paraId="74BE76A0" w14:textId="77777777" w:rsidR="002071BF" w:rsidRPr="008D6A63" w:rsidRDefault="002071BF" w:rsidP="002071BF">
            <w:pPr>
              <w:pStyle w:val="StdBodyTextBold"/>
              <w:rPr>
                <w:rFonts w:cs="Arial"/>
              </w:rPr>
            </w:pPr>
            <w:r>
              <w:rPr>
                <w:rFonts w:cs="Arial"/>
              </w:rPr>
              <w:t>“</w:t>
            </w:r>
            <w:r w:rsidRPr="008D6A63">
              <w:rPr>
                <w:rFonts w:cs="Arial"/>
              </w:rPr>
              <w:t>Public Sector Dependent Supplier</w:t>
            </w:r>
            <w:r>
              <w:rPr>
                <w:rFonts w:cs="Arial"/>
              </w:rPr>
              <w:t>”</w:t>
            </w:r>
          </w:p>
        </w:tc>
        <w:tc>
          <w:tcPr>
            <w:tcW w:w="6803" w:type="dxa"/>
          </w:tcPr>
          <w:p w14:paraId="49D9C61F" w14:textId="77777777" w:rsidR="002071BF" w:rsidRPr="008D6A63" w:rsidRDefault="002071BF" w:rsidP="002071BF">
            <w:pPr>
              <w:pStyle w:val="StdBodyText"/>
              <w:rPr>
                <w:rFonts w:cs="Arial"/>
              </w:rPr>
            </w:pPr>
            <w:r w:rsidRPr="008D6A63">
              <w:rPr>
                <w:rFonts w:cs="Arial"/>
              </w:rPr>
              <w:t>means a supplier where that supplier, or that supplier</w:t>
            </w:r>
            <w:r>
              <w:rPr>
                <w:rFonts w:cs="Arial"/>
              </w:rPr>
              <w:t>’</w:t>
            </w:r>
            <w:r w:rsidRPr="008D6A63">
              <w:rPr>
                <w:rFonts w:cs="Arial"/>
              </w:rPr>
              <w:t>s group has Annual Revenue of £50 million or more of which over 50% is generated from UK Public Sector Business;</w:t>
            </w:r>
          </w:p>
        </w:tc>
      </w:tr>
      <w:tr w:rsidR="002071BF" w:rsidRPr="00F55457" w14:paraId="5B0B489C" w14:textId="77777777" w:rsidTr="0052486C">
        <w:tc>
          <w:tcPr>
            <w:tcW w:w="2835" w:type="dxa"/>
          </w:tcPr>
          <w:p w14:paraId="046AE766" w14:textId="77777777" w:rsidR="002071BF" w:rsidRPr="008D6A63" w:rsidRDefault="002071BF" w:rsidP="002071BF">
            <w:pPr>
              <w:pStyle w:val="StdBodyTextBold"/>
              <w:rPr>
                <w:rFonts w:cs="Arial"/>
              </w:rPr>
            </w:pPr>
            <w:r>
              <w:rPr>
                <w:rFonts w:cs="Arial"/>
              </w:rPr>
              <w:lastRenderedPageBreak/>
              <w:t>“</w:t>
            </w:r>
            <w:r w:rsidRPr="008D6A63">
              <w:rPr>
                <w:rFonts w:cs="Arial"/>
              </w:rPr>
              <w:t>Publishable Performance Information</w:t>
            </w:r>
            <w:r>
              <w:rPr>
                <w:rFonts w:cs="Arial"/>
              </w:rPr>
              <w:t>”</w:t>
            </w:r>
          </w:p>
        </w:tc>
        <w:tc>
          <w:tcPr>
            <w:tcW w:w="6803" w:type="dxa"/>
          </w:tcPr>
          <w:p w14:paraId="143BF3F9" w14:textId="2DC32C8E" w:rsidR="002071BF" w:rsidRPr="008D6A63" w:rsidRDefault="002071BF" w:rsidP="002071BF">
            <w:pPr>
              <w:pStyle w:val="StdBodyText"/>
              <w:rPr>
                <w:rFonts w:cs="Arial"/>
              </w:rPr>
            </w:pPr>
            <w:r w:rsidRPr="008D6A63">
              <w:rPr>
                <w:rFonts w:cs="Arial"/>
              </w:rPr>
              <w:t xml:space="preserve">means any of the information in the Performance Monitoring Report as it relates to a Performance Indicator where it is expressed as publishable in the table in </w:t>
            </w:r>
            <w:r>
              <w:rPr>
                <w:rFonts w:cs="Arial"/>
              </w:rPr>
              <w:t xml:space="preserve">Annex 1 of Schedule 3 </w:t>
            </w:r>
            <w:r w:rsidRPr="00835D25">
              <w:rPr>
                <w:rFonts w:cs="Arial"/>
                <w:i/>
              </w:rPr>
              <w:t>(Performance Management)</w:t>
            </w:r>
            <w:r w:rsidRPr="008D6A63">
              <w:rPr>
                <w:rFonts w:cs="Arial"/>
              </w:rPr>
              <w:t xml:space="preserve"> which shall not constitute Commercially Sensitive Information;</w:t>
            </w:r>
          </w:p>
        </w:tc>
      </w:tr>
      <w:tr w:rsidR="002071BF" w:rsidRPr="00F55457" w14:paraId="00AFB3FD" w14:textId="77777777" w:rsidTr="0052486C">
        <w:tc>
          <w:tcPr>
            <w:tcW w:w="2835" w:type="dxa"/>
          </w:tcPr>
          <w:p w14:paraId="5AED6881" w14:textId="77777777" w:rsidR="002071BF" w:rsidRPr="008D6A63" w:rsidRDefault="002071BF" w:rsidP="002071BF">
            <w:pPr>
              <w:pStyle w:val="StdBodyTextBold"/>
              <w:rPr>
                <w:rFonts w:cs="Arial"/>
              </w:rPr>
            </w:pPr>
            <w:r>
              <w:rPr>
                <w:rFonts w:cs="Arial"/>
              </w:rPr>
              <w:t>“</w:t>
            </w:r>
            <w:r w:rsidRPr="008D6A63">
              <w:rPr>
                <w:rFonts w:cs="Arial"/>
              </w:rPr>
              <w:t>Quality Plans</w:t>
            </w:r>
            <w:r>
              <w:rPr>
                <w:rFonts w:cs="Arial"/>
              </w:rPr>
              <w:t>”</w:t>
            </w:r>
          </w:p>
        </w:tc>
        <w:tc>
          <w:tcPr>
            <w:tcW w:w="6803" w:type="dxa"/>
          </w:tcPr>
          <w:p w14:paraId="60CF02EA" w14:textId="77777777" w:rsidR="002071BF" w:rsidRPr="008D6A63" w:rsidRDefault="002071BF" w:rsidP="002071BF">
            <w:pPr>
              <w:pStyle w:val="StdBodyText"/>
              <w:rPr>
                <w:rFonts w:cs="Arial"/>
              </w:rPr>
            </w:pPr>
            <w:r w:rsidRPr="008D6A63">
              <w:rPr>
                <w:rFonts w:cs="Arial"/>
              </w:rPr>
              <w:t xml:space="preserve">has the meaning given in </w:t>
            </w:r>
            <w:bookmarkStart w:id="133" w:name="_9kR3WTr2BB6GGKChrAvAL"/>
            <w:r w:rsidRPr="008D6A63">
              <w:rPr>
                <w:rFonts w:cs="Arial"/>
              </w:rPr>
              <w:t xml:space="preserve">Clause </w:t>
            </w:r>
            <w:bookmarkEnd w:id="133"/>
            <w:r w:rsidRPr="008D6A63">
              <w:rPr>
                <w:rFonts w:cs="Arial"/>
              </w:rPr>
              <w:t>6.1 (</w:t>
            </w:r>
            <w:r w:rsidRPr="00214A89">
              <w:rPr>
                <w:rFonts w:cs="Arial"/>
                <w:i/>
                <w:iCs/>
              </w:rPr>
              <w:t>Quality Plans</w:t>
            </w:r>
            <w:r w:rsidRPr="008D6A63">
              <w:rPr>
                <w:rFonts w:cs="Arial"/>
              </w:rPr>
              <w:t>);</w:t>
            </w:r>
          </w:p>
        </w:tc>
      </w:tr>
      <w:tr w:rsidR="002071BF" w:rsidRPr="00F55457" w14:paraId="37775069" w14:textId="77777777" w:rsidTr="0052486C">
        <w:tc>
          <w:tcPr>
            <w:tcW w:w="2835" w:type="dxa"/>
          </w:tcPr>
          <w:p w14:paraId="6F989061" w14:textId="77777777" w:rsidR="002071BF" w:rsidRPr="008D6A63" w:rsidRDefault="002071BF" w:rsidP="002071BF">
            <w:pPr>
              <w:pStyle w:val="StdBodyTextBold"/>
              <w:rPr>
                <w:rFonts w:cs="Arial"/>
              </w:rPr>
            </w:pPr>
            <w:r>
              <w:rPr>
                <w:rFonts w:cs="Arial"/>
              </w:rPr>
              <w:t>“</w:t>
            </w:r>
            <w:r w:rsidRPr="008D6A63">
              <w:rPr>
                <w:rFonts w:cs="Arial"/>
              </w:rPr>
              <w:t>Quarter</w:t>
            </w:r>
            <w:r>
              <w:rPr>
                <w:rFonts w:cs="Arial"/>
              </w:rPr>
              <w:t>”</w:t>
            </w:r>
          </w:p>
        </w:tc>
        <w:tc>
          <w:tcPr>
            <w:tcW w:w="6803" w:type="dxa"/>
          </w:tcPr>
          <w:p w14:paraId="4AE7BE2B" w14:textId="77777777" w:rsidR="002071BF" w:rsidRPr="008D6A63" w:rsidRDefault="002071BF" w:rsidP="002071BF">
            <w:pPr>
              <w:pStyle w:val="StdBodyText"/>
              <w:rPr>
                <w:rFonts w:cs="Arial"/>
              </w:rPr>
            </w:pPr>
            <w:r w:rsidRPr="008D6A63">
              <w:rPr>
                <w:rFonts w:cs="Arial"/>
              </w:rPr>
              <w:t>the first three Service Periods and each subsequent three Service Periods (save that the final Quarter shall end on the date of termination or expiry of this Contract);</w:t>
            </w:r>
          </w:p>
        </w:tc>
      </w:tr>
      <w:tr w:rsidR="002071BF" w:rsidRPr="00F55457" w14:paraId="213BA025" w14:textId="77777777" w:rsidTr="0052486C">
        <w:tc>
          <w:tcPr>
            <w:tcW w:w="2835" w:type="dxa"/>
          </w:tcPr>
          <w:p w14:paraId="7754AF59" w14:textId="77777777" w:rsidR="002071BF" w:rsidRPr="008D6A63" w:rsidRDefault="002071BF" w:rsidP="002071BF">
            <w:pPr>
              <w:pStyle w:val="StdBodyTextBold"/>
              <w:rPr>
                <w:rFonts w:cs="Arial"/>
              </w:rPr>
            </w:pPr>
            <w:r>
              <w:rPr>
                <w:rFonts w:cs="Arial"/>
              </w:rPr>
              <w:t>“</w:t>
            </w:r>
            <w:r w:rsidRPr="008D6A63">
              <w:rPr>
                <w:rFonts w:cs="Arial"/>
              </w:rPr>
              <w:t>Recipient</w:t>
            </w:r>
            <w:r>
              <w:rPr>
                <w:rFonts w:cs="Arial"/>
              </w:rPr>
              <w:t>”</w:t>
            </w:r>
          </w:p>
        </w:tc>
        <w:tc>
          <w:tcPr>
            <w:tcW w:w="6803" w:type="dxa"/>
          </w:tcPr>
          <w:p w14:paraId="06D7D60F" w14:textId="77777777" w:rsidR="002071BF" w:rsidRPr="008D6A63" w:rsidRDefault="002071BF" w:rsidP="002071BF">
            <w:pPr>
              <w:pStyle w:val="StdBodyText"/>
              <w:rPr>
                <w:rFonts w:cs="Arial"/>
              </w:rPr>
            </w:pPr>
            <w:r w:rsidRPr="008D6A63">
              <w:rPr>
                <w:rFonts w:cs="Arial"/>
              </w:rPr>
              <w:t xml:space="preserve">has the meaning given in </w:t>
            </w:r>
            <w:bookmarkStart w:id="134" w:name="_9kMIH5YVtCIACJIFDDSN6C3pyFIECG78J7DG6In"/>
            <w:bookmarkStart w:id="135" w:name="_9kMIH5YVtCJBCJJGDDSN6C3pyFIECG78J7DG6In"/>
            <w:r w:rsidRPr="008D6A63">
              <w:rPr>
                <w:rFonts w:cs="Arial"/>
              </w:rPr>
              <w:t xml:space="preserve">Clause </w:t>
            </w:r>
            <w:bookmarkEnd w:id="134"/>
            <w:bookmarkEnd w:id="135"/>
            <w:r w:rsidRPr="008D6A63">
              <w:rPr>
                <w:rFonts w:cs="Arial"/>
              </w:rPr>
              <w:t>19.1 (</w:t>
            </w:r>
            <w:r w:rsidRPr="00214A89">
              <w:rPr>
                <w:rFonts w:cs="Arial"/>
                <w:i/>
                <w:iCs/>
              </w:rPr>
              <w:t>Confidentiality</w:t>
            </w:r>
            <w:r w:rsidRPr="008D6A63">
              <w:rPr>
                <w:rFonts w:cs="Arial"/>
              </w:rPr>
              <w:t>);</w:t>
            </w:r>
          </w:p>
        </w:tc>
      </w:tr>
      <w:tr w:rsidR="002071BF" w:rsidRPr="00F55457" w14:paraId="2B21AAD0" w14:textId="77777777" w:rsidTr="0052486C">
        <w:tc>
          <w:tcPr>
            <w:tcW w:w="2835" w:type="dxa"/>
          </w:tcPr>
          <w:p w14:paraId="077B62BE" w14:textId="77777777" w:rsidR="002071BF" w:rsidRDefault="002071BF" w:rsidP="002071BF">
            <w:pPr>
              <w:pStyle w:val="StdBodyTextBold"/>
              <w:rPr>
                <w:rFonts w:cs="Arial"/>
              </w:rPr>
            </w:pPr>
            <w:r w:rsidRPr="00D8080C">
              <w:t>“Recall”</w:t>
            </w:r>
          </w:p>
        </w:tc>
        <w:tc>
          <w:tcPr>
            <w:tcW w:w="6803" w:type="dxa"/>
          </w:tcPr>
          <w:p w14:paraId="2387C873" w14:textId="77777777" w:rsidR="002071BF" w:rsidRPr="008D6A63" w:rsidRDefault="002071BF" w:rsidP="002071BF">
            <w:pPr>
              <w:pStyle w:val="StdBodyText"/>
              <w:rPr>
                <w:rFonts w:cs="Arial"/>
              </w:rPr>
            </w:pPr>
            <w:r w:rsidRPr="00D8080C">
              <w:t>a request by the Supplier to return Goods to the Supplier or the manufacturer after the discovery of safety issues or defects (including defects in the IPR rights) that might endanger health or hinder performance;</w:t>
            </w:r>
          </w:p>
        </w:tc>
      </w:tr>
      <w:tr w:rsidR="002071BF" w:rsidRPr="00F55457" w14:paraId="7F60BCCA" w14:textId="77777777" w:rsidTr="0052486C">
        <w:tc>
          <w:tcPr>
            <w:tcW w:w="2835" w:type="dxa"/>
          </w:tcPr>
          <w:p w14:paraId="45A2A888" w14:textId="77777777" w:rsidR="002071BF" w:rsidRPr="008D6A63" w:rsidRDefault="002071BF" w:rsidP="002071BF">
            <w:pPr>
              <w:pStyle w:val="StdBodyTextBold"/>
              <w:rPr>
                <w:rFonts w:cs="Arial"/>
              </w:rPr>
            </w:pPr>
            <w:r>
              <w:rPr>
                <w:rFonts w:cs="Arial"/>
              </w:rPr>
              <w:t>“</w:t>
            </w:r>
            <w:r w:rsidRPr="008D6A63">
              <w:rPr>
                <w:rFonts w:cs="Arial"/>
              </w:rPr>
              <w:t>Records</w:t>
            </w:r>
            <w:r>
              <w:rPr>
                <w:rFonts w:cs="Arial"/>
              </w:rPr>
              <w:t>”</w:t>
            </w:r>
          </w:p>
        </w:tc>
        <w:tc>
          <w:tcPr>
            <w:tcW w:w="6803" w:type="dxa"/>
          </w:tcPr>
          <w:p w14:paraId="0C284160" w14:textId="2ABA7A97" w:rsidR="002071BF" w:rsidRPr="008D6A63" w:rsidRDefault="002071BF" w:rsidP="002071BF">
            <w:pPr>
              <w:pStyle w:val="StdBodyText"/>
              <w:rPr>
                <w:rFonts w:cs="Arial"/>
              </w:rPr>
            </w:pPr>
            <w:r w:rsidRPr="008D6A63">
              <w:rPr>
                <w:rFonts w:cs="Arial"/>
              </w:rPr>
              <w:t xml:space="preserve">has the meaning given in </w:t>
            </w:r>
            <w:r>
              <w:rPr>
                <w:rFonts w:cs="Arial"/>
              </w:rPr>
              <w:fldChar w:fldCharType="begin"/>
            </w:r>
            <w:r>
              <w:rPr>
                <w:rFonts w:cs="Arial"/>
              </w:rPr>
              <w:instrText xml:space="preserve"> REF Schedule24 \h </w:instrText>
            </w:r>
            <w:r>
              <w:rPr>
                <w:rFonts w:cs="Arial"/>
              </w:rPr>
            </w:r>
            <w:r>
              <w:rPr>
                <w:rFonts w:cs="Arial"/>
              </w:rPr>
              <w:fldChar w:fldCharType="separate"/>
            </w:r>
            <w:r w:rsidR="007A1473" w:rsidRPr="005D0525">
              <w:t>Schedule</w:t>
            </w:r>
            <w:r w:rsidR="007A1473">
              <w:t> </w:t>
            </w:r>
            <w:r w:rsidR="007A1473" w:rsidRPr="005D0525">
              <w:t>24</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Schedule24Heading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Reports and Records Provisions</w:t>
            </w:r>
            <w:r w:rsidRPr="00A22335">
              <w:rPr>
                <w:rFonts w:cs="Arial"/>
                <w:i/>
                <w:iCs/>
              </w:rPr>
              <w:fldChar w:fldCharType="end"/>
            </w:r>
            <w:r>
              <w:rPr>
                <w:rFonts w:cs="Arial"/>
              </w:rPr>
              <w:t>)</w:t>
            </w:r>
            <w:r w:rsidRPr="008D6A63">
              <w:rPr>
                <w:rFonts w:cs="Arial"/>
              </w:rPr>
              <w:t>;</w:t>
            </w:r>
          </w:p>
        </w:tc>
      </w:tr>
      <w:tr w:rsidR="002071BF" w:rsidRPr="00F55457" w14:paraId="09EC85E9" w14:textId="77777777" w:rsidTr="0052486C">
        <w:tc>
          <w:tcPr>
            <w:tcW w:w="2835" w:type="dxa"/>
          </w:tcPr>
          <w:p w14:paraId="3D378513" w14:textId="77777777" w:rsidR="002071BF" w:rsidRPr="008D6A63" w:rsidRDefault="002071BF" w:rsidP="002071BF">
            <w:pPr>
              <w:pStyle w:val="StdBodyTextBold"/>
              <w:rPr>
                <w:rFonts w:cs="Arial"/>
              </w:rPr>
            </w:pPr>
            <w:r>
              <w:rPr>
                <w:rFonts w:cs="Arial"/>
              </w:rPr>
              <w:t>“</w:t>
            </w:r>
            <w:r w:rsidRPr="008D6A63">
              <w:rPr>
                <w:rFonts w:cs="Arial"/>
              </w:rPr>
              <w:t>Rectification Plan</w:t>
            </w:r>
            <w:r>
              <w:rPr>
                <w:rFonts w:cs="Arial"/>
              </w:rPr>
              <w:t>”</w:t>
            </w:r>
          </w:p>
        </w:tc>
        <w:tc>
          <w:tcPr>
            <w:tcW w:w="6803" w:type="dxa"/>
          </w:tcPr>
          <w:p w14:paraId="15F8EEC4" w14:textId="77777777" w:rsidR="002071BF" w:rsidRPr="008D6A63" w:rsidRDefault="002071BF" w:rsidP="002071BF">
            <w:pPr>
              <w:pStyle w:val="StdBodyText"/>
              <w:rPr>
                <w:rFonts w:cs="Arial"/>
              </w:rPr>
            </w:pPr>
            <w:r w:rsidRPr="008D6A63">
              <w:rPr>
                <w:rFonts w:cs="Arial"/>
              </w:rPr>
              <w:t>a plan to address the impact of, and prevent the reoccurrence of, a Notifiable Default;</w:t>
            </w:r>
          </w:p>
        </w:tc>
      </w:tr>
      <w:tr w:rsidR="002071BF" w:rsidRPr="00F55457" w14:paraId="5348A6FA" w14:textId="77777777" w:rsidTr="0052486C">
        <w:tc>
          <w:tcPr>
            <w:tcW w:w="2835" w:type="dxa"/>
          </w:tcPr>
          <w:p w14:paraId="51D9F1AB" w14:textId="77777777" w:rsidR="002071BF" w:rsidRPr="008D6A63" w:rsidRDefault="002071BF" w:rsidP="002071BF">
            <w:pPr>
              <w:pStyle w:val="StdBodyTextBold"/>
              <w:rPr>
                <w:rFonts w:cs="Arial"/>
              </w:rPr>
            </w:pPr>
            <w:r>
              <w:rPr>
                <w:rFonts w:cs="Arial"/>
              </w:rPr>
              <w:t>“</w:t>
            </w:r>
            <w:r w:rsidRPr="008D6A63">
              <w:rPr>
                <w:rFonts w:cs="Arial"/>
              </w:rPr>
              <w:t>Rectification Plan Failure</w:t>
            </w:r>
            <w:r>
              <w:rPr>
                <w:rFonts w:cs="Arial"/>
              </w:rPr>
              <w:t>”</w:t>
            </w:r>
          </w:p>
        </w:tc>
        <w:tc>
          <w:tcPr>
            <w:tcW w:w="6803" w:type="dxa"/>
          </w:tcPr>
          <w:p w14:paraId="3119058A" w14:textId="77777777" w:rsidR="002071BF" w:rsidRPr="008D6A63" w:rsidRDefault="002071BF" w:rsidP="002071BF">
            <w:pPr>
              <w:pStyle w:val="DefinitionList"/>
              <w:numPr>
                <w:ilvl w:val="0"/>
                <w:numId w:val="67"/>
              </w:numPr>
            </w:pPr>
            <w:r w:rsidRPr="008D6A63">
              <w:t xml:space="preserve">the Supplier failing to submit or resubmit a draft Rectification Plan to the Authority within the timescales </w:t>
            </w:r>
            <w:r w:rsidRPr="00FC6BE5">
              <w:t>specified</w:t>
            </w:r>
            <w:r w:rsidRPr="008D6A63">
              <w:t xml:space="preserve"> in </w:t>
            </w:r>
            <w:bookmarkStart w:id="136" w:name="_9kMIH5YVtCIABKOJJMjUmYjD960u4JAtyAISC5D"/>
            <w:r w:rsidRPr="008D6A63">
              <w:t xml:space="preserve">Clauses </w:t>
            </w:r>
            <w:bookmarkEnd w:id="136"/>
            <w:r w:rsidRPr="008D6A63">
              <w:t>25.4 (</w:t>
            </w:r>
            <w:r w:rsidRPr="00214A89">
              <w:rPr>
                <w:i/>
                <w:iCs/>
              </w:rPr>
              <w:t>Submission of the draft Rectification Plan</w:t>
            </w:r>
            <w:r w:rsidRPr="008D6A63">
              <w:t>) or 25.8 (</w:t>
            </w:r>
            <w:r w:rsidRPr="00214A89">
              <w:rPr>
                <w:i/>
                <w:iCs/>
              </w:rPr>
              <w:t>Agreement of the Rectification Plan</w:t>
            </w:r>
            <w:r w:rsidRPr="008D6A63">
              <w:t xml:space="preserve">); </w:t>
            </w:r>
          </w:p>
          <w:p w14:paraId="27F63F7F" w14:textId="77777777" w:rsidR="002071BF" w:rsidRPr="008D6A63" w:rsidRDefault="002071BF" w:rsidP="002071BF">
            <w:pPr>
              <w:pStyle w:val="DefinitionList"/>
              <w:numPr>
                <w:ilvl w:val="0"/>
                <w:numId w:val="78"/>
              </w:numPr>
              <w:rPr>
                <w:rFonts w:cs="Arial"/>
              </w:rPr>
            </w:pPr>
            <w:r w:rsidRPr="008D6A63">
              <w:rPr>
                <w:rFonts w:cs="Arial"/>
              </w:rPr>
              <w:t xml:space="preserve">the Authority, </w:t>
            </w:r>
            <w:bookmarkStart w:id="137" w:name="_9kR3WTr5DA49Ah"/>
            <w:bookmarkEnd w:id="137"/>
            <w:r w:rsidRPr="008D6A63">
              <w:rPr>
                <w:rFonts w:cs="Arial"/>
              </w:rPr>
              <w:t xml:space="preserve">acting reasonably, rejecting a revised draft of the Rectification Plan submitted by the Supplier pursuant to </w:t>
            </w:r>
            <w:bookmarkStart w:id="138" w:name="_9kMHG5YVtCIABKLGJPmUmGRH51C7ARLyBTA34yE"/>
            <w:r w:rsidRPr="008D6A63">
              <w:rPr>
                <w:rFonts w:cs="Arial"/>
              </w:rPr>
              <w:t xml:space="preserve">Clause </w:t>
            </w:r>
            <w:bookmarkEnd w:id="138"/>
            <w:r w:rsidRPr="008D6A63">
              <w:rPr>
                <w:rFonts w:cs="Arial"/>
              </w:rPr>
              <w:t>25.7 (</w:t>
            </w:r>
            <w:r w:rsidRPr="00214A89">
              <w:rPr>
                <w:rFonts w:cs="Arial"/>
                <w:i/>
                <w:iCs/>
              </w:rPr>
              <w:t>Agreement of the Rectification Plan</w:t>
            </w:r>
            <w:r w:rsidRPr="008D6A63">
              <w:rPr>
                <w:rFonts w:cs="Arial"/>
              </w:rPr>
              <w:t xml:space="preserve">); </w:t>
            </w:r>
          </w:p>
          <w:p w14:paraId="2CEEC61A" w14:textId="77777777" w:rsidR="002071BF" w:rsidRPr="008D6A63" w:rsidRDefault="002071BF" w:rsidP="002071BF">
            <w:pPr>
              <w:pStyle w:val="DefinitionList"/>
              <w:numPr>
                <w:ilvl w:val="0"/>
                <w:numId w:val="78"/>
              </w:numPr>
              <w:rPr>
                <w:rFonts w:cs="Arial"/>
              </w:rPr>
            </w:pPr>
            <w:r w:rsidRPr="008D6A63">
              <w:rPr>
                <w:rFonts w:cs="Arial"/>
              </w:rPr>
              <w:t>the Supplier failing to rectify a material Default within the later of:</w:t>
            </w:r>
          </w:p>
          <w:p w14:paraId="5F329A8D" w14:textId="77777777" w:rsidR="002071BF" w:rsidRPr="008D6A63" w:rsidRDefault="002071BF" w:rsidP="002071BF">
            <w:pPr>
              <w:pStyle w:val="DefinitionListLevel1"/>
              <w:numPr>
                <w:ilvl w:val="1"/>
                <w:numId w:val="78"/>
              </w:numPr>
              <w:rPr>
                <w:rFonts w:cs="Arial"/>
              </w:rPr>
            </w:pPr>
            <w:r w:rsidRPr="008D6A63">
              <w:rPr>
                <w:rFonts w:cs="Arial"/>
              </w:rPr>
              <w:t xml:space="preserve">30 Working Days of a notification made pursuant to </w:t>
            </w:r>
            <w:bookmarkStart w:id="139" w:name="_9kMIH5YVtCIABLICJKWH"/>
            <w:r w:rsidRPr="008D6A63">
              <w:rPr>
                <w:rFonts w:cs="Arial"/>
              </w:rPr>
              <w:t xml:space="preserve">Clause </w:t>
            </w:r>
            <w:bookmarkEnd w:id="139"/>
            <w:r w:rsidRPr="008D6A63">
              <w:rPr>
                <w:rFonts w:cs="Arial"/>
              </w:rPr>
              <w:t>25.2 (</w:t>
            </w:r>
            <w:r w:rsidRPr="00214A89">
              <w:rPr>
                <w:rFonts w:cs="Arial"/>
                <w:i/>
                <w:iCs/>
              </w:rPr>
              <w:t>Notification</w:t>
            </w:r>
            <w:r w:rsidRPr="008D6A63">
              <w:rPr>
                <w:rFonts w:cs="Arial"/>
              </w:rPr>
              <w:t xml:space="preserve">); and </w:t>
            </w:r>
          </w:p>
          <w:p w14:paraId="335FFB86" w14:textId="77777777" w:rsidR="002071BF" w:rsidRPr="008D6A63" w:rsidRDefault="002071BF" w:rsidP="002071BF">
            <w:pPr>
              <w:pStyle w:val="DefinitionListLevel1"/>
              <w:numPr>
                <w:ilvl w:val="1"/>
                <w:numId w:val="78"/>
              </w:numPr>
              <w:rPr>
                <w:rFonts w:cs="Arial"/>
              </w:rPr>
            </w:pPr>
            <w:r w:rsidRPr="008D6A63">
              <w:rPr>
                <w:rFonts w:cs="Arial"/>
              </w:rPr>
              <w:t>where the Parties have agreed a Rectification Plan in respect of that material Default and the Supplier can demonstrate that it is implementing the Rectification Plan in good faith, the date specified in the Rectification Plan by which the Supplier must rectify the material Default;</w:t>
            </w:r>
          </w:p>
          <w:p w14:paraId="04411787" w14:textId="77777777" w:rsidR="002071BF" w:rsidRPr="008D6A63" w:rsidRDefault="002071BF" w:rsidP="002071BF">
            <w:pPr>
              <w:pStyle w:val="DefinitionList"/>
              <w:numPr>
                <w:ilvl w:val="0"/>
                <w:numId w:val="78"/>
              </w:numPr>
              <w:rPr>
                <w:rFonts w:cs="Arial"/>
              </w:rPr>
            </w:pPr>
            <w:r w:rsidRPr="008D6A63">
              <w:rPr>
                <w:rFonts w:cs="Arial"/>
              </w:rPr>
              <w:t xml:space="preserve">a Material KPI Failure re-occurring in respect of the same Key Performance Indicator for the same (or </w:t>
            </w:r>
            <w:r w:rsidRPr="008D6A63">
              <w:rPr>
                <w:rFonts w:cs="Arial"/>
              </w:rPr>
              <w:lastRenderedPageBreak/>
              <w:t xml:space="preserve">substantially the same) root cause in any of the 3 Measurement Periods subsequent to the Measurement Period in which the initial Material KPI Failure occurred; </w:t>
            </w:r>
          </w:p>
          <w:p w14:paraId="50305355" w14:textId="77777777" w:rsidR="002071BF" w:rsidRPr="008D6A63" w:rsidRDefault="002071BF" w:rsidP="002071BF">
            <w:pPr>
              <w:pStyle w:val="DefinitionList"/>
              <w:numPr>
                <w:ilvl w:val="0"/>
                <w:numId w:val="78"/>
              </w:numPr>
              <w:rPr>
                <w:rFonts w:cs="Arial"/>
              </w:rPr>
            </w:pPr>
            <w:r w:rsidRPr="008D6A63">
              <w:rPr>
                <w:rFonts w:cs="Arial"/>
              </w:rPr>
              <w:t>the Supplier not Achieving a Key Milestone by the expiry of the Delay Deduction Period; and/or</w:t>
            </w:r>
          </w:p>
          <w:p w14:paraId="68F9D40B" w14:textId="77777777" w:rsidR="002071BF" w:rsidRPr="008D6A63" w:rsidRDefault="002071BF" w:rsidP="002071BF">
            <w:pPr>
              <w:pStyle w:val="DefinitionList"/>
              <w:numPr>
                <w:ilvl w:val="0"/>
                <w:numId w:val="78"/>
              </w:numPr>
              <w:rPr>
                <w:rFonts w:cs="Arial"/>
              </w:rPr>
            </w:pPr>
            <w:r w:rsidRPr="008D6A63">
              <w:rPr>
                <w:rFonts w:cs="Arial"/>
              </w:rPr>
              <w:t>following the successful implementation of a Rectification Plan, the same Notifiable Default recurring within a period of 6 months for the same (or substantially the same) root cause as that of the original Notifiable Default;</w:t>
            </w:r>
          </w:p>
        </w:tc>
      </w:tr>
      <w:tr w:rsidR="002071BF" w:rsidRPr="00F55457" w14:paraId="59C7EDE0" w14:textId="77777777" w:rsidTr="0052486C">
        <w:tc>
          <w:tcPr>
            <w:tcW w:w="2835" w:type="dxa"/>
          </w:tcPr>
          <w:p w14:paraId="253A9DC3" w14:textId="77777777" w:rsidR="002071BF" w:rsidRPr="008D6A63" w:rsidRDefault="002071BF" w:rsidP="002071BF">
            <w:pPr>
              <w:pStyle w:val="StdBodyTextBold"/>
              <w:rPr>
                <w:rFonts w:cs="Arial"/>
              </w:rPr>
            </w:pPr>
            <w:r>
              <w:rPr>
                <w:rFonts w:cs="Arial"/>
              </w:rPr>
              <w:lastRenderedPageBreak/>
              <w:t>“</w:t>
            </w:r>
            <w:r w:rsidRPr="008D6A63">
              <w:rPr>
                <w:rFonts w:cs="Arial"/>
              </w:rPr>
              <w:t>Rectification Plan Process</w:t>
            </w:r>
            <w:r>
              <w:rPr>
                <w:rFonts w:cs="Arial"/>
              </w:rPr>
              <w:t>”</w:t>
            </w:r>
          </w:p>
        </w:tc>
        <w:tc>
          <w:tcPr>
            <w:tcW w:w="6803" w:type="dxa"/>
          </w:tcPr>
          <w:p w14:paraId="54C30C9E" w14:textId="77777777" w:rsidR="002071BF" w:rsidRPr="008D6A63" w:rsidRDefault="002071BF" w:rsidP="002071BF">
            <w:pPr>
              <w:pStyle w:val="StdBodyText"/>
              <w:rPr>
                <w:rFonts w:cs="Arial"/>
              </w:rPr>
            </w:pPr>
            <w:r w:rsidRPr="008D6A63">
              <w:rPr>
                <w:rFonts w:cs="Arial"/>
              </w:rPr>
              <w:t xml:space="preserve">the process set out in </w:t>
            </w:r>
            <w:bookmarkStart w:id="140" w:name="_9kMJI5YVtCIABKOJJMjUmYjD960u4JAtyAISC5D"/>
            <w:r w:rsidRPr="008D6A63">
              <w:rPr>
                <w:rFonts w:cs="Arial"/>
              </w:rPr>
              <w:t xml:space="preserve">Clauses </w:t>
            </w:r>
            <w:bookmarkEnd w:id="140"/>
            <w:r w:rsidRPr="008D6A63">
              <w:rPr>
                <w:rFonts w:cs="Arial"/>
              </w:rPr>
              <w:t>25.4 (</w:t>
            </w:r>
            <w:r w:rsidRPr="00214A89">
              <w:rPr>
                <w:rFonts w:cs="Arial"/>
                <w:i/>
                <w:iCs/>
              </w:rPr>
              <w:t>Submission of the draft Rectification Plan</w:t>
            </w:r>
            <w:r w:rsidRPr="008D6A63">
              <w:rPr>
                <w:rFonts w:cs="Arial"/>
              </w:rPr>
              <w:t>) to 25.9 (</w:t>
            </w:r>
            <w:r w:rsidRPr="00214A89">
              <w:rPr>
                <w:rFonts w:cs="Arial"/>
                <w:i/>
                <w:iCs/>
              </w:rPr>
              <w:t>Agreement of the Rectification Plan</w:t>
            </w:r>
            <w:r w:rsidRPr="008D6A63">
              <w:rPr>
                <w:rFonts w:cs="Arial"/>
              </w:rPr>
              <w:t>);</w:t>
            </w:r>
          </w:p>
        </w:tc>
      </w:tr>
      <w:tr w:rsidR="00FB2D9F" w:rsidRPr="00F55457" w14:paraId="1814ED98" w14:textId="77777777" w:rsidTr="0052486C">
        <w:tc>
          <w:tcPr>
            <w:tcW w:w="2835" w:type="dxa"/>
          </w:tcPr>
          <w:p w14:paraId="50D690DC" w14:textId="70E6FD7B" w:rsidR="00FB2D9F" w:rsidRDefault="00FB2D9F" w:rsidP="00757ECE">
            <w:pPr>
              <w:pStyle w:val="StdBodyTextBold"/>
              <w:rPr>
                <w:rFonts w:cs="Arial"/>
              </w:rPr>
            </w:pPr>
            <w:r>
              <w:rPr>
                <w:rFonts w:cs="Arial"/>
              </w:rPr>
              <w:t>“Register Only Platform Customer”</w:t>
            </w:r>
          </w:p>
        </w:tc>
        <w:tc>
          <w:tcPr>
            <w:tcW w:w="6803" w:type="dxa"/>
          </w:tcPr>
          <w:p w14:paraId="52801E3D" w14:textId="0EA6229F" w:rsidR="00FB2D9F" w:rsidRPr="008D6A63" w:rsidRDefault="00FB2D9F" w:rsidP="00757ECE">
            <w:pPr>
              <w:pStyle w:val="StdBodyText"/>
              <w:rPr>
                <w:rFonts w:cs="Arial"/>
              </w:rPr>
            </w:pPr>
            <w:r w:rsidRPr="002071BF">
              <w:rPr>
                <w:rFonts w:cs="Arial"/>
                <w:color w:val="000000"/>
              </w:rPr>
              <w:t xml:space="preserve">means any Platform Customer </w:t>
            </w:r>
            <w:r>
              <w:rPr>
                <w:rFonts w:cs="Arial"/>
                <w:color w:val="000000"/>
              </w:rPr>
              <w:t xml:space="preserve">(as identified by the Authority to the Supplier) </w:t>
            </w:r>
            <w:r w:rsidRPr="002071BF">
              <w:rPr>
                <w:rFonts w:cs="Arial"/>
                <w:color w:val="000000"/>
              </w:rPr>
              <w:t>that</w:t>
            </w:r>
            <w:r w:rsidR="00540F77">
              <w:rPr>
                <w:rFonts w:cs="Arial"/>
                <w:color w:val="000000"/>
              </w:rPr>
              <w:t xml:space="preserve"> posts</w:t>
            </w:r>
            <w:r w:rsidR="00C830AB">
              <w:rPr>
                <w:rFonts w:cs="Arial"/>
                <w:color w:val="000000"/>
              </w:rPr>
              <w:t xml:space="preserve"> </w:t>
            </w:r>
            <w:r>
              <w:rPr>
                <w:rFonts w:cs="Arial"/>
                <w:color w:val="000000"/>
              </w:rPr>
              <w:t>vacancies on the Civil Service Jobs p</w:t>
            </w:r>
            <w:r w:rsidRPr="002071BF">
              <w:rPr>
                <w:rFonts w:cs="Arial"/>
                <w:color w:val="000000"/>
              </w:rPr>
              <w:t>latform</w:t>
            </w:r>
            <w:r w:rsidR="00540F77">
              <w:rPr>
                <w:rFonts w:cs="Arial"/>
                <w:color w:val="000000"/>
              </w:rPr>
              <w:t xml:space="preserve"> without access to any other functionality</w:t>
            </w:r>
            <w:r>
              <w:rPr>
                <w:rFonts w:cs="Arial"/>
                <w:color w:val="000000"/>
              </w:rPr>
              <w:t xml:space="preserve">, and the term </w:t>
            </w:r>
            <w:r w:rsidR="00B04141" w:rsidRPr="00B04141">
              <w:rPr>
                <w:rFonts w:cs="Arial"/>
                <w:b/>
                <w:color w:val="000000"/>
              </w:rPr>
              <w:t>"Register"</w:t>
            </w:r>
            <w:r w:rsidR="00B04141">
              <w:rPr>
                <w:rFonts w:cs="Arial"/>
                <w:color w:val="000000"/>
              </w:rPr>
              <w:t xml:space="preserve"> or </w:t>
            </w:r>
            <w:r w:rsidRPr="002071BF">
              <w:rPr>
                <w:rFonts w:cs="Arial"/>
                <w:b/>
                <w:color w:val="000000"/>
              </w:rPr>
              <w:t>"</w:t>
            </w:r>
            <w:r>
              <w:rPr>
                <w:rFonts w:cs="Arial"/>
                <w:b/>
                <w:color w:val="000000"/>
              </w:rPr>
              <w:t>Register Only</w:t>
            </w:r>
            <w:r w:rsidRPr="002071BF">
              <w:rPr>
                <w:rFonts w:cs="Arial"/>
                <w:b/>
                <w:color w:val="000000"/>
              </w:rPr>
              <w:t>"</w:t>
            </w:r>
            <w:r>
              <w:rPr>
                <w:rFonts w:cs="Arial"/>
                <w:color w:val="000000"/>
              </w:rPr>
              <w:t xml:space="preserve"> will be construed accordingly</w:t>
            </w:r>
            <w:r w:rsidRPr="002071BF">
              <w:rPr>
                <w:rFonts w:cs="Arial"/>
                <w:color w:val="000000"/>
              </w:rPr>
              <w:t>;</w:t>
            </w:r>
          </w:p>
        </w:tc>
      </w:tr>
      <w:tr w:rsidR="002071BF" w:rsidRPr="00F55457" w14:paraId="3C37D096" w14:textId="77777777" w:rsidTr="0052486C">
        <w:tc>
          <w:tcPr>
            <w:tcW w:w="2835" w:type="dxa"/>
          </w:tcPr>
          <w:p w14:paraId="65FD9A77" w14:textId="77777777" w:rsidR="002071BF" w:rsidRPr="008D6A63" w:rsidRDefault="002071BF" w:rsidP="002071BF">
            <w:pPr>
              <w:pStyle w:val="StdBodyTextBold"/>
              <w:rPr>
                <w:rFonts w:cs="Arial"/>
              </w:rPr>
            </w:pPr>
            <w:r>
              <w:rPr>
                <w:rFonts w:cs="Arial"/>
              </w:rPr>
              <w:t>“</w:t>
            </w:r>
            <w:r w:rsidRPr="008D6A63">
              <w:rPr>
                <w:rFonts w:cs="Arial"/>
              </w:rPr>
              <w:t>Registers</w:t>
            </w:r>
            <w:r>
              <w:rPr>
                <w:rFonts w:cs="Arial"/>
              </w:rPr>
              <w:t>”</w:t>
            </w:r>
            <w:r w:rsidRPr="008D6A63">
              <w:rPr>
                <w:rFonts w:cs="Arial"/>
              </w:rPr>
              <w:t xml:space="preserve"> </w:t>
            </w:r>
          </w:p>
        </w:tc>
        <w:tc>
          <w:tcPr>
            <w:tcW w:w="6803" w:type="dxa"/>
          </w:tcPr>
          <w:p w14:paraId="4D1BBD3E" w14:textId="6A835AEA" w:rsidR="002071BF" w:rsidRPr="008D6A63" w:rsidRDefault="002071BF" w:rsidP="002071BF">
            <w:pPr>
              <w:pStyle w:val="StdBodyText"/>
              <w:rPr>
                <w:rFonts w:cs="Arial"/>
              </w:rPr>
            </w:pPr>
            <w:r w:rsidRPr="008D6A63">
              <w:rPr>
                <w:rFonts w:cs="Arial"/>
              </w:rPr>
              <w:t xml:space="preserve">has the meaning given in </w:t>
            </w:r>
            <w:r>
              <w:rPr>
                <w:rFonts w:cs="Arial"/>
              </w:rPr>
              <w:fldChar w:fldCharType="begin"/>
            </w:r>
            <w:r>
              <w:rPr>
                <w:rFonts w:cs="Arial"/>
              </w:rPr>
              <w:instrText xml:space="preserve"> REF Schedule25 \h </w:instrText>
            </w:r>
            <w:r>
              <w:rPr>
                <w:rFonts w:cs="Arial"/>
              </w:rPr>
            </w:r>
            <w:r>
              <w:rPr>
                <w:rFonts w:cs="Arial"/>
              </w:rPr>
              <w:fldChar w:fldCharType="separate"/>
            </w:r>
            <w:r w:rsidR="007A1473" w:rsidRPr="005D0525">
              <w:t>Schedule 25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Exit Management</w:t>
            </w:r>
            <w:r w:rsidRPr="00A22335">
              <w:rPr>
                <w:rFonts w:cs="Arial"/>
                <w:i/>
                <w:iCs/>
              </w:rPr>
              <w:fldChar w:fldCharType="end"/>
            </w:r>
            <w:r>
              <w:rPr>
                <w:rFonts w:cs="Arial"/>
              </w:rPr>
              <w:t>)</w:t>
            </w:r>
            <w:r w:rsidRPr="008D6A63">
              <w:rPr>
                <w:rFonts w:cs="Arial"/>
              </w:rPr>
              <w:t>;</w:t>
            </w:r>
          </w:p>
        </w:tc>
      </w:tr>
      <w:tr w:rsidR="002071BF" w:rsidRPr="00F55457" w14:paraId="492D5F23" w14:textId="77777777" w:rsidTr="0052486C">
        <w:tc>
          <w:tcPr>
            <w:tcW w:w="2835" w:type="dxa"/>
          </w:tcPr>
          <w:p w14:paraId="4449D4E5" w14:textId="77777777" w:rsidR="002071BF" w:rsidRPr="008D6A63" w:rsidRDefault="002071BF" w:rsidP="002071BF">
            <w:pPr>
              <w:pStyle w:val="StdBodyTextBold"/>
              <w:rPr>
                <w:rFonts w:cs="Arial"/>
              </w:rPr>
            </w:pPr>
            <w:r>
              <w:rPr>
                <w:rFonts w:cs="Arial"/>
              </w:rPr>
              <w:t>“</w:t>
            </w:r>
            <w:r w:rsidRPr="008D6A63">
              <w:rPr>
                <w:rFonts w:cs="Arial"/>
              </w:rPr>
              <w:t>Reimbursable Expenses</w:t>
            </w:r>
            <w:r>
              <w:rPr>
                <w:rFonts w:cs="Arial"/>
              </w:rPr>
              <w:t>”</w:t>
            </w:r>
          </w:p>
        </w:tc>
        <w:tc>
          <w:tcPr>
            <w:tcW w:w="6803" w:type="dxa"/>
          </w:tcPr>
          <w:p w14:paraId="5F793D31" w14:textId="65BFBDD9" w:rsidR="002071BF" w:rsidRPr="008D6A63" w:rsidRDefault="002071BF" w:rsidP="002071BF">
            <w:pPr>
              <w:pStyle w:val="StdBodyText"/>
              <w:rPr>
                <w:rFonts w:cs="Arial"/>
              </w:rPr>
            </w:pPr>
            <w:r w:rsidRPr="008D6A63">
              <w:rPr>
                <w:rFonts w:cs="Arial"/>
              </w:rPr>
              <w:t xml:space="preserve">has the meaning given in </w:t>
            </w:r>
            <w:r w:rsidR="00757ECE">
              <w:rPr>
                <w:rFonts w:cs="Arial"/>
              </w:rPr>
              <w:t xml:space="preserve">Schedule 15 </w:t>
            </w:r>
            <w:r w:rsidR="00757ECE" w:rsidRPr="00757ECE">
              <w:rPr>
                <w:rFonts w:cs="Arial"/>
                <w:i/>
              </w:rPr>
              <w:t>(Charges and Invoicing)</w:t>
            </w:r>
            <w:r w:rsidRPr="008D6A63">
              <w:rPr>
                <w:rFonts w:cs="Arial"/>
              </w:rPr>
              <w:t>;</w:t>
            </w:r>
          </w:p>
        </w:tc>
      </w:tr>
      <w:tr w:rsidR="002071BF" w:rsidRPr="00F55457" w14:paraId="5DEEED0B" w14:textId="77777777" w:rsidTr="0052486C">
        <w:tc>
          <w:tcPr>
            <w:tcW w:w="2835" w:type="dxa"/>
          </w:tcPr>
          <w:p w14:paraId="6CA78F7D" w14:textId="77777777" w:rsidR="002071BF" w:rsidRPr="008D6A63" w:rsidRDefault="002071BF" w:rsidP="002071BF">
            <w:pPr>
              <w:pStyle w:val="StdBodyTextBold"/>
              <w:rPr>
                <w:rFonts w:cs="Arial"/>
              </w:rPr>
            </w:pPr>
            <w:r>
              <w:rPr>
                <w:rFonts w:cs="Arial"/>
              </w:rPr>
              <w:t>“</w:t>
            </w:r>
            <w:r w:rsidRPr="008D6A63">
              <w:rPr>
                <w:rFonts w:cs="Arial"/>
              </w:rPr>
              <w:t>Relevant Author</w:t>
            </w:r>
            <w:bookmarkStart w:id="141" w:name="_9kR3WTr5DA49BZKlmxun7"/>
            <w:bookmarkEnd w:id="141"/>
            <w:r w:rsidRPr="008D6A63">
              <w:rPr>
                <w:rFonts w:cs="Arial"/>
              </w:rPr>
              <w:t>ity</w:t>
            </w:r>
            <w:r>
              <w:rPr>
                <w:rFonts w:cs="Arial"/>
              </w:rPr>
              <w:t>”</w:t>
            </w:r>
            <w:r w:rsidRPr="008D6A63">
              <w:rPr>
                <w:rFonts w:cs="Arial"/>
              </w:rPr>
              <w:t xml:space="preserve"> or </w:t>
            </w:r>
            <w:r>
              <w:rPr>
                <w:rFonts w:cs="Arial"/>
              </w:rPr>
              <w:t>“</w:t>
            </w:r>
            <w:r w:rsidRPr="008D6A63">
              <w:rPr>
                <w:rFonts w:cs="Arial"/>
              </w:rPr>
              <w:t>Relevant Authorities</w:t>
            </w:r>
            <w:r>
              <w:rPr>
                <w:rFonts w:cs="Arial"/>
              </w:rPr>
              <w:t>”</w:t>
            </w:r>
          </w:p>
        </w:tc>
        <w:tc>
          <w:tcPr>
            <w:tcW w:w="6803" w:type="dxa"/>
          </w:tcPr>
          <w:p w14:paraId="73389D14" w14:textId="77777777" w:rsidR="002071BF" w:rsidRPr="008D6A63" w:rsidRDefault="002071BF" w:rsidP="002071BF">
            <w:pPr>
              <w:pStyle w:val="StdBodyText"/>
              <w:rPr>
                <w:rFonts w:cs="Arial"/>
              </w:rPr>
            </w:pPr>
            <w:r w:rsidRPr="008D6A63">
              <w:rPr>
                <w:rFonts w:cs="Arial"/>
              </w:rPr>
              <w:t xml:space="preserve">means the Authority and the Cabinet Office Markets and Suppliers </w:t>
            </w:r>
            <w:bookmarkStart w:id="142" w:name="_9kR3WTr5DA49CcMaj"/>
            <w:r w:rsidRPr="008D6A63">
              <w:rPr>
                <w:rFonts w:cs="Arial"/>
              </w:rPr>
              <w:t>Team</w:t>
            </w:r>
            <w:bookmarkEnd w:id="142"/>
            <w:r w:rsidRPr="008D6A63">
              <w:rPr>
                <w:rFonts w:cs="Arial"/>
              </w:rPr>
              <w:t xml:space="preserve"> or, where the Supplier is a Strategic Supplier, the Cabinet Office Markets and Suppliers Team;</w:t>
            </w:r>
          </w:p>
        </w:tc>
      </w:tr>
      <w:tr w:rsidR="002071BF" w:rsidRPr="00F55457" w14:paraId="3C89E59F" w14:textId="77777777" w:rsidTr="0052486C">
        <w:tc>
          <w:tcPr>
            <w:tcW w:w="2835" w:type="dxa"/>
          </w:tcPr>
          <w:p w14:paraId="3208A4AD" w14:textId="77777777" w:rsidR="002071BF" w:rsidRPr="008D6A63" w:rsidRDefault="002071BF" w:rsidP="002071BF">
            <w:pPr>
              <w:pStyle w:val="StdBodyTextBold"/>
              <w:rPr>
                <w:rFonts w:cs="Arial"/>
              </w:rPr>
            </w:pPr>
            <w:r>
              <w:rPr>
                <w:rFonts w:cs="Arial"/>
              </w:rPr>
              <w:t>“</w:t>
            </w:r>
            <w:r w:rsidRPr="008D6A63">
              <w:rPr>
                <w:rFonts w:cs="Arial"/>
              </w:rPr>
              <w:t>Relevant IPRs</w:t>
            </w:r>
            <w:r>
              <w:rPr>
                <w:rFonts w:cs="Arial"/>
              </w:rPr>
              <w:t>”</w:t>
            </w:r>
          </w:p>
        </w:tc>
        <w:tc>
          <w:tcPr>
            <w:tcW w:w="6803" w:type="dxa"/>
          </w:tcPr>
          <w:p w14:paraId="10A246FC" w14:textId="77777777" w:rsidR="002071BF" w:rsidRPr="008D6A63" w:rsidRDefault="002071BF" w:rsidP="002071BF">
            <w:pPr>
              <w:pStyle w:val="StdBodyText"/>
              <w:rPr>
                <w:rFonts w:cs="Arial"/>
              </w:rPr>
            </w:pPr>
            <w:r w:rsidRPr="008D6A63">
              <w:rPr>
                <w:rFonts w:cs="Arial"/>
              </w:rPr>
              <w:t>IPRs used to provide the Services or as otherwise provided and/or licensed by the Supplier (or to which the Supplier has provided access) to the Authority or a third party in the fulfilment of the Supplier</w:t>
            </w:r>
            <w:r>
              <w:rPr>
                <w:rFonts w:cs="Arial"/>
              </w:rPr>
              <w:t>’</w:t>
            </w:r>
            <w:r w:rsidRPr="008D6A63">
              <w:rPr>
                <w:rFonts w:cs="Arial"/>
              </w:rPr>
              <w:t>s obligations under this Contract including IPRs in the Specially Written Software, the Supplier Non-COTS Software, the Supplier Non-COTS Background IPRs, the Third Party Non-COTS Software and the Third Party Non-COTS IPRs but excluding any IPRs in the Authority Software, the Authority Background IPRs, the Supplier COTS Software, the Supplier COTS Background IPR</w:t>
            </w:r>
            <w:r>
              <w:rPr>
                <w:rFonts w:cs="Arial"/>
              </w:rPr>
              <w:t>s</w:t>
            </w:r>
            <w:r w:rsidRPr="008D6A63">
              <w:rPr>
                <w:rFonts w:cs="Arial"/>
              </w:rPr>
              <w:t>, the Third Party COTS Software and/or the Third Party COTS IPRs;</w:t>
            </w:r>
          </w:p>
        </w:tc>
      </w:tr>
      <w:tr w:rsidR="002071BF" w:rsidRPr="00F55457" w14:paraId="661FE656" w14:textId="77777777" w:rsidTr="0052486C">
        <w:tc>
          <w:tcPr>
            <w:tcW w:w="2835" w:type="dxa"/>
          </w:tcPr>
          <w:p w14:paraId="113AE7D2" w14:textId="77777777" w:rsidR="002071BF" w:rsidRPr="008D6A63" w:rsidRDefault="002071BF" w:rsidP="002071BF">
            <w:pPr>
              <w:pStyle w:val="StdBodyTextBold"/>
              <w:rPr>
                <w:rFonts w:cs="Arial"/>
              </w:rPr>
            </w:pPr>
            <w:r>
              <w:rPr>
                <w:rFonts w:cs="Arial"/>
              </w:rPr>
              <w:t>“</w:t>
            </w:r>
            <w:r w:rsidRPr="008D6A63">
              <w:rPr>
                <w:rFonts w:cs="Arial"/>
              </w:rPr>
              <w:t>Relevant Preceding Services</w:t>
            </w:r>
            <w:r>
              <w:rPr>
                <w:rFonts w:cs="Arial"/>
              </w:rPr>
              <w:t>”</w:t>
            </w:r>
          </w:p>
        </w:tc>
        <w:tc>
          <w:tcPr>
            <w:tcW w:w="6803" w:type="dxa"/>
          </w:tcPr>
          <w:p w14:paraId="1BDC1BB6" w14:textId="77777777" w:rsidR="002071BF" w:rsidRPr="008D6A63" w:rsidRDefault="002071BF" w:rsidP="002071BF">
            <w:pPr>
              <w:pStyle w:val="StdBodyText"/>
              <w:rPr>
                <w:rFonts w:cs="Arial"/>
              </w:rPr>
            </w:pPr>
            <w:r w:rsidRPr="008D6A63">
              <w:rPr>
                <w:rFonts w:cs="Arial"/>
              </w:rPr>
              <w:t xml:space="preserve">has the meaning given in </w:t>
            </w:r>
            <w:bookmarkStart w:id="143" w:name="_9kMIH5YVtCIA9JNKHow3mxy"/>
            <w:bookmarkStart w:id="144" w:name="_9kMIH5YVtCJB9JOLHow3mxy"/>
            <w:r w:rsidRPr="008D6A63">
              <w:rPr>
                <w:rFonts w:cs="Arial"/>
              </w:rPr>
              <w:t xml:space="preserve">Clause </w:t>
            </w:r>
            <w:bookmarkEnd w:id="143"/>
            <w:bookmarkEnd w:id="144"/>
            <w:r w:rsidRPr="008D6A63">
              <w:rPr>
                <w:rFonts w:cs="Arial"/>
              </w:rPr>
              <w:t>5.2(b) (</w:t>
            </w:r>
            <w:r w:rsidRPr="00214A89">
              <w:rPr>
                <w:rFonts w:cs="Arial"/>
                <w:i/>
                <w:iCs/>
              </w:rPr>
              <w:t>Standard of Services</w:t>
            </w:r>
            <w:r w:rsidRPr="008D6A63">
              <w:rPr>
                <w:rFonts w:cs="Arial"/>
              </w:rPr>
              <w:t>);</w:t>
            </w:r>
          </w:p>
        </w:tc>
      </w:tr>
      <w:tr w:rsidR="002071BF" w:rsidRPr="00F55457" w14:paraId="3C234738" w14:textId="77777777" w:rsidTr="0052486C">
        <w:tc>
          <w:tcPr>
            <w:tcW w:w="2835" w:type="dxa"/>
          </w:tcPr>
          <w:p w14:paraId="70D46D8C" w14:textId="77777777" w:rsidR="002071BF" w:rsidRPr="008D6A63" w:rsidRDefault="002071BF" w:rsidP="002071BF">
            <w:pPr>
              <w:pStyle w:val="StdBodyTextBold"/>
              <w:rPr>
                <w:rFonts w:cs="Arial"/>
              </w:rPr>
            </w:pPr>
            <w:r>
              <w:rPr>
                <w:rFonts w:cs="Arial"/>
              </w:rPr>
              <w:t>“</w:t>
            </w:r>
            <w:r w:rsidRPr="008D6A63">
              <w:rPr>
                <w:rFonts w:cs="Arial"/>
              </w:rPr>
              <w:t>Relevant Requirements</w:t>
            </w:r>
            <w:r>
              <w:rPr>
                <w:rFonts w:cs="Arial"/>
              </w:rPr>
              <w:t>”</w:t>
            </w:r>
          </w:p>
        </w:tc>
        <w:tc>
          <w:tcPr>
            <w:tcW w:w="6803" w:type="dxa"/>
          </w:tcPr>
          <w:p w14:paraId="207B7AD0" w14:textId="77777777" w:rsidR="002071BF" w:rsidRPr="008D6A63" w:rsidRDefault="002071BF" w:rsidP="002071BF">
            <w:pPr>
              <w:pStyle w:val="StdBodyText"/>
              <w:rPr>
                <w:rFonts w:cs="Arial"/>
              </w:rPr>
            </w:pPr>
            <w:r w:rsidRPr="008D6A63">
              <w:rPr>
                <w:rFonts w:cs="Arial"/>
              </w:rPr>
              <w:t xml:space="preserve">all applicable Law relating to bribery, corruption and fraud, including the </w:t>
            </w:r>
            <w:bookmarkStart w:id="145" w:name="_9kMIH5YVt499FOJNJxifwHbA0RMMN"/>
            <w:r w:rsidRPr="008D6A63">
              <w:rPr>
                <w:rFonts w:cs="Arial"/>
              </w:rPr>
              <w:t>Bribery Act 2010</w:t>
            </w:r>
            <w:bookmarkEnd w:id="145"/>
            <w:r w:rsidRPr="008D6A63">
              <w:rPr>
                <w:rFonts w:cs="Arial"/>
              </w:rPr>
              <w:t xml:space="preserve"> and any guidance issued by the </w:t>
            </w:r>
            <w:r w:rsidRPr="008D6A63">
              <w:rPr>
                <w:rFonts w:cs="Arial"/>
              </w:rPr>
              <w:lastRenderedPageBreak/>
              <w:t xml:space="preserve">Secretary of State for Justice pursuant to </w:t>
            </w:r>
            <w:bookmarkStart w:id="146" w:name="_9kR3WTr277DFG8rcszv1NCw25rMU8tq7SmLBcXX"/>
            <w:r w:rsidRPr="008D6A63">
              <w:rPr>
                <w:rFonts w:cs="Arial"/>
              </w:rPr>
              <w:t>section 9 of the Bribery Act 2010</w:t>
            </w:r>
            <w:bookmarkEnd w:id="146"/>
            <w:r w:rsidRPr="008D6A63">
              <w:rPr>
                <w:rFonts w:cs="Arial"/>
              </w:rPr>
              <w:t>;</w:t>
            </w:r>
          </w:p>
        </w:tc>
      </w:tr>
      <w:tr w:rsidR="002071BF" w:rsidRPr="00F55457" w14:paraId="34A7BCD1" w14:textId="77777777" w:rsidTr="0052486C">
        <w:tc>
          <w:tcPr>
            <w:tcW w:w="2835" w:type="dxa"/>
          </w:tcPr>
          <w:p w14:paraId="306FF807" w14:textId="77777777" w:rsidR="002071BF" w:rsidRPr="008D6A63" w:rsidRDefault="002071BF" w:rsidP="002071BF">
            <w:pPr>
              <w:pStyle w:val="StdBodyTextBold"/>
              <w:rPr>
                <w:rFonts w:cs="Arial"/>
              </w:rPr>
            </w:pPr>
            <w:r>
              <w:rPr>
                <w:rFonts w:cs="Arial"/>
              </w:rPr>
              <w:lastRenderedPageBreak/>
              <w:t>“</w:t>
            </w:r>
            <w:r w:rsidRPr="008D6A63">
              <w:rPr>
                <w:rFonts w:cs="Arial"/>
              </w:rPr>
              <w:t>Relevant Tax Authority</w:t>
            </w:r>
            <w:r>
              <w:rPr>
                <w:rFonts w:cs="Arial"/>
              </w:rPr>
              <w:t>”</w:t>
            </w:r>
          </w:p>
        </w:tc>
        <w:tc>
          <w:tcPr>
            <w:tcW w:w="6803" w:type="dxa"/>
          </w:tcPr>
          <w:p w14:paraId="528ADF5C" w14:textId="77777777" w:rsidR="002071BF" w:rsidRPr="008D6A63" w:rsidRDefault="002071BF" w:rsidP="002071BF">
            <w:pPr>
              <w:pStyle w:val="StdBodyText"/>
              <w:rPr>
                <w:rFonts w:cs="Arial"/>
              </w:rPr>
            </w:pPr>
            <w:r w:rsidRPr="008D6A63">
              <w:rPr>
                <w:rFonts w:cs="Arial"/>
              </w:rPr>
              <w:t>HMRC, or, if applicable, a tax authority in the jurisdiction in which the Supplier is established;</w:t>
            </w:r>
          </w:p>
        </w:tc>
      </w:tr>
      <w:tr w:rsidR="002071BF" w:rsidRPr="00F55457" w14:paraId="654B1FF1" w14:textId="77777777" w:rsidTr="0052486C">
        <w:tc>
          <w:tcPr>
            <w:tcW w:w="2835" w:type="dxa"/>
          </w:tcPr>
          <w:p w14:paraId="22036316" w14:textId="77777777" w:rsidR="002071BF" w:rsidRPr="008D6A63" w:rsidRDefault="002071BF" w:rsidP="002071BF">
            <w:pPr>
              <w:pStyle w:val="StdBodyTextBold"/>
              <w:rPr>
                <w:rFonts w:cs="Arial"/>
              </w:rPr>
            </w:pPr>
            <w:r>
              <w:rPr>
                <w:rFonts w:cs="Arial"/>
              </w:rPr>
              <w:t>“</w:t>
            </w:r>
            <w:r w:rsidRPr="008D6A63">
              <w:rPr>
                <w:rFonts w:cs="Arial"/>
              </w:rPr>
              <w:t>Relevant Transfer</w:t>
            </w:r>
            <w:r>
              <w:rPr>
                <w:rFonts w:cs="Arial"/>
              </w:rPr>
              <w:t>”</w:t>
            </w:r>
          </w:p>
        </w:tc>
        <w:tc>
          <w:tcPr>
            <w:tcW w:w="6803" w:type="dxa"/>
          </w:tcPr>
          <w:p w14:paraId="76FD0F91" w14:textId="77777777" w:rsidR="002071BF" w:rsidRPr="008D6A63" w:rsidRDefault="002071BF" w:rsidP="002071BF">
            <w:pPr>
              <w:pStyle w:val="StdBodyText"/>
              <w:rPr>
                <w:rFonts w:cs="Arial"/>
              </w:rPr>
            </w:pPr>
            <w:r w:rsidRPr="008D6A63">
              <w:rPr>
                <w:rFonts w:cs="Arial"/>
              </w:rPr>
              <w:t>a transfer of employment to which the Employment Regulations applies;</w:t>
            </w:r>
          </w:p>
        </w:tc>
      </w:tr>
      <w:tr w:rsidR="002071BF" w:rsidRPr="00F55457" w14:paraId="71C40D2B" w14:textId="77777777" w:rsidTr="0052486C">
        <w:tc>
          <w:tcPr>
            <w:tcW w:w="2835" w:type="dxa"/>
          </w:tcPr>
          <w:p w14:paraId="0E153A8B" w14:textId="77777777" w:rsidR="002071BF" w:rsidRPr="008D6A63" w:rsidRDefault="002071BF" w:rsidP="002071BF">
            <w:pPr>
              <w:pStyle w:val="StdBodyTextBold"/>
              <w:rPr>
                <w:rFonts w:cs="Arial"/>
              </w:rPr>
            </w:pPr>
            <w:r>
              <w:rPr>
                <w:rFonts w:cs="Arial"/>
              </w:rPr>
              <w:t>“</w:t>
            </w:r>
            <w:bookmarkStart w:id="147" w:name="_9kMJI5YVt4CCFKKiMnsmkUYB6qn"/>
            <w:r w:rsidRPr="008D6A63">
              <w:rPr>
                <w:rFonts w:cs="Arial"/>
              </w:rPr>
              <w:t>Relief Notice</w:t>
            </w:r>
            <w:bookmarkEnd w:id="147"/>
            <w:r>
              <w:rPr>
                <w:rFonts w:cs="Arial"/>
              </w:rPr>
              <w:t>”</w:t>
            </w:r>
          </w:p>
        </w:tc>
        <w:tc>
          <w:tcPr>
            <w:tcW w:w="6803" w:type="dxa"/>
          </w:tcPr>
          <w:p w14:paraId="5F739FBD" w14:textId="77777777" w:rsidR="002071BF" w:rsidRPr="008D6A63" w:rsidRDefault="002071BF" w:rsidP="002071BF">
            <w:pPr>
              <w:pStyle w:val="StdBodyText"/>
              <w:rPr>
                <w:rFonts w:cs="Arial"/>
              </w:rPr>
            </w:pPr>
            <w:r w:rsidRPr="008D6A63">
              <w:rPr>
                <w:rFonts w:cs="Arial"/>
              </w:rPr>
              <w:t xml:space="preserve">has the meaning given in </w:t>
            </w:r>
            <w:bookmarkStart w:id="148" w:name="_9kMHG5YVtCJBBDDGEEWP27xl0GEywvt6z1QSAGJ"/>
            <w:bookmarkStart w:id="149" w:name="_9kMHG5YVtCIABDEHEEWP27xl0GEywvt6z1QSAGJ"/>
            <w:r w:rsidRPr="008D6A63">
              <w:rPr>
                <w:rFonts w:cs="Arial"/>
              </w:rPr>
              <w:t xml:space="preserve">Clause </w:t>
            </w:r>
            <w:bookmarkEnd w:id="148"/>
            <w:bookmarkEnd w:id="149"/>
            <w:r w:rsidRPr="008D6A63">
              <w:rPr>
                <w:rFonts w:cs="Arial"/>
              </w:rPr>
              <w:t>29.2 (</w:t>
            </w:r>
            <w:r w:rsidRPr="00214A89">
              <w:rPr>
                <w:rFonts w:cs="Arial"/>
                <w:i/>
                <w:iCs/>
              </w:rPr>
              <w:t>Authority Cause</w:t>
            </w:r>
            <w:r w:rsidRPr="008D6A63">
              <w:rPr>
                <w:rFonts w:cs="Arial"/>
              </w:rPr>
              <w:t>);</w:t>
            </w:r>
          </w:p>
        </w:tc>
      </w:tr>
      <w:tr w:rsidR="002071BF" w:rsidRPr="00F55457" w14:paraId="22AEB924" w14:textId="77777777" w:rsidTr="0052486C">
        <w:tc>
          <w:tcPr>
            <w:tcW w:w="2835" w:type="dxa"/>
          </w:tcPr>
          <w:p w14:paraId="093A1FF6" w14:textId="77777777" w:rsidR="002071BF" w:rsidRPr="008D6A63" w:rsidRDefault="002071BF" w:rsidP="002071BF">
            <w:pPr>
              <w:pStyle w:val="StdBodyTextBold"/>
              <w:rPr>
                <w:rFonts w:cs="Arial"/>
              </w:rPr>
            </w:pPr>
            <w:r>
              <w:rPr>
                <w:rFonts w:cs="Arial"/>
              </w:rPr>
              <w:t>“</w:t>
            </w:r>
            <w:r w:rsidRPr="008D6A63">
              <w:rPr>
                <w:rFonts w:cs="Arial"/>
              </w:rPr>
              <w:t>Remedial Adviser</w:t>
            </w:r>
            <w:r>
              <w:rPr>
                <w:rFonts w:cs="Arial"/>
              </w:rPr>
              <w:t>”</w:t>
            </w:r>
          </w:p>
        </w:tc>
        <w:tc>
          <w:tcPr>
            <w:tcW w:w="6803" w:type="dxa"/>
          </w:tcPr>
          <w:p w14:paraId="15E8E53B" w14:textId="77777777" w:rsidR="002071BF" w:rsidRPr="008D6A63" w:rsidRDefault="002071BF" w:rsidP="002071BF">
            <w:pPr>
              <w:pStyle w:val="StdBodyText"/>
              <w:rPr>
                <w:rFonts w:cs="Arial"/>
              </w:rPr>
            </w:pPr>
            <w:r w:rsidRPr="008D6A63">
              <w:rPr>
                <w:rFonts w:cs="Arial"/>
              </w:rPr>
              <w:t xml:space="preserve">the person appointed pursuant to </w:t>
            </w:r>
            <w:bookmarkStart w:id="150" w:name="_9kMHG5YVtCIABJHDLMWHz2oITJ73E9CTH2IFDNK"/>
            <w:r w:rsidRPr="008D6A63">
              <w:rPr>
                <w:rFonts w:cs="Arial"/>
              </w:rPr>
              <w:t xml:space="preserve">Clause </w:t>
            </w:r>
            <w:bookmarkEnd w:id="150"/>
            <w:r w:rsidRPr="008D6A63">
              <w:rPr>
                <w:rFonts w:cs="Arial"/>
              </w:rPr>
              <w:t>27.2 (</w:t>
            </w:r>
            <w:r w:rsidRPr="00214A89">
              <w:rPr>
                <w:rFonts w:cs="Arial"/>
                <w:i/>
                <w:iCs/>
              </w:rPr>
              <w:t>Remedial Adviser</w:t>
            </w:r>
            <w:r w:rsidRPr="008D6A63">
              <w:rPr>
                <w:rFonts w:cs="Arial"/>
              </w:rPr>
              <w:t>);</w:t>
            </w:r>
          </w:p>
        </w:tc>
      </w:tr>
      <w:tr w:rsidR="002071BF" w:rsidRPr="00F55457" w14:paraId="596857A6" w14:textId="77777777" w:rsidTr="0052486C">
        <w:tc>
          <w:tcPr>
            <w:tcW w:w="2835" w:type="dxa"/>
          </w:tcPr>
          <w:p w14:paraId="2401501A" w14:textId="77777777" w:rsidR="002071BF" w:rsidRPr="008D6A63" w:rsidRDefault="002071BF" w:rsidP="002071BF">
            <w:pPr>
              <w:pStyle w:val="StdBodyTextBold"/>
              <w:rPr>
                <w:rFonts w:cs="Arial"/>
              </w:rPr>
            </w:pPr>
            <w:r>
              <w:rPr>
                <w:rFonts w:cs="Arial"/>
              </w:rPr>
              <w:t>“</w:t>
            </w:r>
            <w:r w:rsidRPr="008D6A63">
              <w:rPr>
                <w:rFonts w:cs="Arial"/>
              </w:rPr>
              <w:t>Remedial Adviser Failure</w:t>
            </w:r>
            <w:r>
              <w:rPr>
                <w:rFonts w:cs="Arial"/>
              </w:rPr>
              <w:t>”</w:t>
            </w:r>
          </w:p>
        </w:tc>
        <w:tc>
          <w:tcPr>
            <w:tcW w:w="6803" w:type="dxa"/>
          </w:tcPr>
          <w:p w14:paraId="616ACDDC" w14:textId="77777777" w:rsidR="002071BF" w:rsidRPr="008D6A63" w:rsidRDefault="002071BF" w:rsidP="002071BF">
            <w:pPr>
              <w:pStyle w:val="StdBodyText"/>
              <w:rPr>
                <w:rFonts w:cs="Arial"/>
              </w:rPr>
            </w:pPr>
            <w:r w:rsidRPr="008D6A63">
              <w:rPr>
                <w:rFonts w:cs="Arial"/>
              </w:rPr>
              <w:t xml:space="preserve">has the meaning given in </w:t>
            </w:r>
            <w:bookmarkStart w:id="151" w:name="_9kMHG5YVtCJBBIFCLQaH"/>
            <w:bookmarkStart w:id="152" w:name="_9kMHG5YVtCIABIGDLQaH"/>
            <w:r w:rsidRPr="008D6A63">
              <w:rPr>
                <w:rFonts w:cs="Arial"/>
              </w:rPr>
              <w:t xml:space="preserve">Clause </w:t>
            </w:r>
            <w:bookmarkEnd w:id="151"/>
            <w:bookmarkEnd w:id="152"/>
            <w:r w:rsidRPr="008D6A63">
              <w:rPr>
                <w:rFonts w:cs="Arial"/>
              </w:rPr>
              <w:t>27.6 (</w:t>
            </w:r>
            <w:r w:rsidRPr="00243D18">
              <w:rPr>
                <w:rFonts w:cs="Arial"/>
                <w:i/>
                <w:iCs/>
              </w:rPr>
              <w:t>Remedial Adviser</w:t>
            </w:r>
            <w:r w:rsidRPr="008D6A63">
              <w:rPr>
                <w:rFonts w:cs="Arial"/>
              </w:rPr>
              <w:t>);</w:t>
            </w:r>
          </w:p>
        </w:tc>
      </w:tr>
      <w:tr w:rsidR="002071BF" w:rsidRPr="00F55457" w14:paraId="099DEC4A" w14:textId="77777777" w:rsidTr="0052486C">
        <w:tc>
          <w:tcPr>
            <w:tcW w:w="2835" w:type="dxa"/>
          </w:tcPr>
          <w:p w14:paraId="12F75645" w14:textId="77777777" w:rsidR="002071BF" w:rsidRPr="008D6A63" w:rsidRDefault="002071BF" w:rsidP="002071BF">
            <w:pPr>
              <w:pStyle w:val="StdBodyTextBold"/>
              <w:rPr>
                <w:rFonts w:cs="Arial"/>
              </w:rPr>
            </w:pPr>
            <w:r>
              <w:rPr>
                <w:rFonts w:cs="Arial"/>
              </w:rPr>
              <w:t>“</w:t>
            </w:r>
            <w:r w:rsidRPr="008D6A63">
              <w:rPr>
                <w:rFonts w:cs="Arial"/>
              </w:rPr>
              <w:t>Replacement Services</w:t>
            </w:r>
            <w:r>
              <w:rPr>
                <w:rFonts w:cs="Arial"/>
              </w:rPr>
              <w:t>”</w:t>
            </w:r>
          </w:p>
        </w:tc>
        <w:tc>
          <w:tcPr>
            <w:tcW w:w="6803" w:type="dxa"/>
          </w:tcPr>
          <w:p w14:paraId="35B55C2D" w14:textId="77777777" w:rsidR="002071BF" w:rsidRPr="008D6A63" w:rsidRDefault="002071BF" w:rsidP="002071BF">
            <w:pPr>
              <w:pStyle w:val="StdBodyText"/>
              <w:rPr>
                <w:rFonts w:cs="Arial"/>
              </w:rPr>
            </w:pPr>
            <w:r w:rsidRPr="008D6A63">
              <w:rPr>
                <w:rFonts w:cs="Arial"/>
              </w:rPr>
              <w:t>any services which are the same as or substantially similar to any of the Services and which the Authority receives in substitution for any of the Services following the expiry or termination or Partial Termination of this Contract, whether those services are provided by the Authority internally and/or by any third party;</w:t>
            </w:r>
          </w:p>
        </w:tc>
      </w:tr>
      <w:tr w:rsidR="002071BF" w:rsidRPr="00F55457" w14:paraId="1100DFDC" w14:textId="77777777" w:rsidTr="0052486C">
        <w:tc>
          <w:tcPr>
            <w:tcW w:w="2835" w:type="dxa"/>
          </w:tcPr>
          <w:p w14:paraId="0A7E805E" w14:textId="77777777" w:rsidR="002071BF" w:rsidRPr="008D6A63" w:rsidRDefault="002071BF" w:rsidP="002071BF">
            <w:pPr>
              <w:pStyle w:val="StdBodyTextBold"/>
              <w:rPr>
                <w:rFonts w:cs="Arial"/>
              </w:rPr>
            </w:pPr>
            <w:r>
              <w:rPr>
                <w:rFonts w:cs="Arial"/>
              </w:rPr>
              <w:t>“</w:t>
            </w:r>
            <w:r w:rsidRPr="008D6A63">
              <w:rPr>
                <w:rFonts w:cs="Arial"/>
              </w:rPr>
              <w:t>Replacement Supplier</w:t>
            </w:r>
            <w:r>
              <w:rPr>
                <w:rFonts w:cs="Arial"/>
              </w:rPr>
              <w:t>”</w:t>
            </w:r>
          </w:p>
        </w:tc>
        <w:tc>
          <w:tcPr>
            <w:tcW w:w="6803" w:type="dxa"/>
          </w:tcPr>
          <w:p w14:paraId="320F5371" w14:textId="77777777" w:rsidR="002071BF" w:rsidRPr="008D6A63" w:rsidRDefault="002071BF" w:rsidP="002071BF">
            <w:pPr>
              <w:pStyle w:val="StdBodyText"/>
              <w:rPr>
                <w:rFonts w:cs="Arial"/>
              </w:rPr>
            </w:pPr>
            <w:r w:rsidRPr="008D6A63">
              <w:rPr>
                <w:rFonts w:cs="Arial"/>
              </w:rPr>
              <w:t>any third party service provider of Replacement Services appointed by the Authority from time to time (or where the Authority is providing replacement Services for its own account, the Authority);</w:t>
            </w:r>
          </w:p>
        </w:tc>
      </w:tr>
      <w:tr w:rsidR="002071BF" w:rsidRPr="00F55457" w14:paraId="0DBCFFAA" w14:textId="77777777" w:rsidTr="0052486C">
        <w:tc>
          <w:tcPr>
            <w:tcW w:w="2835" w:type="dxa"/>
          </w:tcPr>
          <w:p w14:paraId="6998AB2C" w14:textId="77777777" w:rsidR="002071BF" w:rsidRPr="008D6A63" w:rsidRDefault="002071BF" w:rsidP="002071BF">
            <w:pPr>
              <w:pStyle w:val="StdBodyTextBold"/>
              <w:rPr>
                <w:rFonts w:cs="Arial"/>
              </w:rPr>
            </w:pPr>
            <w:r>
              <w:rPr>
                <w:rFonts w:cs="Arial"/>
              </w:rPr>
              <w:t>“</w:t>
            </w:r>
            <w:r w:rsidRPr="008D6A63">
              <w:rPr>
                <w:rFonts w:cs="Arial"/>
              </w:rPr>
              <w:t>Request For Information</w:t>
            </w:r>
            <w:r>
              <w:rPr>
                <w:rFonts w:cs="Arial"/>
              </w:rPr>
              <w:t>”</w:t>
            </w:r>
          </w:p>
        </w:tc>
        <w:tc>
          <w:tcPr>
            <w:tcW w:w="6803" w:type="dxa"/>
          </w:tcPr>
          <w:p w14:paraId="20EBB64A" w14:textId="77777777" w:rsidR="002071BF" w:rsidRPr="008D6A63" w:rsidRDefault="002071BF" w:rsidP="002071BF">
            <w:pPr>
              <w:pStyle w:val="StdBodyText"/>
              <w:rPr>
                <w:rFonts w:cs="Arial"/>
              </w:rPr>
            </w:pPr>
            <w:r w:rsidRPr="008D6A63">
              <w:rPr>
                <w:rFonts w:cs="Arial"/>
              </w:rPr>
              <w:t>a Request for Information under the FOIA or the EIRs;</w:t>
            </w:r>
          </w:p>
        </w:tc>
      </w:tr>
      <w:tr w:rsidR="002071BF" w:rsidRPr="00F55457" w14:paraId="05EF1476" w14:textId="77777777" w:rsidTr="0052486C">
        <w:tc>
          <w:tcPr>
            <w:tcW w:w="2835" w:type="dxa"/>
          </w:tcPr>
          <w:p w14:paraId="26A8DAE0" w14:textId="77777777" w:rsidR="002071BF" w:rsidRPr="008D6A63" w:rsidRDefault="002071BF" w:rsidP="002071BF">
            <w:pPr>
              <w:pStyle w:val="StdBodyTextBold"/>
              <w:rPr>
                <w:rFonts w:cs="Arial"/>
              </w:rPr>
            </w:pPr>
            <w:r>
              <w:rPr>
                <w:rFonts w:cs="Arial"/>
              </w:rPr>
              <w:t>“</w:t>
            </w:r>
            <w:r w:rsidRPr="008D6A63">
              <w:rPr>
                <w:rFonts w:cs="Arial"/>
              </w:rPr>
              <w:t>Required Action</w:t>
            </w:r>
            <w:r>
              <w:rPr>
                <w:rFonts w:cs="Arial"/>
              </w:rPr>
              <w:t>”</w:t>
            </w:r>
          </w:p>
        </w:tc>
        <w:tc>
          <w:tcPr>
            <w:tcW w:w="6803" w:type="dxa"/>
          </w:tcPr>
          <w:p w14:paraId="36E18D1B" w14:textId="77777777" w:rsidR="002071BF" w:rsidRPr="008D6A63" w:rsidRDefault="002071BF" w:rsidP="002071BF">
            <w:pPr>
              <w:pStyle w:val="StdBodyText"/>
              <w:rPr>
                <w:rFonts w:cs="Arial"/>
              </w:rPr>
            </w:pPr>
            <w:r w:rsidRPr="008D6A63">
              <w:rPr>
                <w:rFonts w:cs="Arial"/>
              </w:rPr>
              <w:t xml:space="preserve">has the meaning given in </w:t>
            </w:r>
            <w:bookmarkStart w:id="153" w:name="_9kMHG5YVtCJBBGDDDCnt1nhg0739FAwQbRFBMHK"/>
            <w:bookmarkStart w:id="154" w:name="_9kMHG5YVtCIABGEEDCnt1nhg0739FAwQbRFBMHK"/>
            <w:r w:rsidRPr="008D6A63">
              <w:rPr>
                <w:rFonts w:cs="Arial"/>
              </w:rPr>
              <w:t xml:space="preserve">Clause </w:t>
            </w:r>
            <w:bookmarkEnd w:id="153"/>
            <w:bookmarkEnd w:id="154"/>
            <w:r w:rsidRPr="008D6A63">
              <w:rPr>
                <w:rFonts w:cs="Arial"/>
              </w:rPr>
              <w:t>28.1(a) (</w:t>
            </w:r>
            <w:r w:rsidRPr="00243D18">
              <w:rPr>
                <w:rFonts w:cs="Arial"/>
                <w:i/>
                <w:iCs/>
              </w:rPr>
              <w:t>Step-In Rights</w:t>
            </w:r>
            <w:r w:rsidRPr="008D6A63">
              <w:rPr>
                <w:rFonts w:cs="Arial"/>
              </w:rPr>
              <w:t>);</w:t>
            </w:r>
          </w:p>
        </w:tc>
      </w:tr>
      <w:tr w:rsidR="002071BF" w:rsidRPr="00F55457" w14:paraId="0E11E945" w14:textId="77777777" w:rsidTr="0052486C">
        <w:tc>
          <w:tcPr>
            <w:tcW w:w="2835" w:type="dxa"/>
          </w:tcPr>
          <w:p w14:paraId="3FF0A991" w14:textId="77777777" w:rsidR="002071BF" w:rsidRPr="008D6A63" w:rsidRDefault="002071BF" w:rsidP="002071BF">
            <w:pPr>
              <w:pStyle w:val="StdBodyTextBold"/>
              <w:rPr>
                <w:rFonts w:cs="Arial"/>
              </w:rPr>
            </w:pPr>
            <w:r>
              <w:rPr>
                <w:rFonts w:cs="Arial"/>
              </w:rPr>
              <w:t>“</w:t>
            </w:r>
            <w:r w:rsidRPr="008D6A63">
              <w:rPr>
                <w:rFonts w:cs="Arial"/>
              </w:rPr>
              <w:t>Retained Deliverables</w:t>
            </w:r>
            <w:r>
              <w:rPr>
                <w:rFonts w:cs="Arial"/>
              </w:rPr>
              <w:t>”</w:t>
            </w:r>
          </w:p>
        </w:tc>
        <w:tc>
          <w:tcPr>
            <w:tcW w:w="6803" w:type="dxa"/>
          </w:tcPr>
          <w:p w14:paraId="0EA5EA15" w14:textId="77777777" w:rsidR="002071BF" w:rsidRPr="008D6A63" w:rsidRDefault="002071BF" w:rsidP="002071BF">
            <w:pPr>
              <w:pStyle w:val="StdBodyText"/>
              <w:rPr>
                <w:rFonts w:cs="Arial"/>
              </w:rPr>
            </w:pPr>
            <w:r w:rsidRPr="008D6A63">
              <w:rPr>
                <w:rFonts w:cs="Arial"/>
              </w:rPr>
              <w:t xml:space="preserve">has the meaning given in </w:t>
            </w:r>
            <w:bookmarkStart w:id="155" w:name="_9kMHG5YVtCJBAHFDHNvjw6ytqz84AGI4rqyFTE2"/>
            <w:bookmarkStart w:id="156" w:name="_9kMHG5YVtCIAAHGEHNvjw6ytqz84AGI4rqyFTE2"/>
            <w:r w:rsidRPr="008D6A63">
              <w:rPr>
                <w:rFonts w:cs="Arial"/>
              </w:rPr>
              <w:t xml:space="preserve">Clause </w:t>
            </w:r>
            <w:bookmarkEnd w:id="155"/>
            <w:bookmarkEnd w:id="156"/>
            <w:r w:rsidRPr="008D6A63">
              <w:rPr>
                <w:rFonts w:cs="Arial"/>
              </w:rPr>
              <w:t>32.8(b) (</w:t>
            </w:r>
            <w:r w:rsidRPr="00243D18">
              <w:rPr>
                <w:rFonts w:cs="Arial"/>
                <w:i/>
                <w:iCs/>
              </w:rPr>
              <w:t>Payments by the Supplier</w:t>
            </w:r>
            <w:r w:rsidRPr="008D6A63">
              <w:rPr>
                <w:rFonts w:cs="Arial"/>
              </w:rPr>
              <w:t>);</w:t>
            </w:r>
          </w:p>
        </w:tc>
      </w:tr>
      <w:tr w:rsidR="002071BF" w:rsidRPr="00F55457" w14:paraId="5A4BD173" w14:textId="77777777" w:rsidTr="0052486C">
        <w:tc>
          <w:tcPr>
            <w:tcW w:w="2835" w:type="dxa"/>
          </w:tcPr>
          <w:p w14:paraId="602EB409" w14:textId="77777777" w:rsidR="002071BF" w:rsidRPr="008D6A63" w:rsidRDefault="002071BF" w:rsidP="002071BF">
            <w:pPr>
              <w:pStyle w:val="StdBodyTextBold"/>
              <w:rPr>
                <w:rFonts w:cs="Arial"/>
              </w:rPr>
            </w:pPr>
            <w:r>
              <w:rPr>
                <w:rFonts w:cs="Arial"/>
              </w:rPr>
              <w:t>“</w:t>
            </w:r>
            <w:r w:rsidRPr="008D6A63">
              <w:rPr>
                <w:rFonts w:cs="Arial"/>
              </w:rPr>
              <w:t>Risk Register</w:t>
            </w:r>
            <w:r>
              <w:rPr>
                <w:rFonts w:cs="Arial"/>
              </w:rPr>
              <w:t>”</w:t>
            </w:r>
          </w:p>
        </w:tc>
        <w:tc>
          <w:tcPr>
            <w:tcW w:w="6803" w:type="dxa"/>
          </w:tcPr>
          <w:p w14:paraId="7ABDB168" w14:textId="61B93532" w:rsidR="002071BF" w:rsidRPr="008D6A63" w:rsidRDefault="002071BF" w:rsidP="002071BF">
            <w:pPr>
              <w:pStyle w:val="StdBodyText"/>
              <w:rPr>
                <w:rFonts w:cs="Arial"/>
              </w:rPr>
            </w:pPr>
            <w:r w:rsidRPr="008D6A63">
              <w:rPr>
                <w:rFonts w:cs="Arial"/>
              </w:rPr>
              <w:t xml:space="preserve">the register of risks and contingencies that have been factored into any Costs due under this Contract, a copy of which is set out in Annex </w:t>
            </w:r>
            <w:r w:rsidRPr="008D6A63">
              <w:rPr>
                <w:rFonts w:cs="Arial"/>
              </w:rPr>
              <w:fldChar w:fldCharType="begin"/>
            </w:r>
            <w:r w:rsidRPr="008D6A63">
              <w:rPr>
                <w:rFonts w:cs="Arial"/>
              </w:rPr>
              <w:instrText xml:space="preserve"> REF ANNEX4_SCHEDULE15 \h  \* MERGEFORMAT </w:instrText>
            </w:r>
            <w:r w:rsidRPr="008D6A63">
              <w:rPr>
                <w:rFonts w:cs="Arial"/>
              </w:rPr>
            </w:r>
            <w:r w:rsidRPr="008D6A63">
              <w:rPr>
                <w:rFonts w:cs="Arial"/>
              </w:rPr>
              <w:fldChar w:fldCharType="separate"/>
            </w:r>
            <w:r w:rsidR="007A1473" w:rsidRPr="007A1473">
              <w:rPr>
                <w:rFonts w:cs="Arial"/>
              </w:rPr>
              <w:t>4</w:t>
            </w:r>
            <w:r w:rsidRPr="008D6A63">
              <w:rPr>
                <w:rFonts w:cs="Arial"/>
              </w:rPr>
              <w:fldChar w:fldCharType="end"/>
            </w:r>
            <w:r w:rsidRPr="008D6A63">
              <w:rPr>
                <w:rFonts w:cs="Arial"/>
              </w:rPr>
              <w:t xml:space="preserve"> of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8D6A63">
              <w:rPr>
                <w:rFonts w:cs="Arial"/>
              </w:rPr>
              <w:t>;</w:t>
            </w:r>
          </w:p>
        </w:tc>
      </w:tr>
      <w:tr w:rsidR="002071BF" w:rsidRPr="00F55457" w14:paraId="3336A4F7" w14:textId="77777777" w:rsidTr="0052486C">
        <w:tc>
          <w:tcPr>
            <w:tcW w:w="2835" w:type="dxa"/>
          </w:tcPr>
          <w:p w14:paraId="29AF0D8F" w14:textId="77777777" w:rsidR="002071BF" w:rsidRPr="008D6A63" w:rsidRDefault="002071BF" w:rsidP="002071BF">
            <w:pPr>
              <w:pStyle w:val="StdBodyTextBold"/>
              <w:rPr>
                <w:rFonts w:cs="Arial"/>
              </w:rPr>
            </w:pPr>
            <w:r>
              <w:rPr>
                <w:rFonts w:cs="Arial"/>
              </w:rPr>
              <w:t>“</w:t>
            </w:r>
            <w:r w:rsidRPr="008D6A63">
              <w:rPr>
                <w:rFonts w:cs="Arial"/>
              </w:rPr>
              <w:t>Security Management Plan</w:t>
            </w:r>
            <w:r>
              <w:rPr>
                <w:rFonts w:cs="Arial"/>
              </w:rPr>
              <w:t>”</w:t>
            </w:r>
          </w:p>
        </w:tc>
        <w:tc>
          <w:tcPr>
            <w:tcW w:w="6803" w:type="dxa"/>
          </w:tcPr>
          <w:p w14:paraId="3BA7E630" w14:textId="192CA21A" w:rsidR="002071BF" w:rsidRPr="008D6A63" w:rsidRDefault="002071BF" w:rsidP="002071BF">
            <w:pPr>
              <w:pStyle w:val="StdBodyText"/>
              <w:rPr>
                <w:rFonts w:cs="Arial"/>
              </w:rPr>
            </w:pPr>
            <w:r>
              <w:rPr>
                <w:rFonts w:cs="Arial"/>
              </w:rPr>
              <w:t xml:space="preserve">has the meaning given to it </w:t>
            </w:r>
            <w:r>
              <w:rPr>
                <w:rFonts w:cs="Arial"/>
              </w:rPr>
              <w:fldChar w:fldCharType="begin"/>
            </w:r>
            <w:r>
              <w:rPr>
                <w:rFonts w:cs="Arial"/>
              </w:rPr>
              <w:instrText xml:space="preserve"> REF Schedule5 \h </w:instrText>
            </w:r>
            <w:r>
              <w:rPr>
                <w:rFonts w:cs="Arial"/>
              </w:rPr>
            </w:r>
            <w:r>
              <w:rPr>
                <w:rFonts w:cs="Arial"/>
              </w:rPr>
              <w:fldChar w:fldCharType="separate"/>
            </w:r>
            <w:r w:rsidR="007A1473" w:rsidRPr="005D0525">
              <w:t>Schedule</w:t>
            </w:r>
            <w:r w:rsidR="007A1473">
              <w:t> </w:t>
            </w:r>
            <w:r w:rsidR="007A1473" w:rsidRPr="005D0525">
              <w:t>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Security Management</w:t>
            </w:r>
            <w:r w:rsidRPr="00A22335">
              <w:rPr>
                <w:rFonts w:cs="Arial"/>
                <w:i/>
                <w:iCs/>
              </w:rPr>
              <w:fldChar w:fldCharType="end"/>
            </w:r>
            <w:r>
              <w:rPr>
                <w:rFonts w:cs="Arial"/>
              </w:rPr>
              <w:t>)</w:t>
            </w:r>
            <w:r w:rsidRPr="008D6A63">
              <w:rPr>
                <w:rFonts w:cs="Arial"/>
              </w:rPr>
              <w:t>;</w:t>
            </w:r>
          </w:p>
        </w:tc>
      </w:tr>
      <w:tr w:rsidR="002071BF" w:rsidRPr="00F55457" w14:paraId="2A03919F" w14:textId="77777777" w:rsidTr="0052486C">
        <w:tc>
          <w:tcPr>
            <w:tcW w:w="2835" w:type="dxa"/>
          </w:tcPr>
          <w:p w14:paraId="5263764A" w14:textId="77777777" w:rsidR="002071BF" w:rsidRPr="008D6A63" w:rsidRDefault="002071BF" w:rsidP="002071BF">
            <w:pPr>
              <w:pStyle w:val="StdBodyTextBold"/>
              <w:rPr>
                <w:rFonts w:cs="Arial"/>
              </w:rPr>
            </w:pPr>
            <w:r>
              <w:rPr>
                <w:rFonts w:cs="Arial"/>
              </w:rPr>
              <w:t>“</w:t>
            </w:r>
            <w:r w:rsidRPr="008D6A63">
              <w:rPr>
                <w:rFonts w:cs="Arial"/>
              </w:rPr>
              <w:t>Serious KPI Failure</w:t>
            </w:r>
            <w:r>
              <w:rPr>
                <w:rFonts w:cs="Arial"/>
              </w:rPr>
              <w:t>”</w:t>
            </w:r>
          </w:p>
        </w:tc>
        <w:tc>
          <w:tcPr>
            <w:tcW w:w="6803" w:type="dxa"/>
          </w:tcPr>
          <w:p w14:paraId="4CBDD790" w14:textId="654825BD" w:rsidR="002071BF" w:rsidRPr="008D6A63" w:rsidRDefault="002071BF" w:rsidP="002071BF">
            <w:pPr>
              <w:pStyle w:val="StdBodyText"/>
              <w:rPr>
                <w:rFonts w:cs="Arial"/>
              </w:rPr>
            </w:pPr>
            <w:r w:rsidRPr="008D6A63">
              <w:rPr>
                <w:rFonts w:cs="Arial"/>
              </w:rPr>
              <w:t xml:space="preserve">shall be as set out against the relevant </w:t>
            </w:r>
            <w:bookmarkStart w:id="157" w:name="_9kMIH5YVt4CCFMMbF0mNwyw98suxpWa2yyr9ONI"/>
            <w:r w:rsidRPr="008D6A63">
              <w:rPr>
                <w:rFonts w:cs="Arial"/>
              </w:rPr>
              <w:t xml:space="preserve">Key Performance Indicator in Table 1 of </w:t>
            </w:r>
            <w:r>
              <w:rPr>
                <w:rFonts w:cs="Arial"/>
              </w:rPr>
              <w:t>Part A</w:t>
            </w:r>
            <w:r w:rsidRPr="008D6A63">
              <w:rPr>
                <w:rFonts w:cs="Arial"/>
              </w:rPr>
              <w:t xml:space="preserve"> of </w:t>
            </w:r>
            <w:bookmarkStart w:id="158" w:name="_9kMH2J6ZWuDJBDLOKFdNwyw98suxpZUBC3I"/>
            <w:bookmarkStart w:id="159" w:name="_9kMH0H6ZWu5EEEF9cMiliz8tBN"/>
            <w:bookmarkEnd w:id="157"/>
            <w:r>
              <w:rPr>
                <w:rFonts w:cs="Arial"/>
              </w:rPr>
              <w:t>Annex 1</w:t>
            </w:r>
            <w:r w:rsidRPr="008D6A63">
              <w:rPr>
                <w:rFonts w:cs="Arial"/>
              </w:rPr>
              <w:t xml:space="preserve"> of </w:t>
            </w:r>
            <w:bookmarkEnd w:id="158"/>
            <w:bookmarkEnd w:id="159"/>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8D6A63">
              <w:rPr>
                <w:rFonts w:cs="Arial"/>
              </w:rPr>
              <w:t>;</w:t>
            </w:r>
          </w:p>
        </w:tc>
      </w:tr>
      <w:tr w:rsidR="002071BF" w:rsidRPr="00F55457" w14:paraId="3F39C846" w14:textId="77777777" w:rsidTr="0052486C">
        <w:tc>
          <w:tcPr>
            <w:tcW w:w="2835" w:type="dxa"/>
          </w:tcPr>
          <w:p w14:paraId="65F64039" w14:textId="77777777" w:rsidR="002071BF" w:rsidRPr="008D6A63" w:rsidRDefault="002071BF" w:rsidP="002071BF">
            <w:pPr>
              <w:pStyle w:val="StdBodyTextBold"/>
              <w:rPr>
                <w:rFonts w:cs="Arial"/>
              </w:rPr>
            </w:pPr>
            <w:r>
              <w:rPr>
                <w:rFonts w:cs="Arial"/>
              </w:rPr>
              <w:lastRenderedPageBreak/>
              <w:t>“</w:t>
            </w:r>
            <w:r w:rsidRPr="008D6A63">
              <w:rPr>
                <w:rFonts w:cs="Arial"/>
              </w:rPr>
              <w:t>Service Charges</w:t>
            </w:r>
            <w:r>
              <w:rPr>
                <w:rFonts w:cs="Arial"/>
              </w:rPr>
              <w:t>”</w:t>
            </w:r>
          </w:p>
        </w:tc>
        <w:tc>
          <w:tcPr>
            <w:tcW w:w="6803" w:type="dxa"/>
          </w:tcPr>
          <w:p w14:paraId="330AC524" w14:textId="1F4008E7" w:rsidR="002071BF" w:rsidRPr="008D6A63" w:rsidRDefault="002071BF" w:rsidP="002071BF">
            <w:pPr>
              <w:pStyle w:val="StdBodyText"/>
              <w:rPr>
                <w:rFonts w:cs="Arial"/>
              </w:rPr>
            </w:pPr>
            <w:r w:rsidRPr="008D6A63">
              <w:rPr>
                <w:rFonts w:cs="Arial"/>
              </w:rPr>
              <w:t xml:space="preserve">the periodic payments made in accordance with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8D6A63">
              <w:rPr>
                <w:rFonts w:cs="Arial"/>
              </w:rPr>
              <w:t xml:space="preserve"> in respect of the supply of the Operational Services;</w:t>
            </w:r>
          </w:p>
        </w:tc>
      </w:tr>
      <w:tr w:rsidR="002071BF" w:rsidRPr="00F55457" w14:paraId="4F06EE82" w14:textId="77777777" w:rsidTr="0052486C">
        <w:tc>
          <w:tcPr>
            <w:tcW w:w="2835" w:type="dxa"/>
          </w:tcPr>
          <w:p w14:paraId="26C5093C" w14:textId="77777777" w:rsidR="002071BF" w:rsidRPr="008D6A63" w:rsidRDefault="002071BF" w:rsidP="002071BF">
            <w:pPr>
              <w:pStyle w:val="StdBodyTextBold"/>
              <w:rPr>
                <w:rFonts w:cs="Arial"/>
              </w:rPr>
            </w:pPr>
            <w:r>
              <w:rPr>
                <w:rFonts w:cs="Arial"/>
              </w:rPr>
              <w:t>“</w:t>
            </w:r>
            <w:r w:rsidRPr="008D6A63">
              <w:rPr>
                <w:rFonts w:cs="Arial"/>
              </w:rPr>
              <w:t>Service Continuity Plan</w:t>
            </w:r>
            <w:r>
              <w:rPr>
                <w:rFonts w:cs="Arial"/>
              </w:rPr>
              <w:t>”</w:t>
            </w:r>
          </w:p>
        </w:tc>
        <w:tc>
          <w:tcPr>
            <w:tcW w:w="6803" w:type="dxa"/>
          </w:tcPr>
          <w:p w14:paraId="70001A89" w14:textId="6E44801D" w:rsidR="002071BF" w:rsidRPr="008D6A63" w:rsidRDefault="002071BF" w:rsidP="002071BF">
            <w:pPr>
              <w:pStyle w:val="StdBodyText"/>
              <w:rPr>
                <w:rFonts w:cs="Arial"/>
              </w:rPr>
            </w:pPr>
            <w:r w:rsidRPr="008D6A63">
              <w:rPr>
                <w:rFonts w:cs="Arial"/>
              </w:rPr>
              <w:t xml:space="preserve">any plan prepared pursuant to </w:t>
            </w:r>
            <w:bookmarkStart w:id="160" w:name="_9kMHG5YVt4EE6ELeGpqgyts0E"/>
            <w:r w:rsidRPr="008D6A63">
              <w:rPr>
                <w:rFonts w:cs="Arial"/>
              </w:rPr>
              <w:t xml:space="preserve">Paragraph </w:t>
            </w:r>
            <w:bookmarkEnd w:id="160"/>
            <w:r w:rsidRPr="008D6A63">
              <w:rPr>
                <w:rFonts w:cs="Arial"/>
              </w:rPr>
              <w:fldChar w:fldCharType="begin"/>
            </w:r>
            <w:r w:rsidRPr="008D6A63">
              <w:rPr>
                <w:rFonts w:cs="Arial"/>
              </w:rPr>
              <w:instrText xml:space="preserve"> REF _Ref_ContractCompanion_9kb9Us49B \r \h  \* MERGEFORMAT </w:instrText>
            </w:r>
            <w:r w:rsidRPr="008D6A63">
              <w:rPr>
                <w:rFonts w:cs="Arial"/>
              </w:rPr>
            </w:r>
            <w:r w:rsidRPr="008D6A63">
              <w:rPr>
                <w:rFonts w:cs="Arial"/>
              </w:rPr>
              <w:fldChar w:fldCharType="separate"/>
            </w:r>
            <w:r w:rsidR="007A1473">
              <w:rPr>
                <w:rFonts w:cs="Arial"/>
              </w:rPr>
              <w:t>2</w:t>
            </w:r>
            <w:r w:rsidRPr="008D6A63">
              <w:rPr>
                <w:rFonts w:cs="Arial"/>
              </w:rPr>
              <w:fldChar w:fldCharType="end"/>
            </w:r>
            <w:r w:rsidRPr="008D6A63">
              <w:rPr>
                <w:rFonts w:cs="Arial"/>
              </w:rPr>
              <w:t xml:space="preserve"> of </w:t>
            </w:r>
            <w:r>
              <w:rPr>
                <w:rFonts w:cs="Arial"/>
              </w:rPr>
              <w:fldChar w:fldCharType="begin"/>
            </w:r>
            <w:r>
              <w:rPr>
                <w:rFonts w:cs="Arial"/>
              </w:rPr>
              <w:instrText xml:space="preserve"> REF Schedule26 \h </w:instrText>
            </w:r>
            <w:r>
              <w:rPr>
                <w:rFonts w:cs="Arial"/>
              </w:rPr>
            </w:r>
            <w:r>
              <w:rPr>
                <w:rFonts w:cs="Arial"/>
              </w:rPr>
              <w:fldChar w:fldCharType="separate"/>
            </w:r>
            <w:r w:rsidR="007A1473" w:rsidRPr="005D0525">
              <w:t>Schedule</w:t>
            </w:r>
            <w:r w:rsidR="007A1473">
              <w:t> </w:t>
            </w:r>
            <w:r w:rsidR="007A1473" w:rsidRPr="005D0525">
              <w:t>26</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Schedule26Heading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 Continuity Plan and Corporate Resolution Planning</w:t>
            </w:r>
            <w:r w:rsidRPr="00A22335">
              <w:rPr>
                <w:rFonts w:cs="Arial"/>
                <w:i/>
                <w:iCs/>
              </w:rPr>
              <w:fldChar w:fldCharType="end"/>
            </w:r>
            <w:r>
              <w:rPr>
                <w:rFonts w:cs="Arial"/>
              </w:rPr>
              <w:t>)</w:t>
            </w:r>
            <w:r w:rsidRPr="008D6A63">
              <w:rPr>
                <w:rFonts w:cs="Arial"/>
              </w:rPr>
              <w:t xml:space="preserve"> as may be amended from time to time;</w:t>
            </w:r>
          </w:p>
        </w:tc>
      </w:tr>
      <w:tr w:rsidR="002071BF" w:rsidRPr="00F55457" w14:paraId="6CC68A38" w14:textId="77777777" w:rsidTr="0052486C">
        <w:tc>
          <w:tcPr>
            <w:tcW w:w="2835" w:type="dxa"/>
          </w:tcPr>
          <w:p w14:paraId="57F8CB10" w14:textId="77777777" w:rsidR="002071BF" w:rsidRPr="008D6A63" w:rsidRDefault="002071BF" w:rsidP="002071BF">
            <w:pPr>
              <w:pStyle w:val="StdBodyTextBold"/>
              <w:rPr>
                <w:rFonts w:cs="Arial"/>
              </w:rPr>
            </w:pPr>
            <w:r>
              <w:rPr>
                <w:rFonts w:cs="Arial"/>
              </w:rPr>
              <w:t>“</w:t>
            </w:r>
            <w:r w:rsidRPr="008D6A63">
              <w:rPr>
                <w:rFonts w:cs="Arial"/>
              </w:rPr>
              <w:t>Service Continuity Services</w:t>
            </w:r>
            <w:r>
              <w:rPr>
                <w:rFonts w:cs="Arial"/>
              </w:rPr>
              <w:t>”</w:t>
            </w:r>
          </w:p>
        </w:tc>
        <w:tc>
          <w:tcPr>
            <w:tcW w:w="6803" w:type="dxa"/>
          </w:tcPr>
          <w:p w14:paraId="7E931CD8" w14:textId="65525B6F" w:rsidR="002071BF" w:rsidRPr="008D6A63" w:rsidRDefault="002071BF" w:rsidP="002071BF">
            <w:pPr>
              <w:pStyle w:val="StdBodyText"/>
              <w:rPr>
                <w:rFonts w:cs="Arial"/>
              </w:rPr>
            </w:pPr>
            <w:r w:rsidRPr="008D6A63">
              <w:rPr>
                <w:rFonts w:cs="Arial"/>
              </w:rPr>
              <w:t xml:space="preserve">the business continuity, disaster </w:t>
            </w:r>
            <w:bookmarkStart w:id="161" w:name="_9kR3WTr5DA49D1qcn7yvG"/>
            <w:r w:rsidRPr="008D6A63">
              <w:rPr>
                <w:rFonts w:cs="Arial"/>
              </w:rPr>
              <w:t>recovery</w:t>
            </w:r>
            <w:bookmarkEnd w:id="161"/>
            <w:r w:rsidRPr="008D6A63">
              <w:rPr>
                <w:rFonts w:cs="Arial"/>
              </w:rPr>
              <w:t xml:space="preserve"> and insolvency continuity services set out in </w:t>
            </w:r>
            <w:r>
              <w:rPr>
                <w:rFonts w:cs="Arial"/>
              </w:rPr>
              <w:fldChar w:fldCharType="begin"/>
            </w:r>
            <w:r>
              <w:rPr>
                <w:rFonts w:cs="Arial"/>
              </w:rPr>
              <w:instrText xml:space="preserve"> REF Schedule26 \h </w:instrText>
            </w:r>
            <w:r>
              <w:rPr>
                <w:rFonts w:cs="Arial"/>
              </w:rPr>
            </w:r>
            <w:r>
              <w:rPr>
                <w:rFonts w:cs="Arial"/>
              </w:rPr>
              <w:fldChar w:fldCharType="separate"/>
            </w:r>
            <w:r w:rsidR="007A1473" w:rsidRPr="005D0525">
              <w:t>Schedule</w:t>
            </w:r>
            <w:r w:rsidR="007A1473">
              <w:t> </w:t>
            </w:r>
            <w:r w:rsidR="007A1473" w:rsidRPr="005D0525">
              <w:t>26</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Schedule26Heading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 Continuity Plan and Corporate Resolution Planning</w:t>
            </w:r>
            <w:r w:rsidRPr="00A22335">
              <w:rPr>
                <w:rFonts w:cs="Arial"/>
                <w:i/>
                <w:iCs/>
              </w:rPr>
              <w:fldChar w:fldCharType="end"/>
            </w:r>
            <w:r>
              <w:rPr>
                <w:rFonts w:cs="Arial"/>
              </w:rPr>
              <w:t>)</w:t>
            </w:r>
          </w:p>
        </w:tc>
      </w:tr>
      <w:tr w:rsidR="002071BF" w:rsidRPr="00F55457" w14:paraId="658466FF" w14:textId="77777777" w:rsidTr="0052486C">
        <w:tc>
          <w:tcPr>
            <w:tcW w:w="2835" w:type="dxa"/>
          </w:tcPr>
          <w:p w14:paraId="17B17B03" w14:textId="77777777" w:rsidR="002071BF" w:rsidRPr="00F55457" w:rsidRDefault="002071BF" w:rsidP="002071BF">
            <w:pPr>
              <w:pStyle w:val="StdBodyTextBold"/>
              <w:rPr>
                <w:rFonts w:cs="Arial"/>
              </w:rPr>
            </w:pPr>
            <w:r>
              <w:rPr>
                <w:rFonts w:cs="Arial"/>
              </w:rPr>
              <w:t>“</w:t>
            </w:r>
            <w:r w:rsidRPr="00F55457">
              <w:rPr>
                <w:rFonts w:cs="Arial"/>
              </w:rPr>
              <w:t>Service Credit Cap</w:t>
            </w:r>
            <w:r>
              <w:rPr>
                <w:rFonts w:cs="Arial"/>
              </w:rPr>
              <w:t>”</w:t>
            </w:r>
          </w:p>
        </w:tc>
        <w:tc>
          <w:tcPr>
            <w:tcW w:w="6803" w:type="dxa"/>
          </w:tcPr>
          <w:p w14:paraId="0EC8CE87" w14:textId="696AB7E2" w:rsidR="002071BF" w:rsidRPr="00F55457" w:rsidRDefault="002071BF" w:rsidP="002071BF">
            <w:pPr>
              <w:pStyle w:val="DefinitionList"/>
              <w:numPr>
                <w:ilvl w:val="0"/>
                <w:numId w:val="68"/>
              </w:numPr>
            </w:pPr>
            <w:r w:rsidRPr="00FC6BE5">
              <w:t>in</w:t>
            </w:r>
            <w:r w:rsidRPr="00F55457">
              <w:t xml:space="preserve"> the period of 12 months from the first Operational Service Commencement Date to occur after the Effective Date, </w:t>
            </w:r>
            <w:r>
              <w:t>15</w:t>
            </w:r>
            <w:r w:rsidRPr="00622BE6">
              <w:t xml:space="preserve">% </w:t>
            </w:r>
            <w:r w:rsidRPr="00F55457">
              <w:t xml:space="preserve">of the Estimated Initial Service Charges; and </w:t>
            </w:r>
          </w:p>
          <w:p w14:paraId="48A7B981" w14:textId="690A5BF3" w:rsidR="002071BF" w:rsidRPr="00F55457" w:rsidRDefault="002071BF" w:rsidP="002071BF">
            <w:pPr>
              <w:pStyle w:val="DefinitionList"/>
              <w:numPr>
                <w:ilvl w:val="0"/>
                <w:numId w:val="78"/>
              </w:numPr>
              <w:rPr>
                <w:rFonts w:cs="Arial"/>
              </w:rPr>
            </w:pPr>
            <w:r w:rsidRPr="00F55457">
              <w:rPr>
                <w:rFonts w:cs="Arial"/>
              </w:rPr>
              <w:t xml:space="preserve">during the remainder of the Term, </w:t>
            </w:r>
            <w:r>
              <w:rPr>
                <w:rFonts w:cs="Arial"/>
              </w:rPr>
              <w:t>15</w:t>
            </w:r>
            <w:r w:rsidRPr="00622BE6">
              <w:rPr>
                <w:rFonts w:cs="Arial"/>
              </w:rPr>
              <w:t>%</w:t>
            </w:r>
            <w:r w:rsidRPr="00F55457">
              <w:rPr>
                <w:rFonts w:cs="Arial"/>
              </w:rPr>
              <w:t xml:space="preserve"> of the Service Charges paid and/or due </w:t>
            </w:r>
            <w:r w:rsidRPr="008D6A63">
              <w:rPr>
                <w:rFonts w:cs="Arial"/>
              </w:rPr>
              <w:t>to be paid to the Supplier under this Contract in the</w:t>
            </w:r>
            <w:r w:rsidRPr="00F55457">
              <w:rPr>
                <w:rFonts w:cs="Arial"/>
              </w:rPr>
              <w:t xml:space="preserve"> period of 12 months immediately preceding the Service Period in respect of which Service Credits are accrued; </w:t>
            </w:r>
          </w:p>
        </w:tc>
      </w:tr>
      <w:tr w:rsidR="002071BF" w:rsidRPr="00F55457" w14:paraId="6E219709" w14:textId="77777777" w:rsidTr="0052486C">
        <w:tc>
          <w:tcPr>
            <w:tcW w:w="2835" w:type="dxa"/>
          </w:tcPr>
          <w:p w14:paraId="23703C60" w14:textId="77777777" w:rsidR="002071BF" w:rsidRPr="00F55457" w:rsidRDefault="002071BF" w:rsidP="002071BF">
            <w:pPr>
              <w:pStyle w:val="StdBodyTextBold"/>
              <w:rPr>
                <w:rFonts w:cs="Arial"/>
              </w:rPr>
            </w:pPr>
            <w:r>
              <w:rPr>
                <w:rFonts w:cs="Arial"/>
              </w:rPr>
              <w:t>“</w:t>
            </w:r>
            <w:r w:rsidRPr="00F55457">
              <w:rPr>
                <w:rFonts w:cs="Arial"/>
              </w:rPr>
              <w:t>Service Credits</w:t>
            </w:r>
            <w:r>
              <w:rPr>
                <w:rFonts w:cs="Arial"/>
              </w:rPr>
              <w:t>”</w:t>
            </w:r>
          </w:p>
        </w:tc>
        <w:tc>
          <w:tcPr>
            <w:tcW w:w="6803" w:type="dxa"/>
          </w:tcPr>
          <w:p w14:paraId="23C8EC65" w14:textId="3B9BCDB5" w:rsidR="002071BF" w:rsidRPr="00F55457" w:rsidRDefault="002071BF" w:rsidP="002071BF">
            <w:pPr>
              <w:pStyle w:val="StdBodyText"/>
              <w:rPr>
                <w:rFonts w:cs="Arial"/>
              </w:rPr>
            </w:pPr>
            <w:r w:rsidRPr="00F55457">
              <w:rPr>
                <w:rFonts w:cs="Arial"/>
              </w:rPr>
              <w:t xml:space="preserve">credits payable by the Supplier due to the </w:t>
            </w:r>
            <w:r w:rsidRPr="008D6A63">
              <w:rPr>
                <w:rFonts w:cs="Arial"/>
              </w:rPr>
              <w:t xml:space="preserve">occurrence of 1 or more KPI Failures, calculated in accordance with </w:t>
            </w:r>
            <w:bookmarkStart w:id="162" w:name="_9kMKJ5YVt4EE6CEZGpqgyts0F"/>
            <w:r w:rsidRPr="008D6A63">
              <w:rPr>
                <w:rFonts w:cs="Arial"/>
              </w:rPr>
              <w:t xml:space="preserve">Paragraph </w:t>
            </w:r>
            <w:bookmarkEnd w:id="162"/>
            <w:r w:rsidRPr="008D6A63">
              <w:rPr>
                <w:rFonts w:cs="Arial"/>
              </w:rPr>
              <w:fldChar w:fldCharType="begin"/>
            </w:r>
            <w:r w:rsidRPr="008D6A63">
              <w:rPr>
                <w:rFonts w:cs="Arial"/>
              </w:rPr>
              <w:instrText xml:space="preserve"> REF _Ref44570785 \r \h  \* MERGEFORMAT </w:instrText>
            </w:r>
            <w:r w:rsidRPr="008D6A63">
              <w:rPr>
                <w:rFonts w:cs="Arial"/>
              </w:rPr>
            </w:r>
            <w:r w:rsidRPr="008D6A63">
              <w:rPr>
                <w:rFonts w:cs="Arial"/>
              </w:rPr>
              <w:fldChar w:fldCharType="separate"/>
            </w:r>
            <w:r w:rsidR="007A1473">
              <w:rPr>
                <w:rFonts w:cs="Arial"/>
              </w:rPr>
              <w:t>3</w:t>
            </w:r>
            <w:r w:rsidRPr="008D6A63">
              <w:rPr>
                <w:rFonts w:cs="Arial"/>
              </w:rPr>
              <w:fldChar w:fldCharType="end"/>
            </w:r>
            <w:r w:rsidRPr="008D6A63">
              <w:rPr>
                <w:rFonts w:cs="Arial"/>
              </w:rPr>
              <w:t xml:space="preserve"> of </w:t>
            </w:r>
            <w:r w:rsidRPr="008D6A63">
              <w:rPr>
                <w:rFonts w:cs="Arial"/>
              </w:rPr>
              <w:fldChar w:fldCharType="begin"/>
            </w:r>
            <w:r w:rsidRPr="008D6A63">
              <w:rPr>
                <w:rFonts w:cs="Arial"/>
              </w:rPr>
              <w:instrText xml:space="preserve"> REF Sch15PartC \h  \* MERGEFORMAT </w:instrText>
            </w:r>
            <w:r w:rsidRPr="008D6A63">
              <w:rPr>
                <w:rFonts w:cs="Arial"/>
              </w:rPr>
            </w:r>
            <w:r w:rsidRPr="008D6A63">
              <w:rPr>
                <w:rFonts w:cs="Arial"/>
              </w:rPr>
              <w:fldChar w:fldCharType="separate"/>
            </w:r>
            <w:r w:rsidR="007A1473" w:rsidRPr="007A1473">
              <w:rPr>
                <w:rFonts w:cs="Arial"/>
              </w:rPr>
              <w:t>Part C</w:t>
            </w:r>
            <w:r w:rsidRPr="008D6A63">
              <w:rPr>
                <w:rFonts w:cs="Arial"/>
              </w:rPr>
              <w:fldChar w:fldCharType="end"/>
            </w:r>
            <w:r w:rsidRPr="008D6A63">
              <w:rPr>
                <w:rFonts w:cs="Arial"/>
              </w:rPr>
              <w:t xml:space="preserve"> of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8D6A63">
              <w:rPr>
                <w:rFonts w:cs="Arial"/>
              </w:rPr>
              <w:t>;</w:t>
            </w:r>
          </w:p>
        </w:tc>
      </w:tr>
      <w:tr w:rsidR="002071BF" w:rsidRPr="00F55457" w14:paraId="234AE7AE" w14:textId="77777777" w:rsidTr="0052486C">
        <w:tc>
          <w:tcPr>
            <w:tcW w:w="2835" w:type="dxa"/>
          </w:tcPr>
          <w:p w14:paraId="19AC24E4" w14:textId="77777777" w:rsidR="002071BF" w:rsidRPr="00F55457" w:rsidRDefault="002071BF" w:rsidP="002071BF">
            <w:pPr>
              <w:pStyle w:val="StdBodyTextBold"/>
              <w:rPr>
                <w:rFonts w:cs="Arial"/>
              </w:rPr>
            </w:pPr>
            <w:r>
              <w:rPr>
                <w:rFonts w:cs="Arial"/>
              </w:rPr>
              <w:t>“</w:t>
            </w:r>
            <w:r w:rsidRPr="00F55457">
              <w:rPr>
                <w:rFonts w:cs="Arial"/>
              </w:rPr>
              <w:t>Service Period</w:t>
            </w:r>
            <w:r>
              <w:rPr>
                <w:rFonts w:cs="Arial"/>
              </w:rPr>
              <w:t>”</w:t>
            </w:r>
          </w:p>
        </w:tc>
        <w:tc>
          <w:tcPr>
            <w:tcW w:w="6803" w:type="dxa"/>
          </w:tcPr>
          <w:p w14:paraId="7C0FF29A" w14:textId="77777777" w:rsidR="002071BF" w:rsidRPr="00F55457" w:rsidRDefault="002071BF" w:rsidP="002071BF">
            <w:pPr>
              <w:pStyle w:val="StdBodyText"/>
              <w:rPr>
                <w:rFonts w:cs="Arial"/>
              </w:rPr>
            </w:pPr>
            <w:r w:rsidRPr="00F55457">
              <w:rPr>
                <w:rFonts w:cs="Arial"/>
              </w:rPr>
              <w:t>a calendar month, save that:</w:t>
            </w:r>
          </w:p>
          <w:p w14:paraId="0ADAEB7E" w14:textId="77777777" w:rsidR="002071BF" w:rsidRPr="00F55457" w:rsidRDefault="002071BF" w:rsidP="002071BF">
            <w:pPr>
              <w:pStyle w:val="DefinitionList"/>
              <w:numPr>
                <w:ilvl w:val="0"/>
                <w:numId w:val="69"/>
              </w:numPr>
            </w:pPr>
            <w:r w:rsidRPr="00F55457">
              <w:t>the first service period shall begin on the first Operational Service Commencement Date and shall expire at the end of the calendar month in which the first Operational Service Commencement Date falls; and</w:t>
            </w:r>
          </w:p>
          <w:p w14:paraId="0B8909D5" w14:textId="77777777" w:rsidR="002071BF" w:rsidRPr="00F55457" w:rsidRDefault="002071BF" w:rsidP="002071BF">
            <w:pPr>
              <w:pStyle w:val="DefinitionList"/>
              <w:numPr>
                <w:ilvl w:val="0"/>
                <w:numId w:val="78"/>
              </w:numPr>
              <w:rPr>
                <w:rFonts w:cs="Arial"/>
              </w:rPr>
            </w:pPr>
            <w:r w:rsidRPr="00F55457">
              <w:rPr>
                <w:rFonts w:cs="Arial"/>
              </w:rPr>
              <w:t>the final service period shall commence on the first day of the calendar month in which the Term expires or terminates and shall end on the expiry or termination of the Term;</w:t>
            </w:r>
          </w:p>
        </w:tc>
      </w:tr>
      <w:tr w:rsidR="002071BF" w:rsidRPr="00117CBB" w14:paraId="425BC138" w14:textId="77777777" w:rsidTr="0052486C">
        <w:tc>
          <w:tcPr>
            <w:tcW w:w="2835" w:type="dxa"/>
          </w:tcPr>
          <w:p w14:paraId="0BA6B3A3" w14:textId="77777777" w:rsidR="002071BF" w:rsidRPr="00F55457" w:rsidRDefault="002071BF" w:rsidP="002071BF">
            <w:pPr>
              <w:pStyle w:val="StdBodyTextBold"/>
              <w:rPr>
                <w:rFonts w:cs="Arial"/>
              </w:rPr>
            </w:pPr>
            <w:r>
              <w:rPr>
                <w:rFonts w:cs="Arial"/>
              </w:rPr>
              <w:t>“</w:t>
            </w:r>
            <w:r w:rsidRPr="00F55457">
              <w:rPr>
                <w:rFonts w:cs="Arial"/>
              </w:rPr>
              <w:t>Service Points</w:t>
            </w:r>
            <w:r>
              <w:rPr>
                <w:rFonts w:cs="Arial"/>
              </w:rPr>
              <w:t>”</w:t>
            </w:r>
          </w:p>
        </w:tc>
        <w:tc>
          <w:tcPr>
            <w:tcW w:w="6803" w:type="dxa"/>
          </w:tcPr>
          <w:p w14:paraId="15463B40" w14:textId="78F04E61" w:rsidR="002071BF" w:rsidRPr="00117CBB" w:rsidRDefault="002071BF" w:rsidP="002071BF">
            <w:pPr>
              <w:pStyle w:val="StdBodyText"/>
              <w:rPr>
                <w:rFonts w:cs="Arial"/>
              </w:rPr>
            </w:pPr>
            <w:r w:rsidRPr="00117CBB">
              <w:rPr>
                <w:rFonts w:cs="Arial"/>
              </w:rPr>
              <w:t xml:space="preserve">in relation to a KPI Failure, the points that are set out against the relevant Key Performance Indicator in the fifth column of the table in </w:t>
            </w:r>
            <w:r>
              <w:rPr>
                <w:rFonts w:cs="Arial"/>
              </w:rPr>
              <w:t>Part A of Annex 1</w:t>
            </w:r>
            <w:r w:rsidRPr="00117CBB">
              <w:rPr>
                <w:rFonts w:cs="Arial"/>
              </w:rPr>
              <w:t xml:space="preserve"> of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117CBB">
              <w:rPr>
                <w:rFonts w:cs="Arial"/>
              </w:rPr>
              <w:t>;</w:t>
            </w:r>
          </w:p>
        </w:tc>
      </w:tr>
      <w:tr w:rsidR="002071BF" w:rsidRPr="00F55457" w14:paraId="612E8082" w14:textId="77777777" w:rsidTr="0052486C">
        <w:tc>
          <w:tcPr>
            <w:tcW w:w="2835" w:type="dxa"/>
          </w:tcPr>
          <w:p w14:paraId="5510594F" w14:textId="77777777" w:rsidR="002071BF" w:rsidRPr="008D6A63" w:rsidRDefault="002071BF" w:rsidP="002071BF">
            <w:pPr>
              <w:pStyle w:val="StdBodyTextBold"/>
              <w:rPr>
                <w:rFonts w:cs="Arial"/>
              </w:rPr>
            </w:pPr>
            <w:r>
              <w:rPr>
                <w:rFonts w:cs="Arial"/>
              </w:rPr>
              <w:t>“</w:t>
            </w:r>
            <w:r w:rsidRPr="008D6A63">
              <w:rPr>
                <w:rFonts w:cs="Arial"/>
              </w:rPr>
              <w:t>Services</w:t>
            </w:r>
            <w:r>
              <w:rPr>
                <w:rFonts w:cs="Arial"/>
              </w:rPr>
              <w:t>”</w:t>
            </w:r>
          </w:p>
        </w:tc>
        <w:tc>
          <w:tcPr>
            <w:tcW w:w="6803" w:type="dxa"/>
          </w:tcPr>
          <w:p w14:paraId="6F3F0EFA" w14:textId="5E7B119A" w:rsidR="002071BF" w:rsidRPr="008D6A63" w:rsidRDefault="002071BF" w:rsidP="002071BF">
            <w:pPr>
              <w:pStyle w:val="StdBodyText"/>
              <w:rPr>
                <w:rFonts w:cs="Arial"/>
              </w:rPr>
            </w:pPr>
            <w:r w:rsidRPr="008D6A63">
              <w:rPr>
                <w:rFonts w:cs="Arial"/>
              </w:rPr>
              <w:t xml:space="preserve">any and all of the services to be provided by the Supplier under this Contract, including those set out in </w:t>
            </w:r>
            <w:r>
              <w:rPr>
                <w:rFonts w:cs="Arial"/>
              </w:rPr>
              <w:fldChar w:fldCharType="begin"/>
            </w:r>
            <w:r>
              <w:rPr>
                <w:rFonts w:cs="Arial"/>
              </w:rPr>
              <w:instrText xml:space="preserve"> REF Schedule2 \h </w:instrText>
            </w:r>
            <w:r>
              <w:rPr>
                <w:rFonts w:cs="Arial"/>
              </w:rPr>
            </w:r>
            <w:r>
              <w:rPr>
                <w:rFonts w:cs="Arial"/>
              </w:rPr>
              <w:fldChar w:fldCharType="separate"/>
            </w:r>
            <w:r w:rsidR="007A1473" w:rsidRPr="005D0525">
              <w:t>Schedule</w:t>
            </w:r>
            <w:r w:rsidR="007A1473">
              <w:t> </w:t>
            </w:r>
            <w:r w:rsidR="007A1473" w:rsidRPr="005D0525">
              <w:t>2</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Services Description</w:t>
            </w:r>
            <w:r w:rsidRPr="00A22335">
              <w:rPr>
                <w:rFonts w:cs="Arial"/>
                <w:i/>
                <w:iCs/>
              </w:rPr>
              <w:fldChar w:fldCharType="end"/>
            </w:r>
            <w:r>
              <w:rPr>
                <w:rFonts w:cs="Arial"/>
              </w:rPr>
              <w:t>)</w:t>
            </w:r>
            <w:r w:rsidRPr="008D6A63">
              <w:rPr>
                <w:rFonts w:cs="Arial"/>
              </w:rPr>
              <w:t>;</w:t>
            </w:r>
          </w:p>
        </w:tc>
      </w:tr>
      <w:tr w:rsidR="002071BF" w:rsidRPr="00F55457" w14:paraId="776C5ADA" w14:textId="77777777" w:rsidTr="0052486C">
        <w:tc>
          <w:tcPr>
            <w:tcW w:w="2835" w:type="dxa"/>
          </w:tcPr>
          <w:p w14:paraId="5004E673" w14:textId="77777777" w:rsidR="002071BF" w:rsidRPr="008D6A63" w:rsidRDefault="002071BF" w:rsidP="002071BF">
            <w:pPr>
              <w:pStyle w:val="StdBodyTextBold"/>
              <w:rPr>
                <w:rFonts w:cs="Arial"/>
              </w:rPr>
            </w:pPr>
            <w:r>
              <w:rPr>
                <w:rFonts w:cs="Arial"/>
              </w:rPr>
              <w:t>“</w:t>
            </w:r>
            <w:r w:rsidRPr="008D6A63">
              <w:rPr>
                <w:rFonts w:cs="Arial"/>
              </w:rPr>
              <w:t>Service Transfer Date</w:t>
            </w:r>
            <w:r>
              <w:rPr>
                <w:rFonts w:cs="Arial"/>
              </w:rPr>
              <w:t>”</w:t>
            </w:r>
          </w:p>
        </w:tc>
        <w:tc>
          <w:tcPr>
            <w:tcW w:w="6803" w:type="dxa"/>
          </w:tcPr>
          <w:p w14:paraId="6709A0D8" w14:textId="0E174B7D" w:rsidR="002071BF" w:rsidRPr="008D6A63" w:rsidRDefault="002071BF" w:rsidP="002071BF">
            <w:pPr>
              <w:pStyle w:val="StdBodyText"/>
              <w:rPr>
                <w:rFonts w:cs="Arial"/>
              </w:rPr>
            </w:pPr>
            <w:r w:rsidRPr="008D6A63">
              <w:rPr>
                <w:rFonts w:cs="Arial"/>
              </w:rPr>
              <w:t xml:space="preserve">has the meaning given in </w:t>
            </w:r>
            <w:r>
              <w:rPr>
                <w:rFonts w:cs="Arial"/>
              </w:rPr>
              <w:fldChar w:fldCharType="begin"/>
            </w:r>
            <w:r>
              <w:rPr>
                <w:rFonts w:cs="Arial"/>
              </w:rPr>
              <w:instrText xml:space="preserve"> REF Schedule28 \h </w:instrText>
            </w:r>
            <w:r>
              <w:rPr>
                <w:rFonts w:cs="Arial"/>
              </w:rPr>
            </w:r>
            <w:r>
              <w:rPr>
                <w:rFonts w:cs="Arial"/>
              </w:rPr>
              <w:fldChar w:fldCharType="separate"/>
            </w:r>
            <w:r w:rsidR="007A1473" w:rsidRPr="005D0525">
              <w:t>Schedule</w:t>
            </w:r>
            <w:r w:rsidR="007A1473">
              <w:t> </w:t>
            </w:r>
            <w:r w:rsidR="007A1473" w:rsidRPr="005D0525">
              <w:t>28</w:t>
            </w:r>
            <w:r>
              <w:rPr>
                <w:rFonts w:cs="Arial"/>
              </w:rPr>
              <w:fldChar w:fldCharType="end"/>
            </w:r>
            <w:r>
              <w:rPr>
                <w:rFonts w:cs="Arial"/>
              </w:rPr>
              <w:t xml:space="preserve"> (</w:t>
            </w:r>
            <w:r w:rsidRPr="006F064F">
              <w:rPr>
                <w:rFonts w:cs="Arial"/>
                <w:i/>
                <w:iCs/>
              </w:rPr>
              <w:fldChar w:fldCharType="begin"/>
            </w:r>
            <w:r w:rsidRPr="006F064F">
              <w:rPr>
                <w:rFonts w:cs="Arial"/>
                <w:i/>
                <w:iCs/>
              </w:rPr>
              <w:instrText xml:space="preserve"> REF Schedule28Heading \h </w:instrText>
            </w:r>
            <w:r>
              <w:rPr>
                <w:rFonts w:cs="Arial"/>
                <w:i/>
                <w:iCs/>
              </w:rPr>
              <w:instrText xml:space="preserve"> \* MERGEFORMAT </w:instrText>
            </w:r>
            <w:r w:rsidRPr="006F064F">
              <w:rPr>
                <w:rFonts w:cs="Arial"/>
                <w:i/>
                <w:iCs/>
              </w:rPr>
            </w:r>
            <w:r w:rsidRPr="006F064F">
              <w:rPr>
                <w:rFonts w:cs="Arial"/>
                <w:i/>
                <w:iCs/>
              </w:rPr>
              <w:fldChar w:fldCharType="separate"/>
            </w:r>
            <w:r w:rsidR="007A1473" w:rsidRPr="007A1473">
              <w:rPr>
                <w:i/>
                <w:iCs/>
              </w:rPr>
              <w:t>Staff Transfer</w:t>
            </w:r>
            <w:r w:rsidRPr="006F064F">
              <w:rPr>
                <w:rFonts w:cs="Arial"/>
                <w:i/>
                <w:iCs/>
              </w:rPr>
              <w:fldChar w:fldCharType="end"/>
            </w:r>
            <w:r>
              <w:rPr>
                <w:rFonts w:cs="Arial"/>
              </w:rPr>
              <w:t>)</w:t>
            </w:r>
            <w:r w:rsidRPr="008D6A63">
              <w:rPr>
                <w:rFonts w:cs="Arial"/>
              </w:rPr>
              <w:t>;</w:t>
            </w:r>
          </w:p>
        </w:tc>
      </w:tr>
      <w:tr w:rsidR="002071BF" w:rsidRPr="00F55457" w14:paraId="3D88540A" w14:textId="77777777" w:rsidTr="0052486C">
        <w:tc>
          <w:tcPr>
            <w:tcW w:w="2835" w:type="dxa"/>
          </w:tcPr>
          <w:p w14:paraId="12E65BFA" w14:textId="77777777" w:rsidR="002071BF" w:rsidRPr="008D6A63" w:rsidRDefault="002071BF" w:rsidP="002071BF">
            <w:pPr>
              <w:pStyle w:val="StdBodyTextBold"/>
              <w:rPr>
                <w:rFonts w:cs="Arial"/>
              </w:rPr>
            </w:pPr>
            <w:r>
              <w:rPr>
                <w:rFonts w:cs="Arial"/>
              </w:rPr>
              <w:lastRenderedPageBreak/>
              <w:t>“</w:t>
            </w:r>
            <w:r w:rsidRPr="008D6A63">
              <w:rPr>
                <w:rFonts w:cs="Arial"/>
              </w:rPr>
              <w:t>Services Description</w:t>
            </w:r>
            <w:r>
              <w:rPr>
                <w:rFonts w:cs="Arial"/>
              </w:rPr>
              <w:t>”</w:t>
            </w:r>
          </w:p>
        </w:tc>
        <w:tc>
          <w:tcPr>
            <w:tcW w:w="6803" w:type="dxa"/>
          </w:tcPr>
          <w:p w14:paraId="2A63462F" w14:textId="35F683F5" w:rsidR="002071BF" w:rsidRPr="008D6A63" w:rsidRDefault="002071BF" w:rsidP="002071BF">
            <w:pPr>
              <w:pStyle w:val="StdBodyText"/>
              <w:rPr>
                <w:rFonts w:cs="Arial"/>
              </w:rPr>
            </w:pPr>
            <w:r w:rsidRPr="008D6A63">
              <w:rPr>
                <w:rFonts w:cs="Arial"/>
              </w:rPr>
              <w:t xml:space="preserve">the services description set out in </w:t>
            </w:r>
            <w:r>
              <w:rPr>
                <w:rFonts w:cs="Arial"/>
              </w:rPr>
              <w:fldChar w:fldCharType="begin"/>
            </w:r>
            <w:r>
              <w:rPr>
                <w:rFonts w:cs="Arial"/>
              </w:rPr>
              <w:instrText xml:space="preserve"> REF Schedule2 \h </w:instrText>
            </w:r>
            <w:r>
              <w:rPr>
                <w:rFonts w:cs="Arial"/>
              </w:rPr>
            </w:r>
            <w:r>
              <w:rPr>
                <w:rFonts w:cs="Arial"/>
              </w:rPr>
              <w:fldChar w:fldCharType="separate"/>
            </w:r>
            <w:r w:rsidR="007A1473" w:rsidRPr="005D0525">
              <w:t>Schedule</w:t>
            </w:r>
            <w:r w:rsidR="007A1473">
              <w:t> </w:t>
            </w:r>
            <w:r w:rsidR="007A1473" w:rsidRPr="005D0525">
              <w:t>2</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Services Description</w:t>
            </w:r>
            <w:r w:rsidRPr="00A22335">
              <w:rPr>
                <w:rFonts w:cs="Arial"/>
                <w:i/>
                <w:iCs/>
              </w:rPr>
              <w:fldChar w:fldCharType="end"/>
            </w:r>
            <w:r>
              <w:rPr>
                <w:rFonts w:cs="Arial"/>
              </w:rPr>
              <w:t>)</w:t>
            </w:r>
            <w:r w:rsidRPr="008D6A63">
              <w:rPr>
                <w:rFonts w:cs="Arial"/>
              </w:rPr>
              <w:t>;</w:t>
            </w:r>
          </w:p>
        </w:tc>
      </w:tr>
      <w:tr w:rsidR="002071BF" w:rsidRPr="00F55457" w14:paraId="0AF45D37" w14:textId="77777777" w:rsidTr="0052486C">
        <w:tc>
          <w:tcPr>
            <w:tcW w:w="2835" w:type="dxa"/>
          </w:tcPr>
          <w:p w14:paraId="320CCABE" w14:textId="77777777" w:rsidR="002071BF" w:rsidRPr="008D6A63" w:rsidRDefault="002071BF" w:rsidP="002071BF">
            <w:pPr>
              <w:pStyle w:val="StdBodyTextBold"/>
              <w:rPr>
                <w:rFonts w:cs="Arial"/>
              </w:rPr>
            </w:pPr>
            <w:r>
              <w:rPr>
                <w:rFonts w:cs="Arial"/>
              </w:rPr>
              <w:t>“</w:t>
            </w:r>
            <w:r w:rsidRPr="008D6A63">
              <w:rPr>
                <w:rFonts w:cs="Arial"/>
              </w:rPr>
              <w:t>Severe KPI Failure</w:t>
            </w:r>
            <w:r>
              <w:rPr>
                <w:rFonts w:cs="Arial"/>
              </w:rPr>
              <w:t>”</w:t>
            </w:r>
          </w:p>
        </w:tc>
        <w:tc>
          <w:tcPr>
            <w:tcW w:w="6803" w:type="dxa"/>
          </w:tcPr>
          <w:p w14:paraId="2FCA9CF6" w14:textId="3BE9BDCC" w:rsidR="002071BF" w:rsidRPr="008D6A63" w:rsidRDefault="002071BF" w:rsidP="002071BF">
            <w:pPr>
              <w:pStyle w:val="StdBodyText"/>
              <w:rPr>
                <w:rFonts w:cs="Arial"/>
              </w:rPr>
            </w:pPr>
            <w:r w:rsidRPr="008D6A63">
              <w:rPr>
                <w:rFonts w:cs="Arial"/>
              </w:rPr>
              <w:t xml:space="preserve">shall be as set out against the relevant </w:t>
            </w:r>
            <w:bookmarkStart w:id="163" w:name="_9kMJI5YVt4CCFMMbF0mNwyw98suxpWa2yyr9ONI"/>
            <w:r w:rsidRPr="008D6A63">
              <w:rPr>
                <w:rFonts w:cs="Arial"/>
              </w:rPr>
              <w:t xml:space="preserve">Key Performance Indicator in Table 1 of </w:t>
            </w:r>
            <w:r>
              <w:rPr>
                <w:rFonts w:cs="Arial"/>
              </w:rPr>
              <w:t>Part 1</w:t>
            </w:r>
            <w:r w:rsidRPr="008D6A63">
              <w:rPr>
                <w:rFonts w:cs="Arial"/>
              </w:rPr>
              <w:t xml:space="preserve"> of </w:t>
            </w:r>
            <w:bookmarkEnd w:id="163"/>
            <w:r>
              <w:rPr>
                <w:rFonts w:cs="Arial"/>
              </w:rPr>
              <w:t>Annex 1</w:t>
            </w:r>
            <w:r w:rsidRPr="008D6A63">
              <w:rPr>
                <w:rFonts w:cs="Arial"/>
              </w:rPr>
              <w:t xml:space="preserve"> of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8D6A63">
              <w:rPr>
                <w:rFonts w:cs="Arial"/>
              </w:rPr>
              <w:t>;</w:t>
            </w:r>
          </w:p>
        </w:tc>
      </w:tr>
      <w:tr w:rsidR="002071BF" w:rsidRPr="00F55457" w14:paraId="65B15785" w14:textId="77777777" w:rsidTr="0052486C">
        <w:tc>
          <w:tcPr>
            <w:tcW w:w="2835" w:type="dxa"/>
          </w:tcPr>
          <w:p w14:paraId="5BA8C445" w14:textId="77777777" w:rsidR="002071BF" w:rsidRPr="008D6A63" w:rsidRDefault="002071BF" w:rsidP="002071BF">
            <w:pPr>
              <w:pStyle w:val="StdBodyTextBold"/>
              <w:rPr>
                <w:rFonts w:cs="Arial"/>
              </w:rPr>
            </w:pPr>
            <w:r>
              <w:rPr>
                <w:rFonts w:cs="Arial"/>
              </w:rPr>
              <w:t>“</w:t>
            </w:r>
            <w:r w:rsidRPr="008D6A63">
              <w:rPr>
                <w:rFonts w:cs="Arial"/>
              </w:rPr>
              <w:t>Sites</w:t>
            </w:r>
            <w:r>
              <w:rPr>
                <w:rFonts w:cs="Arial"/>
              </w:rPr>
              <w:t>”</w:t>
            </w:r>
          </w:p>
        </w:tc>
        <w:tc>
          <w:tcPr>
            <w:tcW w:w="6803" w:type="dxa"/>
          </w:tcPr>
          <w:p w14:paraId="747E7B3B" w14:textId="77777777" w:rsidR="002071BF" w:rsidRPr="008D6A63" w:rsidRDefault="002071BF" w:rsidP="002071BF">
            <w:pPr>
              <w:pStyle w:val="StdBodyText"/>
              <w:rPr>
                <w:rFonts w:cs="Arial"/>
              </w:rPr>
            </w:pPr>
            <w:r w:rsidRPr="008D6A63">
              <w:rPr>
                <w:rFonts w:cs="Arial"/>
              </w:rPr>
              <w:t>any premises (including the Authority Premises, the Supplier</w:t>
            </w:r>
            <w:r>
              <w:rPr>
                <w:rFonts w:cs="Arial"/>
              </w:rPr>
              <w:t>’</w:t>
            </w:r>
            <w:r w:rsidRPr="008D6A63">
              <w:rPr>
                <w:rFonts w:cs="Arial"/>
              </w:rPr>
              <w:t xml:space="preserve">s premises or third party premises): </w:t>
            </w:r>
          </w:p>
          <w:p w14:paraId="334A836A" w14:textId="77777777" w:rsidR="002071BF" w:rsidRPr="008D6A63" w:rsidRDefault="002071BF" w:rsidP="002071BF">
            <w:pPr>
              <w:pStyle w:val="DefinitionList"/>
              <w:numPr>
                <w:ilvl w:val="0"/>
                <w:numId w:val="70"/>
              </w:numPr>
            </w:pPr>
            <w:r w:rsidRPr="008D6A63">
              <w:t>from, to or at which:</w:t>
            </w:r>
          </w:p>
          <w:p w14:paraId="4CA05272" w14:textId="77777777" w:rsidR="002071BF" w:rsidRPr="008D6A63" w:rsidRDefault="002071BF" w:rsidP="002071BF">
            <w:pPr>
              <w:pStyle w:val="DefinitionListLevel1"/>
              <w:numPr>
                <w:ilvl w:val="1"/>
                <w:numId w:val="78"/>
              </w:numPr>
              <w:rPr>
                <w:rFonts w:cs="Arial"/>
              </w:rPr>
            </w:pPr>
            <w:r w:rsidRPr="008D6A63">
              <w:rPr>
                <w:rFonts w:cs="Arial"/>
              </w:rPr>
              <w:t xml:space="preserve">the Services are (or are to be) provided; or </w:t>
            </w:r>
          </w:p>
          <w:p w14:paraId="3D87D08E" w14:textId="77777777" w:rsidR="002071BF" w:rsidRPr="008D6A63" w:rsidRDefault="002071BF" w:rsidP="002071BF">
            <w:pPr>
              <w:pStyle w:val="DefinitionListLevel1"/>
              <w:numPr>
                <w:ilvl w:val="1"/>
                <w:numId w:val="78"/>
              </w:numPr>
              <w:rPr>
                <w:rFonts w:cs="Arial"/>
              </w:rPr>
            </w:pPr>
            <w:r w:rsidRPr="008D6A63">
              <w:rPr>
                <w:rFonts w:cs="Arial"/>
              </w:rPr>
              <w:t>the Supplier manages, organises or otherwise directs the provision or the use of the Services; or</w:t>
            </w:r>
          </w:p>
          <w:p w14:paraId="1E58BC11" w14:textId="77777777" w:rsidR="002071BF" w:rsidRPr="008D6A63" w:rsidRDefault="002071BF" w:rsidP="002071BF">
            <w:pPr>
              <w:pStyle w:val="DefinitionList"/>
              <w:numPr>
                <w:ilvl w:val="0"/>
                <w:numId w:val="78"/>
              </w:numPr>
            </w:pPr>
            <w:r w:rsidRPr="008D6A63">
              <w:t>where:</w:t>
            </w:r>
          </w:p>
          <w:p w14:paraId="4D33A1E8" w14:textId="77777777" w:rsidR="002071BF" w:rsidRPr="008D6A63" w:rsidRDefault="002071BF" w:rsidP="002071BF">
            <w:pPr>
              <w:pStyle w:val="DefinitionListLevel1"/>
              <w:numPr>
                <w:ilvl w:val="1"/>
                <w:numId w:val="78"/>
              </w:numPr>
              <w:rPr>
                <w:rFonts w:cs="Arial"/>
              </w:rPr>
            </w:pPr>
            <w:r w:rsidRPr="008D6A63">
              <w:rPr>
                <w:rFonts w:cs="Arial"/>
              </w:rPr>
              <w:t xml:space="preserve">any part of the Supplier System is situated; or </w:t>
            </w:r>
          </w:p>
          <w:p w14:paraId="50D710EE" w14:textId="77777777" w:rsidR="002071BF" w:rsidRPr="008D6A63" w:rsidRDefault="002071BF" w:rsidP="002071BF">
            <w:pPr>
              <w:pStyle w:val="DefinitionListLevel1"/>
              <w:numPr>
                <w:ilvl w:val="1"/>
                <w:numId w:val="78"/>
              </w:numPr>
              <w:rPr>
                <w:rFonts w:cs="Arial"/>
              </w:rPr>
            </w:pPr>
            <w:r w:rsidRPr="008D6A63">
              <w:rPr>
                <w:rFonts w:cs="Arial"/>
              </w:rPr>
              <w:t>any physical interface with the Authority System takes place;</w:t>
            </w:r>
          </w:p>
        </w:tc>
      </w:tr>
      <w:tr w:rsidR="002071BF" w:rsidRPr="00F55457" w14:paraId="01C881D4" w14:textId="77777777" w:rsidTr="0052486C">
        <w:tc>
          <w:tcPr>
            <w:tcW w:w="2835" w:type="dxa"/>
          </w:tcPr>
          <w:p w14:paraId="5F777A15" w14:textId="77777777" w:rsidR="002071BF" w:rsidRPr="008D6A63" w:rsidRDefault="002071BF" w:rsidP="002071BF">
            <w:pPr>
              <w:pStyle w:val="StdBodyTextBold"/>
              <w:rPr>
                <w:rFonts w:cs="Arial"/>
              </w:rPr>
            </w:pPr>
            <w:r>
              <w:rPr>
                <w:rFonts w:cs="Arial"/>
              </w:rPr>
              <w:t>“</w:t>
            </w:r>
            <w:r w:rsidRPr="008D6A63">
              <w:rPr>
                <w:rFonts w:cs="Arial"/>
              </w:rPr>
              <w:t>SME</w:t>
            </w:r>
            <w:r>
              <w:rPr>
                <w:rFonts w:cs="Arial"/>
              </w:rPr>
              <w:t>”</w:t>
            </w:r>
          </w:p>
        </w:tc>
        <w:tc>
          <w:tcPr>
            <w:tcW w:w="6803" w:type="dxa"/>
          </w:tcPr>
          <w:p w14:paraId="05935FA2" w14:textId="77777777" w:rsidR="002071BF" w:rsidRPr="008D6A63" w:rsidRDefault="002071BF" w:rsidP="002071BF">
            <w:pPr>
              <w:pStyle w:val="StdBodyText"/>
              <w:rPr>
                <w:rFonts w:cs="Arial"/>
              </w:rPr>
            </w:pPr>
            <w:r w:rsidRPr="008D6A63">
              <w:rPr>
                <w:rFonts w:cs="Arial"/>
              </w:rPr>
              <w:t>an enterprise falling within the category of micro, small and medium-sized enterprises defined by the Commission Recommendation of 6 May 2003 concerning the definition of micro, small and medium-sized enterprises;</w:t>
            </w:r>
          </w:p>
        </w:tc>
      </w:tr>
      <w:tr w:rsidR="002071BF" w:rsidRPr="00F55457" w14:paraId="03203168" w14:textId="77777777" w:rsidTr="0052486C">
        <w:tc>
          <w:tcPr>
            <w:tcW w:w="2835" w:type="dxa"/>
          </w:tcPr>
          <w:p w14:paraId="0429496F" w14:textId="77777777" w:rsidR="002071BF" w:rsidRPr="008D6A63" w:rsidRDefault="002071BF" w:rsidP="002071BF">
            <w:pPr>
              <w:pStyle w:val="StdBodyTextBold"/>
              <w:rPr>
                <w:rFonts w:cs="Arial"/>
              </w:rPr>
            </w:pPr>
            <w:r>
              <w:rPr>
                <w:rFonts w:cs="Arial"/>
              </w:rPr>
              <w:t>“</w:t>
            </w:r>
            <w:r w:rsidRPr="008D6A63">
              <w:rPr>
                <w:rFonts w:cs="Arial"/>
              </w:rPr>
              <w:t>Social Value</w:t>
            </w:r>
            <w:r>
              <w:rPr>
                <w:rFonts w:cs="Arial"/>
              </w:rPr>
              <w:t>”</w:t>
            </w:r>
          </w:p>
        </w:tc>
        <w:tc>
          <w:tcPr>
            <w:tcW w:w="6803" w:type="dxa"/>
          </w:tcPr>
          <w:p w14:paraId="3EF2C945" w14:textId="77777777" w:rsidR="002071BF" w:rsidRPr="008D6A63" w:rsidRDefault="002071BF" w:rsidP="002071BF">
            <w:pPr>
              <w:pStyle w:val="StdBodyText"/>
              <w:rPr>
                <w:rFonts w:cs="Arial"/>
              </w:rPr>
            </w:pPr>
            <w:r w:rsidRPr="008D6A63">
              <w:rPr>
                <w:rFonts w:cs="Arial"/>
              </w:rPr>
              <w:t xml:space="preserve">the </w:t>
            </w:r>
            <w:r w:rsidRPr="009E1FEF">
              <w:rPr>
                <w:rFonts w:cs="Arial"/>
              </w:rPr>
              <w:t>additional social benefits that can be achieved in the delivery of the Contract,</w:t>
            </w:r>
            <w:r w:rsidRPr="005D0525" w:rsidDel="00F20695">
              <w:t xml:space="preserve"> </w:t>
            </w:r>
            <w:bookmarkStart w:id="164" w:name="_Hlk78901962"/>
            <w:r w:rsidRPr="008D6A63">
              <w:rPr>
                <w:rFonts w:cs="Arial"/>
              </w:rPr>
              <w:t xml:space="preserve">set out in </w:t>
            </w:r>
            <w:bookmarkEnd w:id="164"/>
            <w:r w:rsidRPr="008D6A63">
              <w:rPr>
                <w:rFonts w:cs="Arial"/>
              </w:rPr>
              <w:t>the Authority</w:t>
            </w:r>
            <w:r>
              <w:rPr>
                <w:rFonts w:cs="Arial"/>
              </w:rPr>
              <w:t>’</w:t>
            </w:r>
            <w:r w:rsidRPr="008D6A63">
              <w:rPr>
                <w:rFonts w:cs="Arial"/>
              </w:rPr>
              <w:t>s Requirements;</w:t>
            </w:r>
          </w:p>
        </w:tc>
      </w:tr>
      <w:tr w:rsidR="002071BF" w:rsidRPr="00F55457" w14:paraId="1E7CE23A" w14:textId="77777777" w:rsidTr="0052486C">
        <w:tc>
          <w:tcPr>
            <w:tcW w:w="2835" w:type="dxa"/>
          </w:tcPr>
          <w:p w14:paraId="051402B4" w14:textId="77777777" w:rsidR="002071BF" w:rsidRPr="008D6A63" w:rsidRDefault="002071BF" w:rsidP="002071BF">
            <w:pPr>
              <w:pStyle w:val="StdBodyTextBold"/>
              <w:rPr>
                <w:rFonts w:cs="Arial"/>
              </w:rPr>
            </w:pPr>
            <w:r>
              <w:rPr>
                <w:rFonts w:cs="Arial"/>
              </w:rPr>
              <w:t>“</w:t>
            </w:r>
            <w:r w:rsidRPr="008D6A63">
              <w:rPr>
                <w:rFonts w:cs="Arial"/>
              </w:rPr>
              <w:t>Social Value PI</w:t>
            </w:r>
            <w:r>
              <w:rPr>
                <w:rFonts w:cs="Arial"/>
              </w:rPr>
              <w:t>”</w:t>
            </w:r>
          </w:p>
        </w:tc>
        <w:tc>
          <w:tcPr>
            <w:tcW w:w="6803" w:type="dxa"/>
          </w:tcPr>
          <w:p w14:paraId="6BB87567" w14:textId="5B0E5B83" w:rsidR="002071BF" w:rsidRPr="008D6A63" w:rsidRDefault="002071BF" w:rsidP="002071BF">
            <w:pPr>
              <w:pStyle w:val="StdBodyText"/>
              <w:rPr>
                <w:rFonts w:cs="Arial"/>
              </w:rPr>
            </w:pPr>
            <w:r w:rsidRPr="008D6A63">
              <w:rPr>
                <w:rFonts w:cs="Arial"/>
              </w:rPr>
              <w:t xml:space="preserve">The Social Value performance indicators set out in Table 2 of </w:t>
            </w:r>
            <w:r>
              <w:rPr>
                <w:rFonts w:cs="Arial"/>
              </w:rPr>
              <w:t xml:space="preserve">Part A </w:t>
            </w:r>
            <w:r w:rsidRPr="008D6A63">
              <w:rPr>
                <w:rFonts w:cs="Arial"/>
              </w:rPr>
              <w:t xml:space="preserve">of </w:t>
            </w:r>
            <w:r>
              <w:rPr>
                <w:rFonts w:cs="Arial"/>
              </w:rPr>
              <w:t>Annex 1</w:t>
            </w:r>
            <w:r w:rsidRPr="008D6A63">
              <w:rPr>
                <w:rFonts w:cs="Arial"/>
              </w:rPr>
              <w:t xml:space="preserve"> of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8D6A63">
              <w:rPr>
                <w:rFonts w:cs="Arial"/>
              </w:rPr>
              <w:t>;</w:t>
            </w:r>
          </w:p>
        </w:tc>
      </w:tr>
      <w:tr w:rsidR="002071BF" w:rsidRPr="00F55457" w14:paraId="4CED77EE" w14:textId="77777777" w:rsidTr="0052486C">
        <w:tc>
          <w:tcPr>
            <w:tcW w:w="2835" w:type="dxa"/>
          </w:tcPr>
          <w:p w14:paraId="37FF9254" w14:textId="77777777" w:rsidR="002071BF" w:rsidRPr="008D6A63" w:rsidRDefault="002071BF" w:rsidP="002071BF">
            <w:pPr>
              <w:pStyle w:val="StdBodyTextBold"/>
              <w:rPr>
                <w:rFonts w:cs="Arial"/>
              </w:rPr>
            </w:pPr>
            <w:r>
              <w:rPr>
                <w:rFonts w:cs="Arial"/>
              </w:rPr>
              <w:t>“</w:t>
            </w:r>
            <w:r w:rsidRPr="008D6A63">
              <w:rPr>
                <w:rFonts w:cs="Arial"/>
              </w:rPr>
              <w:t>Social Value KPI</w:t>
            </w:r>
            <w:r>
              <w:rPr>
                <w:rFonts w:cs="Arial"/>
              </w:rPr>
              <w:t>”</w:t>
            </w:r>
          </w:p>
        </w:tc>
        <w:tc>
          <w:tcPr>
            <w:tcW w:w="6803" w:type="dxa"/>
          </w:tcPr>
          <w:p w14:paraId="629D7063" w14:textId="4185ABBC" w:rsidR="002071BF" w:rsidRPr="008D6A63" w:rsidRDefault="002071BF" w:rsidP="002071BF">
            <w:pPr>
              <w:pStyle w:val="StdBodyText"/>
              <w:rPr>
                <w:rFonts w:cs="Arial"/>
              </w:rPr>
            </w:pPr>
            <w:r w:rsidRPr="008D6A63">
              <w:rPr>
                <w:rFonts w:cs="Arial"/>
              </w:rPr>
              <w:t>The Social Value key performance indicators</w:t>
            </w:r>
            <w:r>
              <w:rPr>
                <w:rFonts w:cs="Arial"/>
              </w:rPr>
              <w:t xml:space="preserve"> (if any)</w:t>
            </w:r>
            <w:r w:rsidRPr="008D6A63">
              <w:rPr>
                <w:rFonts w:cs="Arial"/>
              </w:rPr>
              <w:t xml:space="preserve"> set out in Table 1 of </w:t>
            </w:r>
            <w:r>
              <w:rPr>
                <w:rFonts w:cs="Arial"/>
              </w:rPr>
              <w:t>Part A</w:t>
            </w:r>
            <w:r w:rsidRPr="008D6A63">
              <w:rPr>
                <w:rFonts w:cs="Arial"/>
              </w:rPr>
              <w:t xml:space="preserve"> of </w:t>
            </w:r>
            <w:r>
              <w:rPr>
                <w:rFonts w:cs="Arial"/>
              </w:rPr>
              <w:t>Annex 1</w:t>
            </w:r>
            <w:r w:rsidRPr="008D6A63">
              <w:rPr>
                <w:rFonts w:cs="Arial"/>
              </w:rPr>
              <w:t xml:space="preserve"> of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8D6A63">
              <w:rPr>
                <w:rFonts w:cs="Arial"/>
              </w:rPr>
              <w:t>;</w:t>
            </w:r>
          </w:p>
        </w:tc>
      </w:tr>
      <w:tr w:rsidR="002071BF" w:rsidRPr="00F55457" w14:paraId="0E6FEBEB" w14:textId="77777777" w:rsidTr="0052486C">
        <w:tc>
          <w:tcPr>
            <w:tcW w:w="2835" w:type="dxa"/>
          </w:tcPr>
          <w:p w14:paraId="4D1EC9DD" w14:textId="77777777" w:rsidR="002071BF" w:rsidRPr="008D6A63" w:rsidRDefault="002071BF" w:rsidP="002071BF">
            <w:pPr>
              <w:pStyle w:val="StdBodyTextBold"/>
              <w:rPr>
                <w:rFonts w:cs="Arial"/>
              </w:rPr>
            </w:pPr>
            <w:r>
              <w:rPr>
                <w:rFonts w:cs="Arial"/>
              </w:rPr>
              <w:t>“</w:t>
            </w:r>
            <w:r w:rsidRPr="008D6A63">
              <w:rPr>
                <w:rFonts w:cs="Arial"/>
              </w:rPr>
              <w:t>Software</w:t>
            </w:r>
            <w:r>
              <w:rPr>
                <w:rFonts w:cs="Arial"/>
              </w:rPr>
              <w:t>”</w:t>
            </w:r>
          </w:p>
        </w:tc>
        <w:tc>
          <w:tcPr>
            <w:tcW w:w="6803" w:type="dxa"/>
          </w:tcPr>
          <w:p w14:paraId="31330C69" w14:textId="77777777" w:rsidR="002071BF" w:rsidRPr="008D6A63" w:rsidRDefault="002071BF" w:rsidP="002071BF">
            <w:pPr>
              <w:pStyle w:val="StdBodyText"/>
              <w:rPr>
                <w:rFonts w:cs="Arial"/>
              </w:rPr>
            </w:pPr>
            <w:r w:rsidRPr="008D6A63">
              <w:rPr>
                <w:rFonts w:cs="Arial"/>
              </w:rPr>
              <w:t>Specially Written Software, Supplier Software and Third Party Software;</w:t>
            </w:r>
          </w:p>
        </w:tc>
      </w:tr>
      <w:tr w:rsidR="002071BF" w:rsidRPr="00F55457" w14:paraId="4AF87519" w14:textId="77777777" w:rsidTr="0052486C">
        <w:tc>
          <w:tcPr>
            <w:tcW w:w="2835" w:type="dxa"/>
          </w:tcPr>
          <w:p w14:paraId="76BA4CB1" w14:textId="77777777" w:rsidR="002071BF" w:rsidRPr="008D6A63" w:rsidRDefault="002071BF" w:rsidP="002071BF">
            <w:pPr>
              <w:pStyle w:val="StdBodyTextBold"/>
              <w:rPr>
                <w:rFonts w:cs="Arial"/>
              </w:rPr>
            </w:pPr>
            <w:r>
              <w:rPr>
                <w:rFonts w:cs="Arial"/>
              </w:rPr>
              <w:t>“</w:t>
            </w:r>
            <w:r w:rsidRPr="008D6A63">
              <w:rPr>
                <w:rFonts w:cs="Arial"/>
              </w:rPr>
              <w:t>Software Supporting Materials</w:t>
            </w:r>
            <w:r>
              <w:rPr>
                <w:rFonts w:cs="Arial"/>
              </w:rPr>
              <w:t>”</w:t>
            </w:r>
          </w:p>
        </w:tc>
        <w:tc>
          <w:tcPr>
            <w:tcW w:w="6803" w:type="dxa"/>
          </w:tcPr>
          <w:p w14:paraId="641D1696" w14:textId="025435D1" w:rsidR="002071BF" w:rsidRPr="008D6A63" w:rsidRDefault="002071BF" w:rsidP="002071BF">
            <w:pPr>
              <w:pStyle w:val="StdBodyText"/>
              <w:rPr>
                <w:rFonts w:cs="Arial"/>
              </w:rPr>
            </w:pPr>
            <w:r w:rsidRPr="008D6A63">
              <w:rPr>
                <w:rFonts w:cs="Arial"/>
              </w:rPr>
              <w:t xml:space="preserve">has the meaning given </w:t>
            </w:r>
            <w:r w:rsidRPr="00155460">
              <w:rPr>
                <w:rFonts w:cs="Arial"/>
              </w:rPr>
              <w:t>in</w:t>
            </w:r>
            <w:r>
              <w:rPr>
                <w:rFonts w:cs="Arial"/>
              </w:rPr>
              <w:t xml:space="preserve"> </w:t>
            </w:r>
            <w:r w:rsidRPr="00FA3EBF">
              <w:rPr>
                <w:rFonts w:cs="Arial"/>
              </w:rPr>
              <w:t>Paragraph </w:t>
            </w:r>
            <w:r>
              <w:t>2.1.1</w:t>
            </w:r>
            <w:r w:rsidRPr="00FA3EBF">
              <w:rPr>
                <w:rFonts w:cs="Arial"/>
              </w:rPr>
              <w:t xml:space="preserve"> of </w:t>
            </w:r>
            <w:r w:rsidRPr="00FA3EBF">
              <w:rPr>
                <w:rFonts w:cs="Arial"/>
              </w:rPr>
              <w:fldChar w:fldCharType="begin"/>
            </w:r>
            <w:r w:rsidRPr="00FA3EBF">
              <w:rPr>
                <w:rFonts w:cs="Arial"/>
              </w:rPr>
              <w:instrText xml:space="preserve"> REF Schedule32 \h  \* MERGEFORMAT </w:instrText>
            </w:r>
            <w:r w:rsidRPr="00FA3EBF">
              <w:rPr>
                <w:rFonts w:cs="Arial"/>
              </w:rPr>
            </w:r>
            <w:r w:rsidRPr="00FA3EBF">
              <w:rPr>
                <w:rFonts w:cs="Arial"/>
              </w:rPr>
              <w:fldChar w:fldCharType="separate"/>
            </w:r>
            <w:r w:rsidR="007A1473" w:rsidRPr="00477926">
              <w:t>Schedule</w:t>
            </w:r>
            <w:r w:rsidR="007A1473">
              <w:t> </w:t>
            </w:r>
            <w:r w:rsidR="007A1473" w:rsidRPr="00477926">
              <w:t>32</w:t>
            </w:r>
            <w:r w:rsidRPr="00FA3EBF">
              <w:rPr>
                <w:rFonts w:cs="Arial"/>
              </w:rPr>
              <w:fldChar w:fldCharType="end"/>
            </w:r>
            <w:r w:rsidRPr="00B74235">
              <w:rPr>
                <w:rStyle w:val="StdBodyTextBoldChar"/>
                <w:rFonts w:eastAsiaTheme="majorEastAsia" w:cs="Arial"/>
                <w:b w:val="0"/>
                <w:bCs/>
                <w:lang w:eastAsia="en-US"/>
              </w:rPr>
              <w:t xml:space="preserve"> (</w:t>
            </w:r>
            <w:r w:rsidRPr="00B74235">
              <w:rPr>
                <w:rStyle w:val="StdBodyTextBoldChar"/>
                <w:rFonts w:eastAsiaTheme="majorEastAsia" w:cs="Arial"/>
                <w:b w:val="0"/>
                <w:bCs/>
                <w:i/>
                <w:iCs/>
                <w:lang w:eastAsia="en-US"/>
              </w:rPr>
              <w:fldChar w:fldCharType="begin"/>
            </w:r>
            <w:r w:rsidRPr="00B74235">
              <w:rPr>
                <w:rStyle w:val="StdBodyTextBoldChar"/>
                <w:rFonts w:eastAsiaTheme="majorEastAsia" w:cs="Arial"/>
                <w:b w:val="0"/>
                <w:bCs/>
                <w:i/>
                <w:iCs/>
                <w:lang w:eastAsia="en-US"/>
              </w:rPr>
              <w:instrText xml:space="preserve"> REF Schedule32Heading \h  \* MERGEFORMAT </w:instrText>
            </w:r>
            <w:r w:rsidRPr="00B74235">
              <w:rPr>
                <w:rStyle w:val="StdBodyTextBoldChar"/>
                <w:rFonts w:eastAsiaTheme="majorEastAsia" w:cs="Arial"/>
                <w:b w:val="0"/>
                <w:bCs/>
                <w:i/>
                <w:iCs/>
                <w:lang w:eastAsia="en-US"/>
              </w:rPr>
            </w:r>
            <w:r w:rsidRPr="00B74235">
              <w:rPr>
                <w:rStyle w:val="StdBodyTextBoldChar"/>
                <w:rFonts w:eastAsiaTheme="majorEastAsia" w:cs="Arial"/>
                <w:b w:val="0"/>
                <w:bCs/>
                <w:i/>
                <w:iCs/>
                <w:lang w:eastAsia="en-US"/>
              </w:rPr>
              <w:fldChar w:fldCharType="separate"/>
            </w:r>
            <w:r w:rsidR="007A1473" w:rsidRPr="007A1473">
              <w:rPr>
                <w:i/>
                <w:iCs/>
              </w:rPr>
              <w:t>Intellectual Property Rights</w:t>
            </w:r>
            <w:r w:rsidRPr="00B74235">
              <w:rPr>
                <w:rStyle w:val="StdBodyTextBoldChar"/>
                <w:rFonts w:eastAsiaTheme="majorEastAsia" w:cs="Arial"/>
                <w:b w:val="0"/>
                <w:bCs/>
                <w:i/>
                <w:iCs/>
                <w:lang w:eastAsia="en-US"/>
              </w:rPr>
              <w:fldChar w:fldCharType="end"/>
            </w:r>
            <w:r w:rsidRPr="00B74235">
              <w:rPr>
                <w:rStyle w:val="StdBodyTextBoldChar"/>
                <w:rFonts w:eastAsiaTheme="majorEastAsia" w:cs="Arial"/>
                <w:b w:val="0"/>
                <w:bCs/>
                <w:lang w:eastAsia="en-US"/>
              </w:rPr>
              <w:t>)</w:t>
            </w:r>
            <w:r w:rsidRPr="00B74235">
              <w:rPr>
                <w:rFonts w:cs="Arial"/>
              </w:rPr>
              <w:t xml:space="preserve"> (</w:t>
            </w:r>
            <w:r w:rsidRPr="00BB0C30">
              <w:rPr>
                <w:rFonts w:cs="Arial"/>
                <w:i/>
                <w:iCs/>
              </w:rPr>
              <w:t>Specially Written Software and Project Specific IPRs</w:t>
            </w:r>
            <w:r w:rsidRPr="00B74235">
              <w:rPr>
                <w:rFonts w:cs="Arial"/>
              </w:rPr>
              <w:t>);</w:t>
            </w:r>
          </w:p>
        </w:tc>
      </w:tr>
      <w:tr w:rsidR="002071BF" w:rsidRPr="00F55457" w14:paraId="1FB99D59" w14:textId="77777777" w:rsidTr="0052486C">
        <w:tc>
          <w:tcPr>
            <w:tcW w:w="2835" w:type="dxa"/>
          </w:tcPr>
          <w:p w14:paraId="38B11C8B" w14:textId="77777777" w:rsidR="002071BF" w:rsidRPr="008D6A63" w:rsidRDefault="002071BF" w:rsidP="002071BF">
            <w:pPr>
              <w:pStyle w:val="StdBodyTextBold"/>
              <w:rPr>
                <w:rFonts w:cs="Arial"/>
              </w:rPr>
            </w:pPr>
            <w:r>
              <w:rPr>
                <w:rFonts w:cs="Arial"/>
              </w:rPr>
              <w:t>“</w:t>
            </w:r>
            <w:r w:rsidRPr="008D6A63">
              <w:rPr>
                <w:rFonts w:cs="Arial"/>
              </w:rPr>
              <w:t>Source Code</w:t>
            </w:r>
            <w:r>
              <w:rPr>
                <w:rFonts w:cs="Arial"/>
              </w:rPr>
              <w:t>”</w:t>
            </w:r>
          </w:p>
        </w:tc>
        <w:tc>
          <w:tcPr>
            <w:tcW w:w="6803" w:type="dxa"/>
          </w:tcPr>
          <w:p w14:paraId="7DA0DFE0" w14:textId="77777777" w:rsidR="002071BF" w:rsidRPr="008D6A63" w:rsidRDefault="002071BF" w:rsidP="002071BF">
            <w:pPr>
              <w:pStyle w:val="StdBodyText"/>
              <w:rPr>
                <w:rFonts w:cs="Arial"/>
              </w:rPr>
            </w:pPr>
            <w:r w:rsidRPr="008D6A63">
              <w:rPr>
                <w:rFonts w:cs="Arial"/>
              </w:rPr>
              <w:t xml:space="preserve">computer programs and/or data in eye-readable form and in such form that it can be compiled or interpreted into equivalent binary code together with all related design comments, flow </w:t>
            </w:r>
            <w:r w:rsidRPr="008D6A63">
              <w:rPr>
                <w:rFonts w:cs="Arial"/>
              </w:rPr>
              <w:lastRenderedPageBreak/>
              <w:t xml:space="preserve">charts, technical information and documentation necessary for the use, reproduction, </w:t>
            </w:r>
            <w:bookmarkStart w:id="165" w:name="_9kMHzG6ZWu5AAGNL2khv7zursvn"/>
            <w:r w:rsidRPr="008D6A63">
              <w:rPr>
                <w:rFonts w:cs="Arial"/>
              </w:rPr>
              <w:t>maintenance</w:t>
            </w:r>
            <w:bookmarkEnd w:id="165"/>
            <w:r w:rsidRPr="008D6A63">
              <w:rPr>
                <w:rFonts w:cs="Arial"/>
              </w:rPr>
              <w:t>, modification and enhancement of such software;</w:t>
            </w:r>
          </w:p>
        </w:tc>
      </w:tr>
      <w:tr w:rsidR="002071BF" w:rsidRPr="00F55457" w14:paraId="58BD6A37" w14:textId="77777777" w:rsidTr="0052486C">
        <w:tc>
          <w:tcPr>
            <w:tcW w:w="2835" w:type="dxa"/>
          </w:tcPr>
          <w:p w14:paraId="2ED6144F" w14:textId="77777777" w:rsidR="002071BF" w:rsidRPr="008D6A63" w:rsidRDefault="002071BF" w:rsidP="002071BF">
            <w:pPr>
              <w:pStyle w:val="StdBodyTextBold"/>
              <w:rPr>
                <w:rFonts w:cs="Arial"/>
              </w:rPr>
            </w:pPr>
            <w:r>
              <w:rPr>
                <w:rFonts w:cs="Arial"/>
              </w:rPr>
              <w:lastRenderedPageBreak/>
              <w:t>“</w:t>
            </w:r>
            <w:r w:rsidRPr="008D6A63">
              <w:rPr>
                <w:rFonts w:cs="Arial"/>
              </w:rPr>
              <w:t>Specially Written Software</w:t>
            </w:r>
            <w:r>
              <w:rPr>
                <w:rFonts w:cs="Arial"/>
              </w:rPr>
              <w:t>”</w:t>
            </w:r>
          </w:p>
        </w:tc>
        <w:tc>
          <w:tcPr>
            <w:tcW w:w="6803" w:type="dxa"/>
          </w:tcPr>
          <w:p w14:paraId="65D5DE48" w14:textId="77777777" w:rsidR="002071BF" w:rsidRPr="008D6A63" w:rsidRDefault="002071BF" w:rsidP="002071BF">
            <w:pPr>
              <w:pStyle w:val="StdBodyText"/>
              <w:rPr>
                <w:rFonts w:cs="Arial"/>
              </w:rPr>
            </w:pPr>
            <w:r w:rsidRPr="008D6A63">
              <w:rPr>
                <w:rFonts w:cs="Arial"/>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Supplier Software or Third Party Software created specifically for the purposes of this Contract.</w:t>
            </w:r>
          </w:p>
        </w:tc>
      </w:tr>
      <w:tr w:rsidR="002071BF" w:rsidRPr="00F55457" w14:paraId="6F0A9CD8" w14:textId="77777777" w:rsidTr="0052486C">
        <w:tc>
          <w:tcPr>
            <w:tcW w:w="2835" w:type="dxa"/>
          </w:tcPr>
          <w:p w14:paraId="75A095B2" w14:textId="77777777" w:rsidR="002071BF" w:rsidRPr="008D6A63" w:rsidRDefault="002071BF" w:rsidP="002071BF">
            <w:pPr>
              <w:pStyle w:val="StdBodyTextBold"/>
              <w:rPr>
                <w:rFonts w:cs="Arial"/>
              </w:rPr>
            </w:pPr>
            <w:r>
              <w:rPr>
                <w:rFonts w:cs="Arial"/>
              </w:rPr>
              <w:t>“</w:t>
            </w:r>
            <w:r w:rsidRPr="008D6A63">
              <w:rPr>
                <w:rFonts w:cs="Arial"/>
              </w:rPr>
              <w:t>Specific Change in Law</w:t>
            </w:r>
            <w:r>
              <w:rPr>
                <w:rFonts w:cs="Arial"/>
              </w:rPr>
              <w:t>”</w:t>
            </w:r>
          </w:p>
        </w:tc>
        <w:tc>
          <w:tcPr>
            <w:tcW w:w="6803" w:type="dxa"/>
          </w:tcPr>
          <w:p w14:paraId="2C9BC613" w14:textId="77777777" w:rsidR="002071BF" w:rsidRPr="008D6A63" w:rsidRDefault="002071BF" w:rsidP="002071BF">
            <w:pPr>
              <w:pStyle w:val="StdBodyText"/>
              <w:rPr>
                <w:rFonts w:cs="Arial"/>
              </w:rPr>
            </w:pPr>
            <w:r w:rsidRPr="008D6A63">
              <w:rPr>
                <w:rFonts w:cs="Arial"/>
              </w:rPr>
              <w:t>a Change in Law that relates specifically to the business of the Authority and which would not affect a Comparable Supply;</w:t>
            </w:r>
          </w:p>
        </w:tc>
      </w:tr>
      <w:tr w:rsidR="002071BF" w:rsidRPr="00F55457" w14:paraId="08164483" w14:textId="77777777" w:rsidTr="0052486C">
        <w:tc>
          <w:tcPr>
            <w:tcW w:w="2835" w:type="dxa"/>
          </w:tcPr>
          <w:p w14:paraId="052FF16D" w14:textId="77777777" w:rsidR="002071BF" w:rsidRPr="008D6A63" w:rsidRDefault="002071BF" w:rsidP="002071BF">
            <w:pPr>
              <w:pStyle w:val="StdBodyTextBold"/>
              <w:rPr>
                <w:rFonts w:cs="Arial"/>
              </w:rPr>
            </w:pPr>
            <w:r>
              <w:rPr>
                <w:rFonts w:cs="Arial"/>
              </w:rPr>
              <w:t>“</w:t>
            </w:r>
            <w:r w:rsidRPr="008D6A63">
              <w:rPr>
                <w:rFonts w:cs="Arial"/>
              </w:rPr>
              <w:t>Staffing Information</w:t>
            </w:r>
            <w:r>
              <w:rPr>
                <w:rFonts w:cs="Arial"/>
              </w:rPr>
              <w:t>”</w:t>
            </w:r>
          </w:p>
        </w:tc>
        <w:tc>
          <w:tcPr>
            <w:tcW w:w="6803" w:type="dxa"/>
          </w:tcPr>
          <w:p w14:paraId="1B4D85E4" w14:textId="4C0499A6" w:rsidR="002071BF" w:rsidRPr="008D6A63" w:rsidRDefault="002071BF" w:rsidP="002071BF">
            <w:pPr>
              <w:pStyle w:val="StdBodyText"/>
              <w:rPr>
                <w:rFonts w:cs="Arial"/>
              </w:rPr>
            </w:pPr>
            <w:r w:rsidRPr="008D6A63">
              <w:rPr>
                <w:rFonts w:cs="Arial"/>
              </w:rPr>
              <w:t xml:space="preserve">has the meaning given in </w:t>
            </w:r>
            <w:r>
              <w:rPr>
                <w:rFonts w:cs="Arial"/>
              </w:rPr>
              <w:fldChar w:fldCharType="begin"/>
            </w:r>
            <w:r>
              <w:rPr>
                <w:rFonts w:cs="Arial"/>
              </w:rPr>
              <w:instrText xml:space="preserve"> REF Schedule28 \h </w:instrText>
            </w:r>
            <w:r>
              <w:rPr>
                <w:rFonts w:cs="Arial"/>
              </w:rPr>
            </w:r>
            <w:r>
              <w:rPr>
                <w:rFonts w:cs="Arial"/>
              </w:rPr>
              <w:fldChar w:fldCharType="separate"/>
            </w:r>
            <w:r w:rsidR="007A1473" w:rsidRPr="005D0525">
              <w:t>Schedule</w:t>
            </w:r>
            <w:r w:rsidR="007A1473">
              <w:t> </w:t>
            </w:r>
            <w:r w:rsidR="007A1473" w:rsidRPr="005D0525">
              <w:t>28</w:t>
            </w:r>
            <w:r>
              <w:rPr>
                <w:rFonts w:cs="Arial"/>
              </w:rPr>
              <w:fldChar w:fldCharType="end"/>
            </w:r>
            <w:r>
              <w:rPr>
                <w:rFonts w:cs="Arial"/>
              </w:rPr>
              <w:t xml:space="preserve"> (</w:t>
            </w:r>
            <w:r w:rsidRPr="006F064F">
              <w:rPr>
                <w:rFonts w:cs="Arial"/>
                <w:i/>
                <w:iCs/>
              </w:rPr>
              <w:fldChar w:fldCharType="begin"/>
            </w:r>
            <w:r w:rsidRPr="006F064F">
              <w:rPr>
                <w:rFonts w:cs="Arial"/>
                <w:i/>
                <w:iCs/>
              </w:rPr>
              <w:instrText xml:space="preserve"> REF Schedule28Heading \h </w:instrText>
            </w:r>
            <w:r>
              <w:rPr>
                <w:rFonts w:cs="Arial"/>
                <w:i/>
                <w:iCs/>
              </w:rPr>
              <w:instrText xml:space="preserve"> \* MERGEFORMAT </w:instrText>
            </w:r>
            <w:r w:rsidRPr="006F064F">
              <w:rPr>
                <w:rFonts w:cs="Arial"/>
                <w:i/>
                <w:iCs/>
              </w:rPr>
            </w:r>
            <w:r w:rsidRPr="006F064F">
              <w:rPr>
                <w:rFonts w:cs="Arial"/>
                <w:i/>
                <w:iCs/>
              </w:rPr>
              <w:fldChar w:fldCharType="separate"/>
            </w:r>
            <w:r w:rsidR="007A1473" w:rsidRPr="007A1473">
              <w:rPr>
                <w:i/>
                <w:iCs/>
              </w:rPr>
              <w:t>Staff Transfer</w:t>
            </w:r>
            <w:r w:rsidRPr="006F064F">
              <w:rPr>
                <w:rFonts w:cs="Arial"/>
                <w:i/>
                <w:iCs/>
              </w:rPr>
              <w:fldChar w:fldCharType="end"/>
            </w:r>
            <w:r>
              <w:rPr>
                <w:rFonts w:cs="Arial"/>
              </w:rPr>
              <w:t>)</w:t>
            </w:r>
            <w:r w:rsidRPr="008D6A63">
              <w:rPr>
                <w:rFonts w:cs="Arial"/>
              </w:rPr>
              <w:t>;</w:t>
            </w:r>
          </w:p>
        </w:tc>
      </w:tr>
      <w:tr w:rsidR="002071BF" w:rsidRPr="00F55457" w14:paraId="1E37C182" w14:textId="77777777" w:rsidTr="0052486C">
        <w:tc>
          <w:tcPr>
            <w:tcW w:w="2835" w:type="dxa"/>
          </w:tcPr>
          <w:p w14:paraId="594F1068" w14:textId="77777777" w:rsidR="002071BF" w:rsidRPr="008D6A63" w:rsidRDefault="002071BF" w:rsidP="002071BF">
            <w:pPr>
              <w:pStyle w:val="StdBodyTextBold"/>
              <w:rPr>
                <w:rFonts w:cs="Arial"/>
              </w:rPr>
            </w:pPr>
            <w:r>
              <w:rPr>
                <w:rFonts w:cs="Arial"/>
              </w:rPr>
              <w:t>“</w:t>
            </w:r>
            <w:r w:rsidRPr="008D6A63">
              <w:rPr>
                <w:rFonts w:cs="Arial"/>
              </w:rPr>
              <w:t>Standards</w:t>
            </w:r>
            <w:r>
              <w:rPr>
                <w:rFonts w:cs="Arial"/>
              </w:rPr>
              <w:t>”</w:t>
            </w:r>
          </w:p>
        </w:tc>
        <w:tc>
          <w:tcPr>
            <w:tcW w:w="6803" w:type="dxa"/>
          </w:tcPr>
          <w:p w14:paraId="4935562C" w14:textId="5C9A5053" w:rsidR="002071BF" w:rsidRPr="008D6A63" w:rsidRDefault="002071BF" w:rsidP="002071BF">
            <w:pPr>
              <w:pStyle w:val="StdBodyText"/>
              <w:rPr>
                <w:rFonts w:cs="Arial"/>
              </w:rPr>
            </w:pPr>
            <w:r w:rsidRPr="008D6A63">
              <w:rPr>
                <w:rFonts w:cs="Arial"/>
              </w:rPr>
              <w:t xml:space="preserve">the standards, polices and/or procedures identified in </w:t>
            </w:r>
            <w:r>
              <w:rPr>
                <w:rFonts w:cs="Arial"/>
              </w:rPr>
              <w:fldChar w:fldCharType="begin"/>
            </w:r>
            <w:r>
              <w:rPr>
                <w:rFonts w:cs="Arial"/>
              </w:rPr>
              <w:instrText xml:space="preserve"> REF Schedule4 \h </w:instrText>
            </w:r>
            <w:r>
              <w:rPr>
                <w:rFonts w:cs="Arial"/>
              </w:rPr>
            </w:r>
            <w:r>
              <w:rPr>
                <w:rFonts w:cs="Arial"/>
              </w:rPr>
              <w:fldChar w:fldCharType="separate"/>
            </w:r>
            <w:r w:rsidR="007A1473" w:rsidRPr="005D0525">
              <w:t>Schedule</w:t>
            </w:r>
            <w:r w:rsidR="007A1473">
              <w:t> </w:t>
            </w:r>
            <w:r w:rsidR="007A1473" w:rsidRPr="005D0525">
              <w:t>4</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Schedule4Heading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Standards</w:t>
            </w:r>
            <w:r w:rsidRPr="00A22335">
              <w:rPr>
                <w:rFonts w:cs="Arial"/>
                <w:i/>
                <w:iCs/>
              </w:rPr>
              <w:fldChar w:fldCharType="end"/>
            </w:r>
            <w:r>
              <w:rPr>
                <w:rFonts w:cs="Arial"/>
              </w:rPr>
              <w:t>)</w:t>
            </w:r>
            <w:r w:rsidRPr="008D6A63">
              <w:rPr>
                <w:rFonts w:cs="Arial"/>
              </w:rPr>
              <w:t>;</w:t>
            </w:r>
          </w:p>
        </w:tc>
      </w:tr>
      <w:tr w:rsidR="002071BF" w:rsidRPr="00F55457" w14:paraId="47E37293" w14:textId="77777777" w:rsidTr="0052486C">
        <w:tc>
          <w:tcPr>
            <w:tcW w:w="2835" w:type="dxa"/>
          </w:tcPr>
          <w:p w14:paraId="5C0764CD" w14:textId="77777777" w:rsidR="002071BF" w:rsidRPr="008D6A63" w:rsidRDefault="002071BF" w:rsidP="002071BF">
            <w:pPr>
              <w:pStyle w:val="StdBodyTextBold"/>
              <w:rPr>
                <w:rFonts w:cs="Arial"/>
              </w:rPr>
            </w:pPr>
            <w:r>
              <w:rPr>
                <w:rFonts w:cs="Arial"/>
              </w:rPr>
              <w:t>“</w:t>
            </w:r>
            <w:bookmarkStart w:id="166" w:name="_9kMLK5YVt4CCFHFhcvsXQcYB6qn"/>
            <w:r w:rsidRPr="008D6A63">
              <w:rPr>
                <w:rFonts w:cs="Arial"/>
              </w:rPr>
              <w:t>Step-In Notice</w:t>
            </w:r>
            <w:bookmarkEnd w:id="166"/>
            <w:r>
              <w:rPr>
                <w:rFonts w:cs="Arial"/>
              </w:rPr>
              <w:t>”</w:t>
            </w:r>
          </w:p>
        </w:tc>
        <w:tc>
          <w:tcPr>
            <w:tcW w:w="6803" w:type="dxa"/>
          </w:tcPr>
          <w:p w14:paraId="22B2FEBE" w14:textId="77777777" w:rsidR="002071BF" w:rsidRPr="008D6A63" w:rsidRDefault="002071BF" w:rsidP="002071BF">
            <w:pPr>
              <w:pStyle w:val="StdBodyText"/>
              <w:rPr>
                <w:rFonts w:cs="Arial"/>
              </w:rPr>
            </w:pPr>
            <w:r w:rsidRPr="008D6A63">
              <w:rPr>
                <w:rFonts w:cs="Arial"/>
              </w:rPr>
              <w:t xml:space="preserve">has the meaning given in </w:t>
            </w:r>
            <w:bookmarkStart w:id="167" w:name="_9kMHG5YVtCJBBGHHDCbV72owvk3JH521t68vjxG"/>
            <w:bookmarkStart w:id="168" w:name="_9kMHG5YVtCIABGIIDCbV72owvk3JH521t68vjxG"/>
            <w:r w:rsidRPr="008D6A63">
              <w:rPr>
                <w:rFonts w:cs="Arial"/>
              </w:rPr>
              <w:t xml:space="preserve">Clause </w:t>
            </w:r>
            <w:bookmarkEnd w:id="167"/>
            <w:bookmarkEnd w:id="168"/>
            <w:r w:rsidRPr="008D6A63">
              <w:rPr>
                <w:rFonts w:cs="Arial"/>
              </w:rPr>
              <w:t>28.1 (</w:t>
            </w:r>
            <w:r w:rsidRPr="00F613BA">
              <w:rPr>
                <w:rFonts w:cs="Arial"/>
                <w:i/>
                <w:iCs/>
              </w:rPr>
              <w:t>Step-In Rights</w:t>
            </w:r>
            <w:r w:rsidRPr="008D6A63">
              <w:rPr>
                <w:rFonts w:cs="Arial"/>
              </w:rPr>
              <w:t>);</w:t>
            </w:r>
          </w:p>
        </w:tc>
      </w:tr>
      <w:tr w:rsidR="002071BF" w:rsidRPr="00F55457" w14:paraId="045B329D" w14:textId="77777777" w:rsidTr="0052486C">
        <w:tc>
          <w:tcPr>
            <w:tcW w:w="2835" w:type="dxa"/>
          </w:tcPr>
          <w:p w14:paraId="7BAF4A0A" w14:textId="77777777" w:rsidR="002071BF" w:rsidRPr="008D6A63" w:rsidRDefault="002071BF" w:rsidP="002071BF">
            <w:pPr>
              <w:pStyle w:val="StdBodyTextBold"/>
              <w:rPr>
                <w:rFonts w:cs="Arial"/>
              </w:rPr>
            </w:pPr>
            <w:r>
              <w:rPr>
                <w:rFonts w:cs="Arial"/>
              </w:rPr>
              <w:t>“</w:t>
            </w:r>
            <w:r w:rsidRPr="008D6A63">
              <w:rPr>
                <w:rFonts w:cs="Arial"/>
              </w:rPr>
              <w:t>Step-In Trigger Event</w:t>
            </w:r>
            <w:r>
              <w:rPr>
                <w:rFonts w:cs="Arial"/>
              </w:rPr>
              <w:t>”</w:t>
            </w:r>
          </w:p>
        </w:tc>
        <w:tc>
          <w:tcPr>
            <w:tcW w:w="6803" w:type="dxa"/>
          </w:tcPr>
          <w:p w14:paraId="0EB85D45" w14:textId="77777777" w:rsidR="002071BF" w:rsidRPr="008D6A63" w:rsidRDefault="002071BF" w:rsidP="002071BF">
            <w:pPr>
              <w:pStyle w:val="DefinitionList"/>
              <w:numPr>
                <w:ilvl w:val="0"/>
                <w:numId w:val="71"/>
              </w:numPr>
            </w:pPr>
            <w:r w:rsidRPr="008D6A63">
              <w:t>any event falling within the definition of a Supplier Termination Event;</w:t>
            </w:r>
          </w:p>
          <w:p w14:paraId="51DEC874" w14:textId="77777777" w:rsidR="002071BF" w:rsidRPr="008D6A63" w:rsidRDefault="002071BF" w:rsidP="002071BF">
            <w:pPr>
              <w:pStyle w:val="DefinitionList"/>
              <w:numPr>
                <w:ilvl w:val="0"/>
                <w:numId w:val="71"/>
              </w:numPr>
              <w:rPr>
                <w:rFonts w:cs="Arial"/>
              </w:rPr>
            </w:pPr>
            <w:r w:rsidRPr="008D6A63">
              <w:rPr>
                <w:rFonts w:cs="Arial"/>
              </w:rPr>
              <w:t>a Default by the Supplier that is materially preventing or materially delaying the performance of the Services or any material part of the Services;</w:t>
            </w:r>
          </w:p>
          <w:p w14:paraId="6ABCE04E" w14:textId="77777777" w:rsidR="002071BF" w:rsidRPr="008D6A63" w:rsidRDefault="002071BF" w:rsidP="002071BF">
            <w:pPr>
              <w:pStyle w:val="DefinitionList"/>
              <w:numPr>
                <w:ilvl w:val="0"/>
                <w:numId w:val="71"/>
              </w:numPr>
              <w:rPr>
                <w:rFonts w:cs="Arial"/>
              </w:rPr>
            </w:pPr>
            <w:bookmarkStart w:id="169" w:name="_Ref_ContractCompanion_9kb9Ur288"/>
            <w:bookmarkStart w:id="170" w:name="_9kR3WTrAG86CEctjmj09ubjj2zeXpoA0zyAlkHA"/>
            <w:bookmarkStart w:id="171" w:name="_9kR3WTr299DIAZtjmj09ubjj2zeXpoA0zyAlkHA"/>
            <w:r w:rsidRPr="008D6A63">
              <w:rPr>
                <w:rFonts w:cs="Arial"/>
              </w:rPr>
              <w:t>the Authority considers that the circumstances constitute an emergency despite the Supplier not being in breach of its obligations under this Contract;</w:t>
            </w:r>
            <w:bookmarkEnd w:id="169"/>
            <w:bookmarkEnd w:id="170"/>
            <w:bookmarkEnd w:id="171"/>
          </w:p>
          <w:p w14:paraId="6AF60C31" w14:textId="77777777" w:rsidR="002071BF" w:rsidRPr="008D6A63" w:rsidRDefault="002071BF" w:rsidP="002071BF">
            <w:pPr>
              <w:pStyle w:val="DefinitionList"/>
              <w:numPr>
                <w:ilvl w:val="0"/>
                <w:numId w:val="71"/>
              </w:numPr>
              <w:rPr>
                <w:rFonts w:cs="Arial"/>
              </w:rPr>
            </w:pPr>
            <w:bookmarkStart w:id="172" w:name="_9kR3WTrAG86CBZtjmj09ubjj2zeXpoA0zyAlkHA"/>
            <w:bookmarkStart w:id="173" w:name="_9kR3WTr299DHIitjmj09ubjj2zeXpoA0zyAlkHA"/>
            <w:bookmarkStart w:id="174" w:name="_Ref_ContractCompanion_9kb9Ur27E"/>
            <w:r w:rsidRPr="008D6A63">
              <w:rPr>
                <w:rFonts w:cs="Arial"/>
              </w:rPr>
              <w:t xml:space="preserve">the Authority being advised by a regulatory body that the exercise by the Authority of its rights under </w:t>
            </w:r>
            <w:bookmarkStart w:id="175" w:name="_9kMHzG6ZWuDJB8GLiT04qAMMLlM96BAKG66KW"/>
            <w:r w:rsidRPr="008D6A63">
              <w:rPr>
                <w:rFonts w:cs="Arial"/>
              </w:rPr>
              <w:t xml:space="preserve">Clause </w:t>
            </w:r>
            <w:bookmarkEnd w:id="175"/>
            <w:r w:rsidRPr="008D6A63">
              <w:rPr>
                <w:rFonts w:cs="Arial"/>
              </w:rPr>
              <w:t>28 (</w:t>
            </w:r>
            <w:r w:rsidRPr="00F613BA">
              <w:rPr>
                <w:rFonts w:cs="Arial"/>
                <w:i/>
                <w:iCs/>
              </w:rPr>
              <w:t>Step-In Rights</w:t>
            </w:r>
            <w:r w:rsidRPr="008D6A63">
              <w:rPr>
                <w:rFonts w:cs="Arial"/>
              </w:rPr>
              <w:t>) is necessary;</w:t>
            </w:r>
            <w:bookmarkEnd w:id="172"/>
            <w:bookmarkEnd w:id="173"/>
            <w:r w:rsidRPr="008D6A63">
              <w:rPr>
                <w:rFonts w:cs="Arial"/>
              </w:rPr>
              <w:t xml:space="preserve"> </w:t>
            </w:r>
            <w:bookmarkEnd w:id="174"/>
          </w:p>
          <w:p w14:paraId="7C3E974D" w14:textId="77777777" w:rsidR="002071BF" w:rsidRPr="008D6A63" w:rsidRDefault="002071BF" w:rsidP="002071BF">
            <w:pPr>
              <w:pStyle w:val="DefinitionList"/>
              <w:numPr>
                <w:ilvl w:val="0"/>
                <w:numId w:val="71"/>
              </w:numPr>
              <w:rPr>
                <w:rFonts w:cs="Arial"/>
              </w:rPr>
            </w:pPr>
            <w:r w:rsidRPr="008D6A63">
              <w:rPr>
                <w:rFonts w:cs="Arial"/>
              </w:rPr>
              <w:t xml:space="preserve">the existence of a serious risk to the health or safety of persons, property or the environment in connection with the Services; and/or </w:t>
            </w:r>
          </w:p>
          <w:p w14:paraId="083F6D92" w14:textId="77777777" w:rsidR="002071BF" w:rsidRPr="008D6A63" w:rsidRDefault="002071BF" w:rsidP="002071BF">
            <w:pPr>
              <w:pStyle w:val="DefinitionList"/>
              <w:numPr>
                <w:ilvl w:val="0"/>
                <w:numId w:val="71"/>
              </w:numPr>
              <w:rPr>
                <w:rFonts w:cs="Arial"/>
              </w:rPr>
            </w:pPr>
            <w:r w:rsidRPr="008D6A63">
              <w:rPr>
                <w:rFonts w:cs="Arial"/>
              </w:rPr>
              <w:t>a need by the Authority to take action to discharge a statutory duty;</w:t>
            </w:r>
          </w:p>
        </w:tc>
      </w:tr>
      <w:tr w:rsidR="002071BF" w:rsidRPr="00F55457" w14:paraId="3B958CF8" w14:textId="77777777" w:rsidTr="0052486C">
        <w:tc>
          <w:tcPr>
            <w:tcW w:w="2835" w:type="dxa"/>
          </w:tcPr>
          <w:p w14:paraId="39B169D5" w14:textId="77777777" w:rsidR="002071BF" w:rsidRPr="008D6A63" w:rsidRDefault="002071BF" w:rsidP="002071BF">
            <w:pPr>
              <w:pStyle w:val="StdBodyTextBold"/>
              <w:rPr>
                <w:rFonts w:cs="Arial"/>
              </w:rPr>
            </w:pPr>
            <w:r>
              <w:rPr>
                <w:rFonts w:cs="Arial"/>
              </w:rPr>
              <w:t>“</w:t>
            </w:r>
            <w:r w:rsidRPr="008D6A63">
              <w:rPr>
                <w:rFonts w:cs="Arial"/>
              </w:rPr>
              <w:t>Step-Out Date</w:t>
            </w:r>
            <w:r>
              <w:rPr>
                <w:rFonts w:cs="Arial"/>
              </w:rPr>
              <w:t>”</w:t>
            </w:r>
          </w:p>
        </w:tc>
        <w:tc>
          <w:tcPr>
            <w:tcW w:w="6803" w:type="dxa"/>
          </w:tcPr>
          <w:p w14:paraId="6635DE14" w14:textId="77777777" w:rsidR="002071BF" w:rsidRPr="008D6A63" w:rsidRDefault="002071BF" w:rsidP="002071BF">
            <w:pPr>
              <w:pStyle w:val="StdBodyText"/>
              <w:rPr>
                <w:rFonts w:cs="Arial"/>
              </w:rPr>
            </w:pPr>
            <w:r w:rsidRPr="008D6A63">
              <w:rPr>
                <w:rFonts w:cs="Arial"/>
              </w:rPr>
              <w:t xml:space="preserve">has the meaning given in </w:t>
            </w:r>
            <w:bookmarkStart w:id="176" w:name="_9kMHG5YVtCJBBFBCDGsu1nkhy3z9ID0wwEF1VgW"/>
            <w:bookmarkStart w:id="177" w:name="_9kMHG5YVtCIABFCDDGsu1nkhy3z9ID0wwEF1VgW"/>
            <w:r w:rsidRPr="008D6A63">
              <w:rPr>
                <w:rFonts w:cs="Arial"/>
              </w:rPr>
              <w:t xml:space="preserve">Clause </w:t>
            </w:r>
            <w:bookmarkEnd w:id="176"/>
            <w:bookmarkEnd w:id="177"/>
            <w:r w:rsidRPr="008D6A63">
              <w:rPr>
                <w:rFonts w:cs="Arial"/>
              </w:rPr>
              <w:t>28.5(b) (</w:t>
            </w:r>
            <w:r w:rsidRPr="00F613BA">
              <w:rPr>
                <w:rFonts w:cs="Arial"/>
                <w:i/>
                <w:iCs/>
              </w:rPr>
              <w:t>Step-In Rights</w:t>
            </w:r>
            <w:r w:rsidRPr="008D6A63">
              <w:rPr>
                <w:rFonts w:cs="Arial"/>
              </w:rPr>
              <w:t>);</w:t>
            </w:r>
          </w:p>
        </w:tc>
      </w:tr>
      <w:tr w:rsidR="002071BF" w:rsidRPr="00F55457" w14:paraId="34CCC4CA" w14:textId="77777777" w:rsidTr="0052486C">
        <w:tc>
          <w:tcPr>
            <w:tcW w:w="2835" w:type="dxa"/>
          </w:tcPr>
          <w:p w14:paraId="734DC88D" w14:textId="77777777" w:rsidR="002071BF" w:rsidRPr="008D6A63" w:rsidRDefault="002071BF" w:rsidP="002071BF">
            <w:pPr>
              <w:pStyle w:val="StdBodyTextBold"/>
              <w:rPr>
                <w:rFonts w:cs="Arial"/>
              </w:rPr>
            </w:pPr>
            <w:r>
              <w:rPr>
                <w:rFonts w:cs="Arial"/>
              </w:rPr>
              <w:t>“</w:t>
            </w:r>
            <w:bookmarkStart w:id="178" w:name="_9kMIH5YVt4CCFHEgcvsddFjZC7ro"/>
            <w:r w:rsidRPr="008D6A63">
              <w:rPr>
                <w:rFonts w:cs="Arial"/>
              </w:rPr>
              <w:t>Step-Out Notice</w:t>
            </w:r>
            <w:bookmarkEnd w:id="178"/>
            <w:r>
              <w:rPr>
                <w:rFonts w:cs="Arial"/>
              </w:rPr>
              <w:t>”</w:t>
            </w:r>
          </w:p>
        </w:tc>
        <w:tc>
          <w:tcPr>
            <w:tcW w:w="6803" w:type="dxa"/>
          </w:tcPr>
          <w:p w14:paraId="0A13CDD9" w14:textId="77777777" w:rsidR="002071BF" w:rsidRPr="008D6A63" w:rsidRDefault="002071BF" w:rsidP="002071BF">
            <w:pPr>
              <w:pStyle w:val="StdBodyText"/>
              <w:rPr>
                <w:rFonts w:cs="Arial"/>
              </w:rPr>
            </w:pPr>
            <w:r w:rsidRPr="008D6A63">
              <w:rPr>
                <w:rFonts w:cs="Arial"/>
              </w:rPr>
              <w:t xml:space="preserve">has the meaning given in </w:t>
            </w:r>
            <w:bookmarkStart w:id="179" w:name="_9kMHG5YVtCJBBFFGDGS9kv8zlml0954BK6GHCB3"/>
            <w:bookmarkStart w:id="180" w:name="_9kMHG5YVtCIABFGHDGS9kv8zlml0954BK6GHCB3"/>
            <w:r w:rsidRPr="008D6A63">
              <w:rPr>
                <w:rFonts w:cs="Arial"/>
              </w:rPr>
              <w:t xml:space="preserve">Clause </w:t>
            </w:r>
            <w:bookmarkEnd w:id="179"/>
            <w:bookmarkEnd w:id="180"/>
            <w:r w:rsidRPr="008D6A63">
              <w:rPr>
                <w:rFonts w:cs="Arial"/>
              </w:rPr>
              <w:t>28.5 (</w:t>
            </w:r>
            <w:r w:rsidRPr="00F613BA">
              <w:rPr>
                <w:rFonts w:cs="Arial"/>
                <w:i/>
                <w:iCs/>
              </w:rPr>
              <w:t>Step-In Rights</w:t>
            </w:r>
            <w:r w:rsidRPr="008D6A63">
              <w:rPr>
                <w:rFonts w:cs="Arial"/>
              </w:rPr>
              <w:t>);</w:t>
            </w:r>
          </w:p>
        </w:tc>
      </w:tr>
      <w:tr w:rsidR="002071BF" w:rsidRPr="00F55457" w14:paraId="7A50DEDC" w14:textId="77777777" w:rsidTr="0052486C">
        <w:tc>
          <w:tcPr>
            <w:tcW w:w="2835" w:type="dxa"/>
          </w:tcPr>
          <w:p w14:paraId="2EA653BF" w14:textId="77777777" w:rsidR="002071BF" w:rsidRPr="008D6A63" w:rsidRDefault="002071BF" w:rsidP="002071BF">
            <w:pPr>
              <w:pStyle w:val="StdBodyTextBold"/>
              <w:rPr>
                <w:rFonts w:cs="Arial"/>
              </w:rPr>
            </w:pPr>
            <w:r>
              <w:rPr>
                <w:rFonts w:cs="Arial"/>
              </w:rPr>
              <w:t>“</w:t>
            </w:r>
            <w:r w:rsidRPr="008D6A63">
              <w:rPr>
                <w:rFonts w:cs="Arial"/>
              </w:rPr>
              <w:t>Step-Out Plan</w:t>
            </w:r>
            <w:r>
              <w:rPr>
                <w:rFonts w:cs="Arial"/>
              </w:rPr>
              <w:t>”</w:t>
            </w:r>
          </w:p>
        </w:tc>
        <w:tc>
          <w:tcPr>
            <w:tcW w:w="6803" w:type="dxa"/>
          </w:tcPr>
          <w:p w14:paraId="3DE7A279" w14:textId="77777777" w:rsidR="002071BF" w:rsidRPr="008D6A63" w:rsidRDefault="002071BF" w:rsidP="002071BF">
            <w:pPr>
              <w:pStyle w:val="StdBodyText"/>
              <w:rPr>
                <w:rFonts w:cs="Arial"/>
              </w:rPr>
            </w:pPr>
            <w:r w:rsidRPr="008D6A63">
              <w:rPr>
                <w:rFonts w:cs="Arial"/>
              </w:rPr>
              <w:t xml:space="preserve">has the meaning given in </w:t>
            </w:r>
            <w:bookmarkStart w:id="181" w:name="_9kMHG5YVtCJBBEEGDHlUmYjD960u4JAtyA59GEI"/>
            <w:bookmarkStart w:id="182" w:name="_9kMIH5YVtCIABEHJDHlUmYjD960u4JAtyA59GEI"/>
            <w:r w:rsidRPr="008D6A63">
              <w:rPr>
                <w:rFonts w:cs="Arial"/>
              </w:rPr>
              <w:t xml:space="preserve">Clause </w:t>
            </w:r>
            <w:bookmarkEnd w:id="181"/>
            <w:bookmarkEnd w:id="182"/>
            <w:r w:rsidRPr="008D6A63">
              <w:rPr>
                <w:rFonts w:cs="Arial"/>
              </w:rPr>
              <w:t>28.6 (</w:t>
            </w:r>
            <w:r w:rsidRPr="00F613BA">
              <w:rPr>
                <w:rFonts w:cs="Arial"/>
                <w:i/>
                <w:iCs/>
              </w:rPr>
              <w:t>Step-In Rights</w:t>
            </w:r>
            <w:r w:rsidRPr="008D6A63">
              <w:rPr>
                <w:rFonts w:cs="Arial"/>
              </w:rPr>
              <w:t>);</w:t>
            </w:r>
          </w:p>
        </w:tc>
      </w:tr>
      <w:tr w:rsidR="002071BF" w:rsidRPr="00F55457" w14:paraId="370190FE" w14:textId="77777777" w:rsidTr="0052486C">
        <w:tc>
          <w:tcPr>
            <w:tcW w:w="2835" w:type="dxa"/>
          </w:tcPr>
          <w:p w14:paraId="0B829523" w14:textId="77777777" w:rsidR="002071BF" w:rsidRPr="008D6A63" w:rsidRDefault="002071BF" w:rsidP="002071BF">
            <w:pPr>
              <w:pStyle w:val="StdBodyTextBold"/>
              <w:rPr>
                <w:rFonts w:cs="Arial"/>
              </w:rPr>
            </w:pPr>
            <w:r>
              <w:rPr>
                <w:rFonts w:cs="Arial"/>
              </w:rPr>
              <w:lastRenderedPageBreak/>
              <w:t>“</w:t>
            </w:r>
            <w:r w:rsidRPr="008D6A63">
              <w:rPr>
                <w:rFonts w:cs="Arial"/>
              </w:rPr>
              <w:t>Strategic Supplier</w:t>
            </w:r>
            <w:r>
              <w:rPr>
                <w:rFonts w:cs="Arial"/>
              </w:rPr>
              <w:t>”</w:t>
            </w:r>
          </w:p>
        </w:tc>
        <w:tc>
          <w:tcPr>
            <w:tcW w:w="6803" w:type="dxa"/>
          </w:tcPr>
          <w:p w14:paraId="2BA012E4" w14:textId="75ED604D" w:rsidR="002071BF" w:rsidRPr="008D6A63" w:rsidRDefault="002071BF" w:rsidP="002071BF">
            <w:pPr>
              <w:pStyle w:val="StdBodyText"/>
              <w:rPr>
                <w:rFonts w:cs="Arial"/>
              </w:rPr>
            </w:pPr>
            <w:r w:rsidRPr="008D6A63">
              <w:rPr>
                <w:rFonts w:cs="Arial"/>
              </w:rPr>
              <w:t xml:space="preserve">means those suppliers to government listed at </w:t>
            </w:r>
            <w:hyperlink r:id="rId21" w:history="1">
              <w:r w:rsidRPr="005870ED">
                <w:rPr>
                  <w:rStyle w:val="Hyperlink"/>
                </w:rPr>
                <w:t>https://www.gov.uk/government/publications/strategic-suppliers</w:t>
              </w:r>
            </w:hyperlink>
            <w:r w:rsidRPr="008D6A63">
              <w:rPr>
                <w:rFonts w:cs="Arial"/>
              </w:rPr>
              <w:t>;</w:t>
            </w:r>
          </w:p>
        </w:tc>
      </w:tr>
      <w:tr w:rsidR="002071BF" w:rsidRPr="00F55457" w14:paraId="21D9533A" w14:textId="77777777" w:rsidTr="0052486C">
        <w:tc>
          <w:tcPr>
            <w:tcW w:w="2835" w:type="dxa"/>
          </w:tcPr>
          <w:p w14:paraId="522423C8" w14:textId="77777777" w:rsidR="002071BF" w:rsidRPr="008D6A63" w:rsidRDefault="002071BF" w:rsidP="002071BF">
            <w:pPr>
              <w:pStyle w:val="StdBodyTextBold"/>
              <w:rPr>
                <w:rFonts w:cs="Arial"/>
              </w:rPr>
            </w:pPr>
            <w:r>
              <w:rPr>
                <w:rFonts w:cs="Arial"/>
              </w:rPr>
              <w:t>“</w:t>
            </w:r>
            <w:r w:rsidRPr="008D6A63">
              <w:rPr>
                <w:rFonts w:cs="Arial"/>
              </w:rPr>
              <w:t>Sub-contract</w:t>
            </w:r>
            <w:r>
              <w:rPr>
                <w:rFonts w:cs="Arial"/>
              </w:rPr>
              <w:t>”</w:t>
            </w:r>
          </w:p>
        </w:tc>
        <w:tc>
          <w:tcPr>
            <w:tcW w:w="6803" w:type="dxa"/>
          </w:tcPr>
          <w:p w14:paraId="4F7DA2BF" w14:textId="77777777" w:rsidR="002071BF" w:rsidRPr="008D6A63" w:rsidRDefault="002071BF" w:rsidP="002071BF">
            <w:pPr>
              <w:pStyle w:val="StdBodyText"/>
              <w:rPr>
                <w:rFonts w:cs="Arial"/>
              </w:rPr>
            </w:pPr>
            <w:r w:rsidRPr="008D6A63">
              <w:rPr>
                <w:rFonts w:cs="Arial"/>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2071BF" w:rsidRPr="00F55457" w14:paraId="02CD48EA" w14:textId="77777777" w:rsidTr="0052486C">
        <w:tc>
          <w:tcPr>
            <w:tcW w:w="2835" w:type="dxa"/>
          </w:tcPr>
          <w:p w14:paraId="295AA9BE" w14:textId="77777777" w:rsidR="002071BF" w:rsidRPr="008D6A63" w:rsidRDefault="002071BF" w:rsidP="002071BF">
            <w:pPr>
              <w:pStyle w:val="StdBodyTextBold"/>
              <w:keepNext/>
              <w:rPr>
                <w:rFonts w:cs="Arial"/>
              </w:rPr>
            </w:pPr>
            <w:r>
              <w:rPr>
                <w:rFonts w:cs="Arial"/>
              </w:rPr>
              <w:t>“</w:t>
            </w:r>
            <w:r w:rsidRPr="008D6A63">
              <w:rPr>
                <w:rFonts w:cs="Arial"/>
              </w:rPr>
              <w:t>Sub-contractor</w:t>
            </w:r>
            <w:r>
              <w:rPr>
                <w:rFonts w:cs="Arial"/>
              </w:rPr>
              <w:t>”</w:t>
            </w:r>
          </w:p>
        </w:tc>
        <w:tc>
          <w:tcPr>
            <w:tcW w:w="6803" w:type="dxa"/>
          </w:tcPr>
          <w:p w14:paraId="162EB76A" w14:textId="77777777" w:rsidR="002071BF" w:rsidRPr="008D6A63" w:rsidRDefault="002071BF" w:rsidP="002071BF">
            <w:pPr>
              <w:pStyle w:val="StdBodyText"/>
              <w:rPr>
                <w:rFonts w:cs="Arial"/>
              </w:rPr>
            </w:pPr>
            <w:r w:rsidRPr="008D6A63">
              <w:rPr>
                <w:rFonts w:cs="Arial"/>
              </w:rPr>
              <w:t>any third party with whom:</w:t>
            </w:r>
          </w:p>
          <w:p w14:paraId="193F2BBC" w14:textId="77777777" w:rsidR="002071BF" w:rsidRPr="00577E60" w:rsidRDefault="002071BF" w:rsidP="002071BF">
            <w:pPr>
              <w:pStyle w:val="DefinitionList"/>
              <w:numPr>
                <w:ilvl w:val="0"/>
                <w:numId w:val="165"/>
              </w:numPr>
              <w:rPr>
                <w:rFonts w:cs="Arial"/>
              </w:rPr>
            </w:pPr>
            <w:bookmarkStart w:id="183" w:name="_9kR3WTrAG86BHgtjmj09ubjjFx05tyvgtNJGA4E"/>
            <w:bookmarkStart w:id="184" w:name="_9kR3WTr299DHHhtjmj09ubjjFx05tyvgtNJGA4E"/>
            <w:bookmarkStart w:id="185" w:name="_Ref_ContractCompanion_9kb9Ur27B"/>
            <w:r w:rsidRPr="00577E60">
              <w:rPr>
                <w:rFonts w:cs="Arial"/>
              </w:rPr>
              <w:t>the Supplier enters into a Sub-contract;</w:t>
            </w:r>
            <w:bookmarkEnd w:id="183"/>
            <w:bookmarkEnd w:id="184"/>
            <w:r w:rsidRPr="00577E60">
              <w:rPr>
                <w:rFonts w:cs="Arial"/>
              </w:rPr>
              <w:t xml:space="preserve"> or </w:t>
            </w:r>
            <w:bookmarkEnd w:id="185"/>
          </w:p>
          <w:p w14:paraId="277D970D" w14:textId="0AD80441" w:rsidR="002071BF" w:rsidRPr="008D6A63" w:rsidRDefault="002071BF" w:rsidP="002071BF">
            <w:pPr>
              <w:pStyle w:val="DefinitionList"/>
              <w:numPr>
                <w:ilvl w:val="0"/>
                <w:numId w:val="78"/>
              </w:numPr>
              <w:rPr>
                <w:rFonts w:cs="Arial"/>
              </w:rPr>
            </w:pPr>
            <w:r w:rsidRPr="008D6A63">
              <w:rPr>
                <w:rFonts w:cs="Arial"/>
              </w:rPr>
              <w:t xml:space="preserve">a third party under </w:t>
            </w:r>
            <w:bookmarkStart w:id="186" w:name="_9kMHG5YVtCIA8DJivlol2BwdllHz27v0xivPLIC"/>
            <w:r w:rsidRPr="008D6A63">
              <w:rPr>
                <w:rFonts w:cs="Arial"/>
              </w:rPr>
              <w:fldChar w:fldCharType="begin"/>
            </w:r>
            <w:r w:rsidRPr="008D6A63">
              <w:rPr>
                <w:rFonts w:cs="Arial"/>
              </w:rPr>
              <w:instrText xml:space="preserve"> REF _Ref_ContractCompanion_9kb9Ur27B \w \n \h \t \* MERGEFORMAT </w:instrText>
            </w:r>
            <w:r w:rsidRPr="008D6A63">
              <w:rPr>
                <w:rFonts w:cs="Arial"/>
              </w:rPr>
            </w:r>
            <w:r w:rsidRPr="008D6A63">
              <w:rPr>
                <w:rFonts w:cs="Arial"/>
              </w:rPr>
              <w:fldChar w:fldCharType="separate"/>
            </w:r>
            <w:bookmarkStart w:id="187" w:name="_9kMHG5YVt4BBFJJjvlol2BwdllHz27v0xivPLIC"/>
            <w:r w:rsidR="007A1473">
              <w:rPr>
                <w:rFonts w:cs="Arial"/>
              </w:rPr>
              <w:t>(a)</w:t>
            </w:r>
            <w:bookmarkEnd w:id="187"/>
            <w:r w:rsidRPr="008D6A63">
              <w:rPr>
                <w:rFonts w:cs="Arial"/>
              </w:rPr>
              <w:fldChar w:fldCharType="end"/>
            </w:r>
            <w:bookmarkEnd w:id="186"/>
            <w:r w:rsidRPr="008D6A63">
              <w:rPr>
                <w:rFonts w:cs="Arial"/>
              </w:rPr>
              <w:t xml:space="preserve"> above enters into a Sub-contract,</w:t>
            </w:r>
          </w:p>
          <w:p w14:paraId="181899B4" w14:textId="77777777" w:rsidR="002071BF" w:rsidRPr="008D6A63" w:rsidRDefault="002071BF" w:rsidP="002071BF">
            <w:pPr>
              <w:pStyle w:val="StdBodyText"/>
              <w:rPr>
                <w:rFonts w:cs="Arial"/>
              </w:rPr>
            </w:pPr>
            <w:r w:rsidRPr="008D6A63">
              <w:rPr>
                <w:rFonts w:cs="Arial"/>
              </w:rPr>
              <w:t>or the servants or agents of that third party;</w:t>
            </w:r>
          </w:p>
        </w:tc>
      </w:tr>
      <w:tr w:rsidR="002071BF" w:rsidRPr="00F55457" w14:paraId="27A47F00" w14:textId="77777777" w:rsidTr="0052486C">
        <w:tc>
          <w:tcPr>
            <w:tcW w:w="2835" w:type="dxa"/>
          </w:tcPr>
          <w:p w14:paraId="1872E72B" w14:textId="77777777" w:rsidR="002071BF" w:rsidRPr="008D6A63" w:rsidRDefault="002071BF" w:rsidP="002071BF">
            <w:pPr>
              <w:pStyle w:val="StdBodyTextBold"/>
              <w:rPr>
                <w:rFonts w:cs="Arial"/>
              </w:rPr>
            </w:pPr>
            <w:r>
              <w:rPr>
                <w:rFonts w:cs="Arial"/>
              </w:rPr>
              <w:t>“</w:t>
            </w:r>
            <w:r w:rsidRPr="008D6A63">
              <w:rPr>
                <w:rFonts w:cs="Arial"/>
              </w:rPr>
              <w:t>Sub-processor</w:t>
            </w:r>
            <w:r>
              <w:rPr>
                <w:rFonts w:cs="Arial"/>
              </w:rPr>
              <w:t>”</w:t>
            </w:r>
          </w:p>
        </w:tc>
        <w:tc>
          <w:tcPr>
            <w:tcW w:w="6803" w:type="dxa"/>
          </w:tcPr>
          <w:p w14:paraId="0B1B0BE8" w14:textId="77777777" w:rsidR="002071BF" w:rsidRPr="008D6A63" w:rsidRDefault="002071BF" w:rsidP="002071BF">
            <w:pPr>
              <w:pStyle w:val="StdBodyText"/>
              <w:rPr>
                <w:rFonts w:cs="Arial"/>
              </w:rPr>
            </w:pPr>
            <w:r w:rsidRPr="008D6A63">
              <w:rPr>
                <w:rFonts w:cs="Arial"/>
              </w:rPr>
              <w:t xml:space="preserve">any third party appointed to process Personal Data on behalf of the </w:t>
            </w:r>
            <w:r>
              <w:rPr>
                <w:rFonts w:cs="Arial"/>
              </w:rPr>
              <w:t>Processor</w:t>
            </w:r>
            <w:r w:rsidRPr="008D6A63">
              <w:rPr>
                <w:rFonts w:cs="Arial"/>
              </w:rPr>
              <w:t xml:space="preserve"> related to this Contract;</w:t>
            </w:r>
          </w:p>
        </w:tc>
      </w:tr>
      <w:tr w:rsidR="002071BF" w:rsidRPr="00F55457" w14:paraId="7DDB93C4" w14:textId="77777777" w:rsidTr="0052486C">
        <w:tc>
          <w:tcPr>
            <w:tcW w:w="2835" w:type="dxa"/>
          </w:tcPr>
          <w:p w14:paraId="6CA8F3EC" w14:textId="77777777" w:rsidR="002071BF" w:rsidRPr="008D6A63" w:rsidRDefault="002071BF" w:rsidP="002071BF">
            <w:pPr>
              <w:pStyle w:val="StdBodyTextBold"/>
              <w:rPr>
                <w:rFonts w:cs="Arial"/>
              </w:rPr>
            </w:pPr>
            <w:r>
              <w:rPr>
                <w:rFonts w:cs="Arial"/>
              </w:rPr>
              <w:t>“</w:t>
            </w:r>
            <w:r w:rsidRPr="008D6A63">
              <w:rPr>
                <w:rFonts w:cs="Arial"/>
              </w:rPr>
              <w:t>Subsidiary Performance Indicator</w:t>
            </w:r>
            <w:r>
              <w:rPr>
                <w:rFonts w:cs="Arial"/>
              </w:rPr>
              <w:t>”</w:t>
            </w:r>
          </w:p>
        </w:tc>
        <w:tc>
          <w:tcPr>
            <w:tcW w:w="6803" w:type="dxa"/>
          </w:tcPr>
          <w:p w14:paraId="28A2852B" w14:textId="059C3010" w:rsidR="002071BF" w:rsidRPr="008D6A63" w:rsidRDefault="002071BF" w:rsidP="002071BF">
            <w:pPr>
              <w:pStyle w:val="StdBodyText"/>
              <w:rPr>
                <w:rFonts w:cs="Arial"/>
              </w:rPr>
            </w:pPr>
            <w:r w:rsidRPr="008D6A63">
              <w:rPr>
                <w:rFonts w:cs="Arial"/>
              </w:rPr>
              <w:t xml:space="preserve">the performance indicators set out in </w:t>
            </w:r>
            <w:bookmarkStart w:id="188" w:name="_9kMHG5YVt4EE78GkKZlp7"/>
            <w:r w:rsidRPr="008D6A63">
              <w:rPr>
                <w:rFonts w:cs="Arial"/>
              </w:rPr>
              <w:t>Table 2</w:t>
            </w:r>
            <w:bookmarkEnd w:id="188"/>
            <w:r w:rsidRPr="008D6A63">
              <w:rPr>
                <w:rFonts w:cs="Arial"/>
              </w:rPr>
              <w:t xml:space="preserve"> of </w:t>
            </w:r>
            <w:r>
              <w:rPr>
                <w:rFonts w:cs="Arial"/>
              </w:rPr>
              <w:t>Part A</w:t>
            </w:r>
            <w:r w:rsidRPr="008D6A63">
              <w:rPr>
                <w:rFonts w:cs="Arial"/>
              </w:rPr>
              <w:t xml:space="preserve"> of </w:t>
            </w:r>
            <w:r>
              <w:rPr>
                <w:rFonts w:cs="Arial"/>
              </w:rPr>
              <w:t>Annex 1</w:t>
            </w:r>
            <w:r w:rsidRPr="008D6A63">
              <w:rPr>
                <w:rFonts w:cs="Arial"/>
              </w:rPr>
              <w:t xml:space="preserve"> of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8D6A63">
              <w:rPr>
                <w:rFonts w:cs="Arial"/>
              </w:rPr>
              <w:t>;</w:t>
            </w:r>
          </w:p>
        </w:tc>
      </w:tr>
      <w:tr w:rsidR="002071BF" w:rsidRPr="00F55457" w14:paraId="5C66E233" w14:textId="77777777" w:rsidTr="0052486C">
        <w:tc>
          <w:tcPr>
            <w:tcW w:w="2835" w:type="dxa"/>
          </w:tcPr>
          <w:p w14:paraId="6BC0BB8A" w14:textId="77777777" w:rsidR="002071BF" w:rsidRPr="008D6A63" w:rsidRDefault="002071BF" w:rsidP="002071BF">
            <w:pPr>
              <w:pStyle w:val="StdBodyTextBold"/>
              <w:rPr>
                <w:rFonts w:cs="Arial"/>
              </w:rPr>
            </w:pPr>
            <w:r>
              <w:rPr>
                <w:rFonts w:cs="Arial"/>
              </w:rPr>
              <w:t>“</w:t>
            </w:r>
            <w:r w:rsidRPr="008D6A63">
              <w:rPr>
                <w:rFonts w:cs="Arial"/>
              </w:rPr>
              <w:t>Subsidiary Undertaking</w:t>
            </w:r>
            <w:r>
              <w:rPr>
                <w:rFonts w:cs="Arial"/>
              </w:rPr>
              <w:t>”</w:t>
            </w:r>
          </w:p>
        </w:tc>
        <w:tc>
          <w:tcPr>
            <w:tcW w:w="6803" w:type="dxa"/>
          </w:tcPr>
          <w:p w14:paraId="5BE7885B" w14:textId="77777777" w:rsidR="002071BF" w:rsidRPr="008D6A63" w:rsidRDefault="002071BF" w:rsidP="002071BF">
            <w:pPr>
              <w:pStyle w:val="StdBodyText"/>
              <w:rPr>
                <w:rFonts w:cs="Arial"/>
              </w:rPr>
            </w:pPr>
            <w:r w:rsidRPr="008D6A63">
              <w:rPr>
                <w:rFonts w:cs="Arial"/>
              </w:rPr>
              <w:t xml:space="preserve">has the meaning set out in </w:t>
            </w:r>
            <w:bookmarkStart w:id="189" w:name="_9kMHG5YVt499FJE4teu1x3HJPRA17AwSXEG54D5"/>
            <w:r w:rsidRPr="008D6A63">
              <w:rPr>
                <w:rFonts w:cs="Arial"/>
              </w:rPr>
              <w:t>section 1162 of the Companies Act 2006</w:t>
            </w:r>
            <w:bookmarkEnd w:id="189"/>
            <w:r w:rsidRPr="008D6A63">
              <w:rPr>
                <w:rFonts w:cs="Arial"/>
              </w:rPr>
              <w:t>;</w:t>
            </w:r>
          </w:p>
        </w:tc>
      </w:tr>
      <w:tr w:rsidR="002071BF" w:rsidRPr="00F55457" w14:paraId="01DA1CDF" w14:textId="77777777" w:rsidTr="0052486C">
        <w:tc>
          <w:tcPr>
            <w:tcW w:w="2835" w:type="dxa"/>
          </w:tcPr>
          <w:p w14:paraId="7200A1E1" w14:textId="77777777" w:rsidR="002071BF" w:rsidRPr="008D6A63" w:rsidRDefault="002071BF" w:rsidP="002071BF">
            <w:pPr>
              <w:pStyle w:val="StdBodyTextBold"/>
              <w:rPr>
                <w:rFonts w:cs="Arial"/>
              </w:rPr>
            </w:pPr>
            <w:r>
              <w:rPr>
                <w:rFonts w:cs="Arial"/>
              </w:rPr>
              <w:t>“</w:t>
            </w:r>
            <w:r w:rsidRPr="008D6A63">
              <w:rPr>
                <w:rFonts w:cs="Arial"/>
              </w:rPr>
              <w:t>Successor Body</w:t>
            </w:r>
            <w:r>
              <w:rPr>
                <w:rFonts w:cs="Arial"/>
              </w:rPr>
              <w:t>”</w:t>
            </w:r>
          </w:p>
        </w:tc>
        <w:tc>
          <w:tcPr>
            <w:tcW w:w="6803" w:type="dxa"/>
          </w:tcPr>
          <w:p w14:paraId="1D4F2F66" w14:textId="77777777" w:rsidR="002071BF" w:rsidRPr="008D6A63" w:rsidRDefault="002071BF" w:rsidP="002071BF">
            <w:pPr>
              <w:pStyle w:val="StdBodyText"/>
              <w:rPr>
                <w:rFonts w:cs="Arial"/>
              </w:rPr>
            </w:pPr>
            <w:r w:rsidRPr="008D6A63">
              <w:rPr>
                <w:rFonts w:cs="Arial"/>
              </w:rPr>
              <w:t xml:space="preserve">has the meaning given in </w:t>
            </w:r>
            <w:bookmarkStart w:id="190" w:name="_9kMIH5YVtCIAAGDCJLYHz2oITJ73E9CTB6PG5BO"/>
            <w:bookmarkStart w:id="191" w:name="_9kMHG5YVtCJBAGEDJLYHz2oITJ73E9CTB6PG5BO"/>
            <w:r w:rsidRPr="008D6A63">
              <w:rPr>
                <w:rFonts w:cs="Arial"/>
              </w:rPr>
              <w:t xml:space="preserve">Clause </w:t>
            </w:r>
            <w:bookmarkEnd w:id="190"/>
            <w:bookmarkEnd w:id="191"/>
            <w:r w:rsidRPr="008D6A63">
              <w:rPr>
                <w:rFonts w:cs="Arial"/>
              </w:rPr>
              <w:t>34.4 (</w:t>
            </w:r>
            <w:r w:rsidRPr="00F613BA">
              <w:rPr>
                <w:rFonts w:cs="Arial"/>
                <w:i/>
                <w:iCs/>
              </w:rPr>
              <w:t>Assignment and Novation</w:t>
            </w:r>
            <w:r w:rsidRPr="008D6A63">
              <w:rPr>
                <w:rFonts w:cs="Arial"/>
              </w:rPr>
              <w:t>);</w:t>
            </w:r>
          </w:p>
        </w:tc>
      </w:tr>
      <w:tr w:rsidR="002071BF" w:rsidRPr="00F55457" w14:paraId="639FB7B0" w14:textId="77777777" w:rsidTr="0052486C">
        <w:tc>
          <w:tcPr>
            <w:tcW w:w="2835" w:type="dxa"/>
          </w:tcPr>
          <w:p w14:paraId="27924F0F" w14:textId="77777777" w:rsidR="002071BF" w:rsidRPr="008D6A63" w:rsidRDefault="002071BF" w:rsidP="002071BF">
            <w:pPr>
              <w:pStyle w:val="StdBodyTextBold"/>
              <w:rPr>
                <w:rFonts w:cs="Arial"/>
              </w:rPr>
            </w:pPr>
            <w:r>
              <w:rPr>
                <w:rFonts w:cs="Arial"/>
              </w:rPr>
              <w:t>“</w:t>
            </w:r>
            <w:r w:rsidRPr="008D6A63">
              <w:rPr>
                <w:rFonts w:cs="Arial"/>
              </w:rPr>
              <w:t>Supplier Background IPRs</w:t>
            </w:r>
            <w:r>
              <w:rPr>
                <w:rFonts w:cs="Arial"/>
              </w:rPr>
              <w:t>”</w:t>
            </w:r>
          </w:p>
        </w:tc>
        <w:tc>
          <w:tcPr>
            <w:tcW w:w="6803" w:type="dxa"/>
          </w:tcPr>
          <w:p w14:paraId="32EFC732" w14:textId="77777777" w:rsidR="002071BF" w:rsidRPr="008D6A63" w:rsidRDefault="002071BF" w:rsidP="002071BF">
            <w:pPr>
              <w:pStyle w:val="DefinitionList"/>
              <w:numPr>
                <w:ilvl w:val="0"/>
                <w:numId w:val="72"/>
              </w:numPr>
            </w:pPr>
            <w:r w:rsidRPr="008D6A63">
              <w:t xml:space="preserve">Intellectual Property Rights owned by the Supplier before the Effective Date, for example those subsisting in the </w:t>
            </w:r>
            <w:bookmarkStart w:id="192" w:name="_9kML8L6ZWu9A679B"/>
            <w:r w:rsidRPr="008D6A63">
              <w:t>Supplier</w:t>
            </w:r>
            <w:r>
              <w:t>’</w:t>
            </w:r>
            <w:r w:rsidRPr="008D6A63">
              <w:t>s</w:t>
            </w:r>
            <w:bookmarkEnd w:id="192"/>
            <w:r w:rsidRPr="008D6A63">
              <w:t xml:space="preserve"> </w:t>
            </w:r>
            <w:r w:rsidRPr="00DC4C80">
              <w:t>standard</w:t>
            </w:r>
            <w:r w:rsidRPr="008D6A63">
              <w:t xml:space="preserve"> development tools, program components or standard code used in computer programming or in physical or electronic media containing the </w:t>
            </w:r>
            <w:bookmarkStart w:id="193" w:name="_9kML9M6ZWu9A679B"/>
            <w:r w:rsidRPr="008D6A63">
              <w:t>Supplier</w:t>
            </w:r>
            <w:r>
              <w:t>’</w:t>
            </w:r>
            <w:r w:rsidRPr="008D6A63">
              <w:t>s</w:t>
            </w:r>
            <w:bookmarkEnd w:id="193"/>
            <w:r w:rsidRPr="008D6A63">
              <w:t xml:space="preserve"> Know-How or generic business methodologies; and/or</w:t>
            </w:r>
          </w:p>
          <w:p w14:paraId="33B9A45A" w14:textId="77777777" w:rsidR="002071BF" w:rsidRPr="008D6A63" w:rsidRDefault="002071BF" w:rsidP="002071BF">
            <w:pPr>
              <w:pStyle w:val="DefinitionList"/>
              <w:numPr>
                <w:ilvl w:val="0"/>
                <w:numId w:val="78"/>
              </w:numPr>
              <w:rPr>
                <w:rFonts w:cs="Arial"/>
              </w:rPr>
            </w:pPr>
            <w:r w:rsidRPr="008D6A63">
              <w:rPr>
                <w:rFonts w:cs="Arial"/>
              </w:rPr>
              <w:t>Intellectual Property Rights created by the Supplier independently of this Contract,</w:t>
            </w:r>
          </w:p>
          <w:p w14:paraId="73E2ECB4" w14:textId="77777777" w:rsidR="002071BF" w:rsidRPr="008D6A63" w:rsidRDefault="002071BF" w:rsidP="002071BF">
            <w:pPr>
              <w:pStyle w:val="StdBodyText"/>
              <w:rPr>
                <w:rFonts w:cs="Arial"/>
              </w:rPr>
            </w:pPr>
            <w:r w:rsidRPr="008D6A63">
              <w:rPr>
                <w:rFonts w:cs="Arial"/>
              </w:rPr>
              <w:t>which in each case is or will be used before or during the Term for designing, testing implementing or providing the Services but excluding Intellectual Property Rights owned by the Supplier subsisting in the Supplier Software;</w:t>
            </w:r>
          </w:p>
        </w:tc>
      </w:tr>
      <w:tr w:rsidR="002071BF" w:rsidRPr="00F55457" w14:paraId="5A70676D" w14:textId="77777777" w:rsidTr="0052486C">
        <w:tc>
          <w:tcPr>
            <w:tcW w:w="2835" w:type="dxa"/>
          </w:tcPr>
          <w:p w14:paraId="0156D659" w14:textId="77777777" w:rsidR="002071BF" w:rsidRPr="008D6A63" w:rsidRDefault="002071BF" w:rsidP="002071BF">
            <w:pPr>
              <w:pStyle w:val="StdBodyTextBold"/>
              <w:rPr>
                <w:rFonts w:cs="Arial"/>
              </w:rPr>
            </w:pPr>
            <w:r>
              <w:rPr>
                <w:rFonts w:cs="Arial"/>
              </w:rPr>
              <w:lastRenderedPageBreak/>
              <w:t>“</w:t>
            </w:r>
            <w:r w:rsidRPr="008D6A63">
              <w:rPr>
                <w:rFonts w:cs="Arial"/>
              </w:rPr>
              <w:t>Supplier COTS Background IPRs</w:t>
            </w:r>
            <w:r>
              <w:rPr>
                <w:rFonts w:cs="Arial"/>
              </w:rPr>
              <w:t>”</w:t>
            </w:r>
          </w:p>
        </w:tc>
        <w:tc>
          <w:tcPr>
            <w:tcW w:w="6803" w:type="dxa"/>
          </w:tcPr>
          <w:p w14:paraId="7B69CE06" w14:textId="77777777" w:rsidR="002071BF" w:rsidRPr="008D6A63" w:rsidRDefault="002071BF" w:rsidP="002071BF">
            <w:pPr>
              <w:pStyle w:val="StdBodyText"/>
              <w:rPr>
                <w:rFonts w:cs="Arial"/>
              </w:rPr>
            </w:pPr>
            <w:r w:rsidRPr="008D6A63">
              <w:rPr>
                <w:rFonts w:cs="Arial"/>
              </w:rPr>
              <w:t>Any embodiments of Supplier Background IPRs that:</w:t>
            </w:r>
          </w:p>
          <w:p w14:paraId="2511B724" w14:textId="77777777" w:rsidR="002071BF" w:rsidRPr="008D6A63" w:rsidRDefault="002071BF" w:rsidP="002071BF">
            <w:pPr>
              <w:pStyle w:val="DefinitionList"/>
              <w:numPr>
                <w:ilvl w:val="0"/>
                <w:numId w:val="73"/>
              </w:numPr>
            </w:pPr>
            <w:r w:rsidRPr="008D6A63">
              <w:t>the Supplier makes generally available commercially prior to the date of this Contract (whether by way of sale, lease or licence) on standard terms which are not typically negotiated by the Supplier save as to price; and</w:t>
            </w:r>
          </w:p>
          <w:p w14:paraId="33ABA1F1" w14:textId="77777777" w:rsidR="002071BF" w:rsidRPr="008D6A63" w:rsidRDefault="002071BF" w:rsidP="002071BF">
            <w:pPr>
              <w:pStyle w:val="DefinitionList"/>
              <w:numPr>
                <w:ilvl w:val="0"/>
                <w:numId w:val="78"/>
              </w:numPr>
              <w:rPr>
                <w:rFonts w:cs="Arial"/>
              </w:rPr>
            </w:pPr>
            <w:r w:rsidRPr="008D6A63">
              <w:rPr>
                <w:rFonts w:cs="Arial"/>
              </w:rPr>
              <w:t>has a Non-trivial Customer Base;</w:t>
            </w:r>
          </w:p>
        </w:tc>
      </w:tr>
      <w:tr w:rsidR="002071BF" w:rsidRPr="00F55457" w14:paraId="3FCDEEC5" w14:textId="77777777" w:rsidTr="0052486C">
        <w:tc>
          <w:tcPr>
            <w:tcW w:w="2835" w:type="dxa"/>
          </w:tcPr>
          <w:p w14:paraId="253CA860" w14:textId="77777777" w:rsidR="002071BF" w:rsidRPr="008D6A63" w:rsidRDefault="002071BF" w:rsidP="002071BF">
            <w:pPr>
              <w:pStyle w:val="StdBodyTextBold"/>
              <w:rPr>
                <w:rFonts w:cs="Arial"/>
              </w:rPr>
            </w:pPr>
            <w:r>
              <w:rPr>
                <w:rFonts w:cs="Arial"/>
              </w:rPr>
              <w:t>“</w:t>
            </w:r>
            <w:r w:rsidRPr="008D6A63">
              <w:rPr>
                <w:rFonts w:cs="Arial"/>
              </w:rPr>
              <w:t>Supplier COTS Software</w:t>
            </w:r>
            <w:r>
              <w:rPr>
                <w:rFonts w:cs="Arial"/>
              </w:rPr>
              <w:t>”</w:t>
            </w:r>
          </w:p>
        </w:tc>
        <w:tc>
          <w:tcPr>
            <w:tcW w:w="6803" w:type="dxa"/>
          </w:tcPr>
          <w:p w14:paraId="2314344F" w14:textId="77777777" w:rsidR="002071BF" w:rsidRPr="008D6A63" w:rsidRDefault="002071BF" w:rsidP="002071BF">
            <w:pPr>
              <w:pStyle w:val="StdBodyText"/>
              <w:rPr>
                <w:rFonts w:cs="Arial"/>
              </w:rPr>
            </w:pPr>
            <w:r w:rsidRPr="008D6A63">
              <w:rPr>
                <w:rFonts w:cs="Arial"/>
              </w:rPr>
              <w:t>Supplier Software (including open source software) that:</w:t>
            </w:r>
          </w:p>
          <w:p w14:paraId="59276E79" w14:textId="77777777" w:rsidR="002071BF" w:rsidRPr="008D6A63" w:rsidRDefault="002071BF" w:rsidP="002071BF">
            <w:pPr>
              <w:pStyle w:val="DefinitionList"/>
              <w:numPr>
                <w:ilvl w:val="0"/>
                <w:numId w:val="74"/>
              </w:numPr>
            </w:pPr>
            <w:r w:rsidRPr="008D6A63">
              <w:t>the Supplier makes generally available commercially prior to the date of this Contract (whether by way of sale, lease or licence) on standard terms which are not typically negotiated by the Supplier save as to price; and</w:t>
            </w:r>
          </w:p>
          <w:p w14:paraId="58C60580" w14:textId="77777777" w:rsidR="002071BF" w:rsidRPr="008D6A63" w:rsidRDefault="002071BF" w:rsidP="002071BF">
            <w:pPr>
              <w:pStyle w:val="DefinitionList"/>
              <w:numPr>
                <w:ilvl w:val="0"/>
                <w:numId w:val="78"/>
              </w:numPr>
              <w:rPr>
                <w:rFonts w:cs="Arial"/>
              </w:rPr>
            </w:pPr>
            <w:r w:rsidRPr="008D6A63">
              <w:rPr>
                <w:rFonts w:cs="Arial"/>
              </w:rPr>
              <w:t>has a Non-trivial Customer Base;</w:t>
            </w:r>
          </w:p>
        </w:tc>
      </w:tr>
      <w:tr w:rsidR="002071BF" w:rsidRPr="00F55457" w14:paraId="4CF50C4A" w14:textId="77777777" w:rsidTr="0052486C">
        <w:tc>
          <w:tcPr>
            <w:tcW w:w="2835" w:type="dxa"/>
          </w:tcPr>
          <w:p w14:paraId="5A4DCB4A" w14:textId="77777777" w:rsidR="002071BF" w:rsidRPr="008D6A63" w:rsidRDefault="002071BF" w:rsidP="002071BF">
            <w:pPr>
              <w:pStyle w:val="StdBodyTextBold"/>
              <w:rPr>
                <w:rFonts w:cs="Arial"/>
              </w:rPr>
            </w:pPr>
            <w:r>
              <w:rPr>
                <w:rFonts w:cs="Arial"/>
              </w:rPr>
              <w:t>“</w:t>
            </w:r>
            <w:r w:rsidRPr="008D6A63">
              <w:rPr>
                <w:rFonts w:cs="Arial"/>
              </w:rPr>
              <w:t>Supplier Equipment</w:t>
            </w:r>
            <w:r>
              <w:rPr>
                <w:rFonts w:cs="Arial"/>
              </w:rPr>
              <w:t>”</w:t>
            </w:r>
          </w:p>
        </w:tc>
        <w:tc>
          <w:tcPr>
            <w:tcW w:w="6803" w:type="dxa"/>
          </w:tcPr>
          <w:p w14:paraId="757CB9E9" w14:textId="77777777" w:rsidR="002071BF" w:rsidRPr="008D6A63" w:rsidRDefault="002071BF" w:rsidP="002071BF">
            <w:pPr>
              <w:pStyle w:val="StdBodyText"/>
              <w:rPr>
                <w:rFonts w:cs="Arial"/>
              </w:rPr>
            </w:pPr>
            <w:r w:rsidRPr="008D6A63">
              <w:rPr>
                <w:rFonts w:cs="Arial"/>
              </w:rPr>
              <w:t>the hardware, computer and telecoms devices and equipment used by the Supplier or its Sub-contractors (but not hired, leased or loaned from the Authority) for the provision of the Services;</w:t>
            </w:r>
          </w:p>
        </w:tc>
      </w:tr>
      <w:tr w:rsidR="002071BF" w:rsidRPr="00F55457" w14:paraId="437271D9" w14:textId="77777777" w:rsidTr="0052486C">
        <w:tc>
          <w:tcPr>
            <w:tcW w:w="2835" w:type="dxa"/>
          </w:tcPr>
          <w:p w14:paraId="6FE55B68" w14:textId="77777777" w:rsidR="002071BF" w:rsidRPr="008D6A63" w:rsidRDefault="002071BF" w:rsidP="002071BF">
            <w:pPr>
              <w:pStyle w:val="StdBodyTextBold"/>
              <w:rPr>
                <w:rFonts w:cs="Arial"/>
              </w:rPr>
            </w:pPr>
            <w:r>
              <w:rPr>
                <w:rFonts w:cs="Arial"/>
              </w:rPr>
              <w:t>“</w:t>
            </w:r>
            <w:r w:rsidRPr="008D6A63">
              <w:rPr>
                <w:rFonts w:cs="Arial"/>
              </w:rPr>
              <w:t>Supplier Group</w:t>
            </w:r>
            <w:r>
              <w:rPr>
                <w:rFonts w:cs="Arial"/>
              </w:rPr>
              <w:t>”</w:t>
            </w:r>
          </w:p>
        </w:tc>
        <w:tc>
          <w:tcPr>
            <w:tcW w:w="6803" w:type="dxa"/>
          </w:tcPr>
          <w:p w14:paraId="4CF08D88" w14:textId="77777777" w:rsidR="002071BF" w:rsidRPr="008D6A63" w:rsidRDefault="002071BF" w:rsidP="002071BF">
            <w:pPr>
              <w:pStyle w:val="StdBodyText"/>
              <w:rPr>
                <w:rFonts w:cs="Arial"/>
              </w:rPr>
            </w:pPr>
            <w:r w:rsidRPr="008D6A63">
              <w:rPr>
                <w:rFonts w:cs="Arial"/>
              </w:rPr>
              <w:t>means the Supplier, its Dependent Parent Undertakings and all Subsidiary Undertakings and Associates of such Dependent Parent Undertakings;</w:t>
            </w:r>
          </w:p>
        </w:tc>
      </w:tr>
      <w:tr w:rsidR="002071BF" w:rsidRPr="00F55457" w14:paraId="6C9DB257" w14:textId="77777777" w:rsidTr="0052486C">
        <w:tc>
          <w:tcPr>
            <w:tcW w:w="2835" w:type="dxa"/>
          </w:tcPr>
          <w:p w14:paraId="18866AB3" w14:textId="77777777" w:rsidR="002071BF" w:rsidRPr="008D6A63" w:rsidRDefault="002071BF" w:rsidP="002071BF">
            <w:pPr>
              <w:pStyle w:val="StdBodyTextBold"/>
              <w:rPr>
                <w:rFonts w:cs="Arial"/>
              </w:rPr>
            </w:pPr>
            <w:r>
              <w:rPr>
                <w:rFonts w:cs="Arial"/>
              </w:rPr>
              <w:t>“</w:t>
            </w:r>
            <w:r w:rsidRPr="008D6A63">
              <w:rPr>
                <w:rFonts w:cs="Arial"/>
              </w:rPr>
              <w:t>Supplier Non-COTS Background IPRs</w:t>
            </w:r>
            <w:r>
              <w:rPr>
                <w:rFonts w:cs="Arial"/>
              </w:rPr>
              <w:t>”</w:t>
            </w:r>
          </w:p>
        </w:tc>
        <w:tc>
          <w:tcPr>
            <w:tcW w:w="6803" w:type="dxa"/>
          </w:tcPr>
          <w:p w14:paraId="77B818D6" w14:textId="77777777" w:rsidR="002071BF" w:rsidRPr="008D6A63" w:rsidRDefault="002071BF" w:rsidP="002071BF">
            <w:pPr>
              <w:pStyle w:val="StdBodyText"/>
              <w:rPr>
                <w:rFonts w:cs="Arial"/>
              </w:rPr>
            </w:pPr>
            <w:r w:rsidRPr="008D6A63">
              <w:rPr>
                <w:rFonts w:cs="Arial"/>
              </w:rPr>
              <w:t>Any embodiments of Supplier Background IPRs that have been delivered by the Supplier to the Authority and that are not Supplier COTS Background IPRs;</w:t>
            </w:r>
          </w:p>
        </w:tc>
      </w:tr>
      <w:tr w:rsidR="002071BF" w:rsidRPr="00F55457" w14:paraId="76996D66" w14:textId="77777777" w:rsidTr="0052486C">
        <w:tc>
          <w:tcPr>
            <w:tcW w:w="2835" w:type="dxa"/>
          </w:tcPr>
          <w:p w14:paraId="78CFA352" w14:textId="77777777" w:rsidR="002071BF" w:rsidRPr="008D6A63" w:rsidRDefault="002071BF" w:rsidP="002071BF">
            <w:pPr>
              <w:pStyle w:val="StdBodyTextBold"/>
              <w:rPr>
                <w:rFonts w:cs="Arial"/>
              </w:rPr>
            </w:pPr>
            <w:r>
              <w:rPr>
                <w:rFonts w:cs="Arial"/>
              </w:rPr>
              <w:t>“</w:t>
            </w:r>
            <w:r w:rsidRPr="008D6A63">
              <w:rPr>
                <w:rFonts w:cs="Arial"/>
              </w:rPr>
              <w:t>Supplier Non-COTS Software</w:t>
            </w:r>
            <w:r>
              <w:rPr>
                <w:rFonts w:cs="Arial"/>
              </w:rPr>
              <w:t>”</w:t>
            </w:r>
          </w:p>
        </w:tc>
        <w:tc>
          <w:tcPr>
            <w:tcW w:w="6803" w:type="dxa"/>
          </w:tcPr>
          <w:p w14:paraId="50B97A66" w14:textId="77777777" w:rsidR="002071BF" w:rsidRPr="008D6A63" w:rsidRDefault="002071BF" w:rsidP="002071BF">
            <w:pPr>
              <w:pStyle w:val="StdBodyText"/>
              <w:rPr>
                <w:rFonts w:cs="Arial"/>
              </w:rPr>
            </w:pPr>
            <w:r w:rsidRPr="008D6A63">
              <w:rPr>
                <w:rFonts w:cs="Arial"/>
              </w:rPr>
              <w:t>Supplier Software that is not Supplier COTS Software;</w:t>
            </w:r>
          </w:p>
        </w:tc>
      </w:tr>
      <w:tr w:rsidR="002071BF" w:rsidRPr="00F55457" w14:paraId="5574D79D" w14:textId="77777777" w:rsidTr="0052486C">
        <w:tc>
          <w:tcPr>
            <w:tcW w:w="2835" w:type="dxa"/>
          </w:tcPr>
          <w:p w14:paraId="7706D3CB" w14:textId="77777777" w:rsidR="002071BF" w:rsidRPr="008D6A63" w:rsidRDefault="002071BF" w:rsidP="002071BF">
            <w:pPr>
              <w:pStyle w:val="StdBodyTextBold"/>
              <w:rPr>
                <w:rFonts w:cs="Arial"/>
              </w:rPr>
            </w:pPr>
            <w:r>
              <w:rPr>
                <w:rFonts w:cs="Arial"/>
              </w:rPr>
              <w:t>“</w:t>
            </w:r>
            <w:r w:rsidRPr="008D6A63">
              <w:rPr>
                <w:rFonts w:cs="Arial"/>
              </w:rPr>
              <w:t>Supplier Non</w:t>
            </w:r>
            <w:r>
              <w:rPr>
                <w:rFonts w:cs="Arial"/>
              </w:rPr>
              <w:noBreakHyphen/>
            </w:r>
            <w:r w:rsidRPr="008D6A63">
              <w:rPr>
                <w:rFonts w:cs="Arial"/>
              </w:rPr>
              <w:t>Performance</w:t>
            </w:r>
            <w:r>
              <w:rPr>
                <w:rFonts w:cs="Arial"/>
              </w:rPr>
              <w:t>”</w:t>
            </w:r>
          </w:p>
        </w:tc>
        <w:tc>
          <w:tcPr>
            <w:tcW w:w="6803" w:type="dxa"/>
          </w:tcPr>
          <w:p w14:paraId="5BF808C2" w14:textId="77777777" w:rsidR="002071BF" w:rsidRPr="008D6A63" w:rsidRDefault="002071BF" w:rsidP="002071BF">
            <w:pPr>
              <w:pStyle w:val="StdBodyText"/>
              <w:rPr>
                <w:rFonts w:cs="Arial"/>
              </w:rPr>
            </w:pPr>
            <w:r w:rsidRPr="008D6A63">
              <w:rPr>
                <w:rFonts w:cs="Arial"/>
              </w:rPr>
              <w:t xml:space="preserve">has the meaning given in </w:t>
            </w:r>
            <w:bookmarkStart w:id="194" w:name="_9kMHG5YVtCJBBDHKEDaV8H7555I1w0w76u2RTPJ"/>
            <w:bookmarkStart w:id="195" w:name="_9kMIH5YVtCIABEBDEDaV8H7555I1w0w76u2RTPJ"/>
            <w:r w:rsidRPr="008D6A63">
              <w:rPr>
                <w:rFonts w:cs="Arial"/>
              </w:rPr>
              <w:t xml:space="preserve">Clause </w:t>
            </w:r>
            <w:bookmarkEnd w:id="194"/>
            <w:bookmarkEnd w:id="195"/>
            <w:r w:rsidRPr="008D6A63">
              <w:rPr>
                <w:rFonts w:cs="Arial"/>
              </w:rPr>
              <w:t>29.1 (</w:t>
            </w:r>
            <w:r w:rsidRPr="00F613BA">
              <w:rPr>
                <w:rFonts w:cs="Arial"/>
                <w:i/>
                <w:iCs/>
              </w:rPr>
              <w:t>Authority Cause</w:t>
            </w:r>
            <w:r w:rsidRPr="008D6A63">
              <w:rPr>
                <w:rFonts w:cs="Arial"/>
              </w:rPr>
              <w:t>);</w:t>
            </w:r>
          </w:p>
        </w:tc>
      </w:tr>
      <w:tr w:rsidR="002071BF" w:rsidRPr="00F55457" w14:paraId="2335722E" w14:textId="77777777" w:rsidTr="0052486C">
        <w:tc>
          <w:tcPr>
            <w:tcW w:w="2835" w:type="dxa"/>
          </w:tcPr>
          <w:p w14:paraId="7E807367" w14:textId="77777777" w:rsidR="002071BF" w:rsidRPr="008D6A63" w:rsidRDefault="002071BF" w:rsidP="002071BF">
            <w:pPr>
              <w:pStyle w:val="StdBodyTextBold"/>
              <w:rPr>
                <w:rFonts w:cs="Arial"/>
              </w:rPr>
            </w:pPr>
            <w:r>
              <w:rPr>
                <w:rFonts w:cs="Arial"/>
              </w:rPr>
              <w:t>“</w:t>
            </w:r>
            <w:r w:rsidRPr="008D6A63">
              <w:rPr>
                <w:rFonts w:cs="Arial"/>
              </w:rPr>
              <w:t>Supplier Personnel</w:t>
            </w:r>
            <w:r>
              <w:rPr>
                <w:rFonts w:cs="Arial"/>
              </w:rPr>
              <w:t>”</w:t>
            </w:r>
          </w:p>
        </w:tc>
        <w:tc>
          <w:tcPr>
            <w:tcW w:w="6803" w:type="dxa"/>
          </w:tcPr>
          <w:p w14:paraId="20D840AA" w14:textId="77777777" w:rsidR="002071BF" w:rsidRPr="008D6A63" w:rsidRDefault="002071BF" w:rsidP="002071BF">
            <w:pPr>
              <w:pStyle w:val="StdBodyText"/>
              <w:rPr>
                <w:rFonts w:cs="Arial"/>
              </w:rPr>
            </w:pPr>
            <w:r w:rsidRPr="008D6A63">
              <w:rPr>
                <w:rFonts w:cs="Arial"/>
              </w:rPr>
              <w:t>all directors, officers, employees, agents, consultants and contractors of the Supplier and/or of any Sub-contractor engaged in the performance of the Supplier</w:t>
            </w:r>
            <w:r>
              <w:rPr>
                <w:rFonts w:cs="Arial"/>
              </w:rPr>
              <w:t>’</w:t>
            </w:r>
            <w:r w:rsidRPr="008D6A63">
              <w:rPr>
                <w:rFonts w:cs="Arial"/>
              </w:rPr>
              <w:t>s obligations under this Contract;</w:t>
            </w:r>
          </w:p>
        </w:tc>
      </w:tr>
      <w:tr w:rsidR="002071BF" w:rsidRPr="00F55457" w14:paraId="75AFEB27" w14:textId="77777777" w:rsidTr="0052486C">
        <w:tc>
          <w:tcPr>
            <w:tcW w:w="2835" w:type="dxa"/>
          </w:tcPr>
          <w:p w14:paraId="546A1FEF" w14:textId="77777777" w:rsidR="002071BF" w:rsidRPr="008D6A63" w:rsidRDefault="002071BF" w:rsidP="002071BF">
            <w:pPr>
              <w:pStyle w:val="StdBodyTextBold"/>
              <w:rPr>
                <w:rFonts w:cs="Arial"/>
              </w:rPr>
            </w:pPr>
            <w:r>
              <w:rPr>
                <w:rFonts w:cs="Arial"/>
              </w:rPr>
              <w:t>“</w:t>
            </w:r>
            <w:r w:rsidRPr="008D6A63">
              <w:rPr>
                <w:rFonts w:cs="Arial"/>
              </w:rPr>
              <w:t>Supplier Profit</w:t>
            </w:r>
            <w:r>
              <w:rPr>
                <w:rFonts w:cs="Arial"/>
              </w:rPr>
              <w:t>”</w:t>
            </w:r>
          </w:p>
        </w:tc>
        <w:tc>
          <w:tcPr>
            <w:tcW w:w="6803" w:type="dxa"/>
          </w:tcPr>
          <w:p w14:paraId="0657E9C5" w14:textId="625A22D5" w:rsidR="002071BF" w:rsidRPr="008D6A63" w:rsidRDefault="002071BF" w:rsidP="002071BF">
            <w:pPr>
              <w:pStyle w:val="StdBodyText"/>
              <w:rPr>
                <w:rFonts w:cs="Arial"/>
              </w:rPr>
            </w:pPr>
            <w:r w:rsidRPr="008D6A63">
              <w:rPr>
                <w:rFonts w:cs="Arial"/>
              </w:rPr>
              <w:t xml:space="preserve">has the meaning given in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8D6A63">
              <w:rPr>
                <w:rFonts w:cs="Arial"/>
              </w:rPr>
              <w:t>;</w:t>
            </w:r>
          </w:p>
        </w:tc>
      </w:tr>
      <w:tr w:rsidR="002071BF" w:rsidRPr="00F55457" w14:paraId="5053DD3E" w14:textId="77777777" w:rsidTr="0052486C">
        <w:tc>
          <w:tcPr>
            <w:tcW w:w="2835" w:type="dxa"/>
          </w:tcPr>
          <w:p w14:paraId="78DD2708" w14:textId="77777777" w:rsidR="002071BF" w:rsidRPr="008D6A63" w:rsidRDefault="002071BF" w:rsidP="002071BF">
            <w:pPr>
              <w:pStyle w:val="StdBodyTextBold"/>
              <w:rPr>
                <w:rFonts w:cs="Arial"/>
              </w:rPr>
            </w:pPr>
            <w:r>
              <w:rPr>
                <w:rFonts w:cs="Arial"/>
              </w:rPr>
              <w:t>“</w:t>
            </w:r>
            <w:r w:rsidRPr="008D6A63">
              <w:rPr>
                <w:rFonts w:cs="Arial"/>
              </w:rPr>
              <w:t>Supplier Profit Margin</w:t>
            </w:r>
            <w:r>
              <w:rPr>
                <w:rFonts w:cs="Arial"/>
              </w:rPr>
              <w:t>”</w:t>
            </w:r>
          </w:p>
        </w:tc>
        <w:tc>
          <w:tcPr>
            <w:tcW w:w="6803" w:type="dxa"/>
          </w:tcPr>
          <w:p w14:paraId="572F6573" w14:textId="0811EC65" w:rsidR="002071BF" w:rsidRPr="008D6A63" w:rsidRDefault="002071BF" w:rsidP="002071BF">
            <w:pPr>
              <w:pStyle w:val="StdBodyText"/>
              <w:rPr>
                <w:rFonts w:cs="Arial"/>
              </w:rPr>
            </w:pPr>
            <w:r w:rsidRPr="008D6A63">
              <w:rPr>
                <w:rFonts w:cs="Arial"/>
              </w:rPr>
              <w:t xml:space="preserve">has the meaning given in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8D6A63">
              <w:rPr>
                <w:rFonts w:cs="Arial"/>
              </w:rPr>
              <w:t>;</w:t>
            </w:r>
          </w:p>
        </w:tc>
      </w:tr>
      <w:tr w:rsidR="002071BF" w:rsidRPr="00F55457" w14:paraId="5B3C29EC" w14:textId="77777777" w:rsidTr="0052486C">
        <w:tc>
          <w:tcPr>
            <w:tcW w:w="2835" w:type="dxa"/>
          </w:tcPr>
          <w:p w14:paraId="3C5B8604" w14:textId="77777777" w:rsidR="002071BF" w:rsidRPr="008D6A63" w:rsidRDefault="002071BF" w:rsidP="002071BF">
            <w:pPr>
              <w:pStyle w:val="StdBodyTextBold"/>
              <w:rPr>
                <w:rFonts w:cs="Arial"/>
              </w:rPr>
            </w:pPr>
            <w:r>
              <w:rPr>
                <w:rFonts w:cs="Arial"/>
              </w:rPr>
              <w:lastRenderedPageBreak/>
              <w:t>“</w:t>
            </w:r>
            <w:r w:rsidRPr="008D6A63">
              <w:rPr>
                <w:rFonts w:cs="Arial"/>
              </w:rPr>
              <w:t>Supplier Representative</w:t>
            </w:r>
            <w:r>
              <w:rPr>
                <w:rFonts w:cs="Arial"/>
              </w:rPr>
              <w:t>”</w:t>
            </w:r>
          </w:p>
        </w:tc>
        <w:tc>
          <w:tcPr>
            <w:tcW w:w="6803" w:type="dxa"/>
          </w:tcPr>
          <w:p w14:paraId="1E310FE9" w14:textId="77777777" w:rsidR="002071BF" w:rsidRPr="008D6A63" w:rsidRDefault="002071BF" w:rsidP="002071BF">
            <w:pPr>
              <w:pStyle w:val="StdBodyText"/>
              <w:rPr>
                <w:rFonts w:cs="Arial"/>
              </w:rPr>
            </w:pPr>
            <w:r w:rsidRPr="008D6A63">
              <w:rPr>
                <w:rFonts w:cs="Arial"/>
              </w:rPr>
              <w:t xml:space="preserve">the representative appointed by the Supplier pursuant to </w:t>
            </w:r>
            <w:bookmarkStart w:id="196" w:name="_9kMHG5YVtCIAEJFDCFiUmoyz67ptmqKGD71BzhC"/>
            <w:r w:rsidRPr="008D6A63">
              <w:rPr>
                <w:rFonts w:cs="Arial"/>
              </w:rPr>
              <w:t xml:space="preserve">Clause </w:t>
            </w:r>
            <w:bookmarkEnd w:id="196"/>
            <w:r w:rsidRPr="008D6A63">
              <w:rPr>
                <w:rFonts w:cs="Arial"/>
              </w:rPr>
              <w:t>11.3 (</w:t>
            </w:r>
            <w:r w:rsidRPr="00F613BA">
              <w:rPr>
                <w:rFonts w:cs="Arial"/>
                <w:i/>
                <w:iCs/>
              </w:rPr>
              <w:t>Representatives</w:t>
            </w:r>
            <w:r w:rsidRPr="008D6A63">
              <w:rPr>
                <w:rFonts w:cs="Arial"/>
              </w:rPr>
              <w:t>);</w:t>
            </w:r>
          </w:p>
        </w:tc>
      </w:tr>
      <w:tr w:rsidR="002071BF" w:rsidRPr="00F55457" w14:paraId="5FF27C52" w14:textId="77777777" w:rsidTr="0052486C">
        <w:tc>
          <w:tcPr>
            <w:tcW w:w="2835" w:type="dxa"/>
          </w:tcPr>
          <w:p w14:paraId="2E211921" w14:textId="77777777" w:rsidR="002071BF" w:rsidRPr="008D6A63" w:rsidRDefault="002071BF" w:rsidP="002071BF">
            <w:pPr>
              <w:pStyle w:val="StdBodyTextBold"/>
              <w:rPr>
                <w:rFonts w:cs="Arial"/>
              </w:rPr>
            </w:pPr>
            <w:r>
              <w:rPr>
                <w:rFonts w:cs="Arial"/>
              </w:rPr>
              <w:t>“</w:t>
            </w:r>
            <w:r w:rsidRPr="008D6A63">
              <w:rPr>
                <w:rFonts w:cs="Arial"/>
              </w:rPr>
              <w:t>Supplier Software</w:t>
            </w:r>
            <w:r>
              <w:rPr>
                <w:rFonts w:cs="Arial"/>
              </w:rPr>
              <w:t>”</w:t>
            </w:r>
          </w:p>
        </w:tc>
        <w:tc>
          <w:tcPr>
            <w:tcW w:w="6803" w:type="dxa"/>
          </w:tcPr>
          <w:p w14:paraId="46CDCB06" w14:textId="3B549751" w:rsidR="002071BF" w:rsidRPr="008D6A63" w:rsidRDefault="002071BF" w:rsidP="002071BF">
            <w:pPr>
              <w:pStyle w:val="StdBodyText"/>
              <w:rPr>
                <w:rFonts w:cs="Arial"/>
              </w:rPr>
            </w:pPr>
            <w:r w:rsidRPr="008D6A63">
              <w:rPr>
                <w:rFonts w:cs="Arial"/>
              </w:rPr>
              <w:t>software which is proprietary to the Supplier (or an Affiliate of the Supplier) and which is or will be used by the Supplier for the purposes of providing the Services, including the software specified as such in</w:t>
            </w:r>
            <w:r>
              <w:rPr>
                <w:rFonts w:cs="Arial"/>
              </w:rPr>
              <w:t xml:space="preserve"> </w:t>
            </w:r>
            <w:r>
              <w:rPr>
                <w:rFonts w:cs="Arial"/>
              </w:rPr>
              <w:fldChar w:fldCharType="begin"/>
            </w:r>
            <w:r>
              <w:rPr>
                <w:rFonts w:cs="Arial"/>
              </w:rPr>
              <w:instrText xml:space="preserve"> REF Schedule12 \h </w:instrText>
            </w:r>
            <w:r>
              <w:rPr>
                <w:rFonts w:cs="Arial"/>
              </w:rPr>
            </w:r>
            <w:r>
              <w:rPr>
                <w:rFonts w:cs="Arial"/>
              </w:rPr>
              <w:fldChar w:fldCharType="separate"/>
            </w:r>
            <w:r w:rsidR="007A1473" w:rsidRPr="005D0525">
              <w:t>Schedule</w:t>
            </w:r>
            <w:r w:rsidR="007A1473">
              <w:t> </w:t>
            </w:r>
            <w:r w:rsidR="007A1473" w:rsidRPr="005D0525">
              <w:t>12</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Schedule12Heading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Software</w:t>
            </w:r>
            <w:r w:rsidRPr="00B91437">
              <w:rPr>
                <w:rFonts w:cs="Arial"/>
                <w:i/>
                <w:iCs/>
              </w:rPr>
              <w:fldChar w:fldCharType="end"/>
            </w:r>
            <w:r>
              <w:rPr>
                <w:rFonts w:cs="Arial"/>
              </w:rPr>
              <w:t>)</w:t>
            </w:r>
            <w:r w:rsidRPr="008D6A63">
              <w:rPr>
                <w:rFonts w:cs="Arial"/>
              </w:rPr>
              <w:t>;</w:t>
            </w:r>
          </w:p>
        </w:tc>
      </w:tr>
      <w:tr w:rsidR="002071BF" w:rsidRPr="00F55457" w14:paraId="1F89577A" w14:textId="77777777" w:rsidTr="0052486C">
        <w:tc>
          <w:tcPr>
            <w:tcW w:w="2835" w:type="dxa"/>
          </w:tcPr>
          <w:p w14:paraId="74983924" w14:textId="77777777" w:rsidR="002071BF" w:rsidRPr="008D6A63" w:rsidRDefault="002071BF" w:rsidP="002071BF">
            <w:pPr>
              <w:pStyle w:val="StdBodyTextBold"/>
              <w:rPr>
                <w:rFonts w:cs="Arial"/>
              </w:rPr>
            </w:pPr>
            <w:r>
              <w:rPr>
                <w:rFonts w:cs="Arial"/>
              </w:rPr>
              <w:t>“</w:t>
            </w:r>
            <w:r w:rsidRPr="008D6A63">
              <w:rPr>
                <w:rFonts w:cs="Arial"/>
              </w:rPr>
              <w:t>Supplier Solution</w:t>
            </w:r>
            <w:r>
              <w:rPr>
                <w:rFonts w:cs="Arial"/>
              </w:rPr>
              <w:t>”</w:t>
            </w:r>
          </w:p>
        </w:tc>
        <w:tc>
          <w:tcPr>
            <w:tcW w:w="6803" w:type="dxa"/>
          </w:tcPr>
          <w:p w14:paraId="0ED514BD" w14:textId="7BD8124D" w:rsidR="002071BF" w:rsidRPr="008D6A63" w:rsidRDefault="002071BF" w:rsidP="002071BF">
            <w:pPr>
              <w:pStyle w:val="StdBodyText"/>
              <w:rPr>
                <w:rFonts w:cs="Arial"/>
              </w:rPr>
            </w:pPr>
            <w:r w:rsidRPr="008D6A63">
              <w:rPr>
                <w:rFonts w:cs="Arial"/>
              </w:rPr>
              <w:t xml:space="preserve">the </w:t>
            </w:r>
            <w:bookmarkStart w:id="197" w:name="_9kMLAN6ZWu9A679B"/>
            <w:r w:rsidRPr="008D6A63">
              <w:rPr>
                <w:rFonts w:cs="Arial"/>
              </w:rPr>
              <w:t>Supplier</w:t>
            </w:r>
            <w:r>
              <w:rPr>
                <w:rFonts w:cs="Arial"/>
              </w:rPr>
              <w:t>’</w:t>
            </w:r>
            <w:r w:rsidRPr="008D6A63">
              <w:rPr>
                <w:rFonts w:cs="Arial"/>
              </w:rPr>
              <w:t>s</w:t>
            </w:r>
            <w:bookmarkEnd w:id="197"/>
            <w:r w:rsidRPr="008D6A63">
              <w:rPr>
                <w:rFonts w:cs="Arial"/>
              </w:rPr>
              <w:t xml:space="preserve"> solution for the Services set out in </w:t>
            </w:r>
            <w:r>
              <w:rPr>
                <w:rFonts w:cs="Arial"/>
              </w:rPr>
              <w:fldChar w:fldCharType="begin"/>
            </w:r>
            <w:r>
              <w:rPr>
                <w:rFonts w:cs="Arial"/>
              </w:rPr>
              <w:instrText xml:space="preserve"> REF Schedule8 \h </w:instrText>
            </w:r>
            <w:r>
              <w:rPr>
                <w:rFonts w:cs="Arial"/>
              </w:rPr>
            </w:r>
            <w:r>
              <w:rPr>
                <w:rFonts w:cs="Arial"/>
              </w:rPr>
              <w:fldChar w:fldCharType="separate"/>
            </w:r>
            <w:r w:rsidR="007A1473" w:rsidRPr="005D0525">
              <w:t>Schedule</w:t>
            </w:r>
            <w:r w:rsidR="007A1473">
              <w:t> </w:t>
            </w:r>
            <w:r w:rsidR="007A1473" w:rsidRPr="005D0525">
              <w:t>8</w:t>
            </w:r>
            <w:r>
              <w:rPr>
                <w:rFonts w:cs="Arial"/>
              </w:rPr>
              <w:fldChar w:fldCharType="end"/>
            </w:r>
            <w:r>
              <w:rPr>
                <w:rFonts w:cs="Arial"/>
              </w:rPr>
              <w:t xml:space="preserve"> (</w:t>
            </w:r>
            <w:r w:rsidRPr="00910061">
              <w:rPr>
                <w:rFonts w:cs="Arial"/>
                <w:i/>
                <w:iCs/>
              </w:rPr>
              <w:fldChar w:fldCharType="begin"/>
            </w:r>
            <w:r w:rsidRPr="00910061">
              <w:rPr>
                <w:rFonts w:cs="Arial"/>
                <w:i/>
                <w:iCs/>
              </w:rPr>
              <w:instrText xml:space="preserve"> REF Schedule8Heading \h </w:instrText>
            </w:r>
            <w:r>
              <w:rPr>
                <w:rFonts w:cs="Arial"/>
                <w:i/>
                <w:iCs/>
              </w:rPr>
              <w:instrText xml:space="preserve"> \* MERGEFORMAT </w:instrText>
            </w:r>
            <w:r w:rsidRPr="00910061">
              <w:rPr>
                <w:rFonts w:cs="Arial"/>
                <w:i/>
                <w:iCs/>
              </w:rPr>
            </w:r>
            <w:r w:rsidRPr="00910061">
              <w:rPr>
                <w:rFonts w:cs="Arial"/>
                <w:i/>
                <w:iCs/>
              </w:rPr>
              <w:fldChar w:fldCharType="separate"/>
            </w:r>
            <w:r w:rsidR="007A1473" w:rsidRPr="007A1473">
              <w:rPr>
                <w:i/>
                <w:iCs/>
              </w:rPr>
              <w:t>Supplier Solution</w:t>
            </w:r>
            <w:r w:rsidRPr="00910061">
              <w:rPr>
                <w:rFonts w:cs="Arial"/>
                <w:i/>
                <w:iCs/>
              </w:rPr>
              <w:fldChar w:fldCharType="end"/>
            </w:r>
            <w:r>
              <w:rPr>
                <w:rFonts w:cs="Arial"/>
              </w:rPr>
              <w:t xml:space="preserve">) </w:t>
            </w:r>
            <w:r w:rsidRPr="008D6A63">
              <w:rPr>
                <w:rFonts w:cs="Arial"/>
              </w:rPr>
              <w:t>including any Annexes of that Schedule;</w:t>
            </w:r>
          </w:p>
        </w:tc>
      </w:tr>
      <w:tr w:rsidR="002071BF" w:rsidRPr="00F55457" w14:paraId="3FAFCA74" w14:textId="77777777" w:rsidTr="0052486C">
        <w:tc>
          <w:tcPr>
            <w:tcW w:w="2835" w:type="dxa"/>
          </w:tcPr>
          <w:p w14:paraId="72ED9B5D" w14:textId="77777777" w:rsidR="002071BF" w:rsidRPr="008D6A63" w:rsidRDefault="002071BF" w:rsidP="002071BF">
            <w:pPr>
              <w:pStyle w:val="StdBodyTextBold"/>
              <w:rPr>
                <w:rFonts w:cs="Arial"/>
              </w:rPr>
            </w:pPr>
            <w:r>
              <w:rPr>
                <w:rFonts w:cs="Arial"/>
              </w:rPr>
              <w:t>“</w:t>
            </w:r>
            <w:r w:rsidRPr="008D6A63">
              <w:rPr>
                <w:rFonts w:cs="Arial"/>
              </w:rPr>
              <w:t>Supplier System</w:t>
            </w:r>
            <w:r>
              <w:rPr>
                <w:rFonts w:cs="Arial"/>
              </w:rPr>
              <w:t>”</w:t>
            </w:r>
          </w:p>
        </w:tc>
        <w:tc>
          <w:tcPr>
            <w:tcW w:w="6803" w:type="dxa"/>
          </w:tcPr>
          <w:p w14:paraId="206E39E5" w14:textId="77777777" w:rsidR="002071BF" w:rsidRPr="008D6A63" w:rsidRDefault="002071BF" w:rsidP="002071BF">
            <w:pPr>
              <w:pStyle w:val="StdBodyText"/>
              <w:rPr>
                <w:rFonts w:cs="Arial"/>
              </w:rPr>
            </w:pPr>
            <w:r w:rsidRPr="008D6A63">
              <w:rPr>
                <w:rFonts w:cs="Arial"/>
              </w:rPr>
              <w:t>the information and communications technology system used by the Supplier in implementing and performing the Services including the Software, the Supplier Equipment, configuration and management utilities, calibration and testing tools and related cabling (but excluding the Authority System);</w:t>
            </w:r>
          </w:p>
        </w:tc>
      </w:tr>
      <w:tr w:rsidR="002071BF" w:rsidRPr="00F55457" w14:paraId="412FFCE2" w14:textId="77777777" w:rsidTr="0052486C">
        <w:tc>
          <w:tcPr>
            <w:tcW w:w="2835" w:type="dxa"/>
          </w:tcPr>
          <w:p w14:paraId="55F689D3" w14:textId="77777777" w:rsidR="002071BF" w:rsidRPr="008D6A63" w:rsidRDefault="002071BF" w:rsidP="002071BF">
            <w:pPr>
              <w:pStyle w:val="StdBodyTextBold"/>
              <w:rPr>
                <w:rFonts w:cs="Arial"/>
              </w:rPr>
            </w:pPr>
            <w:r>
              <w:rPr>
                <w:rFonts w:cs="Arial"/>
              </w:rPr>
              <w:t>“</w:t>
            </w:r>
            <w:r w:rsidRPr="008D6A63">
              <w:rPr>
                <w:rFonts w:cs="Arial"/>
              </w:rPr>
              <w:t>Supplier Termination Event</w:t>
            </w:r>
            <w:r>
              <w:rPr>
                <w:rFonts w:cs="Arial"/>
              </w:rPr>
              <w:t>”</w:t>
            </w:r>
          </w:p>
        </w:tc>
        <w:tc>
          <w:tcPr>
            <w:tcW w:w="6803" w:type="dxa"/>
          </w:tcPr>
          <w:p w14:paraId="6E123AA4" w14:textId="77777777" w:rsidR="002071BF" w:rsidRPr="008D6A63" w:rsidRDefault="002071BF" w:rsidP="002071BF">
            <w:pPr>
              <w:pStyle w:val="DefinitionList"/>
              <w:numPr>
                <w:ilvl w:val="0"/>
                <w:numId w:val="75"/>
              </w:numPr>
            </w:pPr>
            <w:bookmarkStart w:id="198" w:name="_9kR3WTr299DHGgtjmj09ubjkEA71v5vd8H9B4BK"/>
            <w:bookmarkStart w:id="199" w:name="_Ref_ContractCompanion_9kb9Ur28E"/>
            <w:r w:rsidRPr="008D6A63">
              <w:t>the Supplier</w:t>
            </w:r>
            <w:r>
              <w:t>’</w:t>
            </w:r>
            <w:r w:rsidRPr="008D6A63">
              <w:t>s level of performance constituting a Critical Performance Failure</w:t>
            </w:r>
            <w:r>
              <w:t xml:space="preserve"> </w:t>
            </w:r>
            <w:r w:rsidRPr="008D2551">
              <w:t>in accordance with Clause 7.6</w:t>
            </w:r>
            <w:r w:rsidRPr="008D6A63">
              <w:t>;</w:t>
            </w:r>
            <w:bookmarkEnd w:id="198"/>
            <w:r w:rsidRPr="008D6A63">
              <w:t xml:space="preserve"> </w:t>
            </w:r>
            <w:bookmarkEnd w:id="199"/>
          </w:p>
          <w:p w14:paraId="4C60A15C" w14:textId="77777777" w:rsidR="002071BF" w:rsidRPr="008D6A63" w:rsidRDefault="002071BF" w:rsidP="002071BF">
            <w:pPr>
              <w:pStyle w:val="DefinitionList"/>
              <w:numPr>
                <w:ilvl w:val="0"/>
                <w:numId w:val="78"/>
              </w:numPr>
              <w:rPr>
                <w:rFonts w:cs="Arial"/>
              </w:rPr>
            </w:pPr>
            <w:bookmarkStart w:id="200" w:name="_Ref_ContractCompanion_9kb9Ur8GE"/>
            <w:r w:rsidRPr="008D6A63">
              <w:rPr>
                <w:rFonts w:cs="Arial"/>
              </w:rPr>
              <w:t xml:space="preserve">the Supplier committing a </w:t>
            </w:r>
            <w:r>
              <w:rPr>
                <w:rFonts w:cs="Arial"/>
              </w:rPr>
              <w:t>M</w:t>
            </w:r>
            <w:r w:rsidRPr="008D6A63">
              <w:rPr>
                <w:rFonts w:cs="Arial"/>
              </w:rPr>
              <w:t xml:space="preserve">aterial Default which is irremediable; </w:t>
            </w:r>
            <w:bookmarkEnd w:id="200"/>
          </w:p>
          <w:p w14:paraId="321B22F6" w14:textId="77777777" w:rsidR="002071BF" w:rsidRPr="008D6A63" w:rsidRDefault="002071BF" w:rsidP="002071BF">
            <w:pPr>
              <w:pStyle w:val="DefinitionList"/>
              <w:numPr>
                <w:ilvl w:val="0"/>
                <w:numId w:val="78"/>
              </w:numPr>
              <w:rPr>
                <w:rFonts w:cs="Arial"/>
              </w:rPr>
            </w:pPr>
            <w:bookmarkStart w:id="201" w:name="_Ref_ContractCompanion_9kb9Ur8GB"/>
            <w:r w:rsidRPr="008D6A63">
              <w:rPr>
                <w:rFonts w:cs="Arial"/>
              </w:rPr>
              <w:t xml:space="preserve">as a result of the </w:t>
            </w:r>
            <w:bookmarkStart w:id="202" w:name="_9kMLBO6ZWu9A679B"/>
            <w:r w:rsidRPr="008D6A63">
              <w:rPr>
                <w:rFonts w:cs="Arial"/>
              </w:rPr>
              <w:t>Supplier</w:t>
            </w:r>
            <w:r>
              <w:rPr>
                <w:rFonts w:cs="Arial"/>
              </w:rPr>
              <w:t>’</w:t>
            </w:r>
            <w:r w:rsidRPr="008D6A63">
              <w:rPr>
                <w:rFonts w:cs="Arial"/>
              </w:rPr>
              <w:t>s</w:t>
            </w:r>
            <w:bookmarkEnd w:id="202"/>
            <w:r w:rsidRPr="008D6A63">
              <w:rPr>
                <w:rFonts w:cs="Arial"/>
              </w:rPr>
              <w:t xml:space="preserve"> Default, the Authority incurring Losses in any Contract Year which exceed 80% of the value of the aggregate annual liability cap for that Contract Year as set out in </w:t>
            </w:r>
            <w:bookmarkStart w:id="203" w:name="_9kMHG5YVtCIACDEHHMst1nHSI62D8BSSOLM923z"/>
            <w:r w:rsidRPr="008D6A63">
              <w:rPr>
                <w:rFonts w:cs="Arial"/>
              </w:rPr>
              <w:t xml:space="preserve">Clause </w:t>
            </w:r>
            <w:bookmarkEnd w:id="203"/>
            <w:r w:rsidRPr="008D6A63">
              <w:rPr>
                <w:rFonts w:cs="Arial"/>
              </w:rPr>
              <w:t>23.6(a) (</w:t>
            </w:r>
            <w:r w:rsidRPr="00F613BA">
              <w:rPr>
                <w:rFonts w:cs="Arial"/>
                <w:i/>
                <w:iCs/>
              </w:rPr>
              <w:t>Financial and other Limits</w:t>
            </w:r>
            <w:r w:rsidRPr="008D6A63">
              <w:rPr>
                <w:rFonts w:cs="Arial"/>
              </w:rPr>
              <w:t>);</w:t>
            </w:r>
            <w:bookmarkEnd w:id="201"/>
          </w:p>
          <w:p w14:paraId="5618F75B" w14:textId="77777777" w:rsidR="002071BF" w:rsidRPr="008D6A63" w:rsidRDefault="002071BF" w:rsidP="002071BF">
            <w:pPr>
              <w:pStyle w:val="DefinitionList"/>
              <w:numPr>
                <w:ilvl w:val="0"/>
                <w:numId w:val="78"/>
              </w:numPr>
              <w:rPr>
                <w:rFonts w:cs="Arial"/>
              </w:rPr>
            </w:pPr>
            <w:r w:rsidRPr="008D6A63">
              <w:rPr>
                <w:rFonts w:cs="Arial"/>
              </w:rPr>
              <w:t>a Remedial Adviser Failure;</w:t>
            </w:r>
          </w:p>
          <w:p w14:paraId="16D63C8C" w14:textId="77777777" w:rsidR="002071BF" w:rsidRPr="008D6A63" w:rsidRDefault="002071BF" w:rsidP="002071BF">
            <w:pPr>
              <w:pStyle w:val="DefinitionList"/>
              <w:numPr>
                <w:ilvl w:val="0"/>
                <w:numId w:val="78"/>
              </w:numPr>
              <w:rPr>
                <w:rFonts w:cs="Arial"/>
              </w:rPr>
            </w:pPr>
            <w:bookmarkStart w:id="204" w:name="_Ref44573604"/>
            <w:r w:rsidRPr="008D6A63">
              <w:rPr>
                <w:rFonts w:cs="Arial"/>
              </w:rPr>
              <w:t>a Rectification Plan Failure;</w:t>
            </w:r>
            <w:bookmarkEnd w:id="204"/>
          </w:p>
          <w:p w14:paraId="33DD7C36" w14:textId="77777777" w:rsidR="002071BF" w:rsidRPr="008D6A63" w:rsidRDefault="002071BF" w:rsidP="002071BF">
            <w:pPr>
              <w:pStyle w:val="DefinitionList"/>
              <w:numPr>
                <w:ilvl w:val="0"/>
                <w:numId w:val="78"/>
              </w:numPr>
              <w:rPr>
                <w:rFonts w:cs="Arial"/>
              </w:rPr>
            </w:pPr>
            <w:bookmarkStart w:id="205" w:name="_Ref_ContractCompanion_9kb9Ur278"/>
            <w:bookmarkStart w:id="206" w:name="_9kR3WTrAG86BEdtjmj09ubjkEA71v5vd8H9B4BK"/>
            <w:bookmarkStart w:id="207" w:name="_9kR3WTr299DHFftjmj09ubjkEA71v5vd8H9B4BK"/>
            <w:r w:rsidRPr="008D6A63">
              <w:rPr>
                <w:rFonts w:cs="Arial"/>
              </w:rPr>
              <w:t>where a right of termination is expressly reserved in this Contract, including pursuant to:</w:t>
            </w:r>
            <w:bookmarkEnd w:id="205"/>
            <w:bookmarkEnd w:id="206"/>
            <w:bookmarkEnd w:id="207"/>
          </w:p>
          <w:p w14:paraId="52F2E3AE" w14:textId="77777777" w:rsidR="002071BF" w:rsidRPr="008D6A63" w:rsidRDefault="002071BF" w:rsidP="002071BF">
            <w:pPr>
              <w:pStyle w:val="DefinitionListLevel1"/>
              <w:numPr>
                <w:ilvl w:val="1"/>
                <w:numId w:val="78"/>
              </w:numPr>
              <w:rPr>
                <w:rFonts w:cs="Arial"/>
              </w:rPr>
            </w:pPr>
            <w:bookmarkStart w:id="208" w:name="_9kMIH5YVtCIA89CgSz3p9LJRj7Hlj95x7HELc"/>
            <w:r w:rsidRPr="008D6A63">
              <w:rPr>
                <w:rFonts w:cs="Arial"/>
              </w:rPr>
              <w:t xml:space="preserve">Clause </w:t>
            </w:r>
            <w:bookmarkEnd w:id="208"/>
            <w:r w:rsidRPr="008D6A63">
              <w:rPr>
                <w:rFonts w:cs="Arial"/>
              </w:rPr>
              <w:t>17 (</w:t>
            </w:r>
            <w:r w:rsidRPr="00F613BA">
              <w:rPr>
                <w:rFonts w:cs="Arial"/>
                <w:i/>
                <w:iCs/>
              </w:rPr>
              <w:t>IPRs Indemnity</w:t>
            </w:r>
            <w:r w:rsidRPr="008D6A63">
              <w:rPr>
                <w:rFonts w:cs="Arial"/>
              </w:rPr>
              <w:t xml:space="preserve">); </w:t>
            </w:r>
          </w:p>
          <w:p w14:paraId="4B156FAA" w14:textId="77777777" w:rsidR="002071BF" w:rsidRPr="008D6A63" w:rsidRDefault="002071BF" w:rsidP="002071BF">
            <w:pPr>
              <w:pStyle w:val="DefinitionListLevel1"/>
              <w:numPr>
                <w:ilvl w:val="1"/>
                <w:numId w:val="78"/>
              </w:numPr>
              <w:rPr>
                <w:rFonts w:cs="Arial"/>
              </w:rPr>
            </w:pPr>
            <w:bookmarkStart w:id="209" w:name="_9kMHG5YVtCIAAEDEMQtjv0tlqo05yJS98H9B4BG"/>
            <w:r w:rsidRPr="008D6A63">
              <w:rPr>
                <w:rFonts w:cs="Arial"/>
              </w:rPr>
              <w:t>Clause 3</w:t>
            </w:r>
            <w:r>
              <w:rPr>
                <w:rFonts w:cs="Arial"/>
              </w:rPr>
              <w:t>3</w:t>
            </w:r>
            <w:r w:rsidRPr="008D6A63">
              <w:rPr>
                <w:rFonts w:cs="Arial"/>
              </w:rPr>
              <w:t xml:space="preserve"> (</w:t>
            </w:r>
            <w:r w:rsidRPr="00F613BA">
              <w:rPr>
                <w:rFonts w:cs="Arial"/>
                <w:i/>
                <w:iCs/>
              </w:rPr>
              <w:t>Compliance</w:t>
            </w:r>
            <w:r w:rsidRPr="008D6A63">
              <w:rPr>
                <w:rFonts w:cs="Arial"/>
              </w:rPr>
              <w:t>)</w:t>
            </w:r>
          </w:p>
          <w:p w14:paraId="1069A45A" w14:textId="77777777" w:rsidR="002071BF" w:rsidRPr="008D6A63" w:rsidRDefault="002071BF" w:rsidP="002071BF">
            <w:pPr>
              <w:pStyle w:val="DefinitionListLevel1"/>
              <w:numPr>
                <w:ilvl w:val="1"/>
                <w:numId w:val="78"/>
              </w:numPr>
              <w:rPr>
                <w:rFonts w:cs="Arial"/>
              </w:rPr>
            </w:pPr>
            <w:r w:rsidRPr="008D6A63">
              <w:rPr>
                <w:rFonts w:cs="Arial"/>
              </w:rPr>
              <w:t xml:space="preserve">Clause </w:t>
            </w:r>
            <w:bookmarkEnd w:id="209"/>
            <w:r w:rsidRPr="008D6A63">
              <w:rPr>
                <w:rFonts w:cs="Arial"/>
              </w:rPr>
              <w:t>37.6(b) (</w:t>
            </w:r>
            <w:r w:rsidRPr="00F613BA">
              <w:rPr>
                <w:rFonts w:cs="Arial"/>
                <w:i/>
                <w:iCs/>
              </w:rPr>
              <w:t>Prevention of Fraud and Bribery</w:t>
            </w:r>
            <w:r w:rsidRPr="008D6A63">
              <w:rPr>
                <w:rFonts w:cs="Arial"/>
              </w:rPr>
              <w:t>); and/or</w:t>
            </w:r>
          </w:p>
          <w:p w14:paraId="3FD2D122" w14:textId="440262CC" w:rsidR="002071BF" w:rsidRPr="008D6A63" w:rsidRDefault="002071BF" w:rsidP="002071BF">
            <w:pPr>
              <w:pStyle w:val="DefinitionListLevel1"/>
              <w:numPr>
                <w:ilvl w:val="1"/>
                <w:numId w:val="78"/>
              </w:numPr>
              <w:rPr>
                <w:rFonts w:cs="Arial"/>
              </w:rPr>
            </w:pPr>
            <w:bookmarkStart w:id="210" w:name="_9kMKJ5YVt4EE6BIeGpqgyts0I"/>
            <w:r w:rsidRPr="008D6A63">
              <w:rPr>
                <w:rFonts w:cs="Arial"/>
              </w:rPr>
              <w:t xml:space="preserve">Paragraph </w:t>
            </w:r>
            <w:bookmarkEnd w:id="210"/>
            <w:r w:rsidRPr="008D6A63">
              <w:rPr>
                <w:rFonts w:cs="Arial"/>
              </w:rPr>
              <w:fldChar w:fldCharType="begin"/>
            </w:r>
            <w:r w:rsidRPr="008D6A63">
              <w:rPr>
                <w:rFonts w:cs="Arial"/>
              </w:rPr>
              <w:instrText xml:space="preserve"> REF _Ref44571523 \r \h  \* MERGEFORMAT </w:instrText>
            </w:r>
            <w:r w:rsidRPr="008D6A63">
              <w:rPr>
                <w:rFonts w:cs="Arial"/>
              </w:rPr>
            </w:r>
            <w:r w:rsidRPr="008D6A63">
              <w:rPr>
                <w:rFonts w:cs="Arial"/>
              </w:rPr>
              <w:fldChar w:fldCharType="separate"/>
            </w:r>
            <w:r w:rsidR="007A1473">
              <w:rPr>
                <w:rFonts w:cs="Arial"/>
              </w:rPr>
              <w:t>6</w:t>
            </w:r>
            <w:r w:rsidRPr="008D6A63">
              <w:rPr>
                <w:rFonts w:cs="Arial"/>
              </w:rPr>
              <w:fldChar w:fldCharType="end"/>
            </w:r>
            <w:r w:rsidRPr="008D6A63">
              <w:rPr>
                <w:rFonts w:cs="Arial"/>
              </w:rPr>
              <w:t xml:space="preserve"> of </w:t>
            </w:r>
            <w:r>
              <w:rPr>
                <w:rFonts w:cs="Arial"/>
              </w:rPr>
              <w:fldChar w:fldCharType="begin"/>
            </w:r>
            <w:r>
              <w:rPr>
                <w:rFonts w:cs="Arial"/>
              </w:rPr>
              <w:instrText xml:space="preserve"> REF Schedule18 \h </w:instrText>
            </w:r>
            <w:r>
              <w:rPr>
                <w:rFonts w:cs="Arial"/>
              </w:rPr>
            </w:r>
            <w:r>
              <w:rPr>
                <w:rFonts w:cs="Arial"/>
              </w:rPr>
              <w:fldChar w:fldCharType="separate"/>
            </w:r>
            <w:r w:rsidR="007A1473" w:rsidRPr="005D0525">
              <w:t>Schedule</w:t>
            </w:r>
            <w:r w:rsidR="007A1473">
              <w:t> </w:t>
            </w:r>
            <w:r w:rsidR="007A1473" w:rsidRPr="005D0525">
              <w:t>18</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Schedule18Heading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Distress</w:t>
            </w:r>
            <w:r w:rsidRPr="002F30DB">
              <w:rPr>
                <w:rFonts w:cs="Arial"/>
                <w:i/>
                <w:iCs/>
              </w:rPr>
              <w:fldChar w:fldCharType="end"/>
            </w:r>
            <w:r>
              <w:rPr>
                <w:rFonts w:cs="Arial"/>
              </w:rPr>
              <w:t>)</w:t>
            </w:r>
            <w:r w:rsidRPr="008D6A63">
              <w:rPr>
                <w:rFonts w:cs="Arial"/>
              </w:rPr>
              <w:t xml:space="preserve">; </w:t>
            </w:r>
          </w:p>
          <w:p w14:paraId="15ADE749" w14:textId="17730FDF" w:rsidR="002071BF" w:rsidRPr="008D6A63" w:rsidRDefault="002071BF" w:rsidP="002071BF">
            <w:pPr>
              <w:pStyle w:val="DefinitionListLevel1"/>
              <w:numPr>
                <w:ilvl w:val="1"/>
                <w:numId w:val="78"/>
              </w:numPr>
              <w:rPr>
                <w:rFonts w:cs="Arial"/>
              </w:rPr>
            </w:pPr>
            <w:bookmarkStart w:id="211" w:name="_9kR3WTr2CC578XEnoewrqyBK"/>
            <w:r w:rsidRPr="008D6A63">
              <w:rPr>
                <w:rFonts w:cs="Arial"/>
              </w:rPr>
              <w:t xml:space="preserve">Paragraph </w:t>
            </w:r>
            <w:bookmarkEnd w:id="211"/>
            <w:r w:rsidRPr="008D6A63">
              <w:rPr>
                <w:rFonts w:cs="Arial"/>
              </w:rPr>
              <w:fldChar w:fldCharType="begin"/>
            </w:r>
            <w:r w:rsidRPr="008D6A63">
              <w:rPr>
                <w:rFonts w:cs="Arial"/>
              </w:rPr>
              <w:instrText xml:space="preserve"> REF _Ref44571578 \r \h  \* MERGEFORMAT </w:instrText>
            </w:r>
            <w:r w:rsidRPr="008D6A63">
              <w:rPr>
                <w:rFonts w:cs="Arial"/>
              </w:rPr>
            </w:r>
            <w:r w:rsidRPr="008D6A63">
              <w:rPr>
                <w:rFonts w:cs="Arial"/>
              </w:rPr>
              <w:fldChar w:fldCharType="separate"/>
            </w:r>
            <w:r w:rsidR="007A1473">
              <w:rPr>
                <w:rFonts w:cs="Arial"/>
              </w:rPr>
              <w:t>3</w:t>
            </w:r>
            <w:r w:rsidRPr="008D6A63">
              <w:rPr>
                <w:rFonts w:cs="Arial"/>
              </w:rPr>
              <w:fldChar w:fldCharType="end"/>
            </w:r>
            <w:r w:rsidRPr="008D6A63">
              <w:rPr>
                <w:rFonts w:cs="Arial"/>
              </w:rPr>
              <w:t xml:space="preserve"> of </w:t>
            </w:r>
            <w:r w:rsidRPr="008D6A63">
              <w:rPr>
                <w:rFonts w:cs="Arial"/>
              </w:rPr>
              <w:fldChar w:fldCharType="begin"/>
            </w:r>
            <w:r w:rsidRPr="008D6A63">
              <w:rPr>
                <w:rFonts w:cs="Arial"/>
              </w:rPr>
              <w:instrText xml:space="preserve"> REF Sch26PartB \h  \* MERGEFORMAT </w:instrText>
            </w:r>
            <w:r w:rsidRPr="008D6A63">
              <w:rPr>
                <w:rFonts w:cs="Arial"/>
              </w:rPr>
            </w:r>
            <w:r w:rsidRPr="008D6A63">
              <w:rPr>
                <w:rFonts w:cs="Arial"/>
              </w:rPr>
              <w:fldChar w:fldCharType="separate"/>
            </w:r>
            <w:r w:rsidR="007A1473" w:rsidRPr="007A1473">
              <w:rPr>
                <w:rFonts w:cs="Arial"/>
              </w:rPr>
              <w:t>Part B</w:t>
            </w:r>
            <w:r w:rsidRPr="008D6A63">
              <w:rPr>
                <w:rFonts w:cs="Arial"/>
              </w:rPr>
              <w:fldChar w:fldCharType="end"/>
            </w:r>
            <w:r w:rsidRPr="008D6A63">
              <w:rPr>
                <w:rFonts w:cs="Arial"/>
              </w:rPr>
              <w:t xml:space="preserve"> to </w:t>
            </w:r>
            <w:r>
              <w:rPr>
                <w:rFonts w:cs="Arial"/>
              </w:rPr>
              <w:fldChar w:fldCharType="begin"/>
            </w:r>
            <w:r>
              <w:rPr>
                <w:rFonts w:cs="Arial"/>
              </w:rPr>
              <w:instrText xml:space="preserve"> REF Schedule26 \h </w:instrText>
            </w:r>
            <w:r>
              <w:rPr>
                <w:rFonts w:cs="Arial"/>
              </w:rPr>
            </w:r>
            <w:r>
              <w:rPr>
                <w:rFonts w:cs="Arial"/>
              </w:rPr>
              <w:fldChar w:fldCharType="separate"/>
            </w:r>
            <w:r w:rsidR="007A1473" w:rsidRPr="005D0525">
              <w:t>Schedule</w:t>
            </w:r>
            <w:r w:rsidR="007A1473">
              <w:t> </w:t>
            </w:r>
            <w:r w:rsidR="007A1473" w:rsidRPr="005D0525">
              <w:t>26</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Schedule26Heading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 Continuity Plan and Corporate Resolution Planning</w:t>
            </w:r>
            <w:r w:rsidRPr="00A22335">
              <w:rPr>
                <w:rFonts w:cs="Arial"/>
                <w:i/>
                <w:iCs/>
              </w:rPr>
              <w:fldChar w:fldCharType="end"/>
            </w:r>
            <w:r>
              <w:rPr>
                <w:rFonts w:cs="Arial"/>
              </w:rPr>
              <w:t>)</w:t>
            </w:r>
            <w:r w:rsidRPr="008D6A63">
              <w:rPr>
                <w:rFonts w:cs="Arial"/>
              </w:rPr>
              <w:t>;</w:t>
            </w:r>
          </w:p>
          <w:p w14:paraId="4B8E9E81" w14:textId="3B602189" w:rsidR="002071BF" w:rsidRPr="008D6A63" w:rsidRDefault="002071BF" w:rsidP="002071BF">
            <w:pPr>
              <w:pStyle w:val="DefinitionList"/>
              <w:numPr>
                <w:ilvl w:val="0"/>
                <w:numId w:val="78"/>
              </w:numPr>
              <w:rPr>
                <w:rFonts w:cs="Arial"/>
              </w:rPr>
            </w:pPr>
            <w:bookmarkStart w:id="212" w:name="_Ref_ContractCompanion_9kb9Ur26E"/>
            <w:bookmarkStart w:id="213" w:name="_9kR3WTrAG86BBatjmj09ubjkEA71v5vd8H9B4BK"/>
            <w:bookmarkStart w:id="214" w:name="_9kR3WTr299DHEetjmj09ubjkEA71v5vd8H9B4BK"/>
            <w:r w:rsidRPr="008D6A63">
              <w:rPr>
                <w:rFonts w:cs="Arial"/>
              </w:rPr>
              <w:lastRenderedPageBreak/>
              <w:t xml:space="preserve">the representation and warranty given by the Supplier pursuant to </w:t>
            </w:r>
            <w:bookmarkStart w:id="215" w:name="_9kMHG5YVtCIABGLLFvp11jv96D8vwws8DzTeUIE"/>
            <w:r w:rsidRPr="008D6A63">
              <w:rPr>
                <w:rFonts w:cs="Arial"/>
              </w:rPr>
              <w:t>Clause</w:t>
            </w:r>
            <w:r>
              <w:rPr>
                <w:rFonts w:cs="Arial"/>
              </w:rPr>
              <w:t>s 3.2(h) or</w:t>
            </w:r>
            <w:r w:rsidRPr="008D6A63">
              <w:rPr>
                <w:rFonts w:cs="Arial"/>
              </w:rPr>
              <w:t xml:space="preserve"> </w:t>
            </w:r>
            <w:bookmarkEnd w:id="215"/>
            <w:r w:rsidRPr="008D6A63">
              <w:rPr>
                <w:rFonts w:cs="Arial"/>
              </w:rPr>
              <w:t>3.2(i) (</w:t>
            </w:r>
            <w:r w:rsidRPr="00F613BA">
              <w:rPr>
                <w:rFonts w:cs="Arial"/>
                <w:i/>
                <w:iCs/>
              </w:rPr>
              <w:t>Warranties</w:t>
            </w:r>
            <w:r w:rsidRPr="008D6A63">
              <w:rPr>
                <w:rFonts w:cs="Arial"/>
              </w:rPr>
              <w:t>) being materially untrue or misleading;</w:t>
            </w:r>
            <w:bookmarkEnd w:id="212"/>
            <w:bookmarkEnd w:id="213"/>
            <w:bookmarkEnd w:id="214"/>
          </w:p>
          <w:p w14:paraId="3963A38A" w14:textId="77777777" w:rsidR="002071BF" w:rsidRPr="008D6A63" w:rsidRDefault="002071BF" w:rsidP="002071BF">
            <w:pPr>
              <w:pStyle w:val="DefinitionList"/>
              <w:numPr>
                <w:ilvl w:val="0"/>
                <w:numId w:val="78"/>
              </w:numPr>
              <w:rPr>
                <w:rFonts w:cs="Arial"/>
              </w:rPr>
            </w:pPr>
            <w:r w:rsidRPr="008D6A63">
              <w:rPr>
                <w:rFonts w:cs="Arial"/>
              </w:rPr>
              <w:t xml:space="preserve">the Supplier committing a material Default under </w:t>
            </w:r>
            <w:bookmarkStart w:id="216" w:name="_9kMHG5YVtCIAELFBBCDVIhwxsHKB55H8APEBAHJ"/>
            <w:r w:rsidRPr="008D6A63">
              <w:rPr>
                <w:rFonts w:cs="Arial"/>
              </w:rPr>
              <w:t xml:space="preserve">Clause </w:t>
            </w:r>
            <w:bookmarkEnd w:id="216"/>
            <w:r w:rsidRPr="008D6A63">
              <w:rPr>
                <w:rFonts w:cs="Arial"/>
              </w:rPr>
              <w:t>10.10 (</w:t>
            </w:r>
            <w:r w:rsidRPr="00F613BA">
              <w:rPr>
                <w:rFonts w:cs="Arial"/>
                <w:i/>
                <w:iCs/>
              </w:rPr>
              <w:t>Promoting Tax Compliance</w:t>
            </w:r>
            <w:r w:rsidRPr="008D6A63">
              <w:rPr>
                <w:rFonts w:cs="Arial"/>
              </w:rPr>
              <w:t xml:space="preserve">) or failing to provide details of steps being taken and mitigating factors pursuant to </w:t>
            </w:r>
            <w:bookmarkStart w:id="217" w:name="_9kMIH5YVtCIAELFBBCDVIhwxsHKB55H8APEBAHJ"/>
            <w:r w:rsidRPr="008D6A63">
              <w:rPr>
                <w:rFonts w:cs="Arial"/>
              </w:rPr>
              <w:t xml:space="preserve">Clause </w:t>
            </w:r>
            <w:bookmarkEnd w:id="217"/>
            <w:r w:rsidRPr="008D6A63">
              <w:rPr>
                <w:rFonts w:cs="Arial"/>
              </w:rPr>
              <w:t>10.10 (</w:t>
            </w:r>
            <w:r w:rsidRPr="00F613BA">
              <w:rPr>
                <w:rFonts w:cs="Arial"/>
                <w:i/>
                <w:iCs/>
              </w:rPr>
              <w:t>Promoting Tax Compliance</w:t>
            </w:r>
            <w:r w:rsidRPr="008D6A63">
              <w:rPr>
                <w:rFonts w:cs="Arial"/>
              </w:rPr>
              <w:t>) which in the reasonable opinion of the Authority are acceptable;</w:t>
            </w:r>
          </w:p>
          <w:p w14:paraId="3E85B575" w14:textId="77777777" w:rsidR="002071BF" w:rsidRPr="008D6A63" w:rsidRDefault="002071BF" w:rsidP="002071BF">
            <w:pPr>
              <w:pStyle w:val="DefinitionList"/>
              <w:numPr>
                <w:ilvl w:val="0"/>
                <w:numId w:val="78"/>
              </w:numPr>
              <w:rPr>
                <w:rFonts w:cs="Arial"/>
              </w:rPr>
            </w:pPr>
            <w:r w:rsidRPr="008D6A63">
              <w:rPr>
                <w:rFonts w:cs="Arial"/>
              </w:rPr>
              <w:t>the Supplier committing a material Default under any of the following Clauses:</w:t>
            </w:r>
          </w:p>
          <w:p w14:paraId="2A8F188E" w14:textId="77777777" w:rsidR="002071BF" w:rsidRPr="008D6A63" w:rsidRDefault="002071BF" w:rsidP="002071BF">
            <w:pPr>
              <w:pStyle w:val="DefinitionListLevel1"/>
              <w:numPr>
                <w:ilvl w:val="1"/>
                <w:numId w:val="78"/>
              </w:numPr>
              <w:rPr>
                <w:rFonts w:cs="Arial"/>
              </w:rPr>
            </w:pPr>
            <w:bookmarkStart w:id="218" w:name="_9kMIH5YVtCIA9GKKKzogu2ozyw64u38q047MMRM"/>
            <w:r w:rsidRPr="008D6A63">
              <w:rPr>
                <w:rFonts w:cs="Arial"/>
              </w:rPr>
              <w:t xml:space="preserve">Clause </w:t>
            </w:r>
            <w:bookmarkEnd w:id="218"/>
            <w:r w:rsidRPr="008D6A63">
              <w:rPr>
                <w:rFonts w:cs="Arial"/>
              </w:rPr>
              <w:t>5.5(j) (</w:t>
            </w:r>
            <w:r w:rsidRPr="00F613BA">
              <w:rPr>
                <w:rFonts w:cs="Arial"/>
                <w:i/>
                <w:iCs/>
              </w:rPr>
              <w:t>Services</w:t>
            </w:r>
            <w:r w:rsidRPr="008D6A63">
              <w:rPr>
                <w:rFonts w:cs="Arial"/>
              </w:rPr>
              <w:t>);</w:t>
            </w:r>
          </w:p>
          <w:p w14:paraId="4EADCB43" w14:textId="77777777" w:rsidR="002071BF" w:rsidRPr="008D6A63" w:rsidRDefault="002071BF" w:rsidP="002071BF">
            <w:pPr>
              <w:pStyle w:val="DefinitionListLevel1"/>
              <w:numPr>
                <w:ilvl w:val="1"/>
                <w:numId w:val="78"/>
              </w:numPr>
              <w:rPr>
                <w:rFonts w:cs="Arial"/>
              </w:rPr>
            </w:pPr>
            <w:bookmarkStart w:id="219" w:name="_9kMKJ5YVtCIA7HJeSz3p9LKMkGGJAuAHDJKDFFI"/>
            <w:r w:rsidRPr="008D6A63">
              <w:rPr>
                <w:rFonts w:cs="Arial"/>
              </w:rPr>
              <w:t xml:space="preserve">Clause </w:t>
            </w:r>
            <w:bookmarkEnd w:id="219"/>
            <w:r w:rsidRPr="008D6A63">
              <w:rPr>
                <w:rFonts w:cs="Arial"/>
              </w:rPr>
              <w:t>21 (</w:t>
            </w:r>
            <w:r w:rsidRPr="00F613BA">
              <w:rPr>
                <w:rFonts w:cs="Arial"/>
                <w:i/>
                <w:iCs/>
              </w:rPr>
              <w:t>Protection of Personal Data</w:t>
            </w:r>
            <w:r w:rsidRPr="008D6A63">
              <w:rPr>
                <w:rFonts w:cs="Arial"/>
              </w:rPr>
              <w:t xml:space="preserve">); </w:t>
            </w:r>
          </w:p>
          <w:p w14:paraId="7C5BB4B5" w14:textId="77777777" w:rsidR="002071BF" w:rsidRPr="008D6A63" w:rsidRDefault="002071BF" w:rsidP="002071BF">
            <w:pPr>
              <w:pStyle w:val="DefinitionListLevel1"/>
              <w:numPr>
                <w:ilvl w:val="1"/>
                <w:numId w:val="78"/>
              </w:numPr>
              <w:rPr>
                <w:rFonts w:cs="Arial"/>
              </w:rPr>
            </w:pPr>
            <w:bookmarkStart w:id="220" w:name="_9kMML5YVtCIA7HMhSz3p9LKLnK2zIL47C98KJ9D"/>
            <w:r w:rsidRPr="008D6A63">
              <w:rPr>
                <w:rFonts w:cs="Arial"/>
              </w:rPr>
              <w:t xml:space="preserve">Clause </w:t>
            </w:r>
            <w:bookmarkEnd w:id="220"/>
            <w:r w:rsidRPr="008D6A63">
              <w:rPr>
                <w:rFonts w:cs="Arial"/>
              </w:rPr>
              <w:t>20 (</w:t>
            </w:r>
            <w:r w:rsidRPr="00F613BA">
              <w:rPr>
                <w:rFonts w:cs="Arial"/>
                <w:i/>
                <w:iCs/>
              </w:rPr>
              <w:t>Transparency and Freedom of Information</w:t>
            </w:r>
            <w:r w:rsidRPr="008D6A63">
              <w:rPr>
                <w:rFonts w:cs="Arial"/>
              </w:rPr>
              <w:t xml:space="preserve">); </w:t>
            </w:r>
          </w:p>
          <w:p w14:paraId="65308F1E" w14:textId="77777777" w:rsidR="002071BF" w:rsidRPr="008D6A63" w:rsidRDefault="002071BF" w:rsidP="002071BF">
            <w:pPr>
              <w:pStyle w:val="DefinitionListLevel1"/>
              <w:numPr>
                <w:ilvl w:val="1"/>
                <w:numId w:val="78"/>
              </w:numPr>
              <w:rPr>
                <w:rFonts w:cs="Arial"/>
              </w:rPr>
            </w:pPr>
            <w:bookmarkStart w:id="221" w:name="_9kMH0H6ZWuDJB8IQlT04qAMLLW1D510x8OK26FO"/>
            <w:r w:rsidRPr="008D6A63">
              <w:rPr>
                <w:rFonts w:cs="Arial"/>
              </w:rPr>
              <w:t xml:space="preserve">Clause </w:t>
            </w:r>
            <w:bookmarkEnd w:id="221"/>
            <w:r w:rsidRPr="008D6A63">
              <w:rPr>
                <w:rFonts w:cs="Arial"/>
              </w:rPr>
              <w:t>19 (</w:t>
            </w:r>
            <w:r w:rsidRPr="00F613BA">
              <w:rPr>
                <w:rFonts w:cs="Arial"/>
                <w:i/>
                <w:iCs/>
              </w:rPr>
              <w:t>Confidentiality</w:t>
            </w:r>
            <w:r w:rsidRPr="008D6A63">
              <w:rPr>
                <w:rFonts w:cs="Arial"/>
              </w:rPr>
              <w:t xml:space="preserve">); </w:t>
            </w:r>
          </w:p>
          <w:p w14:paraId="12EF6C69" w14:textId="77777777" w:rsidR="002071BF" w:rsidRDefault="002071BF" w:rsidP="002071BF">
            <w:pPr>
              <w:pStyle w:val="DefinitionListLevel1"/>
              <w:numPr>
                <w:ilvl w:val="1"/>
                <w:numId w:val="78"/>
              </w:numPr>
              <w:rPr>
                <w:rFonts w:cs="Arial"/>
              </w:rPr>
            </w:pPr>
            <w:bookmarkStart w:id="222" w:name="_9kMHG5YVtCIA7EHfSz3p9LLPZ0BDD7x36y"/>
            <w:r w:rsidRPr="008D6A63">
              <w:rPr>
                <w:rFonts w:cs="Arial"/>
              </w:rPr>
              <w:t xml:space="preserve">Clause </w:t>
            </w:r>
            <w:bookmarkEnd w:id="222"/>
            <w:r w:rsidRPr="008D6A63">
              <w:rPr>
                <w:rFonts w:cs="Arial"/>
              </w:rPr>
              <w:t>33 (</w:t>
            </w:r>
            <w:r w:rsidRPr="00F613BA">
              <w:rPr>
                <w:rFonts w:cs="Arial"/>
                <w:i/>
                <w:iCs/>
              </w:rPr>
              <w:t>Compliance</w:t>
            </w:r>
            <w:r w:rsidRPr="008D6A63">
              <w:rPr>
                <w:rFonts w:cs="Arial"/>
              </w:rPr>
              <w:t xml:space="preserve">); </w:t>
            </w:r>
          </w:p>
          <w:p w14:paraId="001924B4" w14:textId="69DE23A7" w:rsidR="002071BF" w:rsidRDefault="002071BF" w:rsidP="002071BF">
            <w:pPr>
              <w:pStyle w:val="DefinitionListLevel1"/>
              <w:numPr>
                <w:ilvl w:val="1"/>
                <w:numId w:val="78"/>
              </w:numPr>
              <w:rPr>
                <w:rFonts w:cs="Arial"/>
              </w:rPr>
            </w:pPr>
            <w:r w:rsidRPr="00573A67">
              <w:rPr>
                <w:rFonts w:cs="Arial"/>
              </w:rPr>
              <w:t>in respect of any security requirements</w:t>
            </w:r>
            <w:r>
              <w:rPr>
                <w:rFonts w:cs="Arial"/>
              </w:rPr>
              <w:t xml:space="preserve"> or Cyber Essentials obligations</w:t>
            </w:r>
            <w:r w:rsidRPr="00573A67">
              <w:rPr>
                <w:rFonts w:cs="Arial"/>
              </w:rPr>
              <w:t xml:space="preserve"> set out in </w:t>
            </w:r>
            <w:r w:rsidRPr="00573A67">
              <w:rPr>
                <w:rFonts w:cs="Arial"/>
              </w:rPr>
              <w:fldChar w:fldCharType="begin"/>
            </w:r>
            <w:r w:rsidRPr="00573A67">
              <w:rPr>
                <w:rFonts w:cs="Arial"/>
              </w:rPr>
              <w:instrText xml:space="preserve"> REF Schedule2 \h </w:instrText>
            </w:r>
            <w:r w:rsidRPr="00573A67">
              <w:rPr>
                <w:rFonts w:cs="Arial"/>
              </w:rPr>
            </w:r>
            <w:r w:rsidRPr="00573A67">
              <w:rPr>
                <w:rFonts w:cs="Arial"/>
              </w:rPr>
              <w:fldChar w:fldCharType="separate"/>
            </w:r>
            <w:r w:rsidR="007A1473" w:rsidRPr="005D0525">
              <w:t>Schedule</w:t>
            </w:r>
            <w:r w:rsidR="007A1473">
              <w:t> </w:t>
            </w:r>
            <w:r w:rsidR="007A1473" w:rsidRPr="005D0525">
              <w:t>2</w:t>
            </w:r>
            <w:r w:rsidRPr="00573A67">
              <w:rPr>
                <w:rFonts w:cs="Arial"/>
              </w:rPr>
              <w:fldChar w:fldCharType="end"/>
            </w:r>
            <w:r w:rsidRPr="00573A67">
              <w:rPr>
                <w:rFonts w:cs="Arial"/>
              </w:rPr>
              <w:t xml:space="preserve"> (</w:t>
            </w:r>
            <w:r w:rsidRPr="00573A67">
              <w:rPr>
                <w:rFonts w:cs="Arial"/>
                <w:i/>
                <w:iCs/>
              </w:rPr>
              <w:fldChar w:fldCharType="begin"/>
            </w:r>
            <w:r w:rsidRPr="00573A67">
              <w:rPr>
                <w:rFonts w:cs="Arial"/>
                <w:i/>
                <w:iCs/>
              </w:rPr>
              <w:instrText xml:space="preserve"> REF Schedule2Heading \h  \* MERGEFORMAT </w:instrText>
            </w:r>
            <w:r w:rsidRPr="00573A67">
              <w:rPr>
                <w:rFonts w:cs="Arial"/>
                <w:i/>
                <w:iCs/>
              </w:rPr>
            </w:r>
            <w:r w:rsidRPr="00573A67">
              <w:rPr>
                <w:rFonts w:cs="Arial"/>
                <w:i/>
                <w:iCs/>
              </w:rPr>
              <w:fldChar w:fldCharType="separate"/>
            </w:r>
            <w:r w:rsidR="007A1473" w:rsidRPr="007A1473">
              <w:rPr>
                <w:i/>
                <w:iCs/>
              </w:rPr>
              <w:t>Services Description</w:t>
            </w:r>
            <w:r w:rsidRPr="00573A67">
              <w:rPr>
                <w:rFonts w:cs="Arial"/>
                <w:i/>
                <w:iCs/>
              </w:rPr>
              <w:fldChar w:fldCharType="end"/>
            </w:r>
            <w:r w:rsidRPr="00573A67">
              <w:rPr>
                <w:rFonts w:cs="Arial"/>
              </w:rPr>
              <w:t>)</w:t>
            </w:r>
            <w:r>
              <w:rPr>
                <w:rFonts w:cs="Arial"/>
              </w:rPr>
              <w:t xml:space="preserve"> or</w:t>
            </w:r>
            <w:r w:rsidRPr="00573A67">
              <w:rPr>
                <w:rFonts w:cs="Arial"/>
              </w:rPr>
              <w:t xml:space="preserve"> </w:t>
            </w:r>
            <w:r w:rsidRPr="00573A67">
              <w:rPr>
                <w:rFonts w:cs="Arial"/>
              </w:rPr>
              <w:fldChar w:fldCharType="begin"/>
            </w:r>
            <w:r w:rsidRPr="00573A67">
              <w:rPr>
                <w:rFonts w:cs="Arial"/>
              </w:rPr>
              <w:instrText xml:space="preserve"> REF Schedule5 \h </w:instrText>
            </w:r>
            <w:r w:rsidRPr="00573A67">
              <w:rPr>
                <w:rFonts w:cs="Arial"/>
              </w:rPr>
            </w:r>
            <w:r w:rsidRPr="00573A67">
              <w:rPr>
                <w:rFonts w:cs="Arial"/>
              </w:rPr>
              <w:fldChar w:fldCharType="separate"/>
            </w:r>
            <w:r w:rsidR="007A1473" w:rsidRPr="005D0525">
              <w:t>Schedule</w:t>
            </w:r>
            <w:r w:rsidR="007A1473">
              <w:t> </w:t>
            </w:r>
            <w:r w:rsidR="007A1473" w:rsidRPr="005D0525">
              <w:t>5</w:t>
            </w:r>
            <w:r w:rsidRPr="00573A67">
              <w:rPr>
                <w:rFonts w:cs="Arial"/>
              </w:rPr>
              <w:fldChar w:fldCharType="end"/>
            </w:r>
            <w:r w:rsidRPr="00573A67">
              <w:rPr>
                <w:rFonts w:cs="Arial"/>
              </w:rPr>
              <w:t xml:space="preserve"> (</w:t>
            </w:r>
            <w:r w:rsidRPr="00573A67">
              <w:rPr>
                <w:rFonts w:cs="Arial"/>
                <w:i/>
                <w:iCs/>
              </w:rPr>
              <w:fldChar w:fldCharType="begin"/>
            </w:r>
            <w:r w:rsidRPr="00573A67">
              <w:rPr>
                <w:rFonts w:cs="Arial"/>
                <w:i/>
                <w:iCs/>
              </w:rPr>
              <w:instrText xml:space="preserve"> REF Schedule5Heading \h  \* MERGEFORMAT </w:instrText>
            </w:r>
            <w:r w:rsidRPr="00573A67">
              <w:rPr>
                <w:rFonts w:cs="Arial"/>
                <w:i/>
                <w:iCs/>
              </w:rPr>
            </w:r>
            <w:r w:rsidRPr="00573A67">
              <w:rPr>
                <w:rFonts w:cs="Arial"/>
                <w:i/>
                <w:iCs/>
              </w:rPr>
              <w:fldChar w:fldCharType="separate"/>
            </w:r>
            <w:r w:rsidR="007A1473" w:rsidRPr="007A1473">
              <w:rPr>
                <w:i/>
                <w:iCs/>
              </w:rPr>
              <w:t>Security Management</w:t>
            </w:r>
            <w:r w:rsidRPr="00573A67">
              <w:rPr>
                <w:rFonts w:cs="Arial"/>
                <w:i/>
                <w:iCs/>
              </w:rPr>
              <w:fldChar w:fldCharType="end"/>
            </w:r>
            <w:r w:rsidRPr="00573A67">
              <w:rPr>
                <w:rFonts w:cs="Arial"/>
              </w:rPr>
              <w:t>);</w:t>
            </w:r>
          </w:p>
          <w:p w14:paraId="061EAAF3" w14:textId="09D4B38D" w:rsidR="002071BF" w:rsidRDefault="002071BF" w:rsidP="002071BF">
            <w:pPr>
              <w:pStyle w:val="DefinitionListLevel1"/>
              <w:numPr>
                <w:ilvl w:val="1"/>
                <w:numId w:val="78"/>
              </w:numPr>
              <w:rPr>
                <w:rFonts w:cs="Arial"/>
              </w:rPr>
            </w:pPr>
            <w:r>
              <w:rPr>
                <w:rFonts w:cs="Arial"/>
              </w:rPr>
              <w:t xml:space="preserve">in respect of any requirements set out in </w:t>
            </w:r>
            <w:r>
              <w:rPr>
                <w:rFonts w:cs="Arial"/>
              </w:rPr>
              <w:fldChar w:fldCharType="begin"/>
            </w:r>
            <w:r>
              <w:rPr>
                <w:rFonts w:cs="Arial"/>
              </w:rPr>
              <w:instrText xml:space="preserve"> REF Schedule32 \h </w:instrText>
            </w:r>
            <w:r>
              <w:rPr>
                <w:rFonts w:cs="Arial"/>
              </w:rPr>
            </w:r>
            <w:r>
              <w:rPr>
                <w:rFonts w:cs="Arial"/>
              </w:rPr>
              <w:fldChar w:fldCharType="separate"/>
            </w:r>
            <w:r w:rsidR="007A1473" w:rsidRPr="00477926">
              <w:t>Schedule</w:t>
            </w:r>
            <w:r w:rsidR="007A1473">
              <w:t> </w:t>
            </w:r>
            <w:r w:rsidR="007A1473" w:rsidRPr="00477926">
              <w:t>32</w:t>
            </w:r>
            <w:r>
              <w:rPr>
                <w:rFonts w:cs="Arial"/>
              </w:rPr>
              <w:fldChar w:fldCharType="end"/>
            </w:r>
            <w:r>
              <w:rPr>
                <w:rFonts w:cs="Arial"/>
              </w:rPr>
              <w:t xml:space="preserve"> (</w:t>
            </w:r>
            <w:r>
              <w:rPr>
                <w:rFonts w:cs="Arial"/>
              </w:rPr>
              <w:fldChar w:fldCharType="begin"/>
            </w:r>
            <w:r>
              <w:rPr>
                <w:rFonts w:cs="Arial"/>
              </w:rPr>
              <w:instrText xml:space="preserve"> REF Schedule32Heading \h </w:instrText>
            </w:r>
            <w:r>
              <w:rPr>
                <w:rFonts w:cs="Arial"/>
              </w:rPr>
            </w:r>
            <w:r>
              <w:rPr>
                <w:rFonts w:cs="Arial"/>
              </w:rPr>
              <w:fldChar w:fldCharType="separate"/>
            </w:r>
            <w:r w:rsidR="007A1473" w:rsidRPr="002223EA">
              <w:t>Intellectual Property Rights</w:t>
            </w:r>
            <w:r>
              <w:rPr>
                <w:rFonts w:cs="Arial"/>
              </w:rPr>
              <w:fldChar w:fldCharType="end"/>
            </w:r>
            <w:r>
              <w:rPr>
                <w:rFonts w:cs="Arial"/>
              </w:rPr>
              <w:t xml:space="preserve">) </w:t>
            </w:r>
            <w:r w:rsidRPr="00573A67">
              <w:rPr>
                <w:rFonts w:cs="Arial"/>
              </w:rPr>
              <w:t>and/or</w:t>
            </w:r>
          </w:p>
          <w:p w14:paraId="6190E599" w14:textId="45675778" w:rsidR="002071BF" w:rsidRPr="00573A67" w:rsidRDefault="002071BF" w:rsidP="002071BF">
            <w:pPr>
              <w:pStyle w:val="DefinitionListLevel1"/>
              <w:numPr>
                <w:ilvl w:val="1"/>
                <w:numId w:val="78"/>
              </w:numPr>
              <w:rPr>
                <w:rFonts w:cs="Arial"/>
              </w:rPr>
            </w:pPr>
            <w:r>
              <w:rPr>
                <w:rFonts w:cs="Arial"/>
              </w:rPr>
              <w:t>i</w:t>
            </w:r>
            <w:r w:rsidRPr="00573A67">
              <w:rPr>
                <w:rFonts w:cs="Arial"/>
              </w:rPr>
              <w:t xml:space="preserve">n respect of any requirements set out in </w:t>
            </w:r>
            <w:r w:rsidRPr="00573A67">
              <w:rPr>
                <w:rFonts w:cs="Arial"/>
              </w:rPr>
              <w:fldChar w:fldCharType="begin"/>
            </w:r>
            <w:r w:rsidRPr="00573A67">
              <w:rPr>
                <w:rFonts w:cs="Arial"/>
              </w:rPr>
              <w:instrText xml:space="preserve"> REF Schedule28 \h </w:instrText>
            </w:r>
            <w:r w:rsidRPr="00573A67">
              <w:rPr>
                <w:rFonts w:cs="Arial"/>
              </w:rPr>
            </w:r>
            <w:r w:rsidRPr="00573A67">
              <w:rPr>
                <w:rFonts w:cs="Arial"/>
              </w:rPr>
              <w:fldChar w:fldCharType="separate"/>
            </w:r>
            <w:r w:rsidR="007A1473" w:rsidRPr="005D0525">
              <w:t>Schedule</w:t>
            </w:r>
            <w:r w:rsidR="007A1473">
              <w:t> </w:t>
            </w:r>
            <w:r w:rsidR="007A1473" w:rsidRPr="005D0525">
              <w:t>28</w:t>
            </w:r>
            <w:r w:rsidRPr="00573A67">
              <w:rPr>
                <w:rFonts w:cs="Arial"/>
              </w:rPr>
              <w:fldChar w:fldCharType="end"/>
            </w:r>
            <w:r w:rsidRPr="00573A67">
              <w:rPr>
                <w:rFonts w:cs="Arial"/>
              </w:rPr>
              <w:t xml:space="preserve"> (</w:t>
            </w:r>
            <w:r w:rsidRPr="00573A67">
              <w:rPr>
                <w:rFonts w:cs="Arial"/>
                <w:i/>
                <w:iCs/>
              </w:rPr>
              <w:fldChar w:fldCharType="begin"/>
            </w:r>
            <w:r w:rsidRPr="00573A67">
              <w:rPr>
                <w:rFonts w:cs="Arial"/>
                <w:i/>
                <w:iCs/>
              </w:rPr>
              <w:instrText xml:space="preserve"> REF Schedule28Heading \h  \* MERGEFORMAT </w:instrText>
            </w:r>
            <w:r w:rsidRPr="00573A67">
              <w:rPr>
                <w:rFonts w:cs="Arial"/>
                <w:i/>
                <w:iCs/>
              </w:rPr>
            </w:r>
            <w:r w:rsidRPr="00573A67">
              <w:rPr>
                <w:rFonts w:cs="Arial"/>
                <w:i/>
                <w:iCs/>
              </w:rPr>
              <w:fldChar w:fldCharType="separate"/>
            </w:r>
            <w:r w:rsidR="007A1473" w:rsidRPr="007A1473">
              <w:rPr>
                <w:i/>
                <w:iCs/>
              </w:rPr>
              <w:t>Staff Transfer</w:t>
            </w:r>
            <w:r w:rsidRPr="00573A67">
              <w:rPr>
                <w:rFonts w:cs="Arial"/>
                <w:i/>
                <w:iCs/>
              </w:rPr>
              <w:fldChar w:fldCharType="end"/>
            </w:r>
            <w:r w:rsidRPr="00573A67">
              <w:rPr>
                <w:rFonts w:cs="Arial"/>
              </w:rPr>
              <w:t>);</w:t>
            </w:r>
          </w:p>
          <w:p w14:paraId="0EC4F6B3" w14:textId="10B3CB11" w:rsidR="002071BF" w:rsidRPr="008D6A63" w:rsidRDefault="002071BF" w:rsidP="002071BF">
            <w:pPr>
              <w:pStyle w:val="DefinitionList"/>
              <w:numPr>
                <w:ilvl w:val="0"/>
                <w:numId w:val="78"/>
              </w:numPr>
              <w:rPr>
                <w:rFonts w:cs="Arial"/>
              </w:rPr>
            </w:pPr>
            <w:r w:rsidRPr="008D6A63">
              <w:rPr>
                <w:rFonts w:cs="Arial"/>
              </w:rPr>
              <w:t xml:space="preserve">any failure by the Supplier to implement the changes set out in a Benchmark Report as referred to in </w:t>
            </w:r>
            <w:bookmarkStart w:id="223" w:name="_9kR3WTr2CC579YEnoewrqyFV"/>
            <w:r w:rsidRPr="008D6A63">
              <w:rPr>
                <w:rFonts w:cs="Arial"/>
              </w:rPr>
              <w:t xml:space="preserve">Paragraph </w:t>
            </w:r>
            <w:bookmarkEnd w:id="223"/>
            <w:r w:rsidRPr="008D6A63">
              <w:rPr>
                <w:rFonts w:cs="Arial"/>
              </w:rPr>
              <w:fldChar w:fldCharType="begin"/>
            </w:r>
            <w:r w:rsidRPr="008D6A63">
              <w:rPr>
                <w:rFonts w:cs="Arial"/>
              </w:rPr>
              <w:instrText xml:space="preserve"> REF _Ref44571810 \r \h  \* MERGEFORMAT </w:instrText>
            </w:r>
            <w:r w:rsidRPr="008D6A63">
              <w:rPr>
                <w:rFonts w:cs="Arial"/>
              </w:rPr>
            </w:r>
            <w:r w:rsidRPr="008D6A63">
              <w:rPr>
                <w:rFonts w:cs="Arial"/>
              </w:rPr>
              <w:fldChar w:fldCharType="separate"/>
            </w:r>
            <w:r w:rsidR="007A1473">
              <w:rPr>
                <w:rFonts w:cs="Arial"/>
              </w:rPr>
              <w:t>5.9</w:t>
            </w:r>
            <w:r w:rsidRPr="008D6A63">
              <w:rPr>
                <w:rFonts w:cs="Arial"/>
              </w:rPr>
              <w:fldChar w:fldCharType="end"/>
            </w:r>
            <w:r w:rsidRPr="008D6A63">
              <w:rPr>
                <w:rFonts w:cs="Arial"/>
              </w:rPr>
              <w:t xml:space="preserve"> of</w:t>
            </w:r>
            <w:r>
              <w:rPr>
                <w:rFonts w:cs="Arial"/>
              </w:rPr>
              <w:t xml:space="preserve"> </w:t>
            </w:r>
            <w:r>
              <w:rPr>
                <w:rFonts w:cs="Arial"/>
              </w:rPr>
              <w:fldChar w:fldCharType="begin"/>
            </w:r>
            <w:r>
              <w:rPr>
                <w:rFonts w:cs="Arial"/>
              </w:rPr>
              <w:instrText xml:space="preserve"> REF Schedule17 \h </w:instrText>
            </w:r>
            <w:r>
              <w:rPr>
                <w:rFonts w:cs="Arial"/>
              </w:rPr>
            </w:r>
            <w:r>
              <w:rPr>
                <w:rFonts w:cs="Arial"/>
              </w:rPr>
              <w:fldChar w:fldCharType="separate"/>
            </w:r>
            <w:r w:rsidR="007A1473" w:rsidRPr="005D0525">
              <w:t>Schedule</w:t>
            </w:r>
            <w:r w:rsidR="007A1473">
              <w:t> </w:t>
            </w:r>
            <w:r w:rsidR="007A1473" w:rsidRPr="005D0525">
              <w:t>17</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Schedule17Heading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Benchmarking</w:t>
            </w:r>
            <w:r w:rsidRPr="00B91437">
              <w:rPr>
                <w:rFonts w:cs="Arial"/>
                <w:i/>
                <w:iCs/>
              </w:rPr>
              <w:fldChar w:fldCharType="end"/>
            </w:r>
            <w:r>
              <w:rPr>
                <w:rFonts w:cs="Arial"/>
              </w:rPr>
              <w:t>)</w:t>
            </w:r>
            <w:r w:rsidRPr="008D6A63">
              <w:rPr>
                <w:rFonts w:cs="Arial"/>
              </w:rPr>
              <w:t>;</w:t>
            </w:r>
          </w:p>
          <w:p w14:paraId="3538FBE2" w14:textId="77777777" w:rsidR="002071BF" w:rsidRPr="008D6A63" w:rsidRDefault="002071BF" w:rsidP="002071BF">
            <w:pPr>
              <w:pStyle w:val="DefinitionList"/>
              <w:numPr>
                <w:ilvl w:val="0"/>
                <w:numId w:val="78"/>
              </w:numPr>
              <w:rPr>
                <w:rFonts w:cs="Arial"/>
              </w:rPr>
            </w:pPr>
            <w:bookmarkStart w:id="224" w:name="_9kR3WTrAG86AHhtjmj09ubjkEA71v5vd8H9B4BK"/>
            <w:bookmarkStart w:id="225" w:name="_9kR3WTr299DHDdtjmj09ubjkEA71v5vd8H9B4BK"/>
            <w:bookmarkStart w:id="226" w:name="_Ref_ContractCompanion_9kb9Ur26B"/>
            <w:r w:rsidRPr="008D6A63">
              <w:rPr>
                <w:rFonts w:cs="Arial"/>
              </w:rPr>
              <w:t>an Insolvency Event occurring in respect of the Supplier or the Guarantor;</w:t>
            </w:r>
            <w:bookmarkEnd w:id="224"/>
            <w:bookmarkEnd w:id="225"/>
            <w:r w:rsidRPr="008D6A63">
              <w:rPr>
                <w:rFonts w:cs="Arial"/>
              </w:rPr>
              <w:t xml:space="preserve"> </w:t>
            </w:r>
            <w:bookmarkEnd w:id="226"/>
          </w:p>
          <w:p w14:paraId="6623D22F" w14:textId="77777777" w:rsidR="002071BF" w:rsidRPr="008D6A63" w:rsidRDefault="002071BF" w:rsidP="002071BF">
            <w:pPr>
              <w:pStyle w:val="DefinitionList"/>
              <w:numPr>
                <w:ilvl w:val="0"/>
                <w:numId w:val="78"/>
              </w:numPr>
              <w:rPr>
                <w:rFonts w:cs="Arial"/>
              </w:rPr>
            </w:pPr>
            <w:r w:rsidRPr="008D6A63">
              <w:rPr>
                <w:rFonts w:cs="Arial"/>
              </w:rPr>
              <w:t>the Guarantee ceasing to be valid or enforceable for any reason (without the Guarantee being replaced with a comparable guarantee to the satisfaction of the Authority with the Guarantor or with another guarantor which is acceptable to the Authority);</w:t>
            </w:r>
          </w:p>
          <w:p w14:paraId="0743410D" w14:textId="77777777" w:rsidR="002071BF" w:rsidRPr="008D6A63" w:rsidRDefault="002071BF" w:rsidP="002071BF">
            <w:pPr>
              <w:pStyle w:val="DefinitionList"/>
              <w:numPr>
                <w:ilvl w:val="0"/>
                <w:numId w:val="78"/>
              </w:numPr>
              <w:rPr>
                <w:rFonts w:cs="Arial"/>
              </w:rPr>
            </w:pPr>
            <w:r w:rsidRPr="008D6A63">
              <w:rPr>
                <w:rFonts w:cs="Arial"/>
              </w:rPr>
              <w:t>a change of Control of the Supplier or a Guarantor unless:</w:t>
            </w:r>
          </w:p>
          <w:p w14:paraId="3A233962" w14:textId="77777777" w:rsidR="002071BF" w:rsidRPr="008D6A63" w:rsidRDefault="002071BF" w:rsidP="002071BF">
            <w:pPr>
              <w:pStyle w:val="DefinitionListLevel1"/>
              <w:numPr>
                <w:ilvl w:val="1"/>
                <w:numId w:val="78"/>
              </w:numPr>
              <w:rPr>
                <w:rFonts w:cs="Arial"/>
              </w:rPr>
            </w:pPr>
            <w:r w:rsidRPr="008D6A63">
              <w:rPr>
                <w:rFonts w:cs="Arial"/>
              </w:rPr>
              <w:lastRenderedPageBreak/>
              <w:t>the Authority has given its prior written consent to the particular Change of Control, which subsequently takes place as proposed; or</w:t>
            </w:r>
          </w:p>
          <w:p w14:paraId="745D3E23" w14:textId="77777777" w:rsidR="002071BF" w:rsidRPr="008D6A63" w:rsidRDefault="002071BF" w:rsidP="002071BF">
            <w:pPr>
              <w:pStyle w:val="DefinitionListLevel1"/>
              <w:numPr>
                <w:ilvl w:val="1"/>
                <w:numId w:val="78"/>
              </w:numPr>
              <w:rPr>
                <w:rFonts w:cs="Arial"/>
              </w:rPr>
            </w:pPr>
            <w:r w:rsidRPr="008D6A63">
              <w:rPr>
                <w:rFonts w:cs="Arial"/>
              </w:rPr>
              <w:t xml:space="preserve">the Authority has not served its notice of objection within 6 months of the later of the date on which the Change of Control took place or the date on which the Authority was given notice of the </w:t>
            </w:r>
            <w:r>
              <w:rPr>
                <w:rFonts w:cs="Arial"/>
              </w:rPr>
              <w:t>c</w:t>
            </w:r>
            <w:r w:rsidRPr="008D6A63">
              <w:rPr>
                <w:rFonts w:cs="Arial"/>
              </w:rPr>
              <w:t xml:space="preserve">hange of Control; </w:t>
            </w:r>
          </w:p>
          <w:p w14:paraId="3825C73E" w14:textId="77777777" w:rsidR="002071BF" w:rsidRPr="008D6A63" w:rsidRDefault="002071BF" w:rsidP="002071BF">
            <w:pPr>
              <w:pStyle w:val="DefinitionList"/>
              <w:numPr>
                <w:ilvl w:val="0"/>
                <w:numId w:val="78"/>
              </w:numPr>
              <w:rPr>
                <w:rFonts w:cs="Arial"/>
              </w:rPr>
            </w:pPr>
            <w:r w:rsidRPr="008D6A63">
              <w:rPr>
                <w:rFonts w:cs="Arial"/>
              </w:rPr>
              <w:t xml:space="preserve">a change of Control of a Key Sub-contractor unless, within 6 months of being notified by the Authority that it objects to such change of Control, the Supplier terminates the relevant Key Sub-contract and replaces it with a comparable Key Sub-contract which is approved by the Authority pursuant to </w:t>
            </w:r>
            <w:bookmarkStart w:id="227" w:name="_9kMHG5YVtCIAEGCDGHDjYnyz26sepJFC60ATLII"/>
            <w:r w:rsidRPr="008D6A63">
              <w:rPr>
                <w:rFonts w:cs="Arial"/>
              </w:rPr>
              <w:t xml:space="preserve">Clause </w:t>
            </w:r>
            <w:bookmarkEnd w:id="227"/>
            <w:r w:rsidRPr="008D6A63">
              <w:rPr>
                <w:rFonts w:cs="Arial"/>
              </w:rPr>
              <w:t>15.10 (</w:t>
            </w:r>
            <w:r w:rsidRPr="00F613BA">
              <w:rPr>
                <w:rFonts w:cs="Arial"/>
                <w:i/>
                <w:iCs/>
              </w:rPr>
              <w:t>Appointment of Key Sub-contractors</w:t>
            </w:r>
            <w:r w:rsidRPr="008D6A63">
              <w:rPr>
                <w:rFonts w:cs="Arial"/>
              </w:rPr>
              <w:t xml:space="preserve">); </w:t>
            </w:r>
          </w:p>
          <w:p w14:paraId="1C595930" w14:textId="6A2C1E67" w:rsidR="002071BF" w:rsidRPr="008D6A63" w:rsidRDefault="002071BF" w:rsidP="002071BF">
            <w:pPr>
              <w:pStyle w:val="DefinitionList"/>
              <w:numPr>
                <w:ilvl w:val="0"/>
                <w:numId w:val="78"/>
              </w:numPr>
              <w:rPr>
                <w:rFonts w:cs="Arial"/>
              </w:rPr>
            </w:pPr>
            <w:r w:rsidRPr="001E5ACB">
              <w:rPr>
                <w:rFonts w:cs="Arial"/>
              </w:rPr>
              <w:t xml:space="preserve">any failure by the Supplier to enter into or to comply with an </w:t>
            </w:r>
            <w:bookmarkStart w:id="228" w:name="_9kR3WTr2AADMMP2lry90x3QE21pyz1HPK4wBRI4"/>
            <w:r w:rsidRPr="001E5ACB">
              <w:rPr>
                <w:rFonts w:cs="Arial"/>
              </w:rPr>
              <w:t xml:space="preserve">Admission Agreement under </w:t>
            </w:r>
            <w:bookmarkEnd w:id="228"/>
            <w:r w:rsidRPr="001E5ACB">
              <w:rPr>
                <w:rFonts w:cs="Arial"/>
              </w:rPr>
              <w:t>under</w:t>
            </w:r>
            <w:r w:rsidRPr="00535337">
              <w:rPr>
                <w:rFonts w:cs="Arial"/>
              </w:rPr>
              <w:t xml:space="preserve"> </w:t>
            </w:r>
            <w:r>
              <w:rPr>
                <w:rFonts w:cs="Arial"/>
              </w:rPr>
              <w:fldChar w:fldCharType="begin"/>
            </w:r>
            <w:r>
              <w:rPr>
                <w:rFonts w:cs="Arial"/>
              </w:rPr>
              <w:instrText xml:space="preserve"> REF Sch28PartD \h </w:instrText>
            </w:r>
            <w:r>
              <w:rPr>
                <w:rFonts w:cs="Arial"/>
              </w:rPr>
            </w:r>
            <w:r>
              <w:rPr>
                <w:rFonts w:cs="Arial"/>
              </w:rPr>
              <w:fldChar w:fldCharType="separate"/>
            </w:r>
            <w:r w:rsidR="007A1473" w:rsidRPr="00025910">
              <w:t>Part D</w:t>
            </w:r>
            <w:r>
              <w:rPr>
                <w:rFonts w:cs="Arial"/>
              </w:rPr>
              <w:fldChar w:fldCharType="end"/>
            </w:r>
            <w:r w:rsidRPr="00535337">
              <w:rPr>
                <w:rFonts w:cs="Arial"/>
              </w:rPr>
              <w:t xml:space="preserve"> of </w:t>
            </w:r>
            <w:r>
              <w:rPr>
                <w:rFonts w:cs="Arial"/>
              </w:rPr>
              <w:fldChar w:fldCharType="begin"/>
            </w:r>
            <w:r>
              <w:rPr>
                <w:rFonts w:cs="Arial"/>
              </w:rPr>
              <w:instrText xml:space="preserve"> REF Schedule28 \h </w:instrText>
            </w:r>
            <w:r>
              <w:rPr>
                <w:rFonts w:cs="Arial"/>
              </w:rPr>
            </w:r>
            <w:r>
              <w:rPr>
                <w:rFonts w:cs="Arial"/>
              </w:rPr>
              <w:fldChar w:fldCharType="separate"/>
            </w:r>
            <w:r w:rsidR="007A1473" w:rsidRPr="005D0525">
              <w:t>Schedule</w:t>
            </w:r>
            <w:r w:rsidR="007A1473">
              <w:t> </w:t>
            </w:r>
            <w:r w:rsidR="007A1473" w:rsidRPr="005D0525">
              <w:t>28</w:t>
            </w:r>
            <w:r>
              <w:rPr>
                <w:rFonts w:cs="Arial"/>
              </w:rPr>
              <w:fldChar w:fldCharType="end"/>
            </w:r>
            <w:r w:rsidRPr="00535337">
              <w:rPr>
                <w:rFonts w:cs="Arial"/>
              </w:rPr>
              <w:t xml:space="preserve"> (</w:t>
            </w:r>
            <w:r w:rsidRPr="00811E73">
              <w:rPr>
                <w:rFonts w:cs="Arial"/>
                <w:i/>
                <w:iCs/>
              </w:rPr>
              <w:fldChar w:fldCharType="begin"/>
            </w:r>
            <w:r w:rsidRPr="00811E73">
              <w:rPr>
                <w:rFonts w:cs="Arial"/>
                <w:i/>
                <w:iCs/>
              </w:rPr>
              <w:instrText xml:space="preserve"> REF Schedule28Heading \h </w:instrText>
            </w:r>
            <w:r>
              <w:rPr>
                <w:rFonts w:cs="Arial"/>
                <w:i/>
                <w:iCs/>
              </w:rPr>
              <w:instrText xml:space="preserve"> \* MERGEFORMAT </w:instrText>
            </w:r>
            <w:r w:rsidRPr="00811E73">
              <w:rPr>
                <w:rFonts w:cs="Arial"/>
                <w:i/>
                <w:iCs/>
              </w:rPr>
            </w:r>
            <w:r w:rsidRPr="00811E73">
              <w:rPr>
                <w:rFonts w:cs="Arial"/>
                <w:i/>
                <w:iCs/>
              </w:rPr>
              <w:fldChar w:fldCharType="separate"/>
            </w:r>
            <w:r w:rsidR="007A1473" w:rsidRPr="007A1473">
              <w:rPr>
                <w:i/>
                <w:iCs/>
              </w:rPr>
              <w:t>Staff Transfer</w:t>
            </w:r>
            <w:r w:rsidRPr="00811E73">
              <w:rPr>
                <w:rFonts w:cs="Arial"/>
                <w:i/>
                <w:iCs/>
              </w:rPr>
              <w:fldChar w:fldCharType="end"/>
            </w:r>
            <w:r w:rsidRPr="00535337">
              <w:rPr>
                <w:rFonts w:cs="Arial"/>
              </w:rPr>
              <w:t>)</w:t>
            </w:r>
            <w:r>
              <w:rPr>
                <w:rFonts w:cs="Arial"/>
              </w:rPr>
              <w:t>;</w:t>
            </w:r>
          </w:p>
          <w:p w14:paraId="2ABF3ABD" w14:textId="77777777" w:rsidR="002071BF" w:rsidRPr="008D6A63" w:rsidRDefault="002071BF" w:rsidP="002071BF">
            <w:pPr>
              <w:pStyle w:val="DefinitionList"/>
              <w:numPr>
                <w:ilvl w:val="0"/>
                <w:numId w:val="78"/>
              </w:numPr>
              <w:rPr>
                <w:rFonts w:cs="Arial"/>
              </w:rPr>
            </w:pPr>
            <w:r w:rsidRPr="008D6A63">
              <w:rPr>
                <w:rFonts w:cs="Arial"/>
              </w:rPr>
              <w:t xml:space="preserve">the Authority has become aware that the Supplier should have been excluded under </w:t>
            </w:r>
            <w:bookmarkStart w:id="229" w:name="_9kR3WTr277DIJhKgx3kt2y4MUR9DSD4ADzitC4C"/>
            <w:r w:rsidRPr="008D6A63">
              <w:rPr>
                <w:rFonts w:cs="Arial"/>
              </w:rPr>
              <w:t>Regulation 57(1) or (2) of the Public Contracts Regulations 2015</w:t>
            </w:r>
            <w:bookmarkEnd w:id="229"/>
            <w:r w:rsidRPr="008D6A63">
              <w:rPr>
                <w:rFonts w:cs="Arial"/>
              </w:rPr>
              <w:t xml:space="preserve"> from the procurement procedure leading to the award of this Contract; </w:t>
            </w:r>
          </w:p>
          <w:p w14:paraId="053D3643" w14:textId="77777777" w:rsidR="002071BF" w:rsidRPr="008D6A63" w:rsidRDefault="002071BF" w:rsidP="002071BF">
            <w:pPr>
              <w:pStyle w:val="DefinitionList"/>
              <w:numPr>
                <w:ilvl w:val="0"/>
                <w:numId w:val="78"/>
              </w:numPr>
              <w:rPr>
                <w:rFonts w:cs="Arial"/>
              </w:rPr>
            </w:pPr>
            <w:r w:rsidRPr="008D6A63">
              <w:rPr>
                <w:rFonts w:cs="Arial"/>
              </w:rPr>
              <w:t xml:space="preserve">a failure by the Supplier to comply in the performance of the Services with legal obligations in the fields of environmental, social or labour law; </w:t>
            </w:r>
          </w:p>
          <w:p w14:paraId="18575467" w14:textId="321AA332" w:rsidR="002071BF" w:rsidRPr="008D6A63" w:rsidRDefault="002071BF" w:rsidP="002071BF">
            <w:pPr>
              <w:pStyle w:val="DefinitionList"/>
              <w:numPr>
                <w:ilvl w:val="0"/>
                <w:numId w:val="78"/>
              </w:numPr>
              <w:rPr>
                <w:rFonts w:cs="Arial"/>
              </w:rPr>
            </w:pPr>
            <w:r w:rsidRPr="008D6A63">
              <w:rPr>
                <w:rFonts w:cs="Arial"/>
              </w:rPr>
              <w:t xml:space="preserve">in relation to </w:t>
            </w:r>
            <w:r>
              <w:rPr>
                <w:rFonts w:cs="Arial"/>
              </w:rPr>
              <w:fldChar w:fldCharType="begin"/>
            </w:r>
            <w:r>
              <w:rPr>
                <w:rFonts w:cs="Arial"/>
              </w:rPr>
              <w:instrText xml:space="preserve"> REF Schedule5 \h </w:instrText>
            </w:r>
            <w:r>
              <w:rPr>
                <w:rFonts w:cs="Arial"/>
              </w:rPr>
            </w:r>
            <w:r>
              <w:rPr>
                <w:rFonts w:cs="Arial"/>
              </w:rPr>
              <w:fldChar w:fldCharType="separate"/>
            </w:r>
            <w:r w:rsidR="007A1473" w:rsidRPr="005D0525">
              <w:t>Schedule</w:t>
            </w:r>
            <w:r w:rsidR="007A1473">
              <w:t> </w:t>
            </w:r>
            <w:r w:rsidR="007A1473" w:rsidRPr="005D0525">
              <w:t>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Security Management</w:t>
            </w:r>
            <w:r w:rsidRPr="00A22335">
              <w:rPr>
                <w:rFonts w:cs="Arial"/>
                <w:i/>
                <w:iCs/>
              </w:rPr>
              <w:fldChar w:fldCharType="end"/>
            </w:r>
            <w:r>
              <w:rPr>
                <w:rFonts w:cs="Arial"/>
              </w:rPr>
              <w:t>)</w:t>
            </w:r>
            <w:r w:rsidRPr="008D6A63">
              <w:rPr>
                <w:rFonts w:cs="Arial"/>
              </w:rPr>
              <w:t>:</w:t>
            </w:r>
          </w:p>
          <w:p w14:paraId="694D9F66" w14:textId="549EF056" w:rsidR="002071BF" w:rsidRPr="008D6A63" w:rsidRDefault="002071BF" w:rsidP="002071BF">
            <w:pPr>
              <w:pStyle w:val="DefinitionListLevel1"/>
              <w:numPr>
                <w:ilvl w:val="1"/>
                <w:numId w:val="78"/>
              </w:numPr>
              <w:rPr>
                <w:rFonts w:cs="Arial"/>
              </w:rPr>
            </w:pPr>
            <w:r w:rsidRPr="008D6A63">
              <w:rPr>
                <w:rFonts w:cs="Arial"/>
              </w:rPr>
              <w:t xml:space="preserve">the Authority has issued two </w:t>
            </w:r>
            <w:r>
              <w:rPr>
                <w:rFonts w:cs="Arial"/>
              </w:rPr>
              <w:t>Risk Management R</w:t>
            </w:r>
            <w:r w:rsidRPr="008D6A63">
              <w:rPr>
                <w:rFonts w:cs="Arial"/>
              </w:rPr>
              <w:t xml:space="preserve">ejection </w:t>
            </w:r>
            <w:r>
              <w:rPr>
                <w:rFonts w:cs="Arial"/>
              </w:rPr>
              <w:t>N</w:t>
            </w:r>
            <w:r w:rsidRPr="008D6A63">
              <w:rPr>
                <w:rFonts w:cs="Arial"/>
              </w:rPr>
              <w:t xml:space="preserve">otices in respect of the Security Management Plan under </w:t>
            </w:r>
            <w:r>
              <w:rPr>
                <w:rFonts w:cs="Arial"/>
              </w:rPr>
              <w:t xml:space="preserve">Paragraph 14.7.2 of Schedule 5 </w:t>
            </w:r>
            <w:r w:rsidRPr="00CF6D80">
              <w:rPr>
                <w:rFonts w:cs="Arial"/>
                <w:i/>
              </w:rPr>
              <w:t>(Security Management)</w:t>
            </w:r>
            <w:r>
              <w:rPr>
                <w:rFonts w:cs="Arial"/>
              </w:rPr>
              <w:t>;</w:t>
            </w:r>
          </w:p>
          <w:p w14:paraId="61E8FDCB" w14:textId="77777777" w:rsidR="002071BF" w:rsidRPr="008D6A63" w:rsidRDefault="002071BF" w:rsidP="002071BF">
            <w:pPr>
              <w:pStyle w:val="DefinitionListLevel1"/>
              <w:numPr>
                <w:ilvl w:val="1"/>
                <w:numId w:val="78"/>
              </w:numPr>
              <w:rPr>
                <w:rFonts w:cs="Arial"/>
              </w:rPr>
            </w:pPr>
            <w:r w:rsidRPr="008D6A63">
              <w:rPr>
                <w:rFonts w:cs="Arial"/>
              </w:rPr>
              <w:t>the Supplier fails to implement a change required by the Required Changes Register in accordance with the timescales set out in the Required Changes Register;</w:t>
            </w:r>
          </w:p>
          <w:p w14:paraId="425D4A9C" w14:textId="77777777" w:rsidR="002071BF" w:rsidRPr="008D6A63" w:rsidRDefault="002071BF" w:rsidP="002071BF">
            <w:pPr>
              <w:pStyle w:val="DefinitionListLevel1"/>
              <w:numPr>
                <w:ilvl w:val="1"/>
                <w:numId w:val="78"/>
              </w:numPr>
              <w:rPr>
                <w:rFonts w:cs="Arial"/>
              </w:rPr>
            </w:pPr>
            <w:r w:rsidRPr="008D6A63">
              <w:rPr>
                <w:rFonts w:cs="Arial"/>
              </w:rPr>
              <w:t>Supplier COTS Software and Third Party COTS Software is not within mainstream support unless the Authority has agreed in writing</w:t>
            </w:r>
            <w:r>
              <w:rPr>
                <w:rFonts w:cs="Arial"/>
              </w:rPr>
              <w:t>;</w:t>
            </w:r>
          </w:p>
          <w:p w14:paraId="100411CD" w14:textId="52FE8BF0" w:rsidR="002071BF" w:rsidRPr="008D6A63" w:rsidRDefault="002071BF" w:rsidP="002071BF">
            <w:pPr>
              <w:pStyle w:val="DefinitionListLevel1"/>
              <w:numPr>
                <w:ilvl w:val="1"/>
                <w:numId w:val="78"/>
              </w:numPr>
              <w:rPr>
                <w:rFonts w:cs="Arial"/>
              </w:rPr>
            </w:pPr>
            <w:r w:rsidRPr="008D6A63">
              <w:rPr>
                <w:rFonts w:cs="Arial"/>
              </w:rPr>
              <w:t>the Supplier fails to patch vulnerabilities in accordance with the Security Requirements</w:t>
            </w:r>
            <w:r>
              <w:t xml:space="preserve"> </w:t>
            </w:r>
            <w:r w:rsidRPr="00BA075B">
              <w:rPr>
                <w:rFonts w:cs="Arial"/>
              </w:rPr>
              <w:t xml:space="preserve">set out in the </w:t>
            </w:r>
            <w:r>
              <w:rPr>
                <w:rFonts w:cs="Arial"/>
              </w:rPr>
              <w:t>Appendices</w:t>
            </w:r>
            <w:r w:rsidRPr="00BA075B">
              <w:rPr>
                <w:rFonts w:cs="Arial"/>
              </w:rPr>
              <w:t xml:space="preserve"> to </w:t>
            </w:r>
            <w:r>
              <w:rPr>
                <w:rFonts w:cs="Arial"/>
              </w:rPr>
              <w:fldChar w:fldCharType="begin"/>
            </w:r>
            <w:r>
              <w:rPr>
                <w:rFonts w:cs="Arial"/>
              </w:rPr>
              <w:instrText xml:space="preserve"> REF Schedule5 \h </w:instrText>
            </w:r>
            <w:r>
              <w:rPr>
                <w:rFonts w:cs="Arial"/>
              </w:rPr>
            </w:r>
            <w:r>
              <w:rPr>
                <w:rFonts w:cs="Arial"/>
              </w:rPr>
              <w:fldChar w:fldCharType="separate"/>
            </w:r>
            <w:r w:rsidR="007A1473" w:rsidRPr="005D0525">
              <w:t>Schedule</w:t>
            </w:r>
            <w:r w:rsidR="007A1473">
              <w:t> </w:t>
            </w:r>
            <w:r w:rsidR="007A1473" w:rsidRPr="005D0525">
              <w:t>5</w:t>
            </w:r>
            <w:r>
              <w:rPr>
                <w:rFonts w:cs="Arial"/>
              </w:rPr>
              <w:fldChar w:fldCharType="end"/>
            </w:r>
            <w:r w:rsidRPr="00BA075B">
              <w:rPr>
                <w:rFonts w:cs="Arial"/>
              </w:rPr>
              <w:t xml:space="preserve"> (</w:t>
            </w:r>
            <w:r w:rsidRPr="00A22335">
              <w:rPr>
                <w:rFonts w:cs="Arial"/>
                <w:i/>
                <w:iCs/>
              </w:rPr>
              <w:fldChar w:fldCharType="begin"/>
            </w:r>
            <w:r w:rsidRPr="00A22335">
              <w:rPr>
                <w:rFonts w:cs="Arial"/>
                <w:i/>
                <w:iCs/>
              </w:rPr>
              <w:instrText xml:space="preserve"> REF Schedule5Heading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Security Management</w:t>
            </w:r>
            <w:r w:rsidRPr="00A22335">
              <w:rPr>
                <w:rFonts w:cs="Arial"/>
                <w:i/>
                <w:iCs/>
              </w:rPr>
              <w:fldChar w:fldCharType="end"/>
            </w:r>
            <w:r w:rsidRPr="00E82D9F">
              <w:rPr>
                <w:rFonts w:cs="Arial"/>
              </w:rPr>
              <w:t>)</w:t>
            </w:r>
            <w:r w:rsidRPr="00BA075B">
              <w:rPr>
                <w:rFonts w:cs="Arial"/>
                <w:i/>
                <w:iCs/>
              </w:rPr>
              <w:t>;</w:t>
            </w:r>
            <w:r w:rsidRPr="008D6A63">
              <w:rPr>
                <w:rFonts w:cs="Arial"/>
              </w:rPr>
              <w:t xml:space="preserve"> and/or </w:t>
            </w:r>
          </w:p>
          <w:p w14:paraId="072B91C2" w14:textId="0E510201" w:rsidR="002071BF" w:rsidRPr="000F3E80" w:rsidRDefault="002071BF" w:rsidP="002071BF">
            <w:pPr>
              <w:pStyle w:val="DefinitionListLevel1"/>
              <w:numPr>
                <w:ilvl w:val="1"/>
                <w:numId w:val="78"/>
              </w:numPr>
              <w:rPr>
                <w:rFonts w:cs="Arial"/>
              </w:rPr>
            </w:pPr>
            <w:r w:rsidRPr="000F3E80">
              <w:rPr>
                <w:rFonts w:cs="Arial"/>
              </w:rPr>
              <w:lastRenderedPageBreak/>
              <w:t xml:space="preserve">the Supplier fails to comply with the </w:t>
            </w:r>
            <w:r>
              <w:rPr>
                <w:rFonts w:cs="Arial"/>
              </w:rPr>
              <w:t>Remediation Action Plan p</w:t>
            </w:r>
            <w:r w:rsidRPr="000F3E80">
              <w:rPr>
                <w:rFonts w:cs="Arial"/>
              </w:rPr>
              <w:t>rocess</w:t>
            </w:r>
            <w:r>
              <w:rPr>
                <w:rFonts w:cs="Arial"/>
              </w:rPr>
              <w:t xml:space="preserve"> set out in Schedule 5 </w:t>
            </w:r>
            <w:r w:rsidRPr="00673249">
              <w:rPr>
                <w:rFonts w:cs="Arial"/>
                <w:i/>
              </w:rPr>
              <w:t>(Security Management)</w:t>
            </w:r>
            <w:r>
              <w:rPr>
                <w:rFonts w:cs="Arial"/>
              </w:rPr>
              <w:t xml:space="preserve"> and/or the incident management process set out in the Security Management Plan</w:t>
            </w:r>
            <w:r w:rsidRPr="000F3E80">
              <w:rPr>
                <w:rFonts w:cs="Arial"/>
              </w:rPr>
              <w:t>;</w:t>
            </w:r>
          </w:p>
          <w:p w14:paraId="73078363" w14:textId="5008A0CF" w:rsidR="002071BF" w:rsidRDefault="002071BF" w:rsidP="002071BF">
            <w:pPr>
              <w:pStyle w:val="DefinitionList"/>
              <w:numPr>
                <w:ilvl w:val="0"/>
                <w:numId w:val="78"/>
              </w:numPr>
            </w:pPr>
            <w:r>
              <w:t>the Supplier is in Material Default of any Joint Controller Agreement relating to the Contract;</w:t>
            </w:r>
          </w:p>
          <w:p w14:paraId="2D83805E" w14:textId="4FD6C69C" w:rsidR="002071BF" w:rsidRDefault="002071BF" w:rsidP="002071BF">
            <w:pPr>
              <w:pStyle w:val="DefinitionList"/>
              <w:numPr>
                <w:ilvl w:val="0"/>
                <w:numId w:val="78"/>
              </w:numPr>
            </w:pPr>
            <w:r>
              <w:t>a Default that occurs and continues to occur on one or more occasions within 6 Months following the Authority serving a warning notice on the Supplier that it may terminate for persistent breach of the Contract;</w:t>
            </w:r>
          </w:p>
          <w:p w14:paraId="45746208" w14:textId="77777777" w:rsidR="002071BF" w:rsidRDefault="002071BF" w:rsidP="002071BF">
            <w:pPr>
              <w:pStyle w:val="DefinitionList"/>
              <w:numPr>
                <w:ilvl w:val="0"/>
                <w:numId w:val="78"/>
              </w:numPr>
            </w:pPr>
            <w:r>
              <w:t>the Supplier or its Affiliates embarrass or bring the Authority into disrepute or diminish the public trust in them; and/or</w:t>
            </w:r>
          </w:p>
          <w:p w14:paraId="28E0552A" w14:textId="7181B8E1" w:rsidR="002071BF" w:rsidRPr="008D6A63" w:rsidRDefault="002071BF" w:rsidP="002071BF">
            <w:pPr>
              <w:pStyle w:val="DefinitionList"/>
              <w:numPr>
                <w:ilvl w:val="0"/>
                <w:numId w:val="78"/>
              </w:numPr>
            </w:pPr>
            <w:r>
              <w:t>at any time during the period of performance of the Implementation Services, the Authority determines (acting reasonably, but in its sole discretion) that the that the Supplier has failed or will fail to meet (or there is a significant risk that it will fail to meet) the Authority Requirements and/or the commitments made in the ITT Response in any material respect(s);</w:t>
            </w:r>
          </w:p>
        </w:tc>
      </w:tr>
      <w:tr w:rsidR="002071BF" w:rsidRPr="00FC322D" w14:paraId="5ABE0CA0" w14:textId="77777777" w:rsidTr="0052486C">
        <w:tc>
          <w:tcPr>
            <w:tcW w:w="2835" w:type="dxa"/>
          </w:tcPr>
          <w:p w14:paraId="63724904" w14:textId="77777777" w:rsidR="002071BF" w:rsidRPr="00FC322D" w:rsidRDefault="002071BF" w:rsidP="002071BF">
            <w:pPr>
              <w:pStyle w:val="StdBodyTextBold"/>
              <w:rPr>
                <w:rFonts w:cs="Arial"/>
              </w:rPr>
            </w:pPr>
            <w:r>
              <w:rPr>
                <w:rFonts w:cs="Arial"/>
              </w:rPr>
              <w:lastRenderedPageBreak/>
              <w:t>“</w:t>
            </w:r>
            <w:r w:rsidRPr="00FC322D">
              <w:rPr>
                <w:rFonts w:cs="Arial"/>
              </w:rPr>
              <w:t>Supply Chain Transparency Report</w:t>
            </w:r>
            <w:r>
              <w:rPr>
                <w:rFonts w:cs="Arial"/>
              </w:rPr>
              <w:t>”</w:t>
            </w:r>
          </w:p>
        </w:tc>
        <w:tc>
          <w:tcPr>
            <w:tcW w:w="6803" w:type="dxa"/>
          </w:tcPr>
          <w:p w14:paraId="3267FF68" w14:textId="0C14988D" w:rsidR="002071BF" w:rsidRPr="00FC322D" w:rsidRDefault="002071BF" w:rsidP="002071BF">
            <w:pPr>
              <w:pStyle w:val="StdBodyText"/>
              <w:rPr>
                <w:rFonts w:cs="Arial"/>
              </w:rPr>
            </w:pPr>
            <w:r w:rsidRPr="00FC322D">
              <w:rPr>
                <w:rFonts w:cs="Arial"/>
              </w:rPr>
              <w:t xml:space="preserve">means the report provided by the Supplier to the Authority in the form set out in Annex </w:t>
            </w:r>
            <w:r w:rsidRPr="00FC322D">
              <w:rPr>
                <w:rFonts w:cs="Arial"/>
              </w:rPr>
              <w:fldChar w:fldCharType="begin"/>
            </w:r>
            <w:r w:rsidRPr="00FC322D">
              <w:rPr>
                <w:rFonts w:cs="Arial"/>
              </w:rPr>
              <w:instrText xml:space="preserve"> REF ANNEX4_SCHEDULE24 \h </w:instrText>
            </w:r>
            <w:r>
              <w:rPr>
                <w:rFonts w:cs="Arial"/>
              </w:rPr>
              <w:instrText xml:space="preserve"> \* MERGEFORMAT </w:instrText>
            </w:r>
            <w:r w:rsidRPr="00FC322D">
              <w:rPr>
                <w:rFonts w:cs="Arial"/>
              </w:rPr>
            </w:r>
            <w:r w:rsidRPr="00FC322D">
              <w:rPr>
                <w:rFonts w:cs="Arial"/>
              </w:rPr>
              <w:fldChar w:fldCharType="separate"/>
            </w:r>
            <w:r w:rsidR="007A1473" w:rsidRPr="007A1473">
              <w:rPr>
                <w:rFonts w:cs="Arial"/>
              </w:rPr>
              <w:t>4</w:t>
            </w:r>
            <w:r w:rsidRPr="00FC322D">
              <w:rPr>
                <w:rFonts w:cs="Arial"/>
              </w:rPr>
              <w:fldChar w:fldCharType="end"/>
            </w:r>
            <w:r w:rsidRPr="00FC322D">
              <w:rPr>
                <w:rFonts w:cs="Arial"/>
              </w:rPr>
              <w:t xml:space="preserve"> of </w:t>
            </w:r>
            <w:r>
              <w:rPr>
                <w:rFonts w:cs="Arial"/>
              </w:rPr>
              <w:fldChar w:fldCharType="begin"/>
            </w:r>
            <w:r>
              <w:rPr>
                <w:rFonts w:cs="Arial"/>
              </w:rPr>
              <w:instrText xml:space="preserve"> REF Schedule24 \h </w:instrText>
            </w:r>
            <w:r>
              <w:rPr>
                <w:rFonts w:cs="Arial"/>
              </w:rPr>
            </w:r>
            <w:r>
              <w:rPr>
                <w:rFonts w:cs="Arial"/>
              </w:rPr>
              <w:fldChar w:fldCharType="separate"/>
            </w:r>
            <w:r w:rsidR="007A1473" w:rsidRPr="005D0525">
              <w:t>Schedule</w:t>
            </w:r>
            <w:r w:rsidR="007A1473">
              <w:t> </w:t>
            </w:r>
            <w:r w:rsidR="007A1473" w:rsidRPr="005D0525">
              <w:t>24</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Schedule24Heading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Reports and Records Provisions</w:t>
            </w:r>
            <w:r w:rsidRPr="00A22335">
              <w:rPr>
                <w:rFonts w:cs="Arial"/>
                <w:i/>
                <w:iCs/>
              </w:rPr>
              <w:fldChar w:fldCharType="end"/>
            </w:r>
            <w:r>
              <w:rPr>
                <w:rFonts w:cs="Arial"/>
              </w:rPr>
              <w:t>)</w:t>
            </w:r>
            <w:r w:rsidRPr="00FC322D">
              <w:rPr>
                <w:rFonts w:cs="Arial"/>
              </w:rPr>
              <w:t>;</w:t>
            </w:r>
          </w:p>
        </w:tc>
      </w:tr>
      <w:tr w:rsidR="002071BF" w:rsidRPr="00FC322D" w14:paraId="5FA3C07C" w14:textId="77777777" w:rsidTr="0052486C">
        <w:tc>
          <w:tcPr>
            <w:tcW w:w="2835" w:type="dxa"/>
          </w:tcPr>
          <w:p w14:paraId="47F739C8" w14:textId="77777777" w:rsidR="002071BF" w:rsidRPr="00FC322D" w:rsidRDefault="002071BF" w:rsidP="002071BF">
            <w:pPr>
              <w:pStyle w:val="StdBodyTextBold"/>
              <w:rPr>
                <w:rFonts w:cs="Arial"/>
              </w:rPr>
            </w:pPr>
            <w:r>
              <w:rPr>
                <w:rFonts w:cs="Arial"/>
              </w:rPr>
              <w:t>“</w:t>
            </w:r>
            <w:r w:rsidRPr="00FC322D">
              <w:rPr>
                <w:rFonts w:cs="Arial"/>
              </w:rPr>
              <w:t>Target Performance Level</w:t>
            </w:r>
            <w:r>
              <w:rPr>
                <w:rFonts w:cs="Arial"/>
              </w:rPr>
              <w:t>”</w:t>
            </w:r>
          </w:p>
        </w:tc>
        <w:tc>
          <w:tcPr>
            <w:tcW w:w="6803" w:type="dxa"/>
          </w:tcPr>
          <w:p w14:paraId="72707775" w14:textId="4C9FBAA1" w:rsidR="002071BF" w:rsidRPr="00FC322D" w:rsidRDefault="002071BF" w:rsidP="002071BF">
            <w:pPr>
              <w:pStyle w:val="StdBodyText"/>
              <w:rPr>
                <w:rFonts w:cs="Arial"/>
              </w:rPr>
            </w:pPr>
            <w:r w:rsidRPr="00FC322D">
              <w:rPr>
                <w:rFonts w:cs="Arial"/>
              </w:rPr>
              <w:t xml:space="preserve">the minimum level of performance for a Performance Indicator which is required by the Authority, as set out against the relevant Performance Indicator in the tables in </w:t>
            </w:r>
            <w:r>
              <w:rPr>
                <w:rFonts w:cs="Arial"/>
              </w:rPr>
              <w:t>Part A of Annex 1</w:t>
            </w:r>
            <w:r w:rsidRPr="00FC322D">
              <w:rPr>
                <w:rFonts w:cs="Arial"/>
              </w:rPr>
              <w:t xml:space="preserve"> of </w:t>
            </w:r>
            <w:r>
              <w:rPr>
                <w:rFonts w:cs="Arial"/>
              </w:rPr>
              <w:fldChar w:fldCharType="begin"/>
            </w:r>
            <w:r>
              <w:rPr>
                <w:rFonts w:cs="Arial"/>
              </w:rPr>
              <w:instrText xml:space="preserve"> REF Schedule3 \h </w:instrText>
            </w:r>
            <w:r>
              <w:rPr>
                <w:rFonts w:cs="Arial"/>
              </w:rPr>
            </w:r>
            <w:r>
              <w:rPr>
                <w:rFonts w:cs="Arial"/>
              </w:rPr>
              <w:fldChar w:fldCharType="separate"/>
            </w:r>
            <w:r w:rsidR="007A1473" w:rsidRPr="005D0525">
              <w:t>Schedule</w:t>
            </w:r>
            <w:r w:rsidR="007A1473">
              <w:t> </w:t>
            </w:r>
            <w:r w:rsidR="007A1473" w:rsidRPr="005D0525">
              <w:t>3</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Schedule3Heading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Performance Levels</w:t>
            </w:r>
            <w:r w:rsidRPr="00A22335">
              <w:rPr>
                <w:rFonts w:cs="Arial"/>
                <w:i/>
                <w:iCs/>
              </w:rPr>
              <w:fldChar w:fldCharType="end"/>
            </w:r>
            <w:r>
              <w:rPr>
                <w:rFonts w:cs="Arial"/>
              </w:rPr>
              <w:t>)</w:t>
            </w:r>
            <w:r w:rsidRPr="00FC322D">
              <w:rPr>
                <w:rFonts w:cs="Arial"/>
              </w:rPr>
              <w:t>;</w:t>
            </w:r>
          </w:p>
        </w:tc>
      </w:tr>
      <w:tr w:rsidR="002071BF" w:rsidRPr="00FC322D" w14:paraId="61A2FD6A" w14:textId="77777777" w:rsidTr="0052486C">
        <w:tc>
          <w:tcPr>
            <w:tcW w:w="2835" w:type="dxa"/>
          </w:tcPr>
          <w:p w14:paraId="281C2DFD" w14:textId="77777777" w:rsidR="002071BF" w:rsidRPr="00FC322D" w:rsidRDefault="002071BF" w:rsidP="002071BF">
            <w:pPr>
              <w:pStyle w:val="StdBodyTextBold"/>
              <w:rPr>
                <w:rFonts w:cs="Arial"/>
              </w:rPr>
            </w:pPr>
            <w:r>
              <w:rPr>
                <w:rFonts w:cs="Arial"/>
              </w:rPr>
              <w:t>“</w:t>
            </w:r>
            <w:r w:rsidRPr="00FC322D">
              <w:rPr>
                <w:rFonts w:cs="Arial"/>
              </w:rPr>
              <w:t>Term</w:t>
            </w:r>
            <w:r>
              <w:rPr>
                <w:rFonts w:cs="Arial"/>
              </w:rPr>
              <w:t>”</w:t>
            </w:r>
          </w:p>
        </w:tc>
        <w:tc>
          <w:tcPr>
            <w:tcW w:w="6803" w:type="dxa"/>
          </w:tcPr>
          <w:p w14:paraId="5C1D0DB0" w14:textId="77777777" w:rsidR="002071BF" w:rsidRPr="00FC322D" w:rsidRDefault="002071BF" w:rsidP="002071BF">
            <w:pPr>
              <w:pStyle w:val="StdBodyText"/>
              <w:rPr>
                <w:rFonts w:cs="Arial"/>
              </w:rPr>
            </w:pPr>
            <w:r w:rsidRPr="00FC322D">
              <w:rPr>
                <w:rFonts w:cs="Arial"/>
              </w:rPr>
              <w:t>the period commencing on the Effective Date and ending on the expiry of the Initial Term or any Extension Period or on earlier termination of this Contract;</w:t>
            </w:r>
          </w:p>
        </w:tc>
      </w:tr>
      <w:tr w:rsidR="002071BF" w:rsidRPr="00FC322D" w14:paraId="4E60EE47" w14:textId="77777777" w:rsidTr="0052486C">
        <w:tc>
          <w:tcPr>
            <w:tcW w:w="2835" w:type="dxa"/>
          </w:tcPr>
          <w:p w14:paraId="44E0BB9A" w14:textId="77777777" w:rsidR="002071BF" w:rsidRPr="00FC322D" w:rsidRDefault="002071BF" w:rsidP="002071BF">
            <w:pPr>
              <w:pStyle w:val="StdBodyTextBold"/>
              <w:rPr>
                <w:rFonts w:cs="Arial"/>
              </w:rPr>
            </w:pPr>
            <w:r>
              <w:rPr>
                <w:rFonts w:cs="Arial"/>
              </w:rPr>
              <w:t>“</w:t>
            </w:r>
            <w:bookmarkStart w:id="230" w:name="_9kR3WTr2AADFAdMr0sunu3z5SSH89L4z2uglOJ3"/>
            <w:r w:rsidRPr="00FC322D">
              <w:rPr>
                <w:rFonts w:cs="Arial"/>
              </w:rPr>
              <w:t>Termination Assistance Notice</w:t>
            </w:r>
            <w:bookmarkEnd w:id="230"/>
            <w:r>
              <w:rPr>
                <w:rFonts w:cs="Arial"/>
              </w:rPr>
              <w:t>”</w:t>
            </w:r>
          </w:p>
        </w:tc>
        <w:tc>
          <w:tcPr>
            <w:tcW w:w="6803" w:type="dxa"/>
          </w:tcPr>
          <w:p w14:paraId="7C89D297" w14:textId="71D94651" w:rsidR="002071BF" w:rsidRPr="00FC322D" w:rsidRDefault="002071BF" w:rsidP="002071BF">
            <w:pPr>
              <w:pStyle w:val="StdBodyText"/>
              <w:rPr>
                <w:rFonts w:cs="Arial"/>
              </w:rPr>
            </w:pPr>
            <w:r w:rsidRPr="00FC322D">
              <w:rPr>
                <w:rFonts w:cs="Arial"/>
              </w:rPr>
              <w:t xml:space="preserve">has the meaning given in </w:t>
            </w:r>
            <w:bookmarkStart w:id="231" w:name="_9kR3WTr2CC57DcEnoewrqyFN"/>
            <w:r w:rsidRPr="00FC322D">
              <w:rPr>
                <w:rFonts w:cs="Arial"/>
              </w:rPr>
              <w:t xml:space="preserve">Paragraph </w:t>
            </w:r>
            <w:bookmarkEnd w:id="231"/>
            <w:r w:rsidRPr="00FC322D">
              <w:rPr>
                <w:rFonts w:cs="Arial"/>
              </w:rPr>
              <w:fldChar w:fldCharType="begin"/>
            </w:r>
            <w:r w:rsidRPr="00FC322D">
              <w:rPr>
                <w:rFonts w:cs="Arial"/>
              </w:rPr>
              <w:instrText xml:space="preserve"> REF _Ref44572429 \r \h  \* MERGEFORMAT </w:instrText>
            </w:r>
            <w:r w:rsidRPr="00FC322D">
              <w:rPr>
                <w:rFonts w:cs="Arial"/>
              </w:rPr>
            </w:r>
            <w:r w:rsidRPr="00FC322D">
              <w:rPr>
                <w:rFonts w:cs="Arial"/>
              </w:rPr>
              <w:fldChar w:fldCharType="separate"/>
            </w:r>
            <w:r w:rsidR="007A1473">
              <w:rPr>
                <w:rFonts w:cs="Arial"/>
              </w:rPr>
              <w:t>5</w:t>
            </w:r>
            <w:r w:rsidRPr="00FC322D">
              <w:rPr>
                <w:rFonts w:cs="Arial"/>
              </w:rPr>
              <w:fldChar w:fldCharType="end"/>
            </w:r>
            <w:r w:rsidRPr="00FC322D">
              <w:rPr>
                <w:rFonts w:cs="Arial"/>
              </w:rPr>
              <w:t xml:space="preserve"> of </w:t>
            </w:r>
            <w:r>
              <w:rPr>
                <w:rFonts w:cs="Arial"/>
              </w:rPr>
              <w:fldChar w:fldCharType="begin"/>
            </w:r>
            <w:r>
              <w:rPr>
                <w:rFonts w:cs="Arial"/>
              </w:rPr>
              <w:instrText xml:space="preserve"> REF Schedule25 \h </w:instrText>
            </w:r>
            <w:r>
              <w:rPr>
                <w:rFonts w:cs="Arial"/>
              </w:rPr>
            </w:r>
            <w:r>
              <w:rPr>
                <w:rFonts w:cs="Arial"/>
              </w:rPr>
              <w:fldChar w:fldCharType="separate"/>
            </w:r>
            <w:r w:rsidR="007A1473" w:rsidRPr="005D0525">
              <w:t>Schedule 25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Exit Management</w:t>
            </w:r>
            <w:r w:rsidRPr="00A22335">
              <w:rPr>
                <w:rFonts w:cs="Arial"/>
                <w:i/>
                <w:iCs/>
              </w:rPr>
              <w:fldChar w:fldCharType="end"/>
            </w:r>
            <w:r>
              <w:rPr>
                <w:rFonts w:cs="Arial"/>
              </w:rPr>
              <w:t>)</w:t>
            </w:r>
            <w:r w:rsidRPr="00FC322D">
              <w:rPr>
                <w:rFonts w:cs="Arial"/>
              </w:rPr>
              <w:t>;</w:t>
            </w:r>
          </w:p>
        </w:tc>
      </w:tr>
      <w:tr w:rsidR="002071BF" w:rsidRPr="00FC322D" w14:paraId="7170D78A" w14:textId="77777777" w:rsidTr="0052486C">
        <w:tc>
          <w:tcPr>
            <w:tcW w:w="2835" w:type="dxa"/>
          </w:tcPr>
          <w:p w14:paraId="77A20AB5" w14:textId="77777777" w:rsidR="002071BF" w:rsidRPr="00FC322D" w:rsidRDefault="002071BF" w:rsidP="002071BF">
            <w:pPr>
              <w:pStyle w:val="StdBodyTextBold"/>
              <w:rPr>
                <w:rFonts w:cs="Arial"/>
              </w:rPr>
            </w:pPr>
            <w:r>
              <w:rPr>
                <w:rFonts w:cs="Arial"/>
              </w:rPr>
              <w:t>“</w:t>
            </w:r>
            <w:r w:rsidRPr="00FC322D">
              <w:rPr>
                <w:rFonts w:cs="Arial"/>
              </w:rPr>
              <w:t>Termination Assistance Period</w:t>
            </w:r>
            <w:r>
              <w:rPr>
                <w:rFonts w:cs="Arial"/>
              </w:rPr>
              <w:t>”</w:t>
            </w:r>
          </w:p>
        </w:tc>
        <w:tc>
          <w:tcPr>
            <w:tcW w:w="6803" w:type="dxa"/>
          </w:tcPr>
          <w:p w14:paraId="1E81B7B2" w14:textId="19CCCF8C" w:rsidR="002071BF" w:rsidRPr="00FC322D" w:rsidRDefault="002071BF" w:rsidP="002071BF">
            <w:pPr>
              <w:pStyle w:val="StdBodyText"/>
              <w:rPr>
                <w:rFonts w:cs="Arial"/>
              </w:rPr>
            </w:pPr>
            <w:r w:rsidRPr="00FC322D">
              <w:rPr>
                <w:rFonts w:cs="Arial"/>
              </w:rPr>
              <w:t xml:space="preserve">in relation to a </w:t>
            </w:r>
            <w:bookmarkStart w:id="232" w:name="_9kMHG5YVt4CCFHCfOt2uwpw517UUJABN614winQ"/>
            <w:r w:rsidRPr="00FC322D">
              <w:rPr>
                <w:rFonts w:cs="Arial"/>
              </w:rPr>
              <w:t>Termination Assistance Notice</w:t>
            </w:r>
            <w:bookmarkEnd w:id="232"/>
            <w:r w:rsidRPr="00FC322D">
              <w:rPr>
                <w:rFonts w:cs="Arial"/>
              </w:rPr>
              <w:t xml:space="preserve">, the period specified in the </w:t>
            </w:r>
            <w:bookmarkStart w:id="233" w:name="_9kMIH5YVt4CCFHCfOt2uwpw517UUJABN614winQ"/>
            <w:r w:rsidRPr="00FC322D">
              <w:rPr>
                <w:rFonts w:cs="Arial"/>
              </w:rPr>
              <w:t>Termination Assistance Notice</w:t>
            </w:r>
            <w:bookmarkEnd w:id="233"/>
            <w:r w:rsidRPr="00FC322D">
              <w:rPr>
                <w:rFonts w:cs="Arial"/>
              </w:rPr>
              <w:t xml:space="preserve"> for which the Supplier is required to provide the Termination Services as such period may be extended pursuant to </w:t>
            </w:r>
            <w:bookmarkStart w:id="234" w:name="_9kR3WTr2CC57EdEnoewrqyFO"/>
            <w:r w:rsidRPr="00FC322D">
              <w:rPr>
                <w:rFonts w:cs="Arial"/>
              </w:rPr>
              <w:t xml:space="preserve">Paragraph </w:t>
            </w:r>
            <w:bookmarkEnd w:id="234"/>
            <w:r w:rsidRPr="00FC322D">
              <w:rPr>
                <w:rFonts w:cs="Arial"/>
              </w:rPr>
              <w:fldChar w:fldCharType="begin"/>
            </w:r>
            <w:r w:rsidRPr="00FC322D">
              <w:rPr>
                <w:rFonts w:cs="Arial"/>
              </w:rPr>
              <w:instrText xml:space="preserve"> REF _Ref_ContractCompanion_9kb9Us8D7 \r \h  \* MERGEFORMAT </w:instrText>
            </w:r>
            <w:r w:rsidRPr="00FC322D">
              <w:rPr>
                <w:rFonts w:cs="Arial"/>
              </w:rPr>
            </w:r>
            <w:r w:rsidRPr="00FC322D">
              <w:rPr>
                <w:rFonts w:cs="Arial"/>
              </w:rPr>
              <w:fldChar w:fldCharType="separate"/>
            </w:r>
            <w:r w:rsidR="007A1473">
              <w:rPr>
                <w:rFonts w:cs="Arial"/>
              </w:rPr>
              <w:t>5.2</w:t>
            </w:r>
            <w:r w:rsidRPr="00FC322D">
              <w:rPr>
                <w:rFonts w:cs="Arial"/>
              </w:rPr>
              <w:fldChar w:fldCharType="end"/>
            </w:r>
            <w:r w:rsidRPr="00FC322D">
              <w:rPr>
                <w:rFonts w:cs="Arial"/>
              </w:rPr>
              <w:t xml:space="preserve"> of </w:t>
            </w:r>
            <w:r>
              <w:rPr>
                <w:rFonts w:cs="Arial"/>
              </w:rPr>
              <w:fldChar w:fldCharType="begin"/>
            </w:r>
            <w:r>
              <w:rPr>
                <w:rFonts w:cs="Arial"/>
              </w:rPr>
              <w:instrText xml:space="preserve"> REF Schedule25 \h </w:instrText>
            </w:r>
            <w:r>
              <w:rPr>
                <w:rFonts w:cs="Arial"/>
              </w:rPr>
            </w:r>
            <w:r>
              <w:rPr>
                <w:rFonts w:cs="Arial"/>
              </w:rPr>
              <w:fldChar w:fldCharType="separate"/>
            </w:r>
            <w:r w:rsidR="007A1473" w:rsidRPr="005D0525">
              <w:t>Schedule 25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Exit Management</w:t>
            </w:r>
            <w:r w:rsidRPr="00A22335">
              <w:rPr>
                <w:rFonts w:cs="Arial"/>
                <w:i/>
                <w:iCs/>
              </w:rPr>
              <w:fldChar w:fldCharType="end"/>
            </w:r>
            <w:r>
              <w:rPr>
                <w:rFonts w:cs="Arial"/>
              </w:rPr>
              <w:t>)</w:t>
            </w:r>
            <w:r w:rsidRPr="00FC322D">
              <w:rPr>
                <w:rFonts w:cs="Arial"/>
              </w:rPr>
              <w:t>;</w:t>
            </w:r>
          </w:p>
        </w:tc>
      </w:tr>
      <w:tr w:rsidR="002071BF" w:rsidRPr="00FC322D" w14:paraId="68F8594F" w14:textId="77777777" w:rsidTr="0052486C">
        <w:tc>
          <w:tcPr>
            <w:tcW w:w="2835" w:type="dxa"/>
          </w:tcPr>
          <w:p w14:paraId="1109CBF6" w14:textId="77777777" w:rsidR="002071BF" w:rsidRPr="00FC322D" w:rsidRDefault="002071BF" w:rsidP="002071BF">
            <w:pPr>
              <w:pStyle w:val="StdBodyTextBold"/>
              <w:rPr>
                <w:rFonts w:cs="Arial"/>
              </w:rPr>
            </w:pPr>
            <w:r>
              <w:rPr>
                <w:rFonts w:cs="Arial"/>
              </w:rPr>
              <w:t>“</w:t>
            </w:r>
            <w:r w:rsidRPr="00FC322D">
              <w:rPr>
                <w:rFonts w:cs="Arial"/>
              </w:rPr>
              <w:t>Termination Date</w:t>
            </w:r>
            <w:r>
              <w:rPr>
                <w:rFonts w:cs="Arial"/>
              </w:rPr>
              <w:t>”</w:t>
            </w:r>
          </w:p>
        </w:tc>
        <w:tc>
          <w:tcPr>
            <w:tcW w:w="6803" w:type="dxa"/>
          </w:tcPr>
          <w:p w14:paraId="3FE2558A" w14:textId="77777777" w:rsidR="002071BF" w:rsidRPr="00FC322D" w:rsidRDefault="002071BF" w:rsidP="002071BF">
            <w:pPr>
              <w:pStyle w:val="StdBodyText"/>
              <w:rPr>
                <w:rFonts w:cs="Arial"/>
              </w:rPr>
            </w:pPr>
            <w:r w:rsidRPr="00FC322D">
              <w:rPr>
                <w:rFonts w:cs="Arial"/>
              </w:rPr>
              <w:t xml:space="preserve">the date set out in a </w:t>
            </w:r>
            <w:bookmarkStart w:id="235" w:name="_9kMH1I6ZWu5DDGICfPu3vxqx628ieHCwt"/>
            <w:r w:rsidRPr="00FC322D">
              <w:rPr>
                <w:rFonts w:cs="Arial"/>
              </w:rPr>
              <w:t>Termination Notice</w:t>
            </w:r>
            <w:bookmarkEnd w:id="235"/>
            <w:r w:rsidRPr="00FC322D">
              <w:rPr>
                <w:rFonts w:cs="Arial"/>
              </w:rPr>
              <w:t xml:space="preserve"> on which this Contract (or a part of it as the case may be) is to terminate;</w:t>
            </w:r>
          </w:p>
        </w:tc>
      </w:tr>
      <w:tr w:rsidR="002071BF" w:rsidRPr="00FC322D" w14:paraId="74F75615" w14:textId="77777777" w:rsidTr="0052486C">
        <w:tc>
          <w:tcPr>
            <w:tcW w:w="2835" w:type="dxa"/>
          </w:tcPr>
          <w:p w14:paraId="1A872529" w14:textId="77777777" w:rsidR="002071BF" w:rsidRPr="00FC322D" w:rsidRDefault="002071BF" w:rsidP="002071BF">
            <w:pPr>
              <w:pStyle w:val="StdBodyTextBold"/>
              <w:rPr>
                <w:rFonts w:cs="Arial"/>
              </w:rPr>
            </w:pPr>
            <w:r>
              <w:rPr>
                <w:rFonts w:cs="Arial"/>
              </w:rPr>
              <w:lastRenderedPageBreak/>
              <w:t>“</w:t>
            </w:r>
            <w:bookmarkStart w:id="236" w:name="_9kMH2J6ZWu5DDGICfPu3vxqx628ieHCwt"/>
            <w:r w:rsidRPr="00FC322D">
              <w:rPr>
                <w:rFonts w:cs="Arial"/>
              </w:rPr>
              <w:t>Termination Notice</w:t>
            </w:r>
            <w:bookmarkEnd w:id="236"/>
            <w:r>
              <w:rPr>
                <w:rFonts w:cs="Arial"/>
              </w:rPr>
              <w:t>”</w:t>
            </w:r>
          </w:p>
        </w:tc>
        <w:tc>
          <w:tcPr>
            <w:tcW w:w="6803" w:type="dxa"/>
          </w:tcPr>
          <w:p w14:paraId="4DA95A3B" w14:textId="77777777" w:rsidR="002071BF" w:rsidRPr="00FC322D" w:rsidRDefault="002071BF" w:rsidP="002071BF">
            <w:pPr>
              <w:pStyle w:val="StdBodyText"/>
              <w:rPr>
                <w:rFonts w:cs="Arial"/>
              </w:rPr>
            </w:pPr>
            <w:r w:rsidRPr="00FC322D">
              <w:rPr>
                <w:rFonts w:cs="Arial"/>
              </w:rPr>
              <w:t>a written notice of termination given by one Party to the other, notifying the Party receiving the notice of the intention of the Party giving the notice to terminate this Contract (or any part thereof) on a specified date and setting out the grounds for termination;</w:t>
            </w:r>
          </w:p>
        </w:tc>
      </w:tr>
      <w:tr w:rsidR="002071BF" w:rsidRPr="00FC322D" w14:paraId="3AD17806" w14:textId="77777777" w:rsidTr="0052486C">
        <w:tc>
          <w:tcPr>
            <w:tcW w:w="2835" w:type="dxa"/>
          </w:tcPr>
          <w:p w14:paraId="4FAE5CDD" w14:textId="77777777" w:rsidR="002071BF" w:rsidRPr="00FC322D" w:rsidRDefault="002071BF" w:rsidP="002071BF">
            <w:pPr>
              <w:pStyle w:val="StdBodyTextBold"/>
              <w:rPr>
                <w:rFonts w:cs="Arial"/>
              </w:rPr>
            </w:pPr>
            <w:r>
              <w:rPr>
                <w:rFonts w:cs="Arial"/>
              </w:rPr>
              <w:t>“</w:t>
            </w:r>
            <w:r w:rsidRPr="00FC322D">
              <w:rPr>
                <w:rFonts w:cs="Arial"/>
              </w:rPr>
              <w:t>Termination Payment</w:t>
            </w:r>
            <w:r>
              <w:rPr>
                <w:rFonts w:cs="Arial"/>
              </w:rPr>
              <w:t>”</w:t>
            </w:r>
          </w:p>
        </w:tc>
        <w:tc>
          <w:tcPr>
            <w:tcW w:w="6803" w:type="dxa"/>
          </w:tcPr>
          <w:p w14:paraId="6F2D603A" w14:textId="6664B7C7" w:rsidR="002071BF" w:rsidRPr="00FC322D" w:rsidRDefault="002071BF" w:rsidP="002071BF">
            <w:pPr>
              <w:pStyle w:val="StdBodyText"/>
              <w:rPr>
                <w:rFonts w:cs="Arial"/>
              </w:rPr>
            </w:pPr>
            <w:r w:rsidRPr="00FC322D">
              <w:rPr>
                <w:rFonts w:cs="Arial"/>
              </w:rPr>
              <w:t xml:space="preserve">the payment determined in accordance with </w:t>
            </w:r>
            <w:r>
              <w:rPr>
                <w:rFonts w:cs="Arial"/>
              </w:rPr>
              <w:fldChar w:fldCharType="begin"/>
            </w:r>
            <w:r>
              <w:rPr>
                <w:rFonts w:cs="Arial"/>
              </w:rPr>
              <w:instrText xml:space="preserve"> REF Schedule16 \h </w:instrText>
            </w:r>
            <w:r>
              <w:rPr>
                <w:rFonts w:cs="Arial"/>
              </w:rPr>
            </w:r>
            <w:r>
              <w:rPr>
                <w:rFonts w:cs="Arial"/>
              </w:rPr>
              <w:fldChar w:fldCharType="separate"/>
            </w:r>
            <w:r w:rsidR="007A1473" w:rsidRPr="005D0525">
              <w:t>Schedule</w:t>
            </w:r>
            <w:r w:rsidR="007A1473">
              <w:t> </w:t>
            </w:r>
            <w:r w:rsidR="007A1473" w:rsidRPr="005D0525">
              <w:t>16</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Schedule16Heading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Payments on Termination</w:t>
            </w:r>
            <w:r w:rsidRPr="00B91437">
              <w:rPr>
                <w:rFonts w:cs="Arial"/>
                <w:i/>
                <w:iCs/>
              </w:rPr>
              <w:fldChar w:fldCharType="end"/>
            </w:r>
            <w:r>
              <w:rPr>
                <w:rFonts w:cs="Arial"/>
              </w:rPr>
              <w:t>)</w:t>
            </w:r>
            <w:r w:rsidRPr="00FC322D">
              <w:rPr>
                <w:rFonts w:cs="Arial"/>
              </w:rPr>
              <w:t>;</w:t>
            </w:r>
          </w:p>
        </w:tc>
      </w:tr>
      <w:tr w:rsidR="002071BF" w:rsidRPr="00FC322D" w14:paraId="3F8D016B" w14:textId="77777777" w:rsidTr="0052486C">
        <w:tc>
          <w:tcPr>
            <w:tcW w:w="2835" w:type="dxa"/>
          </w:tcPr>
          <w:p w14:paraId="10F647D6" w14:textId="77777777" w:rsidR="002071BF" w:rsidRPr="00FC322D" w:rsidRDefault="002071BF" w:rsidP="002071BF">
            <w:pPr>
              <w:pStyle w:val="StdBodyTextBold"/>
              <w:rPr>
                <w:rFonts w:cs="Arial"/>
              </w:rPr>
            </w:pPr>
            <w:r>
              <w:rPr>
                <w:rFonts w:cs="Arial"/>
              </w:rPr>
              <w:t>“</w:t>
            </w:r>
            <w:r w:rsidRPr="00FC322D">
              <w:rPr>
                <w:rFonts w:cs="Arial"/>
              </w:rPr>
              <w:t>Termination Services</w:t>
            </w:r>
            <w:r>
              <w:rPr>
                <w:rFonts w:cs="Arial"/>
              </w:rPr>
              <w:t>”</w:t>
            </w:r>
          </w:p>
        </w:tc>
        <w:tc>
          <w:tcPr>
            <w:tcW w:w="6803" w:type="dxa"/>
          </w:tcPr>
          <w:p w14:paraId="532EA56C" w14:textId="2DBE7B37" w:rsidR="002071BF" w:rsidRPr="00FC322D" w:rsidRDefault="002071BF" w:rsidP="002071BF">
            <w:pPr>
              <w:pStyle w:val="StdBodyText"/>
              <w:rPr>
                <w:rFonts w:cs="Arial"/>
              </w:rPr>
            </w:pPr>
            <w:r w:rsidRPr="00FC322D">
              <w:rPr>
                <w:rFonts w:cs="Arial"/>
              </w:rPr>
              <w:t xml:space="preserve">the services and activities to be performed by the Supplier pursuant to the Exit Plan, including those activities listed in Annex </w:t>
            </w:r>
            <w:r w:rsidRPr="00FC322D">
              <w:rPr>
                <w:rFonts w:cs="Arial"/>
              </w:rPr>
              <w:fldChar w:fldCharType="begin"/>
            </w:r>
            <w:r w:rsidRPr="00FC322D">
              <w:rPr>
                <w:rFonts w:cs="Arial"/>
              </w:rPr>
              <w:instrText xml:space="preserve"> REF ANNEX1_SCHEDULE25 \h </w:instrText>
            </w:r>
            <w:r>
              <w:rPr>
                <w:rFonts w:cs="Arial"/>
              </w:rPr>
              <w:instrText xml:space="preserve"> \* MERGEFORMAT </w:instrText>
            </w:r>
            <w:r w:rsidRPr="00FC322D">
              <w:rPr>
                <w:rFonts w:cs="Arial"/>
              </w:rPr>
            </w:r>
            <w:r w:rsidRPr="00FC322D">
              <w:rPr>
                <w:rFonts w:cs="Arial"/>
              </w:rPr>
              <w:fldChar w:fldCharType="separate"/>
            </w:r>
            <w:r w:rsidR="007A1473" w:rsidRPr="007A1473">
              <w:rPr>
                <w:rFonts w:cs="Arial"/>
              </w:rPr>
              <w:t>1</w:t>
            </w:r>
            <w:r w:rsidRPr="00FC322D">
              <w:rPr>
                <w:rFonts w:cs="Arial"/>
              </w:rPr>
              <w:fldChar w:fldCharType="end"/>
            </w:r>
            <w:r w:rsidRPr="00FC322D">
              <w:rPr>
                <w:rFonts w:cs="Arial"/>
              </w:rPr>
              <w:t xml:space="preserve"> of </w:t>
            </w:r>
            <w:r>
              <w:rPr>
                <w:rFonts w:cs="Arial"/>
              </w:rPr>
              <w:fldChar w:fldCharType="begin"/>
            </w:r>
            <w:r>
              <w:rPr>
                <w:rFonts w:cs="Arial"/>
              </w:rPr>
              <w:instrText xml:space="preserve"> REF Schedule25 \h </w:instrText>
            </w:r>
            <w:r>
              <w:rPr>
                <w:rFonts w:cs="Arial"/>
              </w:rPr>
            </w:r>
            <w:r>
              <w:rPr>
                <w:rFonts w:cs="Arial"/>
              </w:rPr>
              <w:fldChar w:fldCharType="separate"/>
            </w:r>
            <w:r w:rsidR="007A1473" w:rsidRPr="005D0525">
              <w:t>Schedule 25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Exit Management</w:t>
            </w:r>
            <w:r w:rsidRPr="00A22335">
              <w:rPr>
                <w:rFonts w:cs="Arial"/>
                <w:i/>
                <w:iCs/>
              </w:rPr>
              <w:fldChar w:fldCharType="end"/>
            </w:r>
            <w:r>
              <w:rPr>
                <w:rFonts w:cs="Arial"/>
              </w:rPr>
              <w:t>)</w:t>
            </w:r>
            <w:r w:rsidRPr="00FC322D">
              <w:rPr>
                <w:rFonts w:cs="Arial"/>
              </w:rPr>
              <w:t xml:space="preserve">, and any other services required pursuant to the </w:t>
            </w:r>
            <w:bookmarkStart w:id="237" w:name="_9kMJI5YVt4CCFHCfOt2uwpw517UUJABN614winQ"/>
            <w:r w:rsidRPr="00FC322D">
              <w:rPr>
                <w:rFonts w:cs="Arial"/>
              </w:rPr>
              <w:t>Termination Assistance Notice</w:t>
            </w:r>
            <w:bookmarkEnd w:id="237"/>
            <w:r w:rsidRPr="00FC322D">
              <w:rPr>
                <w:rFonts w:cs="Arial"/>
              </w:rPr>
              <w:t>;</w:t>
            </w:r>
          </w:p>
        </w:tc>
      </w:tr>
      <w:tr w:rsidR="002071BF" w:rsidRPr="00FC322D" w14:paraId="7C2CA9D7" w14:textId="77777777" w:rsidTr="0052486C">
        <w:tc>
          <w:tcPr>
            <w:tcW w:w="2835" w:type="dxa"/>
          </w:tcPr>
          <w:p w14:paraId="1F7C2FE7" w14:textId="77777777" w:rsidR="002071BF" w:rsidRPr="00FC322D" w:rsidRDefault="002071BF" w:rsidP="002071BF">
            <w:pPr>
              <w:pStyle w:val="StdBodyTextBold"/>
              <w:rPr>
                <w:rFonts w:cs="Arial"/>
              </w:rPr>
            </w:pPr>
            <w:r>
              <w:rPr>
                <w:rFonts w:cs="Arial"/>
              </w:rPr>
              <w:t>“</w:t>
            </w:r>
            <w:r w:rsidRPr="00FC322D">
              <w:rPr>
                <w:rFonts w:cs="Arial"/>
              </w:rPr>
              <w:t>Test Issues</w:t>
            </w:r>
            <w:r>
              <w:rPr>
                <w:rFonts w:cs="Arial"/>
              </w:rPr>
              <w:t>”</w:t>
            </w:r>
          </w:p>
        </w:tc>
        <w:tc>
          <w:tcPr>
            <w:tcW w:w="6803" w:type="dxa"/>
          </w:tcPr>
          <w:p w14:paraId="7A467613" w14:textId="6DE12E65" w:rsidR="002071BF" w:rsidRPr="00FC322D" w:rsidRDefault="002071BF" w:rsidP="002071BF">
            <w:pPr>
              <w:pStyle w:val="StdBodyText"/>
              <w:rPr>
                <w:rFonts w:cs="Arial"/>
              </w:rPr>
            </w:pPr>
            <w:r w:rsidRPr="00FC322D">
              <w:rPr>
                <w:rFonts w:cs="Arial"/>
              </w:rPr>
              <w:t xml:space="preserve">has the meaning given in </w:t>
            </w:r>
            <w:r>
              <w:rPr>
                <w:rFonts w:cs="Arial"/>
              </w:rPr>
              <w:fldChar w:fldCharType="begin"/>
            </w:r>
            <w:r>
              <w:rPr>
                <w:rFonts w:cs="Arial"/>
              </w:rPr>
              <w:instrText xml:space="preserve"> REF Schedule14 \h </w:instrText>
            </w:r>
            <w:r>
              <w:rPr>
                <w:rFonts w:cs="Arial"/>
              </w:rPr>
            </w:r>
            <w:r>
              <w:rPr>
                <w:rFonts w:cs="Arial"/>
              </w:rPr>
              <w:fldChar w:fldCharType="separate"/>
            </w:r>
            <w:r w:rsidR="007A1473" w:rsidRPr="005D0525">
              <w:t>Schedule</w:t>
            </w:r>
            <w:r w:rsidR="007A1473">
              <w:t> </w:t>
            </w:r>
            <w:r w:rsidR="007A1473" w:rsidRPr="005D0525">
              <w:t>14</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Schedule14Heading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Testing Procedures</w:t>
            </w:r>
            <w:r w:rsidRPr="00B91437">
              <w:rPr>
                <w:rFonts w:cs="Arial"/>
                <w:i/>
                <w:iCs/>
              </w:rPr>
              <w:fldChar w:fldCharType="end"/>
            </w:r>
            <w:r>
              <w:rPr>
                <w:rFonts w:cs="Arial"/>
              </w:rPr>
              <w:t>)</w:t>
            </w:r>
            <w:r w:rsidRPr="00FC322D">
              <w:rPr>
                <w:rFonts w:cs="Arial"/>
              </w:rPr>
              <w:t>;</w:t>
            </w:r>
          </w:p>
        </w:tc>
      </w:tr>
      <w:tr w:rsidR="002071BF" w:rsidRPr="00FC322D" w14:paraId="762726E3" w14:textId="77777777" w:rsidTr="0052486C">
        <w:tc>
          <w:tcPr>
            <w:tcW w:w="2835" w:type="dxa"/>
          </w:tcPr>
          <w:p w14:paraId="587C8F85" w14:textId="77777777" w:rsidR="002071BF" w:rsidRPr="00FC322D" w:rsidRDefault="002071BF" w:rsidP="002071BF">
            <w:pPr>
              <w:pStyle w:val="StdBodyTextBold"/>
              <w:rPr>
                <w:rFonts w:cs="Arial"/>
              </w:rPr>
            </w:pPr>
            <w:r>
              <w:rPr>
                <w:rFonts w:cs="Arial"/>
              </w:rPr>
              <w:t>“</w:t>
            </w:r>
            <w:r w:rsidRPr="00FC322D">
              <w:rPr>
                <w:rFonts w:cs="Arial"/>
              </w:rPr>
              <w:t>Tests</w:t>
            </w:r>
            <w:r>
              <w:rPr>
                <w:rFonts w:cs="Arial"/>
              </w:rPr>
              <w:t>”</w:t>
            </w:r>
            <w:r w:rsidRPr="00FC322D">
              <w:rPr>
                <w:rFonts w:cs="Arial"/>
              </w:rPr>
              <w:t xml:space="preserve"> and </w:t>
            </w:r>
            <w:r>
              <w:rPr>
                <w:rFonts w:cs="Arial"/>
              </w:rPr>
              <w:t>“</w:t>
            </w:r>
            <w:r w:rsidRPr="00FC322D">
              <w:rPr>
                <w:rFonts w:cs="Arial"/>
              </w:rPr>
              <w:t>Testing</w:t>
            </w:r>
            <w:r>
              <w:rPr>
                <w:rFonts w:cs="Arial"/>
              </w:rPr>
              <w:t>”</w:t>
            </w:r>
          </w:p>
        </w:tc>
        <w:tc>
          <w:tcPr>
            <w:tcW w:w="6803" w:type="dxa"/>
          </w:tcPr>
          <w:p w14:paraId="3D9AC93E" w14:textId="59ED6E62" w:rsidR="002071BF" w:rsidRPr="00FC322D" w:rsidRDefault="002071BF" w:rsidP="002071BF">
            <w:pPr>
              <w:pStyle w:val="StdBodyText"/>
              <w:rPr>
                <w:rFonts w:cs="Arial"/>
              </w:rPr>
            </w:pPr>
            <w:r w:rsidRPr="00FC322D">
              <w:rPr>
                <w:rFonts w:cs="Arial"/>
              </w:rPr>
              <w:t xml:space="preserve">any tests required to be carried out under this Contract, as further described in </w:t>
            </w:r>
            <w:r>
              <w:rPr>
                <w:rFonts w:cs="Arial"/>
              </w:rPr>
              <w:fldChar w:fldCharType="begin"/>
            </w:r>
            <w:r>
              <w:rPr>
                <w:rFonts w:cs="Arial"/>
              </w:rPr>
              <w:instrText xml:space="preserve"> REF Schedule14 \h </w:instrText>
            </w:r>
            <w:r>
              <w:rPr>
                <w:rFonts w:cs="Arial"/>
              </w:rPr>
            </w:r>
            <w:r>
              <w:rPr>
                <w:rFonts w:cs="Arial"/>
              </w:rPr>
              <w:fldChar w:fldCharType="separate"/>
            </w:r>
            <w:r w:rsidR="007A1473" w:rsidRPr="005D0525">
              <w:t>Schedule</w:t>
            </w:r>
            <w:r w:rsidR="007A1473">
              <w:t> </w:t>
            </w:r>
            <w:r w:rsidR="007A1473" w:rsidRPr="005D0525">
              <w:t>14</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Schedule14Heading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Testing Procedures</w:t>
            </w:r>
            <w:r w:rsidRPr="00B91437">
              <w:rPr>
                <w:rFonts w:cs="Arial"/>
                <w:i/>
                <w:iCs/>
              </w:rPr>
              <w:fldChar w:fldCharType="end"/>
            </w:r>
            <w:r>
              <w:rPr>
                <w:rFonts w:cs="Arial"/>
              </w:rPr>
              <w:t>)</w:t>
            </w:r>
            <w:r w:rsidRPr="00FC322D">
              <w:rPr>
                <w:rFonts w:cs="Arial"/>
              </w:rPr>
              <w:t xml:space="preserve"> and </w:t>
            </w:r>
            <w:r>
              <w:rPr>
                <w:rFonts w:cs="Arial"/>
              </w:rPr>
              <w:t>“</w:t>
            </w:r>
            <w:r w:rsidRPr="00FC322D">
              <w:rPr>
                <w:rStyle w:val="StdBodyTextBoldChar"/>
                <w:rFonts w:cs="Arial"/>
              </w:rPr>
              <w:t>Tested</w:t>
            </w:r>
            <w:r>
              <w:rPr>
                <w:rFonts w:cs="Arial"/>
              </w:rPr>
              <w:t>”</w:t>
            </w:r>
            <w:r w:rsidRPr="00FC322D">
              <w:rPr>
                <w:rFonts w:cs="Arial"/>
              </w:rPr>
              <w:t xml:space="preserve"> shall be construed accordingly;</w:t>
            </w:r>
          </w:p>
        </w:tc>
      </w:tr>
      <w:tr w:rsidR="002071BF" w:rsidRPr="00FC322D" w14:paraId="44153B99" w14:textId="77777777" w:rsidTr="0052486C">
        <w:tc>
          <w:tcPr>
            <w:tcW w:w="2835" w:type="dxa"/>
          </w:tcPr>
          <w:p w14:paraId="570BCAB9" w14:textId="77777777" w:rsidR="002071BF" w:rsidRPr="00FC322D" w:rsidRDefault="002071BF" w:rsidP="002071BF">
            <w:pPr>
              <w:pStyle w:val="StdBodyTextBold"/>
              <w:rPr>
                <w:rFonts w:cs="Arial"/>
              </w:rPr>
            </w:pPr>
            <w:r>
              <w:rPr>
                <w:rFonts w:cs="Arial"/>
              </w:rPr>
              <w:t>“</w:t>
            </w:r>
            <w:r w:rsidRPr="00FC322D">
              <w:rPr>
                <w:rFonts w:cs="Arial"/>
              </w:rPr>
              <w:t>Test Success Criteria</w:t>
            </w:r>
            <w:r>
              <w:rPr>
                <w:rFonts w:cs="Arial"/>
              </w:rPr>
              <w:t>”</w:t>
            </w:r>
          </w:p>
        </w:tc>
        <w:tc>
          <w:tcPr>
            <w:tcW w:w="6803" w:type="dxa"/>
          </w:tcPr>
          <w:p w14:paraId="7A6D0993" w14:textId="60E4A6F8" w:rsidR="002071BF" w:rsidRPr="00FC322D" w:rsidRDefault="002071BF" w:rsidP="002071BF">
            <w:pPr>
              <w:pStyle w:val="StdBodyText"/>
              <w:rPr>
                <w:rFonts w:cs="Arial"/>
              </w:rPr>
            </w:pPr>
            <w:r w:rsidRPr="00FC322D">
              <w:rPr>
                <w:rFonts w:cs="Arial"/>
              </w:rPr>
              <w:t xml:space="preserve">has the meaning given in </w:t>
            </w:r>
            <w:r>
              <w:rPr>
                <w:rFonts w:cs="Arial"/>
              </w:rPr>
              <w:fldChar w:fldCharType="begin"/>
            </w:r>
            <w:r>
              <w:rPr>
                <w:rFonts w:cs="Arial"/>
              </w:rPr>
              <w:instrText xml:space="preserve"> REF Schedule14 \h </w:instrText>
            </w:r>
            <w:r>
              <w:rPr>
                <w:rFonts w:cs="Arial"/>
              </w:rPr>
            </w:r>
            <w:r>
              <w:rPr>
                <w:rFonts w:cs="Arial"/>
              </w:rPr>
              <w:fldChar w:fldCharType="separate"/>
            </w:r>
            <w:r w:rsidR="007A1473" w:rsidRPr="005D0525">
              <w:t>Schedule</w:t>
            </w:r>
            <w:r w:rsidR="007A1473">
              <w:t> </w:t>
            </w:r>
            <w:r w:rsidR="007A1473" w:rsidRPr="005D0525">
              <w:t>14</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Schedule14Heading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Testing Procedures</w:t>
            </w:r>
            <w:r w:rsidRPr="00B91437">
              <w:rPr>
                <w:rFonts w:cs="Arial"/>
                <w:i/>
                <w:iCs/>
              </w:rPr>
              <w:fldChar w:fldCharType="end"/>
            </w:r>
            <w:r>
              <w:rPr>
                <w:rFonts w:cs="Arial"/>
              </w:rPr>
              <w:t>)</w:t>
            </w:r>
            <w:r w:rsidRPr="00FC322D">
              <w:rPr>
                <w:rFonts w:cs="Arial"/>
              </w:rPr>
              <w:t>;</w:t>
            </w:r>
          </w:p>
        </w:tc>
      </w:tr>
      <w:tr w:rsidR="002071BF" w:rsidRPr="00FC322D" w14:paraId="4986B4C0" w14:textId="77777777" w:rsidTr="0052486C">
        <w:tc>
          <w:tcPr>
            <w:tcW w:w="2835" w:type="dxa"/>
          </w:tcPr>
          <w:p w14:paraId="7D9C2555" w14:textId="77777777" w:rsidR="002071BF" w:rsidRPr="00FC322D" w:rsidRDefault="002071BF" w:rsidP="002071BF">
            <w:pPr>
              <w:pStyle w:val="StdBodyTextBold"/>
              <w:rPr>
                <w:rFonts w:cs="Arial"/>
              </w:rPr>
            </w:pPr>
            <w:r>
              <w:rPr>
                <w:rFonts w:cs="Arial"/>
              </w:rPr>
              <w:t>“</w:t>
            </w:r>
            <w:r w:rsidRPr="00FC322D">
              <w:rPr>
                <w:rFonts w:cs="Arial"/>
              </w:rPr>
              <w:t>Third Party Auditor</w:t>
            </w:r>
            <w:r>
              <w:rPr>
                <w:rFonts w:cs="Arial"/>
              </w:rPr>
              <w:t>”</w:t>
            </w:r>
          </w:p>
        </w:tc>
        <w:tc>
          <w:tcPr>
            <w:tcW w:w="6803" w:type="dxa"/>
          </w:tcPr>
          <w:p w14:paraId="6A513C64" w14:textId="4A35B52C" w:rsidR="002071BF" w:rsidRPr="00FC322D" w:rsidRDefault="002071BF" w:rsidP="002071BF">
            <w:pPr>
              <w:pStyle w:val="StdBodyText"/>
              <w:rPr>
                <w:rFonts w:cs="Arial"/>
              </w:rPr>
            </w:pPr>
            <w:r w:rsidRPr="00FC322D">
              <w:rPr>
                <w:rFonts w:cs="Arial"/>
              </w:rPr>
              <w:t xml:space="preserve">an independent third party auditor as appointed by the Authority from time to time to confirm the completeness and accuracy of information uploaded to the Virtual Library in accordance with the requirements outlined in </w:t>
            </w:r>
            <w:r>
              <w:rPr>
                <w:rFonts w:cs="Arial"/>
              </w:rPr>
              <w:fldChar w:fldCharType="begin"/>
            </w:r>
            <w:r>
              <w:rPr>
                <w:rFonts w:cs="Arial"/>
              </w:rPr>
              <w:instrText xml:space="preserve"> REF Schedule24 \h </w:instrText>
            </w:r>
            <w:r>
              <w:rPr>
                <w:rFonts w:cs="Arial"/>
              </w:rPr>
            </w:r>
            <w:r>
              <w:rPr>
                <w:rFonts w:cs="Arial"/>
              </w:rPr>
              <w:fldChar w:fldCharType="separate"/>
            </w:r>
            <w:r w:rsidR="007A1473" w:rsidRPr="005D0525">
              <w:t>Schedule</w:t>
            </w:r>
            <w:r w:rsidR="007A1473">
              <w:t> </w:t>
            </w:r>
            <w:r w:rsidR="007A1473" w:rsidRPr="005D0525">
              <w:t>24</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Schedule24Heading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Reports and Records Provisions</w:t>
            </w:r>
            <w:r w:rsidRPr="00A22335">
              <w:rPr>
                <w:rFonts w:cs="Arial"/>
                <w:i/>
                <w:iCs/>
              </w:rPr>
              <w:fldChar w:fldCharType="end"/>
            </w:r>
            <w:r>
              <w:rPr>
                <w:rFonts w:cs="Arial"/>
              </w:rPr>
              <w:t>)</w:t>
            </w:r>
            <w:r w:rsidRPr="00FC322D">
              <w:rPr>
                <w:rFonts w:cs="Arial"/>
              </w:rPr>
              <w:t>;</w:t>
            </w:r>
          </w:p>
        </w:tc>
      </w:tr>
      <w:tr w:rsidR="002071BF" w:rsidRPr="00FC322D" w14:paraId="53DEB0BA" w14:textId="77777777" w:rsidTr="0052486C">
        <w:tc>
          <w:tcPr>
            <w:tcW w:w="2835" w:type="dxa"/>
          </w:tcPr>
          <w:p w14:paraId="4FD0FD38" w14:textId="77777777" w:rsidR="002071BF" w:rsidRPr="00FC322D" w:rsidRDefault="002071BF" w:rsidP="002071BF">
            <w:pPr>
              <w:pStyle w:val="StdBodyTextBold"/>
              <w:rPr>
                <w:rFonts w:cs="Arial"/>
              </w:rPr>
            </w:pPr>
            <w:r>
              <w:rPr>
                <w:rFonts w:cs="Arial"/>
              </w:rPr>
              <w:t>“</w:t>
            </w:r>
            <w:r w:rsidRPr="00FC322D">
              <w:rPr>
                <w:rFonts w:cs="Arial"/>
              </w:rPr>
              <w:t>Third Party Beneficiary</w:t>
            </w:r>
            <w:r>
              <w:rPr>
                <w:rFonts w:cs="Arial"/>
              </w:rPr>
              <w:t>”</w:t>
            </w:r>
          </w:p>
        </w:tc>
        <w:tc>
          <w:tcPr>
            <w:tcW w:w="6803" w:type="dxa"/>
          </w:tcPr>
          <w:p w14:paraId="1F8F3486" w14:textId="77777777" w:rsidR="002071BF" w:rsidRPr="00FC322D" w:rsidRDefault="002071BF" w:rsidP="002071BF">
            <w:pPr>
              <w:pStyle w:val="StdBodyText"/>
              <w:rPr>
                <w:rFonts w:cs="Arial"/>
              </w:rPr>
            </w:pPr>
            <w:r w:rsidRPr="00FC322D">
              <w:rPr>
                <w:rFonts w:cs="Arial"/>
              </w:rPr>
              <w:t xml:space="preserve">has the meaning given in </w:t>
            </w:r>
            <w:bookmarkStart w:id="238" w:name="_9kMJI5YVtCIAACBFHFgUmv99E9785BGI6VW1BUF"/>
            <w:bookmarkStart w:id="239" w:name="_9kMHG5YVtCJBACCGHFgUmv99E9785BGI6VW1BUF"/>
            <w:r w:rsidRPr="00FC322D">
              <w:rPr>
                <w:rFonts w:cs="Arial"/>
              </w:rPr>
              <w:t xml:space="preserve">Clause </w:t>
            </w:r>
            <w:bookmarkEnd w:id="238"/>
            <w:bookmarkEnd w:id="239"/>
            <w:r w:rsidRPr="00FC322D">
              <w:rPr>
                <w:rFonts w:cs="Arial"/>
              </w:rPr>
              <w:t>41.1 (</w:t>
            </w:r>
            <w:r w:rsidRPr="00F613BA">
              <w:rPr>
                <w:rFonts w:cs="Arial"/>
                <w:i/>
                <w:iCs/>
              </w:rPr>
              <w:t>Third Party Rights</w:t>
            </w:r>
            <w:r w:rsidRPr="00FC322D">
              <w:rPr>
                <w:rFonts w:cs="Arial"/>
              </w:rPr>
              <w:t>);</w:t>
            </w:r>
          </w:p>
        </w:tc>
      </w:tr>
      <w:tr w:rsidR="002071BF" w:rsidRPr="00FC322D" w14:paraId="747CA753" w14:textId="77777777" w:rsidTr="0052486C">
        <w:tc>
          <w:tcPr>
            <w:tcW w:w="2835" w:type="dxa"/>
          </w:tcPr>
          <w:p w14:paraId="212EA451" w14:textId="77777777" w:rsidR="002071BF" w:rsidRPr="00FC322D" w:rsidRDefault="002071BF" w:rsidP="002071BF">
            <w:pPr>
              <w:pStyle w:val="StdBodyTextBold"/>
              <w:rPr>
                <w:rFonts w:cs="Arial"/>
              </w:rPr>
            </w:pPr>
            <w:r>
              <w:rPr>
                <w:rFonts w:cs="Arial"/>
              </w:rPr>
              <w:t>“</w:t>
            </w:r>
            <w:r w:rsidRPr="00FC322D">
              <w:rPr>
                <w:rFonts w:cs="Arial"/>
              </w:rPr>
              <w:t>Third Party COTS IPRs</w:t>
            </w:r>
            <w:r>
              <w:rPr>
                <w:rFonts w:cs="Arial"/>
              </w:rPr>
              <w:t>”</w:t>
            </w:r>
          </w:p>
        </w:tc>
        <w:tc>
          <w:tcPr>
            <w:tcW w:w="6803" w:type="dxa"/>
          </w:tcPr>
          <w:p w14:paraId="15627B9D" w14:textId="77777777" w:rsidR="002071BF" w:rsidRPr="00FC322D" w:rsidRDefault="002071BF" w:rsidP="002071BF">
            <w:pPr>
              <w:pStyle w:val="StdBodyText"/>
              <w:rPr>
                <w:rFonts w:cs="Arial"/>
              </w:rPr>
            </w:pPr>
            <w:r w:rsidRPr="00FC322D">
              <w:rPr>
                <w:rFonts w:cs="Arial"/>
              </w:rPr>
              <w:t>Third Party IPRs that:</w:t>
            </w:r>
          </w:p>
          <w:p w14:paraId="7E2CF4BF" w14:textId="77777777" w:rsidR="002071BF" w:rsidRPr="00FC322D" w:rsidRDefault="002071BF" w:rsidP="002071BF">
            <w:pPr>
              <w:pStyle w:val="DefinitionList"/>
              <w:numPr>
                <w:ilvl w:val="0"/>
                <w:numId w:val="76"/>
              </w:numPr>
            </w:pPr>
            <w:r w:rsidRPr="00FC322D">
              <w:t>the supplier makes generally available commercially prior to the date of this Contract (whether by way of sale, lease or licence) on standard terms which are not typically negotiated by the supplier save as to price; and</w:t>
            </w:r>
          </w:p>
          <w:p w14:paraId="1DB644DD" w14:textId="77777777" w:rsidR="002071BF" w:rsidRPr="00FC322D" w:rsidRDefault="002071BF" w:rsidP="002071BF">
            <w:pPr>
              <w:pStyle w:val="DefinitionList"/>
              <w:numPr>
                <w:ilvl w:val="0"/>
                <w:numId w:val="78"/>
              </w:numPr>
              <w:rPr>
                <w:rFonts w:cs="Arial"/>
              </w:rPr>
            </w:pPr>
            <w:r w:rsidRPr="00FC322D">
              <w:rPr>
                <w:rFonts w:cs="Arial"/>
              </w:rPr>
              <w:t>has a Non-trivial Customer Base;</w:t>
            </w:r>
          </w:p>
        </w:tc>
      </w:tr>
      <w:tr w:rsidR="002071BF" w:rsidRPr="00FC322D" w14:paraId="3C3D1EEA" w14:textId="77777777" w:rsidTr="0052486C">
        <w:tc>
          <w:tcPr>
            <w:tcW w:w="2835" w:type="dxa"/>
          </w:tcPr>
          <w:p w14:paraId="6D2C2192" w14:textId="77777777" w:rsidR="002071BF" w:rsidRPr="00FC322D" w:rsidRDefault="002071BF" w:rsidP="002071BF">
            <w:pPr>
              <w:pStyle w:val="StdBodyTextBold"/>
              <w:rPr>
                <w:rFonts w:cs="Arial"/>
              </w:rPr>
            </w:pPr>
            <w:r>
              <w:rPr>
                <w:rFonts w:cs="Arial"/>
              </w:rPr>
              <w:t>“</w:t>
            </w:r>
            <w:r w:rsidRPr="00FC322D">
              <w:rPr>
                <w:rFonts w:cs="Arial"/>
              </w:rPr>
              <w:t>Third Party COTS Software</w:t>
            </w:r>
            <w:r>
              <w:rPr>
                <w:rFonts w:cs="Arial"/>
              </w:rPr>
              <w:t>”</w:t>
            </w:r>
          </w:p>
        </w:tc>
        <w:tc>
          <w:tcPr>
            <w:tcW w:w="6803" w:type="dxa"/>
          </w:tcPr>
          <w:p w14:paraId="5110D925" w14:textId="77777777" w:rsidR="002071BF" w:rsidRPr="00FC322D" w:rsidRDefault="002071BF" w:rsidP="002071BF">
            <w:pPr>
              <w:pStyle w:val="StdBodyText"/>
              <w:rPr>
                <w:rFonts w:cs="Arial"/>
              </w:rPr>
            </w:pPr>
            <w:r w:rsidRPr="00FC322D">
              <w:rPr>
                <w:rFonts w:cs="Arial"/>
              </w:rPr>
              <w:t>Third Party Software (including open source software) that:</w:t>
            </w:r>
          </w:p>
          <w:p w14:paraId="0E674B11" w14:textId="77777777" w:rsidR="002071BF" w:rsidRPr="00FC322D" w:rsidRDefault="002071BF" w:rsidP="002071BF">
            <w:pPr>
              <w:pStyle w:val="DefinitionList"/>
              <w:numPr>
                <w:ilvl w:val="0"/>
                <w:numId w:val="77"/>
              </w:numPr>
            </w:pPr>
            <w:r w:rsidRPr="00FC322D">
              <w:t>the supplier makes generally available commercially prior to the date of this Contract (whether by way of sale, lease or licence) on standard terms which are not typically negotiated by the supplier save as to price; and</w:t>
            </w:r>
          </w:p>
          <w:p w14:paraId="2BB790DC" w14:textId="77777777" w:rsidR="002071BF" w:rsidRPr="00FC322D" w:rsidRDefault="002071BF" w:rsidP="002071BF">
            <w:pPr>
              <w:pStyle w:val="DefinitionList"/>
              <w:numPr>
                <w:ilvl w:val="0"/>
                <w:numId w:val="78"/>
              </w:numPr>
              <w:rPr>
                <w:rFonts w:cs="Arial"/>
              </w:rPr>
            </w:pPr>
            <w:r w:rsidRPr="00FC322D">
              <w:rPr>
                <w:rFonts w:cs="Arial"/>
              </w:rPr>
              <w:t>has a Non-trivial Customer base;</w:t>
            </w:r>
          </w:p>
        </w:tc>
      </w:tr>
      <w:tr w:rsidR="002071BF" w:rsidRPr="00FC322D" w14:paraId="402454B4" w14:textId="77777777" w:rsidTr="0052486C">
        <w:tc>
          <w:tcPr>
            <w:tcW w:w="2835" w:type="dxa"/>
          </w:tcPr>
          <w:p w14:paraId="0FD7CC6E" w14:textId="77777777" w:rsidR="002071BF" w:rsidRPr="00FC322D" w:rsidRDefault="002071BF" w:rsidP="002071BF">
            <w:pPr>
              <w:pStyle w:val="StdBodyTextBold"/>
              <w:rPr>
                <w:rFonts w:cs="Arial"/>
              </w:rPr>
            </w:pPr>
            <w:r>
              <w:rPr>
                <w:rFonts w:cs="Arial"/>
              </w:rPr>
              <w:lastRenderedPageBreak/>
              <w:t>“</w:t>
            </w:r>
            <w:r w:rsidRPr="00FC322D">
              <w:rPr>
                <w:rFonts w:cs="Arial"/>
              </w:rPr>
              <w:t>Third Party IPRs</w:t>
            </w:r>
            <w:r>
              <w:rPr>
                <w:rFonts w:cs="Arial"/>
              </w:rPr>
              <w:t>”</w:t>
            </w:r>
          </w:p>
        </w:tc>
        <w:tc>
          <w:tcPr>
            <w:tcW w:w="6803" w:type="dxa"/>
          </w:tcPr>
          <w:p w14:paraId="64CA4E22" w14:textId="77777777" w:rsidR="002071BF" w:rsidRPr="00FC322D" w:rsidRDefault="002071BF" w:rsidP="002071BF">
            <w:pPr>
              <w:pStyle w:val="StdBodyText"/>
              <w:rPr>
                <w:rFonts w:cs="Arial"/>
              </w:rPr>
            </w:pPr>
            <w:r w:rsidRPr="00FC322D">
              <w:rPr>
                <w:rFonts w:cs="Arial"/>
              </w:rPr>
              <w:t>Intellectual Property Rights owned by a third party, but excluding Intellectual Property Rights owned by the third party subsisting in any Third Party Software, which in any case is, will be or is proposed to be used by the Supplier for the purposes of providing the Services;</w:t>
            </w:r>
          </w:p>
        </w:tc>
      </w:tr>
      <w:tr w:rsidR="002071BF" w:rsidRPr="00FC322D" w14:paraId="62743E6B" w14:textId="77777777" w:rsidTr="0052486C">
        <w:tc>
          <w:tcPr>
            <w:tcW w:w="2835" w:type="dxa"/>
          </w:tcPr>
          <w:p w14:paraId="4CD25BE0" w14:textId="77777777" w:rsidR="002071BF" w:rsidRPr="00FC322D" w:rsidRDefault="002071BF" w:rsidP="002071BF">
            <w:pPr>
              <w:pStyle w:val="StdBodyTextBold"/>
              <w:rPr>
                <w:rFonts w:cs="Arial"/>
              </w:rPr>
            </w:pPr>
            <w:r>
              <w:rPr>
                <w:rFonts w:cs="Arial"/>
              </w:rPr>
              <w:t>“</w:t>
            </w:r>
            <w:r w:rsidRPr="00FC322D">
              <w:rPr>
                <w:rFonts w:cs="Arial"/>
              </w:rPr>
              <w:t>Third Party Non-COTS IPRs</w:t>
            </w:r>
            <w:r>
              <w:rPr>
                <w:rFonts w:cs="Arial"/>
              </w:rPr>
              <w:t>”</w:t>
            </w:r>
          </w:p>
        </w:tc>
        <w:tc>
          <w:tcPr>
            <w:tcW w:w="6803" w:type="dxa"/>
          </w:tcPr>
          <w:p w14:paraId="3D1B7C16" w14:textId="77777777" w:rsidR="002071BF" w:rsidRPr="00FC322D" w:rsidRDefault="002071BF" w:rsidP="002071BF">
            <w:pPr>
              <w:pStyle w:val="StdBodyText"/>
              <w:rPr>
                <w:rFonts w:cs="Arial"/>
              </w:rPr>
            </w:pPr>
            <w:r w:rsidRPr="00FC322D">
              <w:rPr>
                <w:rFonts w:cs="Arial"/>
              </w:rPr>
              <w:t>Third Party IPRs that are not Third Party COTS IPRs;</w:t>
            </w:r>
          </w:p>
        </w:tc>
      </w:tr>
      <w:tr w:rsidR="002071BF" w:rsidRPr="00FC322D" w14:paraId="42043ED3" w14:textId="77777777" w:rsidTr="0052486C">
        <w:tc>
          <w:tcPr>
            <w:tcW w:w="2835" w:type="dxa"/>
          </w:tcPr>
          <w:p w14:paraId="208B7454" w14:textId="77777777" w:rsidR="002071BF" w:rsidRPr="00FC322D" w:rsidRDefault="002071BF" w:rsidP="002071BF">
            <w:pPr>
              <w:pStyle w:val="StdBodyTextBold"/>
              <w:rPr>
                <w:rFonts w:cs="Arial"/>
              </w:rPr>
            </w:pPr>
            <w:r>
              <w:rPr>
                <w:rFonts w:cs="Arial"/>
              </w:rPr>
              <w:t>“</w:t>
            </w:r>
            <w:r w:rsidRPr="00FC322D">
              <w:rPr>
                <w:rFonts w:cs="Arial"/>
              </w:rPr>
              <w:t>Third Party Non-COTS Software</w:t>
            </w:r>
            <w:r>
              <w:rPr>
                <w:rFonts w:cs="Arial"/>
              </w:rPr>
              <w:t>”</w:t>
            </w:r>
          </w:p>
        </w:tc>
        <w:tc>
          <w:tcPr>
            <w:tcW w:w="6803" w:type="dxa"/>
          </w:tcPr>
          <w:p w14:paraId="20FA6BBF" w14:textId="77777777" w:rsidR="002071BF" w:rsidRPr="00FC322D" w:rsidRDefault="002071BF" w:rsidP="002071BF">
            <w:pPr>
              <w:pStyle w:val="StdBodyText"/>
              <w:rPr>
                <w:rFonts w:cs="Arial"/>
              </w:rPr>
            </w:pPr>
            <w:r w:rsidRPr="00FC322D">
              <w:rPr>
                <w:rFonts w:cs="Arial"/>
              </w:rPr>
              <w:t>Third Party Software that is not Third Party COTS Software;</w:t>
            </w:r>
          </w:p>
        </w:tc>
      </w:tr>
      <w:tr w:rsidR="002071BF" w:rsidRPr="00FC322D" w14:paraId="16F00FFF" w14:textId="77777777" w:rsidTr="0052486C">
        <w:tc>
          <w:tcPr>
            <w:tcW w:w="2835" w:type="dxa"/>
          </w:tcPr>
          <w:p w14:paraId="37EB0696" w14:textId="77777777" w:rsidR="002071BF" w:rsidRPr="00FC322D" w:rsidRDefault="002071BF" w:rsidP="002071BF">
            <w:pPr>
              <w:pStyle w:val="StdBodyTextBold"/>
              <w:rPr>
                <w:rFonts w:cs="Arial"/>
              </w:rPr>
            </w:pPr>
            <w:r>
              <w:rPr>
                <w:rFonts w:cs="Arial"/>
              </w:rPr>
              <w:t>“</w:t>
            </w:r>
            <w:r w:rsidRPr="00FC322D">
              <w:rPr>
                <w:rFonts w:cs="Arial"/>
              </w:rPr>
              <w:t>Third Party Provisions</w:t>
            </w:r>
            <w:r>
              <w:rPr>
                <w:rFonts w:cs="Arial"/>
              </w:rPr>
              <w:t>”</w:t>
            </w:r>
          </w:p>
        </w:tc>
        <w:tc>
          <w:tcPr>
            <w:tcW w:w="6803" w:type="dxa"/>
          </w:tcPr>
          <w:p w14:paraId="4E686B7A" w14:textId="77777777" w:rsidR="002071BF" w:rsidRPr="00FC322D" w:rsidRDefault="002071BF" w:rsidP="002071BF">
            <w:pPr>
              <w:pStyle w:val="StdBodyText"/>
              <w:rPr>
                <w:rFonts w:cs="Arial"/>
              </w:rPr>
            </w:pPr>
            <w:r w:rsidRPr="00FC322D">
              <w:rPr>
                <w:rFonts w:cs="Arial"/>
              </w:rPr>
              <w:t xml:space="preserve">has the meaning given in </w:t>
            </w:r>
            <w:bookmarkStart w:id="240" w:name="_9kMKJ5YVtCIAACBFHFgUmv99E9785BGI6VW1BUF"/>
            <w:bookmarkStart w:id="241" w:name="_9kMIH5YVtCJBACCGHFgUmv99E9785BGI6VW1BUF"/>
            <w:r w:rsidRPr="00FC322D">
              <w:rPr>
                <w:rFonts w:cs="Arial"/>
              </w:rPr>
              <w:t xml:space="preserve">Clause </w:t>
            </w:r>
            <w:bookmarkEnd w:id="240"/>
            <w:bookmarkEnd w:id="241"/>
            <w:r w:rsidRPr="00FC322D">
              <w:rPr>
                <w:rFonts w:cs="Arial"/>
              </w:rPr>
              <w:t>41.1 (</w:t>
            </w:r>
            <w:r w:rsidRPr="00F613BA">
              <w:rPr>
                <w:rFonts w:cs="Arial"/>
                <w:i/>
                <w:iCs/>
              </w:rPr>
              <w:t>Third Party Rights</w:t>
            </w:r>
            <w:r w:rsidRPr="00FC322D">
              <w:rPr>
                <w:rFonts w:cs="Arial"/>
              </w:rPr>
              <w:t>);</w:t>
            </w:r>
          </w:p>
        </w:tc>
      </w:tr>
      <w:tr w:rsidR="002071BF" w:rsidRPr="00FC322D" w14:paraId="3796518D" w14:textId="77777777" w:rsidTr="0052486C">
        <w:tc>
          <w:tcPr>
            <w:tcW w:w="2835" w:type="dxa"/>
          </w:tcPr>
          <w:p w14:paraId="12A279F7" w14:textId="77777777" w:rsidR="002071BF" w:rsidRPr="00FC322D" w:rsidRDefault="002071BF" w:rsidP="002071BF">
            <w:pPr>
              <w:pStyle w:val="StdBodyTextBold"/>
              <w:rPr>
                <w:rFonts w:cs="Arial"/>
              </w:rPr>
            </w:pPr>
            <w:r>
              <w:rPr>
                <w:rFonts w:cs="Arial"/>
              </w:rPr>
              <w:t>“</w:t>
            </w:r>
            <w:r w:rsidRPr="00FC322D">
              <w:rPr>
                <w:rFonts w:cs="Arial"/>
              </w:rPr>
              <w:t>Third Party Software</w:t>
            </w:r>
            <w:r>
              <w:rPr>
                <w:rFonts w:cs="Arial"/>
              </w:rPr>
              <w:t>”</w:t>
            </w:r>
          </w:p>
        </w:tc>
        <w:tc>
          <w:tcPr>
            <w:tcW w:w="6803" w:type="dxa"/>
          </w:tcPr>
          <w:p w14:paraId="7E2DA16A" w14:textId="51059C7C" w:rsidR="002071BF" w:rsidRPr="00FC322D" w:rsidRDefault="002071BF" w:rsidP="002071BF">
            <w:pPr>
              <w:pStyle w:val="StdBodyText"/>
              <w:rPr>
                <w:rFonts w:cs="Arial"/>
              </w:rPr>
            </w:pPr>
            <w:r w:rsidRPr="00FC322D">
              <w:rPr>
                <w:rFonts w:cs="Arial"/>
              </w:rPr>
              <w:t xml:space="preserve">software which is proprietary to any third party (other than an Affiliate of the Supplier) or any Open Source Software which in any case is, will be or is proposed to be used by the Supplier for the purposes of providing the Services, including the software specified as such in </w:t>
            </w:r>
            <w:r>
              <w:rPr>
                <w:rFonts w:cs="Arial"/>
              </w:rPr>
              <w:fldChar w:fldCharType="begin"/>
            </w:r>
            <w:r>
              <w:rPr>
                <w:rFonts w:cs="Arial"/>
              </w:rPr>
              <w:instrText xml:space="preserve"> REF Schedule12 \h </w:instrText>
            </w:r>
            <w:r>
              <w:rPr>
                <w:rFonts w:cs="Arial"/>
              </w:rPr>
            </w:r>
            <w:r>
              <w:rPr>
                <w:rFonts w:cs="Arial"/>
              </w:rPr>
              <w:fldChar w:fldCharType="separate"/>
            </w:r>
            <w:r w:rsidR="007A1473" w:rsidRPr="005D0525">
              <w:t>Schedule</w:t>
            </w:r>
            <w:r w:rsidR="007A1473">
              <w:t> </w:t>
            </w:r>
            <w:r w:rsidR="007A1473" w:rsidRPr="005D0525">
              <w:t>12</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Schedule12Heading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Software</w:t>
            </w:r>
            <w:r w:rsidRPr="00B91437">
              <w:rPr>
                <w:rFonts w:cs="Arial"/>
                <w:i/>
                <w:iCs/>
              </w:rPr>
              <w:fldChar w:fldCharType="end"/>
            </w:r>
            <w:r>
              <w:rPr>
                <w:rFonts w:cs="Arial"/>
              </w:rPr>
              <w:t>)</w:t>
            </w:r>
            <w:r w:rsidRPr="00FC322D">
              <w:rPr>
                <w:rFonts w:cs="Arial"/>
              </w:rPr>
              <w:t>;</w:t>
            </w:r>
          </w:p>
        </w:tc>
      </w:tr>
      <w:tr w:rsidR="002071BF" w:rsidRPr="00FC322D" w14:paraId="3F1AE79D" w14:textId="77777777" w:rsidTr="0052486C">
        <w:tc>
          <w:tcPr>
            <w:tcW w:w="2835" w:type="dxa"/>
          </w:tcPr>
          <w:p w14:paraId="1CC35362" w14:textId="77777777" w:rsidR="002071BF" w:rsidRPr="00FC322D" w:rsidRDefault="002071BF" w:rsidP="002071BF">
            <w:pPr>
              <w:pStyle w:val="StdBodyTextBold"/>
              <w:rPr>
                <w:rFonts w:cs="Arial"/>
              </w:rPr>
            </w:pPr>
            <w:r>
              <w:rPr>
                <w:rFonts w:cs="Arial"/>
              </w:rPr>
              <w:t>“</w:t>
            </w:r>
            <w:r w:rsidRPr="00FC322D">
              <w:rPr>
                <w:rFonts w:cs="Arial"/>
              </w:rPr>
              <w:t>Transferring Assets</w:t>
            </w:r>
            <w:r>
              <w:rPr>
                <w:rFonts w:cs="Arial"/>
              </w:rPr>
              <w:t>”</w:t>
            </w:r>
          </w:p>
        </w:tc>
        <w:tc>
          <w:tcPr>
            <w:tcW w:w="6803" w:type="dxa"/>
          </w:tcPr>
          <w:p w14:paraId="0C62A32F" w14:textId="301CEB28" w:rsidR="002071BF" w:rsidRPr="00FC322D" w:rsidRDefault="002071BF" w:rsidP="002071BF">
            <w:pPr>
              <w:pStyle w:val="StdBodyText"/>
              <w:rPr>
                <w:rFonts w:cs="Arial"/>
              </w:rPr>
            </w:pPr>
            <w:r w:rsidRPr="00FC322D">
              <w:rPr>
                <w:rFonts w:cs="Arial"/>
              </w:rPr>
              <w:t xml:space="preserve">has the meaning given in </w:t>
            </w:r>
            <w:bookmarkStart w:id="242" w:name="_9kR3WTr2CC57FeEnoewrqyGPu"/>
            <w:r w:rsidRPr="00FC322D">
              <w:rPr>
                <w:rFonts w:cs="Arial"/>
              </w:rPr>
              <w:t xml:space="preserve">Paragraph </w:t>
            </w:r>
            <w:bookmarkEnd w:id="242"/>
            <w:r w:rsidRPr="00FC322D">
              <w:rPr>
                <w:rFonts w:cs="Arial"/>
              </w:rPr>
              <w:fldChar w:fldCharType="begin"/>
            </w:r>
            <w:r w:rsidRPr="00FC322D">
              <w:rPr>
                <w:rFonts w:cs="Arial"/>
              </w:rPr>
              <w:instrText xml:space="preserve"> REF _Ref44573069 \r \h  \* MERGEFORMAT </w:instrText>
            </w:r>
            <w:r w:rsidRPr="00FC322D">
              <w:rPr>
                <w:rFonts w:cs="Arial"/>
              </w:rPr>
            </w:r>
            <w:r w:rsidRPr="00FC322D">
              <w:rPr>
                <w:rFonts w:cs="Arial"/>
              </w:rPr>
              <w:fldChar w:fldCharType="separate"/>
            </w:r>
            <w:r w:rsidR="007A1473">
              <w:rPr>
                <w:rFonts w:cs="Arial"/>
              </w:rPr>
              <w:t>6.2.1</w:t>
            </w:r>
            <w:r w:rsidRPr="00FC322D">
              <w:rPr>
                <w:rFonts w:cs="Arial"/>
              </w:rPr>
              <w:fldChar w:fldCharType="end"/>
            </w:r>
            <w:r w:rsidRPr="00FC322D">
              <w:rPr>
                <w:rFonts w:cs="Arial"/>
              </w:rPr>
              <w:t xml:space="preserve"> of </w:t>
            </w:r>
            <w:r>
              <w:rPr>
                <w:rFonts w:cs="Arial"/>
              </w:rPr>
              <w:fldChar w:fldCharType="begin"/>
            </w:r>
            <w:r>
              <w:rPr>
                <w:rFonts w:cs="Arial"/>
              </w:rPr>
              <w:instrText xml:space="preserve"> REF Schedule25 \h </w:instrText>
            </w:r>
            <w:r>
              <w:rPr>
                <w:rFonts w:cs="Arial"/>
              </w:rPr>
            </w:r>
            <w:r>
              <w:rPr>
                <w:rFonts w:cs="Arial"/>
              </w:rPr>
              <w:fldChar w:fldCharType="separate"/>
            </w:r>
            <w:r w:rsidR="007A1473" w:rsidRPr="005D0525">
              <w:t>Schedule 25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Exit Management</w:t>
            </w:r>
            <w:r w:rsidRPr="00A22335">
              <w:rPr>
                <w:rFonts w:cs="Arial"/>
                <w:i/>
                <w:iCs/>
              </w:rPr>
              <w:fldChar w:fldCharType="end"/>
            </w:r>
            <w:r>
              <w:rPr>
                <w:rFonts w:cs="Arial"/>
              </w:rPr>
              <w:t>)</w:t>
            </w:r>
            <w:r w:rsidRPr="00FC322D">
              <w:rPr>
                <w:rFonts w:cs="Arial"/>
              </w:rPr>
              <w:t>;</w:t>
            </w:r>
          </w:p>
        </w:tc>
      </w:tr>
      <w:tr w:rsidR="002071BF" w:rsidRPr="00FC322D" w14:paraId="3B4EE9A4" w14:textId="77777777" w:rsidTr="0052486C">
        <w:tc>
          <w:tcPr>
            <w:tcW w:w="2835" w:type="dxa"/>
          </w:tcPr>
          <w:p w14:paraId="06344BF4" w14:textId="77777777" w:rsidR="002071BF" w:rsidRPr="00FC322D" w:rsidRDefault="002071BF" w:rsidP="002071BF">
            <w:pPr>
              <w:pStyle w:val="StdBodyTextBold"/>
              <w:rPr>
                <w:rFonts w:cs="Arial"/>
              </w:rPr>
            </w:pPr>
            <w:r>
              <w:rPr>
                <w:rFonts w:cs="Arial"/>
              </w:rPr>
              <w:t>“</w:t>
            </w:r>
            <w:r w:rsidRPr="00FC322D">
              <w:rPr>
                <w:rFonts w:cs="Arial"/>
              </w:rPr>
              <w:t>Transferring Authority Employees</w:t>
            </w:r>
            <w:r>
              <w:rPr>
                <w:rFonts w:cs="Arial"/>
              </w:rPr>
              <w:t>”</w:t>
            </w:r>
          </w:p>
        </w:tc>
        <w:tc>
          <w:tcPr>
            <w:tcW w:w="6803" w:type="dxa"/>
          </w:tcPr>
          <w:p w14:paraId="1F5281EB" w14:textId="5824EFC1" w:rsidR="002071BF" w:rsidRPr="00FC322D" w:rsidRDefault="002071BF" w:rsidP="002071BF">
            <w:pPr>
              <w:pStyle w:val="StdBodyText"/>
              <w:rPr>
                <w:rFonts w:cs="Arial"/>
              </w:rPr>
            </w:pPr>
            <w:r w:rsidRPr="00FC322D">
              <w:rPr>
                <w:rFonts w:cs="Arial"/>
              </w:rPr>
              <w:t xml:space="preserve">has the meaning given in </w:t>
            </w:r>
            <w:r>
              <w:rPr>
                <w:rFonts w:cs="Arial"/>
              </w:rPr>
              <w:fldChar w:fldCharType="begin"/>
            </w:r>
            <w:r>
              <w:rPr>
                <w:rFonts w:cs="Arial"/>
              </w:rPr>
              <w:instrText xml:space="preserve"> REF Schedule28 \h </w:instrText>
            </w:r>
            <w:r>
              <w:rPr>
                <w:rFonts w:cs="Arial"/>
              </w:rPr>
            </w:r>
            <w:r>
              <w:rPr>
                <w:rFonts w:cs="Arial"/>
              </w:rPr>
              <w:fldChar w:fldCharType="separate"/>
            </w:r>
            <w:r w:rsidR="007A1473" w:rsidRPr="005D0525">
              <w:t>Schedule</w:t>
            </w:r>
            <w:r w:rsidR="007A1473">
              <w:t> </w:t>
            </w:r>
            <w:r w:rsidR="007A1473" w:rsidRPr="005D0525">
              <w:t>28</w:t>
            </w:r>
            <w:r>
              <w:rPr>
                <w:rFonts w:cs="Arial"/>
              </w:rPr>
              <w:fldChar w:fldCharType="end"/>
            </w:r>
            <w:r>
              <w:rPr>
                <w:rFonts w:cs="Arial"/>
              </w:rPr>
              <w:t xml:space="preserve"> (</w:t>
            </w:r>
            <w:r w:rsidRPr="006F064F">
              <w:rPr>
                <w:rFonts w:cs="Arial"/>
                <w:i/>
                <w:iCs/>
              </w:rPr>
              <w:fldChar w:fldCharType="begin"/>
            </w:r>
            <w:r w:rsidRPr="006F064F">
              <w:rPr>
                <w:rFonts w:cs="Arial"/>
                <w:i/>
                <w:iCs/>
              </w:rPr>
              <w:instrText xml:space="preserve"> REF Schedule28Heading \h </w:instrText>
            </w:r>
            <w:r>
              <w:rPr>
                <w:rFonts w:cs="Arial"/>
                <w:i/>
                <w:iCs/>
              </w:rPr>
              <w:instrText xml:space="preserve"> \* MERGEFORMAT </w:instrText>
            </w:r>
            <w:r w:rsidRPr="006F064F">
              <w:rPr>
                <w:rFonts w:cs="Arial"/>
                <w:i/>
                <w:iCs/>
              </w:rPr>
            </w:r>
            <w:r w:rsidRPr="006F064F">
              <w:rPr>
                <w:rFonts w:cs="Arial"/>
                <w:i/>
                <w:iCs/>
              </w:rPr>
              <w:fldChar w:fldCharType="separate"/>
            </w:r>
            <w:r w:rsidR="007A1473" w:rsidRPr="007A1473">
              <w:rPr>
                <w:i/>
                <w:iCs/>
              </w:rPr>
              <w:t>Staff Transfer</w:t>
            </w:r>
            <w:r w:rsidRPr="006F064F">
              <w:rPr>
                <w:rFonts w:cs="Arial"/>
                <w:i/>
                <w:iCs/>
              </w:rPr>
              <w:fldChar w:fldCharType="end"/>
            </w:r>
            <w:r>
              <w:rPr>
                <w:rFonts w:cs="Arial"/>
              </w:rPr>
              <w:t>)</w:t>
            </w:r>
            <w:r w:rsidRPr="00FC322D">
              <w:rPr>
                <w:rFonts w:cs="Arial"/>
              </w:rPr>
              <w:t>;</w:t>
            </w:r>
          </w:p>
        </w:tc>
      </w:tr>
      <w:tr w:rsidR="002071BF" w:rsidRPr="00FC322D" w14:paraId="3E24F649" w14:textId="77777777" w:rsidTr="0052486C">
        <w:tc>
          <w:tcPr>
            <w:tcW w:w="2835" w:type="dxa"/>
          </w:tcPr>
          <w:p w14:paraId="5D66072D" w14:textId="77777777" w:rsidR="002071BF" w:rsidRPr="00FC322D" w:rsidRDefault="002071BF" w:rsidP="002071BF">
            <w:pPr>
              <w:pStyle w:val="StdBodyTextBold"/>
              <w:rPr>
                <w:rFonts w:cs="Arial"/>
              </w:rPr>
            </w:pPr>
            <w:r>
              <w:rPr>
                <w:rFonts w:cs="Arial"/>
              </w:rPr>
              <w:t>“</w:t>
            </w:r>
            <w:r w:rsidRPr="00FC322D">
              <w:rPr>
                <w:rFonts w:cs="Arial"/>
              </w:rPr>
              <w:t>Transferring Former Supplier Employees</w:t>
            </w:r>
            <w:r>
              <w:rPr>
                <w:rFonts w:cs="Arial"/>
              </w:rPr>
              <w:t>”</w:t>
            </w:r>
          </w:p>
        </w:tc>
        <w:tc>
          <w:tcPr>
            <w:tcW w:w="6803" w:type="dxa"/>
          </w:tcPr>
          <w:p w14:paraId="2E2E37F1" w14:textId="54F48FEB" w:rsidR="002071BF" w:rsidRPr="00FC322D" w:rsidRDefault="002071BF" w:rsidP="002071BF">
            <w:pPr>
              <w:pStyle w:val="StdBodyText"/>
              <w:rPr>
                <w:rFonts w:cs="Arial"/>
              </w:rPr>
            </w:pPr>
            <w:r w:rsidRPr="00FC322D">
              <w:rPr>
                <w:rFonts w:cs="Arial"/>
              </w:rPr>
              <w:t xml:space="preserve">has the meaning given in </w:t>
            </w:r>
            <w:r>
              <w:rPr>
                <w:rFonts w:cs="Arial"/>
              </w:rPr>
              <w:fldChar w:fldCharType="begin"/>
            </w:r>
            <w:r>
              <w:rPr>
                <w:rFonts w:cs="Arial"/>
              </w:rPr>
              <w:instrText xml:space="preserve"> REF Schedule28 \h </w:instrText>
            </w:r>
            <w:r>
              <w:rPr>
                <w:rFonts w:cs="Arial"/>
              </w:rPr>
            </w:r>
            <w:r>
              <w:rPr>
                <w:rFonts w:cs="Arial"/>
              </w:rPr>
              <w:fldChar w:fldCharType="separate"/>
            </w:r>
            <w:r w:rsidR="007A1473" w:rsidRPr="005D0525">
              <w:t>Schedule</w:t>
            </w:r>
            <w:r w:rsidR="007A1473">
              <w:t> </w:t>
            </w:r>
            <w:r w:rsidR="007A1473" w:rsidRPr="005D0525">
              <w:t>28</w:t>
            </w:r>
            <w:r>
              <w:rPr>
                <w:rFonts w:cs="Arial"/>
              </w:rPr>
              <w:fldChar w:fldCharType="end"/>
            </w:r>
            <w:r>
              <w:rPr>
                <w:rFonts w:cs="Arial"/>
              </w:rPr>
              <w:t xml:space="preserve"> (</w:t>
            </w:r>
            <w:r w:rsidRPr="006F064F">
              <w:rPr>
                <w:rFonts w:cs="Arial"/>
                <w:i/>
                <w:iCs/>
              </w:rPr>
              <w:fldChar w:fldCharType="begin"/>
            </w:r>
            <w:r w:rsidRPr="006F064F">
              <w:rPr>
                <w:rFonts w:cs="Arial"/>
                <w:i/>
                <w:iCs/>
              </w:rPr>
              <w:instrText xml:space="preserve"> REF Schedule28Heading \h </w:instrText>
            </w:r>
            <w:r>
              <w:rPr>
                <w:rFonts w:cs="Arial"/>
                <w:i/>
                <w:iCs/>
              </w:rPr>
              <w:instrText xml:space="preserve"> \* MERGEFORMAT </w:instrText>
            </w:r>
            <w:r w:rsidRPr="006F064F">
              <w:rPr>
                <w:rFonts w:cs="Arial"/>
                <w:i/>
                <w:iCs/>
              </w:rPr>
            </w:r>
            <w:r w:rsidRPr="006F064F">
              <w:rPr>
                <w:rFonts w:cs="Arial"/>
                <w:i/>
                <w:iCs/>
              </w:rPr>
              <w:fldChar w:fldCharType="separate"/>
            </w:r>
            <w:r w:rsidR="007A1473" w:rsidRPr="007A1473">
              <w:rPr>
                <w:i/>
                <w:iCs/>
              </w:rPr>
              <w:t>Staff Transfer</w:t>
            </w:r>
            <w:r w:rsidRPr="006F064F">
              <w:rPr>
                <w:rFonts w:cs="Arial"/>
                <w:i/>
                <w:iCs/>
              </w:rPr>
              <w:fldChar w:fldCharType="end"/>
            </w:r>
            <w:r>
              <w:rPr>
                <w:rFonts w:cs="Arial"/>
              </w:rPr>
              <w:t>)</w:t>
            </w:r>
            <w:r w:rsidRPr="00FC322D">
              <w:rPr>
                <w:rFonts w:cs="Arial"/>
              </w:rPr>
              <w:t>;</w:t>
            </w:r>
          </w:p>
        </w:tc>
      </w:tr>
      <w:tr w:rsidR="002071BF" w:rsidRPr="00FC322D" w14:paraId="0E30621A" w14:textId="77777777" w:rsidTr="0052486C">
        <w:tc>
          <w:tcPr>
            <w:tcW w:w="2835" w:type="dxa"/>
          </w:tcPr>
          <w:p w14:paraId="2B093147" w14:textId="77777777" w:rsidR="002071BF" w:rsidRPr="00FC322D" w:rsidRDefault="002071BF" w:rsidP="002071BF">
            <w:pPr>
              <w:pStyle w:val="StdBodyTextBold"/>
              <w:rPr>
                <w:rFonts w:cs="Arial"/>
              </w:rPr>
            </w:pPr>
            <w:r>
              <w:rPr>
                <w:rFonts w:cs="Arial"/>
              </w:rPr>
              <w:t>“</w:t>
            </w:r>
            <w:r w:rsidRPr="00FC322D">
              <w:rPr>
                <w:rFonts w:cs="Arial"/>
              </w:rPr>
              <w:t>Transferring Supplier Employees</w:t>
            </w:r>
            <w:r>
              <w:rPr>
                <w:rFonts w:cs="Arial"/>
              </w:rPr>
              <w:t>”</w:t>
            </w:r>
          </w:p>
        </w:tc>
        <w:tc>
          <w:tcPr>
            <w:tcW w:w="6803" w:type="dxa"/>
          </w:tcPr>
          <w:p w14:paraId="1AB433B5" w14:textId="01FFC074" w:rsidR="002071BF" w:rsidRPr="00FC322D" w:rsidRDefault="002071BF" w:rsidP="002071BF">
            <w:pPr>
              <w:pStyle w:val="StdBodyText"/>
              <w:rPr>
                <w:rFonts w:cs="Arial"/>
              </w:rPr>
            </w:pPr>
            <w:r w:rsidRPr="00FC322D">
              <w:rPr>
                <w:rFonts w:cs="Arial"/>
              </w:rPr>
              <w:t xml:space="preserve">has the meaning given in </w:t>
            </w:r>
            <w:r>
              <w:rPr>
                <w:rFonts w:cs="Arial"/>
              </w:rPr>
              <w:fldChar w:fldCharType="begin"/>
            </w:r>
            <w:r>
              <w:rPr>
                <w:rFonts w:cs="Arial"/>
              </w:rPr>
              <w:instrText xml:space="preserve"> REF Schedule28 \h </w:instrText>
            </w:r>
            <w:r>
              <w:rPr>
                <w:rFonts w:cs="Arial"/>
              </w:rPr>
            </w:r>
            <w:r>
              <w:rPr>
                <w:rFonts w:cs="Arial"/>
              </w:rPr>
              <w:fldChar w:fldCharType="separate"/>
            </w:r>
            <w:r w:rsidR="007A1473" w:rsidRPr="005D0525">
              <w:t>Schedule</w:t>
            </w:r>
            <w:r w:rsidR="007A1473">
              <w:t> </w:t>
            </w:r>
            <w:r w:rsidR="007A1473" w:rsidRPr="005D0525">
              <w:t>28</w:t>
            </w:r>
            <w:r>
              <w:rPr>
                <w:rFonts w:cs="Arial"/>
              </w:rPr>
              <w:fldChar w:fldCharType="end"/>
            </w:r>
            <w:r>
              <w:rPr>
                <w:rFonts w:cs="Arial"/>
              </w:rPr>
              <w:t xml:space="preserve"> (</w:t>
            </w:r>
            <w:r w:rsidRPr="006F064F">
              <w:rPr>
                <w:rFonts w:cs="Arial"/>
                <w:i/>
                <w:iCs/>
              </w:rPr>
              <w:fldChar w:fldCharType="begin"/>
            </w:r>
            <w:r w:rsidRPr="006F064F">
              <w:rPr>
                <w:rFonts w:cs="Arial"/>
                <w:i/>
                <w:iCs/>
              </w:rPr>
              <w:instrText xml:space="preserve"> REF Schedule28Heading \h </w:instrText>
            </w:r>
            <w:r>
              <w:rPr>
                <w:rFonts w:cs="Arial"/>
                <w:i/>
                <w:iCs/>
              </w:rPr>
              <w:instrText xml:space="preserve"> \* MERGEFORMAT </w:instrText>
            </w:r>
            <w:r w:rsidRPr="006F064F">
              <w:rPr>
                <w:rFonts w:cs="Arial"/>
                <w:i/>
                <w:iCs/>
              </w:rPr>
            </w:r>
            <w:r w:rsidRPr="006F064F">
              <w:rPr>
                <w:rFonts w:cs="Arial"/>
                <w:i/>
                <w:iCs/>
              </w:rPr>
              <w:fldChar w:fldCharType="separate"/>
            </w:r>
            <w:r w:rsidR="007A1473" w:rsidRPr="007A1473">
              <w:rPr>
                <w:i/>
                <w:iCs/>
              </w:rPr>
              <w:t>Staff Transfer</w:t>
            </w:r>
            <w:r w:rsidRPr="006F064F">
              <w:rPr>
                <w:rFonts w:cs="Arial"/>
                <w:i/>
                <w:iCs/>
              </w:rPr>
              <w:fldChar w:fldCharType="end"/>
            </w:r>
            <w:r>
              <w:rPr>
                <w:rFonts w:cs="Arial"/>
              </w:rPr>
              <w:t>)</w:t>
            </w:r>
            <w:r w:rsidRPr="00FC322D">
              <w:rPr>
                <w:rFonts w:cs="Arial"/>
              </w:rPr>
              <w:t>;</w:t>
            </w:r>
          </w:p>
        </w:tc>
      </w:tr>
      <w:tr w:rsidR="002071BF" w:rsidRPr="00FC322D" w14:paraId="608AFC31" w14:textId="77777777" w:rsidTr="0052486C">
        <w:tc>
          <w:tcPr>
            <w:tcW w:w="2835" w:type="dxa"/>
          </w:tcPr>
          <w:p w14:paraId="71302D86" w14:textId="77777777" w:rsidR="002071BF" w:rsidRPr="00FC322D" w:rsidRDefault="002071BF" w:rsidP="002071BF">
            <w:pPr>
              <w:pStyle w:val="StdBodyTextBold"/>
              <w:rPr>
                <w:rFonts w:cs="Arial"/>
              </w:rPr>
            </w:pPr>
            <w:r>
              <w:rPr>
                <w:rFonts w:cs="Arial"/>
              </w:rPr>
              <w:t>“</w:t>
            </w:r>
            <w:r w:rsidRPr="00FC322D">
              <w:rPr>
                <w:rFonts w:cs="Arial"/>
              </w:rPr>
              <w:t>Transparency Information</w:t>
            </w:r>
            <w:r>
              <w:rPr>
                <w:rFonts w:cs="Arial"/>
              </w:rPr>
              <w:t>”</w:t>
            </w:r>
          </w:p>
        </w:tc>
        <w:tc>
          <w:tcPr>
            <w:tcW w:w="6803" w:type="dxa"/>
          </w:tcPr>
          <w:p w14:paraId="604F62B7" w14:textId="77777777" w:rsidR="002071BF" w:rsidRPr="00FC322D" w:rsidRDefault="002071BF" w:rsidP="002071BF">
            <w:pPr>
              <w:pStyle w:val="StdBodyText"/>
              <w:rPr>
                <w:rFonts w:cs="Arial"/>
              </w:rPr>
            </w:pPr>
            <w:r w:rsidRPr="00FC322D">
              <w:rPr>
                <w:rFonts w:cs="Arial"/>
              </w:rPr>
              <w:t xml:space="preserve">has the meaning given in </w:t>
            </w:r>
            <w:bookmarkStart w:id="243" w:name="_9kMIH5YVtCIACIECEEgUmVMvF7t41mx9EOM5y13"/>
            <w:bookmarkStart w:id="244" w:name="_9kMHG5YVtCJBCIFDEEgUmVMvF7t41mx9EOM5y13"/>
            <w:r w:rsidRPr="00FC322D">
              <w:rPr>
                <w:rFonts w:cs="Arial"/>
              </w:rPr>
              <w:t xml:space="preserve">Clause </w:t>
            </w:r>
            <w:bookmarkEnd w:id="243"/>
            <w:bookmarkEnd w:id="244"/>
            <w:r w:rsidRPr="00FC322D">
              <w:rPr>
                <w:rFonts w:cs="Arial"/>
              </w:rPr>
              <w:t>20.1 (</w:t>
            </w:r>
            <w:r w:rsidRPr="00050613">
              <w:rPr>
                <w:rFonts w:cs="Arial"/>
                <w:i/>
                <w:iCs/>
              </w:rPr>
              <w:t>Transparency and Freedom of Information</w:t>
            </w:r>
            <w:r w:rsidRPr="00FC322D">
              <w:rPr>
                <w:rFonts w:cs="Arial"/>
              </w:rPr>
              <w:t>);</w:t>
            </w:r>
          </w:p>
        </w:tc>
      </w:tr>
      <w:tr w:rsidR="002071BF" w:rsidRPr="00FC322D" w14:paraId="3E9E38A2" w14:textId="77777777" w:rsidTr="0052486C">
        <w:tc>
          <w:tcPr>
            <w:tcW w:w="2835" w:type="dxa"/>
          </w:tcPr>
          <w:p w14:paraId="4EF9CB5A" w14:textId="77777777" w:rsidR="002071BF" w:rsidRPr="00FC322D" w:rsidRDefault="002071BF" w:rsidP="002071BF">
            <w:pPr>
              <w:pStyle w:val="StdBodyTextBold"/>
              <w:rPr>
                <w:rFonts w:cs="Arial"/>
              </w:rPr>
            </w:pPr>
            <w:r>
              <w:rPr>
                <w:rFonts w:cs="Arial"/>
              </w:rPr>
              <w:t>“</w:t>
            </w:r>
            <w:r w:rsidRPr="00FC322D">
              <w:rPr>
                <w:rFonts w:cs="Arial"/>
              </w:rPr>
              <w:t>Transparency Reports</w:t>
            </w:r>
            <w:r>
              <w:rPr>
                <w:rFonts w:cs="Arial"/>
              </w:rPr>
              <w:t>”</w:t>
            </w:r>
          </w:p>
        </w:tc>
        <w:tc>
          <w:tcPr>
            <w:tcW w:w="6803" w:type="dxa"/>
          </w:tcPr>
          <w:p w14:paraId="5FFB1695" w14:textId="2382D106" w:rsidR="002071BF" w:rsidRPr="00FC322D" w:rsidRDefault="002071BF" w:rsidP="002071BF">
            <w:pPr>
              <w:pStyle w:val="StdBodyText"/>
              <w:rPr>
                <w:rFonts w:cs="Arial"/>
              </w:rPr>
            </w:pPr>
            <w:r w:rsidRPr="00FC322D">
              <w:rPr>
                <w:rFonts w:cs="Arial"/>
              </w:rPr>
              <w:t xml:space="preserve">has the meaning given in </w:t>
            </w:r>
            <w:r>
              <w:rPr>
                <w:rFonts w:cs="Arial"/>
              </w:rPr>
              <w:fldChar w:fldCharType="begin"/>
            </w:r>
            <w:r>
              <w:rPr>
                <w:rFonts w:cs="Arial"/>
              </w:rPr>
              <w:instrText xml:space="preserve"> REF Schedule24 \h </w:instrText>
            </w:r>
            <w:r>
              <w:rPr>
                <w:rFonts w:cs="Arial"/>
              </w:rPr>
            </w:r>
            <w:r>
              <w:rPr>
                <w:rFonts w:cs="Arial"/>
              </w:rPr>
              <w:fldChar w:fldCharType="separate"/>
            </w:r>
            <w:r w:rsidR="007A1473" w:rsidRPr="005D0525">
              <w:t>Schedule</w:t>
            </w:r>
            <w:r w:rsidR="007A1473">
              <w:t> </w:t>
            </w:r>
            <w:r w:rsidR="007A1473" w:rsidRPr="005D0525">
              <w:t>24</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Schedule24Heading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Reports and Records Provisions</w:t>
            </w:r>
            <w:r w:rsidRPr="00A22335">
              <w:rPr>
                <w:rFonts w:cs="Arial"/>
                <w:i/>
                <w:iCs/>
              </w:rPr>
              <w:fldChar w:fldCharType="end"/>
            </w:r>
            <w:r>
              <w:rPr>
                <w:rFonts w:cs="Arial"/>
              </w:rPr>
              <w:t>)</w:t>
            </w:r>
            <w:r w:rsidRPr="00FC322D">
              <w:rPr>
                <w:rFonts w:cs="Arial"/>
              </w:rPr>
              <w:t>;</w:t>
            </w:r>
          </w:p>
        </w:tc>
      </w:tr>
      <w:tr w:rsidR="002071BF" w:rsidRPr="00FC322D" w14:paraId="2C66C9B7" w14:textId="77777777" w:rsidTr="0052486C">
        <w:tc>
          <w:tcPr>
            <w:tcW w:w="2835" w:type="dxa"/>
          </w:tcPr>
          <w:p w14:paraId="56EF64E9" w14:textId="77777777" w:rsidR="002071BF" w:rsidRPr="00FC322D" w:rsidRDefault="002071BF" w:rsidP="002071BF">
            <w:pPr>
              <w:pStyle w:val="StdBodyTextBold"/>
              <w:rPr>
                <w:rFonts w:cs="Arial"/>
              </w:rPr>
            </w:pPr>
            <w:r>
              <w:rPr>
                <w:rFonts w:cs="Arial"/>
              </w:rPr>
              <w:t>“</w:t>
            </w:r>
            <w:r w:rsidRPr="00FC322D">
              <w:rPr>
                <w:rFonts w:cs="Arial"/>
              </w:rPr>
              <w:t>UK</w:t>
            </w:r>
            <w:r>
              <w:rPr>
                <w:rFonts w:cs="Arial"/>
              </w:rPr>
              <w:t>”</w:t>
            </w:r>
          </w:p>
        </w:tc>
        <w:tc>
          <w:tcPr>
            <w:tcW w:w="6803" w:type="dxa"/>
          </w:tcPr>
          <w:p w14:paraId="38FF121E" w14:textId="77777777" w:rsidR="002071BF" w:rsidRPr="00FC322D" w:rsidRDefault="002071BF" w:rsidP="002071BF">
            <w:pPr>
              <w:pStyle w:val="StdBodyText"/>
              <w:rPr>
                <w:rFonts w:cs="Arial"/>
              </w:rPr>
            </w:pPr>
            <w:r w:rsidRPr="00FC322D">
              <w:rPr>
                <w:rFonts w:cs="Arial"/>
              </w:rPr>
              <w:t>the United Kingdom;</w:t>
            </w:r>
          </w:p>
        </w:tc>
      </w:tr>
      <w:tr w:rsidR="002071BF" w:rsidRPr="00FC322D" w14:paraId="0589ADA5" w14:textId="77777777" w:rsidTr="0052486C">
        <w:tc>
          <w:tcPr>
            <w:tcW w:w="2835" w:type="dxa"/>
          </w:tcPr>
          <w:p w14:paraId="7E552986" w14:textId="77777777" w:rsidR="002071BF" w:rsidRPr="00FC322D" w:rsidRDefault="002071BF" w:rsidP="002071BF">
            <w:pPr>
              <w:pStyle w:val="StdBodyTextBold"/>
              <w:rPr>
                <w:rFonts w:cs="Arial"/>
              </w:rPr>
            </w:pPr>
            <w:r>
              <w:rPr>
                <w:rFonts w:cs="Arial"/>
              </w:rPr>
              <w:t>“</w:t>
            </w:r>
            <w:r w:rsidRPr="00FC322D">
              <w:rPr>
                <w:rFonts w:cs="Arial"/>
              </w:rPr>
              <w:t>UK GDPR</w:t>
            </w:r>
            <w:r>
              <w:rPr>
                <w:rFonts w:cs="Arial"/>
              </w:rPr>
              <w:t>”</w:t>
            </w:r>
          </w:p>
        </w:tc>
        <w:tc>
          <w:tcPr>
            <w:tcW w:w="6803" w:type="dxa"/>
          </w:tcPr>
          <w:p w14:paraId="2426F4CA" w14:textId="77777777" w:rsidR="002071BF" w:rsidRPr="00FC322D" w:rsidRDefault="002071BF" w:rsidP="002071BF">
            <w:pPr>
              <w:pStyle w:val="StdBodyText"/>
              <w:rPr>
                <w:rFonts w:cs="Arial"/>
              </w:rPr>
            </w:pPr>
            <w:r w:rsidRPr="00240454">
              <w:rPr>
                <w:rFonts w:cs="Arial"/>
              </w:rPr>
              <w:t>has the meaning as set out in section 3(10) of the DPA 2018, supplemented by section 205(4) of the DPA 2018;</w:t>
            </w:r>
          </w:p>
        </w:tc>
      </w:tr>
      <w:tr w:rsidR="002071BF" w:rsidRPr="00FC322D" w14:paraId="70835950" w14:textId="77777777" w:rsidTr="0052486C">
        <w:tc>
          <w:tcPr>
            <w:tcW w:w="2835" w:type="dxa"/>
          </w:tcPr>
          <w:p w14:paraId="0DD758A1" w14:textId="77777777" w:rsidR="002071BF" w:rsidRPr="00FC322D" w:rsidRDefault="002071BF" w:rsidP="002071BF">
            <w:pPr>
              <w:pStyle w:val="StdBodyTextBold"/>
              <w:rPr>
                <w:rFonts w:cs="Arial"/>
              </w:rPr>
            </w:pPr>
            <w:r>
              <w:rPr>
                <w:rFonts w:cs="Arial"/>
              </w:rPr>
              <w:t>“</w:t>
            </w:r>
            <w:r w:rsidRPr="00FC322D">
              <w:rPr>
                <w:rFonts w:cs="Arial"/>
              </w:rPr>
              <w:t>UK Public Sector Business</w:t>
            </w:r>
            <w:r>
              <w:rPr>
                <w:rFonts w:cs="Arial"/>
              </w:rPr>
              <w:t>”</w:t>
            </w:r>
          </w:p>
        </w:tc>
        <w:tc>
          <w:tcPr>
            <w:tcW w:w="6803" w:type="dxa"/>
          </w:tcPr>
          <w:p w14:paraId="196FC91F" w14:textId="77777777" w:rsidR="002071BF" w:rsidRPr="00FC322D" w:rsidRDefault="002071BF" w:rsidP="002071BF">
            <w:pPr>
              <w:pStyle w:val="StdBodyText"/>
              <w:rPr>
                <w:rFonts w:cs="Arial"/>
              </w:rPr>
            </w:pPr>
            <w:r w:rsidRPr="00FC322D">
              <w:rPr>
                <w:rFonts w:cs="Arial"/>
              </w:rPr>
              <w:t xml:space="preserve">means any goods, service or works provision to UK public sector bodies, including </w:t>
            </w:r>
            <w:r>
              <w:rPr>
                <w:rFonts w:cs="Arial"/>
              </w:rPr>
              <w:t>Crown Bodies</w:t>
            </w:r>
            <w:r w:rsidRPr="00FC322D">
              <w:rPr>
                <w:rFonts w:cs="Arial"/>
              </w:rPr>
              <w:t xml:space="preserve"> and their </w:t>
            </w:r>
            <w:bookmarkStart w:id="245" w:name="_9kMLCP6ZWu9A679B"/>
            <w:r w:rsidRPr="00FC322D">
              <w:rPr>
                <w:rFonts w:cs="Arial"/>
              </w:rPr>
              <w:t>arm</w:t>
            </w:r>
            <w:r>
              <w:rPr>
                <w:rFonts w:cs="Arial"/>
              </w:rPr>
              <w:t>’</w:t>
            </w:r>
            <w:r w:rsidRPr="00FC322D">
              <w:rPr>
                <w:rFonts w:cs="Arial"/>
              </w:rPr>
              <w:t>s</w:t>
            </w:r>
            <w:bookmarkEnd w:id="245"/>
            <w:r w:rsidRPr="00FC322D">
              <w:rPr>
                <w:rFonts w:cs="Arial"/>
              </w:rPr>
              <w:t xml:space="preserve"> length bodies and agencies, non-departmental public bodies, NHS </w:t>
            </w:r>
            <w:r w:rsidRPr="00FC322D">
              <w:rPr>
                <w:rFonts w:cs="Arial"/>
              </w:rPr>
              <w:lastRenderedPageBreak/>
              <w:t>bodies, local authorities, health bodies, police, fire and rescue, education bodies and devolved administrations;</w:t>
            </w:r>
          </w:p>
        </w:tc>
      </w:tr>
      <w:tr w:rsidR="002071BF" w:rsidRPr="00FC322D" w14:paraId="062D1C47" w14:textId="77777777" w:rsidTr="0052486C">
        <w:tc>
          <w:tcPr>
            <w:tcW w:w="2835" w:type="dxa"/>
          </w:tcPr>
          <w:p w14:paraId="7A0654F6" w14:textId="77777777" w:rsidR="002071BF" w:rsidRPr="00FC322D" w:rsidRDefault="002071BF" w:rsidP="002071BF">
            <w:pPr>
              <w:pStyle w:val="StdBodyTextBold"/>
              <w:rPr>
                <w:rFonts w:cs="Arial"/>
              </w:rPr>
            </w:pPr>
            <w:r>
              <w:rPr>
                <w:rFonts w:cs="Arial"/>
              </w:rPr>
              <w:lastRenderedPageBreak/>
              <w:t>“</w:t>
            </w:r>
            <w:r w:rsidRPr="00FC322D">
              <w:rPr>
                <w:rFonts w:cs="Arial"/>
              </w:rPr>
              <w:t>Unacceptable KPI Failure</w:t>
            </w:r>
            <w:r>
              <w:rPr>
                <w:rFonts w:cs="Arial"/>
              </w:rPr>
              <w:t>”</w:t>
            </w:r>
          </w:p>
        </w:tc>
        <w:tc>
          <w:tcPr>
            <w:tcW w:w="6803" w:type="dxa"/>
          </w:tcPr>
          <w:p w14:paraId="5FF647CB" w14:textId="77777777" w:rsidR="002071BF" w:rsidRPr="00FC322D" w:rsidRDefault="002071BF" w:rsidP="002071BF">
            <w:pPr>
              <w:pStyle w:val="StdBodyText"/>
              <w:rPr>
                <w:rFonts w:cs="Arial"/>
              </w:rPr>
            </w:pPr>
            <w:r w:rsidRPr="00FC322D">
              <w:rPr>
                <w:rFonts w:cs="Arial"/>
              </w:rPr>
              <w:t>the Supplier failing to achieve the KPI Service Threshold in respect of more than 50% of the Key Performance Indicators that are measured in that Service Period;</w:t>
            </w:r>
          </w:p>
        </w:tc>
      </w:tr>
      <w:tr w:rsidR="002071BF" w:rsidRPr="00FC322D" w14:paraId="60269E29" w14:textId="77777777" w:rsidTr="0052486C">
        <w:tc>
          <w:tcPr>
            <w:tcW w:w="2835" w:type="dxa"/>
          </w:tcPr>
          <w:p w14:paraId="0BA287FE" w14:textId="77777777" w:rsidR="002071BF" w:rsidRPr="00FC322D" w:rsidRDefault="002071BF" w:rsidP="002071BF">
            <w:pPr>
              <w:pStyle w:val="StdBodyTextBold"/>
              <w:rPr>
                <w:rFonts w:cs="Arial"/>
              </w:rPr>
            </w:pPr>
            <w:r>
              <w:rPr>
                <w:rFonts w:cs="Arial"/>
              </w:rPr>
              <w:t>“</w:t>
            </w:r>
            <w:r w:rsidRPr="00FC322D">
              <w:rPr>
                <w:rFonts w:cs="Arial"/>
              </w:rPr>
              <w:t>Unconnected Sub</w:t>
            </w:r>
            <w:r>
              <w:rPr>
                <w:rFonts w:cs="Arial"/>
              </w:rPr>
              <w:noBreakHyphen/>
            </w:r>
            <w:r w:rsidRPr="00FC322D">
              <w:rPr>
                <w:rFonts w:cs="Arial"/>
              </w:rPr>
              <w:t>contract</w:t>
            </w:r>
            <w:r>
              <w:rPr>
                <w:rFonts w:cs="Arial"/>
              </w:rPr>
              <w:t>”</w:t>
            </w:r>
          </w:p>
        </w:tc>
        <w:tc>
          <w:tcPr>
            <w:tcW w:w="6803" w:type="dxa"/>
          </w:tcPr>
          <w:p w14:paraId="7547D796" w14:textId="77777777" w:rsidR="002071BF" w:rsidRPr="00FC322D" w:rsidRDefault="002071BF" w:rsidP="002071BF">
            <w:pPr>
              <w:pStyle w:val="StdBodyText"/>
              <w:rPr>
                <w:rFonts w:cs="Arial"/>
              </w:rPr>
            </w:pPr>
            <w:r w:rsidRPr="00FC322D">
              <w:rPr>
                <w:rFonts w:cs="Arial"/>
              </w:rPr>
              <w:t xml:space="preserve">any contract or agreement which is not a Sub-contract and is between the Supplier and a third party (which is not an Affiliate of the Supplier) and is a qualifying contract under regulation 6 of The </w:t>
            </w:r>
            <w:bookmarkStart w:id="246" w:name="_9kR3WTr277DIHfKp0391wvx5hP5Iz1Hun5rBI2z"/>
            <w:r w:rsidRPr="00FC322D">
              <w:rPr>
                <w:rFonts w:cs="Arial"/>
              </w:rPr>
              <w:t>Reporting on Payment Practices and Performance Regulations 2017</w:t>
            </w:r>
            <w:bookmarkEnd w:id="246"/>
            <w:r w:rsidRPr="00FC322D">
              <w:rPr>
                <w:rFonts w:cs="Arial"/>
              </w:rPr>
              <w:t>;</w:t>
            </w:r>
          </w:p>
        </w:tc>
      </w:tr>
      <w:tr w:rsidR="002071BF" w:rsidRPr="00FC322D" w14:paraId="0A469EFE" w14:textId="77777777" w:rsidTr="0052486C">
        <w:tc>
          <w:tcPr>
            <w:tcW w:w="2835" w:type="dxa"/>
          </w:tcPr>
          <w:p w14:paraId="448E70B9" w14:textId="77777777" w:rsidR="002071BF" w:rsidRPr="00FC322D" w:rsidRDefault="002071BF" w:rsidP="002071BF">
            <w:pPr>
              <w:pStyle w:val="StdBodyTextBold"/>
              <w:rPr>
                <w:rFonts w:cs="Arial"/>
              </w:rPr>
            </w:pPr>
            <w:r>
              <w:rPr>
                <w:rFonts w:cs="Arial"/>
              </w:rPr>
              <w:t>“</w:t>
            </w:r>
            <w:r w:rsidRPr="00FC322D">
              <w:rPr>
                <w:rFonts w:cs="Arial"/>
              </w:rPr>
              <w:t>Unconnected Sub</w:t>
            </w:r>
            <w:r>
              <w:rPr>
                <w:rFonts w:cs="Arial"/>
              </w:rPr>
              <w:noBreakHyphen/>
            </w:r>
            <w:r w:rsidRPr="00FC322D">
              <w:rPr>
                <w:rFonts w:cs="Arial"/>
              </w:rPr>
              <w:t>contractor</w:t>
            </w:r>
            <w:r>
              <w:rPr>
                <w:rFonts w:cs="Arial"/>
              </w:rPr>
              <w:t>”</w:t>
            </w:r>
          </w:p>
        </w:tc>
        <w:tc>
          <w:tcPr>
            <w:tcW w:w="6803" w:type="dxa"/>
          </w:tcPr>
          <w:p w14:paraId="27873D47" w14:textId="77777777" w:rsidR="002071BF" w:rsidRPr="00FC322D" w:rsidRDefault="002071BF" w:rsidP="002071BF">
            <w:pPr>
              <w:pStyle w:val="StdBodyText"/>
              <w:rPr>
                <w:rFonts w:cs="Arial"/>
              </w:rPr>
            </w:pPr>
            <w:r w:rsidRPr="00FC322D">
              <w:rPr>
                <w:rFonts w:cs="Arial"/>
              </w:rPr>
              <w:t>any third party with whom the Supplier enters into an Unconnected Sub-contract;</w:t>
            </w:r>
          </w:p>
        </w:tc>
      </w:tr>
      <w:tr w:rsidR="002071BF" w:rsidRPr="00FC322D" w14:paraId="5ADB1815" w14:textId="77777777" w:rsidTr="0052486C">
        <w:tc>
          <w:tcPr>
            <w:tcW w:w="2835" w:type="dxa"/>
          </w:tcPr>
          <w:p w14:paraId="524E33B7" w14:textId="77777777" w:rsidR="002071BF" w:rsidRPr="00FC322D" w:rsidRDefault="002071BF" w:rsidP="002071BF">
            <w:pPr>
              <w:pStyle w:val="StdBodyTextBold"/>
              <w:rPr>
                <w:rFonts w:cs="Arial"/>
              </w:rPr>
            </w:pPr>
            <w:r>
              <w:rPr>
                <w:rFonts w:cs="Arial"/>
              </w:rPr>
              <w:t>“</w:t>
            </w:r>
            <w:r w:rsidRPr="00FC322D">
              <w:rPr>
                <w:rFonts w:cs="Arial"/>
              </w:rPr>
              <w:t>Unrecovered Payment</w:t>
            </w:r>
            <w:r>
              <w:rPr>
                <w:rFonts w:cs="Arial"/>
              </w:rPr>
              <w:t>”</w:t>
            </w:r>
          </w:p>
        </w:tc>
        <w:tc>
          <w:tcPr>
            <w:tcW w:w="6803" w:type="dxa"/>
          </w:tcPr>
          <w:p w14:paraId="1D22CB39" w14:textId="556023BC" w:rsidR="002071BF" w:rsidRPr="00FC322D" w:rsidRDefault="002071BF" w:rsidP="002071BF">
            <w:pPr>
              <w:pStyle w:val="StdBodyText"/>
              <w:rPr>
                <w:rFonts w:cs="Arial"/>
              </w:rPr>
            </w:pPr>
            <w:r w:rsidRPr="00FC322D">
              <w:rPr>
                <w:rFonts w:cs="Arial"/>
              </w:rPr>
              <w:t xml:space="preserve">has the meaning given in </w:t>
            </w:r>
            <w:r>
              <w:rPr>
                <w:rFonts w:cs="Arial"/>
              </w:rPr>
              <w:fldChar w:fldCharType="begin"/>
            </w:r>
            <w:r>
              <w:rPr>
                <w:rFonts w:cs="Arial"/>
              </w:rPr>
              <w:instrText xml:space="preserve"> REF Schedule16 \h </w:instrText>
            </w:r>
            <w:r>
              <w:rPr>
                <w:rFonts w:cs="Arial"/>
              </w:rPr>
            </w:r>
            <w:r>
              <w:rPr>
                <w:rFonts w:cs="Arial"/>
              </w:rPr>
              <w:fldChar w:fldCharType="separate"/>
            </w:r>
            <w:r w:rsidR="007A1473" w:rsidRPr="005D0525">
              <w:t>Schedule</w:t>
            </w:r>
            <w:r w:rsidR="007A1473">
              <w:t> </w:t>
            </w:r>
            <w:r w:rsidR="007A1473" w:rsidRPr="005D0525">
              <w:t>16</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Schedule16Heading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Payments on Termination</w:t>
            </w:r>
            <w:r w:rsidRPr="00B91437">
              <w:rPr>
                <w:rFonts w:cs="Arial"/>
                <w:i/>
                <w:iCs/>
              </w:rPr>
              <w:fldChar w:fldCharType="end"/>
            </w:r>
            <w:r>
              <w:rPr>
                <w:rFonts w:cs="Arial"/>
              </w:rPr>
              <w:t>)</w:t>
            </w:r>
            <w:r w:rsidRPr="00FC322D">
              <w:rPr>
                <w:rFonts w:cs="Arial"/>
              </w:rPr>
              <w:t>;</w:t>
            </w:r>
          </w:p>
        </w:tc>
      </w:tr>
      <w:tr w:rsidR="002071BF" w:rsidRPr="00FC322D" w14:paraId="34025E50" w14:textId="77777777" w:rsidTr="0052486C">
        <w:tc>
          <w:tcPr>
            <w:tcW w:w="2835" w:type="dxa"/>
          </w:tcPr>
          <w:p w14:paraId="2237B752" w14:textId="77777777" w:rsidR="002071BF" w:rsidRPr="00FC322D" w:rsidRDefault="002071BF" w:rsidP="002071BF">
            <w:pPr>
              <w:pStyle w:val="StdBodyTextBold"/>
              <w:rPr>
                <w:rFonts w:cs="Arial"/>
              </w:rPr>
            </w:pPr>
            <w:r>
              <w:rPr>
                <w:rFonts w:cs="Arial"/>
              </w:rPr>
              <w:t>“</w:t>
            </w:r>
            <w:r w:rsidRPr="00FC322D">
              <w:rPr>
                <w:rFonts w:cs="Arial"/>
              </w:rPr>
              <w:t>Updates</w:t>
            </w:r>
            <w:r>
              <w:rPr>
                <w:rFonts w:cs="Arial"/>
              </w:rPr>
              <w:t>”</w:t>
            </w:r>
          </w:p>
        </w:tc>
        <w:tc>
          <w:tcPr>
            <w:tcW w:w="6803" w:type="dxa"/>
          </w:tcPr>
          <w:p w14:paraId="4E808886" w14:textId="77777777" w:rsidR="002071BF" w:rsidRPr="00FC322D" w:rsidRDefault="002071BF" w:rsidP="002071BF">
            <w:pPr>
              <w:pStyle w:val="StdBodyText"/>
              <w:rPr>
                <w:rFonts w:cs="Arial"/>
              </w:rPr>
            </w:pPr>
            <w:r w:rsidRPr="00FC322D">
              <w:rPr>
                <w:rFonts w:cs="Arial"/>
              </w:rPr>
              <w:t>in relation to any Software and/or any Deliverable means a version of such item which has been produced primarily to overcome Defects in, or to improve the operation of, that item;</w:t>
            </w:r>
          </w:p>
        </w:tc>
      </w:tr>
      <w:tr w:rsidR="002071BF" w:rsidRPr="00FC322D" w14:paraId="1070694A" w14:textId="77777777" w:rsidTr="0052486C">
        <w:tc>
          <w:tcPr>
            <w:tcW w:w="2835" w:type="dxa"/>
          </w:tcPr>
          <w:p w14:paraId="59E8F089" w14:textId="77777777" w:rsidR="002071BF" w:rsidRPr="00FC322D" w:rsidRDefault="002071BF" w:rsidP="002071BF">
            <w:pPr>
              <w:pStyle w:val="StdBodyTextBold"/>
              <w:rPr>
                <w:rFonts w:cs="Arial"/>
              </w:rPr>
            </w:pPr>
            <w:r>
              <w:rPr>
                <w:rFonts w:cs="Arial"/>
              </w:rPr>
              <w:t>“</w:t>
            </w:r>
            <w:r w:rsidRPr="00FC322D">
              <w:rPr>
                <w:rFonts w:cs="Arial"/>
              </w:rPr>
              <w:t>Update Requirement</w:t>
            </w:r>
            <w:r>
              <w:rPr>
                <w:rFonts w:cs="Arial"/>
              </w:rPr>
              <w:t>”</w:t>
            </w:r>
          </w:p>
        </w:tc>
        <w:tc>
          <w:tcPr>
            <w:tcW w:w="6803" w:type="dxa"/>
          </w:tcPr>
          <w:p w14:paraId="5860B0ED" w14:textId="1B1311A7" w:rsidR="002071BF" w:rsidRPr="00FC322D" w:rsidRDefault="002071BF" w:rsidP="002071BF">
            <w:pPr>
              <w:pStyle w:val="StdBodyText"/>
              <w:rPr>
                <w:rFonts w:cs="Arial"/>
              </w:rPr>
            </w:pPr>
            <w:r w:rsidRPr="00FC322D">
              <w:rPr>
                <w:rFonts w:cs="Arial"/>
              </w:rPr>
              <w:t xml:space="preserve">means the occurrence of an event detailed in </w:t>
            </w:r>
            <w:r>
              <w:rPr>
                <w:rFonts w:cs="Arial"/>
              </w:rPr>
              <w:fldChar w:fldCharType="begin"/>
            </w:r>
            <w:r>
              <w:rPr>
                <w:rFonts w:cs="Arial"/>
              </w:rPr>
              <w:instrText xml:space="preserve"> REF Schedule24 \h </w:instrText>
            </w:r>
            <w:r>
              <w:rPr>
                <w:rFonts w:cs="Arial"/>
              </w:rPr>
            </w:r>
            <w:r>
              <w:rPr>
                <w:rFonts w:cs="Arial"/>
              </w:rPr>
              <w:fldChar w:fldCharType="separate"/>
            </w:r>
            <w:r w:rsidR="007A1473" w:rsidRPr="005D0525">
              <w:t>Schedule</w:t>
            </w:r>
            <w:r w:rsidR="007A1473">
              <w:t> </w:t>
            </w:r>
            <w:r w:rsidR="007A1473" w:rsidRPr="005D0525">
              <w:t>24</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Schedule24Heading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Reports and Records Provisions</w:t>
            </w:r>
            <w:r w:rsidRPr="00A22335">
              <w:rPr>
                <w:rFonts w:cs="Arial"/>
                <w:i/>
                <w:iCs/>
              </w:rPr>
              <w:fldChar w:fldCharType="end"/>
            </w:r>
            <w:r>
              <w:rPr>
                <w:rFonts w:cs="Arial"/>
              </w:rPr>
              <w:t>)</w:t>
            </w:r>
            <w:r w:rsidRPr="00FC322D">
              <w:rPr>
                <w:rFonts w:cs="Arial"/>
              </w:rPr>
              <w:t xml:space="preserve"> (</w:t>
            </w:r>
            <w:r w:rsidRPr="00FC322D">
              <w:rPr>
                <w:rFonts w:cs="Arial"/>
              </w:rPr>
              <w:fldChar w:fldCharType="begin"/>
            </w:r>
            <w:r w:rsidRPr="00FC322D">
              <w:rPr>
                <w:rFonts w:cs="Arial"/>
              </w:rPr>
              <w:instrText xml:space="preserve"> REF  _Ref_ContractCompanion_9kb9Ur5BA \* Caps \h  \* MERGEFORMAT </w:instrText>
            </w:r>
            <w:r w:rsidRPr="00FC322D">
              <w:rPr>
                <w:rFonts w:cs="Arial"/>
              </w:rPr>
            </w:r>
            <w:r w:rsidRPr="00FC322D">
              <w:rPr>
                <w:rFonts w:cs="Arial"/>
              </w:rPr>
              <w:fldChar w:fldCharType="separate"/>
            </w:r>
            <w:r w:rsidR="007A1473" w:rsidRPr="007A1473">
              <w:rPr>
                <w:rFonts w:cs="Arial"/>
              </w:rPr>
              <w:t xml:space="preserve">Annex 3: </w:t>
            </w:r>
            <w:r w:rsidR="007A1473" w:rsidRPr="007A1473">
              <w:rPr>
                <w:rFonts w:cs="Arial"/>
                <w:i/>
                <w:iCs/>
              </w:rPr>
              <w:t>Records To Upload To Virtual Library</w:t>
            </w:r>
            <w:r w:rsidRPr="00FC322D">
              <w:rPr>
                <w:rFonts w:cs="Arial"/>
              </w:rPr>
              <w:fldChar w:fldCharType="end"/>
            </w:r>
            <w:r w:rsidRPr="00FC322D">
              <w:rPr>
                <w:rFonts w:cs="Arial"/>
              </w:rPr>
              <w:t>) which requires the Supplier to update the relevant information hosted on the Virtual Library;</w:t>
            </w:r>
          </w:p>
        </w:tc>
      </w:tr>
      <w:tr w:rsidR="002071BF" w:rsidRPr="00FC322D" w14:paraId="15E09B4D" w14:textId="77777777" w:rsidTr="0052486C">
        <w:tc>
          <w:tcPr>
            <w:tcW w:w="2835" w:type="dxa"/>
          </w:tcPr>
          <w:p w14:paraId="4383F2A8" w14:textId="77777777" w:rsidR="002071BF" w:rsidRPr="00FC322D" w:rsidRDefault="002071BF" w:rsidP="002071BF">
            <w:pPr>
              <w:pStyle w:val="StdBodyTextBold"/>
              <w:rPr>
                <w:rFonts w:cs="Arial"/>
              </w:rPr>
            </w:pPr>
            <w:r>
              <w:rPr>
                <w:rFonts w:cs="Arial"/>
              </w:rPr>
              <w:t>“</w:t>
            </w:r>
            <w:r w:rsidRPr="00FC322D">
              <w:rPr>
                <w:rFonts w:cs="Arial"/>
              </w:rPr>
              <w:t>Upgrades</w:t>
            </w:r>
            <w:r>
              <w:rPr>
                <w:rFonts w:cs="Arial"/>
              </w:rPr>
              <w:t>”</w:t>
            </w:r>
          </w:p>
        </w:tc>
        <w:tc>
          <w:tcPr>
            <w:tcW w:w="6803" w:type="dxa"/>
          </w:tcPr>
          <w:p w14:paraId="3800E867" w14:textId="77777777" w:rsidR="002071BF" w:rsidRPr="00FC322D" w:rsidRDefault="002071BF" w:rsidP="002071BF">
            <w:pPr>
              <w:pStyle w:val="StdBodyText"/>
              <w:rPr>
                <w:rFonts w:cs="Arial"/>
              </w:rPr>
            </w:pPr>
            <w:r>
              <w:rPr>
                <w:rFonts w:cs="Arial"/>
              </w:rPr>
              <w:t xml:space="preserve">means </w:t>
            </w:r>
            <w:r w:rsidRPr="00FC322D">
              <w:rPr>
                <w:rFonts w:cs="Arial"/>
              </w:rPr>
              <w:t>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Term;</w:t>
            </w:r>
          </w:p>
        </w:tc>
      </w:tr>
      <w:tr w:rsidR="002071BF" w:rsidRPr="00FC322D" w14:paraId="40639D0F" w14:textId="77777777" w:rsidTr="0052486C">
        <w:tc>
          <w:tcPr>
            <w:tcW w:w="2835" w:type="dxa"/>
          </w:tcPr>
          <w:p w14:paraId="64B29151" w14:textId="77777777" w:rsidR="002071BF" w:rsidRPr="00FC322D" w:rsidRDefault="002071BF" w:rsidP="002071BF">
            <w:pPr>
              <w:pStyle w:val="StdBodyTextBold"/>
              <w:rPr>
                <w:rFonts w:cs="Arial"/>
              </w:rPr>
            </w:pPr>
            <w:r>
              <w:rPr>
                <w:rFonts w:cs="Arial"/>
              </w:rPr>
              <w:t>“</w:t>
            </w:r>
            <w:r w:rsidRPr="00FC322D">
              <w:rPr>
                <w:rFonts w:cs="Arial"/>
              </w:rPr>
              <w:t>Valid</w:t>
            </w:r>
            <w:r>
              <w:rPr>
                <w:rFonts w:cs="Arial"/>
              </w:rPr>
              <w:t>”</w:t>
            </w:r>
          </w:p>
        </w:tc>
        <w:tc>
          <w:tcPr>
            <w:tcW w:w="6803" w:type="dxa"/>
          </w:tcPr>
          <w:p w14:paraId="317DC10B" w14:textId="51AC87E9" w:rsidR="002071BF" w:rsidRPr="00FC322D" w:rsidRDefault="002071BF" w:rsidP="002071BF">
            <w:pPr>
              <w:pStyle w:val="StdBodyText"/>
              <w:rPr>
                <w:rFonts w:cs="Arial"/>
              </w:rPr>
            </w:pPr>
            <w:r w:rsidRPr="00FC322D">
              <w:rPr>
                <w:rFonts w:cs="Arial"/>
              </w:rPr>
              <w:t xml:space="preserve">in respect of an Assurance, has the meaning given to it in </w:t>
            </w:r>
            <w:bookmarkStart w:id="247" w:name="_9kR3WTr2CC57GfEnoewrqyBJQ"/>
            <w:r w:rsidRPr="00FC322D">
              <w:rPr>
                <w:rFonts w:cs="Arial"/>
              </w:rPr>
              <w:t xml:space="preserve">Paragraph </w:t>
            </w:r>
            <w:bookmarkEnd w:id="247"/>
            <w:r w:rsidRPr="00FC322D">
              <w:rPr>
                <w:rFonts w:cs="Arial"/>
              </w:rPr>
              <w:fldChar w:fldCharType="begin"/>
            </w:r>
            <w:r w:rsidRPr="00FC322D">
              <w:rPr>
                <w:rFonts w:cs="Arial"/>
              </w:rPr>
              <w:instrText xml:space="preserve"> REF _Ref44573382 \r \h  \* MERGEFORMAT </w:instrText>
            </w:r>
            <w:r w:rsidRPr="00FC322D">
              <w:rPr>
                <w:rFonts w:cs="Arial"/>
              </w:rPr>
            </w:r>
            <w:r w:rsidRPr="00FC322D">
              <w:rPr>
                <w:rFonts w:cs="Arial"/>
              </w:rPr>
              <w:fldChar w:fldCharType="separate"/>
            </w:r>
            <w:r w:rsidR="007A1473">
              <w:rPr>
                <w:rFonts w:cs="Arial"/>
              </w:rPr>
              <w:t>2.7</w:t>
            </w:r>
            <w:r w:rsidRPr="00FC322D">
              <w:rPr>
                <w:rFonts w:cs="Arial"/>
              </w:rPr>
              <w:fldChar w:fldCharType="end"/>
            </w:r>
            <w:r w:rsidRPr="00FC322D">
              <w:rPr>
                <w:rFonts w:cs="Arial"/>
              </w:rPr>
              <w:t xml:space="preserve"> of </w:t>
            </w:r>
            <w:r w:rsidRPr="00FC322D">
              <w:rPr>
                <w:rFonts w:cs="Arial"/>
              </w:rPr>
              <w:fldChar w:fldCharType="begin"/>
            </w:r>
            <w:r w:rsidRPr="00FC322D">
              <w:rPr>
                <w:rFonts w:cs="Arial"/>
              </w:rPr>
              <w:instrText xml:space="preserve"> REF Sch26PartB \h  \* MERGEFORMAT </w:instrText>
            </w:r>
            <w:r w:rsidRPr="00FC322D">
              <w:rPr>
                <w:rFonts w:cs="Arial"/>
              </w:rPr>
            </w:r>
            <w:r w:rsidRPr="00FC322D">
              <w:rPr>
                <w:rFonts w:cs="Arial"/>
              </w:rPr>
              <w:fldChar w:fldCharType="separate"/>
            </w:r>
            <w:r w:rsidR="007A1473" w:rsidRPr="007A1473">
              <w:rPr>
                <w:rFonts w:cs="Arial"/>
              </w:rPr>
              <w:t>Part B</w:t>
            </w:r>
            <w:r w:rsidRPr="00FC322D">
              <w:rPr>
                <w:rFonts w:cs="Arial"/>
              </w:rPr>
              <w:fldChar w:fldCharType="end"/>
            </w:r>
            <w:r w:rsidRPr="00FC322D">
              <w:rPr>
                <w:rFonts w:cs="Arial"/>
              </w:rPr>
              <w:t xml:space="preserve"> to </w:t>
            </w:r>
            <w:r>
              <w:rPr>
                <w:rFonts w:cs="Arial"/>
              </w:rPr>
              <w:fldChar w:fldCharType="begin"/>
            </w:r>
            <w:r>
              <w:rPr>
                <w:rFonts w:cs="Arial"/>
              </w:rPr>
              <w:instrText xml:space="preserve"> REF Schedule26 \h </w:instrText>
            </w:r>
            <w:r>
              <w:rPr>
                <w:rFonts w:cs="Arial"/>
              </w:rPr>
            </w:r>
            <w:r>
              <w:rPr>
                <w:rFonts w:cs="Arial"/>
              </w:rPr>
              <w:fldChar w:fldCharType="separate"/>
            </w:r>
            <w:r w:rsidR="007A1473" w:rsidRPr="005D0525">
              <w:t>Schedule</w:t>
            </w:r>
            <w:r w:rsidR="007A1473">
              <w:t> </w:t>
            </w:r>
            <w:r w:rsidR="007A1473" w:rsidRPr="005D0525">
              <w:t>26</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Schedule26Heading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 Continuity Plan and Corporate Resolution Planning</w:t>
            </w:r>
            <w:r w:rsidRPr="00A22335">
              <w:rPr>
                <w:rFonts w:cs="Arial"/>
                <w:i/>
                <w:iCs/>
              </w:rPr>
              <w:fldChar w:fldCharType="end"/>
            </w:r>
            <w:r>
              <w:rPr>
                <w:rFonts w:cs="Arial"/>
              </w:rPr>
              <w:t>)</w:t>
            </w:r>
            <w:r w:rsidRPr="00FC322D">
              <w:rPr>
                <w:rFonts w:cs="Arial"/>
              </w:rPr>
              <w:t>;</w:t>
            </w:r>
          </w:p>
        </w:tc>
      </w:tr>
      <w:tr w:rsidR="002071BF" w:rsidRPr="00FC322D" w14:paraId="40ED6C63" w14:textId="77777777" w:rsidTr="0052486C">
        <w:tc>
          <w:tcPr>
            <w:tcW w:w="2835" w:type="dxa"/>
          </w:tcPr>
          <w:p w14:paraId="488D2F07" w14:textId="77777777" w:rsidR="002071BF" w:rsidRPr="00FC322D" w:rsidRDefault="002071BF" w:rsidP="002071BF">
            <w:pPr>
              <w:pStyle w:val="StdBodyTextBold"/>
              <w:rPr>
                <w:rFonts w:cs="Arial"/>
              </w:rPr>
            </w:pPr>
            <w:r>
              <w:rPr>
                <w:rFonts w:cs="Arial"/>
              </w:rPr>
              <w:t>“</w:t>
            </w:r>
            <w:r w:rsidRPr="00FC322D">
              <w:rPr>
                <w:rFonts w:cs="Arial"/>
              </w:rPr>
              <w:t>VAT</w:t>
            </w:r>
            <w:r>
              <w:rPr>
                <w:rFonts w:cs="Arial"/>
              </w:rPr>
              <w:t>”</w:t>
            </w:r>
          </w:p>
        </w:tc>
        <w:tc>
          <w:tcPr>
            <w:tcW w:w="6803" w:type="dxa"/>
          </w:tcPr>
          <w:p w14:paraId="6B51EC91" w14:textId="77777777" w:rsidR="002071BF" w:rsidRPr="00FC322D" w:rsidRDefault="002071BF" w:rsidP="002071BF">
            <w:pPr>
              <w:pStyle w:val="StdBodyText"/>
              <w:rPr>
                <w:rFonts w:cs="Arial"/>
              </w:rPr>
            </w:pPr>
            <w:r w:rsidRPr="00FC322D">
              <w:rPr>
                <w:rFonts w:cs="Arial"/>
              </w:rPr>
              <w:t xml:space="preserve">value added tax as provided for in the </w:t>
            </w:r>
            <w:bookmarkStart w:id="248" w:name="_9kR3WTr277CKLkKh2wD7hjkaS3eE4UYhd"/>
            <w:r w:rsidRPr="00FC322D">
              <w:rPr>
                <w:rFonts w:cs="Arial"/>
              </w:rPr>
              <w:t>Value Added Tax Act 1994</w:t>
            </w:r>
            <w:bookmarkEnd w:id="248"/>
            <w:r w:rsidRPr="00FC322D">
              <w:rPr>
                <w:rFonts w:cs="Arial"/>
              </w:rPr>
              <w:t>;</w:t>
            </w:r>
          </w:p>
        </w:tc>
      </w:tr>
      <w:tr w:rsidR="002071BF" w:rsidRPr="00FC322D" w14:paraId="47ADE3A6" w14:textId="77777777" w:rsidTr="0052486C">
        <w:tc>
          <w:tcPr>
            <w:tcW w:w="2835" w:type="dxa"/>
          </w:tcPr>
          <w:p w14:paraId="6F63F997" w14:textId="77777777" w:rsidR="002071BF" w:rsidRPr="00FC322D" w:rsidRDefault="002071BF" w:rsidP="002071BF">
            <w:pPr>
              <w:pStyle w:val="StdBodyTextBold"/>
              <w:rPr>
                <w:rFonts w:cs="Arial"/>
              </w:rPr>
            </w:pPr>
            <w:r>
              <w:rPr>
                <w:rFonts w:cs="Arial"/>
              </w:rPr>
              <w:t>“</w:t>
            </w:r>
            <w:r w:rsidRPr="00FC322D">
              <w:rPr>
                <w:rFonts w:cs="Arial"/>
              </w:rPr>
              <w:t>VCSE</w:t>
            </w:r>
            <w:r>
              <w:rPr>
                <w:rFonts w:cs="Arial"/>
              </w:rPr>
              <w:t>”</w:t>
            </w:r>
          </w:p>
        </w:tc>
        <w:tc>
          <w:tcPr>
            <w:tcW w:w="6803" w:type="dxa"/>
          </w:tcPr>
          <w:p w14:paraId="696AF7B6" w14:textId="77777777" w:rsidR="002071BF" w:rsidRPr="00FC322D" w:rsidRDefault="002071BF" w:rsidP="002071BF">
            <w:pPr>
              <w:pStyle w:val="StdBodyText"/>
              <w:rPr>
                <w:rFonts w:cs="Arial"/>
              </w:rPr>
            </w:pPr>
            <w:r w:rsidRPr="00FC322D">
              <w:rPr>
                <w:rFonts w:cs="Arial"/>
              </w:rPr>
              <w:t>means a non-governmental organisation that is value-driven and which principally reinvests its surpluses to further social, environmental or cultural objectives;</w:t>
            </w:r>
          </w:p>
        </w:tc>
      </w:tr>
      <w:tr w:rsidR="002071BF" w:rsidRPr="00FC322D" w14:paraId="022541FC" w14:textId="77777777" w:rsidTr="0052486C">
        <w:tc>
          <w:tcPr>
            <w:tcW w:w="2835" w:type="dxa"/>
          </w:tcPr>
          <w:p w14:paraId="75032BAC" w14:textId="77777777" w:rsidR="002071BF" w:rsidRPr="00FC322D" w:rsidRDefault="002071BF" w:rsidP="002071BF">
            <w:pPr>
              <w:pStyle w:val="StdBodyTextBold"/>
              <w:rPr>
                <w:rFonts w:cs="Arial"/>
              </w:rPr>
            </w:pPr>
            <w:r>
              <w:rPr>
                <w:rFonts w:cs="Arial"/>
              </w:rPr>
              <w:t>“</w:t>
            </w:r>
            <w:r w:rsidRPr="00FC322D">
              <w:rPr>
                <w:rFonts w:cs="Arial"/>
              </w:rPr>
              <w:t>Virtual Library</w:t>
            </w:r>
            <w:r>
              <w:rPr>
                <w:rFonts w:cs="Arial"/>
              </w:rPr>
              <w:t>”</w:t>
            </w:r>
          </w:p>
        </w:tc>
        <w:tc>
          <w:tcPr>
            <w:tcW w:w="6803" w:type="dxa"/>
          </w:tcPr>
          <w:p w14:paraId="15AF538F" w14:textId="2034F06D" w:rsidR="002071BF" w:rsidRPr="00FC322D" w:rsidRDefault="002071BF" w:rsidP="002071BF">
            <w:pPr>
              <w:pStyle w:val="StdBodyText"/>
              <w:rPr>
                <w:rFonts w:cs="Arial"/>
              </w:rPr>
            </w:pPr>
            <w:r w:rsidRPr="00FC322D">
              <w:rPr>
                <w:rFonts w:cs="Arial"/>
              </w:rPr>
              <w:t xml:space="preserve">means the data repository hosted by the Supplier containing the information about this Contract and the Services provided </w:t>
            </w:r>
            <w:r w:rsidRPr="00FC322D">
              <w:rPr>
                <w:rFonts w:cs="Arial"/>
              </w:rPr>
              <w:lastRenderedPageBreak/>
              <w:t xml:space="preserve">under it in accordance with </w:t>
            </w:r>
            <w:r>
              <w:rPr>
                <w:rFonts w:cs="Arial"/>
              </w:rPr>
              <w:fldChar w:fldCharType="begin"/>
            </w:r>
            <w:r>
              <w:rPr>
                <w:rFonts w:cs="Arial"/>
              </w:rPr>
              <w:instrText xml:space="preserve"> REF Schedule24 \h </w:instrText>
            </w:r>
            <w:r>
              <w:rPr>
                <w:rFonts w:cs="Arial"/>
              </w:rPr>
            </w:r>
            <w:r>
              <w:rPr>
                <w:rFonts w:cs="Arial"/>
              </w:rPr>
              <w:fldChar w:fldCharType="separate"/>
            </w:r>
            <w:r w:rsidR="007A1473" w:rsidRPr="005D0525">
              <w:t>Schedule</w:t>
            </w:r>
            <w:r w:rsidR="007A1473">
              <w:t> </w:t>
            </w:r>
            <w:r w:rsidR="007A1473" w:rsidRPr="005D0525">
              <w:t>24</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Schedule24Heading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Reports and Records Provisions</w:t>
            </w:r>
            <w:r w:rsidRPr="00A22335">
              <w:rPr>
                <w:rFonts w:cs="Arial"/>
                <w:i/>
                <w:iCs/>
              </w:rPr>
              <w:fldChar w:fldCharType="end"/>
            </w:r>
            <w:r>
              <w:rPr>
                <w:rFonts w:cs="Arial"/>
              </w:rPr>
              <w:t>)</w:t>
            </w:r>
            <w:r w:rsidRPr="00FC322D">
              <w:rPr>
                <w:rFonts w:cs="Arial"/>
              </w:rPr>
              <w:t>; and</w:t>
            </w:r>
          </w:p>
        </w:tc>
      </w:tr>
      <w:tr w:rsidR="002071BF" w:rsidRPr="00FC322D" w14:paraId="33B0F34C" w14:textId="77777777" w:rsidTr="0052486C">
        <w:tc>
          <w:tcPr>
            <w:tcW w:w="2835" w:type="dxa"/>
          </w:tcPr>
          <w:p w14:paraId="6A611A64" w14:textId="77777777" w:rsidR="002071BF" w:rsidRPr="00FC322D" w:rsidRDefault="002071BF" w:rsidP="002071BF">
            <w:pPr>
              <w:pStyle w:val="StdBodyTextBold"/>
              <w:rPr>
                <w:rFonts w:cs="Arial"/>
              </w:rPr>
            </w:pPr>
            <w:r>
              <w:rPr>
                <w:rFonts w:cs="Arial"/>
              </w:rPr>
              <w:lastRenderedPageBreak/>
              <w:t>“</w:t>
            </w:r>
            <w:r w:rsidRPr="00FC322D">
              <w:rPr>
                <w:rFonts w:cs="Arial"/>
              </w:rPr>
              <w:t>Working Day</w:t>
            </w:r>
            <w:r>
              <w:rPr>
                <w:rFonts w:cs="Arial"/>
              </w:rPr>
              <w:t>”</w:t>
            </w:r>
          </w:p>
        </w:tc>
        <w:tc>
          <w:tcPr>
            <w:tcW w:w="6803" w:type="dxa"/>
          </w:tcPr>
          <w:p w14:paraId="2A3E50DD" w14:textId="77777777" w:rsidR="002071BF" w:rsidRPr="00FC322D" w:rsidRDefault="002071BF" w:rsidP="002071BF">
            <w:pPr>
              <w:pStyle w:val="StdBodyText"/>
              <w:rPr>
                <w:rFonts w:cs="Arial"/>
              </w:rPr>
            </w:pPr>
            <w:r w:rsidRPr="00FC322D">
              <w:rPr>
                <w:rFonts w:cs="Arial"/>
              </w:rPr>
              <w:t>any day other than a Saturday, Sunday or public holiday in England and Wales.</w:t>
            </w:r>
          </w:p>
        </w:tc>
      </w:tr>
      <w:bookmarkEnd w:id="0"/>
    </w:tbl>
    <w:p w14:paraId="26726940" w14:textId="77777777" w:rsidR="00F67E9E" w:rsidRDefault="00F67E9E" w:rsidP="00F67E9E"/>
    <w:p w14:paraId="0E3C9066" w14:textId="77777777" w:rsidR="00F67E9E" w:rsidRDefault="00F67E9E" w:rsidP="00F67E9E"/>
    <w:p w14:paraId="447C4BDB" w14:textId="77777777" w:rsidR="00F67E9E" w:rsidRPr="00FC322D" w:rsidRDefault="00F67E9E" w:rsidP="00F67E9E">
      <w:pPr>
        <w:sectPr w:rsidR="00F67E9E" w:rsidRPr="00FC322D" w:rsidSect="00240D26">
          <w:headerReference w:type="default" r:id="rId22"/>
          <w:footerReference w:type="default" r:id="rId23"/>
          <w:pgSz w:w="11900" w:h="16840" w:code="9"/>
          <w:pgMar w:top="1701" w:right="851" w:bottom="1134" w:left="851" w:header="567" w:footer="567" w:gutter="0"/>
          <w:cols w:space="720"/>
          <w:docGrid w:linePitch="360"/>
        </w:sectPr>
      </w:pPr>
    </w:p>
    <w:p w14:paraId="6F76F03D" w14:textId="77777777" w:rsidR="00F67E9E" w:rsidRPr="007C55B2" w:rsidRDefault="00F67E9E" w:rsidP="00F67E9E">
      <w:pPr>
        <w:pStyle w:val="Dividername"/>
      </w:pPr>
      <w:bookmarkStart w:id="249" w:name="_Ref92197519"/>
      <w:r w:rsidRPr="007C55B2">
        <w:lastRenderedPageBreak/>
        <w:t>Schedule 2</w:t>
      </w:r>
    </w:p>
    <w:p w14:paraId="40EB52A4" w14:textId="77777777" w:rsidR="00F67E9E" w:rsidRPr="007C55B2" w:rsidRDefault="00F67E9E" w:rsidP="00F67E9E">
      <w:pPr>
        <w:pStyle w:val="Dividername"/>
      </w:pPr>
      <w:r w:rsidRPr="007C55B2">
        <w:t>Services Description</w:t>
      </w:r>
    </w:p>
    <w:p w14:paraId="1ECE286F" w14:textId="77777777" w:rsidR="00F67E9E" w:rsidRDefault="00F67E9E" w:rsidP="00F67E9E"/>
    <w:p w14:paraId="65F1EF68" w14:textId="77777777" w:rsidR="00F67E9E" w:rsidRPr="005D0525" w:rsidRDefault="00F67E9E" w:rsidP="00F67E9E">
      <w:pPr>
        <w:pStyle w:val="Heading1"/>
      </w:pPr>
      <w:bookmarkStart w:id="250" w:name="Schedule2"/>
      <w:bookmarkStart w:id="251" w:name="_Ref92707577"/>
      <w:bookmarkStart w:id="252" w:name="_Toc145412735"/>
      <w:r w:rsidRPr="005D0525">
        <w:lastRenderedPageBreak/>
        <w:t>Schedule</w:t>
      </w:r>
      <w:r>
        <w:t> </w:t>
      </w:r>
      <w:r w:rsidRPr="005D0525">
        <w:t>2</w:t>
      </w:r>
      <w:bookmarkEnd w:id="250"/>
      <w:r>
        <w:t xml:space="preserve">: </w:t>
      </w:r>
      <w:bookmarkStart w:id="253" w:name="Schedule2Heading"/>
      <w:r w:rsidRPr="00F97284">
        <w:t>Services Description</w:t>
      </w:r>
      <w:bookmarkEnd w:id="249"/>
      <w:bookmarkEnd w:id="251"/>
      <w:bookmarkEnd w:id="252"/>
      <w:bookmarkEnd w:id="253"/>
    </w:p>
    <w:p w14:paraId="0A747643" w14:textId="6518E217" w:rsidR="00433172" w:rsidRDefault="00433172" w:rsidP="00F13933">
      <w:pPr>
        <w:pStyle w:val="Numbered1"/>
        <w:numPr>
          <w:ilvl w:val="0"/>
          <w:numId w:val="114"/>
        </w:numPr>
      </w:pPr>
      <w:r>
        <w:t>Structure of this Schedule</w:t>
      </w:r>
    </w:p>
    <w:p w14:paraId="4B2F4811" w14:textId="77777777" w:rsidR="00433172" w:rsidRDefault="00433172" w:rsidP="00433172">
      <w:pPr>
        <w:pStyle w:val="Numbered11"/>
        <w:numPr>
          <w:ilvl w:val="1"/>
          <w:numId w:val="114"/>
        </w:numPr>
        <w:suppressAutoHyphens/>
        <w:textAlignment w:val="baseline"/>
      </w:pPr>
      <w:r>
        <w:t xml:space="preserve">This Schedule 2 comprises of the Paragraphs set out below, together with the following documents, which are hereby incorporated by reference into this Schedule 2 and are referred to in this Schedule 2 as the </w:t>
      </w:r>
      <w:r w:rsidRPr="00433172">
        <w:rPr>
          <w:b/>
        </w:rPr>
        <w:t>"Requirements Documents"</w:t>
      </w:r>
      <w:r>
        <w:t>:</w:t>
      </w:r>
    </w:p>
    <w:p w14:paraId="6FEC89D1" w14:textId="77777777" w:rsidR="00433172" w:rsidRDefault="00433172" w:rsidP="00433172">
      <w:pPr>
        <w:pStyle w:val="Numbered111"/>
        <w:numPr>
          <w:ilvl w:val="2"/>
          <w:numId w:val="114"/>
        </w:numPr>
        <w:suppressAutoHyphens/>
        <w:textAlignment w:val="baseline"/>
      </w:pPr>
      <w:r w:rsidRPr="00433172">
        <w:rPr>
          <w:b/>
        </w:rPr>
        <w:t>"0. Glossary of terms &amp; Indexing"</w:t>
      </w:r>
      <w:r>
        <w:t>;</w:t>
      </w:r>
    </w:p>
    <w:p w14:paraId="6070085E" w14:textId="77777777" w:rsidR="00433172" w:rsidRDefault="00433172" w:rsidP="00433172">
      <w:pPr>
        <w:pStyle w:val="Numbered111"/>
        <w:numPr>
          <w:ilvl w:val="2"/>
          <w:numId w:val="114"/>
        </w:numPr>
        <w:suppressAutoHyphens/>
        <w:textAlignment w:val="baseline"/>
      </w:pPr>
      <w:r w:rsidRPr="00433172">
        <w:rPr>
          <w:b/>
        </w:rPr>
        <w:t>"1.1 Requirement introduction"</w:t>
      </w:r>
      <w:r>
        <w:t>;</w:t>
      </w:r>
    </w:p>
    <w:p w14:paraId="44FDD84A" w14:textId="77777777" w:rsidR="00433172" w:rsidRDefault="00433172" w:rsidP="00433172">
      <w:pPr>
        <w:pStyle w:val="Numbered111"/>
        <w:numPr>
          <w:ilvl w:val="2"/>
          <w:numId w:val="114"/>
        </w:numPr>
        <w:suppressAutoHyphens/>
        <w:textAlignment w:val="baseline"/>
      </w:pPr>
      <w:r w:rsidRPr="00433172">
        <w:rPr>
          <w:b/>
        </w:rPr>
        <w:t>"1.2 User journeys"</w:t>
      </w:r>
      <w:r>
        <w:t>;</w:t>
      </w:r>
    </w:p>
    <w:p w14:paraId="595F5610" w14:textId="77777777" w:rsidR="00433172" w:rsidRDefault="00433172" w:rsidP="00433172">
      <w:pPr>
        <w:pStyle w:val="Numbered111"/>
        <w:numPr>
          <w:ilvl w:val="2"/>
          <w:numId w:val="114"/>
        </w:numPr>
        <w:suppressAutoHyphens/>
        <w:textAlignment w:val="baseline"/>
      </w:pPr>
      <w:r w:rsidRPr="00433172">
        <w:rPr>
          <w:b/>
        </w:rPr>
        <w:t>"2. High level to-be business processes"</w:t>
      </w:r>
      <w:r>
        <w:t>;</w:t>
      </w:r>
    </w:p>
    <w:p w14:paraId="39759315" w14:textId="77777777" w:rsidR="00433172" w:rsidRDefault="00433172" w:rsidP="00433172">
      <w:pPr>
        <w:pStyle w:val="Numbered111"/>
        <w:numPr>
          <w:ilvl w:val="2"/>
          <w:numId w:val="114"/>
        </w:numPr>
        <w:suppressAutoHyphens/>
        <w:textAlignment w:val="baseline"/>
      </w:pPr>
      <w:r w:rsidRPr="00433172">
        <w:rPr>
          <w:b/>
        </w:rPr>
        <w:t>"2.1 Future Journey Storyboard"</w:t>
      </w:r>
      <w:r>
        <w:t>;</w:t>
      </w:r>
    </w:p>
    <w:p w14:paraId="6E985C5A" w14:textId="77777777" w:rsidR="00433172" w:rsidRDefault="00433172" w:rsidP="00433172">
      <w:pPr>
        <w:pStyle w:val="Numbered111"/>
        <w:numPr>
          <w:ilvl w:val="2"/>
          <w:numId w:val="114"/>
        </w:numPr>
        <w:suppressAutoHyphens/>
        <w:textAlignment w:val="baseline"/>
      </w:pPr>
      <w:r w:rsidRPr="00433172">
        <w:rPr>
          <w:b/>
        </w:rPr>
        <w:t>"3. Business Capability Ownership"</w:t>
      </w:r>
      <w:r>
        <w:t>;</w:t>
      </w:r>
    </w:p>
    <w:p w14:paraId="661BCCB9" w14:textId="77777777" w:rsidR="00433172" w:rsidRDefault="00433172" w:rsidP="00433172">
      <w:pPr>
        <w:pStyle w:val="Numbered111"/>
        <w:numPr>
          <w:ilvl w:val="2"/>
          <w:numId w:val="114"/>
        </w:numPr>
        <w:suppressAutoHyphens/>
        <w:textAlignment w:val="baseline"/>
      </w:pPr>
      <w:r w:rsidRPr="00433172">
        <w:rPr>
          <w:b/>
        </w:rPr>
        <w:t>"4.1 Data reference sheet (As-is)"</w:t>
      </w:r>
      <w:r>
        <w:t>;</w:t>
      </w:r>
    </w:p>
    <w:p w14:paraId="5389C1ED" w14:textId="77777777" w:rsidR="00433172" w:rsidRDefault="00433172" w:rsidP="00433172">
      <w:pPr>
        <w:pStyle w:val="Numbered111"/>
        <w:numPr>
          <w:ilvl w:val="2"/>
          <w:numId w:val="114"/>
        </w:numPr>
        <w:suppressAutoHyphens/>
        <w:textAlignment w:val="baseline"/>
      </w:pPr>
      <w:r w:rsidRPr="00433172">
        <w:rPr>
          <w:b/>
        </w:rPr>
        <w:t>"4.2 Data and Architecture Landscape"</w:t>
      </w:r>
      <w:r>
        <w:t>;</w:t>
      </w:r>
    </w:p>
    <w:p w14:paraId="66E19070" w14:textId="77777777" w:rsidR="00433172" w:rsidRDefault="00433172" w:rsidP="00433172">
      <w:pPr>
        <w:pStyle w:val="Numbered111"/>
        <w:numPr>
          <w:ilvl w:val="2"/>
          <w:numId w:val="114"/>
        </w:numPr>
        <w:suppressAutoHyphens/>
        <w:textAlignment w:val="baseline"/>
      </w:pPr>
      <w:r w:rsidRPr="00433172">
        <w:rPr>
          <w:b/>
        </w:rPr>
        <w:t>"4.3 Integrations Landscape"</w:t>
      </w:r>
      <w:r>
        <w:t>;</w:t>
      </w:r>
    </w:p>
    <w:p w14:paraId="766F15BD" w14:textId="77777777" w:rsidR="00433172" w:rsidRDefault="00433172" w:rsidP="00433172">
      <w:pPr>
        <w:pStyle w:val="Numbered111"/>
        <w:numPr>
          <w:ilvl w:val="2"/>
          <w:numId w:val="114"/>
        </w:numPr>
        <w:suppressAutoHyphens/>
        <w:textAlignment w:val="baseline"/>
      </w:pPr>
      <w:r w:rsidRPr="00433172">
        <w:rPr>
          <w:b/>
        </w:rPr>
        <w:t>"5.1 Requirements Exec Summary"</w:t>
      </w:r>
      <w:r>
        <w:t>;</w:t>
      </w:r>
    </w:p>
    <w:p w14:paraId="1EA1F9EF" w14:textId="6CF5C1F6" w:rsidR="00433172" w:rsidRDefault="00433172" w:rsidP="00433172">
      <w:pPr>
        <w:pStyle w:val="Numbered111"/>
        <w:numPr>
          <w:ilvl w:val="2"/>
          <w:numId w:val="114"/>
        </w:numPr>
        <w:suppressAutoHyphens/>
        <w:textAlignment w:val="baseline"/>
      </w:pPr>
      <w:r w:rsidRPr="00433172">
        <w:rPr>
          <w:b/>
        </w:rPr>
        <w:t>"5.2 Requirements Catalogue"</w:t>
      </w:r>
      <w:r>
        <w:t>; and</w:t>
      </w:r>
    </w:p>
    <w:p w14:paraId="46FE0C7B" w14:textId="77777777" w:rsidR="00433172" w:rsidRDefault="00433172" w:rsidP="00433172">
      <w:pPr>
        <w:pStyle w:val="Numbered111"/>
        <w:numPr>
          <w:ilvl w:val="2"/>
          <w:numId w:val="114"/>
        </w:numPr>
        <w:suppressAutoHyphens/>
        <w:textAlignment w:val="baseline"/>
      </w:pPr>
      <w:r w:rsidRPr="00433172">
        <w:rPr>
          <w:b/>
        </w:rPr>
        <w:t>"6. Transition requirements"</w:t>
      </w:r>
      <w:r>
        <w:t>.</w:t>
      </w:r>
    </w:p>
    <w:p w14:paraId="6A445F72" w14:textId="0F722B6C" w:rsidR="003A2FB5" w:rsidRPr="003A2FB5" w:rsidRDefault="007744A3" w:rsidP="007744A3">
      <w:pPr>
        <w:spacing w:before="100" w:after="200"/>
        <w:ind w:left="720" w:hanging="720"/>
      </w:pPr>
      <w:r>
        <w:t>1.2</w:t>
      </w:r>
      <w:r>
        <w:tab/>
      </w:r>
      <w:r w:rsidR="003A2FB5" w:rsidRPr="003A2FB5">
        <w:t xml:space="preserve">The above documents are subject to any amendments or clarifications to their terms that were set out in the Authority's responses to the clarifications received in connection with ITT, as set out in the document named </w:t>
      </w:r>
      <w:r w:rsidR="003A2FB5" w:rsidRPr="003A2FB5">
        <w:rPr>
          <w:b/>
        </w:rPr>
        <w:t>"Civil Service Jobs Re-Procurement Tenderer Queries – Stage 2"</w:t>
      </w:r>
      <w:r w:rsidR="003A2FB5" w:rsidRPr="003A2FB5">
        <w:t xml:space="preserve">, which is hereby incorporated into this </w:t>
      </w:r>
      <w:r w:rsidR="003A2FB5">
        <w:t xml:space="preserve">Schedule to the extent required for </w:t>
      </w:r>
      <w:r w:rsidR="003A2FB5" w:rsidRPr="003A2FB5">
        <w:t xml:space="preserve">that purpose only. </w:t>
      </w:r>
    </w:p>
    <w:p w14:paraId="1B31AF8A" w14:textId="6B1D769F" w:rsidR="00433172" w:rsidRPr="00872C7C" w:rsidRDefault="007744A3" w:rsidP="007744A3">
      <w:pPr>
        <w:spacing w:before="100" w:after="200"/>
        <w:ind w:left="720" w:hanging="720"/>
      </w:pPr>
      <w:r>
        <w:t>1.3</w:t>
      </w:r>
      <w:r>
        <w:tab/>
      </w:r>
      <w:r w:rsidR="005B447E">
        <w:t>F</w:t>
      </w:r>
      <w:r w:rsidR="003A2FB5">
        <w:t xml:space="preserve">or ease of identification, </w:t>
      </w:r>
      <w:r w:rsidR="005B447E">
        <w:t xml:space="preserve">at the Effective Date </w:t>
      </w:r>
      <w:r w:rsidR="003A2FB5">
        <w:t>t</w:t>
      </w:r>
      <w:r w:rsidR="00433172" w:rsidRPr="003A2FB5">
        <w:t xml:space="preserve">he above documents </w:t>
      </w:r>
      <w:r w:rsidR="003A2FB5">
        <w:t>were</w:t>
      </w:r>
      <w:r w:rsidR="003A2FB5" w:rsidRPr="003A2FB5">
        <w:t xml:space="preserve"> </w:t>
      </w:r>
      <w:r w:rsidR="003A2FB5">
        <w:t>contained</w:t>
      </w:r>
      <w:r w:rsidR="003A2FB5" w:rsidRPr="003A2FB5">
        <w:t xml:space="preserve"> in </w:t>
      </w:r>
      <w:r w:rsidR="003A2FB5">
        <w:t xml:space="preserve">a dedicated Google documents folder </w:t>
      </w:r>
      <w:r w:rsidR="005B447E">
        <w:t xml:space="preserve">that was </w:t>
      </w:r>
      <w:r w:rsidR="003A2FB5">
        <w:t xml:space="preserve">created by the Authority for this purpose, with access </w:t>
      </w:r>
      <w:r w:rsidR="005B447E">
        <w:t xml:space="preserve">to that folder </w:t>
      </w:r>
      <w:r w:rsidR="003A2FB5">
        <w:t xml:space="preserve">having been given to authorised representatives of the Supplier to allow the Supplier to download copies </w:t>
      </w:r>
      <w:r w:rsidR="005B447E">
        <w:t xml:space="preserve">of each of the above documents </w:t>
      </w:r>
      <w:r w:rsidR="003A2FB5">
        <w:t>for its records.</w:t>
      </w:r>
    </w:p>
    <w:p w14:paraId="0D7A54C2" w14:textId="32663C9C" w:rsidR="00F67E9E" w:rsidRPr="0043675B" w:rsidRDefault="00433172" w:rsidP="00F13933">
      <w:pPr>
        <w:pStyle w:val="Numbered1"/>
        <w:numPr>
          <w:ilvl w:val="0"/>
          <w:numId w:val="114"/>
        </w:numPr>
      </w:pPr>
      <w:r>
        <w:t>Glossary</w:t>
      </w:r>
    </w:p>
    <w:p w14:paraId="3C335841" w14:textId="608EA76B" w:rsidR="00F67E9E" w:rsidRPr="00433172" w:rsidRDefault="00433172" w:rsidP="00433172">
      <w:pPr>
        <w:pStyle w:val="Numbered11"/>
        <w:rPr>
          <w:bCs/>
          <w:iCs/>
        </w:rPr>
      </w:pPr>
      <w:r w:rsidRPr="00872C7C">
        <w:t>Please refer to</w:t>
      </w:r>
      <w:r>
        <w:rPr>
          <w:b/>
        </w:rPr>
        <w:t xml:space="preserve"> </w:t>
      </w:r>
      <w:r w:rsidRPr="00872C7C">
        <w:t>Requirements Document</w:t>
      </w:r>
      <w:r>
        <w:rPr>
          <w:b/>
        </w:rPr>
        <w:t xml:space="preserve"> </w:t>
      </w:r>
      <w:r w:rsidRPr="00DA0869">
        <w:rPr>
          <w:b/>
        </w:rPr>
        <w:t>0. Glossary of terms &amp; Indexing</w:t>
      </w:r>
      <w:r>
        <w:rPr>
          <w:b/>
        </w:rPr>
        <w:t xml:space="preserve">, </w:t>
      </w:r>
      <w:r w:rsidRPr="00707A9E">
        <w:t>which</w:t>
      </w:r>
      <w:r>
        <w:t xml:space="preserve"> </w:t>
      </w:r>
      <w:r>
        <w:rPr>
          <w:color w:val="222222"/>
        </w:rPr>
        <w:t>p</w:t>
      </w:r>
      <w:r w:rsidRPr="00DA0869">
        <w:rPr>
          <w:color w:val="222222"/>
        </w:rPr>
        <w:t xml:space="preserve">rovides a list and definitions of key terms used throughout </w:t>
      </w:r>
      <w:r>
        <w:rPr>
          <w:color w:val="222222"/>
        </w:rPr>
        <w:t>Requirements Documents.</w:t>
      </w:r>
    </w:p>
    <w:p w14:paraId="18CD91C7" w14:textId="77777777" w:rsidR="00F67E9E" w:rsidRDefault="00F67E9E" w:rsidP="00F67E9E">
      <w:pPr>
        <w:pStyle w:val="Numbered1"/>
      </w:pPr>
      <w:r>
        <w:t>Introduction</w:t>
      </w:r>
    </w:p>
    <w:p w14:paraId="451BF1B3" w14:textId="77777777" w:rsidR="00433172" w:rsidRDefault="00433172" w:rsidP="00433172">
      <w:pPr>
        <w:pStyle w:val="Numbered11"/>
      </w:pPr>
      <w:r>
        <w:t xml:space="preserve">Please refer to the following Requirements Documents:  </w:t>
      </w:r>
    </w:p>
    <w:p w14:paraId="5C143751" w14:textId="77777777" w:rsidR="00433172" w:rsidRDefault="00433172" w:rsidP="00433172">
      <w:pPr>
        <w:pStyle w:val="Numbered111"/>
        <w:rPr>
          <w:b/>
        </w:rPr>
      </w:pPr>
      <w:r>
        <w:rPr>
          <w:b/>
        </w:rPr>
        <w:t xml:space="preserve">1.1 Requirements Introduction and Background, </w:t>
      </w:r>
      <w:r w:rsidRPr="00872C7C">
        <w:t>which</w:t>
      </w:r>
      <w:r>
        <w:rPr>
          <w:b/>
        </w:rPr>
        <w:t xml:space="preserve"> </w:t>
      </w:r>
      <w:r>
        <w:t>provides an overview of the requirements document, including its purpose, scope, and intended audience; and</w:t>
      </w:r>
    </w:p>
    <w:p w14:paraId="0E9B0FB8" w14:textId="77777777" w:rsidR="00433172" w:rsidRDefault="00433172" w:rsidP="00433172">
      <w:pPr>
        <w:pStyle w:val="Numbered111"/>
        <w:rPr>
          <w:b/>
        </w:rPr>
      </w:pPr>
      <w:r>
        <w:rPr>
          <w:b/>
        </w:rPr>
        <w:lastRenderedPageBreak/>
        <w:t xml:space="preserve">5.1 Requirements Exec Summary, </w:t>
      </w:r>
      <w:r w:rsidRPr="00872C7C">
        <w:t>which</w:t>
      </w:r>
      <w:r>
        <w:rPr>
          <w:b/>
        </w:rPr>
        <w:t xml:space="preserve"> </w:t>
      </w:r>
      <w:r>
        <w:t>summarises the key points and highlights of the Requirements Documents for a high-level overview.</w:t>
      </w:r>
    </w:p>
    <w:p w14:paraId="3835A590" w14:textId="77777777" w:rsidR="00F67E9E" w:rsidRDefault="00F67E9E" w:rsidP="00F67E9E">
      <w:pPr>
        <w:pStyle w:val="Numbered11"/>
      </w:pPr>
      <w:r w:rsidRPr="00FC322D">
        <w:t>This Schedule sets out</w:t>
      </w:r>
      <w:r>
        <w:t xml:space="preserve"> the intended scope of the Services to be provided by the Supplier and to provide a description of what each Service entails.</w:t>
      </w:r>
    </w:p>
    <w:p w14:paraId="7D1D5F26" w14:textId="77777777" w:rsidR="00F67E9E" w:rsidRDefault="00F67E9E" w:rsidP="00F67E9E">
      <w:pPr>
        <w:pStyle w:val="Numbered1"/>
      </w:pPr>
      <w:r>
        <w:t>Services Description</w:t>
      </w:r>
    </w:p>
    <w:p w14:paraId="6AD82CD6" w14:textId="23439CF2" w:rsidR="00F67E9E" w:rsidRDefault="00F67E9E" w:rsidP="00F67E9E">
      <w:pPr>
        <w:pStyle w:val="Numbered11"/>
      </w:pPr>
      <w:r w:rsidRPr="00991A10">
        <w:rPr>
          <w:rStyle w:val="StdBodyTextBoldChar"/>
          <w:rFonts w:eastAsiaTheme="majorEastAsia"/>
        </w:rPr>
        <w:t>Implementation Services</w:t>
      </w:r>
      <w:r>
        <w:t xml:space="preserve"> </w:t>
      </w:r>
    </w:p>
    <w:p w14:paraId="654B1C37" w14:textId="77777777" w:rsidR="00433172" w:rsidRPr="00872C7C" w:rsidRDefault="00433172" w:rsidP="00433172">
      <w:pPr>
        <w:pStyle w:val="Numbered111"/>
      </w:pPr>
      <w:r w:rsidRPr="00872C7C">
        <w:t>Please refer to the following Requirements Document:</w:t>
      </w:r>
    </w:p>
    <w:p w14:paraId="0D8658E1" w14:textId="77777777" w:rsidR="00433172" w:rsidRDefault="00433172" w:rsidP="00433172">
      <w:pPr>
        <w:pStyle w:val="Numbered111a"/>
        <w:rPr>
          <w:b/>
        </w:rPr>
      </w:pPr>
      <w:r>
        <w:rPr>
          <w:b/>
        </w:rPr>
        <w:t xml:space="preserve">6. Transition Requirements, </w:t>
      </w:r>
      <w:r w:rsidRPr="00872C7C">
        <w:t xml:space="preserve">which: </w:t>
      </w:r>
      <w:r w:rsidRPr="00ED1124">
        <w:t>specifies the necessary actions, tasks, or considerations for transitioning from the current state to the new system/product</w:t>
      </w:r>
      <w:r>
        <w:t>.</w:t>
      </w:r>
    </w:p>
    <w:p w14:paraId="760C5C9E" w14:textId="77777777" w:rsidR="00433172" w:rsidRPr="00872C7C" w:rsidRDefault="00433172" w:rsidP="00433172">
      <w:pPr>
        <w:pStyle w:val="Numbered111"/>
      </w:pPr>
      <w:r w:rsidRPr="00872C7C">
        <w:t xml:space="preserve">Please also refer to: </w:t>
      </w:r>
    </w:p>
    <w:p w14:paraId="534A1208" w14:textId="77777777" w:rsidR="00433172" w:rsidRPr="00872C7C" w:rsidRDefault="00433172" w:rsidP="00433172">
      <w:pPr>
        <w:pStyle w:val="Numbered111a"/>
      </w:pPr>
      <w:r w:rsidRPr="00872C7C">
        <w:t xml:space="preserve">the </w:t>
      </w:r>
      <w:r>
        <w:t xml:space="preserve">other relevant </w:t>
      </w:r>
      <w:r w:rsidRPr="00872C7C">
        <w:t xml:space="preserve">Requirements Documents that set out the Authority's requirements for the Services, which the Supplier must ensure are reflected and addressed in its performance of the Implementation Services so as to ensure that the </w:t>
      </w:r>
      <w:r>
        <w:t>new platform</w:t>
      </w:r>
      <w:r w:rsidRPr="00872C7C">
        <w:t xml:space="preserve"> that is implemented following completion of the Implementation Services meets all of those requirements</w:t>
      </w:r>
      <w:r>
        <w:t>, including, but not limited to, the Requirement Documents referred to in Paragraph 4.2 (Operational Services) and 4.3 (Interface Requirements)</w:t>
      </w:r>
      <w:r w:rsidRPr="00872C7C">
        <w:t>; and</w:t>
      </w:r>
    </w:p>
    <w:p w14:paraId="5BA2A7D4" w14:textId="77777777" w:rsidR="00433172" w:rsidRPr="00872C7C" w:rsidRDefault="00433172" w:rsidP="00433172">
      <w:pPr>
        <w:pStyle w:val="Numbered111a"/>
      </w:pPr>
      <w:r w:rsidRPr="00872C7C">
        <w:t xml:space="preserve">the other relevant provisions of the Contract relating to the performance of the Implementation Services, including (but not limited to) Schedule 13 </w:t>
      </w:r>
      <w:r w:rsidRPr="00872C7C">
        <w:rPr>
          <w:i/>
        </w:rPr>
        <w:t>(Implementation)</w:t>
      </w:r>
      <w:r w:rsidRPr="00872C7C">
        <w:t>.</w:t>
      </w:r>
    </w:p>
    <w:p w14:paraId="023D0DA6" w14:textId="298848E9" w:rsidR="00F67E9E" w:rsidRDefault="00F67E9E" w:rsidP="00F67E9E">
      <w:pPr>
        <w:pStyle w:val="Numbered11"/>
      </w:pPr>
      <w:r w:rsidRPr="00991A10">
        <w:rPr>
          <w:rStyle w:val="StdBodyTextBoldChar"/>
          <w:rFonts w:eastAsiaTheme="majorEastAsia"/>
        </w:rPr>
        <w:t>Operational</w:t>
      </w:r>
      <w:r>
        <w:t xml:space="preserve"> </w:t>
      </w:r>
      <w:r w:rsidRPr="00991A10">
        <w:rPr>
          <w:rStyle w:val="StdBodyTextBoldChar"/>
          <w:rFonts w:eastAsiaTheme="majorEastAsia"/>
        </w:rPr>
        <w:t>Services</w:t>
      </w:r>
      <w:r>
        <w:t xml:space="preserve"> </w:t>
      </w:r>
    </w:p>
    <w:p w14:paraId="1959D82B" w14:textId="77777777" w:rsidR="00433172" w:rsidRPr="00D15393" w:rsidRDefault="00433172" w:rsidP="00433172">
      <w:pPr>
        <w:pStyle w:val="Numbered111"/>
      </w:pPr>
      <w:r w:rsidRPr="00D15393">
        <w:t>Please refer to the following Requirements Document</w:t>
      </w:r>
      <w:r>
        <w:t>s</w:t>
      </w:r>
      <w:r w:rsidRPr="00D15393">
        <w:t>:</w:t>
      </w:r>
    </w:p>
    <w:p w14:paraId="26C6A531" w14:textId="03F0E634" w:rsidR="00433172" w:rsidRDefault="00433172" w:rsidP="00433172">
      <w:pPr>
        <w:pStyle w:val="Numbered111a"/>
        <w:rPr>
          <w:b/>
        </w:rPr>
      </w:pPr>
      <w:r>
        <w:rPr>
          <w:b/>
        </w:rPr>
        <w:t>5.2 Requirements Catalogue</w:t>
      </w:r>
      <w:r w:rsidRPr="00872C7C">
        <w:t>,</w:t>
      </w:r>
      <w:r>
        <w:rPr>
          <w:b/>
        </w:rPr>
        <w:t xml:space="preserve"> </w:t>
      </w:r>
      <w:r w:rsidRPr="00872C7C">
        <w:t>which lists the</w:t>
      </w:r>
      <w:r>
        <w:t xml:space="preserve"> detailed general, functional and non-functional requirements that the Operational Services must meet</w:t>
      </w:r>
      <w:r w:rsidR="003A2FB5">
        <w:t>;</w:t>
      </w:r>
      <w:r>
        <w:t xml:space="preserve"> </w:t>
      </w:r>
    </w:p>
    <w:p w14:paraId="2DBC0BCA" w14:textId="77777777" w:rsidR="00433172" w:rsidRDefault="00433172" w:rsidP="00433172">
      <w:pPr>
        <w:pStyle w:val="Numbered111a"/>
        <w:rPr>
          <w:b/>
        </w:rPr>
      </w:pPr>
      <w:r>
        <w:rPr>
          <w:b/>
        </w:rPr>
        <w:t xml:space="preserve">1.2 User journeys, </w:t>
      </w:r>
      <w:r w:rsidRPr="00872C7C">
        <w:t>which</w:t>
      </w:r>
      <w:r>
        <w:rPr>
          <w:b/>
        </w:rPr>
        <w:t xml:space="preserve"> </w:t>
      </w:r>
      <w:r>
        <w:t>describes the various pathways and interactions that users will undertake while using the new platform;</w:t>
      </w:r>
    </w:p>
    <w:p w14:paraId="221D06B2" w14:textId="77777777" w:rsidR="00433172" w:rsidRDefault="00433172" w:rsidP="00433172">
      <w:pPr>
        <w:pStyle w:val="Numbered111a"/>
        <w:rPr>
          <w:b/>
        </w:rPr>
      </w:pPr>
      <w:r>
        <w:rPr>
          <w:b/>
        </w:rPr>
        <w:t>2. High level to be business processes</w:t>
      </w:r>
      <w:r w:rsidRPr="00B06C28">
        <w:t xml:space="preserve">, which </w:t>
      </w:r>
      <w:r>
        <w:t>presents an overview of the major touchpoints and activities that the new platform will support at a high level;</w:t>
      </w:r>
    </w:p>
    <w:p w14:paraId="4E96AAFD" w14:textId="77777777" w:rsidR="00433172" w:rsidRDefault="00433172" w:rsidP="00433172">
      <w:pPr>
        <w:pStyle w:val="Numbered111a"/>
        <w:rPr>
          <w:b/>
        </w:rPr>
      </w:pPr>
      <w:r>
        <w:rPr>
          <w:b/>
        </w:rPr>
        <w:t xml:space="preserve">2.1 Future Journey Storyboard, </w:t>
      </w:r>
      <w:r w:rsidRPr="00872C7C">
        <w:t>which</w:t>
      </w:r>
      <w:r>
        <w:rPr>
          <w:b/>
        </w:rPr>
        <w:t xml:space="preserve"> </w:t>
      </w:r>
      <w:r>
        <w:t>outlines the possible future journey service storyboard with anticipated experiences, touchpoints and interactions a user might encounter with the new platform when implemented;</w:t>
      </w:r>
    </w:p>
    <w:p w14:paraId="052A7AF7" w14:textId="77777777" w:rsidR="00433172" w:rsidRDefault="00433172" w:rsidP="00433172">
      <w:pPr>
        <w:pStyle w:val="Numbered111a"/>
        <w:rPr>
          <w:b/>
        </w:rPr>
      </w:pPr>
      <w:r>
        <w:rPr>
          <w:b/>
        </w:rPr>
        <w:t xml:space="preserve">2.2 Alpha Prototypes, </w:t>
      </w:r>
      <w:r w:rsidRPr="00872C7C">
        <w:t>which</w:t>
      </w:r>
      <w:r>
        <w:rPr>
          <w:b/>
        </w:rPr>
        <w:t xml:space="preserve"> </w:t>
      </w:r>
      <w:r>
        <w:t>shows the protyped user journeys for Candidates, Vacancy Holders and Recruiters from Vacancy Creation through to Final Offer and New Entrant Notification process; and</w:t>
      </w:r>
    </w:p>
    <w:p w14:paraId="49BBFB0B" w14:textId="77777777" w:rsidR="00433172" w:rsidRDefault="00433172" w:rsidP="00433172">
      <w:pPr>
        <w:pStyle w:val="Numbered111a"/>
        <w:rPr>
          <w:b/>
        </w:rPr>
      </w:pPr>
      <w:r>
        <w:rPr>
          <w:b/>
        </w:rPr>
        <w:lastRenderedPageBreak/>
        <w:t xml:space="preserve">3. Business Capability Ownership, </w:t>
      </w:r>
      <w:r w:rsidRPr="00872C7C">
        <w:t>which</w:t>
      </w:r>
      <w:r>
        <w:rPr>
          <w:b/>
        </w:rPr>
        <w:t xml:space="preserve"> </w:t>
      </w:r>
      <w:r>
        <w:t>illustrates the functions, features, and interactions of the new platform through the roles based access of possible future Government Recruitment Service levels.</w:t>
      </w:r>
    </w:p>
    <w:p w14:paraId="4B9AC05E" w14:textId="77777777" w:rsidR="00433172" w:rsidRPr="00872C7C" w:rsidRDefault="00433172" w:rsidP="00433172">
      <w:pPr>
        <w:pStyle w:val="Numbered111"/>
      </w:pPr>
      <w:r w:rsidRPr="00872C7C">
        <w:t xml:space="preserve">Please also refer to: </w:t>
      </w:r>
    </w:p>
    <w:p w14:paraId="0AD2BB28" w14:textId="77777777" w:rsidR="00433172" w:rsidRPr="00872C7C" w:rsidRDefault="00433172" w:rsidP="00433172">
      <w:pPr>
        <w:pStyle w:val="Numbered111a"/>
      </w:pPr>
      <w:r w:rsidRPr="00872C7C">
        <w:t xml:space="preserve">the other </w:t>
      </w:r>
      <w:r>
        <w:t xml:space="preserve">relevant </w:t>
      </w:r>
      <w:r w:rsidRPr="00872C7C">
        <w:t>Requirements Documents that set out the Authority's requirements for the Services, which the Supplier must ensure are reflected and addressed in its performance of the Operational Services, including, but not limited to, as referred to in Paragraph 4.3 (Interface Requirements); and</w:t>
      </w:r>
    </w:p>
    <w:p w14:paraId="6C61DD1F" w14:textId="51629B50" w:rsidR="00EE0B1E" w:rsidRPr="00F97284" w:rsidRDefault="00433172" w:rsidP="00433172">
      <w:pPr>
        <w:pStyle w:val="Numbered111a"/>
      </w:pPr>
      <w:r w:rsidRPr="00872C7C">
        <w:t>the other relevant provisions of the Contract relating to the performance of the Operational Services, including (but not limited to) Schedule 3 (Performance Management), Schedule 4 (Standards) and Schedule 5 (Security Management).</w:t>
      </w:r>
    </w:p>
    <w:p w14:paraId="11D7FED0" w14:textId="14DA820F" w:rsidR="000B518C" w:rsidRPr="000B518C" w:rsidRDefault="000B518C" w:rsidP="000B518C">
      <w:pPr>
        <w:pStyle w:val="Numbered111"/>
        <w:rPr>
          <w:rStyle w:val="StdBodyTextBoldChar"/>
          <w:rFonts w:asciiTheme="minorHAnsi" w:eastAsia="Arial" w:hAnsiTheme="minorHAnsi" w:cstheme="minorHAnsi"/>
          <w:b w:val="0"/>
          <w:lang w:eastAsia="en-US"/>
        </w:rPr>
      </w:pPr>
      <w:r w:rsidRPr="000B518C">
        <w:rPr>
          <w:rStyle w:val="StdBodyTextBoldChar"/>
          <w:rFonts w:asciiTheme="minorHAnsi" w:eastAsia="Arial" w:hAnsiTheme="minorHAnsi" w:cstheme="minorHAnsi"/>
          <w:b w:val="0"/>
          <w:lang w:eastAsia="en-US"/>
        </w:rPr>
        <w:t xml:space="preserve">Each of the detailed requirements in </w:t>
      </w:r>
      <w:r>
        <w:rPr>
          <w:rStyle w:val="StdBodyTextBoldChar"/>
          <w:rFonts w:asciiTheme="minorHAnsi" w:eastAsia="Arial" w:hAnsiTheme="minorHAnsi" w:cstheme="minorHAnsi"/>
          <w:b w:val="0"/>
          <w:lang w:eastAsia="en-US"/>
        </w:rPr>
        <w:t>the Requirements Catalogue</w:t>
      </w:r>
      <w:r w:rsidRPr="000B518C">
        <w:rPr>
          <w:rStyle w:val="StdBodyTextBoldChar"/>
          <w:rFonts w:asciiTheme="minorHAnsi" w:eastAsia="Arial" w:hAnsiTheme="minorHAnsi" w:cstheme="minorHAnsi"/>
          <w:b w:val="0"/>
          <w:lang w:eastAsia="en-US"/>
        </w:rPr>
        <w:t xml:space="preserve"> are marked as "Must", "Should"</w:t>
      </w:r>
      <w:r>
        <w:rPr>
          <w:rStyle w:val="StdBodyTextBoldChar"/>
          <w:rFonts w:asciiTheme="minorHAnsi" w:eastAsia="Arial" w:hAnsiTheme="minorHAnsi" w:cstheme="minorHAnsi"/>
          <w:b w:val="0"/>
          <w:lang w:eastAsia="en-US"/>
        </w:rPr>
        <w:t>,</w:t>
      </w:r>
      <w:r w:rsidRPr="000B518C">
        <w:rPr>
          <w:rStyle w:val="StdBodyTextBoldChar"/>
          <w:rFonts w:asciiTheme="minorHAnsi" w:eastAsia="Arial" w:hAnsiTheme="minorHAnsi" w:cstheme="minorHAnsi"/>
          <w:b w:val="0"/>
          <w:lang w:eastAsia="en-US"/>
        </w:rPr>
        <w:t xml:space="preserve"> "Could"</w:t>
      </w:r>
      <w:r>
        <w:rPr>
          <w:rStyle w:val="StdBodyTextBoldChar"/>
          <w:rFonts w:asciiTheme="minorHAnsi" w:eastAsia="Arial" w:hAnsiTheme="minorHAnsi" w:cstheme="minorHAnsi"/>
          <w:b w:val="0"/>
          <w:lang w:eastAsia="en-US"/>
        </w:rPr>
        <w:t xml:space="preserve"> or "Want", in line with the </w:t>
      </w:r>
      <w:r w:rsidRPr="000B518C">
        <w:rPr>
          <w:rStyle w:val="StdBodyTextBoldChar"/>
          <w:rFonts w:asciiTheme="minorHAnsi" w:eastAsia="Arial" w:hAnsiTheme="minorHAnsi" w:cstheme="minorHAnsi"/>
          <w:b w:val="0"/>
          <w:lang w:eastAsia="en-US"/>
        </w:rPr>
        <w:t xml:space="preserve">. </w:t>
      </w:r>
    </w:p>
    <w:p w14:paraId="1ACAE009" w14:textId="46361398" w:rsidR="000B518C" w:rsidRPr="000B518C" w:rsidRDefault="000B518C" w:rsidP="000B518C">
      <w:pPr>
        <w:pStyle w:val="Numbered111"/>
        <w:rPr>
          <w:rStyle w:val="StdBodyTextBoldChar"/>
          <w:rFonts w:asciiTheme="minorHAnsi" w:eastAsia="Arial" w:hAnsiTheme="minorHAnsi" w:cstheme="minorHAnsi"/>
          <w:b w:val="0"/>
          <w:lang w:eastAsia="en-US"/>
        </w:rPr>
      </w:pPr>
      <w:r w:rsidRPr="005B447E">
        <w:rPr>
          <w:rStyle w:val="StdBodyTextBoldChar"/>
          <w:rFonts w:asciiTheme="minorHAnsi" w:eastAsia="Arial" w:hAnsiTheme="minorHAnsi" w:cstheme="minorHAnsi"/>
          <w:b w:val="0"/>
          <w:lang w:eastAsia="en-US"/>
        </w:rPr>
        <w:t>Where a requirement is marked as "Must", it reflects an essential requirement that must be addressed and reflected in the Supplier Solution and in the Services that are provided by the Supplier. Where a requirement is marked as "Should"</w:t>
      </w:r>
      <w:r w:rsidR="00C841A4" w:rsidRPr="005B447E">
        <w:rPr>
          <w:rStyle w:val="StdBodyTextBoldChar"/>
          <w:rFonts w:asciiTheme="minorHAnsi" w:eastAsia="Arial" w:hAnsiTheme="minorHAnsi" w:cstheme="minorHAnsi"/>
          <w:b w:val="0"/>
          <w:lang w:eastAsia="en-US"/>
        </w:rPr>
        <w:t>,</w:t>
      </w:r>
      <w:r w:rsidRPr="005B447E">
        <w:rPr>
          <w:rStyle w:val="StdBodyTextBoldChar"/>
          <w:rFonts w:asciiTheme="minorHAnsi" w:eastAsia="Arial" w:hAnsiTheme="minorHAnsi" w:cstheme="minorHAnsi"/>
          <w:b w:val="0"/>
          <w:lang w:eastAsia="en-US"/>
        </w:rPr>
        <w:t xml:space="preserve"> "Could"</w:t>
      </w:r>
      <w:r w:rsidR="00C841A4" w:rsidRPr="005B447E">
        <w:rPr>
          <w:rStyle w:val="StdBodyTextBoldChar"/>
          <w:rFonts w:asciiTheme="minorHAnsi" w:eastAsia="Arial" w:hAnsiTheme="minorHAnsi" w:cstheme="minorHAnsi"/>
          <w:b w:val="0"/>
          <w:lang w:eastAsia="en-US"/>
        </w:rPr>
        <w:t xml:space="preserve"> or "Want"</w:t>
      </w:r>
      <w:r w:rsidRPr="005B447E">
        <w:rPr>
          <w:rStyle w:val="StdBodyTextBoldChar"/>
          <w:rFonts w:asciiTheme="minorHAnsi" w:eastAsia="Arial" w:hAnsiTheme="minorHAnsi" w:cstheme="minorHAnsi"/>
          <w:b w:val="0"/>
          <w:lang w:eastAsia="en-US"/>
        </w:rPr>
        <w:t xml:space="preserve">, it reflects a requirement that the Authority wishes to see addressed and reflected in the Supplier Solution, but the Supplier will only be contractually obliged to meet that requirement in the performance of the Services if the Supplier has confirmed in the Supplier Solution that it will meet that requirement. </w:t>
      </w:r>
      <w:r w:rsidR="005B447E" w:rsidRPr="005B447E">
        <w:rPr>
          <w:rStyle w:val="StdBodyTextBoldChar"/>
          <w:rFonts w:asciiTheme="minorHAnsi" w:eastAsia="Arial" w:hAnsiTheme="minorHAnsi" w:cstheme="minorHAnsi"/>
          <w:b w:val="0"/>
          <w:lang w:eastAsia="en-US"/>
        </w:rPr>
        <w:t xml:space="preserve">The Supplier's response to the Authority's </w:t>
      </w:r>
      <w:r w:rsidR="005B447E">
        <w:rPr>
          <w:rStyle w:val="StdBodyTextBoldChar"/>
          <w:rFonts w:asciiTheme="minorHAnsi" w:eastAsia="Arial" w:hAnsiTheme="minorHAnsi" w:cstheme="minorHAnsi"/>
          <w:b w:val="0"/>
          <w:lang w:eastAsia="en-US"/>
        </w:rPr>
        <w:t>"</w:t>
      </w:r>
      <w:r w:rsidR="005B447E" w:rsidRPr="005B447E">
        <w:rPr>
          <w:rStyle w:val="StdBodyTextBoldChar"/>
          <w:rFonts w:asciiTheme="minorHAnsi" w:eastAsia="Arial" w:hAnsiTheme="minorHAnsi" w:cstheme="minorHAnsi"/>
          <w:b w:val="0"/>
          <w:lang w:eastAsia="en-US"/>
        </w:rPr>
        <w:t>Requirements Validation Tracker</w:t>
      </w:r>
      <w:r w:rsidR="005B447E">
        <w:rPr>
          <w:rStyle w:val="StdBodyTextBoldChar"/>
          <w:rFonts w:asciiTheme="minorHAnsi" w:eastAsia="Arial" w:hAnsiTheme="minorHAnsi" w:cstheme="minorHAnsi"/>
          <w:b w:val="0"/>
          <w:lang w:eastAsia="en-US"/>
        </w:rPr>
        <w:t>"</w:t>
      </w:r>
      <w:r w:rsidR="005B447E" w:rsidRPr="005B447E">
        <w:rPr>
          <w:rStyle w:val="StdBodyTextBoldChar"/>
          <w:rFonts w:asciiTheme="minorHAnsi" w:eastAsia="Arial" w:hAnsiTheme="minorHAnsi" w:cstheme="minorHAnsi"/>
          <w:b w:val="0"/>
          <w:lang w:eastAsia="en-US"/>
        </w:rPr>
        <w:t xml:space="preserve"> (</w:t>
      </w:r>
      <w:r w:rsidR="005B447E">
        <w:rPr>
          <w:rStyle w:val="StdBodyTextBoldChar"/>
          <w:rFonts w:asciiTheme="minorHAnsi" w:eastAsia="Arial" w:hAnsiTheme="minorHAnsi" w:cstheme="minorHAnsi"/>
          <w:b w:val="0"/>
          <w:lang w:eastAsia="en-US"/>
        </w:rPr>
        <w:t>which is</w:t>
      </w:r>
      <w:r w:rsidR="005B447E" w:rsidRPr="005B447E">
        <w:rPr>
          <w:rStyle w:val="StdBodyTextBoldChar"/>
          <w:rFonts w:asciiTheme="minorHAnsi" w:eastAsia="Arial" w:hAnsiTheme="minorHAnsi" w:cstheme="minorHAnsi"/>
          <w:b w:val="0"/>
          <w:lang w:eastAsia="en-US"/>
        </w:rPr>
        <w:t xml:space="preserve"> </w:t>
      </w:r>
      <w:r w:rsidR="00F14C26">
        <w:rPr>
          <w:rStyle w:val="StdBodyTextBoldChar"/>
          <w:rFonts w:asciiTheme="minorHAnsi" w:eastAsia="Arial" w:hAnsiTheme="minorHAnsi" w:cstheme="minorHAnsi"/>
          <w:b w:val="0"/>
          <w:lang w:eastAsia="en-US"/>
        </w:rPr>
        <w:t xml:space="preserve">the document named </w:t>
      </w:r>
      <w:r w:rsidR="00574581" w:rsidRPr="00F95340">
        <w:rPr>
          <w:b/>
          <w:color w:val="FFFF00"/>
          <w:highlight w:val="black"/>
        </w:rPr>
        <w:t>Redacted</w:t>
      </w:r>
      <w:r w:rsidR="00574581" w:rsidRPr="00F95340">
        <w:rPr>
          <w:b/>
          <w:highlight w:val="black"/>
        </w:rPr>
        <w:t xml:space="preserve"> </w:t>
      </w:r>
      <w:r w:rsidR="00574581" w:rsidRPr="00F95340">
        <w:rPr>
          <w:b/>
          <w:color w:val="FFFFFF" w:themeColor="background1"/>
          <w:highlight w:val="black"/>
        </w:rPr>
        <w:t xml:space="preserve">Under FOIA Section </w:t>
      </w:r>
      <w:r w:rsidR="00574581">
        <w:rPr>
          <w:b/>
          <w:color w:val="FFFFFF" w:themeColor="background1"/>
          <w:highlight w:val="black"/>
        </w:rPr>
        <w:t>43</w:t>
      </w:r>
      <w:r w:rsidR="00574581" w:rsidRPr="009E775F">
        <w:rPr>
          <w:b/>
          <w:color w:val="FFFFFF" w:themeColor="background1"/>
          <w:highlight w:val="black"/>
        </w:rPr>
        <w:t>, Commercial Interests</w:t>
      </w:r>
      <w:r w:rsidR="00F14C26">
        <w:rPr>
          <w:rStyle w:val="StdBodyTextBoldChar"/>
          <w:rFonts w:asciiTheme="minorHAnsi" w:eastAsia="Arial" w:hAnsiTheme="minorHAnsi" w:cstheme="minorHAnsi"/>
          <w:b w:val="0"/>
          <w:lang w:eastAsia="en-US"/>
        </w:rPr>
        <w:t xml:space="preserve"> that is </w:t>
      </w:r>
      <w:r w:rsidR="005B447E" w:rsidRPr="005B447E">
        <w:rPr>
          <w:rStyle w:val="StdBodyTextBoldChar"/>
          <w:rFonts w:asciiTheme="minorHAnsi" w:eastAsia="Arial" w:hAnsiTheme="minorHAnsi" w:cstheme="minorHAnsi"/>
          <w:b w:val="0"/>
          <w:lang w:eastAsia="en-US"/>
        </w:rPr>
        <w:t>incorporated by reference into Schedule 8 (Supplier Solution)</w:t>
      </w:r>
      <w:r w:rsidR="005B447E">
        <w:rPr>
          <w:rStyle w:val="StdBodyTextBoldChar"/>
          <w:rFonts w:asciiTheme="minorHAnsi" w:eastAsia="Arial" w:hAnsiTheme="minorHAnsi" w:cstheme="minorHAnsi"/>
          <w:b w:val="0"/>
          <w:lang w:eastAsia="en-US"/>
        </w:rPr>
        <w:t>)</w:t>
      </w:r>
      <w:r w:rsidR="005B447E" w:rsidRPr="005B447E">
        <w:rPr>
          <w:rStyle w:val="StdBodyTextBoldChar"/>
          <w:rFonts w:asciiTheme="minorHAnsi" w:eastAsia="Arial" w:hAnsiTheme="minorHAnsi" w:cstheme="minorHAnsi"/>
          <w:b w:val="0"/>
          <w:lang w:eastAsia="en-US"/>
        </w:rPr>
        <w:t xml:space="preserve"> sets out all of the "Must", "Should</w:t>
      </w:r>
      <w:r w:rsidR="005B447E" w:rsidRPr="000B518C">
        <w:rPr>
          <w:rStyle w:val="StdBodyTextBoldChar"/>
          <w:rFonts w:asciiTheme="minorHAnsi" w:eastAsia="Arial" w:hAnsiTheme="minorHAnsi" w:cstheme="minorHAnsi"/>
          <w:b w:val="0"/>
          <w:lang w:eastAsia="en-US"/>
        </w:rPr>
        <w:t>"</w:t>
      </w:r>
      <w:r w:rsidR="005B447E">
        <w:rPr>
          <w:rStyle w:val="StdBodyTextBoldChar"/>
          <w:rFonts w:asciiTheme="minorHAnsi" w:eastAsia="Arial" w:hAnsiTheme="minorHAnsi" w:cstheme="minorHAnsi"/>
          <w:b w:val="0"/>
          <w:lang w:eastAsia="en-US"/>
        </w:rPr>
        <w:t>,</w:t>
      </w:r>
      <w:r w:rsidR="005B447E" w:rsidRPr="000B518C">
        <w:rPr>
          <w:rStyle w:val="StdBodyTextBoldChar"/>
          <w:rFonts w:asciiTheme="minorHAnsi" w:eastAsia="Arial" w:hAnsiTheme="minorHAnsi" w:cstheme="minorHAnsi"/>
          <w:b w:val="0"/>
          <w:lang w:eastAsia="en-US"/>
        </w:rPr>
        <w:t xml:space="preserve"> "Could"</w:t>
      </w:r>
      <w:r w:rsidR="005B447E">
        <w:rPr>
          <w:rStyle w:val="StdBodyTextBoldChar"/>
          <w:rFonts w:asciiTheme="minorHAnsi" w:eastAsia="Arial" w:hAnsiTheme="minorHAnsi" w:cstheme="minorHAnsi"/>
          <w:b w:val="0"/>
          <w:lang w:eastAsia="en-US"/>
        </w:rPr>
        <w:t xml:space="preserve"> or "Want" requirements that the Supplier has committed to meet.</w:t>
      </w:r>
    </w:p>
    <w:p w14:paraId="7B414F2D" w14:textId="40731A75" w:rsidR="00F67E9E" w:rsidRDefault="00F67E9E" w:rsidP="00F67E9E">
      <w:pPr>
        <w:pStyle w:val="Numbered11"/>
      </w:pPr>
      <w:r w:rsidRPr="00991A10">
        <w:rPr>
          <w:rStyle w:val="StdBodyTextBoldChar"/>
          <w:rFonts w:eastAsiaTheme="majorEastAsia"/>
        </w:rPr>
        <w:t>Interface</w:t>
      </w:r>
      <w:r>
        <w:t xml:space="preserve"> </w:t>
      </w:r>
      <w:r w:rsidRPr="00991A10">
        <w:rPr>
          <w:rStyle w:val="StdBodyTextBoldChar"/>
          <w:rFonts w:eastAsiaTheme="majorEastAsia"/>
        </w:rPr>
        <w:t>Requirements</w:t>
      </w:r>
      <w:r>
        <w:rPr>
          <w:rStyle w:val="StdBodyTextBoldChar"/>
          <w:rFonts w:eastAsiaTheme="majorEastAsia"/>
        </w:rPr>
        <w:t xml:space="preserve"> </w:t>
      </w:r>
    </w:p>
    <w:p w14:paraId="7D475A41" w14:textId="77777777" w:rsidR="00433172" w:rsidRPr="00D15393" w:rsidRDefault="00433172" w:rsidP="00433172">
      <w:pPr>
        <w:pStyle w:val="Numbered111"/>
      </w:pPr>
      <w:r w:rsidRPr="00D15393">
        <w:t>Please refer to the following Requirements Document</w:t>
      </w:r>
      <w:r>
        <w:t>s</w:t>
      </w:r>
      <w:r w:rsidRPr="00D15393">
        <w:t>:</w:t>
      </w:r>
    </w:p>
    <w:p w14:paraId="355E69F9" w14:textId="77777777" w:rsidR="00433172" w:rsidRDefault="00433172" w:rsidP="00433172">
      <w:pPr>
        <w:pStyle w:val="Numbered111a"/>
        <w:rPr>
          <w:b/>
        </w:rPr>
      </w:pPr>
      <w:r>
        <w:rPr>
          <w:b/>
        </w:rPr>
        <w:t xml:space="preserve">4.1 Data Reference Sheet (as-Is), </w:t>
      </w:r>
      <w:r w:rsidRPr="00707A9E">
        <w:t>which</w:t>
      </w:r>
      <w:r>
        <w:rPr>
          <w:b/>
        </w:rPr>
        <w:t xml:space="preserve"> </w:t>
      </w:r>
      <w:r>
        <w:t>provides a reference sheet of existing data sources and structures that will be utilised or impacted by the new platform;</w:t>
      </w:r>
    </w:p>
    <w:p w14:paraId="021440C4" w14:textId="77777777" w:rsidR="00433172" w:rsidRDefault="00433172" w:rsidP="00433172">
      <w:pPr>
        <w:pStyle w:val="Numbered111a"/>
        <w:rPr>
          <w:b/>
        </w:rPr>
      </w:pPr>
      <w:r>
        <w:rPr>
          <w:b/>
        </w:rPr>
        <w:t xml:space="preserve">4.2 Data and Architecture Landscape, </w:t>
      </w:r>
      <w:r w:rsidRPr="00872C7C">
        <w:t>which</w:t>
      </w:r>
      <w:r>
        <w:rPr>
          <w:b/>
        </w:rPr>
        <w:t xml:space="preserve"> </w:t>
      </w:r>
      <w:r>
        <w:t>describes the data requirements, structures, and architecture of the new platform, including any high level integration points; and</w:t>
      </w:r>
    </w:p>
    <w:p w14:paraId="5E05415E" w14:textId="77777777" w:rsidR="00433172" w:rsidRDefault="00433172" w:rsidP="00433172">
      <w:pPr>
        <w:pStyle w:val="Numbered111a"/>
        <w:rPr>
          <w:b/>
        </w:rPr>
      </w:pPr>
      <w:r>
        <w:rPr>
          <w:b/>
        </w:rPr>
        <w:t xml:space="preserve">4.3 Integrations Landscape, </w:t>
      </w:r>
      <w:r w:rsidRPr="00872C7C">
        <w:t>which</w:t>
      </w:r>
      <w:r>
        <w:rPr>
          <w:b/>
        </w:rPr>
        <w:t xml:space="preserve"> </w:t>
      </w:r>
      <w:r>
        <w:t>outlines the integrations, security, change management and broad capability requirements of the new platform.</w:t>
      </w:r>
    </w:p>
    <w:p w14:paraId="445AC81C" w14:textId="06324185" w:rsidR="00F67E9E" w:rsidRDefault="00F67E9E" w:rsidP="00F67E9E">
      <w:pPr>
        <w:pStyle w:val="Numbered11"/>
      </w:pPr>
      <w:r w:rsidRPr="001C4B30">
        <w:rPr>
          <w:b/>
          <w:bCs/>
        </w:rPr>
        <w:t>Social Value Requirements</w:t>
      </w:r>
      <w:r w:rsidRPr="00166697">
        <w:t xml:space="preserve"> </w:t>
      </w:r>
    </w:p>
    <w:p w14:paraId="4BB88077" w14:textId="77777777" w:rsidR="00433172" w:rsidRPr="00433172" w:rsidRDefault="00433172" w:rsidP="00433172">
      <w:pPr>
        <w:pStyle w:val="Numbered111"/>
        <w:rPr>
          <w:b/>
        </w:rPr>
      </w:pPr>
      <w:r w:rsidRPr="00433172">
        <w:rPr>
          <w:b/>
        </w:rPr>
        <w:t>Social Value Theme 1 - Fighting climate change</w:t>
      </w:r>
    </w:p>
    <w:p w14:paraId="00252D03" w14:textId="77777777" w:rsidR="00433172" w:rsidRDefault="00433172" w:rsidP="00433172">
      <w:pPr>
        <w:pStyle w:val="Numbered111a"/>
      </w:pPr>
      <w:r>
        <w:lastRenderedPageBreak/>
        <w:t>Policy outcome:</w:t>
      </w:r>
    </w:p>
    <w:p w14:paraId="2D3C8ABB" w14:textId="77777777" w:rsidR="00433172" w:rsidRDefault="00433172" w:rsidP="00433172">
      <w:pPr>
        <w:pStyle w:val="Numbered111ai"/>
      </w:pPr>
      <w:r>
        <w:t>effective stewardship of the environment</w:t>
      </w:r>
    </w:p>
    <w:p w14:paraId="06A2FC15" w14:textId="77777777" w:rsidR="00433172" w:rsidRDefault="00433172" w:rsidP="00433172">
      <w:pPr>
        <w:pStyle w:val="Numbered111a"/>
      </w:pPr>
      <w:r>
        <w:t>Policy priorities:</w:t>
      </w:r>
    </w:p>
    <w:p w14:paraId="35AD72D1" w14:textId="13497FFA" w:rsidR="00433172" w:rsidRDefault="00433172" w:rsidP="00433172">
      <w:pPr>
        <w:pStyle w:val="Numbered111ai"/>
      </w:pPr>
      <w:r>
        <w:t xml:space="preserve">Government’s 25 Year Environment Plan (please see </w:t>
      </w:r>
      <w:hyperlink r:id="rId24" w:history="1">
        <w:r w:rsidRPr="004253D5">
          <w:rPr>
            <w:rStyle w:val="Hyperlink"/>
          </w:rPr>
          <w:t>https://www.gov.uk/government/publications/25-year-environment-plan</w:t>
        </w:r>
      </w:hyperlink>
      <w:r>
        <w:t xml:space="preserve">) sets out goals for improving the environment within a generation and details how it will work with communities and businesses to do this. To meet the goals and targets it has set, the government has identified key six areas in the plan through which it will focus action. </w:t>
      </w:r>
    </w:p>
    <w:p w14:paraId="5A1A96D0" w14:textId="77777777" w:rsidR="00433172" w:rsidRDefault="00433172" w:rsidP="00433172">
      <w:pPr>
        <w:pStyle w:val="Numbered111ai"/>
      </w:pPr>
      <w:r>
        <w:t>Activities in support of additional environmental improvements form the Model Award Criteria for this policy outcome, which formed part of the Authority's evaluation model relating to this Contract. The Reporting Metrics that will apply to the Supplier are based around the reduction of three of the target areas in the Greening Government Commitments: greenhouse gases, waste and water. In addition there are Reporting Metrics relating to protecting and improving the environment, and creating green spaces.</w:t>
      </w:r>
    </w:p>
    <w:p w14:paraId="49189010" w14:textId="77777777" w:rsidR="00433172" w:rsidRPr="00433172" w:rsidRDefault="00433172" w:rsidP="00433172">
      <w:pPr>
        <w:pStyle w:val="Numbered111"/>
        <w:rPr>
          <w:b/>
        </w:rPr>
      </w:pPr>
      <w:r w:rsidRPr="00433172">
        <w:rPr>
          <w:b/>
        </w:rPr>
        <w:t>Social Value Theme 2 - Equal opportunity</w:t>
      </w:r>
    </w:p>
    <w:p w14:paraId="4E5BA23C" w14:textId="77777777" w:rsidR="00433172" w:rsidRDefault="00433172" w:rsidP="00433172">
      <w:pPr>
        <w:pStyle w:val="Numbered111a"/>
      </w:pPr>
      <w:r>
        <w:t>Policy outcome:</w:t>
      </w:r>
    </w:p>
    <w:p w14:paraId="2C6BAB45" w14:textId="77777777" w:rsidR="00433172" w:rsidRDefault="00433172" w:rsidP="00433172">
      <w:pPr>
        <w:pStyle w:val="Numbered111ai"/>
      </w:pPr>
      <w:r>
        <w:t>Tackle workforce inequality</w:t>
      </w:r>
    </w:p>
    <w:p w14:paraId="399636E1" w14:textId="77777777" w:rsidR="00433172" w:rsidRDefault="00433172" w:rsidP="00433172">
      <w:pPr>
        <w:pStyle w:val="Numbered111a"/>
      </w:pPr>
      <w:r>
        <w:t>Policy priorities:</w:t>
      </w:r>
    </w:p>
    <w:p w14:paraId="52C43426" w14:textId="05BF5DB6" w:rsidR="00433172" w:rsidRDefault="00433172" w:rsidP="00433172">
      <w:pPr>
        <w:pStyle w:val="Numbered111ai"/>
      </w:pPr>
      <w:r>
        <w:t xml:space="preserve">Government is committed to tackling inequality and giving everyone across the country the opportunity to fulfil their potential. The Good Work Plan (see </w:t>
      </w:r>
      <w:hyperlink r:id="rId25" w:history="1">
        <w:r w:rsidRPr="004253D5">
          <w:rPr>
            <w:rStyle w:val="Hyperlink"/>
          </w:rPr>
          <w:t>https://www.gov.uk/government/publications/good-work-plan</w:t>
        </w:r>
      </w:hyperlink>
      <w:r>
        <w:t xml:space="preserve">) affirms the government's ambition that all work should be fair and decent, and that everyone, regardless of where they live in the UK or which sector they work in, should be able to benefit from high quality jobs. </w:t>
      </w:r>
    </w:p>
    <w:p w14:paraId="4C116A8C" w14:textId="77777777" w:rsidR="00433172" w:rsidRDefault="00433172" w:rsidP="00433172">
      <w:pPr>
        <w:pStyle w:val="Numbered111ai"/>
      </w:pPr>
      <w:r>
        <w:t xml:space="preserve">Furthermore, the government is committed to tackling the scourge of modern slavery and has set out guidance on how departments must take action to ensure modern slavery risks are identified and managed effectively in government supply chains (see Procurement Policy Note 05/19 Tackling modern slavery in government supply chains at </w:t>
      </w:r>
      <w:r w:rsidRPr="00293751">
        <w:t>https://www.gov.uk/government/publications/procurement-policy-note-0519-tackling-modern-slavery-in-government-supply-chains</w:t>
      </w:r>
      <w:r>
        <w:t xml:space="preserve">). </w:t>
      </w:r>
    </w:p>
    <w:p w14:paraId="53316768" w14:textId="77777777" w:rsidR="00433172" w:rsidRDefault="00433172" w:rsidP="00433172">
      <w:pPr>
        <w:pStyle w:val="Numbered111ai"/>
      </w:pPr>
      <w:r>
        <w:t xml:space="preserve">The benefits that can be driven through social value can be a vital component in advancing equality, creating training and </w:t>
      </w:r>
      <w:r>
        <w:lastRenderedPageBreak/>
        <w:t xml:space="preserve">better employment opportunities, and combating modern slavery. The Reporting Metrics that will apply to the Supplier under this policy outcome have been developed to focus on these outcomes. </w:t>
      </w:r>
    </w:p>
    <w:p w14:paraId="63992A5E" w14:textId="548E6FE7" w:rsidR="00F67E9E" w:rsidRDefault="00F67E9E" w:rsidP="00F67E9E">
      <w:pPr>
        <w:pStyle w:val="Numbered11"/>
        <w:rPr>
          <w:rStyle w:val="StdBodyTextBoldChar"/>
          <w:rFonts w:eastAsiaTheme="majorEastAsia"/>
        </w:rPr>
      </w:pPr>
      <w:r w:rsidRPr="00991A10">
        <w:rPr>
          <w:rStyle w:val="StdBodyTextBoldChar"/>
          <w:rFonts w:eastAsiaTheme="majorEastAsia"/>
        </w:rPr>
        <w:t>Optional</w:t>
      </w:r>
      <w:r>
        <w:t xml:space="preserve"> </w:t>
      </w:r>
      <w:r w:rsidRPr="00991A10">
        <w:rPr>
          <w:rStyle w:val="StdBodyTextBoldChar"/>
          <w:rFonts w:eastAsiaTheme="majorEastAsia"/>
        </w:rPr>
        <w:t>Services</w:t>
      </w:r>
    </w:p>
    <w:p w14:paraId="7767D76B" w14:textId="69BFA0D0" w:rsidR="00EE0B1E" w:rsidRDefault="00EE0B1E" w:rsidP="00EE0B1E">
      <w:pPr>
        <w:pStyle w:val="Numbered111"/>
        <w:rPr>
          <w:rStyle w:val="StdBodyTextBoldChar"/>
          <w:rFonts w:eastAsiaTheme="majorEastAsia"/>
          <w:b w:val="0"/>
        </w:rPr>
      </w:pPr>
      <w:r>
        <w:rPr>
          <w:rStyle w:val="StdBodyTextBoldChar"/>
          <w:rFonts w:eastAsiaTheme="majorEastAsia"/>
          <w:b w:val="0"/>
        </w:rPr>
        <w:t xml:space="preserve">The description </w:t>
      </w:r>
      <w:r w:rsidR="00433172">
        <w:rPr>
          <w:rStyle w:val="StdBodyTextBoldChar"/>
          <w:rFonts w:eastAsiaTheme="majorEastAsia"/>
          <w:b w:val="0"/>
        </w:rPr>
        <w:t xml:space="preserve">of each of </w:t>
      </w:r>
      <w:r>
        <w:rPr>
          <w:rStyle w:val="StdBodyTextBoldChar"/>
          <w:rFonts w:eastAsiaTheme="majorEastAsia"/>
          <w:b w:val="0"/>
        </w:rPr>
        <w:t xml:space="preserve">the Optional Services is set out in the relevant tab of the pricing mechanism in Annex A to Schedule 15 (Charges and Invoicing), and includes (where applicable) </w:t>
      </w:r>
      <w:r w:rsidR="00A33724">
        <w:rPr>
          <w:rStyle w:val="StdBodyTextBoldChar"/>
          <w:rFonts w:eastAsiaTheme="majorEastAsia"/>
          <w:b w:val="0"/>
        </w:rPr>
        <w:t>any specific</w:t>
      </w:r>
      <w:r>
        <w:rPr>
          <w:rStyle w:val="StdBodyTextBoldChar"/>
          <w:rFonts w:eastAsiaTheme="majorEastAsia"/>
          <w:b w:val="0"/>
        </w:rPr>
        <w:t xml:space="preserve"> </w:t>
      </w:r>
      <w:r w:rsidR="00433172">
        <w:rPr>
          <w:rStyle w:val="StdBodyTextBoldChar"/>
          <w:rFonts w:eastAsiaTheme="majorEastAsia"/>
          <w:b w:val="0"/>
        </w:rPr>
        <w:t>parts</w:t>
      </w:r>
      <w:r>
        <w:rPr>
          <w:rStyle w:val="StdBodyTextBoldChar"/>
          <w:rFonts w:eastAsiaTheme="majorEastAsia"/>
          <w:b w:val="0"/>
        </w:rPr>
        <w:t xml:space="preserve"> of the Requirements Documents that are cross-referred to in respect of any Optional Service in </w:t>
      </w:r>
      <w:r w:rsidR="00A33724">
        <w:rPr>
          <w:rStyle w:val="StdBodyTextBoldChar"/>
          <w:rFonts w:eastAsiaTheme="majorEastAsia"/>
          <w:b w:val="0"/>
        </w:rPr>
        <w:t>the relevant tab of the pricing mechanism</w:t>
      </w:r>
      <w:r>
        <w:rPr>
          <w:rStyle w:val="StdBodyTextBoldChar"/>
          <w:rFonts w:eastAsiaTheme="majorEastAsia"/>
          <w:b w:val="0"/>
        </w:rPr>
        <w:t>.</w:t>
      </w:r>
    </w:p>
    <w:p w14:paraId="4FB8E8DF" w14:textId="77777777" w:rsidR="00433172" w:rsidRDefault="00433172" w:rsidP="00433172">
      <w:pPr>
        <w:pStyle w:val="Numbered111"/>
        <w:rPr>
          <w:lang w:eastAsia="en-GB"/>
        </w:rPr>
      </w:pPr>
      <w:r>
        <w:rPr>
          <w:lang w:eastAsia="en-GB"/>
        </w:rPr>
        <w:t xml:space="preserve">Please also refer to: </w:t>
      </w:r>
    </w:p>
    <w:p w14:paraId="03CA9745" w14:textId="2C758B67" w:rsidR="00433172" w:rsidRDefault="00433172" w:rsidP="00433172">
      <w:pPr>
        <w:pStyle w:val="Numbered111a"/>
        <w:rPr>
          <w:lang w:eastAsia="en-GB"/>
        </w:rPr>
      </w:pPr>
      <w:r>
        <w:rPr>
          <w:lang w:eastAsia="en-GB"/>
        </w:rPr>
        <w:t>the other relevant Requirements Documents that set out the Authority's requirements for the Services, which the Supplier must ensure are reflected and addressed in its performance of the Optional Services; and</w:t>
      </w:r>
    </w:p>
    <w:p w14:paraId="0E19E6E5" w14:textId="5C2898DA" w:rsidR="00433172" w:rsidRDefault="00433172" w:rsidP="00433172">
      <w:pPr>
        <w:pStyle w:val="Numbered111a"/>
        <w:rPr>
          <w:lang w:eastAsia="en-GB"/>
        </w:rPr>
      </w:pPr>
      <w:r>
        <w:rPr>
          <w:lang w:eastAsia="en-GB"/>
        </w:rPr>
        <w:t>the other relevant provisions of the Contract relating to the performance of the Optional Services.</w:t>
      </w:r>
    </w:p>
    <w:p w14:paraId="05FB4E8A" w14:textId="791ED3DB" w:rsidR="00F67E9E" w:rsidRPr="00EE0B1E" w:rsidRDefault="00F67E9E" w:rsidP="00F67E9E">
      <w:pPr>
        <w:rPr>
          <w:b/>
        </w:rPr>
      </w:pPr>
    </w:p>
    <w:p w14:paraId="1500B750" w14:textId="77777777" w:rsidR="00F67E9E" w:rsidRPr="006A5EAC" w:rsidRDefault="00F67E9E" w:rsidP="00F67E9E"/>
    <w:p w14:paraId="57852DDC" w14:textId="77777777" w:rsidR="00F67E9E" w:rsidRDefault="00F67E9E" w:rsidP="00F67E9E">
      <w:pPr>
        <w:sectPr w:rsidR="00F67E9E" w:rsidSect="00240D26">
          <w:headerReference w:type="default" r:id="rId26"/>
          <w:footerReference w:type="default" r:id="rId27"/>
          <w:pgSz w:w="11900" w:h="16840" w:code="9"/>
          <w:pgMar w:top="1701" w:right="851" w:bottom="1134" w:left="851" w:header="567" w:footer="567" w:gutter="0"/>
          <w:cols w:space="720"/>
          <w:docGrid w:linePitch="360"/>
        </w:sectPr>
      </w:pPr>
    </w:p>
    <w:p w14:paraId="2B3D3ACC" w14:textId="77777777" w:rsidR="00F67E9E" w:rsidRPr="007C55B2" w:rsidRDefault="00F67E9E" w:rsidP="00F67E9E">
      <w:pPr>
        <w:pStyle w:val="Dividername"/>
      </w:pPr>
      <w:r w:rsidRPr="007C55B2">
        <w:lastRenderedPageBreak/>
        <w:t>Schedule 3</w:t>
      </w:r>
    </w:p>
    <w:p w14:paraId="670570D5" w14:textId="77777777" w:rsidR="00F67E9E" w:rsidRPr="007C55B2" w:rsidRDefault="00F67E9E" w:rsidP="00F67E9E">
      <w:pPr>
        <w:pStyle w:val="Dividername"/>
      </w:pPr>
      <w:r w:rsidRPr="007C55B2">
        <w:t>Performance Levels</w:t>
      </w:r>
    </w:p>
    <w:p w14:paraId="56C69B95" w14:textId="77777777" w:rsidR="00F67E9E" w:rsidRDefault="00F67E9E" w:rsidP="00F67E9E"/>
    <w:p w14:paraId="1C4B74CE" w14:textId="77777777" w:rsidR="00F67E9E" w:rsidRPr="005D0525" w:rsidRDefault="00F67E9E" w:rsidP="00F67E9E">
      <w:pPr>
        <w:pStyle w:val="Heading1"/>
      </w:pPr>
      <w:bookmarkStart w:id="254" w:name="Schedule3"/>
      <w:bookmarkStart w:id="255" w:name="_Ref92197146"/>
      <w:bookmarkStart w:id="256" w:name="_Toc145412736"/>
      <w:bookmarkStart w:id="257" w:name="_Hlk85483324"/>
      <w:r w:rsidRPr="005D0525">
        <w:lastRenderedPageBreak/>
        <w:t>Schedule</w:t>
      </w:r>
      <w:r>
        <w:t> </w:t>
      </w:r>
      <w:r w:rsidRPr="005D0525">
        <w:t>3</w:t>
      </w:r>
      <w:bookmarkEnd w:id="254"/>
      <w:r>
        <w:t xml:space="preserve">: </w:t>
      </w:r>
      <w:bookmarkStart w:id="258" w:name="Schedule3Heading"/>
      <w:r w:rsidRPr="00F97284">
        <w:t>Performance Levels</w:t>
      </w:r>
      <w:bookmarkEnd w:id="255"/>
      <w:bookmarkEnd w:id="256"/>
      <w:bookmarkEnd w:id="258"/>
    </w:p>
    <w:p w14:paraId="7EE9FF76" w14:textId="77777777" w:rsidR="001B31F1" w:rsidRDefault="001B31F1" w:rsidP="00E1349E">
      <w:pPr>
        <w:keepNext/>
        <w:keepLines/>
        <w:numPr>
          <w:ilvl w:val="0"/>
          <w:numId w:val="244"/>
        </w:numPr>
        <w:pBdr>
          <w:top w:val="nil"/>
          <w:left w:val="nil"/>
          <w:bottom w:val="nil"/>
          <w:right w:val="nil"/>
          <w:between w:val="nil"/>
        </w:pBdr>
        <w:spacing w:before="100" w:after="200"/>
      </w:pPr>
      <w:r>
        <w:rPr>
          <w:b/>
          <w:color w:val="1F497D"/>
        </w:rPr>
        <w:t>Definitions</w:t>
      </w:r>
    </w:p>
    <w:p w14:paraId="71FA41CF" w14:textId="77777777" w:rsidR="001B31F1" w:rsidRDefault="001B31F1" w:rsidP="00E1349E">
      <w:pPr>
        <w:widowControl w:val="0"/>
        <w:numPr>
          <w:ilvl w:val="1"/>
          <w:numId w:val="244"/>
        </w:numPr>
        <w:pBdr>
          <w:top w:val="nil"/>
          <w:left w:val="nil"/>
          <w:bottom w:val="nil"/>
          <w:right w:val="nil"/>
          <w:between w:val="nil"/>
        </w:pBdr>
        <w:spacing w:before="100" w:after="200"/>
      </w:pPr>
      <w:r>
        <w:rPr>
          <w:color w:val="000000"/>
        </w:rPr>
        <w:t>In this Schedule, the following definitions shall apply:</w:t>
      </w:r>
    </w:p>
    <w:tbl>
      <w:tblPr>
        <w:tblW w:w="9638" w:type="dxa"/>
        <w:tblInd w:w="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835"/>
        <w:gridCol w:w="6803"/>
      </w:tblGrid>
      <w:tr w:rsidR="001B31F1" w14:paraId="2DE49D9B" w14:textId="77777777" w:rsidTr="001B31F1">
        <w:tc>
          <w:tcPr>
            <w:tcW w:w="2835" w:type="dxa"/>
          </w:tcPr>
          <w:p w14:paraId="28BB8A6D" w14:textId="77777777" w:rsidR="001B31F1" w:rsidRDefault="001B31F1" w:rsidP="001B31F1">
            <w:pPr>
              <w:pBdr>
                <w:top w:val="nil"/>
                <w:left w:val="nil"/>
                <w:bottom w:val="nil"/>
                <w:right w:val="nil"/>
                <w:between w:val="nil"/>
              </w:pBdr>
              <w:spacing w:before="100" w:after="200"/>
              <w:rPr>
                <w:color w:val="000000"/>
              </w:rPr>
            </w:pPr>
            <w:r>
              <w:rPr>
                <w:color w:val="000000"/>
              </w:rPr>
              <w:t>“Available”</w:t>
            </w:r>
          </w:p>
        </w:tc>
        <w:tc>
          <w:tcPr>
            <w:tcW w:w="6803" w:type="dxa"/>
          </w:tcPr>
          <w:p w14:paraId="3DBA448D" w14:textId="77777777" w:rsidR="001B31F1" w:rsidRDefault="001B31F1" w:rsidP="001B31F1">
            <w:pPr>
              <w:pBdr>
                <w:top w:val="nil"/>
                <w:left w:val="nil"/>
                <w:bottom w:val="nil"/>
                <w:right w:val="nil"/>
                <w:between w:val="nil"/>
              </w:pBdr>
              <w:spacing w:before="100" w:after="200"/>
              <w:rPr>
                <w:color w:val="000000"/>
              </w:rPr>
            </w:pPr>
            <w:bookmarkStart w:id="259" w:name="_heading=h.2et92p0" w:colFirst="0" w:colLast="0"/>
            <w:bookmarkEnd w:id="259"/>
            <w:r>
              <w:rPr>
                <w:color w:val="000000"/>
              </w:rPr>
              <w:t>has the meaning given in Paragraph 1.1 of Part B of Annex 1;</w:t>
            </w:r>
          </w:p>
        </w:tc>
      </w:tr>
      <w:tr w:rsidR="001B31F1" w14:paraId="6E2427AA" w14:textId="77777777" w:rsidTr="001B31F1">
        <w:tc>
          <w:tcPr>
            <w:tcW w:w="2835" w:type="dxa"/>
          </w:tcPr>
          <w:p w14:paraId="367F089E" w14:textId="77777777" w:rsidR="001B31F1" w:rsidRDefault="001B31F1" w:rsidP="001B31F1">
            <w:pPr>
              <w:pBdr>
                <w:top w:val="nil"/>
                <w:left w:val="nil"/>
                <w:bottom w:val="nil"/>
                <w:right w:val="nil"/>
                <w:between w:val="nil"/>
              </w:pBdr>
              <w:spacing w:before="100" w:after="200"/>
              <w:rPr>
                <w:color w:val="000000"/>
              </w:rPr>
            </w:pPr>
            <w:r>
              <w:rPr>
                <w:color w:val="000000"/>
              </w:rPr>
              <w:t>“End User”</w:t>
            </w:r>
          </w:p>
        </w:tc>
        <w:tc>
          <w:tcPr>
            <w:tcW w:w="6803" w:type="dxa"/>
          </w:tcPr>
          <w:p w14:paraId="427A6FE9" w14:textId="77777777" w:rsidR="001B31F1" w:rsidRDefault="001B31F1" w:rsidP="001B31F1">
            <w:pPr>
              <w:pBdr>
                <w:top w:val="nil"/>
                <w:left w:val="nil"/>
                <w:bottom w:val="nil"/>
                <w:right w:val="nil"/>
                <w:between w:val="nil"/>
              </w:pBdr>
              <w:spacing w:before="100" w:after="200"/>
              <w:rPr>
                <w:color w:val="000000"/>
              </w:rPr>
            </w:pPr>
            <w:r>
              <w:rPr>
                <w:color w:val="000000"/>
              </w:rPr>
              <w:t>any person authorised by the Authority to use the IT Environment and/or the Services;</w:t>
            </w:r>
          </w:p>
        </w:tc>
      </w:tr>
      <w:tr w:rsidR="001B31F1" w14:paraId="22D7FCA3" w14:textId="77777777" w:rsidTr="001B31F1">
        <w:tc>
          <w:tcPr>
            <w:tcW w:w="2835" w:type="dxa"/>
          </w:tcPr>
          <w:p w14:paraId="7C12A5C8" w14:textId="77777777" w:rsidR="001B31F1" w:rsidRDefault="001B31F1" w:rsidP="001B31F1">
            <w:pPr>
              <w:pBdr>
                <w:top w:val="nil"/>
                <w:left w:val="nil"/>
                <w:bottom w:val="nil"/>
                <w:right w:val="nil"/>
                <w:between w:val="nil"/>
              </w:pBdr>
              <w:spacing w:before="100" w:after="200"/>
              <w:rPr>
                <w:color w:val="000000"/>
              </w:rPr>
            </w:pPr>
            <w:r>
              <w:rPr>
                <w:color w:val="000000"/>
              </w:rPr>
              <w:t>“Help Desk”</w:t>
            </w:r>
          </w:p>
        </w:tc>
        <w:tc>
          <w:tcPr>
            <w:tcW w:w="6803" w:type="dxa"/>
          </w:tcPr>
          <w:p w14:paraId="726EE1C3" w14:textId="77777777" w:rsidR="001B31F1" w:rsidRDefault="001B31F1" w:rsidP="001B31F1">
            <w:pPr>
              <w:pBdr>
                <w:top w:val="nil"/>
                <w:left w:val="nil"/>
                <w:bottom w:val="nil"/>
                <w:right w:val="nil"/>
                <w:between w:val="nil"/>
              </w:pBdr>
              <w:spacing w:before="100" w:after="200"/>
              <w:rPr>
                <w:color w:val="000000"/>
              </w:rPr>
            </w:pPr>
            <w:r>
              <w:rPr>
                <w:color w:val="000000"/>
              </w:rPr>
              <w:t>the single point of contact help desk set up and operated by the Supplier for the purposes of this Contract;</w:t>
            </w:r>
          </w:p>
        </w:tc>
      </w:tr>
      <w:tr w:rsidR="001B31F1" w14:paraId="1C309D8D" w14:textId="77777777" w:rsidTr="001B31F1">
        <w:tc>
          <w:tcPr>
            <w:tcW w:w="2835" w:type="dxa"/>
          </w:tcPr>
          <w:p w14:paraId="5303CA5D" w14:textId="77777777" w:rsidR="001B31F1" w:rsidRDefault="001B31F1" w:rsidP="001B31F1">
            <w:pPr>
              <w:pBdr>
                <w:top w:val="nil"/>
                <w:left w:val="nil"/>
                <w:bottom w:val="nil"/>
                <w:right w:val="nil"/>
                <w:between w:val="nil"/>
              </w:pBdr>
              <w:spacing w:before="100" w:after="200"/>
              <w:rPr>
                <w:color w:val="000000"/>
              </w:rPr>
            </w:pPr>
            <w:r>
              <w:rPr>
                <w:color w:val="000000"/>
              </w:rPr>
              <w:t>“Non-Available”</w:t>
            </w:r>
          </w:p>
        </w:tc>
        <w:tc>
          <w:tcPr>
            <w:tcW w:w="6803" w:type="dxa"/>
          </w:tcPr>
          <w:p w14:paraId="537720C2" w14:textId="77777777" w:rsidR="001B31F1" w:rsidRDefault="001B31F1" w:rsidP="001B31F1">
            <w:pPr>
              <w:pBdr>
                <w:top w:val="nil"/>
                <w:left w:val="nil"/>
                <w:bottom w:val="nil"/>
                <w:right w:val="nil"/>
                <w:between w:val="nil"/>
              </w:pBdr>
              <w:spacing w:before="100" w:after="200"/>
              <w:rPr>
                <w:color w:val="000000"/>
              </w:rPr>
            </w:pPr>
            <w:r>
              <w:rPr>
                <w:color w:val="000000"/>
              </w:rPr>
              <w:t>in relation to the IT Environment or the Services, that the IT Environment or the Services are not Available;</w:t>
            </w:r>
          </w:p>
        </w:tc>
      </w:tr>
      <w:tr w:rsidR="001B31F1" w14:paraId="3A124FD2" w14:textId="77777777" w:rsidTr="001B31F1">
        <w:tc>
          <w:tcPr>
            <w:tcW w:w="2835" w:type="dxa"/>
          </w:tcPr>
          <w:p w14:paraId="1018F35B" w14:textId="77777777" w:rsidR="001B31F1" w:rsidRDefault="001B31F1" w:rsidP="001B31F1">
            <w:pPr>
              <w:pBdr>
                <w:top w:val="nil"/>
                <w:left w:val="nil"/>
                <w:bottom w:val="nil"/>
                <w:right w:val="nil"/>
                <w:between w:val="nil"/>
              </w:pBdr>
              <w:spacing w:before="100" w:after="200"/>
              <w:rPr>
                <w:color w:val="000000"/>
              </w:rPr>
            </w:pPr>
            <w:r>
              <w:rPr>
                <w:color w:val="000000"/>
              </w:rPr>
              <w:t>“Performance Monitoring Report”</w:t>
            </w:r>
          </w:p>
        </w:tc>
        <w:tc>
          <w:tcPr>
            <w:tcW w:w="6803" w:type="dxa"/>
          </w:tcPr>
          <w:p w14:paraId="283CA853" w14:textId="77777777" w:rsidR="001B31F1" w:rsidRDefault="001B31F1" w:rsidP="001B31F1">
            <w:pPr>
              <w:pBdr>
                <w:top w:val="nil"/>
                <w:left w:val="nil"/>
                <w:bottom w:val="nil"/>
                <w:right w:val="nil"/>
                <w:between w:val="nil"/>
              </w:pBdr>
              <w:spacing w:before="100" w:after="200"/>
              <w:rPr>
                <w:color w:val="000000"/>
              </w:rPr>
            </w:pPr>
            <w:bookmarkStart w:id="260" w:name="_heading=h.30j0zll" w:colFirst="0" w:colLast="0"/>
            <w:bookmarkEnd w:id="260"/>
            <w:r>
              <w:rPr>
                <w:color w:val="000000"/>
              </w:rPr>
              <w:t>has the meaning given in Paragraph 1.1.1 of Part B;</w:t>
            </w:r>
          </w:p>
        </w:tc>
      </w:tr>
      <w:tr w:rsidR="001B31F1" w14:paraId="654C2FAE" w14:textId="77777777" w:rsidTr="001B31F1">
        <w:tc>
          <w:tcPr>
            <w:tcW w:w="2835" w:type="dxa"/>
          </w:tcPr>
          <w:p w14:paraId="6B8CF2B2" w14:textId="77777777" w:rsidR="001B31F1" w:rsidRDefault="001B31F1" w:rsidP="001B31F1">
            <w:pPr>
              <w:pBdr>
                <w:top w:val="nil"/>
                <w:left w:val="nil"/>
                <w:bottom w:val="nil"/>
                <w:right w:val="nil"/>
                <w:between w:val="nil"/>
              </w:pBdr>
              <w:spacing w:before="100" w:after="200"/>
              <w:rPr>
                <w:color w:val="000000"/>
              </w:rPr>
            </w:pPr>
            <w:r>
              <w:rPr>
                <w:color w:val="000000"/>
              </w:rPr>
              <w:t>“Performance Review Meeting”</w:t>
            </w:r>
          </w:p>
        </w:tc>
        <w:tc>
          <w:tcPr>
            <w:tcW w:w="6803" w:type="dxa"/>
          </w:tcPr>
          <w:p w14:paraId="1947747A" w14:textId="77777777" w:rsidR="001B31F1" w:rsidRDefault="001B31F1" w:rsidP="001B31F1">
            <w:pPr>
              <w:pBdr>
                <w:top w:val="nil"/>
                <w:left w:val="nil"/>
                <w:bottom w:val="nil"/>
                <w:right w:val="nil"/>
                <w:between w:val="nil"/>
              </w:pBdr>
              <w:spacing w:before="100" w:after="200"/>
              <w:rPr>
                <w:color w:val="000000"/>
              </w:rPr>
            </w:pPr>
            <w:bookmarkStart w:id="261" w:name="_heading=h.tyjcwt" w:colFirst="0" w:colLast="0"/>
            <w:bookmarkEnd w:id="261"/>
            <w:r>
              <w:rPr>
                <w:color w:val="000000"/>
              </w:rPr>
              <w:t>the regular meetings between the Supplier and the Authority to manage and review the Supplier’s performance under this Contract, as further described in Paragraph 1.5 of Part B;</w:t>
            </w:r>
          </w:p>
        </w:tc>
      </w:tr>
      <w:tr w:rsidR="001B31F1" w14:paraId="49D7A592" w14:textId="77777777" w:rsidTr="001B31F1">
        <w:tc>
          <w:tcPr>
            <w:tcW w:w="2835" w:type="dxa"/>
          </w:tcPr>
          <w:p w14:paraId="36CE0B5D" w14:textId="77777777" w:rsidR="001B31F1" w:rsidRDefault="001B31F1" w:rsidP="001B31F1">
            <w:pPr>
              <w:pBdr>
                <w:top w:val="nil"/>
                <w:left w:val="nil"/>
                <w:bottom w:val="nil"/>
                <w:right w:val="nil"/>
                <w:between w:val="nil"/>
              </w:pBdr>
              <w:spacing w:before="100" w:after="200"/>
              <w:rPr>
                <w:color w:val="000000"/>
              </w:rPr>
            </w:pPr>
            <w:r>
              <w:rPr>
                <w:color w:val="000000"/>
              </w:rPr>
              <w:t>“Repeat KPI Failure”</w:t>
            </w:r>
          </w:p>
        </w:tc>
        <w:tc>
          <w:tcPr>
            <w:tcW w:w="6803" w:type="dxa"/>
          </w:tcPr>
          <w:p w14:paraId="1996D0DE" w14:textId="77777777" w:rsidR="001B31F1" w:rsidRDefault="001B31F1" w:rsidP="001B31F1">
            <w:pPr>
              <w:pBdr>
                <w:top w:val="nil"/>
                <w:left w:val="nil"/>
                <w:bottom w:val="nil"/>
                <w:right w:val="nil"/>
                <w:between w:val="nil"/>
              </w:pBdr>
              <w:spacing w:before="100" w:after="200"/>
              <w:rPr>
                <w:color w:val="000000"/>
              </w:rPr>
            </w:pPr>
            <w:bookmarkStart w:id="262" w:name="_heading=h.3znysh7" w:colFirst="0" w:colLast="0"/>
            <w:bookmarkEnd w:id="262"/>
            <w:r>
              <w:rPr>
                <w:color w:val="000000"/>
              </w:rPr>
              <w:t>has the meaning given in Paragraph 3.1 of Part A;</w:t>
            </w:r>
          </w:p>
        </w:tc>
      </w:tr>
      <w:tr w:rsidR="001B31F1" w14:paraId="6C43040F" w14:textId="77777777" w:rsidTr="001B31F1">
        <w:tc>
          <w:tcPr>
            <w:tcW w:w="2835" w:type="dxa"/>
          </w:tcPr>
          <w:p w14:paraId="70F7B278" w14:textId="77777777" w:rsidR="001B31F1" w:rsidRDefault="001B31F1" w:rsidP="001B31F1">
            <w:pPr>
              <w:pBdr>
                <w:top w:val="nil"/>
                <w:left w:val="nil"/>
                <w:bottom w:val="nil"/>
                <w:right w:val="nil"/>
                <w:between w:val="nil"/>
              </w:pBdr>
              <w:spacing w:before="100" w:after="200"/>
              <w:rPr>
                <w:color w:val="000000"/>
              </w:rPr>
            </w:pPr>
            <w:r>
              <w:rPr>
                <w:color w:val="000000"/>
              </w:rPr>
              <w:t>“Satisfaction Survey”</w:t>
            </w:r>
          </w:p>
        </w:tc>
        <w:tc>
          <w:tcPr>
            <w:tcW w:w="6803" w:type="dxa"/>
          </w:tcPr>
          <w:p w14:paraId="69869D07" w14:textId="77777777" w:rsidR="001B31F1" w:rsidRDefault="001B31F1" w:rsidP="001B31F1">
            <w:pPr>
              <w:pBdr>
                <w:top w:val="nil"/>
                <w:left w:val="nil"/>
                <w:bottom w:val="nil"/>
                <w:right w:val="nil"/>
                <w:between w:val="nil"/>
              </w:pBdr>
              <w:spacing w:before="100" w:after="200"/>
              <w:rPr>
                <w:color w:val="000000"/>
              </w:rPr>
            </w:pPr>
            <w:bookmarkStart w:id="263" w:name="_heading=h.3dy6vkm" w:colFirst="0" w:colLast="0"/>
            <w:bookmarkEnd w:id="263"/>
            <w:r>
              <w:rPr>
                <w:color w:val="000000"/>
              </w:rPr>
              <w:t>has the meaning given in Paragraph 6.1 of Part B of Annex 1;</w:t>
            </w:r>
          </w:p>
        </w:tc>
      </w:tr>
      <w:tr w:rsidR="001B31F1" w14:paraId="3292B038" w14:textId="77777777" w:rsidTr="001B31F1">
        <w:tc>
          <w:tcPr>
            <w:tcW w:w="2835" w:type="dxa"/>
          </w:tcPr>
          <w:p w14:paraId="61FFB094" w14:textId="77777777" w:rsidR="001B31F1" w:rsidRDefault="001B31F1" w:rsidP="001B31F1">
            <w:pPr>
              <w:pBdr>
                <w:top w:val="nil"/>
                <w:left w:val="nil"/>
                <w:bottom w:val="nil"/>
                <w:right w:val="nil"/>
                <w:between w:val="nil"/>
              </w:pBdr>
              <w:spacing w:before="100" w:after="200"/>
              <w:rPr>
                <w:color w:val="000000"/>
              </w:rPr>
            </w:pPr>
            <w:r>
              <w:rPr>
                <w:color w:val="000000"/>
              </w:rPr>
              <w:t>“Service Availability”</w:t>
            </w:r>
          </w:p>
        </w:tc>
        <w:tc>
          <w:tcPr>
            <w:tcW w:w="6803" w:type="dxa"/>
          </w:tcPr>
          <w:p w14:paraId="292604CB" w14:textId="77777777" w:rsidR="001B31F1" w:rsidRDefault="001B31F1" w:rsidP="001B31F1">
            <w:pPr>
              <w:pBdr>
                <w:top w:val="nil"/>
                <w:left w:val="nil"/>
                <w:bottom w:val="nil"/>
                <w:right w:val="nil"/>
                <w:between w:val="nil"/>
              </w:pBdr>
              <w:spacing w:before="100" w:after="200"/>
              <w:rPr>
                <w:color w:val="000000"/>
              </w:rPr>
            </w:pPr>
            <w:bookmarkStart w:id="264" w:name="_heading=h.1t3h5sf" w:colFirst="0" w:colLast="0"/>
            <w:bookmarkEnd w:id="264"/>
            <w:r>
              <w:rPr>
                <w:color w:val="000000"/>
              </w:rPr>
              <w:t>has the meaning given in Paragraph 2 of Part B of Annex 1;</w:t>
            </w:r>
          </w:p>
        </w:tc>
      </w:tr>
      <w:tr w:rsidR="001B31F1" w14:paraId="5666E22F" w14:textId="77777777" w:rsidTr="001B31F1">
        <w:tc>
          <w:tcPr>
            <w:tcW w:w="2835" w:type="dxa"/>
          </w:tcPr>
          <w:p w14:paraId="407F3154" w14:textId="77777777" w:rsidR="001B31F1" w:rsidRDefault="001B31F1" w:rsidP="001B31F1">
            <w:pPr>
              <w:pBdr>
                <w:top w:val="nil"/>
                <w:left w:val="nil"/>
                <w:bottom w:val="nil"/>
                <w:right w:val="nil"/>
                <w:between w:val="nil"/>
              </w:pBdr>
              <w:spacing w:before="100" w:after="200"/>
              <w:rPr>
                <w:color w:val="000000"/>
              </w:rPr>
            </w:pPr>
            <w:r>
              <w:rPr>
                <w:color w:val="000000"/>
              </w:rPr>
              <w:t>“Service Downtime”</w:t>
            </w:r>
          </w:p>
        </w:tc>
        <w:tc>
          <w:tcPr>
            <w:tcW w:w="6803" w:type="dxa"/>
          </w:tcPr>
          <w:p w14:paraId="6A944D50" w14:textId="77777777" w:rsidR="001B31F1" w:rsidRDefault="001B31F1" w:rsidP="001B31F1">
            <w:pPr>
              <w:pBdr>
                <w:top w:val="nil"/>
                <w:left w:val="nil"/>
                <w:bottom w:val="nil"/>
                <w:right w:val="nil"/>
                <w:between w:val="nil"/>
              </w:pBdr>
              <w:spacing w:before="100" w:after="200"/>
              <w:rPr>
                <w:color w:val="000000"/>
              </w:rPr>
            </w:pPr>
            <w:r>
              <w:rPr>
                <w:color w:val="000000"/>
              </w:rPr>
              <w:t>any period of time during which any of the Services are not Available; and</w:t>
            </w:r>
          </w:p>
        </w:tc>
      </w:tr>
      <w:tr w:rsidR="001B31F1" w14:paraId="2CBD3497" w14:textId="77777777" w:rsidTr="001B31F1">
        <w:tc>
          <w:tcPr>
            <w:tcW w:w="2835" w:type="dxa"/>
          </w:tcPr>
          <w:p w14:paraId="44000309" w14:textId="77777777" w:rsidR="001B31F1" w:rsidRDefault="001B31F1" w:rsidP="001B31F1">
            <w:pPr>
              <w:pBdr>
                <w:top w:val="nil"/>
                <w:left w:val="nil"/>
                <w:bottom w:val="nil"/>
                <w:right w:val="nil"/>
                <w:between w:val="nil"/>
              </w:pBdr>
              <w:spacing w:before="100" w:after="200"/>
              <w:rPr>
                <w:color w:val="000000"/>
              </w:rPr>
            </w:pPr>
            <w:r>
              <w:rPr>
                <w:color w:val="000000"/>
              </w:rPr>
              <w:t>“System Response Time”</w:t>
            </w:r>
          </w:p>
        </w:tc>
        <w:tc>
          <w:tcPr>
            <w:tcW w:w="6803" w:type="dxa"/>
          </w:tcPr>
          <w:p w14:paraId="4F814191" w14:textId="77777777" w:rsidR="001B31F1" w:rsidRDefault="001B31F1" w:rsidP="001B31F1">
            <w:pPr>
              <w:pBdr>
                <w:top w:val="nil"/>
                <w:left w:val="nil"/>
                <w:bottom w:val="nil"/>
                <w:right w:val="nil"/>
                <w:between w:val="nil"/>
              </w:pBdr>
              <w:spacing w:before="100" w:after="200"/>
              <w:rPr>
                <w:color w:val="000000"/>
              </w:rPr>
            </w:pPr>
            <w:bookmarkStart w:id="265" w:name="_heading=h.4d34og8" w:colFirst="0" w:colLast="0"/>
            <w:bookmarkEnd w:id="265"/>
            <w:r>
              <w:rPr>
                <w:color w:val="000000"/>
              </w:rPr>
              <w:t>has the meaning given in Paragraph 3.1 of Part B of Annex 1.</w:t>
            </w:r>
          </w:p>
        </w:tc>
      </w:tr>
    </w:tbl>
    <w:p w14:paraId="71974152" w14:textId="77777777" w:rsidR="001B31F1" w:rsidRDefault="001B31F1" w:rsidP="001B31F1"/>
    <w:p w14:paraId="52B1D708" w14:textId="77777777" w:rsidR="001B31F1" w:rsidRDefault="001B31F1" w:rsidP="001B31F1">
      <w:r>
        <w:br w:type="page"/>
      </w:r>
    </w:p>
    <w:p w14:paraId="0B932BA5" w14:textId="77777777" w:rsidR="001B31F1" w:rsidRDefault="001B31F1" w:rsidP="001B31F1">
      <w:pPr>
        <w:pStyle w:val="Heading2"/>
      </w:pPr>
      <w:bookmarkStart w:id="266" w:name="bookmark=id.17dp8vu" w:colFirst="0" w:colLast="0"/>
      <w:bookmarkStart w:id="267" w:name="bookmark=id.3rdcrjn" w:colFirst="0" w:colLast="0"/>
      <w:bookmarkStart w:id="268" w:name="_heading=h.2s8eyo1" w:colFirst="0" w:colLast="0"/>
      <w:bookmarkStart w:id="269" w:name="_Toc145412737"/>
      <w:bookmarkEnd w:id="266"/>
      <w:bookmarkEnd w:id="267"/>
      <w:bookmarkEnd w:id="268"/>
      <w:r>
        <w:lastRenderedPageBreak/>
        <w:t xml:space="preserve">Part A: </w:t>
      </w:r>
      <w:bookmarkStart w:id="270" w:name="bookmark=id.26in1rg" w:colFirst="0" w:colLast="0"/>
      <w:bookmarkEnd w:id="270"/>
      <w:r>
        <w:t>Performance Indicators and Service Credits</w:t>
      </w:r>
      <w:bookmarkEnd w:id="269"/>
    </w:p>
    <w:p w14:paraId="27FE1556" w14:textId="77777777" w:rsidR="001B31F1" w:rsidRDefault="001B31F1" w:rsidP="00E1349E">
      <w:pPr>
        <w:keepNext/>
        <w:keepLines/>
        <w:numPr>
          <w:ilvl w:val="0"/>
          <w:numId w:val="247"/>
        </w:numPr>
        <w:pBdr>
          <w:top w:val="nil"/>
          <w:left w:val="nil"/>
          <w:bottom w:val="nil"/>
          <w:right w:val="nil"/>
          <w:between w:val="nil"/>
        </w:pBdr>
        <w:spacing w:before="100" w:after="200"/>
      </w:pPr>
      <w:r>
        <w:rPr>
          <w:b/>
          <w:color w:val="1F497D"/>
        </w:rPr>
        <w:t>Performance Indicators</w:t>
      </w:r>
    </w:p>
    <w:p w14:paraId="59854727" w14:textId="77777777" w:rsidR="001B31F1" w:rsidRDefault="001B31F1" w:rsidP="00E1349E">
      <w:pPr>
        <w:widowControl w:val="0"/>
        <w:numPr>
          <w:ilvl w:val="1"/>
          <w:numId w:val="247"/>
        </w:numPr>
        <w:pBdr>
          <w:top w:val="nil"/>
          <w:left w:val="nil"/>
          <w:bottom w:val="nil"/>
          <w:right w:val="nil"/>
          <w:between w:val="nil"/>
        </w:pBdr>
        <w:spacing w:before="100" w:after="200"/>
      </w:pPr>
      <w:r>
        <w:rPr>
          <w:color w:val="000000"/>
        </w:rPr>
        <w:t xml:space="preserve">Annex 1 sets out the Key Performance Indicators and Subsidiary Performance Indicators which the Parties have agreed shall be used to measure the performance of the Services and Social Value by the Supplier. </w:t>
      </w:r>
    </w:p>
    <w:p w14:paraId="690784DF" w14:textId="77777777" w:rsidR="001B31F1" w:rsidRDefault="001B31F1" w:rsidP="00E1349E">
      <w:pPr>
        <w:widowControl w:val="0"/>
        <w:numPr>
          <w:ilvl w:val="1"/>
          <w:numId w:val="247"/>
        </w:numPr>
        <w:pBdr>
          <w:top w:val="nil"/>
          <w:left w:val="nil"/>
          <w:bottom w:val="nil"/>
          <w:right w:val="nil"/>
          <w:between w:val="nil"/>
        </w:pBdr>
        <w:spacing w:before="100" w:after="200"/>
      </w:pPr>
      <w:bookmarkStart w:id="271" w:name="_heading=h.lnxbz9" w:colFirst="0" w:colLast="0"/>
      <w:bookmarkEnd w:id="271"/>
      <w:r>
        <w:rPr>
          <w:color w:val="000000"/>
        </w:rPr>
        <w:t xml:space="preserve">The Supplier shall monitor its performance against each Performance Indicator and shall send the Authority a report detailing the level of service actually achieved in accordance with Part B. </w:t>
      </w:r>
    </w:p>
    <w:p w14:paraId="608159D1" w14:textId="77777777" w:rsidR="001B31F1" w:rsidRDefault="001B31F1" w:rsidP="00E1349E">
      <w:pPr>
        <w:widowControl w:val="0"/>
        <w:numPr>
          <w:ilvl w:val="1"/>
          <w:numId w:val="247"/>
        </w:numPr>
        <w:pBdr>
          <w:top w:val="nil"/>
          <w:left w:val="nil"/>
          <w:bottom w:val="nil"/>
          <w:right w:val="nil"/>
          <w:between w:val="nil"/>
        </w:pBdr>
        <w:spacing w:before="100" w:after="200"/>
      </w:pPr>
      <w:bookmarkStart w:id="272" w:name="_heading=h.35nkun2" w:colFirst="0" w:colLast="0"/>
      <w:bookmarkEnd w:id="272"/>
      <w:r>
        <w:rPr>
          <w:color w:val="000000"/>
        </w:rPr>
        <w:t>Service Points, and therefore Service Credits, shall accrue for any KPI Failure and shall be calculated in accordance with Paragraphs 2, 3 and 5.</w:t>
      </w:r>
    </w:p>
    <w:p w14:paraId="5D5F9BF6" w14:textId="77777777" w:rsidR="001B31F1" w:rsidRDefault="001B31F1" w:rsidP="00E1349E">
      <w:pPr>
        <w:keepNext/>
        <w:keepLines/>
        <w:numPr>
          <w:ilvl w:val="0"/>
          <w:numId w:val="247"/>
        </w:numPr>
        <w:pBdr>
          <w:top w:val="nil"/>
          <w:left w:val="nil"/>
          <w:bottom w:val="nil"/>
          <w:right w:val="nil"/>
          <w:between w:val="nil"/>
        </w:pBdr>
        <w:spacing w:before="100" w:after="200"/>
      </w:pPr>
      <w:bookmarkStart w:id="273" w:name="_heading=h.17dp8vu" w:colFirst="0" w:colLast="0"/>
      <w:bookmarkEnd w:id="273"/>
      <w:r>
        <w:rPr>
          <w:b/>
          <w:color w:val="1F497D"/>
        </w:rPr>
        <w:t>Service Points</w:t>
      </w:r>
    </w:p>
    <w:p w14:paraId="37EF21EE" w14:textId="77777777" w:rsidR="001B31F1" w:rsidRDefault="001B31F1" w:rsidP="00E1349E">
      <w:pPr>
        <w:widowControl w:val="0"/>
        <w:numPr>
          <w:ilvl w:val="1"/>
          <w:numId w:val="247"/>
        </w:numPr>
        <w:pBdr>
          <w:top w:val="nil"/>
          <w:left w:val="nil"/>
          <w:bottom w:val="nil"/>
          <w:right w:val="nil"/>
          <w:between w:val="nil"/>
        </w:pBdr>
        <w:spacing w:before="100" w:after="200"/>
      </w:pPr>
      <w:r>
        <w:rPr>
          <w:color w:val="000000"/>
        </w:rPr>
        <w:t>If the level of performance of the Supplier during a Service Period achieves the Target Performance Level in respect of a Key Performance Indicator, no Service Points shall accrue to the Supplier in respect of that Key Performance Indicator.</w:t>
      </w:r>
    </w:p>
    <w:p w14:paraId="6BF58113" w14:textId="77777777" w:rsidR="001B31F1" w:rsidRDefault="001B31F1" w:rsidP="00E1349E">
      <w:pPr>
        <w:widowControl w:val="0"/>
        <w:numPr>
          <w:ilvl w:val="1"/>
          <w:numId w:val="247"/>
        </w:numPr>
        <w:pBdr>
          <w:top w:val="nil"/>
          <w:left w:val="nil"/>
          <w:bottom w:val="nil"/>
          <w:right w:val="nil"/>
          <w:between w:val="nil"/>
        </w:pBdr>
        <w:spacing w:before="100" w:after="200"/>
      </w:pPr>
      <w:bookmarkStart w:id="274" w:name="_heading=h.3rdcrjn" w:colFirst="0" w:colLast="0"/>
      <w:bookmarkEnd w:id="274"/>
      <w:r>
        <w:rPr>
          <w:color w:val="000000"/>
        </w:rPr>
        <w:t>If the level of performance of the Supplier during a Service Period is below the Target Performance Level in respect of a Key Performance Indicator, Service Points shall accrue to the Supplier in respect of that Key Performance Indicator as set out in Paragraph 2.3.</w:t>
      </w:r>
    </w:p>
    <w:p w14:paraId="44659908" w14:textId="77777777" w:rsidR="001B31F1" w:rsidRDefault="001B31F1" w:rsidP="00E1349E">
      <w:pPr>
        <w:widowControl w:val="0"/>
        <w:numPr>
          <w:ilvl w:val="1"/>
          <w:numId w:val="247"/>
        </w:numPr>
        <w:pBdr>
          <w:top w:val="nil"/>
          <w:left w:val="nil"/>
          <w:bottom w:val="nil"/>
          <w:right w:val="nil"/>
          <w:between w:val="nil"/>
        </w:pBdr>
        <w:spacing w:before="100" w:after="200"/>
      </w:pPr>
      <w:bookmarkStart w:id="275" w:name="_heading=h.26in1rg" w:colFirst="0" w:colLast="0"/>
      <w:bookmarkEnd w:id="275"/>
      <w:r>
        <w:rPr>
          <w:color w:val="000000"/>
        </w:rPr>
        <w:t>The number of Service Points that shall accrue to the Supplier in respect of a KPI Failure shall be the applicable number as set out in Annex 1 depending on whether the KPI Failure is a Minor KPI Failure, a Serious KPI Failure or a Severe KPI Failure, unless the KPI Failure is a Repeat KPI Failure when the provisions of Paragraph 3.2 shall apply.</w:t>
      </w:r>
    </w:p>
    <w:p w14:paraId="08ACADBD" w14:textId="77777777" w:rsidR="001B31F1" w:rsidRDefault="001B31F1" w:rsidP="00E1349E">
      <w:pPr>
        <w:keepNext/>
        <w:keepLines/>
        <w:numPr>
          <w:ilvl w:val="0"/>
          <w:numId w:val="247"/>
        </w:numPr>
        <w:pBdr>
          <w:top w:val="nil"/>
          <w:left w:val="nil"/>
          <w:bottom w:val="nil"/>
          <w:right w:val="nil"/>
          <w:between w:val="nil"/>
        </w:pBdr>
        <w:spacing w:before="100" w:after="200"/>
      </w:pPr>
      <w:bookmarkStart w:id="276" w:name="_heading=h.1ksv4uv" w:colFirst="0" w:colLast="0"/>
      <w:bookmarkEnd w:id="276"/>
      <w:r>
        <w:rPr>
          <w:b/>
          <w:color w:val="1F497D"/>
        </w:rPr>
        <w:t>Repeat KPI Failures and Related KPI Failures</w:t>
      </w:r>
    </w:p>
    <w:p w14:paraId="6391D95D" w14:textId="77777777" w:rsidR="001B31F1" w:rsidRDefault="001B31F1" w:rsidP="001B31F1">
      <w:pPr>
        <w:pBdr>
          <w:top w:val="nil"/>
          <w:left w:val="nil"/>
          <w:bottom w:val="nil"/>
          <w:right w:val="nil"/>
          <w:between w:val="nil"/>
        </w:pBdr>
        <w:spacing w:before="100" w:after="200"/>
        <w:ind w:left="720"/>
      </w:pPr>
      <w:r>
        <w:rPr>
          <w:b/>
        </w:rPr>
        <w:t>Repeat</w:t>
      </w:r>
      <w:r>
        <w:t xml:space="preserve"> </w:t>
      </w:r>
      <w:r>
        <w:rPr>
          <w:b/>
        </w:rPr>
        <w:t>KPI</w:t>
      </w:r>
      <w:r>
        <w:t xml:space="preserve"> </w:t>
      </w:r>
      <w:r>
        <w:rPr>
          <w:b/>
        </w:rPr>
        <w:t>Failures</w:t>
      </w:r>
    </w:p>
    <w:p w14:paraId="6D4CBD58" w14:textId="77777777" w:rsidR="001B31F1" w:rsidRDefault="001B31F1" w:rsidP="00E1349E">
      <w:pPr>
        <w:widowControl w:val="0"/>
        <w:numPr>
          <w:ilvl w:val="1"/>
          <w:numId w:val="247"/>
        </w:numPr>
        <w:pBdr>
          <w:top w:val="nil"/>
          <w:left w:val="nil"/>
          <w:bottom w:val="nil"/>
          <w:right w:val="nil"/>
          <w:between w:val="nil"/>
        </w:pBdr>
        <w:spacing w:before="100" w:after="200"/>
      </w:pPr>
      <w:bookmarkStart w:id="277" w:name="_heading=h.44sinio" w:colFirst="0" w:colLast="0"/>
      <w:bookmarkEnd w:id="277"/>
      <w:r>
        <w:rPr>
          <w:color w:val="000000"/>
        </w:rPr>
        <w:t>If a KPI Failure occurs in respect of the same Key Performance Indicator in any two consecutive Measurement Periods, the second and any subsequent such KPI Failure shall be a “</w:t>
      </w:r>
      <w:r>
        <w:rPr>
          <w:b/>
          <w:color w:val="000000"/>
        </w:rPr>
        <w:t>Repeat KPI Failure</w:t>
      </w:r>
      <w:r>
        <w:rPr>
          <w:color w:val="000000"/>
        </w:rPr>
        <w:t>”.</w:t>
      </w:r>
    </w:p>
    <w:p w14:paraId="3408BCC6" w14:textId="77777777" w:rsidR="001B31F1" w:rsidRDefault="001B31F1" w:rsidP="00E1349E">
      <w:pPr>
        <w:widowControl w:val="0"/>
        <w:numPr>
          <w:ilvl w:val="1"/>
          <w:numId w:val="247"/>
        </w:numPr>
        <w:pBdr>
          <w:top w:val="nil"/>
          <w:left w:val="nil"/>
          <w:bottom w:val="nil"/>
          <w:right w:val="nil"/>
          <w:between w:val="nil"/>
        </w:pBdr>
        <w:spacing w:before="100" w:after="200"/>
      </w:pPr>
      <w:bookmarkStart w:id="278" w:name="_heading=h.2jxsxqh" w:colFirst="0" w:colLast="0"/>
      <w:bookmarkEnd w:id="278"/>
      <w:r>
        <w:rPr>
          <w:color w:val="000000"/>
        </w:rPr>
        <w:t xml:space="preserve">The number of Service Points that shall accrue to the Supplier in respect of a KPI Failure that is a Repeat KPI Failure shall be calculated as follows: </w:t>
      </w:r>
    </w:p>
    <w:p w14:paraId="4E3ECFAC" w14:textId="77777777" w:rsidR="001B31F1" w:rsidRDefault="001B31F1" w:rsidP="001B31F1">
      <w:pPr>
        <w:pBdr>
          <w:top w:val="nil"/>
          <w:left w:val="nil"/>
          <w:bottom w:val="nil"/>
          <w:right w:val="nil"/>
          <w:between w:val="nil"/>
        </w:pBdr>
        <w:spacing w:before="100" w:after="200"/>
        <w:ind w:left="720"/>
      </w:pPr>
      <w:r>
        <w:rPr>
          <w:b/>
        </w:rPr>
        <w:t>SP = P x</w:t>
      </w:r>
      <w:r>
        <w:t xml:space="preserve"> </w:t>
      </w:r>
      <w:r>
        <w:rPr>
          <w:b/>
        </w:rPr>
        <w:t>2</w:t>
      </w:r>
    </w:p>
    <w:p w14:paraId="5AB1C7DC" w14:textId="77777777" w:rsidR="001B31F1" w:rsidRDefault="001B31F1" w:rsidP="001B31F1">
      <w:pPr>
        <w:pBdr>
          <w:top w:val="nil"/>
          <w:left w:val="nil"/>
          <w:bottom w:val="nil"/>
          <w:right w:val="nil"/>
          <w:between w:val="nil"/>
        </w:pBdr>
        <w:spacing w:before="100" w:after="200"/>
        <w:ind w:left="720"/>
      </w:pPr>
      <w:r>
        <w:t xml:space="preserve">where: </w:t>
      </w:r>
    </w:p>
    <w:p w14:paraId="714D1C9C" w14:textId="77777777" w:rsidR="001B31F1" w:rsidRDefault="001B31F1" w:rsidP="001B31F1">
      <w:pPr>
        <w:pBdr>
          <w:top w:val="nil"/>
          <w:left w:val="nil"/>
          <w:bottom w:val="nil"/>
          <w:right w:val="nil"/>
          <w:between w:val="nil"/>
        </w:pBdr>
        <w:spacing w:before="100" w:after="200"/>
        <w:ind w:left="1440" w:hanging="720"/>
      </w:pPr>
      <w:r>
        <w:rPr>
          <w:b/>
        </w:rPr>
        <w:t>SP =</w:t>
      </w:r>
      <w:r>
        <w:t xml:space="preserve"> </w:t>
      </w:r>
      <w:r>
        <w:tab/>
        <w:t>the number of Service Points that shall accrue for the Repeat KPI Failure; and</w:t>
      </w:r>
    </w:p>
    <w:p w14:paraId="364F76C5" w14:textId="77777777" w:rsidR="001B31F1" w:rsidRDefault="001B31F1" w:rsidP="001B31F1">
      <w:pPr>
        <w:pBdr>
          <w:top w:val="nil"/>
          <w:left w:val="nil"/>
          <w:bottom w:val="nil"/>
          <w:right w:val="nil"/>
          <w:between w:val="nil"/>
        </w:pBdr>
        <w:spacing w:before="100" w:after="200"/>
        <w:ind w:left="1440" w:hanging="720"/>
      </w:pPr>
      <w:r>
        <w:rPr>
          <w:b/>
        </w:rPr>
        <w:t>P =</w:t>
      </w:r>
      <w:r>
        <w:t xml:space="preserve"> </w:t>
      </w:r>
      <w:r>
        <w:tab/>
        <w:t>the applicable number of Service Points for that KPI Failure as set out in Annex 1 depending on whether the Repeat KPI Failure is a Minor KPI Failure, a Serious KPI Failure, a Severe KPI Failure or a failure to meet the KPI Service Threshold.</w:t>
      </w:r>
    </w:p>
    <w:p w14:paraId="218C4533" w14:textId="77777777" w:rsidR="001B31F1" w:rsidRDefault="001B31F1" w:rsidP="001B31F1">
      <w:pPr>
        <w:keepNext/>
        <w:keepLines/>
        <w:pBdr>
          <w:top w:val="nil"/>
          <w:left w:val="nil"/>
          <w:bottom w:val="nil"/>
          <w:right w:val="nil"/>
          <w:between w:val="nil"/>
        </w:pBdr>
        <w:spacing w:before="100" w:after="200"/>
      </w:pPr>
      <w:r>
        <w:rPr>
          <w:b/>
        </w:rPr>
        <w:lastRenderedPageBreak/>
        <w:t>Worked example based on the following Service Points regime for Service Availability:</w:t>
      </w:r>
    </w:p>
    <w:tbl>
      <w:tblPr>
        <w:tblW w:w="9582" w:type="dxa"/>
        <w:tblInd w:w="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6006"/>
        <w:gridCol w:w="3576"/>
      </w:tblGrid>
      <w:tr w:rsidR="001B31F1" w14:paraId="619C43B8" w14:textId="77777777" w:rsidTr="001B31F1">
        <w:trPr>
          <w:cantSplit/>
          <w:tblHeader/>
        </w:trPr>
        <w:tc>
          <w:tcPr>
            <w:tcW w:w="6006" w:type="dxa"/>
          </w:tcPr>
          <w:p w14:paraId="1D478301" w14:textId="77777777" w:rsidR="001B31F1" w:rsidRDefault="001B31F1" w:rsidP="001B31F1">
            <w:pPr>
              <w:pBdr>
                <w:top w:val="nil"/>
                <w:left w:val="nil"/>
                <w:bottom w:val="nil"/>
                <w:right w:val="nil"/>
                <w:between w:val="nil"/>
              </w:pBdr>
              <w:rPr>
                <w:color w:val="000000"/>
              </w:rPr>
            </w:pPr>
            <w:r>
              <w:rPr>
                <w:color w:val="000000"/>
              </w:rPr>
              <w:t>Service Availability Severity Levels</w:t>
            </w:r>
          </w:p>
        </w:tc>
        <w:tc>
          <w:tcPr>
            <w:tcW w:w="3576" w:type="dxa"/>
          </w:tcPr>
          <w:p w14:paraId="5B799028" w14:textId="77777777" w:rsidR="001B31F1" w:rsidRDefault="001B31F1" w:rsidP="001B31F1">
            <w:pPr>
              <w:pBdr>
                <w:top w:val="nil"/>
                <w:left w:val="nil"/>
                <w:bottom w:val="nil"/>
                <w:right w:val="nil"/>
                <w:between w:val="nil"/>
              </w:pBdr>
              <w:rPr>
                <w:color w:val="000000"/>
              </w:rPr>
            </w:pPr>
            <w:r>
              <w:rPr>
                <w:color w:val="000000"/>
              </w:rPr>
              <w:t>Service Points</w:t>
            </w:r>
          </w:p>
        </w:tc>
      </w:tr>
      <w:tr w:rsidR="001B31F1" w14:paraId="2BDF9778" w14:textId="77777777" w:rsidTr="001B31F1">
        <w:trPr>
          <w:cantSplit/>
        </w:trPr>
        <w:tc>
          <w:tcPr>
            <w:tcW w:w="6006" w:type="dxa"/>
          </w:tcPr>
          <w:p w14:paraId="42DEC6FB" w14:textId="77777777" w:rsidR="001B31F1" w:rsidRDefault="001B31F1" w:rsidP="001B31F1">
            <w:pPr>
              <w:pBdr>
                <w:top w:val="nil"/>
                <w:left w:val="nil"/>
                <w:bottom w:val="nil"/>
                <w:right w:val="nil"/>
                <w:between w:val="nil"/>
              </w:pBdr>
              <w:rPr>
                <w:color w:val="000000"/>
              </w:rPr>
            </w:pPr>
            <w:r>
              <w:rPr>
                <w:color w:val="000000"/>
              </w:rPr>
              <w:t>Target Performance Level:</w:t>
            </w:r>
            <w:r>
              <w:rPr>
                <w:color w:val="000000"/>
              </w:rPr>
              <w:tab/>
            </w:r>
            <w:r>
              <w:rPr>
                <w:color w:val="000000"/>
              </w:rPr>
              <w:tab/>
              <w:t>&gt;=99.5%</w:t>
            </w:r>
          </w:p>
        </w:tc>
        <w:tc>
          <w:tcPr>
            <w:tcW w:w="3576" w:type="dxa"/>
          </w:tcPr>
          <w:p w14:paraId="77845C8D" w14:textId="77777777" w:rsidR="001B31F1" w:rsidRDefault="001B31F1" w:rsidP="001B31F1">
            <w:pPr>
              <w:pBdr>
                <w:top w:val="nil"/>
                <w:left w:val="nil"/>
                <w:bottom w:val="nil"/>
                <w:right w:val="nil"/>
                <w:between w:val="nil"/>
              </w:pBdr>
              <w:rPr>
                <w:color w:val="000000"/>
              </w:rPr>
            </w:pPr>
            <w:r>
              <w:rPr>
                <w:color w:val="000000"/>
              </w:rPr>
              <w:t>0</w:t>
            </w:r>
          </w:p>
        </w:tc>
      </w:tr>
      <w:tr w:rsidR="001B31F1" w14:paraId="2D178BCB" w14:textId="77777777" w:rsidTr="001B31F1">
        <w:trPr>
          <w:cantSplit/>
        </w:trPr>
        <w:tc>
          <w:tcPr>
            <w:tcW w:w="6006" w:type="dxa"/>
          </w:tcPr>
          <w:p w14:paraId="3BC28F04" w14:textId="77777777" w:rsidR="001B31F1" w:rsidRDefault="001B31F1" w:rsidP="001B31F1">
            <w:pPr>
              <w:pBdr>
                <w:top w:val="nil"/>
                <w:left w:val="nil"/>
                <w:bottom w:val="nil"/>
                <w:right w:val="nil"/>
                <w:between w:val="nil"/>
              </w:pBdr>
              <w:rPr>
                <w:color w:val="000000"/>
              </w:rPr>
            </w:pPr>
            <w:r>
              <w:rPr>
                <w:color w:val="000000"/>
              </w:rPr>
              <w:t>Minor KPI Failure:</w:t>
            </w:r>
            <w:r>
              <w:rPr>
                <w:color w:val="000000"/>
              </w:rPr>
              <w:tab/>
            </w:r>
            <w:r>
              <w:rPr>
                <w:color w:val="000000"/>
              </w:rPr>
              <w:tab/>
              <w:t>&gt;=99.0% to &lt;99.5%</w:t>
            </w:r>
          </w:p>
        </w:tc>
        <w:tc>
          <w:tcPr>
            <w:tcW w:w="3576" w:type="dxa"/>
          </w:tcPr>
          <w:p w14:paraId="31F55DAD" w14:textId="77777777" w:rsidR="001B31F1" w:rsidRDefault="001B31F1" w:rsidP="001B31F1">
            <w:pPr>
              <w:pBdr>
                <w:top w:val="nil"/>
                <w:left w:val="nil"/>
                <w:bottom w:val="nil"/>
                <w:right w:val="nil"/>
                <w:between w:val="nil"/>
              </w:pBdr>
              <w:rPr>
                <w:color w:val="000000"/>
              </w:rPr>
            </w:pPr>
            <w:r>
              <w:rPr>
                <w:color w:val="000000"/>
              </w:rPr>
              <w:t>1</w:t>
            </w:r>
          </w:p>
        </w:tc>
      </w:tr>
      <w:tr w:rsidR="001B31F1" w14:paraId="22743F92" w14:textId="77777777" w:rsidTr="001B31F1">
        <w:trPr>
          <w:cantSplit/>
        </w:trPr>
        <w:tc>
          <w:tcPr>
            <w:tcW w:w="6006" w:type="dxa"/>
          </w:tcPr>
          <w:p w14:paraId="7B5AAB55" w14:textId="77777777" w:rsidR="001B31F1" w:rsidRDefault="001B31F1" w:rsidP="001B31F1">
            <w:pPr>
              <w:pBdr>
                <w:top w:val="nil"/>
                <w:left w:val="nil"/>
                <w:bottom w:val="nil"/>
                <w:right w:val="nil"/>
                <w:between w:val="nil"/>
              </w:pBdr>
              <w:rPr>
                <w:color w:val="000000"/>
              </w:rPr>
            </w:pPr>
            <w:r>
              <w:rPr>
                <w:color w:val="000000"/>
              </w:rPr>
              <w:t>Serious KPI Failure:</w:t>
            </w:r>
            <w:r>
              <w:rPr>
                <w:color w:val="000000"/>
              </w:rPr>
              <w:tab/>
            </w:r>
            <w:r>
              <w:rPr>
                <w:color w:val="000000"/>
              </w:rPr>
              <w:tab/>
              <w:t>&gt;=98.5% to &lt;99.0%</w:t>
            </w:r>
          </w:p>
        </w:tc>
        <w:tc>
          <w:tcPr>
            <w:tcW w:w="3576" w:type="dxa"/>
          </w:tcPr>
          <w:p w14:paraId="606BCBBF" w14:textId="77777777" w:rsidR="001B31F1" w:rsidRDefault="001B31F1" w:rsidP="001B31F1">
            <w:pPr>
              <w:pBdr>
                <w:top w:val="nil"/>
                <w:left w:val="nil"/>
                <w:bottom w:val="nil"/>
                <w:right w:val="nil"/>
                <w:between w:val="nil"/>
              </w:pBdr>
              <w:rPr>
                <w:color w:val="000000"/>
              </w:rPr>
            </w:pPr>
            <w:r>
              <w:rPr>
                <w:color w:val="000000"/>
              </w:rPr>
              <w:t>2</w:t>
            </w:r>
          </w:p>
        </w:tc>
      </w:tr>
      <w:tr w:rsidR="001B31F1" w14:paraId="2164589B" w14:textId="77777777" w:rsidTr="001B31F1">
        <w:trPr>
          <w:cantSplit/>
        </w:trPr>
        <w:tc>
          <w:tcPr>
            <w:tcW w:w="6006" w:type="dxa"/>
          </w:tcPr>
          <w:p w14:paraId="60B78E11" w14:textId="77777777" w:rsidR="001B31F1" w:rsidRDefault="001B31F1" w:rsidP="001B31F1">
            <w:pPr>
              <w:pBdr>
                <w:top w:val="nil"/>
                <w:left w:val="nil"/>
                <w:bottom w:val="nil"/>
                <w:right w:val="nil"/>
                <w:between w:val="nil"/>
              </w:pBdr>
              <w:rPr>
                <w:color w:val="000000"/>
              </w:rPr>
            </w:pPr>
            <w:r>
              <w:rPr>
                <w:color w:val="000000"/>
              </w:rPr>
              <w:t>Severe KPI Failure:</w:t>
            </w:r>
            <w:r>
              <w:rPr>
                <w:color w:val="000000"/>
              </w:rPr>
              <w:tab/>
            </w:r>
            <w:r>
              <w:rPr>
                <w:color w:val="000000"/>
              </w:rPr>
              <w:tab/>
              <w:t>&gt;=98.0% to &lt;98.5%</w:t>
            </w:r>
          </w:p>
        </w:tc>
        <w:tc>
          <w:tcPr>
            <w:tcW w:w="3576" w:type="dxa"/>
          </w:tcPr>
          <w:p w14:paraId="7CD20DB2" w14:textId="77777777" w:rsidR="001B31F1" w:rsidRDefault="001B31F1" w:rsidP="001B31F1">
            <w:pPr>
              <w:pBdr>
                <w:top w:val="nil"/>
                <w:left w:val="nil"/>
                <w:bottom w:val="nil"/>
                <w:right w:val="nil"/>
                <w:between w:val="nil"/>
              </w:pBdr>
              <w:rPr>
                <w:color w:val="000000"/>
              </w:rPr>
            </w:pPr>
            <w:r>
              <w:rPr>
                <w:color w:val="000000"/>
              </w:rPr>
              <w:t>3</w:t>
            </w:r>
          </w:p>
        </w:tc>
      </w:tr>
      <w:tr w:rsidR="001B31F1" w14:paraId="5F7C08D3" w14:textId="77777777" w:rsidTr="001B31F1">
        <w:trPr>
          <w:cantSplit/>
        </w:trPr>
        <w:tc>
          <w:tcPr>
            <w:tcW w:w="6006" w:type="dxa"/>
          </w:tcPr>
          <w:p w14:paraId="21A7FE5D" w14:textId="77777777" w:rsidR="001B31F1" w:rsidRDefault="001B31F1" w:rsidP="001B31F1">
            <w:pPr>
              <w:pBdr>
                <w:top w:val="nil"/>
                <w:left w:val="nil"/>
                <w:bottom w:val="nil"/>
                <w:right w:val="nil"/>
                <w:between w:val="nil"/>
              </w:pBdr>
              <w:rPr>
                <w:color w:val="000000"/>
              </w:rPr>
            </w:pPr>
            <w:r>
              <w:rPr>
                <w:color w:val="000000"/>
              </w:rPr>
              <w:t>KPI Service Threshold:</w:t>
            </w:r>
            <w:r>
              <w:rPr>
                <w:color w:val="000000"/>
              </w:rPr>
              <w:tab/>
              <w:t xml:space="preserve">              &lt;98%</w:t>
            </w:r>
          </w:p>
        </w:tc>
        <w:tc>
          <w:tcPr>
            <w:tcW w:w="3576" w:type="dxa"/>
          </w:tcPr>
          <w:p w14:paraId="44D5F746" w14:textId="77777777" w:rsidR="001B31F1" w:rsidRDefault="001B31F1" w:rsidP="001B31F1">
            <w:pPr>
              <w:pBdr>
                <w:top w:val="nil"/>
                <w:left w:val="nil"/>
                <w:bottom w:val="nil"/>
                <w:right w:val="nil"/>
                <w:between w:val="nil"/>
              </w:pBdr>
              <w:rPr>
                <w:color w:val="000000"/>
              </w:rPr>
            </w:pPr>
            <w:r>
              <w:rPr>
                <w:color w:val="000000"/>
              </w:rPr>
              <w:t>4</w:t>
            </w:r>
          </w:p>
        </w:tc>
      </w:tr>
    </w:tbl>
    <w:p w14:paraId="346B8309" w14:textId="77777777" w:rsidR="001B31F1" w:rsidRDefault="001B31F1" w:rsidP="001B31F1">
      <w:pPr>
        <w:pBdr>
          <w:top w:val="nil"/>
          <w:left w:val="nil"/>
          <w:bottom w:val="nil"/>
          <w:right w:val="nil"/>
          <w:between w:val="nil"/>
        </w:pBdr>
        <w:spacing w:before="100" w:after="200"/>
        <w:rPr>
          <w:b/>
          <w:color w:val="000000"/>
        </w:rPr>
      </w:pPr>
      <w:r>
        <w:rPr>
          <w:b/>
          <w:color w:val="000000"/>
        </w:rPr>
        <w:t>Example 1:</w:t>
      </w:r>
    </w:p>
    <w:p w14:paraId="1B8EB7D4" w14:textId="77777777" w:rsidR="001B31F1" w:rsidRDefault="001B31F1" w:rsidP="001B31F1">
      <w:pPr>
        <w:pBdr>
          <w:top w:val="nil"/>
          <w:left w:val="nil"/>
          <w:bottom w:val="nil"/>
          <w:right w:val="nil"/>
          <w:between w:val="nil"/>
        </w:pBdr>
        <w:spacing w:before="100" w:after="200"/>
      </w:pPr>
      <w:bookmarkStart w:id="279" w:name="_heading=h.z337ya" w:colFirst="0" w:colLast="0"/>
      <w:bookmarkEnd w:id="279"/>
      <w:r>
        <w:t>If the Supplier achieves Service Availability of 99.2% in a given Measurement Period, it will incur a Minor KPI Failure for Service Availability in that Measurement Period and accordingly accrue 1 Service Point. If, in the next Measurement Period, it achieves Service Availability of 98.3%, it will incur a Severe KPI Failure and accordingly accrue 3 Service Points, but as the failure is a Repeat Failure, this amount is doubled and so the Supplier will incur 6 Service Points for the failure (i.e. SP = 3 x 2). If in the next Measurement Period it achieves Service Availability of 98.4%, the Supplier will again incur 6 Service Points.</w:t>
      </w:r>
    </w:p>
    <w:p w14:paraId="4D2F0566" w14:textId="77777777" w:rsidR="001B31F1" w:rsidRDefault="001B31F1" w:rsidP="001B31F1">
      <w:pPr>
        <w:pBdr>
          <w:top w:val="nil"/>
          <w:left w:val="nil"/>
          <w:bottom w:val="nil"/>
          <w:right w:val="nil"/>
          <w:between w:val="nil"/>
        </w:pBdr>
        <w:spacing w:before="100" w:after="200"/>
        <w:rPr>
          <w:b/>
          <w:color w:val="000000"/>
        </w:rPr>
      </w:pPr>
      <w:r>
        <w:rPr>
          <w:b/>
          <w:color w:val="000000"/>
        </w:rPr>
        <w:t>Example 2:</w:t>
      </w:r>
    </w:p>
    <w:p w14:paraId="1FEEFB8A" w14:textId="77777777" w:rsidR="001B31F1" w:rsidRDefault="001B31F1" w:rsidP="001B31F1">
      <w:pPr>
        <w:pBdr>
          <w:top w:val="nil"/>
          <w:left w:val="nil"/>
          <w:bottom w:val="nil"/>
          <w:right w:val="nil"/>
          <w:between w:val="nil"/>
        </w:pBdr>
        <w:spacing w:before="100" w:after="200"/>
      </w:pPr>
      <w:bookmarkStart w:id="280" w:name="_heading=h.3j2qqm3" w:colFirst="0" w:colLast="0"/>
      <w:bookmarkEnd w:id="280"/>
      <w:r>
        <w:t>If the Supplier achieves Service Availability of 98.4% in a given Measurement Period, it will incur a Severe KPI Failure for Service Availability in that Measurement Period and accordingly accrue 3 Service Points. If, in the next Measurement Period, it achieves Service Availability of 99.1%, it will incur a Minor KPI Failure and accordingly accrue 1 Service Point, but as the failure is a Repeat Failure, this amount is doubled and so the Supplier will incur 2 Service Points for the failure (i.e. SP = 1 x 2). If in the next Measurement Period it achieves Service Availability of 98.3%, the Supplier will incur 6 Service Points.</w:t>
      </w:r>
    </w:p>
    <w:p w14:paraId="2E349CAC" w14:textId="77777777" w:rsidR="001B31F1" w:rsidRDefault="001B31F1" w:rsidP="001B31F1">
      <w:pPr>
        <w:pBdr>
          <w:top w:val="nil"/>
          <w:left w:val="nil"/>
          <w:bottom w:val="nil"/>
          <w:right w:val="nil"/>
          <w:between w:val="nil"/>
        </w:pBdr>
        <w:spacing w:before="100" w:after="200"/>
        <w:rPr>
          <w:b/>
        </w:rPr>
      </w:pPr>
      <w:r>
        <w:rPr>
          <w:b/>
        </w:rPr>
        <w:t xml:space="preserve">Related KPI Failures </w:t>
      </w:r>
    </w:p>
    <w:p w14:paraId="336B4D86" w14:textId="77777777" w:rsidR="001B31F1" w:rsidRDefault="001B31F1" w:rsidP="00E1349E">
      <w:pPr>
        <w:widowControl w:val="0"/>
        <w:numPr>
          <w:ilvl w:val="1"/>
          <w:numId w:val="247"/>
        </w:numPr>
        <w:pBdr>
          <w:top w:val="nil"/>
          <w:left w:val="nil"/>
          <w:bottom w:val="nil"/>
          <w:right w:val="nil"/>
          <w:between w:val="nil"/>
        </w:pBdr>
        <w:spacing w:before="100" w:after="200"/>
      </w:pPr>
      <w:r>
        <w:rPr>
          <w:color w:val="000000"/>
        </w:rPr>
        <w:t>If any specific Key Performance Indicators refer to both Service Availability and System Response Times, the System Response Times achieved by the Supplier for any period of time during a Service Period during which the relevant Service or element of a Service is determined to be Non-Available shall not be taken into account in calculating the average System Response Times over the course of that Service Period. Accordingly, the Supplier shall not incur any Service Points for failure to meet System Response Times in circumstances where such failure is a result of, and the Supplier has already incurred Service Points for, the Service being Non-Available.</w:t>
      </w:r>
    </w:p>
    <w:p w14:paraId="3689DBC2" w14:textId="77777777" w:rsidR="001B31F1" w:rsidRDefault="001B31F1" w:rsidP="00E1349E">
      <w:pPr>
        <w:keepNext/>
        <w:keepLines/>
        <w:numPr>
          <w:ilvl w:val="0"/>
          <w:numId w:val="247"/>
        </w:numPr>
        <w:pBdr>
          <w:top w:val="nil"/>
          <w:left w:val="nil"/>
          <w:bottom w:val="nil"/>
          <w:right w:val="nil"/>
          <w:between w:val="nil"/>
        </w:pBdr>
        <w:spacing w:before="100" w:after="200"/>
      </w:pPr>
      <w:r>
        <w:rPr>
          <w:b/>
          <w:color w:val="1F497D"/>
        </w:rPr>
        <w:t>Permitted Maintenance</w:t>
      </w:r>
    </w:p>
    <w:p w14:paraId="61C05F4A" w14:textId="77777777" w:rsidR="001B31F1" w:rsidRDefault="001B31F1" w:rsidP="00E1349E">
      <w:pPr>
        <w:widowControl w:val="0"/>
        <w:numPr>
          <w:ilvl w:val="1"/>
          <w:numId w:val="247"/>
        </w:numPr>
        <w:pBdr>
          <w:top w:val="nil"/>
          <w:left w:val="nil"/>
          <w:bottom w:val="nil"/>
          <w:right w:val="nil"/>
          <w:between w:val="nil"/>
        </w:pBdr>
        <w:spacing w:before="100" w:after="200"/>
        <w:rPr>
          <w:color w:val="000000"/>
        </w:rPr>
      </w:pPr>
      <w:r>
        <w:rPr>
          <w:color w:val="000000"/>
        </w:rPr>
        <w:t xml:space="preserve">The Service Availability KPI excludes agreed Service Downtime for Permitted Maintenance. The window for any proposed Service Downtime to perform Permitted Maintenance, which proposed Service Downtime must be notified 1 month in advance and agreed in writing by the Authority in the Maintenance Schedule, is between </w:t>
      </w:r>
      <w:r>
        <w:t>midnight</w:t>
      </w:r>
      <w:r>
        <w:rPr>
          <w:color w:val="000000"/>
        </w:rPr>
        <w:t xml:space="preserve"> and 0</w:t>
      </w:r>
      <w:r>
        <w:t>6</w:t>
      </w:r>
      <w:r>
        <w:rPr>
          <w:color w:val="000000"/>
        </w:rPr>
        <w:t xml:space="preserve">:00 GMT. </w:t>
      </w:r>
    </w:p>
    <w:p w14:paraId="2C149478" w14:textId="77777777" w:rsidR="001B31F1" w:rsidRDefault="001B31F1" w:rsidP="00E1349E">
      <w:pPr>
        <w:widowControl w:val="0"/>
        <w:numPr>
          <w:ilvl w:val="1"/>
          <w:numId w:val="247"/>
        </w:numPr>
        <w:pBdr>
          <w:top w:val="nil"/>
          <w:left w:val="nil"/>
          <w:bottom w:val="nil"/>
          <w:right w:val="nil"/>
          <w:between w:val="nil"/>
        </w:pBdr>
        <w:spacing w:before="100"/>
      </w:pPr>
      <w:r>
        <w:t>The Supplier shall be permitted to schedule a maximum of one period of Service Downtime to conduct Permitted Maintenance per calendar month. Any additional Service Downtime in a calendar month shall be considered as unauthorised and will be subject to the Service Availability KPI (KPI 1 in Annex 1).</w:t>
      </w:r>
    </w:p>
    <w:p w14:paraId="2C90795D" w14:textId="77777777" w:rsidR="001B31F1" w:rsidRDefault="001B31F1" w:rsidP="00E1349E">
      <w:pPr>
        <w:keepNext/>
        <w:keepLines/>
        <w:numPr>
          <w:ilvl w:val="0"/>
          <w:numId w:val="247"/>
        </w:numPr>
        <w:pBdr>
          <w:top w:val="nil"/>
          <w:left w:val="nil"/>
          <w:bottom w:val="nil"/>
          <w:right w:val="nil"/>
          <w:between w:val="nil"/>
        </w:pBdr>
        <w:spacing w:before="100" w:after="200"/>
      </w:pPr>
      <w:bookmarkStart w:id="281" w:name="_heading=h.4i7ojhp" w:colFirst="0" w:colLast="0"/>
      <w:bookmarkEnd w:id="281"/>
      <w:r>
        <w:rPr>
          <w:b/>
          <w:color w:val="1F497D"/>
        </w:rPr>
        <w:lastRenderedPageBreak/>
        <w:t>Service Credits</w:t>
      </w:r>
    </w:p>
    <w:p w14:paraId="3D8CC059" w14:textId="77777777" w:rsidR="001B31F1" w:rsidRDefault="001B31F1" w:rsidP="00E1349E">
      <w:pPr>
        <w:widowControl w:val="0"/>
        <w:numPr>
          <w:ilvl w:val="1"/>
          <w:numId w:val="247"/>
        </w:numPr>
        <w:pBdr>
          <w:top w:val="nil"/>
          <w:left w:val="nil"/>
          <w:bottom w:val="nil"/>
          <w:right w:val="nil"/>
          <w:between w:val="nil"/>
        </w:pBdr>
        <w:spacing w:before="100" w:after="200"/>
      </w:pPr>
      <w:bookmarkStart w:id="282" w:name="_heading=h.2xcytpi" w:colFirst="0" w:colLast="0"/>
      <w:bookmarkEnd w:id="282"/>
      <w:r>
        <w:rPr>
          <w:color w:val="000000"/>
        </w:rPr>
        <w:t>Schedule 15 (</w:t>
      </w:r>
      <w:r>
        <w:rPr>
          <w:i/>
          <w:color w:val="000000"/>
        </w:rPr>
        <w:t>Charges and Invoicing</w:t>
      </w:r>
      <w:r>
        <w:rPr>
          <w:color w:val="000000"/>
        </w:rPr>
        <w:t xml:space="preserve">) sets out the mechanism by which Service Points shall be converted into Service Credits. </w:t>
      </w:r>
    </w:p>
    <w:p w14:paraId="5BBBEED2" w14:textId="77777777" w:rsidR="001B31F1" w:rsidRDefault="001B31F1" w:rsidP="00E1349E">
      <w:pPr>
        <w:widowControl w:val="0"/>
        <w:numPr>
          <w:ilvl w:val="1"/>
          <w:numId w:val="247"/>
        </w:numPr>
        <w:pBdr>
          <w:top w:val="nil"/>
          <w:left w:val="nil"/>
          <w:bottom w:val="nil"/>
          <w:right w:val="nil"/>
          <w:between w:val="nil"/>
        </w:pBdr>
        <w:spacing w:before="100" w:after="200"/>
      </w:pPr>
      <w:r>
        <w:rPr>
          <w:color w:val="000000"/>
        </w:rPr>
        <w:t>The Authority shall use the Performance Monitoring Reports provided pursuant to Part B, among other things, to verify the calculation and accuracy of the Service Credits (if any) applicable to each Service Period.</w:t>
      </w:r>
    </w:p>
    <w:p w14:paraId="53C5DBFC" w14:textId="77777777" w:rsidR="001B31F1" w:rsidRDefault="001B31F1" w:rsidP="001B31F1"/>
    <w:p w14:paraId="68952963" w14:textId="77777777" w:rsidR="001B31F1" w:rsidRDefault="001B31F1" w:rsidP="001B31F1">
      <w:pPr>
        <w:pStyle w:val="Heading2"/>
        <w:pageBreakBefore/>
      </w:pPr>
      <w:bookmarkStart w:id="283" w:name="bookmark=id.2bn6wsx" w:colFirst="0" w:colLast="0"/>
      <w:bookmarkStart w:id="284" w:name="bookmark=id.3whwml4" w:colFirst="0" w:colLast="0"/>
      <w:bookmarkStart w:id="285" w:name="_heading=h.1ci93xb" w:colFirst="0" w:colLast="0"/>
      <w:bookmarkStart w:id="286" w:name="_Toc145412738"/>
      <w:bookmarkEnd w:id="283"/>
      <w:bookmarkEnd w:id="284"/>
      <w:bookmarkEnd w:id="285"/>
      <w:r>
        <w:lastRenderedPageBreak/>
        <w:t xml:space="preserve">Part B: </w:t>
      </w:r>
      <w:bookmarkStart w:id="287" w:name="bookmark=id.qsh70q" w:colFirst="0" w:colLast="0"/>
      <w:bookmarkEnd w:id="287"/>
      <w:r>
        <w:t>Performance Monitoring</w:t>
      </w:r>
      <w:bookmarkEnd w:id="286"/>
    </w:p>
    <w:p w14:paraId="3D61A8CF" w14:textId="77777777" w:rsidR="001B31F1" w:rsidRDefault="001B31F1" w:rsidP="00E1349E">
      <w:pPr>
        <w:keepNext/>
        <w:keepLines/>
        <w:numPr>
          <w:ilvl w:val="0"/>
          <w:numId w:val="246"/>
        </w:numPr>
        <w:pBdr>
          <w:top w:val="nil"/>
          <w:left w:val="nil"/>
          <w:bottom w:val="nil"/>
          <w:right w:val="nil"/>
          <w:between w:val="nil"/>
        </w:pBdr>
        <w:spacing w:before="100" w:after="200"/>
      </w:pPr>
      <w:bookmarkStart w:id="288" w:name="_heading=h.3as4poj" w:colFirst="0" w:colLast="0"/>
      <w:bookmarkEnd w:id="288"/>
      <w:r>
        <w:rPr>
          <w:b/>
          <w:color w:val="1F497D"/>
        </w:rPr>
        <w:t>Performance Monitoring and Performance Review</w:t>
      </w:r>
    </w:p>
    <w:p w14:paraId="6695F1FA" w14:textId="77777777" w:rsidR="001B31F1" w:rsidRDefault="001B31F1" w:rsidP="00E1349E">
      <w:pPr>
        <w:widowControl w:val="0"/>
        <w:numPr>
          <w:ilvl w:val="1"/>
          <w:numId w:val="246"/>
        </w:numPr>
        <w:pBdr>
          <w:top w:val="nil"/>
          <w:left w:val="nil"/>
          <w:bottom w:val="nil"/>
          <w:right w:val="nil"/>
          <w:between w:val="nil"/>
        </w:pBdr>
        <w:spacing w:before="100" w:after="200"/>
      </w:pPr>
      <w:bookmarkStart w:id="289" w:name="_heading=h.1pxezwc" w:colFirst="0" w:colLast="0"/>
      <w:bookmarkEnd w:id="289"/>
      <w:r>
        <w:rPr>
          <w:color w:val="000000"/>
        </w:rPr>
        <w:t>Within 10 Working Days of the end of each Service Period, the Supplier shall provide:</w:t>
      </w:r>
    </w:p>
    <w:p w14:paraId="2170E96D" w14:textId="77777777" w:rsidR="001B31F1" w:rsidRDefault="001B31F1" w:rsidP="00E1349E">
      <w:pPr>
        <w:widowControl w:val="0"/>
        <w:numPr>
          <w:ilvl w:val="2"/>
          <w:numId w:val="246"/>
        </w:numPr>
        <w:pBdr>
          <w:top w:val="nil"/>
          <w:left w:val="nil"/>
          <w:bottom w:val="nil"/>
          <w:right w:val="nil"/>
          <w:between w:val="nil"/>
        </w:pBdr>
        <w:spacing w:before="100" w:after="200"/>
      </w:pPr>
      <w:bookmarkStart w:id="290" w:name="_heading=h.49x2ik5" w:colFirst="0" w:colLast="0"/>
      <w:bookmarkEnd w:id="290"/>
      <w:r>
        <w:rPr>
          <w:color w:val="000000"/>
        </w:rPr>
        <w:t>a monthly report to the Authority Representative which summarises the performance by the Supplier against each of the Performance Indicators as more particularly described in Paragraph 1.2 (the “</w:t>
      </w:r>
      <w:r>
        <w:rPr>
          <w:b/>
          <w:color w:val="000000"/>
        </w:rPr>
        <w:t>Performance Monitoring Report</w:t>
      </w:r>
      <w:r>
        <w:rPr>
          <w:color w:val="000000"/>
        </w:rPr>
        <w:t>”); and</w:t>
      </w:r>
    </w:p>
    <w:p w14:paraId="03B7B9C4" w14:textId="77777777" w:rsidR="001B31F1" w:rsidRDefault="001B31F1" w:rsidP="00E1349E">
      <w:pPr>
        <w:widowControl w:val="0"/>
        <w:numPr>
          <w:ilvl w:val="2"/>
          <w:numId w:val="246"/>
        </w:numPr>
        <w:pBdr>
          <w:top w:val="nil"/>
          <w:left w:val="nil"/>
          <w:bottom w:val="nil"/>
          <w:right w:val="nil"/>
          <w:between w:val="nil"/>
        </w:pBdr>
        <w:spacing w:before="100" w:after="200"/>
      </w:pPr>
      <w:bookmarkStart w:id="291" w:name="_heading=h.2p2csry" w:colFirst="0" w:colLast="0"/>
      <w:bookmarkEnd w:id="291"/>
      <w:r>
        <w:rPr>
          <w:color w:val="000000"/>
        </w:rPr>
        <w:t>a report created by the Supplier to the Authority’s senior responsible officer which summarises the Supplier’s performance over the relevant Service Period as more particularly described in Paragraph 1.3 (the “</w:t>
      </w:r>
      <w:r>
        <w:rPr>
          <w:b/>
          <w:color w:val="000000"/>
        </w:rPr>
        <w:t>Balanced Scorecard Report</w:t>
      </w:r>
      <w:r>
        <w:rPr>
          <w:color w:val="000000"/>
        </w:rPr>
        <w:t>”).</w:t>
      </w:r>
    </w:p>
    <w:p w14:paraId="3A5E4C66" w14:textId="77777777" w:rsidR="001B31F1" w:rsidRDefault="001B31F1" w:rsidP="001B31F1">
      <w:pPr>
        <w:pBdr>
          <w:top w:val="nil"/>
          <w:left w:val="nil"/>
          <w:bottom w:val="nil"/>
          <w:right w:val="nil"/>
          <w:between w:val="nil"/>
        </w:pBdr>
        <w:spacing w:before="100" w:after="200"/>
        <w:ind w:left="720"/>
      </w:pPr>
      <w:r>
        <w:rPr>
          <w:b/>
        </w:rPr>
        <w:t>Performance Monitoring</w:t>
      </w:r>
      <w:r>
        <w:t xml:space="preserve"> </w:t>
      </w:r>
      <w:r>
        <w:rPr>
          <w:b/>
        </w:rPr>
        <w:t>Report</w:t>
      </w:r>
    </w:p>
    <w:p w14:paraId="4EA5C7BC" w14:textId="77777777" w:rsidR="001B31F1" w:rsidRDefault="001B31F1" w:rsidP="00E1349E">
      <w:pPr>
        <w:widowControl w:val="0"/>
        <w:numPr>
          <w:ilvl w:val="1"/>
          <w:numId w:val="246"/>
        </w:numPr>
        <w:pBdr>
          <w:top w:val="nil"/>
          <w:left w:val="nil"/>
          <w:bottom w:val="nil"/>
          <w:right w:val="nil"/>
          <w:between w:val="nil"/>
        </w:pBdr>
        <w:spacing w:before="100" w:after="200"/>
      </w:pPr>
      <w:bookmarkStart w:id="292" w:name="_heading=h.3whwml4" w:colFirst="0" w:colLast="0"/>
      <w:bookmarkEnd w:id="292"/>
      <w:r>
        <w:rPr>
          <w:color w:val="000000"/>
        </w:rPr>
        <w:t>The monthly Performance Monitoring Report shall be in such format as agreed between the Parties from time to time and contain, as a minimum, the following information:</w:t>
      </w:r>
    </w:p>
    <w:p w14:paraId="48EC599A" w14:textId="77777777" w:rsidR="001B31F1" w:rsidRDefault="001B31F1" w:rsidP="001B31F1">
      <w:pPr>
        <w:pBdr>
          <w:top w:val="nil"/>
          <w:left w:val="nil"/>
          <w:bottom w:val="nil"/>
          <w:right w:val="nil"/>
          <w:between w:val="nil"/>
        </w:pBdr>
        <w:spacing w:before="100" w:after="200"/>
        <w:ind w:left="720"/>
      </w:pPr>
      <w:r>
        <w:rPr>
          <w:b/>
        </w:rPr>
        <w:t>Information in respect of the Service Period just</w:t>
      </w:r>
      <w:r>
        <w:t xml:space="preserve"> </w:t>
      </w:r>
      <w:r>
        <w:rPr>
          <w:b/>
        </w:rPr>
        <w:t>ended</w:t>
      </w:r>
    </w:p>
    <w:p w14:paraId="2E364EC6"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 xml:space="preserve">for each Key Performance Indicator and Subsidiary Performance Indicator, the actual performance achieved over the Service Period, and that achieved over the previous 3 Measurement Periods; </w:t>
      </w:r>
    </w:p>
    <w:p w14:paraId="7478D5FF"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a summary of all Performance Failures that occurred during the Service Period;</w:t>
      </w:r>
    </w:p>
    <w:p w14:paraId="5AB69032"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the severity level of each KPI Failure which occurred during the Service Period and whether each PI Failure which occurred during the Service Period fell below the PI Service Threshold;</w:t>
      </w:r>
    </w:p>
    <w:p w14:paraId="28C6B20C"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which Performance Failures remain outstanding and progress in resolving them;</w:t>
      </w:r>
    </w:p>
    <w:p w14:paraId="69A92EB4"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 xml:space="preserve">for any Material KPI Failures or Material PI Failures occurring during the Service Period, the cause of the relevant KPI Failure or PI Failure and the action being taken to reduce the likelihood of recurrence; </w:t>
      </w:r>
    </w:p>
    <w:p w14:paraId="1A71A003"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the status of any outstanding Rectification Plan processes, including:</w:t>
      </w:r>
    </w:p>
    <w:p w14:paraId="141446CB" w14:textId="77777777" w:rsidR="001B31F1" w:rsidRDefault="001B31F1" w:rsidP="00E1349E">
      <w:pPr>
        <w:widowControl w:val="0"/>
        <w:numPr>
          <w:ilvl w:val="3"/>
          <w:numId w:val="246"/>
        </w:numPr>
        <w:pBdr>
          <w:top w:val="nil"/>
          <w:left w:val="nil"/>
          <w:bottom w:val="nil"/>
          <w:right w:val="nil"/>
          <w:between w:val="nil"/>
        </w:pBdr>
        <w:spacing w:before="100" w:after="200"/>
      </w:pPr>
      <w:r>
        <w:rPr>
          <w:color w:val="000000"/>
        </w:rPr>
        <w:t>whether or not a Rectification Plan has been agreed; and</w:t>
      </w:r>
    </w:p>
    <w:p w14:paraId="68EC99F5" w14:textId="77777777" w:rsidR="001B31F1" w:rsidRDefault="001B31F1" w:rsidP="00E1349E">
      <w:pPr>
        <w:widowControl w:val="0"/>
        <w:numPr>
          <w:ilvl w:val="3"/>
          <w:numId w:val="246"/>
        </w:numPr>
        <w:pBdr>
          <w:top w:val="nil"/>
          <w:left w:val="nil"/>
          <w:bottom w:val="nil"/>
          <w:right w:val="nil"/>
          <w:between w:val="nil"/>
        </w:pBdr>
        <w:spacing w:before="100" w:after="200"/>
      </w:pPr>
      <w:r>
        <w:rPr>
          <w:color w:val="000000"/>
        </w:rPr>
        <w:t>where a Rectification Plan has been agreed, a summary of the Supplier’s progress in implementing that Rectification Plan;</w:t>
      </w:r>
    </w:p>
    <w:p w14:paraId="57DB3F64"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for any Repeat Failures, actions taken to resolve the underlying cause and prevent recurrence;</w:t>
      </w:r>
    </w:p>
    <w:p w14:paraId="111BD50B"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the number of Service Points awarded in respect of each KPI Failure;</w:t>
      </w:r>
    </w:p>
    <w:p w14:paraId="73C8C82E"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 xml:space="preserve">the Service Credits to be applied, indicating the KPI Failure(s) to which the </w:t>
      </w:r>
      <w:r>
        <w:rPr>
          <w:color w:val="000000"/>
        </w:rPr>
        <w:lastRenderedPageBreak/>
        <w:t>Service Credits relate;</w:t>
      </w:r>
    </w:p>
    <w:p w14:paraId="78B48DF6"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 xml:space="preserve">the conduct and performance of any agreed periodic tests that have occurred, such as the annual failover test of the Service Continuity Plan; </w:t>
      </w:r>
    </w:p>
    <w:p w14:paraId="41B6FCF2"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 xml:space="preserve">relevant particulars of any aspects of the Supplier’s performance which fail to meet the requirements of this Contract; </w:t>
      </w:r>
    </w:p>
    <w:p w14:paraId="24129D04"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such other details as the Authority may reasonably require from time to time; and</w:t>
      </w:r>
    </w:p>
    <w:p w14:paraId="791E78C4" w14:textId="77777777" w:rsidR="001B31F1" w:rsidRDefault="001B31F1" w:rsidP="001B31F1">
      <w:pPr>
        <w:pBdr>
          <w:top w:val="nil"/>
          <w:left w:val="nil"/>
          <w:bottom w:val="nil"/>
          <w:right w:val="nil"/>
          <w:between w:val="nil"/>
        </w:pBdr>
        <w:spacing w:before="100" w:after="200"/>
        <w:ind w:left="720"/>
      </w:pPr>
      <w:r>
        <w:rPr>
          <w:b/>
        </w:rPr>
        <w:t>Information in respect of previous Service</w:t>
      </w:r>
      <w:r>
        <w:t xml:space="preserve"> </w:t>
      </w:r>
      <w:r>
        <w:rPr>
          <w:b/>
        </w:rPr>
        <w:t>Periods</w:t>
      </w:r>
    </w:p>
    <w:p w14:paraId="210C0100"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 xml:space="preserve">a rolling total of the number of Performance Failures that have occurred over the past six Service Periods; </w:t>
      </w:r>
    </w:p>
    <w:p w14:paraId="648F11F9"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 xml:space="preserve">the amount of Service Credits that have been incurred by the Supplier over the past six Service Periods; </w:t>
      </w:r>
    </w:p>
    <w:p w14:paraId="5FB16767"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the conduct and performance of any agreed periodic tests that have occurred in such Service Period such as the annual failover test of the Service Continuity Plan; and</w:t>
      </w:r>
    </w:p>
    <w:p w14:paraId="33D8D47A" w14:textId="77777777" w:rsidR="001B31F1" w:rsidRDefault="001B31F1" w:rsidP="001B31F1">
      <w:pPr>
        <w:pBdr>
          <w:top w:val="nil"/>
          <w:left w:val="nil"/>
          <w:bottom w:val="nil"/>
          <w:right w:val="nil"/>
          <w:between w:val="nil"/>
        </w:pBdr>
        <w:spacing w:before="100" w:after="200"/>
        <w:ind w:left="720"/>
      </w:pPr>
      <w:r>
        <w:rPr>
          <w:b/>
        </w:rPr>
        <w:t>Information in respect of the next</w:t>
      </w:r>
      <w:r>
        <w:t xml:space="preserve"> </w:t>
      </w:r>
      <w:r>
        <w:rPr>
          <w:b/>
        </w:rPr>
        <w:t>Quarter</w:t>
      </w:r>
    </w:p>
    <w:p w14:paraId="205C220A"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any scheduled Service Downtime for Permitted Maintenance and Updates that has been agreed between the Authority and the Supplier for the next Quarter.</w:t>
      </w:r>
    </w:p>
    <w:p w14:paraId="0992ABAF" w14:textId="77777777" w:rsidR="001B31F1" w:rsidRDefault="001B31F1" w:rsidP="001B31F1">
      <w:pPr>
        <w:pBdr>
          <w:top w:val="nil"/>
          <w:left w:val="nil"/>
          <w:bottom w:val="nil"/>
          <w:right w:val="nil"/>
          <w:between w:val="nil"/>
        </w:pBdr>
        <w:spacing w:before="100" w:after="200"/>
        <w:ind w:left="720"/>
      </w:pPr>
      <w:r>
        <w:rPr>
          <w:b/>
        </w:rPr>
        <w:t>Balanced Scorecard</w:t>
      </w:r>
      <w:r>
        <w:t xml:space="preserve"> </w:t>
      </w:r>
      <w:r>
        <w:rPr>
          <w:b/>
        </w:rPr>
        <w:t>Report</w:t>
      </w:r>
    </w:p>
    <w:p w14:paraId="5AD10814" w14:textId="77777777" w:rsidR="001B31F1" w:rsidRDefault="001B31F1" w:rsidP="00E1349E">
      <w:pPr>
        <w:widowControl w:val="0"/>
        <w:numPr>
          <w:ilvl w:val="1"/>
          <w:numId w:val="246"/>
        </w:numPr>
        <w:pBdr>
          <w:top w:val="nil"/>
          <w:left w:val="nil"/>
          <w:bottom w:val="nil"/>
          <w:right w:val="nil"/>
          <w:between w:val="nil"/>
        </w:pBdr>
        <w:spacing w:before="100" w:after="200"/>
      </w:pPr>
      <w:bookmarkStart w:id="293" w:name="_heading=h.2bn6wsx" w:colFirst="0" w:colLast="0"/>
      <w:bookmarkEnd w:id="293"/>
      <w:r>
        <w:rPr>
          <w:color w:val="000000"/>
        </w:rPr>
        <w:t>The monthly Balanced Scorecard Report shall be presented in the form of an online accessible dashboard and, as a minimum, shall contain a high level summary of the Supplier’s performance over the relevant Service Period, including details of the following:</w:t>
      </w:r>
    </w:p>
    <w:p w14:paraId="202FC740"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financial indicators;</w:t>
      </w:r>
    </w:p>
    <w:p w14:paraId="63FBAFE0"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the Target Performance Levels achieved;</w:t>
      </w:r>
    </w:p>
    <w:p w14:paraId="4997051B"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behavioural indicators;</w:t>
      </w:r>
    </w:p>
    <w:p w14:paraId="41ABC9C1"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 xml:space="preserve">performance against its obligation to pay its Sub-contractors within thirty (30) days of receipt of an undisputed invoice; </w:t>
      </w:r>
    </w:p>
    <w:p w14:paraId="7667CEFF"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performance against its obligation to pay its Unconnected Sub-contractors within sixty (60) days of receipt of an invoice;</w:t>
      </w:r>
    </w:p>
    <w:p w14:paraId="077CFD55"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 xml:space="preserve">Milestone trend chart, showing performance of the overall programme; </w:t>
      </w:r>
    </w:p>
    <w:p w14:paraId="610F608C"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sustainability indicators, for example net zero carbon, waste minimisation or performance to support a circular economy; and</w:t>
      </w:r>
    </w:p>
    <w:p w14:paraId="25F7BD51"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Social Value (as applicable).</w:t>
      </w:r>
    </w:p>
    <w:p w14:paraId="2C2699D4" w14:textId="77777777" w:rsidR="001B31F1" w:rsidRDefault="001B31F1" w:rsidP="00E1349E">
      <w:pPr>
        <w:widowControl w:val="0"/>
        <w:numPr>
          <w:ilvl w:val="1"/>
          <w:numId w:val="246"/>
        </w:numPr>
        <w:pBdr>
          <w:top w:val="nil"/>
          <w:left w:val="nil"/>
          <w:bottom w:val="nil"/>
          <w:right w:val="nil"/>
          <w:between w:val="nil"/>
        </w:pBdr>
        <w:spacing w:before="100" w:after="200"/>
      </w:pPr>
      <w:bookmarkStart w:id="294" w:name="_heading=h.qsh70q" w:colFirst="0" w:colLast="0"/>
      <w:bookmarkEnd w:id="294"/>
      <w:r>
        <w:rPr>
          <w:color w:val="000000"/>
        </w:rPr>
        <w:t xml:space="preserve">The Performance Monitoring Report and the Balanced Scorecard Report shall be reviewed and their contents agreed by the Parties at the next Performance Review </w:t>
      </w:r>
      <w:r>
        <w:rPr>
          <w:color w:val="000000"/>
        </w:rPr>
        <w:lastRenderedPageBreak/>
        <w:t>Meeting held in accordance with Paragraph 1.5.</w:t>
      </w:r>
    </w:p>
    <w:p w14:paraId="5FE825D7" w14:textId="77777777" w:rsidR="001B31F1" w:rsidRDefault="001B31F1" w:rsidP="00E1349E">
      <w:pPr>
        <w:widowControl w:val="0"/>
        <w:numPr>
          <w:ilvl w:val="1"/>
          <w:numId w:val="246"/>
        </w:numPr>
        <w:pBdr>
          <w:top w:val="nil"/>
          <w:left w:val="nil"/>
          <w:bottom w:val="nil"/>
          <w:right w:val="nil"/>
          <w:between w:val="nil"/>
        </w:pBdr>
        <w:spacing w:before="100" w:after="200"/>
      </w:pPr>
      <w:bookmarkStart w:id="295" w:name="_heading=h.147n2zr" w:colFirst="0" w:colLast="0"/>
      <w:bookmarkEnd w:id="295"/>
      <w:r>
        <w:rPr>
          <w:color w:val="000000"/>
        </w:rPr>
        <w:t>The Parties shall attend meetings on a monthly basis (unless otherwise agreed) to review the Performance Monitoring Reports and the Balanced Scorecard Reports. The Performance Review Meetings shall (unless otherwise agreed):</w:t>
      </w:r>
    </w:p>
    <w:p w14:paraId="6800A26A"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take place within 5 Working Days of the Performance Monitoring Report being issued by the Supplier;</w:t>
      </w:r>
    </w:p>
    <w:p w14:paraId="7B639944"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take place at such location and time (within normal business hours) as the Authority shall reasonably require (unless otherwise agreed in advance); and</w:t>
      </w:r>
    </w:p>
    <w:p w14:paraId="36FBC0F6" w14:textId="77777777" w:rsidR="001B31F1" w:rsidRDefault="001B31F1" w:rsidP="00E1349E">
      <w:pPr>
        <w:widowControl w:val="0"/>
        <w:numPr>
          <w:ilvl w:val="2"/>
          <w:numId w:val="246"/>
        </w:numPr>
        <w:pBdr>
          <w:top w:val="nil"/>
          <w:left w:val="nil"/>
          <w:bottom w:val="nil"/>
          <w:right w:val="nil"/>
          <w:between w:val="nil"/>
        </w:pBdr>
        <w:spacing w:before="100" w:after="200"/>
      </w:pPr>
      <w:r>
        <w:rPr>
          <w:color w:val="000000"/>
        </w:rPr>
        <w:t xml:space="preserve">be attended by the Supplier Representative and the Authority Representative. </w:t>
      </w:r>
    </w:p>
    <w:p w14:paraId="73266F90" w14:textId="77777777" w:rsidR="001B31F1" w:rsidRDefault="001B31F1" w:rsidP="00E1349E">
      <w:pPr>
        <w:widowControl w:val="0"/>
        <w:numPr>
          <w:ilvl w:val="1"/>
          <w:numId w:val="246"/>
        </w:numPr>
        <w:pBdr>
          <w:top w:val="nil"/>
          <w:left w:val="nil"/>
          <w:bottom w:val="nil"/>
          <w:right w:val="nil"/>
          <w:between w:val="nil"/>
        </w:pBdr>
        <w:spacing w:before="100" w:after="200"/>
      </w:pPr>
      <w:r>
        <w:rPr>
          <w:color w:val="000000"/>
        </w:rPr>
        <w:t xml:space="preserve">The Authority shall be entitled to raise any additional questions and/or request any further information from the Supplier regarding any KPI Failure and/or PI Failure. </w:t>
      </w:r>
    </w:p>
    <w:p w14:paraId="2492CB1E" w14:textId="77777777" w:rsidR="001B31F1" w:rsidRDefault="001B31F1" w:rsidP="00E1349E">
      <w:pPr>
        <w:keepNext/>
        <w:keepLines/>
        <w:numPr>
          <w:ilvl w:val="0"/>
          <w:numId w:val="246"/>
        </w:numPr>
        <w:pBdr>
          <w:top w:val="nil"/>
          <w:left w:val="nil"/>
          <w:bottom w:val="nil"/>
          <w:right w:val="nil"/>
          <w:between w:val="nil"/>
        </w:pBdr>
        <w:spacing w:before="100" w:after="200"/>
      </w:pPr>
      <w:r>
        <w:rPr>
          <w:b/>
          <w:color w:val="1F497D"/>
        </w:rPr>
        <w:t>Performance Records</w:t>
      </w:r>
    </w:p>
    <w:p w14:paraId="2E8715A4" w14:textId="77777777" w:rsidR="001B31F1" w:rsidRDefault="001B31F1" w:rsidP="00E1349E">
      <w:pPr>
        <w:widowControl w:val="0"/>
        <w:numPr>
          <w:ilvl w:val="1"/>
          <w:numId w:val="246"/>
        </w:numPr>
        <w:pBdr>
          <w:top w:val="nil"/>
          <w:left w:val="nil"/>
          <w:bottom w:val="nil"/>
          <w:right w:val="nil"/>
          <w:between w:val="nil"/>
        </w:pBdr>
        <w:spacing w:before="100" w:after="200"/>
      </w:pPr>
      <w:bookmarkStart w:id="296" w:name="_heading=h.3o7alnk" w:colFirst="0" w:colLast="0"/>
      <w:bookmarkEnd w:id="296"/>
      <w:r>
        <w:rPr>
          <w:color w:val="000000"/>
        </w:rPr>
        <w:t>The Supplier shall keep appropriate documents and records (including Help Desk records, staff records, timesheets, training programmes, staff training records, goods received documentation, supplier accreditation records, complaints received etc) in relation to the Services being delivered. Without prejudice to the generality of the foregoing, the Supplier shall maintain accurate records of call histories for a minimum of 12 months and provide prompt access to such records to the Authority upon the Authority’s request. The records and documents of the Supplier shall be available for inspection by the Authority and/or its nominee at any time and the Authority and/or its nominee may make copies of any such records and documents.</w:t>
      </w:r>
    </w:p>
    <w:p w14:paraId="0F5602F5" w14:textId="77777777" w:rsidR="001B31F1" w:rsidRDefault="001B31F1" w:rsidP="00E1349E">
      <w:pPr>
        <w:widowControl w:val="0"/>
        <w:numPr>
          <w:ilvl w:val="1"/>
          <w:numId w:val="246"/>
        </w:numPr>
        <w:pBdr>
          <w:top w:val="nil"/>
          <w:left w:val="nil"/>
          <w:bottom w:val="nil"/>
          <w:right w:val="nil"/>
          <w:between w:val="nil"/>
        </w:pBdr>
        <w:spacing w:before="100" w:after="200"/>
      </w:pPr>
      <w:bookmarkStart w:id="297" w:name="_heading=h.23ckvvd" w:colFirst="0" w:colLast="0"/>
      <w:bookmarkEnd w:id="297"/>
      <w:r>
        <w:rPr>
          <w:color w:val="000000"/>
        </w:rPr>
        <w:t xml:space="preserve">In addition to the requirement in Paragraph 2.1 to maintain appropriate documents and records, the Supplier shall provide to the Authority such supporting documentation as the Authority may reasonably require in order to verify the level of the performance of the Supplier both before and after each Operational Service Commencement Date and the calculations of the amount of Service Credits for any specified period. </w:t>
      </w:r>
    </w:p>
    <w:p w14:paraId="71BC2454" w14:textId="77777777" w:rsidR="001B31F1" w:rsidRDefault="001B31F1" w:rsidP="00E1349E">
      <w:pPr>
        <w:widowControl w:val="0"/>
        <w:numPr>
          <w:ilvl w:val="1"/>
          <w:numId w:val="246"/>
        </w:numPr>
        <w:pBdr>
          <w:top w:val="nil"/>
          <w:left w:val="nil"/>
          <w:bottom w:val="nil"/>
          <w:right w:val="nil"/>
          <w:between w:val="nil"/>
        </w:pBdr>
        <w:spacing w:before="100" w:after="200"/>
      </w:pPr>
      <w:bookmarkStart w:id="298" w:name="_heading=h.ihv636" w:colFirst="0" w:colLast="0"/>
      <w:bookmarkEnd w:id="298"/>
      <w:r>
        <w:rPr>
          <w:color w:val="000000"/>
        </w:rPr>
        <w:t>The Supplier shall ensure that the Performance Monitoring Report, the Balanced Scorecard Report (as well as historic Performance Monitoring Reports and historic Balance Scorecard Reports) and any variations or amendments thereto, any reports and summaries produced in accordance with this Schedule and any other document or record reasonably required by the Authority are available to the Authority on-line and are capable of being printed.</w:t>
      </w:r>
    </w:p>
    <w:p w14:paraId="59CA949D" w14:textId="77777777" w:rsidR="001B31F1" w:rsidRDefault="001B31F1" w:rsidP="00E1349E">
      <w:pPr>
        <w:keepNext/>
        <w:keepLines/>
        <w:numPr>
          <w:ilvl w:val="0"/>
          <w:numId w:val="246"/>
        </w:numPr>
        <w:pBdr>
          <w:top w:val="nil"/>
          <w:left w:val="nil"/>
          <w:bottom w:val="nil"/>
          <w:right w:val="nil"/>
          <w:between w:val="nil"/>
        </w:pBdr>
        <w:spacing w:before="100" w:after="200"/>
      </w:pPr>
      <w:bookmarkStart w:id="299" w:name="_heading=h.32hioqz" w:colFirst="0" w:colLast="0"/>
      <w:bookmarkEnd w:id="299"/>
      <w:r>
        <w:rPr>
          <w:b/>
          <w:color w:val="1F497D"/>
        </w:rPr>
        <w:t>Performance Verification</w:t>
      </w:r>
    </w:p>
    <w:p w14:paraId="4BB42CAB" w14:textId="77777777" w:rsidR="001B31F1" w:rsidRDefault="001B31F1" w:rsidP="00E1349E">
      <w:pPr>
        <w:widowControl w:val="0"/>
        <w:numPr>
          <w:ilvl w:val="1"/>
          <w:numId w:val="246"/>
        </w:numPr>
        <w:pBdr>
          <w:top w:val="nil"/>
          <w:left w:val="nil"/>
          <w:bottom w:val="nil"/>
          <w:right w:val="nil"/>
          <w:between w:val="nil"/>
        </w:pBdr>
        <w:spacing w:before="100" w:after="200"/>
      </w:pPr>
      <w:r>
        <w:rPr>
          <w:color w:val="000000"/>
        </w:rPr>
        <w:t>The Authority reserves the right to verify the Availability of the IT Environment and/or the Services and the Supplier’s performance under this Contract against the Performance Indicators including by sending test transactions through the IT Environment or otherwise.</w:t>
      </w:r>
    </w:p>
    <w:p w14:paraId="5A226998" w14:textId="77777777" w:rsidR="001B31F1" w:rsidRDefault="001B31F1" w:rsidP="001B31F1">
      <w:pPr>
        <w:sectPr w:rsidR="001B31F1" w:rsidSect="005C06CF">
          <w:headerReference w:type="even" r:id="rId28"/>
          <w:headerReference w:type="default" r:id="rId29"/>
          <w:footerReference w:type="even" r:id="rId30"/>
          <w:footerReference w:type="default" r:id="rId31"/>
          <w:headerReference w:type="first" r:id="rId32"/>
          <w:footerReference w:type="first" r:id="rId33"/>
          <w:pgSz w:w="11909" w:h="16834"/>
          <w:pgMar w:top="1701" w:right="851" w:bottom="1134" w:left="851" w:header="567" w:footer="567" w:gutter="0"/>
          <w:cols w:space="720"/>
        </w:sectPr>
      </w:pPr>
    </w:p>
    <w:p w14:paraId="7539E560" w14:textId="77777777" w:rsidR="001B31F1" w:rsidRDefault="001B31F1" w:rsidP="001B31F1">
      <w:pPr>
        <w:pStyle w:val="Heading2"/>
      </w:pPr>
      <w:bookmarkStart w:id="300" w:name="bookmark=id.2grqrue" w:colFirst="0" w:colLast="0"/>
      <w:bookmarkStart w:id="301" w:name="bookmark=id.41mghml" w:colFirst="0" w:colLast="0"/>
      <w:bookmarkStart w:id="302" w:name="_heading=h.1hmsyys" w:colFirst="0" w:colLast="0"/>
      <w:bookmarkStart w:id="303" w:name="_Toc145412739"/>
      <w:bookmarkEnd w:id="300"/>
      <w:bookmarkEnd w:id="301"/>
      <w:bookmarkEnd w:id="302"/>
      <w:r>
        <w:lastRenderedPageBreak/>
        <w:t xml:space="preserve">Annex 1: </w:t>
      </w:r>
      <w:bookmarkStart w:id="304" w:name="bookmark=id.vx1227" w:colFirst="0" w:colLast="0"/>
      <w:bookmarkEnd w:id="304"/>
      <w:r>
        <w:t>Key Performance Indicators and Subsidiary Performance Indicators</w:t>
      </w:r>
      <w:bookmarkEnd w:id="303"/>
    </w:p>
    <w:p w14:paraId="49218910" w14:textId="77777777" w:rsidR="001B31F1" w:rsidRDefault="001B31F1" w:rsidP="001B31F1">
      <w:pPr>
        <w:pStyle w:val="Heading2"/>
      </w:pPr>
      <w:bookmarkStart w:id="305" w:name="bookmark=id.1v1yuxt" w:colFirst="0" w:colLast="0"/>
      <w:bookmarkStart w:id="306" w:name="bookmark=id.4f1mdlm" w:colFirst="0" w:colLast="0"/>
      <w:bookmarkStart w:id="307" w:name="_heading=h.3fwokq0" w:colFirst="0" w:colLast="0"/>
      <w:bookmarkStart w:id="308" w:name="_Toc145412740"/>
      <w:bookmarkEnd w:id="305"/>
      <w:bookmarkEnd w:id="306"/>
      <w:bookmarkEnd w:id="307"/>
      <w:r>
        <w:t xml:space="preserve">Part A: </w:t>
      </w:r>
      <w:bookmarkStart w:id="309" w:name="bookmark=id.2u6wntf" w:colFirst="0" w:colLast="0"/>
      <w:bookmarkEnd w:id="309"/>
      <w:r>
        <w:t>Key Performance Indicators and Subsidiary Performance Indicators Tables</w:t>
      </w:r>
      <w:bookmarkEnd w:id="308"/>
    </w:p>
    <w:p w14:paraId="269407F3" w14:textId="77777777" w:rsidR="001B31F1" w:rsidRDefault="001B31F1" w:rsidP="001B31F1">
      <w:pPr>
        <w:pBdr>
          <w:top w:val="nil"/>
          <w:left w:val="nil"/>
          <w:bottom w:val="nil"/>
          <w:right w:val="nil"/>
          <w:between w:val="nil"/>
        </w:pBdr>
        <w:spacing w:before="100" w:after="200"/>
        <w:rPr>
          <w:b/>
        </w:rPr>
      </w:pPr>
    </w:p>
    <w:p w14:paraId="1801C6A7" w14:textId="77777777" w:rsidR="001B31F1" w:rsidRPr="001B31F1" w:rsidRDefault="001B31F1" w:rsidP="001B31F1">
      <w:pPr>
        <w:pBdr>
          <w:top w:val="nil"/>
          <w:left w:val="nil"/>
          <w:bottom w:val="nil"/>
          <w:right w:val="nil"/>
          <w:between w:val="nil"/>
        </w:pBdr>
        <w:spacing w:before="100" w:after="200"/>
        <w:rPr>
          <w:rFonts w:asciiTheme="minorHAnsi" w:hAnsiTheme="minorHAnsi" w:cstheme="minorHAnsi"/>
          <w:szCs w:val="24"/>
        </w:rPr>
      </w:pPr>
      <w:r w:rsidRPr="001B31F1">
        <w:rPr>
          <w:rFonts w:asciiTheme="minorHAnsi" w:hAnsiTheme="minorHAnsi" w:cstheme="minorHAnsi"/>
          <w:szCs w:val="24"/>
        </w:rPr>
        <w:t>The Key Performance Indicators and Subsidiary Performance Indicators that shall apply to the Operational Services and the Key Performance Indicators relating to Social Value are set out below:</w:t>
      </w:r>
    </w:p>
    <w:p w14:paraId="172EB230" w14:textId="77777777" w:rsidR="001B31F1" w:rsidRPr="001B31F1" w:rsidRDefault="001B31F1" w:rsidP="00E1349E">
      <w:pPr>
        <w:pStyle w:val="Heading3"/>
        <w:numPr>
          <w:ilvl w:val="0"/>
          <w:numId w:val="241"/>
        </w:numPr>
        <w:rPr>
          <w:rFonts w:asciiTheme="minorHAnsi" w:hAnsiTheme="minorHAnsi" w:cstheme="minorHAnsi"/>
          <w:szCs w:val="24"/>
        </w:rPr>
      </w:pPr>
      <w:r w:rsidRPr="001B31F1">
        <w:rPr>
          <w:rFonts w:asciiTheme="minorHAnsi" w:hAnsiTheme="minorHAnsi" w:cstheme="minorHAnsi"/>
          <w:szCs w:val="24"/>
        </w:rPr>
        <w:t>Key Performance Indicators</w:t>
      </w:r>
    </w:p>
    <w:tbl>
      <w:tblPr>
        <w:tblW w:w="14959" w:type="dxa"/>
        <w:tblInd w:w="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35"/>
        <w:gridCol w:w="1905"/>
        <w:gridCol w:w="2010"/>
        <w:gridCol w:w="3000"/>
        <w:gridCol w:w="4260"/>
        <w:gridCol w:w="1275"/>
        <w:gridCol w:w="1774"/>
      </w:tblGrid>
      <w:tr w:rsidR="001B31F1" w:rsidRPr="001B31F1" w14:paraId="59254782" w14:textId="77777777" w:rsidTr="001B31F1">
        <w:trPr>
          <w:tblHeader/>
        </w:trPr>
        <w:tc>
          <w:tcPr>
            <w:tcW w:w="735" w:type="dxa"/>
          </w:tcPr>
          <w:p w14:paraId="757693C8" w14:textId="77777777" w:rsidR="001B31F1" w:rsidRPr="001B31F1" w:rsidRDefault="001B31F1" w:rsidP="001B31F1">
            <w:pPr>
              <w:pBdr>
                <w:top w:val="nil"/>
                <w:left w:val="nil"/>
                <w:bottom w:val="nil"/>
                <w:right w:val="nil"/>
                <w:between w:val="nil"/>
              </w:pBdr>
              <w:rPr>
                <w:rFonts w:asciiTheme="minorHAnsi" w:hAnsiTheme="minorHAnsi" w:cstheme="minorHAnsi"/>
                <w:b/>
                <w:color w:val="000000"/>
                <w:szCs w:val="24"/>
              </w:rPr>
            </w:pPr>
            <w:r w:rsidRPr="001B31F1">
              <w:rPr>
                <w:rFonts w:asciiTheme="minorHAnsi" w:hAnsiTheme="minorHAnsi" w:cstheme="minorHAnsi"/>
                <w:b/>
                <w:color w:val="000000"/>
                <w:szCs w:val="24"/>
              </w:rPr>
              <w:t>No.</w:t>
            </w:r>
          </w:p>
        </w:tc>
        <w:tc>
          <w:tcPr>
            <w:tcW w:w="1905" w:type="dxa"/>
          </w:tcPr>
          <w:p w14:paraId="61105046" w14:textId="77777777" w:rsidR="001B31F1" w:rsidRPr="001B31F1" w:rsidRDefault="001B31F1" w:rsidP="001B31F1">
            <w:pPr>
              <w:pBdr>
                <w:top w:val="nil"/>
                <w:left w:val="nil"/>
                <w:bottom w:val="nil"/>
                <w:right w:val="nil"/>
                <w:between w:val="nil"/>
              </w:pBdr>
              <w:rPr>
                <w:rFonts w:asciiTheme="minorHAnsi" w:hAnsiTheme="minorHAnsi" w:cstheme="minorHAnsi"/>
                <w:b/>
                <w:color w:val="000000"/>
                <w:szCs w:val="24"/>
              </w:rPr>
            </w:pPr>
            <w:r w:rsidRPr="001B31F1">
              <w:rPr>
                <w:rFonts w:asciiTheme="minorHAnsi" w:hAnsiTheme="minorHAnsi" w:cstheme="minorHAnsi"/>
                <w:b/>
                <w:color w:val="000000"/>
                <w:szCs w:val="24"/>
              </w:rPr>
              <w:t>Key Performance Indicator Title</w:t>
            </w:r>
          </w:p>
        </w:tc>
        <w:tc>
          <w:tcPr>
            <w:tcW w:w="2010" w:type="dxa"/>
          </w:tcPr>
          <w:p w14:paraId="49E46791" w14:textId="77777777" w:rsidR="001B31F1" w:rsidRPr="001B31F1" w:rsidRDefault="001B31F1" w:rsidP="001B31F1">
            <w:pPr>
              <w:pBdr>
                <w:top w:val="nil"/>
                <w:left w:val="nil"/>
                <w:bottom w:val="nil"/>
                <w:right w:val="nil"/>
                <w:between w:val="nil"/>
              </w:pBdr>
              <w:rPr>
                <w:rFonts w:asciiTheme="minorHAnsi" w:hAnsiTheme="minorHAnsi" w:cstheme="minorHAnsi"/>
                <w:b/>
                <w:color w:val="000000"/>
                <w:szCs w:val="24"/>
              </w:rPr>
            </w:pPr>
            <w:r w:rsidRPr="001B31F1">
              <w:rPr>
                <w:rFonts w:asciiTheme="minorHAnsi" w:hAnsiTheme="minorHAnsi" w:cstheme="minorHAnsi"/>
                <w:b/>
                <w:color w:val="000000"/>
                <w:szCs w:val="24"/>
              </w:rPr>
              <w:t>Definition</w:t>
            </w:r>
          </w:p>
        </w:tc>
        <w:tc>
          <w:tcPr>
            <w:tcW w:w="3000" w:type="dxa"/>
          </w:tcPr>
          <w:p w14:paraId="5A661338" w14:textId="77777777" w:rsidR="001B31F1" w:rsidRPr="001B31F1" w:rsidRDefault="001B31F1" w:rsidP="001B31F1">
            <w:pPr>
              <w:pBdr>
                <w:top w:val="nil"/>
                <w:left w:val="nil"/>
                <w:bottom w:val="nil"/>
                <w:right w:val="nil"/>
                <w:between w:val="nil"/>
              </w:pBdr>
              <w:rPr>
                <w:rFonts w:asciiTheme="minorHAnsi" w:hAnsiTheme="minorHAnsi" w:cstheme="minorHAnsi"/>
                <w:b/>
                <w:color w:val="000000"/>
                <w:szCs w:val="24"/>
              </w:rPr>
            </w:pPr>
            <w:r w:rsidRPr="001B31F1">
              <w:rPr>
                <w:rFonts w:asciiTheme="minorHAnsi" w:hAnsiTheme="minorHAnsi" w:cstheme="minorHAnsi"/>
                <w:b/>
                <w:color w:val="000000"/>
                <w:szCs w:val="24"/>
              </w:rPr>
              <w:t>Frequency of Measurement</w:t>
            </w:r>
          </w:p>
        </w:tc>
        <w:tc>
          <w:tcPr>
            <w:tcW w:w="4260" w:type="dxa"/>
          </w:tcPr>
          <w:p w14:paraId="18FC3A9D" w14:textId="77777777" w:rsidR="001B31F1" w:rsidRPr="001B31F1" w:rsidRDefault="001B31F1" w:rsidP="001B31F1">
            <w:pPr>
              <w:pBdr>
                <w:top w:val="nil"/>
                <w:left w:val="nil"/>
                <w:bottom w:val="nil"/>
                <w:right w:val="nil"/>
                <w:between w:val="nil"/>
              </w:pBdr>
              <w:rPr>
                <w:rFonts w:asciiTheme="minorHAnsi" w:hAnsiTheme="minorHAnsi" w:cstheme="minorHAnsi"/>
                <w:b/>
                <w:color w:val="000000"/>
                <w:szCs w:val="24"/>
              </w:rPr>
            </w:pPr>
            <w:r w:rsidRPr="001B31F1">
              <w:rPr>
                <w:rFonts w:asciiTheme="minorHAnsi" w:hAnsiTheme="minorHAnsi" w:cstheme="minorHAnsi"/>
                <w:b/>
                <w:color w:val="000000"/>
                <w:szCs w:val="24"/>
              </w:rPr>
              <w:t>Severity Levels</w:t>
            </w:r>
          </w:p>
        </w:tc>
        <w:tc>
          <w:tcPr>
            <w:tcW w:w="1275" w:type="dxa"/>
          </w:tcPr>
          <w:p w14:paraId="1F6168C3" w14:textId="77777777" w:rsidR="001B31F1" w:rsidRPr="001B31F1" w:rsidRDefault="001B31F1" w:rsidP="001B31F1">
            <w:pPr>
              <w:pBdr>
                <w:top w:val="nil"/>
                <w:left w:val="nil"/>
                <w:bottom w:val="nil"/>
                <w:right w:val="nil"/>
                <w:between w:val="nil"/>
              </w:pBdr>
              <w:rPr>
                <w:rFonts w:asciiTheme="minorHAnsi" w:hAnsiTheme="minorHAnsi" w:cstheme="minorHAnsi"/>
                <w:b/>
                <w:color w:val="000000"/>
                <w:szCs w:val="24"/>
              </w:rPr>
            </w:pPr>
            <w:r w:rsidRPr="001B31F1">
              <w:rPr>
                <w:rFonts w:asciiTheme="minorHAnsi" w:hAnsiTheme="minorHAnsi" w:cstheme="minorHAnsi"/>
                <w:b/>
                <w:color w:val="000000"/>
                <w:szCs w:val="24"/>
              </w:rPr>
              <w:t>Service Points</w:t>
            </w:r>
          </w:p>
        </w:tc>
        <w:tc>
          <w:tcPr>
            <w:tcW w:w="1774" w:type="dxa"/>
          </w:tcPr>
          <w:p w14:paraId="76FCBE81" w14:textId="77777777" w:rsidR="001B31F1" w:rsidRPr="001B31F1" w:rsidRDefault="001B31F1" w:rsidP="001B31F1">
            <w:pPr>
              <w:pBdr>
                <w:top w:val="nil"/>
                <w:left w:val="nil"/>
                <w:bottom w:val="nil"/>
                <w:right w:val="nil"/>
                <w:between w:val="nil"/>
              </w:pBdr>
              <w:rPr>
                <w:rFonts w:asciiTheme="minorHAnsi" w:hAnsiTheme="minorHAnsi" w:cstheme="minorHAnsi"/>
                <w:b/>
                <w:color w:val="000000"/>
                <w:szCs w:val="24"/>
              </w:rPr>
            </w:pPr>
            <w:r w:rsidRPr="001B31F1">
              <w:rPr>
                <w:rFonts w:asciiTheme="minorHAnsi" w:hAnsiTheme="minorHAnsi" w:cstheme="minorHAnsi"/>
                <w:b/>
                <w:color w:val="000000"/>
                <w:szCs w:val="24"/>
              </w:rPr>
              <w:t>Publishable Performance Information</w:t>
            </w:r>
          </w:p>
        </w:tc>
      </w:tr>
      <w:tr w:rsidR="001B31F1" w:rsidRPr="001B31F1" w14:paraId="10F86C77" w14:textId="77777777" w:rsidTr="001B31F1">
        <w:tc>
          <w:tcPr>
            <w:tcW w:w="735" w:type="dxa"/>
          </w:tcPr>
          <w:p w14:paraId="06352EC1"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KPI-1</w:t>
            </w:r>
          </w:p>
        </w:tc>
        <w:tc>
          <w:tcPr>
            <w:tcW w:w="1905" w:type="dxa"/>
          </w:tcPr>
          <w:p w14:paraId="414F6480"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Service Availability</w:t>
            </w:r>
          </w:p>
        </w:tc>
        <w:tc>
          <w:tcPr>
            <w:tcW w:w="2010" w:type="dxa"/>
          </w:tcPr>
          <w:p w14:paraId="1DCF59CB" w14:textId="77777777" w:rsidR="001B31F1" w:rsidRPr="001B31F1" w:rsidRDefault="001B31F1" w:rsidP="001B31F1">
            <w:pPr>
              <w:pBdr>
                <w:top w:val="nil"/>
                <w:left w:val="nil"/>
                <w:bottom w:val="nil"/>
                <w:right w:val="nil"/>
                <w:between w:val="nil"/>
              </w:pBdr>
              <w:rPr>
                <w:rFonts w:asciiTheme="minorHAnsi" w:hAnsiTheme="minorHAnsi" w:cstheme="minorHAnsi"/>
                <w:b/>
                <w:color w:val="000000"/>
                <w:szCs w:val="24"/>
              </w:rPr>
            </w:pPr>
            <w:bookmarkStart w:id="310" w:name="_heading=h.3tbugp1" w:colFirst="0" w:colLast="0"/>
            <w:bookmarkEnd w:id="310"/>
            <w:r w:rsidRPr="001B31F1">
              <w:rPr>
                <w:rFonts w:asciiTheme="minorHAnsi" w:hAnsiTheme="minorHAnsi" w:cstheme="minorHAnsi"/>
                <w:color w:val="000000"/>
                <w:szCs w:val="24"/>
              </w:rPr>
              <w:t>See Paragraph 1 of Part B of this Annex</w:t>
            </w:r>
          </w:p>
        </w:tc>
        <w:tc>
          <w:tcPr>
            <w:tcW w:w="3000" w:type="dxa"/>
          </w:tcPr>
          <w:p w14:paraId="36B48BAD"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Per calendar month</w:t>
            </w:r>
          </w:p>
          <w:p w14:paraId="475F37E6" w14:textId="77777777" w:rsidR="001B31F1" w:rsidRPr="001B31F1" w:rsidRDefault="001B31F1" w:rsidP="001B31F1">
            <w:pPr>
              <w:pBdr>
                <w:top w:val="nil"/>
                <w:left w:val="nil"/>
                <w:bottom w:val="nil"/>
                <w:right w:val="nil"/>
                <w:between w:val="nil"/>
              </w:pBdr>
              <w:rPr>
                <w:rFonts w:asciiTheme="minorHAnsi" w:hAnsiTheme="minorHAnsi" w:cstheme="minorHAnsi"/>
                <w:b/>
                <w:color w:val="000000"/>
                <w:szCs w:val="24"/>
              </w:rPr>
            </w:pPr>
            <w:r w:rsidRPr="001B31F1">
              <w:rPr>
                <w:rFonts w:asciiTheme="minorHAnsi" w:hAnsiTheme="minorHAnsi" w:cstheme="minorHAnsi"/>
                <w:color w:val="000000"/>
                <w:szCs w:val="24"/>
              </w:rPr>
              <w:t>The Service Availability target excludes Service Downtime for Permitted Maintenance, subject to Paragraph 4 of this Schedule.</w:t>
            </w:r>
          </w:p>
        </w:tc>
        <w:tc>
          <w:tcPr>
            <w:tcW w:w="4260" w:type="dxa"/>
          </w:tcPr>
          <w:p w14:paraId="2AF05A68"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 xml:space="preserve">Target Performance Level: </w:t>
            </w:r>
          </w:p>
          <w:p w14:paraId="61C9182D" w14:textId="77777777" w:rsidR="001B31F1" w:rsidRPr="001B31F1" w:rsidRDefault="001B31F1" w:rsidP="001B31F1">
            <w:pPr>
              <w:pBdr>
                <w:top w:val="nil"/>
                <w:left w:val="nil"/>
                <w:bottom w:val="nil"/>
                <w:right w:val="nil"/>
                <w:between w:val="nil"/>
              </w:pBdr>
              <w:rPr>
                <w:rFonts w:asciiTheme="minorHAnsi" w:hAnsiTheme="minorHAnsi" w:cstheme="minorHAnsi"/>
                <w:b/>
                <w:color w:val="FF0000"/>
                <w:szCs w:val="24"/>
              </w:rPr>
            </w:pPr>
            <w:r w:rsidRPr="001B31F1">
              <w:rPr>
                <w:rFonts w:asciiTheme="minorHAnsi" w:hAnsiTheme="minorHAnsi" w:cstheme="minorHAnsi"/>
                <w:color w:val="000000"/>
                <w:szCs w:val="24"/>
              </w:rPr>
              <w:t>&gt;=99.5%</w:t>
            </w:r>
          </w:p>
          <w:p w14:paraId="7AB172BA" w14:textId="77777777" w:rsidR="001B31F1" w:rsidRPr="001B31F1" w:rsidRDefault="001B31F1" w:rsidP="001B31F1">
            <w:pPr>
              <w:pBdr>
                <w:top w:val="nil"/>
                <w:left w:val="nil"/>
                <w:bottom w:val="nil"/>
                <w:right w:val="nil"/>
                <w:between w:val="nil"/>
              </w:pBdr>
              <w:rPr>
                <w:rFonts w:asciiTheme="minorHAnsi" w:hAnsiTheme="minorHAnsi" w:cstheme="minorHAnsi"/>
                <w:b/>
                <w:color w:val="000000"/>
                <w:szCs w:val="24"/>
              </w:rPr>
            </w:pPr>
            <w:r w:rsidRPr="001B31F1">
              <w:rPr>
                <w:rFonts w:asciiTheme="minorHAnsi" w:hAnsiTheme="minorHAnsi" w:cstheme="minorHAnsi"/>
                <w:color w:val="000000"/>
                <w:szCs w:val="24"/>
              </w:rPr>
              <w:t>Minor KPI Failure:</w:t>
            </w:r>
            <w:r w:rsidRPr="001B31F1">
              <w:rPr>
                <w:rFonts w:asciiTheme="minorHAnsi" w:hAnsiTheme="minorHAnsi" w:cstheme="minorHAnsi"/>
                <w:color w:val="000000"/>
                <w:szCs w:val="24"/>
              </w:rPr>
              <w:br/>
              <w:t>&gt;=99.0% to &lt;99.5%</w:t>
            </w:r>
          </w:p>
          <w:p w14:paraId="048B377E" w14:textId="77777777" w:rsidR="001B31F1" w:rsidRPr="001B31F1" w:rsidRDefault="001B31F1" w:rsidP="001B31F1">
            <w:pPr>
              <w:pBdr>
                <w:top w:val="nil"/>
                <w:left w:val="nil"/>
                <w:bottom w:val="nil"/>
                <w:right w:val="nil"/>
                <w:between w:val="nil"/>
              </w:pBdr>
              <w:rPr>
                <w:rFonts w:asciiTheme="minorHAnsi" w:hAnsiTheme="minorHAnsi" w:cstheme="minorHAnsi"/>
                <w:b/>
                <w:color w:val="FF0000"/>
                <w:szCs w:val="24"/>
              </w:rPr>
            </w:pPr>
            <w:r w:rsidRPr="001B31F1">
              <w:rPr>
                <w:rFonts w:asciiTheme="minorHAnsi" w:hAnsiTheme="minorHAnsi" w:cstheme="minorHAnsi"/>
                <w:color w:val="000000"/>
                <w:szCs w:val="24"/>
              </w:rPr>
              <w:t>Serious KPI Failure:</w:t>
            </w:r>
            <w:r w:rsidRPr="001B31F1">
              <w:rPr>
                <w:rFonts w:asciiTheme="minorHAnsi" w:hAnsiTheme="minorHAnsi" w:cstheme="minorHAnsi"/>
                <w:color w:val="000000"/>
                <w:szCs w:val="24"/>
              </w:rPr>
              <w:br/>
              <w:t>&gt;=98.5% to &lt;99.0%</w:t>
            </w:r>
          </w:p>
          <w:p w14:paraId="6BDCA23B" w14:textId="77777777" w:rsidR="001B31F1" w:rsidRPr="001B31F1" w:rsidRDefault="001B31F1" w:rsidP="001B31F1">
            <w:pPr>
              <w:pBdr>
                <w:top w:val="nil"/>
                <w:left w:val="nil"/>
                <w:bottom w:val="nil"/>
                <w:right w:val="nil"/>
                <w:between w:val="nil"/>
              </w:pBdr>
              <w:rPr>
                <w:rFonts w:asciiTheme="minorHAnsi" w:hAnsiTheme="minorHAnsi" w:cstheme="minorHAnsi"/>
                <w:b/>
                <w:color w:val="FF0000"/>
                <w:szCs w:val="24"/>
              </w:rPr>
            </w:pPr>
            <w:r w:rsidRPr="001B31F1">
              <w:rPr>
                <w:rFonts w:asciiTheme="minorHAnsi" w:hAnsiTheme="minorHAnsi" w:cstheme="minorHAnsi"/>
                <w:color w:val="000000"/>
                <w:szCs w:val="24"/>
              </w:rPr>
              <w:t>Severe KPI Failure:</w:t>
            </w:r>
            <w:r w:rsidRPr="001B31F1">
              <w:rPr>
                <w:rFonts w:asciiTheme="minorHAnsi" w:hAnsiTheme="minorHAnsi" w:cstheme="minorHAnsi"/>
                <w:color w:val="000000"/>
                <w:szCs w:val="24"/>
              </w:rPr>
              <w:br/>
              <w:t>&gt;=98.0% to &lt;98.5%</w:t>
            </w:r>
          </w:p>
          <w:p w14:paraId="0A4899E3" w14:textId="77777777" w:rsidR="001B31F1" w:rsidRPr="001B31F1" w:rsidRDefault="001B31F1" w:rsidP="001B31F1">
            <w:pPr>
              <w:pBdr>
                <w:top w:val="nil"/>
                <w:left w:val="nil"/>
                <w:bottom w:val="nil"/>
                <w:right w:val="nil"/>
                <w:between w:val="nil"/>
              </w:pBdr>
              <w:rPr>
                <w:rFonts w:asciiTheme="minorHAnsi" w:hAnsiTheme="minorHAnsi" w:cstheme="minorHAnsi"/>
                <w:b/>
                <w:color w:val="FF0000"/>
                <w:szCs w:val="24"/>
              </w:rPr>
            </w:pPr>
            <w:r w:rsidRPr="001B31F1">
              <w:rPr>
                <w:rFonts w:asciiTheme="minorHAnsi" w:hAnsiTheme="minorHAnsi" w:cstheme="minorHAnsi"/>
                <w:color w:val="000000"/>
                <w:szCs w:val="24"/>
              </w:rPr>
              <w:t>KPI Service Threshold:</w:t>
            </w:r>
            <w:r w:rsidRPr="001B31F1">
              <w:rPr>
                <w:rFonts w:asciiTheme="minorHAnsi" w:hAnsiTheme="minorHAnsi" w:cstheme="minorHAnsi"/>
                <w:color w:val="000000"/>
                <w:szCs w:val="24"/>
              </w:rPr>
              <w:br/>
              <w:t>&lt;98%</w:t>
            </w:r>
          </w:p>
        </w:tc>
        <w:tc>
          <w:tcPr>
            <w:tcW w:w="1275" w:type="dxa"/>
          </w:tcPr>
          <w:p w14:paraId="1E445509"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0</w:t>
            </w:r>
            <w:r w:rsidRPr="001B31F1">
              <w:rPr>
                <w:rFonts w:asciiTheme="minorHAnsi" w:hAnsiTheme="minorHAnsi" w:cstheme="minorHAnsi"/>
                <w:color w:val="000000"/>
                <w:szCs w:val="24"/>
              </w:rPr>
              <w:br/>
            </w:r>
          </w:p>
          <w:p w14:paraId="3E7EFD41" w14:textId="77777777" w:rsidR="001B31F1" w:rsidRPr="001B31F1" w:rsidRDefault="001B31F1" w:rsidP="001B31F1">
            <w:pPr>
              <w:pBdr>
                <w:top w:val="nil"/>
                <w:left w:val="nil"/>
                <w:bottom w:val="nil"/>
                <w:right w:val="nil"/>
                <w:between w:val="nil"/>
              </w:pBdr>
              <w:rPr>
                <w:rFonts w:asciiTheme="minorHAnsi" w:hAnsiTheme="minorHAnsi" w:cstheme="minorHAnsi"/>
                <w:color w:val="FF0000"/>
                <w:szCs w:val="24"/>
              </w:rPr>
            </w:pPr>
            <w:r w:rsidRPr="001B31F1">
              <w:rPr>
                <w:rFonts w:asciiTheme="minorHAnsi" w:hAnsiTheme="minorHAnsi" w:cstheme="minorHAnsi"/>
                <w:color w:val="000000"/>
                <w:szCs w:val="24"/>
              </w:rPr>
              <w:t>1</w:t>
            </w:r>
          </w:p>
          <w:p w14:paraId="4C4D52BA"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p w14:paraId="28C68F4A" w14:textId="4236D31A"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2</w:t>
            </w:r>
            <w:r w:rsidRPr="001B31F1">
              <w:rPr>
                <w:rFonts w:asciiTheme="minorHAnsi" w:hAnsiTheme="minorHAnsi" w:cstheme="minorHAnsi"/>
                <w:color w:val="000000"/>
                <w:szCs w:val="24"/>
              </w:rPr>
              <w:br/>
            </w:r>
          </w:p>
          <w:p w14:paraId="6473DA34"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3</w:t>
            </w:r>
            <w:r w:rsidRPr="001B31F1">
              <w:rPr>
                <w:rFonts w:asciiTheme="minorHAnsi" w:hAnsiTheme="minorHAnsi" w:cstheme="minorHAnsi"/>
                <w:color w:val="000000"/>
                <w:szCs w:val="24"/>
              </w:rPr>
              <w:br/>
            </w:r>
          </w:p>
          <w:p w14:paraId="4B86F24E"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4</w:t>
            </w:r>
          </w:p>
        </w:tc>
        <w:tc>
          <w:tcPr>
            <w:tcW w:w="1774" w:type="dxa"/>
          </w:tcPr>
          <w:p w14:paraId="130A6604"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Yes</w:t>
            </w:r>
          </w:p>
        </w:tc>
      </w:tr>
      <w:tr w:rsidR="001B31F1" w:rsidRPr="001B31F1" w14:paraId="758F6520" w14:textId="77777777" w:rsidTr="001B31F1">
        <w:tc>
          <w:tcPr>
            <w:tcW w:w="735" w:type="dxa"/>
          </w:tcPr>
          <w:p w14:paraId="2565CFDF" w14:textId="77777777" w:rsidR="001B31F1" w:rsidRPr="001B31F1" w:rsidRDefault="001B31F1" w:rsidP="001B31F1">
            <w:pPr>
              <w:pBdr>
                <w:top w:val="nil"/>
                <w:left w:val="nil"/>
                <w:bottom w:val="nil"/>
                <w:right w:val="nil"/>
                <w:between w:val="nil"/>
              </w:pBdr>
              <w:rPr>
                <w:rFonts w:asciiTheme="minorHAnsi" w:hAnsiTheme="minorHAnsi" w:cstheme="minorHAnsi"/>
                <w:szCs w:val="24"/>
              </w:rPr>
            </w:pPr>
            <w:r w:rsidRPr="001B31F1">
              <w:rPr>
                <w:rFonts w:asciiTheme="minorHAnsi" w:hAnsiTheme="minorHAnsi" w:cstheme="minorHAnsi"/>
                <w:color w:val="000000"/>
                <w:szCs w:val="24"/>
              </w:rPr>
              <w:t>KPI-2</w:t>
            </w:r>
            <w:r w:rsidRPr="001B31F1">
              <w:rPr>
                <w:rFonts w:asciiTheme="minorHAnsi" w:hAnsiTheme="minorHAnsi" w:cstheme="minorHAnsi"/>
                <w:szCs w:val="24"/>
              </w:rPr>
              <w:t>PI3</w:t>
            </w:r>
          </w:p>
        </w:tc>
        <w:tc>
          <w:tcPr>
            <w:tcW w:w="1905" w:type="dxa"/>
          </w:tcPr>
          <w:p w14:paraId="4DE47228"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Client Help Desk Response Times</w:t>
            </w:r>
          </w:p>
        </w:tc>
        <w:tc>
          <w:tcPr>
            <w:tcW w:w="2010" w:type="dxa"/>
          </w:tcPr>
          <w:p w14:paraId="4FFC41B2" w14:textId="77777777" w:rsidR="001B31F1" w:rsidRPr="001B31F1" w:rsidRDefault="001B31F1" w:rsidP="001B31F1">
            <w:pPr>
              <w:pBdr>
                <w:top w:val="nil"/>
                <w:left w:val="nil"/>
                <w:bottom w:val="nil"/>
                <w:right w:val="nil"/>
                <w:between w:val="nil"/>
              </w:pBdr>
              <w:rPr>
                <w:rFonts w:asciiTheme="minorHAnsi" w:hAnsiTheme="minorHAnsi" w:cstheme="minorHAnsi"/>
                <w:b/>
                <w:color w:val="000000"/>
                <w:szCs w:val="24"/>
              </w:rPr>
            </w:pPr>
            <w:r w:rsidRPr="001B31F1">
              <w:rPr>
                <w:rFonts w:asciiTheme="minorHAnsi" w:hAnsiTheme="minorHAnsi" w:cstheme="minorHAnsi"/>
                <w:color w:val="000000"/>
                <w:szCs w:val="24"/>
              </w:rPr>
              <w:t>See Paragraph 4 of Part B of this Annex</w:t>
            </w:r>
          </w:p>
          <w:p w14:paraId="1B71295A" w14:textId="77777777" w:rsidR="001B31F1" w:rsidRPr="001B31F1" w:rsidRDefault="001B31F1" w:rsidP="001B31F1">
            <w:pPr>
              <w:rPr>
                <w:rFonts w:asciiTheme="minorHAnsi" w:hAnsiTheme="minorHAnsi" w:cstheme="minorHAnsi"/>
                <w:b/>
                <w:color w:val="000000"/>
                <w:szCs w:val="24"/>
              </w:rPr>
            </w:pPr>
          </w:p>
        </w:tc>
        <w:tc>
          <w:tcPr>
            <w:tcW w:w="3000" w:type="dxa"/>
          </w:tcPr>
          <w:p w14:paraId="5F4C1372"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Per calendar month</w:t>
            </w:r>
          </w:p>
          <w:p w14:paraId="0492EDA2" w14:textId="372C97D1"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 xml:space="preserve">Summary: Total number of cases received in month, number with initial answers within 1.5h, number with initial answers within 2h, plus percentages. Data to be </w:t>
            </w:r>
            <w:r w:rsidRPr="001B31F1">
              <w:rPr>
                <w:rFonts w:asciiTheme="minorHAnsi" w:hAnsiTheme="minorHAnsi" w:cstheme="minorHAnsi"/>
                <w:color w:val="000000"/>
                <w:szCs w:val="24"/>
              </w:rPr>
              <w:lastRenderedPageBreak/>
              <w:t>provided by Supplier. Response time hours will be measured during the Authority's operational hours as stated in Paragraph 4 of this Annex (Except for Severity 1 Service Incidents and Severity 2 Service Incidents, for which response hours will be measured on a 24x7 basis).</w:t>
            </w:r>
          </w:p>
        </w:tc>
        <w:tc>
          <w:tcPr>
            <w:tcW w:w="4260" w:type="dxa"/>
          </w:tcPr>
          <w:p w14:paraId="13B324F0"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lastRenderedPageBreak/>
              <w:t>Target Performance Level:</w:t>
            </w:r>
            <w:r w:rsidRPr="001B31F1">
              <w:rPr>
                <w:rFonts w:asciiTheme="minorHAnsi" w:hAnsiTheme="minorHAnsi" w:cstheme="minorHAnsi"/>
                <w:color w:val="000000"/>
                <w:szCs w:val="24"/>
              </w:rPr>
              <w:br/>
              <w:t xml:space="preserve">95% or higher receive an answer (as defined in Paragraph 4 of Part B of this Annex) within 1.5 hours and 100% receiving an answer within 2 hours </w:t>
            </w:r>
          </w:p>
          <w:p w14:paraId="5A9CD0CB"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Minor KPI Failure:</w:t>
            </w:r>
            <w:r w:rsidRPr="001B31F1">
              <w:rPr>
                <w:rFonts w:asciiTheme="minorHAnsi" w:hAnsiTheme="minorHAnsi" w:cstheme="minorHAnsi"/>
                <w:color w:val="000000"/>
                <w:szCs w:val="24"/>
              </w:rPr>
              <w:br/>
              <w:t xml:space="preserve">Between 90% and 95% receive an </w:t>
            </w:r>
            <w:r w:rsidRPr="001B31F1">
              <w:rPr>
                <w:rFonts w:asciiTheme="minorHAnsi" w:hAnsiTheme="minorHAnsi" w:cstheme="minorHAnsi"/>
                <w:color w:val="000000"/>
                <w:szCs w:val="24"/>
              </w:rPr>
              <w:lastRenderedPageBreak/>
              <w:t>answer within 1.5 hours and over 95% receiving an answer within 2 hours</w:t>
            </w:r>
          </w:p>
          <w:p w14:paraId="4D02F222"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Serious KPI Failure:</w:t>
            </w:r>
            <w:r w:rsidRPr="001B31F1">
              <w:rPr>
                <w:rFonts w:asciiTheme="minorHAnsi" w:hAnsiTheme="minorHAnsi" w:cstheme="minorHAnsi"/>
                <w:color w:val="000000"/>
                <w:szCs w:val="24"/>
              </w:rPr>
              <w:br/>
              <w:t xml:space="preserve">Between 85% and 90% receive an answer within 1.5 hours and between 90% and 95% receiving an answer within 2 hours </w:t>
            </w:r>
          </w:p>
          <w:p w14:paraId="050FDBE5"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Severe KPI Failure:</w:t>
            </w:r>
          </w:p>
          <w:p w14:paraId="094DF4CA" w14:textId="099FB806"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Between 80% and 85% receive an answer within 1.5 hours and between 85% and 90% receiving an answer within 2 hours</w:t>
            </w:r>
          </w:p>
          <w:p w14:paraId="0EB48FC0" w14:textId="77777777" w:rsidR="001B31F1" w:rsidRPr="001B31F1" w:rsidRDefault="001B31F1" w:rsidP="001B31F1">
            <w:pPr>
              <w:pBdr>
                <w:top w:val="nil"/>
                <w:left w:val="nil"/>
                <w:bottom w:val="nil"/>
                <w:right w:val="nil"/>
                <w:between w:val="nil"/>
              </w:pBdr>
              <w:rPr>
                <w:rFonts w:asciiTheme="minorHAnsi" w:hAnsiTheme="minorHAnsi" w:cstheme="minorHAnsi"/>
                <w:color w:val="FF0000"/>
                <w:szCs w:val="24"/>
              </w:rPr>
            </w:pPr>
            <w:r w:rsidRPr="001B31F1">
              <w:rPr>
                <w:rFonts w:asciiTheme="minorHAnsi" w:hAnsiTheme="minorHAnsi" w:cstheme="minorHAnsi"/>
                <w:color w:val="000000"/>
                <w:szCs w:val="24"/>
              </w:rPr>
              <w:t>KPI Service Threshold:</w:t>
            </w:r>
            <w:r w:rsidRPr="001B31F1">
              <w:rPr>
                <w:rFonts w:asciiTheme="minorHAnsi" w:hAnsiTheme="minorHAnsi" w:cstheme="minorHAnsi"/>
                <w:color w:val="000000"/>
                <w:szCs w:val="24"/>
              </w:rPr>
              <w:br/>
              <w:t>Less than 80% receive an answer within 1.5 hours and less than 90% receive an answer within 2 hours</w:t>
            </w:r>
          </w:p>
        </w:tc>
        <w:tc>
          <w:tcPr>
            <w:tcW w:w="1275" w:type="dxa"/>
          </w:tcPr>
          <w:p w14:paraId="3FFB6C3A"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lastRenderedPageBreak/>
              <w:t>0</w:t>
            </w:r>
            <w:r w:rsidRPr="001B31F1">
              <w:rPr>
                <w:rFonts w:asciiTheme="minorHAnsi" w:hAnsiTheme="minorHAnsi" w:cstheme="minorHAnsi"/>
                <w:color w:val="000000"/>
                <w:szCs w:val="24"/>
              </w:rPr>
              <w:br/>
            </w:r>
            <w:r w:rsidRPr="001B31F1">
              <w:rPr>
                <w:rFonts w:asciiTheme="minorHAnsi" w:hAnsiTheme="minorHAnsi" w:cstheme="minorHAnsi"/>
                <w:color w:val="000000"/>
                <w:szCs w:val="24"/>
              </w:rPr>
              <w:br/>
            </w:r>
          </w:p>
          <w:p w14:paraId="2B73BEBE"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p w14:paraId="339B41D5"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p w14:paraId="3A38E476" w14:textId="77777777" w:rsidR="001B31F1" w:rsidRDefault="001B31F1" w:rsidP="001B31F1">
            <w:pPr>
              <w:pBdr>
                <w:top w:val="nil"/>
                <w:left w:val="nil"/>
                <w:bottom w:val="nil"/>
                <w:right w:val="nil"/>
                <w:between w:val="nil"/>
              </w:pBdr>
              <w:rPr>
                <w:rFonts w:asciiTheme="minorHAnsi" w:hAnsiTheme="minorHAnsi" w:cstheme="minorHAnsi"/>
                <w:color w:val="000000"/>
                <w:szCs w:val="24"/>
              </w:rPr>
            </w:pPr>
          </w:p>
          <w:p w14:paraId="1269586A" w14:textId="4DB1D4AE"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1</w:t>
            </w:r>
          </w:p>
          <w:p w14:paraId="6E71A8BB"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p w14:paraId="1963000D"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p w14:paraId="430E4C5B"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p w14:paraId="0C7EDC44" w14:textId="77777777" w:rsidR="001B31F1" w:rsidRDefault="001B31F1" w:rsidP="001B31F1">
            <w:pPr>
              <w:pBdr>
                <w:top w:val="nil"/>
                <w:left w:val="nil"/>
                <w:bottom w:val="nil"/>
                <w:right w:val="nil"/>
                <w:between w:val="nil"/>
              </w:pBdr>
              <w:rPr>
                <w:rFonts w:asciiTheme="minorHAnsi" w:hAnsiTheme="minorHAnsi" w:cstheme="minorHAnsi"/>
                <w:color w:val="000000"/>
                <w:szCs w:val="24"/>
              </w:rPr>
            </w:pPr>
          </w:p>
          <w:p w14:paraId="0605BEC7" w14:textId="433612DF"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2</w:t>
            </w:r>
            <w:r w:rsidRPr="001B31F1">
              <w:rPr>
                <w:rFonts w:asciiTheme="minorHAnsi" w:hAnsiTheme="minorHAnsi" w:cstheme="minorHAnsi"/>
                <w:color w:val="000000"/>
                <w:szCs w:val="24"/>
              </w:rPr>
              <w:br/>
            </w:r>
          </w:p>
          <w:p w14:paraId="257499C8"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p w14:paraId="3361EB7E"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p w14:paraId="4C48C47C" w14:textId="77777777" w:rsidR="001B31F1" w:rsidRDefault="001B31F1" w:rsidP="001B31F1">
            <w:pPr>
              <w:pBdr>
                <w:top w:val="nil"/>
                <w:left w:val="nil"/>
                <w:bottom w:val="nil"/>
                <w:right w:val="nil"/>
                <w:between w:val="nil"/>
              </w:pBdr>
              <w:rPr>
                <w:rFonts w:asciiTheme="minorHAnsi" w:hAnsiTheme="minorHAnsi" w:cstheme="minorHAnsi"/>
                <w:color w:val="000000"/>
                <w:szCs w:val="24"/>
              </w:rPr>
            </w:pPr>
          </w:p>
          <w:p w14:paraId="053C5E0F" w14:textId="2C802CF0"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3</w:t>
            </w:r>
            <w:r w:rsidRPr="001B31F1">
              <w:rPr>
                <w:rFonts w:asciiTheme="minorHAnsi" w:hAnsiTheme="minorHAnsi" w:cstheme="minorHAnsi"/>
                <w:color w:val="000000"/>
                <w:szCs w:val="24"/>
              </w:rPr>
              <w:br/>
            </w:r>
          </w:p>
          <w:p w14:paraId="77F1151A"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p w14:paraId="76C3745D"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p w14:paraId="30C97C81"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p w14:paraId="4353FF9B" w14:textId="35C3BA29"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4</w:t>
            </w:r>
          </w:p>
        </w:tc>
        <w:tc>
          <w:tcPr>
            <w:tcW w:w="1774" w:type="dxa"/>
          </w:tcPr>
          <w:p w14:paraId="0881C5D6"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lastRenderedPageBreak/>
              <w:t>Yes</w:t>
            </w:r>
          </w:p>
        </w:tc>
      </w:tr>
      <w:tr w:rsidR="001B31F1" w:rsidRPr="001B31F1" w14:paraId="41C1FD5C" w14:textId="77777777" w:rsidTr="001B31F1">
        <w:tc>
          <w:tcPr>
            <w:tcW w:w="735" w:type="dxa"/>
          </w:tcPr>
          <w:p w14:paraId="19277A48" w14:textId="77777777" w:rsidR="001B31F1" w:rsidRPr="001B31F1" w:rsidRDefault="001B31F1" w:rsidP="001B31F1">
            <w:pPr>
              <w:rPr>
                <w:rFonts w:asciiTheme="minorHAnsi" w:hAnsiTheme="minorHAnsi" w:cstheme="minorHAnsi"/>
                <w:szCs w:val="24"/>
              </w:rPr>
            </w:pPr>
            <w:r w:rsidRPr="001B31F1">
              <w:rPr>
                <w:rFonts w:asciiTheme="minorHAnsi" w:hAnsiTheme="minorHAnsi" w:cstheme="minorHAnsi"/>
                <w:color w:val="000000"/>
                <w:szCs w:val="24"/>
              </w:rPr>
              <w:t>KPI-3</w:t>
            </w:r>
          </w:p>
        </w:tc>
        <w:tc>
          <w:tcPr>
            <w:tcW w:w="1905" w:type="dxa"/>
          </w:tcPr>
          <w:p w14:paraId="1A8AE729"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Candidate Help Desk Response Times</w:t>
            </w:r>
          </w:p>
        </w:tc>
        <w:tc>
          <w:tcPr>
            <w:tcW w:w="2010" w:type="dxa"/>
          </w:tcPr>
          <w:p w14:paraId="5DD2E2EA" w14:textId="77777777" w:rsidR="001B31F1" w:rsidRPr="001B31F1" w:rsidRDefault="001B31F1" w:rsidP="001B31F1">
            <w:pPr>
              <w:rPr>
                <w:rFonts w:asciiTheme="minorHAnsi" w:hAnsiTheme="minorHAnsi" w:cstheme="minorHAnsi"/>
                <w:b/>
                <w:color w:val="000000"/>
                <w:szCs w:val="24"/>
              </w:rPr>
            </w:pPr>
            <w:bookmarkStart w:id="311" w:name="_heading=h.nmf14n" w:colFirst="0" w:colLast="0"/>
            <w:bookmarkEnd w:id="311"/>
            <w:r w:rsidRPr="001B31F1">
              <w:rPr>
                <w:rFonts w:asciiTheme="minorHAnsi" w:hAnsiTheme="minorHAnsi" w:cstheme="minorHAnsi"/>
                <w:color w:val="000000"/>
                <w:szCs w:val="24"/>
              </w:rPr>
              <w:t>See Paragraph 4 of Part B of this Annex</w:t>
            </w:r>
          </w:p>
          <w:p w14:paraId="7E580EBC" w14:textId="77777777" w:rsidR="001B31F1" w:rsidRPr="001B31F1" w:rsidRDefault="001B31F1" w:rsidP="001B31F1">
            <w:pPr>
              <w:rPr>
                <w:rFonts w:asciiTheme="minorHAnsi" w:hAnsiTheme="minorHAnsi" w:cstheme="minorHAnsi"/>
                <w:b/>
                <w:color w:val="000000"/>
                <w:szCs w:val="24"/>
              </w:rPr>
            </w:pPr>
          </w:p>
        </w:tc>
        <w:tc>
          <w:tcPr>
            <w:tcW w:w="3000" w:type="dxa"/>
          </w:tcPr>
          <w:p w14:paraId="133A3970"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Per calendar month</w:t>
            </w:r>
          </w:p>
          <w:p w14:paraId="3BBA29F9"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Summary: Total number of cases Total number of cases received in month, number with answer within 2 days, number with answer within 3 Working Days, plus percentages. Data to be provided by Supplier</w:t>
            </w:r>
          </w:p>
        </w:tc>
        <w:tc>
          <w:tcPr>
            <w:tcW w:w="4260" w:type="dxa"/>
          </w:tcPr>
          <w:p w14:paraId="6FE8F658"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Target Performance Level:</w:t>
            </w:r>
            <w:r w:rsidRPr="001B31F1">
              <w:rPr>
                <w:rFonts w:asciiTheme="minorHAnsi" w:hAnsiTheme="minorHAnsi" w:cstheme="minorHAnsi"/>
                <w:color w:val="000000"/>
                <w:szCs w:val="24"/>
              </w:rPr>
              <w:br/>
              <w:t>95% or higher receive an answer (as defined in Paragraph 4 of Part B of this Annex) within 2 working days and 100% receive an answer within 3 Working Days.</w:t>
            </w:r>
          </w:p>
          <w:p w14:paraId="573F7358"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Minor KPI Failure:</w:t>
            </w:r>
            <w:r w:rsidRPr="001B31F1">
              <w:rPr>
                <w:rFonts w:asciiTheme="minorHAnsi" w:hAnsiTheme="minorHAnsi" w:cstheme="minorHAnsi"/>
                <w:color w:val="000000"/>
                <w:szCs w:val="24"/>
              </w:rPr>
              <w:br/>
              <w:t>Between 90% and 95% receive an answer within 2 Working Days  and over 95% receive an answer within 3 Working Days.</w:t>
            </w:r>
          </w:p>
          <w:p w14:paraId="3838EE08"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lastRenderedPageBreak/>
              <w:t>Serious KPI Failure:</w:t>
            </w:r>
            <w:r w:rsidRPr="001B31F1">
              <w:rPr>
                <w:rFonts w:asciiTheme="minorHAnsi" w:hAnsiTheme="minorHAnsi" w:cstheme="minorHAnsi"/>
                <w:color w:val="000000"/>
                <w:szCs w:val="24"/>
              </w:rPr>
              <w:br/>
              <w:t>Between 85% and 90% receive an answer within 2 Working Days  and over 90% receive an answer within 3 Working Days.</w:t>
            </w:r>
          </w:p>
          <w:p w14:paraId="7B10746E"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Severe KPI Failure:</w:t>
            </w:r>
            <w:r w:rsidRPr="001B31F1">
              <w:rPr>
                <w:rFonts w:asciiTheme="minorHAnsi" w:hAnsiTheme="minorHAnsi" w:cstheme="minorHAnsi"/>
                <w:color w:val="000000"/>
                <w:szCs w:val="24"/>
              </w:rPr>
              <w:br/>
              <w:t>Between 80% and 85% receive an answer within 2 Working Days  and over 85% receive an answer within 3 Working Days.</w:t>
            </w:r>
          </w:p>
          <w:p w14:paraId="414FA3C3"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KPI Service Threshold:</w:t>
            </w:r>
            <w:r w:rsidRPr="001B31F1">
              <w:rPr>
                <w:rFonts w:asciiTheme="minorHAnsi" w:hAnsiTheme="minorHAnsi" w:cstheme="minorHAnsi"/>
                <w:color w:val="000000"/>
                <w:szCs w:val="24"/>
              </w:rPr>
              <w:br/>
              <w:t>Less than 80% receive an answer within 2 Working Days and less  than 85% receive an answer within 3 Working Days.</w:t>
            </w:r>
          </w:p>
        </w:tc>
        <w:tc>
          <w:tcPr>
            <w:tcW w:w="1275" w:type="dxa"/>
          </w:tcPr>
          <w:p w14:paraId="274A36CC"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lastRenderedPageBreak/>
              <w:t>0</w:t>
            </w:r>
            <w:r w:rsidRPr="001B31F1">
              <w:rPr>
                <w:rFonts w:asciiTheme="minorHAnsi" w:hAnsiTheme="minorHAnsi" w:cstheme="minorHAnsi"/>
                <w:color w:val="000000"/>
                <w:szCs w:val="24"/>
              </w:rPr>
              <w:br/>
            </w:r>
            <w:r w:rsidRPr="001B31F1">
              <w:rPr>
                <w:rFonts w:asciiTheme="minorHAnsi" w:hAnsiTheme="minorHAnsi" w:cstheme="minorHAnsi"/>
                <w:color w:val="000000"/>
                <w:szCs w:val="24"/>
              </w:rPr>
              <w:br/>
            </w:r>
          </w:p>
          <w:p w14:paraId="65250A79" w14:textId="77777777" w:rsidR="001B31F1" w:rsidRPr="001B31F1" w:rsidRDefault="001B31F1" w:rsidP="001B31F1">
            <w:pPr>
              <w:rPr>
                <w:rFonts w:asciiTheme="minorHAnsi" w:hAnsiTheme="minorHAnsi" w:cstheme="minorHAnsi"/>
                <w:color w:val="000000"/>
                <w:szCs w:val="24"/>
              </w:rPr>
            </w:pPr>
          </w:p>
          <w:p w14:paraId="0802A449" w14:textId="77777777" w:rsidR="001B31F1" w:rsidRPr="001B31F1" w:rsidRDefault="001B31F1" w:rsidP="001B31F1">
            <w:pPr>
              <w:rPr>
                <w:rFonts w:asciiTheme="minorHAnsi" w:hAnsiTheme="minorHAnsi" w:cstheme="minorHAnsi"/>
                <w:color w:val="000000"/>
                <w:szCs w:val="24"/>
              </w:rPr>
            </w:pPr>
          </w:p>
          <w:p w14:paraId="35BBB41A" w14:textId="77777777" w:rsidR="001B31F1" w:rsidRDefault="001B31F1" w:rsidP="001B31F1">
            <w:pPr>
              <w:rPr>
                <w:rFonts w:asciiTheme="minorHAnsi" w:hAnsiTheme="minorHAnsi" w:cstheme="minorHAnsi"/>
                <w:color w:val="000000"/>
                <w:szCs w:val="24"/>
              </w:rPr>
            </w:pPr>
          </w:p>
          <w:p w14:paraId="590FA00B" w14:textId="6C5C8DE0"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1</w:t>
            </w:r>
          </w:p>
          <w:p w14:paraId="477BA8E7" w14:textId="77777777" w:rsidR="001B31F1" w:rsidRPr="001B31F1" w:rsidRDefault="001B31F1" w:rsidP="001B31F1">
            <w:pPr>
              <w:rPr>
                <w:rFonts w:asciiTheme="minorHAnsi" w:hAnsiTheme="minorHAnsi" w:cstheme="minorHAnsi"/>
                <w:color w:val="000000"/>
                <w:szCs w:val="24"/>
              </w:rPr>
            </w:pPr>
          </w:p>
          <w:p w14:paraId="6E0B76C3" w14:textId="77777777" w:rsidR="001B31F1" w:rsidRPr="001B31F1" w:rsidRDefault="001B31F1" w:rsidP="001B31F1">
            <w:pPr>
              <w:rPr>
                <w:rFonts w:asciiTheme="minorHAnsi" w:hAnsiTheme="minorHAnsi" w:cstheme="minorHAnsi"/>
                <w:color w:val="000000"/>
                <w:szCs w:val="24"/>
              </w:rPr>
            </w:pPr>
          </w:p>
          <w:p w14:paraId="36EFB56B" w14:textId="77777777" w:rsidR="001B31F1" w:rsidRDefault="001B31F1" w:rsidP="001B31F1">
            <w:pPr>
              <w:rPr>
                <w:rFonts w:asciiTheme="minorHAnsi" w:hAnsiTheme="minorHAnsi" w:cstheme="minorHAnsi"/>
                <w:color w:val="000000"/>
                <w:szCs w:val="24"/>
              </w:rPr>
            </w:pPr>
          </w:p>
          <w:p w14:paraId="02BFC934" w14:textId="77777777" w:rsidR="001B31F1" w:rsidRDefault="001B31F1" w:rsidP="001B31F1">
            <w:pPr>
              <w:rPr>
                <w:rFonts w:asciiTheme="minorHAnsi" w:hAnsiTheme="minorHAnsi" w:cstheme="minorHAnsi"/>
                <w:color w:val="000000"/>
                <w:szCs w:val="24"/>
              </w:rPr>
            </w:pPr>
          </w:p>
          <w:p w14:paraId="48D816AB" w14:textId="7E7251F9"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lastRenderedPageBreak/>
              <w:t>2</w:t>
            </w:r>
            <w:r w:rsidRPr="001B31F1">
              <w:rPr>
                <w:rFonts w:asciiTheme="minorHAnsi" w:hAnsiTheme="minorHAnsi" w:cstheme="minorHAnsi"/>
                <w:color w:val="000000"/>
                <w:szCs w:val="24"/>
              </w:rPr>
              <w:br/>
            </w:r>
          </w:p>
          <w:p w14:paraId="24EA7377" w14:textId="77777777" w:rsidR="001B31F1" w:rsidRPr="001B31F1" w:rsidRDefault="001B31F1" w:rsidP="001B31F1">
            <w:pPr>
              <w:rPr>
                <w:rFonts w:asciiTheme="minorHAnsi" w:hAnsiTheme="minorHAnsi" w:cstheme="minorHAnsi"/>
                <w:color w:val="000000"/>
                <w:szCs w:val="24"/>
              </w:rPr>
            </w:pPr>
          </w:p>
          <w:p w14:paraId="5F7D2C7A" w14:textId="77777777" w:rsidR="001B31F1" w:rsidRDefault="001B31F1" w:rsidP="001B31F1">
            <w:pPr>
              <w:rPr>
                <w:rFonts w:asciiTheme="minorHAnsi" w:hAnsiTheme="minorHAnsi" w:cstheme="minorHAnsi"/>
                <w:color w:val="000000"/>
                <w:szCs w:val="24"/>
              </w:rPr>
            </w:pPr>
          </w:p>
          <w:p w14:paraId="444A66ED" w14:textId="77777777" w:rsidR="001B31F1" w:rsidRDefault="001B31F1" w:rsidP="001B31F1">
            <w:pPr>
              <w:rPr>
                <w:rFonts w:asciiTheme="minorHAnsi" w:hAnsiTheme="minorHAnsi" w:cstheme="minorHAnsi"/>
                <w:color w:val="000000"/>
                <w:szCs w:val="24"/>
              </w:rPr>
            </w:pPr>
          </w:p>
          <w:p w14:paraId="515C71CC" w14:textId="58F82FB0"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3</w:t>
            </w:r>
            <w:r w:rsidRPr="001B31F1">
              <w:rPr>
                <w:rFonts w:asciiTheme="minorHAnsi" w:hAnsiTheme="minorHAnsi" w:cstheme="minorHAnsi"/>
                <w:color w:val="000000"/>
                <w:szCs w:val="24"/>
              </w:rPr>
              <w:br/>
            </w:r>
          </w:p>
          <w:p w14:paraId="62868995" w14:textId="77777777" w:rsidR="001B31F1" w:rsidRPr="001B31F1" w:rsidRDefault="001B31F1" w:rsidP="001B31F1">
            <w:pPr>
              <w:rPr>
                <w:rFonts w:asciiTheme="minorHAnsi" w:hAnsiTheme="minorHAnsi" w:cstheme="minorHAnsi"/>
                <w:color w:val="000000"/>
                <w:szCs w:val="24"/>
              </w:rPr>
            </w:pPr>
          </w:p>
          <w:p w14:paraId="2BFB942F" w14:textId="77777777" w:rsidR="001B31F1" w:rsidRDefault="001B31F1" w:rsidP="001B31F1">
            <w:pPr>
              <w:rPr>
                <w:rFonts w:asciiTheme="minorHAnsi" w:hAnsiTheme="minorHAnsi" w:cstheme="minorHAnsi"/>
                <w:color w:val="000000"/>
                <w:szCs w:val="24"/>
              </w:rPr>
            </w:pPr>
          </w:p>
          <w:p w14:paraId="1B0FBD29" w14:textId="77777777" w:rsidR="001B31F1" w:rsidRDefault="001B31F1" w:rsidP="001B31F1">
            <w:pPr>
              <w:rPr>
                <w:rFonts w:asciiTheme="minorHAnsi" w:hAnsiTheme="minorHAnsi" w:cstheme="minorHAnsi"/>
                <w:color w:val="000000"/>
                <w:szCs w:val="24"/>
              </w:rPr>
            </w:pPr>
          </w:p>
          <w:p w14:paraId="5E58F73D" w14:textId="06DE592D"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4</w:t>
            </w:r>
          </w:p>
        </w:tc>
        <w:tc>
          <w:tcPr>
            <w:tcW w:w="1774" w:type="dxa"/>
          </w:tcPr>
          <w:p w14:paraId="1611BE66"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lastRenderedPageBreak/>
              <w:t>Yes</w:t>
            </w:r>
          </w:p>
        </w:tc>
      </w:tr>
      <w:tr w:rsidR="001B31F1" w:rsidRPr="001B31F1" w14:paraId="2B4BF8D8" w14:textId="77777777" w:rsidTr="001B31F1">
        <w:trPr>
          <w:trHeight w:val="2175"/>
        </w:trPr>
        <w:tc>
          <w:tcPr>
            <w:tcW w:w="735" w:type="dxa"/>
          </w:tcPr>
          <w:p w14:paraId="4A219600"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KPI-4</w:t>
            </w:r>
          </w:p>
        </w:tc>
        <w:tc>
          <w:tcPr>
            <w:tcW w:w="1905" w:type="dxa"/>
          </w:tcPr>
          <w:p w14:paraId="05846734"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Accessibility WCAG standard</w:t>
            </w:r>
          </w:p>
        </w:tc>
        <w:tc>
          <w:tcPr>
            <w:tcW w:w="2010" w:type="dxa"/>
          </w:tcPr>
          <w:p w14:paraId="4377EA44"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 xml:space="preserve">All relevant accessibility standards are met to a minimum of the current WCAG AA Conformance Level. </w:t>
            </w:r>
          </w:p>
          <w:p w14:paraId="6A630B44" w14:textId="77777777" w:rsidR="001B31F1" w:rsidRPr="001B31F1" w:rsidRDefault="001B31F1" w:rsidP="001B31F1">
            <w:pPr>
              <w:rPr>
                <w:rFonts w:asciiTheme="minorHAnsi" w:hAnsiTheme="minorHAnsi" w:cstheme="minorHAnsi"/>
                <w:b/>
                <w:color w:val="000000"/>
                <w:szCs w:val="24"/>
              </w:rPr>
            </w:pPr>
            <w:bookmarkStart w:id="312" w:name="_heading=h.99ugaaj5dvr8" w:colFirst="0" w:colLast="0"/>
            <w:bookmarkEnd w:id="312"/>
            <w:r w:rsidRPr="001B31F1">
              <w:rPr>
                <w:rFonts w:asciiTheme="minorHAnsi" w:hAnsiTheme="minorHAnsi" w:cstheme="minorHAnsi"/>
                <w:color w:val="000000"/>
                <w:szCs w:val="24"/>
              </w:rPr>
              <w:t xml:space="preserve">The current version is considered the latest published version after it </w:t>
            </w:r>
            <w:r w:rsidRPr="001B31F1">
              <w:rPr>
                <w:rFonts w:asciiTheme="minorHAnsi" w:hAnsiTheme="minorHAnsi" w:cstheme="minorHAnsi"/>
                <w:color w:val="000000"/>
                <w:szCs w:val="24"/>
              </w:rPr>
              <w:lastRenderedPageBreak/>
              <w:t xml:space="preserve">has been published for at least a year. </w:t>
            </w:r>
          </w:p>
        </w:tc>
        <w:tc>
          <w:tcPr>
            <w:tcW w:w="3000" w:type="dxa"/>
          </w:tcPr>
          <w:p w14:paraId="74B4245D"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lastRenderedPageBreak/>
              <w:t>Per calendar month</w:t>
            </w:r>
          </w:p>
          <w:p w14:paraId="3DE3FCDF"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 xml:space="preserve">Summary: Number of Web Content Accessibility Guidelines criteria with outstanding compliance issues, where the issue has been open for more than 3 months. A Web Content Accessibility Guidelines criterion will be considered to be "failed" for the purposes of this KPI if one or more such issues has been </w:t>
            </w:r>
            <w:r w:rsidRPr="001B31F1">
              <w:rPr>
                <w:rFonts w:asciiTheme="minorHAnsi" w:hAnsiTheme="minorHAnsi" w:cstheme="minorHAnsi"/>
                <w:color w:val="000000"/>
                <w:szCs w:val="24"/>
              </w:rPr>
              <w:lastRenderedPageBreak/>
              <w:t>raised (and has been open for more than 3 months) in relation to that criterion.</w:t>
            </w:r>
          </w:p>
          <w:p w14:paraId="6E68BEDE" w14:textId="77777777" w:rsidR="001B31F1" w:rsidRPr="001B31F1" w:rsidRDefault="001B31F1" w:rsidP="001B31F1">
            <w:pPr>
              <w:rPr>
                <w:rFonts w:asciiTheme="minorHAnsi" w:hAnsiTheme="minorHAnsi" w:cstheme="minorHAnsi"/>
                <w:b/>
                <w:color w:val="FF0000"/>
                <w:szCs w:val="24"/>
              </w:rPr>
            </w:pPr>
            <w:r w:rsidRPr="001B31F1">
              <w:rPr>
                <w:rFonts w:asciiTheme="minorHAnsi" w:hAnsiTheme="minorHAnsi" w:cstheme="minorHAnsi"/>
                <w:color w:val="000000"/>
                <w:szCs w:val="24"/>
              </w:rPr>
              <w:t>Issues may be raised via annual independent accessibility audit, by the Authority and/or via customer or user feedback.</w:t>
            </w:r>
          </w:p>
          <w:p w14:paraId="436F2BE8" w14:textId="77777777" w:rsidR="001B31F1" w:rsidRPr="001B31F1" w:rsidRDefault="001B31F1" w:rsidP="001B31F1">
            <w:pPr>
              <w:rPr>
                <w:rFonts w:asciiTheme="minorHAnsi" w:hAnsiTheme="minorHAnsi" w:cstheme="minorHAnsi"/>
                <w:b/>
                <w:color w:val="FF0000"/>
                <w:szCs w:val="24"/>
              </w:rPr>
            </w:pPr>
          </w:p>
          <w:p w14:paraId="1AF4346E" w14:textId="77777777" w:rsidR="001B31F1" w:rsidRPr="001B31F1" w:rsidRDefault="001B31F1" w:rsidP="001B31F1">
            <w:pPr>
              <w:rPr>
                <w:rFonts w:asciiTheme="minorHAnsi" w:hAnsiTheme="minorHAnsi" w:cstheme="minorHAnsi"/>
                <w:b/>
                <w:color w:val="FF0000"/>
                <w:szCs w:val="24"/>
              </w:rPr>
            </w:pPr>
          </w:p>
          <w:p w14:paraId="258C2EF0" w14:textId="77777777" w:rsidR="001B31F1" w:rsidRPr="001B31F1" w:rsidRDefault="001B31F1" w:rsidP="001B31F1">
            <w:pPr>
              <w:rPr>
                <w:rFonts w:asciiTheme="minorHAnsi" w:hAnsiTheme="minorHAnsi" w:cstheme="minorHAnsi"/>
                <w:color w:val="000000"/>
                <w:szCs w:val="24"/>
              </w:rPr>
            </w:pPr>
          </w:p>
        </w:tc>
        <w:tc>
          <w:tcPr>
            <w:tcW w:w="4260" w:type="dxa"/>
          </w:tcPr>
          <w:p w14:paraId="0DF171E6"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lastRenderedPageBreak/>
              <w:t>Target Performance Level: 100%</w:t>
            </w:r>
          </w:p>
          <w:p w14:paraId="02AB4DB0"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AA = 0 failures</w:t>
            </w:r>
          </w:p>
          <w:p w14:paraId="00D01735"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A = 0 Failures</w:t>
            </w:r>
          </w:p>
          <w:p w14:paraId="4A16FD8F" w14:textId="77777777" w:rsidR="001B31F1" w:rsidRPr="001B31F1" w:rsidRDefault="001B31F1" w:rsidP="001B31F1">
            <w:pPr>
              <w:rPr>
                <w:rFonts w:asciiTheme="minorHAnsi" w:hAnsiTheme="minorHAnsi" w:cstheme="minorHAnsi"/>
                <w:b/>
                <w:color w:val="000000"/>
                <w:szCs w:val="24"/>
              </w:rPr>
            </w:pPr>
          </w:p>
          <w:p w14:paraId="6F0A355A"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Minor KPI Failure:</w:t>
            </w:r>
          </w:p>
          <w:p w14:paraId="75ADA5B1"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1 to 3 criteria failed at AA and/or A level</w:t>
            </w:r>
          </w:p>
          <w:p w14:paraId="21BA7C00" w14:textId="77777777" w:rsidR="001B31F1" w:rsidRPr="001B31F1" w:rsidRDefault="001B31F1" w:rsidP="001B31F1">
            <w:pPr>
              <w:rPr>
                <w:rFonts w:asciiTheme="minorHAnsi" w:hAnsiTheme="minorHAnsi" w:cstheme="minorHAnsi"/>
                <w:b/>
                <w:color w:val="000000"/>
                <w:szCs w:val="24"/>
              </w:rPr>
            </w:pPr>
          </w:p>
          <w:p w14:paraId="0A33D9DB" w14:textId="77777777" w:rsidR="001B31F1" w:rsidRPr="001B31F1" w:rsidRDefault="001B31F1" w:rsidP="001B31F1">
            <w:pPr>
              <w:rPr>
                <w:rFonts w:asciiTheme="minorHAnsi" w:hAnsiTheme="minorHAnsi" w:cstheme="minorHAnsi"/>
                <w:color w:val="FF0000"/>
                <w:szCs w:val="24"/>
              </w:rPr>
            </w:pPr>
            <w:r w:rsidRPr="001B31F1">
              <w:rPr>
                <w:rFonts w:asciiTheme="minorHAnsi" w:hAnsiTheme="minorHAnsi" w:cstheme="minorHAnsi"/>
                <w:color w:val="000000"/>
                <w:szCs w:val="24"/>
              </w:rPr>
              <w:t>Serious KPI Failure:</w:t>
            </w:r>
          </w:p>
          <w:p w14:paraId="02394F79"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4 to 6 criteria failed at AA and/or A level</w:t>
            </w:r>
          </w:p>
          <w:p w14:paraId="6BAA8F2D" w14:textId="77777777" w:rsidR="001B31F1" w:rsidRPr="001B31F1" w:rsidRDefault="001B31F1" w:rsidP="001B31F1">
            <w:pPr>
              <w:rPr>
                <w:rFonts w:asciiTheme="minorHAnsi" w:hAnsiTheme="minorHAnsi" w:cstheme="minorHAnsi"/>
                <w:b/>
                <w:color w:val="000000"/>
                <w:szCs w:val="24"/>
              </w:rPr>
            </w:pPr>
          </w:p>
          <w:p w14:paraId="0943905D" w14:textId="77777777" w:rsidR="001B31F1" w:rsidRPr="001B31F1" w:rsidRDefault="001B31F1" w:rsidP="001B31F1">
            <w:pPr>
              <w:rPr>
                <w:rFonts w:asciiTheme="minorHAnsi" w:hAnsiTheme="minorHAnsi" w:cstheme="minorHAnsi"/>
                <w:color w:val="FF0000"/>
                <w:szCs w:val="24"/>
              </w:rPr>
            </w:pPr>
            <w:r w:rsidRPr="001B31F1">
              <w:rPr>
                <w:rFonts w:asciiTheme="minorHAnsi" w:hAnsiTheme="minorHAnsi" w:cstheme="minorHAnsi"/>
                <w:color w:val="000000"/>
                <w:szCs w:val="24"/>
              </w:rPr>
              <w:t>Severe KPI Failure:</w:t>
            </w:r>
          </w:p>
          <w:p w14:paraId="0005F045"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lastRenderedPageBreak/>
              <w:t>7 to 9 criteria failed at AA and/or A level</w:t>
            </w:r>
          </w:p>
          <w:p w14:paraId="7EDF282E" w14:textId="77777777" w:rsidR="001B31F1" w:rsidRPr="001B31F1" w:rsidRDefault="001B31F1" w:rsidP="001B31F1">
            <w:pPr>
              <w:rPr>
                <w:rFonts w:asciiTheme="minorHAnsi" w:hAnsiTheme="minorHAnsi" w:cstheme="minorHAnsi"/>
                <w:b/>
                <w:color w:val="000000"/>
                <w:szCs w:val="24"/>
              </w:rPr>
            </w:pPr>
          </w:p>
          <w:p w14:paraId="521577DA" w14:textId="77777777" w:rsidR="001B31F1" w:rsidRPr="001B31F1" w:rsidRDefault="001B31F1" w:rsidP="001B31F1">
            <w:pPr>
              <w:rPr>
                <w:rFonts w:asciiTheme="minorHAnsi" w:hAnsiTheme="minorHAnsi" w:cstheme="minorHAnsi"/>
                <w:color w:val="FF0000"/>
                <w:szCs w:val="24"/>
              </w:rPr>
            </w:pPr>
            <w:r w:rsidRPr="001B31F1">
              <w:rPr>
                <w:rFonts w:asciiTheme="minorHAnsi" w:hAnsiTheme="minorHAnsi" w:cstheme="minorHAnsi"/>
                <w:color w:val="000000"/>
                <w:szCs w:val="24"/>
              </w:rPr>
              <w:t>KPI Service Threshold:</w:t>
            </w:r>
          </w:p>
          <w:p w14:paraId="1CA3D9AA"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10 or more criteria failed at AA and/or A level</w:t>
            </w:r>
          </w:p>
          <w:p w14:paraId="54E1FEB6" w14:textId="77777777" w:rsidR="001B31F1" w:rsidRPr="001B31F1" w:rsidRDefault="001B31F1" w:rsidP="001B31F1">
            <w:pPr>
              <w:rPr>
                <w:rFonts w:asciiTheme="minorHAnsi" w:hAnsiTheme="minorHAnsi" w:cstheme="minorHAnsi"/>
                <w:b/>
                <w:color w:val="000000"/>
                <w:szCs w:val="24"/>
              </w:rPr>
            </w:pPr>
          </w:p>
        </w:tc>
        <w:tc>
          <w:tcPr>
            <w:tcW w:w="1275" w:type="dxa"/>
          </w:tcPr>
          <w:p w14:paraId="7CF56F8B"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lastRenderedPageBreak/>
              <w:t>0</w:t>
            </w:r>
          </w:p>
          <w:p w14:paraId="6EC5291F" w14:textId="77777777" w:rsidR="001B31F1" w:rsidRPr="001B31F1" w:rsidRDefault="001B31F1" w:rsidP="001B31F1">
            <w:pPr>
              <w:rPr>
                <w:rFonts w:asciiTheme="minorHAnsi" w:hAnsiTheme="minorHAnsi" w:cstheme="minorHAnsi"/>
                <w:color w:val="000000"/>
                <w:szCs w:val="24"/>
              </w:rPr>
            </w:pPr>
          </w:p>
          <w:p w14:paraId="6CA652B9" w14:textId="77777777" w:rsidR="001B31F1" w:rsidRDefault="001B31F1" w:rsidP="001B31F1">
            <w:pPr>
              <w:rPr>
                <w:rFonts w:asciiTheme="minorHAnsi" w:hAnsiTheme="minorHAnsi" w:cstheme="minorHAnsi"/>
                <w:color w:val="000000"/>
                <w:szCs w:val="24"/>
              </w:rPr>
            </w:pPr>
          </w:p>
          <w:p w14:paraId="67E2C09D" w14:textId="77777777" w:rsidR="001B31F1" w:rsidRDefault="001B31F1" w:rsidP="001B31F1">
            <w:pPr>
              <w:rPr>
                <w:rFonts w:asciiTheme="minorHAnsi" w:hAnsiTheme="minorHAnsi" w:cstheme="minorHAnsi"/>
                <w:color w:val="000000"/>
                <w:szCs w:val="24"/>
              </w:rPr>
            </w:pPr>
          </w:p>
          <w:p w14:paraId="1CC76D65" w14:textId="03E0F34F"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1</w:t>
            </w:r>
          </w:p>
          <w:p w14:paraId="6D02B458" w14:textId="77777777" w:rsidR="001B31F1" w:rsidRDefault="001B31F1" w:rsidP="001B31F1">
            <w:pPr>
              <w:rPr>
                <w:rFonts w:asciiTheme="minorHAnsi" w:hAnsiTheme="minorHAnsi" w:cstheme="minorHAnsi"/>
                <w:color w:val="000000"/>
                <w:szCs w:val="24"/>
              </w:rPr>
            </w:pPr>
          </w:p>
          <w:p w14:paraId="18BF7902" w14:textId="77777777" w:rsidR="001B31F1" w:rsidRDefault="001B31F1" w:rsidP="001B31F1">
            <w:pPr>
              <w:rPr>
                <w:rFonts w:asciiTheme="minorHAnsi" w:hAnsiTheme="minorHAnsi" w:cstheme="minorHAnsi"/>
                <w:color w:val="000000"/>
                <w:szCs w:val="24"/>
              </w:rPr>
            </w:pPr>
          </w:p>
          <w:p w14:paraId="56366026" w14:textId="77777777" w:rsidR="001B31F1" w:rsidRDefault="001B31F1" w:rsidP="001B31F1">
            <w:pPr>
              <w:rPr>
                <w:rFonts w:asciiTheme="minorHAnsi" w:hAnsiTheme="minorHAnsi" w:cstheme="minorHAnsi"/>
                <w:color w:val="000000"/>
                <w:szCs w:val="24"/>
              </w:rPr>
            </w:pPr>
          </w:p>
          <w:p w14:paraId="29BC7B28" w14:textId="10638D74"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2</w:t>
            </w:r>
          </w:p>
          <w:p w14:paraId="48F10BB2" w14:textId="77777777" w:rsidR="001B31F1" w:rsidRDefault="001B31F1" w:rsidP="001B31F1">
            <w:pPr>
              <w:rPr>
                <w:rFonts w:asciiTheme="minorHAnsi" w:hAnsiTheme="minorHAnsi" w:cstheme="minorHAnsi"/>
                <w:color w:val="000000"/>
                <w:szCs w:val="24"/>
              </w:rPr>
            </w:pPr>
          </w:p>
          <w:p w14:paraId="300FC091" w14:textId="77777777" w:rsidR="001B31F1" w:rsidRDefault="001B31F1" w:rsidP="001B31F1">
            <w:pPr>
              <w:rPr>
                <w:rFonts w:asciiTheme="minorHAnsi" w:hAnsiTheme="minorHAnsi" w:cstheme="minorHAnsi"/>
                <w:color w:val="000000"/>
                <w:szCs w:val="24"/>
              </w:rPr>
            </w:pPr>
          </w:p>
          <w:p w14:paraId="5ED7046B" w14:textId="77777777" w:rsidR="001B31F1" w:rsidRDefault="001B31F1" w:rsidP="001B31F1">
            <w:pPr>
              <w:rPr>
                <w:rFonts w:asciiTheme="minorHAnsi" w:hAnsiTheme="minorHAnsi" w:cstheme="minorHAnsi"/>
                <w:color w:val="000000"/>
                <w:szCs w:val="24"/>
              </w:rPr>
            </w:pPr>
          </w:p>
          <w:p w14:paraId="3ECD819A" w14:textId="3FF2C0B0"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3</w:t>
            </w:r>
          </w:p>
          <w:p w14:paraId="2409FDAE" w14:textId="77777777" w:rsidR="001B31F1" w:rsidRDefault="001B31F1" w:rsidP="001B31F1">
            <w:pPr>
              <w:rPr>
                <w:rFonts w:asciiTheme="minorHAnsi" w:hAnsiTheme="minorHAnsi" w:cstheme="minorHAnsi"/>
                <w:color w:val="000000"/>
                <w:szCs w:val="24"/>
              </w:rPr>
            </w:pPr>
          </w:p>
          <w:p w14:paraId="7CDFA38E" w14:textId="77777777" w:rsidR="001B31F1" w:rsidRDefault="001B31F1" w:rsidP="001B31F1">
            <w:pPr>
              <w:rPr>
                <w:rFonts w:asciiTheme="minorHAnsi" w:hAnsiTheme="minorHAnsi" w:cstheme="minorHAnsi"/>
                <w:color w:val="000000"/>
                <w:szCs w:val="24"/>
              </w:rPr>
            </w:pPr>
          </w:p>
          <w:p w14:paraId="5561B90D" w14:textId="77777777" w:rsidR="001B31F1" w:rsidRDefault="001B31F1" w:rsidP="001B31F1">
            <w:pPr>
              <w:rPr>
                <w:rFonts w:asciiTheme="minorHAnsi" w:hAnsiTheme="minorHAnsi" w:cstheme="minorHAnsi"/>
                <w:color w:val="000000"/>
                <w:szCs w:val="24"/>
              </w:rPr>
            </w:pPr>
          </w:p>
          <w:p w14:paraId="3E0EBAF4" w14:textId="77777777" w:rsidR="001B31F1" w:rsidRDefault="001B31F1" w:rsidP="001B31F1">
            <w:pPr>
              <w:rPr>
                <w:rFonts w:asciiTheme="minorHAnsi" w:hAnsiTheme="minorHAnsi" w:cstheme="minorHAnsi"/>
                <w:color w:val="000000"/>
                <w:szCs w:val="24"/>
              </w:rPr>
            </w:pPr>
          </w:p>
          <w:p w14:paraId="6CF1C324" w14:textId="443EF375"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4</w:t>
            </w:r>
          </w:p>
        </w:tc>
        <w:tc>
          <w:tcPr>
            <w:tcW w:w="1774" w:type="dxa"/>
          </w:tcPr>
          <w:p w14:paraId="11D81FE3"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lastRenderedPageBreak/>
              <w:t>No</w:t>
            </w:r>
          </w:p>
        </w:tc>
      </w:tr>
      <w:tr w:rsidR="001B31F1" w:rsidRPr="001B31F1" w14:paraId="08359D6E" w14:textId="77777777" w:rsidTr="001B31F1">
        <w:tc>
          <w:tcPr>
            <w:tcW w:w="735" w:type="dxa"/>
          </w:tcPr>
          <w:p w14:paraId="1C9644D9" w14:textId="77777777" w:rsidR="001B31F1" w:rsidRPr="001B31F1" w:rsidRDefault="001B31F1" w:rsidP="001B31F1">
            <w:pPr>
              <w:rPr>
                <w:rFonts w:asciiTheme="minorHAnsi" w:hAnsiTheme="minorHAnsi" w:cstheme="minorHAnsi"/>
                <w:szCs w:val="24"/>
              </w:rPr>
            </w:pPr>
            <w:r w:rsidRPr="001B31F1">
              <w:rPr>
                <w:rFonts w:asciiTheme="minorHAnsi" w:hAnsiTheme="minorHAnsi" w:cstheme="minorHAnsi"/>
                <w:color w:val="000000"/>
                <w:szCs w:val="24"/>
              </w:rPr>
              <w:t>KPI-5</w:t>
            </w:r>
            <w:r w:rsidRPr="001B31F1">
              <w:rPr>
                <w:rFonts w:asciiTheme="minorHAnsi" w:hAnsiTheme="minorHAnsi" w:cstheme="minorHAnsi"/>
                <w:szCs w:val="24"/>
              </w:rPr>
              <w:t>KPI2</w:t>
            </w:r>
          </w:p>
        </w:tc>
        <w:tc>
          <w:tcPr>
            <w:tcW w:w="1905" w:type="dxa"/>
          </w:tcPr>
          <w:p w14:paraId="4BDBEC28"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System Response Times</w:t>
            </w:r>
          </w:p>
        </w:tc>
        <w:tc>
          <w:tcPr>
            <w:tcW w:w="2010" w:type="dxa"/>
          </w:tcPr>
          <w:p w14:paraId="4EFFA4A1" w14:textId="77777777" w:rsidR="001B31F1" w:rsidRPr="001B31F1" w:rsidRDefault="001B31F1" w:rsidP="001B31F1">
            <w:pPr>
              <w:rPr>
                <w:rFonts w:asciiTheme="minorHAnsi" w:hAnsiTheme="minorHAnsi" w:cstheme="minorHAnsi"/>
                <w:b/>
                <w:color w:val="000000"/>
                <w:szCs w:val="24"/>
              </w:rPr>
            </w:pPr>
            <w:bookmarkStart w:id="313" w:name="_heading=h.28h4qwu" w:colFirst="0" w:colLast="0"/>
            <w:bookmarkEnd w:id="313"/>
            <w:r w:rsidRPr="001B31F1">
              <w:rPr>
                <w:rFonts w:asciiTheme="minorHAnsi" w:hAnsiTheme="minorHAnsi" w:cstheme="minorHAnsi"/>
                <w:color w:val="000000"/>
                <w:szCs w:val="24"/>
              </w:rPr>
              <w:t>The metric that we’ll want the supplier to report upon is Largest Contentful Paint (LCP).</w:t>
            </w:r>
          </w:p>
          <w:p w14:paraId="405B961F" w14:textId="77777777" w:rsidR="001B31F1" w:rsidRPr="001B31F1" w:rsidRDefault="001B31F1" w:rsidP="001B31F1">
            <w:pPr>
              <w:rPr>
                <w:rFonts w:asciiTheme="minorHAnsi" w:hAnsiTheme="minorHAnsi" w:cstheme="minorHAnsi"/>
                <w:b/>
                <w:color w:val="000000"/>
                <w:szCs w:val="24"/>
              </w:rPr>
            </w:pPr>
            <w:bookmarkStart w:id="314" w:name="_heading=h.gnjpyjmqgvwx" w:colFirst="0" w:colLast="0"/>
            <w:bookmarkEnd w:id="314"/>
            <w:r w:rsidRPr="001B31F1">
              <w:rPr>
                <w:rFonts w:asciiTheme="minorHAnsi" w:hAnsiTheme="minorHAnsi" w:cstheme="minorHAnsi"/>
                <w:color w:val="000000"/>
                <w:szCs w:val="24"/>
              </w:rPr>
              <w:t>See paragraph 3 of Part B of this Annex for more detail.</w:t>
            </w:r>
          </w:p>
        </w:tc>
        <w:tc>
          <w:tcPr>
            <w:tcW w:w="3000" w:type="dxa"/>
          </w:tcPr>
          <w:p w14:paraId="149AF0BE"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Per calendar month</w:t>
            </w:r>
          </w:p>
          <w:p w14:paraId="17125575" w14:textId="77777777" w:rsidR="001B31F1" w:rsidRPr="001B31F1" w:rsidRDefault="001B31F1" w:rsidP="001B31F1">
            <w:pPr>
              <w:rPr>
                <w:rFonts w:asciiTheme="minorHAnsi" w:hAnsiTheme="minorHAnsi" w:cstheme="minorHAnsi"/>
                <w:color w:val="000000"/>
                <w:szCs w:val="24"/>
              </w:rPr>
            </w:pPr>
          </w:p>
        </w:tc>
        <w:tc>
          <w:tcPr>
            <w:tcW w:w="4260" w:type="dxa"/>
          </w:tcPr>
          <w:p w14:paraId="35653854"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Target Performance Level (good):</w:t>
            </w:r>
          </w:p>
          <w:p w14:paraId="072ECBA8"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75th Percentile Response Time: &lt;=2.5 seconds</w:t>
            </w:r>
          </w:p>
          <w:p w14:paraId="2947970B" w14:textId="77777777" w:rsidR="001B31F1" w:rsidRPr="001B31F1" w:rsidRDefault="001B31F1" w:rsidP="001B31F1">
            <w:pPr>
              <w:rPr>
                <w:rFonts w:asciiTheme="minorHAnsi" w:hAnsiTheme="minorHAnsi" w:cstheme="minorHAnsi"/>
                <w:b/>
                <w:color w:val="000000"/>
                <w:szCs w:val="24"/>
              </w:rPr>
            </w:pPr>
          </w:p>
          <w:p w14:paraId="3A7A3E83" w14:textId="77777777" w:rsidR="001B31F1" w:rsidRPr="001B31F1" w:rsidRDefault="001B31F1" w:rsidP="001B31F1">
            <w:pPr>
              <w:rPr>
                <w:rFonts w:asciiTheme="minorHAnsi" w:hAnsiTheme="minorHAnsi" w:cstheme="minorHAnsi"/>
                <w:color w:val="000000"/>
                <w:szCs w:val="24"/>
              </w:rPr>
            </w:pPr>
          </w:p>
          <w:p w14:paraId="7EBD064C"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Serious KPI Failure (needs improvement):</w:t>
            </w:r>
          </w:p>
          <w:p w14:paraId="34A7823A"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75th Percentile Response Time: &gt;2.5 - &lt;=4 seconds</w:t>
            </w:r>
          </w:p>
          <w:p w14:paraId="193BC536" w14:textId="77777777" w:rsidR="001B31F1" w:rsidRPr="001B31F1" w:rsidRDefault="001B31F1" w:rsidP="001B31F1">
            <w:pPr>
              <w:rPr>
                <w:rFonts w:asciiTheme="minorHAnsi" w:hAnsiTheme="minorHAnsi" w:cstheme="minorHAnsi"/>
                <w:b/>
                <w:color w:val="000000"/>
                <w:szCs w:val="24"/>
              </w:rPr>
            </w:pPr>
          </w:p>
          <w:p w14:paraId="25096FCD" w14:textId="77777777" w:rsidR="001B31F1" w:rsidRPr="001B31F1" w:rsidRDefault="001B31F1" w:rsidP="001B31F1">
            <w:pPr>
              <w:rPr>
                <w:rFonts w:asciiTheme="minorHAnsi" w:hAnsiTheme="minorHAnsi" w:cstheme="minorHAnsi"/>
                <w:b/>
                <w:color w:val="000000"/>
                <w:szCs w:val="24"/>
              </w:rPr>
            </w:pPr>
          </w:p>
          <w:p w14:paraId="7612D460"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KPI Service Threshold (poor):</w:t>
            </w:r>
          </w:p>
          <w:p w14:paraId="4B6A5CF6"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75th Percentile Response Time: &gt;4 seconds</w:t>
            </w:r>
          </w:p>
        </w:tc>
        <w:tc>
          <w:tcPr>
            <w:tcW w:w="1275" w:type="dxa"/>
          </w:tcPr>
          <w:p w14:paraId="4A7D2D65"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0</w:t>
            </w:r>
          </w:p>
          <w:p w14:paraId="3F436856" w14:textId="77777777" w:rsidR="001B31F1" w:rsidRPr="001B31F1" w:rsidRDefault="001B31F1" w:rsidP="001B31F1">
            <w:pPr>
              <w:rPr>
                <w:rFonts w:asciiTheme="minorHAnsi" w:hAnsiTheme="minorHAnsi" w:cstheme="minorHAnsi"/>
                <w:color w:val="000000"/>
                <w:szCs w:val="24"/>
              </w:rPr>
            </w:pPr>
          </w:p>
          <w:p w14:paraId="12690AC8" w14:textId="77777777" w:rsidR="001B31F1" w:rsidRDefault="001B31F1" w:rsidP="001B31F1">
            <w:pPr>
              <w:rPr>
                <w:rFonts w:asciiTheme="minorHAnsi" w:hAnsiTheme="minorHAnsi" w:cstheme="minorHAnsi"/>
                <w:color w:val="000000"/>
                <w:szCs w:val="24"/>
              </w:rPr>
            </w:pPr>
          </w:p>
          <w:p w14:paraId="5C4007E5" w14:textId="77777777" w:rsidR="001B31F1" w:rsidRDefault="001B31F1" w:rsidP="001B31F1">
            <w:pPr>
              <w:rPr>
                <w:rFonts w:asciiTheme="minorHAnsi" w:hAnsiTheme="minorHAnsi" w:cstheme="minorHAnsi"/>
                <w:color w:val="000000"/>
                <w:szCs w:val="24"/>
              </w:rPr>
            </w:pPr>
          </w:p>
          <w:p w14:paraId="740D58D5" w14:textId="77777777" w:rsidR="001B31F1" w:rsidRDefault="001B31F1" w:rsidP="001B31F1">
            <w:pPr>
              <w:rPr>
                <w:rFonts w:asciiTheme="minorHAnsi" w:hAnsiTheme="minorHAnsi" w:cstheme="minorHAnsi"/>
                <w:color w:val="000000"/>
                <w:szCs w:val="24"/>
              </w:rPr>
            </w:pPr>
          </w:p>
          <w:p w14:paraId="1806939F" w14:textId="57F1D88C"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2</w:t>
            </w:r>
          </w:p>
          <w:p w14:paraId="4F59EF36" w14:textId="77777777" w:rsidR="001B31F1" w:rsidRPr="001B31F1" w:rsidRDefault="001B31F1" w:rsidP="001B31F1">
            <w:pPr>
              <w:rPr>
                <w:rFonts w:asciiTheme="minorHAnsi" w:hAnsiTheme="minorHAnsi" w:cstheme="minorHAnsi"/>
                <w:color w:val="000000"/>
                <w:szCs w:val="24"/>
              </w:rPr>
            </w:pPr>
          </w:p>
          <w:p w14:paraId="62133A2F" w14:textId="77777777" w:rsidR="001B31F1" w:rsidRDefault="001B31F1" w:rsidP="001B31F1">
            <w:pPr>
              <w:spacing w:before="200"/>
              <w:rPr>
                <w:rFonts w:asciiTheme="minorHAnsi" w:hAnsiTheme="minorHAnsi" w:cstheme="minorHAnsi"/>
                <w:color w:val="000000"/>
                <w:szCs w:val="24"/>
              </w:rPr>
            </w:pPr>
          </w:p>
          <w:p w14:paraId="09095B77" w14:textId="77777777" w:rsidR="001B31F1" w:rsidRDefault="001B31F1" w:rsidP="001B31F1">
            <w:pPr>
              <w:spacing w:before="200"/>
              <w:rPr>
                <w:rFonts w:asciiTheme="minorHAnsi" w:hAnsiTheme="minorHAnsi" w:cstheme="minorHAnsi"/>
                <w:color w:val="000000"/>
                <w:szCs w:val="24"/>
              </w:rPr>
            </w:pPr>
          </w:p>
          <w:p w14:paraId="483ACA27" w14:textId="3F144E37" w:rsidR="001B31F1" w:rsidRPr="001B31F1" w:rsidRDefault="001B31F1" w:rsidP="001B31F1">
            <w:pPr>
              <w:spacing w:before="200"/>
              <w:rPr>
                <w:rFonts w:asciiTheme="minorHAnsi" w:hAnsiTheme="minorHAnsi" w:cstheme="minorHAnsi"/>
                <w:color w:val="000000"/>
                <w:szCs w:val="24"/>
              </w:rPr>
            </w:pPr>
            <w:r w:rsidRPr="001B31F1">
              <w:rPr>
                <w:rFonts w:asciiTheme="minorHAnsi" w:hAnsiTheme="minorHAnsi" w:cstheme="minorHAnsi"/>
                <w:color w:val="000000"/>
                <w:szCs w:val="24"/>
              </w:rPr>
              <w:t>4</w:t>
            </w:r>
          </w:p>
        </w:tc>
        <w:tc>
          <w:tcPr>
            <w:tcW w:w="1774" w:type="dxa"/>
          </w:tcPr>
          <w:p w14:paraId="126A045A"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No</w:t>
            </w:r>
          </w:p>
        </w:tc>
      </w:tr>
    </w:tbl>
    <w:p w14:paraId="0BE5494D" w14:textId="77777777" w:rsidR="001B31F1" w:rsidRPr="001B31F1" w:rsidRDefault="001B31F1" w:rsidP="001B31F1">
      <w:pPr>
        <w:rPr>
          <w:rFonts w:asciiTheme="minorHAnsi" w:hAnsiTheme="minorHAnsi" w:cstheme="minorHAnsi"/>
          <w:szCs w:val="24"/>
        </w:rPr>
      </w:pPr>
    </w:p>
    <w:p w14:paraId="7639B542" w14:textId="77777777" w:rsidR="001B31F1" w:rsidRPr="001B31F1" w:rsidRDefault="001B31F1" w:rsidP="00E1349E">
      <w:pPr>
        <w:pStyle w:val="Heading3"/>
        <w:numPr>
          <w:ilvl w:val="0"/>
          <w:numId w:val="241"/>
        </w:numPr>
        <w:ind w:left="1440" w:hanging="1440"/>
        <w:rPr>
          <w:rFonts w:asciiTheme="minorHAnsi" w:hAnsiTheme="minorHAnsi" w:cstheme="minorHAnsi"/>
          <w:szCs w:val="24"/>
        </w:rPr>
      </w:pPr>
      <w:r w:rsidRPr="001B31F1">
        <w:rPr>
          <w:rFonts w:asciiTheme="minorHAnsi" w:hAnsiTheme="minorHAnsi" w:cstheme="minorHAnsi"/>
          <w:szCs w:val="24"/>
        </w:rPr>
        <w:lastRenderedPageBreak/>
        <w:t>Subsidiary Performance Indicators</w:t>
      </w:r>
    </w:p>
    <w:tbl>
      <w:tblPr>
        <w:tblW w:w="14511" w:type="dxa"/>
        <w:tblInd w:w="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01"/>
        <w:gridCol w:w="1691"/>
        <w:gridCol w:w="1784"/>
        <w:gridCol w:w="2829"/>
        <w:gridCol w:w="4018"/>
        <w:gridCol w:w="1744"/>
        <w:gridCol w:w="1744"/>
      </w:tblGrid>
      <w:tr w:rsidR="001B31F1" w:rsidRPr="001B31F1" w14:paraId="436D66DA" w14:textId="77777777" w:rsidTr="001B31F1">
        <w:trPr>
          <w:tblHeader/>
        </w:trPr>
        <w:tc>
          <w:tcPr>
            <w:tcW w:w="701" w:type="dxa"/>
          </w:tcPr>
          <w:p w14:paraId="1EEB9E37"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No.</w:t>
            </w:r>
          </w:p>
        </w:tc>
        <w:tc>
          <w:tcPr>
            <w:tcW w:w="1691" w:type="dxa"/>
          </w:tcPr>
          <w:p w14:paraId="5021538F"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Subsidiary Performance Indicator Title</w:t>
            </w:r>
          </w:p>
        </w:tc>
        <w:tc>
          <w:tcPr>
            <w:tcW w:w="1784" w:type="dxa"/>
          </w:tcPr>
          <w:p w14:paraId="298F7BE7"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Definition</w:t>
            </w:r>
          </w:p>
        </w:tc>
        <w:tc>
          <w:tcPr>
            <w:tcW w:w="2829" w:type="dxa"/>
          </w:tcPr>
          <w:p w14:paraId="0091166D"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Frequency of Measurement</w:t>
            </w:r>
          </w:p>
        </w:tc>
        <w:tc>
          <w:tcPr>
            <w:tcW w:w="4018" w:type="dxa"/>
          </w:tcPr>
          <w:p w14:paraId="59160E57"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Severity Levels</w:t>
            </w:r>
          </w:p>
        </w:tc>
        <w:tc>
          <w:tcPr>
            <w:tcW w:w="1744" w:type="dxa"/>
          </w:tcPr>
          <w:p w14:paraId="3E310908"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Publishable Performance Information</w:t>
            </w:r>
          </w:p>
        </w:tc>
        <w:tc>
          <w:tcPr>
            <w:tcW w:w="1744" w:type="dxa"/>
          </w:tcPr>
          <w:p w14:paraId="7A344CA6"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tc>
      </w:tr>
      <w:tr w:rsidR="001B31F1" w:rsidRPr="001B31F1" w14:paraId="6F1E2948" w14:textId="77777777" w:rsidTr="001B31F1">
        <w:tc>
          <w:tcPr>
            <w:tcW w:w="701" w:type="dxa"/>
          </w:tcPr>
          <w:p w14:paraId="570F9E6C"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PI1</w:t>
            </w:r>
          </w:p>
        </w:tc>
        <w:tc>
          <w:tcPr>
            <w:tcW w:w="1691" w:type="dxa"/>
          </w:tcPr>
          <w:p w14:paraId="0D3D7E4A" w14:textId="77777777" w:rsidR="001B31F1" w:rsidRPr="001B31F1" w:rsidRDefault="001B31F1" w:rsidP="001B31F1">
            <w:pPr>
              <w:rPr>
                <w:rFonts w:asciiTheme="minorHAnsi" w:hAnsiTheme="minorHAnsi" w:cstheme="minorHAnsi"/>
                <w:color w:val="000000"/>
                <w:szCs w:val="24"/>
                <w:highlight w:val="white"/>
              </w:rPr>
            </w:pPr>
            <w:r w:rsidRPr="001B31F1">
              <w:rPr>
                <w:rFonts w:asciiTheme="minorHAnsi" w:hAnsiTheme="minorHAnsi" w:cstheme="minorHAnsi"/>
                <w:color w:val="000000"/>
                <w:szCs w:val="24"/>
                <w:highlight w:val="white"/>
              </w:rPr>
              <w:t>User Satisfaction</w:t>
            </w:r>
          </w:p>
        </w:tc>
        <w:tc>
          <w:tcPr>
            <w:tcW w:w="1784" w:type="dxa"/>
          </w:tcPr>
          <w:p w14:paraId="0B228353" w14:textId="77777777" w:rsidR="001B31F1" w:rsidRPr="001B31F1" w:rsidRDefault="001B31F1" w:rsidP="001B31F1">
            <w:pPr>
              <w:rPr>
                <w:rFonts w:asciiTheme="minorHAnsi" w:hAnsiTheme="minorHAnsi" w:cstheme="minorHAnsi"/>
                <w:color w:val="000000"/>
                <w:szCs w:val="24"/>
              </w:rPr>
            </w:pPr>
            <w:bookmarkStart w:id="315" w:name="_heading=h.meo8z1ub6m27" w:colFirst="0" w:colLast="0"/>
            <w:bookmarkEnd w:id="315"/>
            <w:r w:rsidRPr="001B31F1">
              <w:rPr>
                <w:rFonts w:asciiTheme="minorHAnsi" w:hAnsiTheme="minorHAnsi" w:cstheme="minorHAnsi"/>
                <w:color w:val="000000"/>
                <w:szCs w:val="24"/>
              </w:rPr>
              <w:t xml:space="preserve">NetEasy score: </w:t>
            </w:r>
          </w:p>
          <w:p w14:paraId="4614C199" w14:textId="77777777" w:rsidR="001B31F1" w:rsidRPr="001B31F1" w:rsidRDefault="001B31F1" w:rsidP="001B31F1">
            <w:pPr>
              <w:rPr>
                <w:rFonts w:asciiTheme="minorHAnsi" w:hAnsiTheme="minorHAnsi" w:cstheme="minorHAnsi"/>
                <w:b/>
                <w:color w:val="000000"/>
                <w:szCs w:val="24"/>
              </w:rPr>
            </w:pPr>
            <w:bookmarkStart w:id="316" w:name="_heading=h.hp9uq1uiyc00" w:colFirst="0" w:colLast="0"/>
            <w:bookmarkEnd w:id="316"/>
            <w:r w:rsidRPr="001B31F1">
              <w:rPr>
                <w:rFonts w:asciiTheme="minorHAnsi" w:hAnsiTheme="minorHAnsi" w:cstheme="minorHAnsi"/>
                <w:color w:val="000000"/>
                <w:szCs w:val="24"/>
              </w:rPr>
              <w:t xml:space="preserve">The Authority will ask users (grouped by role) how easy they’ve found the product to be and for them to detail their reasoning. </w:t>
            </w:r>
          </w:p>
          <w:p w14:paraId="2553D823" w14:textId="77777777" w:rsidR="001B31F1" w:rsidRPr="001B31F1" w:rsidRDefault="001B31F1" w:rsidP="001B31F1">
            <w:pPr>
              <w:rPr>
                <w:rFonts w:asciiTheme="minorHAnsi" w:hAnsiTheme="minorHAnsi" w:cstheme="minorHAnsi"/>
                <w:b/>
                <w:color w:val="000000"/>
                <w:szCs w:val="24"/>
              </w:rPr>
            </w:pPr>
            <w:bookmarkStart w:id="317" w:name="_heading=h.ki325091qln7" w:colFirst="0" w:colLast="0"/>
            <w:bookmarkEnd w:id="317"/>
            <w:r w:rsidRPr="001B31F1">
              <w:rPr>
                <w:rFonts w:asciiTheme="minorHAnsi" w:hAnsiTheme="minorHAnsi" w:cstheme="minorHAnsi"/>
                <w:color w:val="000000"/>
                <w:szCs w:val="24"/>
              </w:rPr>
              <w:t>The percentage of difficult scores (taken from scores 5-7) is subtracted from the percentage of easy scores (taken from scores 1-2) to produce a single number.</w:t>
            </w:r>
          </w:p>
          <w:p w14:paraId="1C976A1E" w14:textId="77777777" w:rsidR="001B31F1" w:rsidRPr="001B31F1" w:rsidRDefault="001B31F1" w:rsidP="001B31F1">
            <w:pPr>
              <w:rPr>
                <w:rFonts w:asciiTheme="minorHAnsi" w:hAnsiTheme="minorHAnsi" w:cstheme="minorHAnsi"/>
                <w:b/>
                <w:color w:val="000000"/>
                <w:szCs w:val="24"/>
              </w:rPr>
            </w:pPr>
            <w:bookmarkStart w:id="318" w:name="_heading=h.41mghml" w:colFirst="0" w:colLast="0"/>
            <w:bookmarkEnd w:id="318"/>
            <w:r w:rsidRPr="001B31F1">
              <w:rPr>
                <w:rFonts w:asciiTheme="minorHAnsi" w:hAnsiTheme="minorHAnsi" w:cstheme="minorHAnsi"/>
                <w:color w:val="000000"/>
                <w:szCs w:val="24"/>
              </w:rPr>
              <w:t xml:space="preserve">See Paragraph 6 </w:t>
            </w:r>
            <w:r w:rsidRPr="001B31F1">
              <w:rPr>
                <w:rFonts w:asciiTheme="minorHAnsi" w:hAnsiTheme="minorHAnsi" w:cstheme="minorHAnsi"/>
                <w:color w:val="000000"/>
                <w:szCs w:val="24"/>
              </w:rPr>
              <w:lastRenderedPageBreak/>
              <w:t>of Part B of this Annex.</w:t>
            </w:r>
          </w:p>
        </w:tc>
        <w:tc>
          <w:tcPr>
            <w:tcW w:w="2829" w:type="dxa"/>
          </w:tcPr>
          <w:p w14:paraId="77CECB99"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lastRenderedPageBreak/>
              <w:t>Per calendar month</w:t>
            </w:r>
          </w:p>
        </w:tc>
        <w:tc>
          <w:tcPr>
            <w:tcW w:w="4018" w:type="dxa"/>
          </w:tcPr>
          <w:p w14:paraId="5365B074"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 xml:space="preserve">Levels will need to be baselined and monitored over time, per-user type and Severity Levels will be agreed between the Parties as soon as reasonably practicable after the Operational Service Date. </w:t>
            </w:r>
          </w:p>
          <w:p w14:paraId="7F2F465A"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 xml:space="preserve">In addition, issues identified which are Supplier side, will be raised with the Supplier for comment and may be reflected in the Balanced Scorecard Report. </w:t>
            </w:r>
          </w:p>
          <w:p w14:paraId="53AAE055" w14:textId="77777777" w:rsidR="001B31F1" w:rsidRPr="001B31F1" w:rsidRDefault="001B31F1" w:rsidP="001B31F1">
            <w:pPr>
              <w:rPr>
                <w:rFonts w:asciiTheme="minorHAnsi" w:hAnsiTheme="minorHAnsi" w:cstheme="minorHAnsi"/>
                <w:color w:val="000000"/>
                <w:szCs w:val="24"/>
              </w:rPr>
            </w:pPr>
          </w:p>
        </w:tc>
        <w:tc>
          <w:tcPr>
            <w:tcW w:w="1744" w:type="dxa"/>
          </w:tcPr>
          <w:p w14:paraId="5D6CFD9C"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No</w:t>
            </w:r>
          </w:p>
        </w:tc>
        <w:tc>
          <w:tcPr>
            <w:tcW w:w="1744" w:type="dxa"/>
          </w:tcPr>
          <w:p w14:paraId="394A369E" w14:textId="77777777" w:rsidR="001B31F1" w:rsidRPr="001B31F1" w:rsidRDefault="001B31F1" w:rsidP="001B31F1">
            <w:pPr>
              <w:rPr>
                <w:rFonts w:asciiTheme="minorHAnsi" w:hAnsiTheme="minorHAnsi" w:cstheme="minorHAnsi"/>
                <w:color w:val="000000"/>
                <w:szCs w:val="24"/>
              </w:rPr>
            </w:pPr>
          </w:p>
        </w:tc>
      </w:tr>
      <w:tr w:rsidR="001B31F1" w:rsidRPr="001B31F1" w14:paraId="30F5ECA2" w14:textId="77777777" w:rsidTr="001B31F1">
        <w:tc>
          <w:tcPr>
            <w:tcW w:w="701" w:type="dxa"/>
          </w:tcPr>
          <w:p w14:paraId="73229FD8"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PI2</w:t>
            </w:r>
          </w:p>
        </w:tc>
        <w:tc>
          <w:tcPr>
            <w:tcW w:w="1691" w:type="dxa"/>
          </w:tcPr>
          <w:p w14:paraId="125B28DE"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Virtual Library Completeness</w:t>
            </w:r>
          </w:p>
        </w:tc>
        <w:tc>
          <w:tcPr>
            <w:tcW w:w="1784" w:type="dxa"/>
          </w:tcPr>
          <w:p w14:paraId="4E3B88D1" w14:textId="77777777" w:rsidR="001B31F1" w:rsidRPr="001B31F1" w:rsidRDefault="001B31F1" w:rsidP="001B31F1">
            <w:pPr>
              <w:rPr>
                <w:rFonts w:asciiTheme="minorHAnsi" w:hAnsiTheme="minorHAnsi" w:cstheme="minorHAnsi"/>
                <w:color w:val="000000"/>
                <w:szCs w:val="24"/>
              </w:rPr>
            </w:pPr>
            <w:bookmarkStart w:id="319" w:name="_heading=h.vx1227" w:colFirst="0" w:colLast="0"/>
            <w:bookmarkEnd w:id="319"/>
            <w:r w:rsidRPr="001B31F1">
              <w:rPr>
                <w:rFonts w:asciiTheme="minorHAnsi" w:hAnsiTheme="minorHAnsi" w:cstheme="minorHAnsi"/>
                <w:color w:val="000000"/>
                <w:szCs w:val="24"/>
              </w:rPr>
              <w:t>See Paragraph 7 of Part B of this Annex</w:t>
            </w:r>
          </w:p>
        </w:tc>
        <w:tc>
          <w:tcPr>
            <w:tcW w:w="2829" w:type="dxa"/>
          </w:tcPr>
          <w:p w14:paraId="5CFC8E4B"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Per calendar month</w:t>
            </w:r>
          </w:p>
        </w:tc>
        <w:tc>
          <w:tcPr>
            <w:tcW w:w="4018" w:type="dxa"/>
          </w:tcPr>
          <w:p w14:paraId="5FEBC150"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Target Performance Level: 100%</w:t>
            </w:r>
          </w:p>
          <w:p w14:paraId="726413BE"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Minor PI Failure:</w:t>
            </w:r>
            <w:r w:rsidRPr="001B31F1">
              <w:rPr>
                <w:rFonts w:asciiTheme="minorHAnsi" w:hAnsiTheme="minorHAnsi" w:cstheme="minorHAnsi"/>
                <w:color w:val="000000"/>
                <w:szCs w:val="24"/>
              </w:rPr>
              <w:br/>
              <w:t>99.9% to 95.0%</w:t>
            </w:r>
          </w:p>
          <w:p w14:paraId="04565FA1"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Serious PI Failure:</w:t>
            </w:r>
            <w:r w:rsidRPr="001B31F1">
              <w:rPr>
                <w:rFonts w:asciiTheme="minorHAnsi" w:hAnsiTheme="minorHAnsi" w:cstheme="minorHAnsi"/>
                <w:color w:val="000000"/>
                <w:szCs w:val="24"/>
              </w:rPr>
              <w:br/>
              <w:t>94.9% to 90%</w:t>
            </w:r>
          </w:p>
          <w:p w14:paraId="009F63DB"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Severe PI Failure:</w:t>
            </w:r>
            <w:r w:rsidRPr="001B31F1">
              <w:rPr>
                <w:rFonts w:asciiTheme="minorHAnsi" w:hAnsiTheme="minorHAnsi" w:cstheme="minorHAnsi"/>
                <w:color w:val="000000"/>
                <w:szCs w:val="24"/>
              </w:rPr>
              <w:br/>
              <w:t>89.9% to 85%</w:t>
            </w:r>
          </w:p>
          <w:p w14:paraId="7DC67D28"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 Service Threshold:</w:t>
            </w:r>
            <w:r w:rsidRPr="001B31F1">
              <w:rPr>
                <w:rFonts w:asciiTheme="minorHAnsi" w:hAnsiTheme="minorHAnsi" w:cstheme="minorHAnsi"/>
                <w:color w:val="000000"/>
                <w:szCs w:val="24"/>
              </w:rPr>
              <w:br/>
              <w:t>below 85%</w:t>
            </w:r>
          </w:p>
        </w:tc>
        <w:tc>
          <w:tcPr>
            <w:tcW w:w="1744" w:type="dxa"/>
          </w:tcPr>
          <w:p w14:paraId="42BC5501"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No</w:t>
            </w:r>
          </w:p>
          <w:p w14:paraId="4E15D4EA" w14:textId="77777777" w:rsidR="001B31F1" w:rsidRPr="001B31F1" w:rsidRDefault="001B31F1" w:rsidP="001B31F1">
            <w:pPr>
              <w:rPr>
                <w:rFonts w:asciiTheme="minorHAnsi" w:hAnsiTheme="minorHAnsi" w:cstheme="minorHAnsi"/>
                <w:color w:val="000000"/>
                <w:szCs w:val="24"/>
              </w:rPr>
            </w:pPr>
          </w:p>
        </w:tc>
        <w:tc>
          <w:tcPr>
            <w:tcW w:w="1744" w:type="dxa"/>
          </w:tcPr>
          <w:p w14:paraId="3695EEC6" w14:textId="77777777" w:rsidR="001B31F1" w:rsidRPr="001B31F1" w:rsidRDefault="001B31F1" w:rsidP="001B31F1">
            <w:pPr>
              <w:rPr>
                <w:rFonts w:asciiTheme="minorHAnsi" w:hAnsiTheme="minorHAnsi" w:cstheme="minorHAnsi"/>
                <w:color w:val="000000"/>
                <w:szCs w:val="24"/>
              </w:rPr>
            </w:pPr>
          </w:p>
        </w:tc>
      </w:tr>
      <w:tr w:rsidR="001B31F1" w:rsidRPr="001B31F1" w14:paraId="35EEB0DC" w14:textId="77777777" w:rsidTr="001B31F1">
        <w:tc>
          <w:tcPr>
            <w:tcW w:w="701" w:type="dxa"/>
          </w:tcPr>
          <w:p w14:paraId="6583E05C"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PI3</w:t>
            </w:r>
          </w:p>
        </w:tc>
        <w:tc>
          <w:tcPr>
            <w:tcW w:w="1691" w:type="dxa"/>
          </w:tcPr>
          <w:p w14:paraId="0F431DA4"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API Response Time (Latency)</w:t>
            </w:r>
          </w:p>
        </w:tc>
        <w:tc>
          <w:tcPr>
            <w:tcW w:w="1784" w:type="dxa"/>
          </w:tcPr>
          <w:p w14:paraId="1CD4C57E"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 xml:space="preserve">The time that it takes  for the Supplier's API to process and respond to a request for a resource using Time to first byte (TTFB) as the metric. </w:t>
            </w:r>
          </w:p>
          <w:p w14:paraId="29A92CFF" w14:textId="77777777" w:rsidR="001B31F1" w:rsidRPr="001B31F1" w:rsidRDefault="001B31F1" w:rsidP="001B31F1">
            <w:pPr>
              <w:rPr>
                <w:rFonts w:asciiTheme="minorHAnsi" w:hAnsiTheme="minorHAnsi" w:cstheme="minorHAnsi"/>
                <w:b/>
                <w:color w:val="000000"/>
                <w:szCs w:val="24"/>
              </w:rPr>
            </w:pPr>
            <w:bookmarkStart w:id="320" w:name="_heading=h.7ym32ca0y2j4" w:colFirst="0" w:colLast="0"/>
            <w:bookmarkEnd w:id="320"/>
            <w:r w:rsidRPr="001B31F1">
              <w:rPr>
                <w:rFonts w:asciiTheme="minorHAnsi" w:hAnsiTheme="minorHAnsi" w:cstheme="minorHAnsi"/>
                <w:color w:val="000000"/>
                <w:szCs w:val="24"/>
              </w:rPr>
              <w:t>See paragraph 3 of Part B of this Annex for more detail.</w:t>
            </w:r>
          </w:p>
        </w:tc>
        <w:tc>
          <w:tcPr>
            <w:tcW w:w="2829" w:type="dxa"/>
          </w:tcPr>
          <w:p w14:paraId="5A2FEB48"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Per calendar month</w:t>
            </w:r>
          </w:p>
        </w:tc>
        <w:tc>
          <w:tcPr>
            <w:tcW w:w="4018" w:type="dxa"/>
          </w:tcPr>
          <w:p w14:paraId="7B620F48"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Target Performance Level (good):</w:t>
            </w:r>
          </w:p>
          <w:p w14:paraId="7BF12D19" w14:textId="1B590EE9"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75th Percentile Response Time: &lt;=1 seconds</w:t>
            </w:r>
          </w:p>
          <w:p w14:paraId="6E5C004E" w14:textId="77777777" w:rsidR="001B31F1" w:rsidRPr="001B31F1" w:rsidRDefault="001B31F1" w:rsidP="001B31F1">
            <w:pPr>
              <w:rPr>
                <w:rFonts w:asciiTheme="minorHAnsi" w:hAnsiTheme="minorHAnsi" w:cstheme="minorHAnsi"/>
                <w:b/>
                <w:color w:val="000000"/>
                <w:szCs w:val="24"/>
              </w:rPr>
            </w:pPr>
          </w:p>
          <w:p w14:paraId="5A84A3A6"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Serious PI Failure (needs improvement):</w:t>
            </w:r>
          </w:p>
          <w:p w14:paraId="2D870620"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75th Percentile Response Time: &gt;1 to &lt;=2 seconds</w:t>
            </w:r>
          </w:p>
          <w:p w14:paraId="3002C5E7" w14:textId="77777777" w:rsidR="001B31F1" w:rsidRPr="001B31F1" w:rsidRDefault="001B31F1" w:rsidP="001B31F1">
            <w:pPr>
              <w:rPr>
                <w:rFonts w:asciiTheme="minorHAnsi" w:hAnsiTheme="minorHAnsi" w:cstheme="minorHAnsi"/>
                <w:b/>
                <w:color w:val="000000"/>
                <w:szCs w:val="24"/>
              </w:rPr>
            </w:pPr>
          </w:p>
          <w:p w14:paraId="756F054F"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PI Service Threshold (poor):</w:t>
            </w:r>
          </w:p>
          <w:p w14:paraId="3F2B9219" w14:textId="0EF5C909"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75th Percentile Response Time: &gt;2 seconds</w:t>
            </w:r>
          </w:p>
          <w:p w14:paraId="0590A03A" w14:textId="1B9BE8C5" w:rsidR="001B31F1" w:rsidRPr="001B31F1" w:rsidRDefault="001B31F1" w:rsidP="001B31F1">
            <w:pPr>
              <w:rPr>
                <w:rFonts w:asciiTheme="minorHAnsi" w:hAnsiTheme="minorHAnsi" w:cstheme="minorHAnsi"/>
                <w:b/>
                <w:color w:val="000000"/>
                <w:szCs w:val="24"/>
              </w:rPr>
            </w:pPr>
          </w:p>
          <w:p w14:paraId="185F8E11" w14:textId="12BAEE44"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Worked example:</w:t>
            </w:r>
          </w:p>
          <w:p w14:paraId="24D9D01C" w14:textId="0DF62FF5"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 xml:space="preserve">If there are 100 API requests in a month and the 75th percentile TTFB time is 1.5 seconds, that means 75 out of 100 requests took </w:t>
            </w:r>
            <w:r w:rsidRPr="001B31F1">
              <w:rPr>
                <w:rFonts w:asciiTheme="minorHAnsi" w:hAnsiTheme="minorHAnsi" w:cstheme="minorHAnsi"/>
                <w:color w:val="000000"/>
                <w:szCs w:val="24"/>
              </w:rPr>
              <w:lastRenderedPageBreak/>
              <w:t>less than 1.5 seconds. The Authority would consider that to be a Serious PI Failure.</w:t>
            </w:r>
          </w:p>
        </w:tc>
        <w:tc>
          <w:tcPr>
            <w:tcW w:w="1744" w:type="dxa"/>
          </w:tcPr>
          <w:p w14:paraId="531182E9"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lastRenderedPageBreak/>
              <w:t>No</w:t>
            </w:r>
          </w:p>
        </w:tc>
        <w:tc>
          <w:tcPr>
            <w:tcW w:w="1744" w:type="dxa"/>
          </w:tcPr>
          <w:p w14:paraId="61D7FC16" w14:textId="77777777" w:rsidR="001B31F1" w:rsidRPr="001B31F1" w:rsidRDefault="001B31F1" w:rsidP="001B31F1">
            <w:pPr>
              <w:rPr>
                <w:rFonts w:asciiTheme="minorHAnsi" w:hAnsiTheme="minorHAnsi" w:cstheme="minorHAnsi"/>
                <w:color w:val="000000"/>
                <w:szCs w:val="24"/>
              </w:rPr>
            </w:pPr>
          </w:p>
        </w:tc>
      </w:tr>
      <w:tr w:rsidR="001B31F1" w:rsidRPr="001B31F1" w14:paraId="7E46FF1F" w14:textId="77777777" w:rsidTr="001B31F1">
        <w:tc>
          <w:tcPr>
            <w:tcW w:w="701" w:type="dxa"/>
          </w:tcPr>
          <w:p w14:paraId="2103ABBC"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PI4</w:t>
            </w:r>
          </w:p>
        </w:tc>
        <w:tc>
          <w:tcPr>
            <w:tcW w:w="1691" w:type="dxa"/>
          </w:tcPr>
          <w:p w14:paraId="24E00D89"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Data Download</w:t>
            </w:r>
          </w:p>
        </w:tc>
        <w:tc>
          <w:tcPr>
            <w:tcW w:w="1784" w:type="dxa"/>
          </w:tcPr>
          <w:p w14:paraId="42740A20" w14:textId="77777777" w:rsidR="001B31F1" w:rsidRPr="001B31F1" w:rsidRDefault="001B31F1" w:rsidP="001B31F1">
            <w:pPr>
              <w:rPr>
                <w:rFonts w:asciiTheme="minorHAnsi" w:hAnsiTheme="minorHAnsi" w:cstheme="minorHAnsi"/>
                <w:b/>
                <w:color w:val="000000"/>
                <w:szCs w:val="24"/>
              </w:rPr>
            </w:pPr>
            <w:bookmarkStart w:id="321" w:name="_heading=h.1mrcu09" w:colFirst="0" w:colLast="0"/>
            <w:bookmarkEnd w:id="321"/>
            <w:r w:rsidRPr="001B31F1">
              <w:rPr>
                <w:rFonts w:asciiTheme="minorHAnsi" w:hAnsiTheme="minorHAnsi" w:cstheme="minorHAnsi"/>
                <w:color w:val="000000"/>
                <w:szCs w:val="24"/>
              </w:rPr>
              <w:t>Time to download reports, such as spreadsheets containing raw application or vacancy data or documents containing applications.</w:t>
            </w:r>
          </w:p>
        </w:tc>
        <w:tc>
          <w:tcPr>
            <w:tcW w:w="2829" w:type="dxa"/>
          </w:tcPr>
          <w:p w14:paraId="78B540CB"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Per calendar month</w:t>
            </w:r>
          </w:p>
        </w:tc>
        <w:tc>
          <w:tcPr>
            <w:tcW w:w="4018" w:type="dxa"/>
          </w:tcPr>
          <w:p w14:paraId="5C839D69"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Target Performance Level:</w:t>
            </w:r>
          </w:p>
          <w:p w14:paraId="403AB41D" w14:textId="7C7ECC99"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 xml:space="preserve">95th percentile report available to download time: &lt;=5 minutes </w:t>
            </w:r>
          </w:p>
          <w:p w14:paraId="271C96C0" w14:textId="77777777" w:rsidR="001B31F1" w:rsidRPr="001B31F1" w:rsidRDefault="001B31F1" w:rsidP="001B31F1">
            <w:pPr>
              <w:rPr>
                <w:rFonts w:asciiTheme="minorHAnsi" w:hAnsiTheme="minorHAnsi" w:cstheme="minorHAnsi"/>
                <w:b/>
                <w:color w:val="000000"/>
                <w:szCs w:val="24"/>
              </w:rPr>
            </w:pPr>
          </w:p>
          <w:p w14:paraId="0ED011E7"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Minor PI Failure:</w:t>
            </w:r>
          </w:p>
          <w:p w14:paraId="5F4B8FB3"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95th percentile report available to download time: &gt;5 to &lt;=7 minutes</w:t>
            </w:r>
          </w:p>
          <w:p w14:paraId="70D4BC7C" w14:textId="77777777" w:rsidR="001B31F1" w:rsidRPr="001B31F1" w:rsidRDefault="001B31F1" w:rsidP="001B31F1">
            <w:pPr>
              <w:rPr>
                <w:rFonts w:asciiTheme="minorHAnsi" w:hAnsiTheme="minorHAnsi" w:cstheme="minorHAnsi"/>
                <w:color w:val="000000"/>
                <w:szCs w:val="24"/>
              </w:rPr>
            </w:pPr>
          </w:p>
          <w:p w14:paraId="2C4FE7EB"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Serious PI Failure:</w:t>
            </w:r>
          </w:p>
          <w:p w14:paraId="1080FA6A"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95th percentile report available to download time: &gt;7 to &lt;=10 minutes</w:t>
            </w:r>
          </w:p>
          <w:p w14:paraId="3F137865" w14:textId="77777777" w:rsidR="001B31F1" w:rsidRPr="001B31F1" w:rsidRDefault="001B31F1" w:rsidP="001B31F1">
            <w:pPr>
              <w:rPr>
                <w:rFonts w:asciiTheme="minorHAnsi" w:hAnsiTheme="minorHAnsi" w:cstheme="minorHAnsi"/>
                <w:b/>
                <w:color w:val="000000"/>
                <w:szCs w:val="24"/>
              </w:rPr>
            </w:pPr>
          </w:p>
          <w:p w14:paraId="68FE83E5"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Severe PI Failure:</w:t>
            </w:r>
          </w:p>
          <w:p w14:paraId="0716D3CB"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95th percentile report available to download time: &gt;10 to &lt;=12 minutes</w:t>
            </w:r>
          </w:p>
          <w:p w14:paraId="11C7BFEE" w14:textId="77777777" w:rsidR="001B31F1" w:rsidRPr="001B31F1" w:rsidRDefault="001B31F1" w:rsidP="001B31F1">
            <w:pPr>
              <w:rPr>
                <w:rFonts w:asciiTheme="minorHAnsi" w:hAnsiTheme="minorHAnsi" w:cstheme="minorHAnsi"/>
                <w:b/>
                <w:color w:val="000000"/>
                <w:szCs w:val="24"/>
              </w:rPr>
            </w:pPr>
          </w:p>
          <w:p w14:paraId="371AD53E"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 Service Threshold:</w:t>
            </w:r>
          </w:p>
          <w:p w14:paraId="1B7385D1" w14:textId="12B5C3C4"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95th percentile report available to download time: : &gt;12 minutes</w:t>
            </w:r>
          </w:p>
          <w:p w14:paraId="39E151AF" w14:textId="2F939FBA" w:rsidR="001B31F1" w:rsidRPr="001B31F1" w:rsidRDefault="001B31F1" w:rsidP="001B31F1">
            <w:pPr>
              <w:rPr>
                <w:rFonts w:asciiTheme="minorHAnsi" w:hAnsiTheme="minorHAnsi" w:cstheme="minorHAnsi"/>
                <w:b/>
                <w:color w:val="000000"/>
                <w:szCs w:val="24"/>
              </w:rPr>
            </w:pPr>
          </w:p>
          <w:p w14:paraId="1407673E" w14:textId="4456D54B"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Worked example:</w:t>
            </w:r>
          </w:p>
          <w:p w14:paraId="7B105FA1" w14:textId="4BA8E3E2"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 xml:space="preserve">If there are 100 requests for reports in a month and the 95th percentile report load time was 6 minutes, that means 95 out of 100 requests took </w:t>
            </w:r>
            <w:r w:rsidRPr="001B31F1">
              <w:rPr>
                <w:rFonts w:asciiTheme="minorHAnsi" w:hAnsiTheme="minorHAnsi" w:cstheme="minorHAnsi"/>
                <w:color w:val="000000"/>
                <w:szCs w:val="24"/>
              </w:rPr>
              <w:lastRenderedPageBreak/>
              <w:t>less than 6 minutes to load. The Authority would consider this a Minor PI Failure.</w:t>
            </w:r>
          </w:p>
        </w:tc>
        <w:tc>
          <w:tcPr>
            <w:tcW w:w="1744" w:type="dxa"/>
          </w:tcPr>
          <w:p w14:paraId="3E31A6D7"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lastRenderedPageBreak/>
              <w:t>No</w:t>
            </w:r>
          </w:p>
        </w:tc>
        <w:tc>
          <w:tcPr>
            <w:tcW w:w="1744" w:type="dxa"/>
          </w:tcPr>
          <w:p w14:paraId="11DA499E"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tc>
      </w:tr>
      <w:tr w:rsidR="001B31F1" w:rsidRPr="001B31F1" w14:paraId="6E66B5C0" w14:textId="77777777" w:rsidTr="001B31F1">
        <w:tc>
          <w:tcPr>
            <w:tcW w:w="701" w:type="dxa"/>
          </w:tcPr>
          <w:p w14:paraId="04B64878" w14:textId="77777777" w:rsidR="001B31F1" w:rsidRPr="001B31F1" w:rsidRDefault="001B31F1" w:rsidP="001B31F1">
            <w:pPr>
              <w:rPr>
                <w:rFonts w:asciiTheme="minorHAnsi" w:hAnsiTheme="minorHAnsi" w:cstheme="minorHAnsi"/>
                <w:szCs w:val="24"/>
              </w:rPr>
            </w:pPr>
            <w:r w:rsidRPr="001B31F1">
              <w:rPr>
                <w:rFonts w:asciiTheme="minorHAnsi" w:hAnsiTheme="minorHAnsi" w:cstheme="minorHAnsi"/>
                <w:color w:val="000000"/>
                <w:szCs w:val="24"/>
              </w:rPr>
              <w:t>PI5</w:t>
            </w:r>
          </w:p>
        </w:tc>
        <w:tc>
          <w:tcPr>
            <w:tcW w:w="1691" w:type="dxa"/>
          </w:tcPr>
          <w:p w14:paraId="6006CEFA"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Fix Times for Severity 1 incidents</w:t>
            </w:r>
          </w:p>
        </w:tc>
        <w:tc>
          <w:tcPr>
            <w:tcW w:w="1784" w:type="dxa"/>
          </w:tcPr>
          <w:p w14:paraId="003F2D2F"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See Paragraph 5 of Part B of this Annex</w:t>
            </w:r>
          </w:p>
        </w:tc>
        <w:tc>
          <w:tcPr>
            <w:tcW w:w="2829" w:type="dxa"/>
          </w:tcPr>
          <w:p w14:paraId="12B507D1"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Per calendar month</w:t>
            </w:r>
          </w:p>
        </w:tc>
        <w:tc>
          <w:tcPr>
            <w:tcW w:w="4018" w:type="dxa"/>
          </w:tcPr>
          <w:p w14:paraId="45F9A90E"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Severity 1 incidents:</w:t>
            </w:r>
          </w:p>
          <w:p w14:paraId="15D754E9"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Target Performance Level: &lt;=4 hours</w:t>
            </w:r>
          </w:p>
          <w:p w14:paraId="00E13DFF"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Minor PI Failure: &gt;4 to &lt;=6 hours</w:t>
            </w:r>
          </w:p>
          <w:p w14:paraId="5C1420D3"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Serious PI Failure: &gt;6 to &lt;=8 hours</w:t>
            </w:r>
          </w:p>
          <w:p w14:paraId="0B3C198C"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Severe PI Failure: &gt;8 to &lt;=10 hours</w:t>
            </w:r>
          </w:p>
          <w:p w14:paraId="1BACB51A"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 Service Threshold: &gt;10 hours</w:t>
            </w:r>
          </w:p>
        </w:tc>
        <w:tc>
          <w:tcPr>
            <w:tcW w:w="1744" w:type="dxa"/>
          </w:tcPr>
          <w:p w14:paraId="4BAC647C"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No</w:t>
            </w:r>
          </w:p>
        </w:tc>
        <w:tc>
          <w:tcPr>
            <w:tcW w:w="1744" w:type="dxa"/>
          </w:tcPr>
          <w:p w14:paraId="2F97D22C" w14:textId="77777777" w:rsidR="001B31F1" w:rsidRPr="001B31F1" w:rsidRDefault="001B31F1" w:rsidP="001B31F1">
            <w:pPr>
              <w:rPr>
                <w:rFonts w:asciiTheme="minorHAnsi" w:hAnsiTheme="minorHAnsi" w:cstheme="minorHAnsi"/>
                <w:color w:val="000000"/>
                <w:szCs w:val="24"/>
              </w:rPr>
            </w:pPr>
          </w:p>
        </w:tc>
      </w:tr>
      <w:tr w:rsidR="001B31F1" w:rsidRPr="001B31F1" w14:paraId="357CA4C2" w14:textId="77777777" w:rsidTr="001B31F1">
        <w:tc>
          <w:tcPr>
            <w:tcW w:w="701" w:type="dxa"/>
          </w:tcPr>
          <w:p w14:paraId="755789CC"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PI6</w:t>
            </w:r>
          </w:p>
        </w:tc>
        <w:tc>
          <w:tcPr>
            <w:tcW w:w="1691" w:type="dxa"/>
          </w:tcPr>
          <w:p w14:paraId="3A4E4B79"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Fix Times for Severity 2 incidents</w:t>
            </w:r>
          </w:p>
        </w:tc>
        <w:tc>
          <w:tcPr>
            <w:tcW w:w="1784" w:type="dxa"/>
          </w:tcPr>
          <w:p w14:paraId="68B23E3E" w14:textId="77777777" w:rsidR="001B31F1" w:rsidRPr="001B31F1" w:rsidRDefault="001B31F1" w:rsidP="001B31F1">
            <w:pPr>
              <w:rPr>
                <w:rFonts w:asciiTheme="minorHAnsi" w:hAnsiTheme="minorHAnsi" w:cstheme="minorHAnsi"/>
                <w:b/>
                <w:color w:val="000000"/>
                <w:szCs w:val="24"/>
              </w:rPr>
            </w:pPr>
            <w:bookmarkStart w:id="322" w:name="_heading=h.37m2jsg" w:colFirst="0" w:colLast="0"/>
            <w:bookmarkEnd w:id="322"/>
            <w:r w:rsidRPr="001B31F1">
              <w:rPr>
                <w:rFonts w:asciiTheme="minorHAnsi" w:hAnsiTheme="minorHAnsi" w:cstheme="minorHAnsi"/>
                <w:color w:val="000000"/>
                <w:szCs w:val="24"/>
              </w:rPr>
              <w:t>See Paragraph 5 of Part B of this Annex</w:t>
            </w:r>
          </w:p>
        </w:tc>
        <w:tc>
          <w:tcPr>
            <w:tcW w:w="2829" w:type="dxa"/>
          </w:tcPr>
          <w:p w14:paraId="190AAFD6"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Per calendar month</w:t>
            </w:r>
          </w:p>
        </w:tc>
        <w:tc>
          <w:tcPr>
            <w:tcW w:w="4018" w:type="dxa"/>
          </w:tcPr>
          <w:p w14:paraId="4A085A04"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Severity 2 incidents:</w:t>
            </w:r>
          </w:p>
          <w:p w14:paraId="3D722AEA"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Target Performance Level: &lt;=6 hours</w:t>
            </w:r>
          </w:p>
          <w:p w14:paraId="5FE51638"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Minor PI Failure: &gt;6 to &lt;=8 hours</w:t>
            </w:r>
          </w:p>
          <w:p w14:paraId="7292398F"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Serious PI Failure: &gt;8 to &lt;=12 hours</w:t>
            </w:r>
          </w:p>
          <w:p w14:paraId="6EB70D45"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Severe PI Failure:  &gt;12 to &lt;=16 hours</w:t>
            </w:r>
          </w:p>
          <w:p w14:paraId="7F8506AD"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 Service Threshold: &gt;16 hours</w:t>
            </w:r>
          </w:p>
        </w:tc>
        <w:tc>
          <w:tcPr>
            <w:tcW w:w="1744" w:type="dxa"/>
          </w:tcPr>
          <w:p w14:paraId="2D5E095E"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No</w:t>
            </w:r>
          </w:p>
        </w:tc>
        <w:tc>
          <w:tcPr>
            <w:tcW w:w="1744" w:type="dxa"/>
          </w:tcPr>
          <w:p w14:paraId="0B9A31FE" w14:textId="77777777" w:rsidR="001B31F1" w:rsidRPr="001B31F1" w:rsidRDefault="001B31F1" w:rsidP="001B31F1">
            <w:pPr>
              <w:rPr>
                <w:rFonts w:asciiTheme="minorHAnsi" w:hAnsiTheme="minorHAnsi" w:cstheme="minorHAnsi"/>
                <w:color w:val="000000"/>
                <w:szCs w:val="24"/>
              </w:rPr>
            </w:pPr>
          </w:p>
        </w:tc>
      </w:tr>
      <w:tr w:rsidR="001B31F1" w:rsidRPr="001B31F1" w14:paraId="2DC0251A" w14:textId="77777777" w:rsidTr="001B31F1">
        <w:tc>
          <w:tcPr>
            <w:tcW w:w="701" w:type="dxa"/>
          </w:tcPr>
          <w:p w14:paraId="09C964E5"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PI7</w:t>
            </w:r>
          </w:p>
        </w:tc>
        <w:tc>
          <w:tcPr>
            <w:tcW w:w="1691" w:type="dxa"/>
          </w:tcPr>
          <w:p w14:paraId="0E30646F"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Pipeline services</w:t>
            </w:r>
          </w:p>
        </w:tc>
        <w:tc>
          <w:tcPr>
            <w:tcW w:w="1784" w:type="dxa"/>
          </w:tcPr>
          <w:p w14:paraId="7189B57C" w14:textId="77777777" w:rsidR="001B31F1" w:rsidRPr="001B31F1" w:rsidRDefault="001B31F1" w:rsidP="001B31F1">
            <w:pPr>
              <w:rPr>
                <w:rFonts w:asciiTheme="minorHAnsi" w:hAnsiTheme="minorHAnsi" w:cstheme="minorHAnsi"/>
                <w:b/>
                <w:color w:val="000000"/>
                <w:szCs w:val="24"/>
              </w:rPr>
            </w:pPr>
            <w:bookmarkStart w:id="323" w:name="_heading=h.lvsvrj4oxbal" w:colFirst="0" w:colLast="0"/>
            <w:bookmarkEnd w:id="323"/>
            <w:r w:rsidRPr="001B31F1">
              <w:rPr>
                <w:rFonts w:asciiTheme="minorHAnsi" w:hAnsiTheme="minorHAnsi" w:cstheme="minorHAnsi"/>
                <w:color w:val="000000"/>
                <w:szCs w:val="24"/>
              </w:rPr>
              <w:t xml:space="preserve">Where pipeline services are used (such as batch data processing), then we'll also expect to have visibility of </w:t>
            </w:r>
            <w:r w:rsidRPr="001B31F1">
              <w:rPr>
                <w:rFonts w:asciiTheme="minorHAnsi" w:hAnsiTheme="minorHAnsi" w:cstheme="minorHAnsi"/>
                <w:color w:val="000000"/>
                <w:szCs w:val="24"/>
              </w:rPr>
              <w:lastRenderedPageBreak/>
              <w:t>associated (Service Level Indicators) SLIs and (Service Level Objectives) SLOs each service. This will enable us to ensure that we’re able to manage issues.</w:t>
            </w:r>
          </w:p>
        </w:tc>
        <w:tc>
          <w:tcPr>
            <w:tcW w:w="2829" w:type="dxa"/>
          </w:tcPr>
          <w:p w14:paraId="4B045AF8" w14:textId="77777777"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lastRenderedPageBreak/>
              <w:t>Per calendar month</w:t>
            </w:r>
          </w:p>
        </w:tc>
        <w:tc>
          <w:tcPr>
            <w:tcW w:w="4018" w:type="dxa"/>
          </w:tcPr>
          <w:p w14:paraId="0122BEEE"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During the Implementation period, the Authority will work with the Supplier in order to define and agree appropriate Performance Indicators and levels adopting Supplier's current standards where appropriate.</w:t>
            </w:r>
          </w:p>
        </w:tc>
        <w:tc>
          <w:tcPr>
            <w:tcW w:w="1744" w:type="dxa"/>
          </w:tcPr>
          <w:p w14:paraId="2D0353FA" w14:textId="77777777"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No</w:t>
            </w:r>
          </w:p>
        </w:tc>
        <w:tc>
          <w:tcPr>
            <w:tcW w:w="1744" w:type="dxa"/>
          </w:tcPr>
          <w:p w14:paraId="73B97B67" w14:textId="77777777" w:rsidR="001B31F1" w:rsidRPr="001B31F1" w:rsidRDefault="001B31F1" w:rsidP="001B31F1">
            <w:pPr>
              <w:rPr>
                <w:rFonts w:asciiTheme="minorHAnsi" w:hAnsiTheme="minorHAnsi" w:cstheme="minorHAnsi"/>
                <w:color w:val="000000"/>
                <w:szCs w:val="24"/>
              </w:rPr>
            </w:pPr>
          </w:p>
        </w:tc>
      </w:tr>
      <w:tr w:rsidR="001B31F1" w:rsidRPr="001B31F1" w14:paraId="6C48E0B9" w14:textId="77777777" w:rsidTr="001B31F1">
        <w:tc>
          <w:tcPr>
            <w:tcW w:w="701" w:type="dxa"/>
          </w:tcPr>
          <w:p w14:paraId="3F5C3049" w14:textId="2C39F1F1" w:rsidR="001B31F1" w:rsidRPr="001B31F1" w:rsidRDefault="001B31F1" w:rsidP="001B31F1">
            <w:pPr>
              <w:rPr>
                <w:rFonts w:asciiTheme="minorHAnsi" w:hAnsiTheme="minorHAnsi" w:cstheme="minorHAnsi"/>
                <w:color w:val="000000"/>
                <w:szCs w:val="24"/>
              </w:rPr>
            </w:pPr>
            <w:r w:rsidRPr="001B31F1">
              <w:rPr>
                <w:rFonts w:asciiTheme="minorHAnsi" w:hAnsiTheme="minorHAnsi" w:cstheme="minorHAnsi"/>
                <w:color w:val="000000"/>
                <w:szCs w:val="24"/>
              </w:rPr>
              <w:t>PI8</w:t>
            </w:r>
          </w:p>
        </w:tc>
        <w:tc>
          <w:tcPr>
            <w:tcW w:w="1691" w:type="dxa"/>
          </w:tcPr>
          <w:p w14:paraId="4EB53231" w14:textId="57F13748" w:rsidR="001B31F1" w:rsidRPr="00826477" w:rsidRDefault="001B31F1" w:rsidP="001B31F1">
            <w:pPr>
              <w:widowControl w:val="0"/>
              <w:spacing w:line="276" w:lineRule="auto"/>
              <w:rPr>
                <w:rFonts w:asciiTheme="minorHAnsi" w:hAnsiTheme="minorHAnsi" w:cstheme="minorHAnsi"/>
                <w:color w:val="000000"/>
                <w:szCs w:val="24"/>
              </w:rPr>
            </w:pPr>
            <w:r w:rsidRPr="00826477">
              <w:rPr>
                <w:rFonts w:asciiTheme="minorHAnsi" w:hAnsiTheme="minorHAnsi" w:cstheme="minorHAnsi"/>
                <w:color w:val="000000"/>
                <w:szCs w:val="24"/>
              </w:rPr>
              <w:t>[Social Value PI]</w:t>
            </w:r>
          </w:p>
          <w:p w14:paraId="5676DCEC" w14:textId="4577E97D" w:rsidR="00826477" w:rsidRDefault="00826477" w:rsidP="001B31F1">
            <w:pPr>
              <w:widowControl w:val="0"/>
              <w:spacing w:line="276" w:lineRule="auto"/>
              <w:rPr>
                <w:rFonts w:asciiTheme="minorHAnsi" w:hAnsiTheme="minorHAnsi" w:cstheme="minorHAnsi"/>
                <w:szCs w:val="24"/>
              </w:rPr>
            </w:pPr>
          </w:p>
          <w:p w14:paraId="18535B31" w14:textId="5E44DB86" w:rsidR="001B31F1" w:rsidRPr="00826477" w:rsidRDefault="001B31F1" w:rsidP="001B31F1">
            <w:pPr>
              <w:widowControl w:val="0"/>
              <w:spacing w:line="276" w:lineRule="auto"/>
              <w:rPr>
                <w:rFonts w:asciiTheme="minorHAnsi" w:hAnsiTheme="minorHAnsi" w:cstheme="minorHAnsi"/>
                <w:color w:val="000000"/>
                <w:szCs w:val="24"/>
              </w:rPr>
            </w:pPr>
            <w:r w:rsidRPr="00826477">
              <w:rPr>
                <w:rFonts w:asciiTheme="minorHAnsi" w:hAnsiTheme="minorHAnsi" w:cstheme="minorHAnsi"/>
                <w:color w:val="000000"/>
                <w:szCs w:val="24"/>
              </w:rPr>
              <w:t xml:space="preserve">[Social Value PI to be </w:t>
            </w:r>
            <w:r w:rsidR="00826477" w:rsidRPr="00826477">
              <w:rPr>
                <w:rFonts w:asciiTheme="minorHAnsi" w:hAnsiTheme="minorHAnsi" w:cstheme="minorHAnsi"/>
                <w:color w:val="000000"/>
                <w:szCs w:val="24"/>
              </w:rPr>
              <w:t xml:space="preserve">agreed and inserted by the Parties within 30 days of the Effective Date, </w:t>
            </w:r>
            <w:r w:rsidRPr="00826477">
              <w:rPr>
                <w:rFonts w:asciiTheme="minorHAnsi" w:hAnsiTheme="minorHAnsi" w:cstheme="minorHAnsi"/>
                <w:color w:val="000000"/>
                <w:szCs w:val="24"/>
              </w:rPr>
              <w:t xml:space="preserve">based on the </w:t>
            </w:r>
            <w:r w:rsidR="00826477" w:rsidRPr="00826477">
              <w:rPr>
                <w:rFonts w:asciiTheme="minorHAnsi" w:hAnsiTheme="minorHAnsi" w:cstheme="minorHAnsi"/>
                <w:color w:val="000000"/>
                <w:szCs w:val="24"/>
              </w:rPr>
              <w:t>Supplier's</w:t>
            </w:r>
            <w:r w:rsidRPr="00826477">
              <w:rPr>
                <w:rFonts w:asciiTheme="minorHAnsi" w:hAnsiTheme="minorHAnsi" w:cstheme="minorHAnsi"/>
                <w:color w:val="000000"/>
                <w:szCs w:val="24"/>
              </w:rPr>
              <w:t xml:space="preserve"> </w:t>
            </w:r>
            <w:r w:rsidR="00826477" w:rsidRPr="00826477">
              <w:rPr>
                <w:rFonts w:asciiTheme="minorHAnsi" w:hAnsiTheme="minorHAnsi" w:cstheme="minorHAnsi"/>
                <w:color w:val="000000"/>
                <w:szCs w:val="24"/>
              </w:rPr>
              <w:t xml:space="preserve">ITT </w:t>
            </w:r>
            <w:r w:rsidRPr="00826477">
              <w:rPr>
                <w:rFonts w:asciiTheme="minorHAnsi" w:hAnsiTheme="minorHAnsi" w:cstheme="minorHAnsi"/>
                <w:color w:val="000000"/>
                <w:szCs w:val="24"/>
              </w:rPr>
              <w:lastRenderedPageBreak/>
              <w:t xml:space="preserve">Response. </w:t>
            </w:r>
            <w:r w:rsidR="00826477" w:rsidRPr="00826477">
              <w:rPr>
                <w:rFonts w:asciiTheme="minorHAnsi" w:hAnsiTheme="minorHAnsi" w:cstheme="minorHAnsi"/>
                <w:color w:val="000000"/>
                <w:szCs w:val="24"/>
              </w:rPr>
              <w:t>P</w:t>
            </w:r>
            <w:r w:rsidRPr="00826477">
              <w:rPr>
                <w:rFonts w:asciiTheme="minorHAnsi" w:hAnsiTheme="minorHAnsi" w:cstheme="minorHAnsi"/>
                <w:color w:val="000000"/>
                <w:szCs w:val="24"/>
              </w:rPr>
              <w:t>erformance against the social value PI(s) will be published by the Authority in line with Government policy]</w:t>
            </w:r>
          </w:p>
          <w:p w14:paraId="50DE3506" w14:textId="7279D5AA" w:rsidR="001B31F1" w:rsidRPr="00826477" w:rsidRDefault="001B31F1" w:rsidP="001B31F1">
            <w:pPr>
              <w:rPr>
                <w:rFonts w:asciiTheme="minorHAnsi" w:hAnsiTheme="minorHAnsi" w:cstheme="minorHAnsi"/>
                <w:color w:val="000000"/>
                <w:szCs w:val="24"/>
              </w:rPr>
            </w:pPr>
            <w:r w:rsidRPr="00826477">
              <w:rPr>
                <w:rFonts w:asciiTheme="minorHAnsi" w:hAnsiTheme="minorHAnsi" w:cstheme="minorHAnsi"/>
                <w:i/>
                <w:color w:val="000000"/>
                <w:szCs w:val="24"/>
              </w:rPr>
              <w:t xml:space="preserve"> </w:t>
            </w:r>
          </w:p>
        </w:tc>
        <w:tc>
          <w:tcPr>
            <w:tcW w:w="1784" w:type="dxa"/>
          </w:tcPr>
          <w:p w14:paraId="77A5194B" w14:textId="2713C17D" w:rsidR="001B31F1" w:rsidRPr="00826477" w:rsidRDefault="001B31F1" w:rsidP="001B31F1">
            <w:pPr>
              <w:rPr>
                <w:rFonts w:asciiTheme="minorHAnsi" w:hAnsiTheme="minorHAnsi" w:cstheme="minorHAnsi"/>
                <w:b/>
                <w:color w:val="000000"/>
                <w:szCs w:val="24"/>
              </w:rPr>
            </w:pPr>
          </w:p>
        </w:tc>
        <w:tc>
          <w:tcPr>
            <w:tcW w:w="2829" w:type="dxa"/>
          </w:tcPr>
          <w:p w14:paraId="13C84497" w14:textId="4FDB6367" w:rsidR="001B31F1" w:rsidRPr="001B31F1" w:rsidRDefault="001B31F1" w:rsidP="001B31F1">
            <w:pPr>
              <w:rPr>
                <w:rFonts w:asciiTheme="minorHAnsi" w:hAnsiTheme="minorHAnsi" w:cstheme="minorHAnsi"/>
                <w:color w:val="000000"/>
                <w:szCs w:val="24"/>
              </w:rPr>
            </w:pPr>
          </w:p>
        </w:tc>
        <w:tc>
          <w:tcPr>
            <w:tcW w:w="4018" w:type="dxa"/>
          </w:tcPr>
          <w:p w14:paraId="04FC0F87" w14:textId="73DF5910" w:rsidR="001B31F1" w:rsidRPr="001B31F1" w:rsidRDefault="001B31F1" w:rsidP="001B31F1">
            <w:pPr>
              <w:rPr>
                <w:rFonts w:asciiTheme="minorHAnsi" w:hAnsiTheme="minorHAnsi" w:cstheme="minorHAnsi"/>
                <w:b/>
                <w:color w:val="000000"/>
                <w:szCs w:val="24"/>
              </w:rPr>
            </w:pPr>
          </w:p>
        </w:tc>
        <w:tc>
          <w:tcPr>
            <w:tcW w:w="1744" w:type="dxa"/>
          </w:tcPr>
          <w:p w14:paraId="54EC6A22" w14:textId="482F4C78" w:rsidR="001B31F1" w:rsidRPr="001B31F1" w:rsidRDefault="001B31F1" w:rsidP="001B31F1">
            <w:pPr>
              <w:rPr>
                <w:rFonts w:asciiTheme="minorHAnsi" w:hAnsiTheme="minorHAnsi" w:cstheme="minorHAnsi"/>
                <w:b/>
                <w:color w:val="000000"/>
                <w:szCs w:val="24"/>
              </w:rPr>
            </w:pPr>
            <w:r w:rsidRPr="001B31F1">
              <w:rPr>
                <w:rFonts w:asciiTheme="minorHAnsi" w:hAnsiTheme="minorHAnsi" w:cstheme="minorHAnsi"/>
                <w:color w:val="000000"/>
                <w:szCs w:val="24"/>
              </w:rPr>
              <w:t>Yes</w:t>
            </w:r>
          </w:p>
        </w:tc>
        <w:tc>
          <w:tcPr>
            <w:tcW w:w="1744" w:type="dxa"/>
          </w:tcPr>
          <w:p w14:paraId="0CB08E1F" w14:textId="0B400B29" w:rsidR="001B31F1" w:rsidRPr="001B31F1" w:rsidRDefault="001B31F1" w:rsidP="001B31F1">
            <w:pPr>
              <w:rPr>
                <w:rFonts w:asciiTheme="minorHAnsi" w:hAnsiTheme="minorHAnsi" w:cstheme="minorHAnsi"/>
                <w:color w:val="000000"/>
                <w:szCs w:val="24"/>
              </w:rPr>
            </w:pPr>
          </w:p>
        </w:tc>
      </w:tr>
    </w:tbl>
    <w:p w14:paraId="42E21284" w14:textId="77777777" w:rsidR="001B31F1" w:rsidRPr="001B31F1" w:rsidRDefault="001B31F1" w:rsidP="001B31F1">
      <w:pPr>
        <w:rPr>
          <w:rFonts w:asciiTheme="minorHAnsi" w:hAnsiTheme="minorHAnsi" w:cstheme="minorHAnsi"/>
          <w:szCs w:val="24"/>
        </w:rPr>
      </w:pPr>
    </w:p>
    <w:p w14:paraId="75ED2EC9" w14:textId="77777777" w:rsidR="001B31F1" w:rsidRPr="001B31F1" w:rsidRDefault="001B31F1" w:rsidP="001B31F1">
      <w:pPr>
        <w:rPr>
          <w:rFonts w:asciiTheme="minorHAnsi" w:hAnsiTheme="minorHAnsi" w:cstheme="minorHAnsi"/>
          <w:szCs w:val="24"/>
        </w:rPr>
      </w:pPr>
      <w:r w:rsidRPr="001B31F1">
        <w:rPr>
          <w:rFonts w:asciiTheme="minorHAnsi" w:hAnsiTheme="minorHAnsi" w:cstheme="minorHAnsi"/>
          <w:szCs w:val="24"/>
        </w:rPr>
        <w:br w:type="page"/>
      </w:r>
    </w:p>
    <w:p w14:paraId="2728D73F" w14:textId="77777777" w:rsidR="001B31F1" w:rsidRPr="001B31F1" w:rsidRDefault="001B31F1" w:rsidP="001B31F1">
      <w:pPr>
        <w:pStyle w:val="Heading3"/>
        <w:rPr>
          <w:rFonts w:asciiTheme="minorHAnsi" w:hAnsiTheme="minorHAnsi" w:cstheme="minorHAnsi"/>
          <w:szCs w:val="24"/>
        </w:rPr>
      </w:pPr>
      <w:bookmarkStart w:id="324" w:name="_heading=h.46r0co2" w:colFirst="0" w:colLast="0"/>
      <w:bookmarkEnd w:id="324"/>
      <w:r w:rsidRPr="001B31F1">
        <w:rPr>
          <w:rFonts w:asciiTheme="minorHAnsi" w:hAnsiTheme="minorHAnsi" w:cstheme="minorHAnsi"/>
          <w:szCs w:val="24"/>
        </w:rPr>
        <w:lastRenderedPageBreak/>
        <w:t>Optional Services</w:t>
      </w:r>
    </w:p>
    <w:p w14:paraId="64D65A09" w14:textId="77777777" w:rsidR="001B31F1" w:rsidRPr="001B31F1" w:rsidRDefault="001B31F1" w:rsidP="001B31F1">
      <w:pPr>
        <w:rPr>
          <w:rFonts w:asciiTheme="minorHAnsi" w:hAnsiTheme="minorHAnsi" w:cstheme="minorHAnsi"/>
          <w:szCs w:val="24"/>
        </w:rPr>
      </w:pPr>
      <w:r w:rsidRPr="001B31F1">
        <w:rPr>
          <w:rFonts w:asciiTheme="minorHAnsi" w:hAnsiTheme="minorHAnsi" w:cstheme="minorHAnsi"/>
          <w:szCs w:val="24"/>
        </w:rPr>
        <w:t>The Key Performance Indicators and Subsidiary Performance Indicators that shall apply to the Optional Services are set out below:</w:t>
      </w:r>
    </w:p>
    <w:p w14:paraId="0E48F66C" w14:textId="77777777" w:rsidR="001B31F1" w:rsidRPr="001B31F1" w:rsidRDefault="001B31F1" w:rsidP="00E1349E">
      <w:pPr>
        <w:pStyle w:val="Heading3"/>
        <w:numPr>
          <w:ilvl w:val="0"/>
          <w:numId w:val="241"/>
        </w:numPr>
        <w:rPr>
          <w:rFonts w:asciiTheme="minorHAnsi" w:hAnsiTheme="minorHAnsi" w:cstheme="minorHAnsi"/>
          <w:szCs w:val="24"/>
        </w:rPr>
      </w:pPr>
      <w:r w:rsidRPr="001B31F1">
        <w:rPr>
          <w:rFonts w:asciiTheme="minorHAnsi" w:hAnsiTheme="minorHAnsi" w:cstheme="minorHAnsi"/>
          <w:szCs w:val="24"/>
        </w:rPr>
        <w:t>Key Performance Indicators</w:t>
      </w:r>
    </w:p>
    <w:tbl>
      <w:tblPr>
        <w:tblW w:w="15161" w:type="dxa"/>
        <w:tblInd w:w="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680"/>
        <w:gridCol w:w="2098"/>
        <w:gridCol w:w="1361"/>
        <w:gridCol w:w="1814"/>
        <w:gridCol w:w="2835"/>
        <w:gridCol w:w="987"/>
        <w:gridCol w:w="5386"/>
      </w:tblGrid>
      <w:tr w:rsidR="001B31F1" w:rsidRPr="001B31F1" w14:paraId="3448552B" w14:textId="77777777" w:rsidTr="001B31F1">
        <w:trPr>
          <w:tblHeader/>
        </w:trPr>
        <w:tc>
          <w:tcPr>
            <w:tcW w:w="680" w:type="dxa"/>
          </w:tcPr>
          <w:p w14:paraId="202236F9"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No.</w:t>
            </w:r>
          </w:p>
        </w:tc>
        <w:tc>
          <w:tcPr>
            <w:tcW w:w="2098" w:type="dxa"/>
          </w:tcPr>
          <w:p w14:paraId="5BA3A89A"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Key Performance Indicator Title</w:t>
            </w:r>
          </w:p>
        </w:tc>
        <w:tc>
          <w:tcPr>
            <w:tcW w:w="1361" w:type="dxa"/>
          </w:tcPr>
          <w:p w14:paraId="3087F3FD"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Definition</w:t>
            </w:r>
          </w:p>
        </w:tc>
        <w:tc>
          <w:tcPr>
            <w:tcW w:w="1814" w:type="dxa"/>
          </w:tcPr>
          <w:p w14:paraId="6AA7F4CB"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Frequency of Measurement</w:t>
            </w:r>
          </w:p>
        </w:tc>
        <w:tc>
          <w:tcPr>
            <w:tcW w:w="2835" w:type="dxa"/>
          </w:tcPr>
          <w:p w14:paraId="4866FF50"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Severity Levels</w:t>
            </w:r>
          </w:p>
        </w:tc>
        <w:tc>
          <w:tcPr>
            <w:tcW w:w="987" w:type="dxa"/>
          </w:tcPr>
          <w:p w14:paraId="325D8BA9"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Service Points</w:t>
            </w:r>
          </w:p>
        </w:tc>
        <w:tc>
          <w:tcPr>
            <w:tcW w:w="5386" w:type="dxa"/>
          </w:tcPr>
          <w:p w14:paraId="49C3A5F0"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Publishable Performance Information</w:t>
            </w:r>
          </w:p>
          <w:p w14:paraId="71C1D654"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tc>
      </w:tr>
      <w:tr w:rsidR="001B31F1" w:rsidRPr="001B31F1" w14:paraId="57161FAD" w14:textId="77777777" w:rsidTr="001B31F1">
        <w:tc>
          <w:tcPr>
            <w:tcW w:w="680" w:type="dxa"/>
          </w:tcPr>
          <w:p w14:paraId="55F827D0"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KPI1</w:t>
            </w:r>
          </w:p>
        </w:tc>
        <w:tc>
          <w:tcPr>
            <w:tcW w:w="2098" w:type="dxa"/>
          </w:tcPr>
          <w:p w14:paraId="2C1C448F" w14:textId="0DB35CF9" w:rsidR="001B31F1" w:rsidRPr="00826477" w:rsidRDefault="001B31F1" w:rsidP="00826477">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 xml:space="preserve">[Any KPIs that will apply to performance of the Optional Services will be agreed with the </w:t>
            </w:r>
            <w:r w:rsidR="00826477" w:rsidRPr="00826477">
              <w:rPr>
                <w:rFonts w:asciiTheme="minorHAnsi" w:hAnsiTheme="minorHAnsi" w:cstheme="minorHAnsi"/>
                <w:color w:val="000000"/>
                <w:szCs w:val="24"/>
              </w:rPr>
              <w:t>Supplier</w:t>
            </w:r>
            <w:r w:rsidRPr="00826477">
              <w:rPr>
                <w:rFonts w:asciiTheme="minorHAnsi" w:hAnsiTheme="minorHAnsi" w:cstheme="minorHAnsi"/>
                <w:color w:val="000000"/>
                <w:szCs w:val="24"/>
              </w:rPr>
              <w:t xml:space="preserve"> during Implementation]</w:t>
            </w:r>
          </w:p>
        </w:tc>
        <w:tc>
          <w:tcPr>
            <w:tcW w:w="1361" w:type="dxa"/>
          </w:tcPr>
          <w:p w14:paraId="537EEE4D"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 ]</w:t>
            </w:r>
          </w:p>
        </w:tc>
        <w:tc>
          <w:tcPr>
            <w:tcW w:w="1814" w:type="dxa"/>
          </w:tcPr>
          <w:p w14:paraId="4788DD55"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p>
        </w:tc>
        <w:tc>
          <w:tcPr>
            <w:tcW w:w="2835" w:type="dxa"/>
          </w:tcPr>
          <w:p w14:paraId="689FEC27"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Target Performance Level: [ ]</w:t>
            </w:r>
          </w:p>
          <w:p w14:paraId="5A33920C"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Minor KPI Failure: [ ]</w:t>
            </w:r>
          </w:p>
          <w:p w14:paraId="0776B632"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Serious KPI Failure: [ ]</w:t>
            </w:r>
          </w:p>
          <w:p w14:paraId="70385BDA"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Severe KPI Failure: [ ]</w:t>
            </w:r>
          </w:p>
          <w:p w14:paraId="3D28A32C"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Service Threshold: [ ]</w:t>
            </w:r>
          </w:p>
        </w:tc>
        <w:tc>
          <w:tcPr>
            <w:tcW w:w="987" w:type="dxa"/>
          </w:tcPr>
          <w:p w14:paraId="5B0894E4"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br/>
            </w:r>
          </w:p>
          <w:p w14:paraId="7344DAB9"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p>
        </w:tc>
        <w:tc>
          <w:tcPr>
            <w:tcW w:w="5386" w:type="dxa"/>
          </w:tcPr>
          <w:p w14:paraId="3387DAA0"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[YES/NO]</w:t>
            </w:r>
          </w:p>
          <w:p w14:paraId="7DDB09DB"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p>
        </w:tc>
      </w:tr>
    </w:tbl>
    <w:p w14:paraId="06CA1947" w14:textId="77777777" w:rsidR="001B31F1" w:rsidRPr="001B31F1" w:rsidRDefault="001B31F1" w:rsidP="001B31F1">
      <w:pPr>
        <w:rPr>
          <w:rFonts w:asciiTheme="minorHAnsi" w:hAnsiTheme="minorHAnsi" w:cstheme="minorHAnsi"/>
          <w:szCs w:val="24"/>
        </w:rPr>
      </w:pPr>
    </w:p>
    <w:p w14:paraId="12385BB6" w14:textId="77777777" w:rsidR="001B31F1" w:rsidRPr="001B31F1" w:rsidRDefault="001B31F1" w:rsidP="001B31F1">
      <w:pPr>
        <w:rPr>
          <w:rFonts w:asciiTheme="minorHAnsi" w:hAnsiTheme="minorHAnsi" w:cstheme="minorHAnsi"/>
          <w:szCs w:val="24"/>
        </w:rPr>
      </w:pPr>
      <w:r w:rsidRPr="001B31F1">
        <w:rPr>
          <w:rFonts w:asciiTheme="minorHAnsi" w:hAnsiTheme="minorHAnsi" w:cstheme="minorHAnsi"/>
          <w:szCs w:val="24"/>
        </w:rPr>
        <w:br w:type="page"/>
      </w:r>
    </w:p>
    <w:p w14:paraId="17232152" w14:textId="77777777" w:rsidR="001B31F1" w:rsidRPr="001B31F1" w:rsidRDefault="001B31F1" w:rsidP="00E1349E">
      <w:pPr>
        <w:pStyle w:val="Heading3"/>
        <w:numPr>
          <w:ilvl w:val="0"/>
          <w:numId w:val="241"/>
        </w:numPr>
        <w:rPr>
          <w:rFonts w:asciiTheme="minorHAnsi" w:hAnsiTheme="minorHAnsi" w:cstheme="minorHAnsi"/>
          <w:szCs w:val="24"/>
        </w:rPr>
      </w:pPr>
      <w:r w:rsidRPr="001B31F1">
        <w:rPr>
          <w:rFonts w:asciiTheme="minorHAnsi" w:hAnsiTheme="minorHAnsi" w:cstheme="minorHAnsi"/>
          <w:szCs w:val="24"/>
        </w:rPr>
        <w:lastRenderedPageBreak/>
        <w:t>Subsidiary Performance Indicators</w:t>
      </w:r>
    </w:p>
    <w:tbl>
      <w:tblPr>
        <w:tblW w:w="15137" w:type="dxa"/>
        <w:tblInd w:w="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680"/>
        <w:gridCol w:w="3061"/>
        <w:gridCol w:w="1361"/>
        <w:gridCol w:w="1814"/>
        <w:gridCol w:w="2835"/>
        <w:gridCol w:w="5386"/>
      </w:tblGrid>
      <w:tr w:rsidR="001B31F1" w:rsidRPr="001B31F1" w14:paraId="56EBA54D" w14:textId="77777777" w:rsidTr="001B31F1">
        <w:trPr>
          <w:tblHeader/>
        </w:trPr>
        <w:tc>
          <w:tcPr>
            <w:tcW w:w="680" w:type="dxa"/>
          </w:tcPr>
          <w:p w14:paraId="39C21637"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No.</w:t>
            </w:r>
          </w:p>
        </w:tc>
        <w:tc>
          <w:tcPr>
            <w:tcW w:w="3061" w:type="dxa"/>
          </w:tcPr>
          <w:p w14:paraId="65DB0422"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Subsidiary Performance Indicator Title</w:t>
            </w:r>
          </w:p>
        </w:tc>
        <w:tc>
          <w:tcPr>
            <w:tcW w:w="1361" w:type="dxa"/>
          </w:tcPr>
          <w:p w14:paraId="1E3A897C"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Definition</w:t>
            </w:r>
          </w:p>
        </w:tc>
        <w:tc>
          <w:tcPr>
            <w:tcW w:w="1814" w:type="dxa"/>
          </w:tcPr>
          <w:p w14:paraId="46B91A8F"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Frequency of Measurement</w:t>
            </w:r>
          </w:p>
        </w:tc>
        <w:tc>
          <w:tcPr>
            <w:tcW w:w="2835" w:type="dxa"/>
          </w:tcPr>
          <w:p w14:paraId="463CC8D9"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Severity Levels</w:t>
            </w:r>
          </w:p>
        </w:tc>
        <w:tc>
          <w:tcPr>
            <w:tcW w:w="5386" w:type="dxa"/>
          </w:tcPr>
          <w:p w14:paraId="24F21210"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Publishable Performance Information</w:t>
            </w:r>
          </w:p>
          <w:p w14:paraId="75ABB27F"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p>
        </w:tc>
      </w:tr>
      <w:tr w:rsidR="001B31F1" w:rsidRPr="001B31F1" w14:paraId="428271A5" w14:textId="77777777" w:rsidTr="001B31F1">
        <w:tc>
          <w:tcPr>
            <w:tcW w:w="680" w:type="dxa"/>
          </w:tcPr>
          <w:p w14:paraId="29315BDB" w14:textId="77777777" w:rsidR="001B31F1" w:rsidRPr="001B31F1" w:rsidRDefault="001B31F1" w:rsidP="001B31F1">
            <w:pPr>
              <w:pBdr>
                <w:top w:val="nil"/>
                <w:left w:val="nil"/>
                <w:bottom w:val="nil"/>
                <w:right w:val="nil"/>
                <w:between w:val="nil"/>
              </w:pBdr>
              <w:rPr>
                <w:rFonts w:asciiTheme="minorHAnsi" w:hAnsiTheme="minorHAnsi" w:cstheme="minorHAnsi"/>
                <w:color w:val="000000"/>
                <w:szCs w:val="24"/>
              </w:rPr>
            </w:pPr>
            <w:r w:rsidRPr="001B31F1">
              <w:rPr>
                <w:rFonts w:asciiTheme="minorHAnsi" w:hAnsiTheme="minorHAnsi" w:cstheme="minorHAnsi"/>
                <w:color w:val="000000"/>
                <w:szCs w:val="24"/>
              </w:rPr>
              <w:t>PI1</w:t>
            </w:r>
          </w:p>
        </w:tc>
        <w:tc>
          <w:tcPr>
            <w:tcW w:w="3061" w:type="dxa"/>
          </w:tcPr>
          <w:p w14:paraId="659DB513" w14:textId="3BFCB96F" w:rsidR="001B31F1" w:rsidRPr="00826477" w:rsidRDefault="001B31F1" w:rsidP="00826477">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 xml:space="preserve">[Any Subsidiary PIs that will apply to performance of the Optional Services will be agreed with the </w:t>
            </w:r>
            <w:r w:rsidR="00826477">
              <w:rPr>
                <w:rFonts w:asciiTheme="minorHAnsi" w:hAnsiTheme="minorHAnsi" w:cstheme="minorHAnsi"/>
                <w:color w:val="000000"/>
                <w:szCs w:val="24"/>
              </w:rPr>
              <w:t>Supplier</w:t>
            </w:r>
            <w:r w:rsidRPr="00826477">
              <w:rPr>
                <w:rFonts w:asciiTheme="minorHAnsi" w:hAnsiTheme="minorHAnsi" w:cstheme="minorHAnsi"/>
                <w:color w:val="000000"/>
                <w:szCs w:val="24"/>
              </w:rPr>
              <w:t xml:space="preserve"> during Implementation]</w:t>
            </w:r>
          </w:p>
        </w:tc>
        <w:tc>
          <w:tcPr>
            <w:tcW w:w="1361" w:type="dxa"/>
          </w:tcPr>
          <w:p w14:paraId="6E3895E8"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 ]</w:t>
            </w:r>
          </w:p>
        </w:tc>
        <w:tc>
          <w:tcPr>
            <w:tcW w:w="1814" w:type="dxa"/>
          </w:tcPr>
          <w:p w14:paraId="0BDBD6BA"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p>
        </w:tc>
        <w:tc>
          <w:tcPr>
            <w:tcW w:w="2835" w:type="dxa"/>
          </w:tcPr>
          <w:p w14:paraId="0BC95159"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Target Performance Level: [ ]</w:t>
            </w:r>
          </w:p>
          <w:p w14:paraId="45428A84"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Service Threshold: [ ]</w:t>
            </w:r>
          </w:p>
        </w:tc>
        <w:tc>
          <w:tcPr>
            <w:tcW w:w="5386" w:type="dxa"/>
          </w:tcPr>
          <w:p w14:paraId="24C8B2DC" w14:textId="77777777" w:rsidR="001B31F1" w:rsidRPr="00826477" w:rsidRDefault="001B31F1" w:rsidP="001B31F1">
            <w:pPr>
              <w:pBdr>
                <w:top w:val="nil"/>
                <w:left w:val="nil"/>
                <w:bottom w:val="nil"/>
                <w:right w:val="nil"/>
                <w:between w:val="nil"/>
              </w:pBdr>
              <w:rPr>
                <w:rFonts w:asciiTheme="minorHAnsi" w:hAnsiTheme="minorHAnsi" w:cstheme="minorHAnsi"/>
                <w:color w:val="000000"/>
                <w:szCs w:val="24"/>
              </w:rPr>
            </w:pPr>
            <w:r w:rsidRPr="00826477">
              <w:rPr>
                <w:rFonts w:asciiTheme="minorHAnsi" w:hAnsiTheme="minorHAnsi" w:cstheme="minorHAnsi"/>
                <w:color w:val="000000"/>
                <w:szCs w:val="24"/>
              </w:rPr>
              <w:t>[YES/NO]</w:t>
            </w:r>
          </w:p>
        </w:tc>
      </w:tr>
    </w:tbl>
    <w:p w14:paraId="214EAAF9" w14:textId="77777777" w:rsidR="001B31F1" w:rsidRDefault="001B31F1" w:rsidP="001B31F1">
      <w:pPr>
        <w:sectPr w:rsidR="001B31F1">
          <w:footerReference w:type="default" r:id="rId34"/>
          <w:pgSz w:w="16834" w:h="11909" w:orient="landscape"/>
          <w:pgMar w:top="1701" w:right="851" w:bottom="1134" w:left="851" w:header="567" w:footer="567" w:gutter="0"/>
          <w:cols w:space="720"/>
        </w:sectPr>
      </w:pPr>
    </w:p>
    <w:p w14:paraId="6201D8BD" w14:textId="77777777" w:rsidR="001B31F1" w:rsidRDefault="001B31F1" w:rsidP="001B31F1">
      <w:pPr>
        <w:pStyle w:val="Heading2"/>
      </w:pPr>
      <w:bookmarkStart w:id="325" w:name="bookmark=id.111kx3o" w:colFirst="0" w:colLast="0"/>
      <w:bookmarkStart w:id="326" w:name="bookmark=id.2lwamvv" w:colFirst="0" w:colLast="0"/>
      <w:bookmarkStart w:id="327" w:name="_heading=h.1v1yuxt" w:colFirst="0" w:colLast="0"/>
      <w:bookmarkStart w:id="328" w:name="_Toc145412741"/>
      <w:bookmarkEnd w:id="325"/>
      <w:bookmarkEnd w:id="326"/>
      <w:bookmarkEnd w:id="327"/>
      <w:r>
        <w:lastRenderedPageBreak/>
        <w:t xml:space="preserve">Part B: </w:t>
      </w:r>
      <w:bookmarkStart w:id="329" w:name="bookmark=id.3l18frh" w:colFirst="0" w:colLast="0"/>
      <w:bookmarkEnd w:id="329"/>
      <w:r>
        <w:t>Definitions</w:t>
      </w:r>
      <w:bookmarkEnd w:id="328"/>
    </w:p>
    <w:p w14:paraId="7BE4B308" w14:textId="77777777" w:rsidR="001B31F1" w:rsidRDefault="001B31F1" w:rsidP="00E1349E">
      <w:pPr>
        <w:keepNext/>
        <w:numPr>
          <w:ilvl w:val="0"/>
          <w:numId w:val="245"/>
        </w:numPr>
        <w:pBdr>
          <w:top w:val="nil"/>
          <w:left w:val="nil"/>
          <w:bottom w:val="nil"/>
          <w:right w:val="nil"/>
          <w:between w:val="nil"/>
        </w:pBdr>
        <w:spacing w:before="100" w:after="200"/>
      </w:pPr>
      <w:bookmarkStart w:id="330" w:name="_heading=h.4f1mdlm" w:colFirst="0" w:colLast="0"/>
      <w:bookmarkEnd w:id="330"/>
      <w:r>
        <w:rPr>
          <w:b/>
          <w:color w:val="000000"/>
        </w:rPr>
        <w:t>Available</w:t>
      </w:r>
    </w:p>
    <w:p w14:paraId="0FB53B16" w14:textId="77777777" w:rsidR="001B31F1" w:rsidRDefault="001B31F1" w:rsidP="00E1349E">
      <w:pPr>
        <w:numPr>
          <w:ilvl w:val="1"/>
          <w:numId w:val="245"/>
        </w:numPr>
        <w:pBdr>
          <w:top w:val="nil"/>
          <w:left w:val="nil"/>
          <w:bottom w:val="nil"/>
          <w:right w:val="nil"/>
          <w:between w:val="nil"/>
        </w:pBdr>
        <w:spacing w:before="100" w:after="200"/>
      </w:pPr>
      <w:bookmarkStart w:id="331" w:name="_heading=h.2u6wntf" w:colFirst="0" w:colLast="0"/>
      <w:bookmarkEnd w:id="331"/>
      <w:r>
        <w:rPr>
          <w:color w:val="000000"/>
        </w:rPr>
        <w:t xml:space="preserve">The IT Environment and/or the Services shall be Available when: </w:t>
      </w:r>
    </w:p>
    <w:p w14:paraId="36A8742A" w14:textId="77777777" w:rsidR="001B31F1" w:rsidRDefault="001B31F1" w:rsidP="00E1349E">
      <w:pPr>
        <w:widowControl w:val="0"/>
        <w:numPr>
          <w:ilvl w:val="2"/>
          <w:numId w:val="245"/>
        </w:numPr>
        <w:pBdr>
          <w:top w:val="nil"/>
          <w:left w:val="nil"/>
          <w:bottom w:val="nil"/>
          <w:right w:val="nil"/>
          <w:between w:val="nil"/>
        </w:pBdr>
        <w:spacing w:before="100" w:after="200"/>
      </w:pPr>
      <w:bookmarkStart w:id="332" w:name="_heading=h.206ipza" w:colFirst="0" w:colLast="0"/>
      <w:bookmarkEnd w:id="332"/>
      <w:r>
        <w:rPr>
          <w:color w:val="000000"/>
        </w:rPr>
        <w:t>End Users are able to access and utilise all the functions of the Supplier System and/or the Services; and</w:t>
      </w:r>
    </w:p>
    <w:p w14:paraId="777D396F" w14:textId="77777777" w:rsidR="001B31F1" w:rsidRDefault="001B31F1" w:rsidP="00E1349E">
      <w:pPr>
        <w:widowControl w:val="0"/>
        <w:numPr>
          <w:ilvl w:val="2"/>
          <w:numId w:val="245"/>
        </w:numPr>
        <w:pBdr>
          <w:top w:val="nil"/>
          <w:left w:val="nil"/>
          <w:bottom w:val="nil"/>
          <w:right w:val="nil"/>
          <w:between w:val="nil"/>
        </w:pBdr>
        <w:spacing w:before="100" w:after="200"/>
      </w:pPr>
      <w:r>
        <w:rPr>
          <w:color w:val="000000"/>
        </w:rPr>
        <w:t>the Supplier System is able to process the Authority Data and to provide any required reports within the timescales set out in the Services Description (as measured on a 24 x 7 basis per calendar month); and</w:t>
      </w:r>
    </w:p>
    <w:p w14:paraId="1A1150C9" w14:textId="77777777" w:rsidR="001B31F1" w:rsidRDefault="001B31F1" w:rsidP="00E1349E">
      <w:pPr>
        <w:widowControl w:val="0"/>
        <w:numPr>
          <w:ilvl w:val="2"/>
          <w:numId w:val="245"/>
        </w:numPr>
        <w:pBdr>
          <w:top w:val="nil"/>
          <w:left w:val="nil"/>
          <w:bottom w:val="nil"/>
          <w:right w:val="nil"/>
          <w:between w:val="nil"/>
        </w:pBdr>
        <w:spacing w:before="100" w:after="200"/>
      </w:pPr>
      <w:r>
        <w:rPr>
          <w:color w:val="000000"/>
        </w:rPr>
        <w:t>all Performance Indicators other than Service Availability are above the KPI Service Threshold.</w:t>
      </w:r>
    </w:p>
    <w:p w14:paraId="2554F36E" w14:textId="77777777" w:rsidR="001B31F1" w:rsidRDefault="001B31F1" w:rsidP="00E1349E">
      <w:pPr>
        <w:keepNext/>
        <w:numPr>
          <w:ilvl w:val="0"/>
          <w:numId w:val="245"/>
        </w:numPr>
        <w:pBdr>
          <w:top w:val="nil"/>
          <w:left w:val="nil"/>
          <w:bottom w:val="nil"/>
          <w:right w:val="nil"/>
          <w:between w:val="nil"/>
        </w:pBdr>
        <w:spacing w:before="100" w:after="200"/>
      </w:pPr>
      <w:bookmarkStart w:id="333" w:name="_heading=h.4k668n3" w:colFirst="0" w:colLast="0"/>
      <w:bookmarkEnd w:id="333"/>
      <w:r>
        <w:rPr>
          <w:b/>
          <w:color w:val="000000"/>
        </w:rPr>
        <w:t>Service Availability</w:t>
      </w:r>
    </w:p>
    <w:p w14:paraId="470B9695" w14:textId="77777777" w:rsidR="001B31F1" w:rsidRDefault="001B31F1" w:rsidP="00E1349E">
      <w:pPr>
        <w:numPr>
          <w:ilvl w:val="1"/>
          <w:numId w:val="245"/>
        </w:numPr>
        <w:pBdr>
          <w:top w:val="nil"/>
          <w:left w:val="nil"/>
          <w:bottom w:val="nil"/>
          <w:right w:val="nil"/>
          <w:between w:val="nil"/>
        </w:pBdr>
        <w:spacing w:before="100" w:after="200"/>
      </w:pPr>
      <w:bookmarkStart w:id="334" w:name="_heading=h.2zbgiuw" w:colFirst="0" w:colLast="0"/>
      <w:bookmarkEnd w:id="334"/>
      <w:r>
        <w:rPr>
          <w:color w:val="000000"/>
        </w:rPr>
        <w:t>Service Availability shall be measured as a percentage of the total time in a Service Period, in accordance with the following formula:</w:t>
      </w:r>
    </w:p>
    <w:p w14:paraId="229CA0E1" w14:textId="77777777" w:rsidR="001B31F1" w:rsidRDefault="001B31F1" w:rsidP="001B31F1">
      <w:pPr>
        <w:pBdr>
          <w:top w:val="nil"/>
          <w:left w:val="nil"/>
          <w:bottom w:val="nil"/>
          <w:right w:val="nil"/>
          <w:between w:val="nil"/>
        </w:pBdr>
        <w:spacing w:before="100" w:after="200"/>
        <w:ind w:left="720"/>
      </w:pPr>
      <w:r>
        <w:t xml:space="preserve">Service Availability % = </w:t>
      </w:r>
      <w:r>
        <w:tab/>
      </w:r>
      <m:oMath>
        <m:f>
          <m:fPr>
            <m:ctrlPr>
              <w:rPr>
                <w:rFonts w:ascii="Cambria Math" w:eastAsia="Cambria Math" w:hAnsi="Cambria Math" w:cs="Cambria Math"/>
              </w:rPr>
            </m:ctrlPr>
          </m:fPr>
          <m:num>
            <m:d>
              <m:dPr>
                <m:ctrlPr>
                  <w:rPr>
                    <w:rFonts w:ascii="Cambria Math" w:eastAsia="Cambria Math" w:hAnsi="Cambria Math" w:cs="Cambria Math"/>
                  </w:rPr>
                </m:ctrlPr>
              </m:dPr>
              <m:e>
                <m:r>
                  <w:rPr>
                    <w:rFonts w:ascii="Cambria Math" w:eastAsia="Cambria Math" w:hAnsi="Cambria Math" w:cs="Cambria Math"/>
                  </w:rPr>
                  <m:t>MP-SD</m:t>
                </m:r>
              </m:e>
            </m:d>
            <m:r>
              <w:rPr>
                <w:rFonts w:ascii="Cambria Math" w:eastAsia="Cambria Math" w:hAnsi="Cambria Math" w:cs="Cambria Math"/>
              </w:rPr>
              <m:t xml:space="preserve"> ×100</m:t>
            </m:r>
          </m:num>
          <m:den>
            <m:r>
              <w:rPr>
                <w:rFonts w:ascii="Cambria Math" w:eastAsia="Cambria Math" w:hAnsi="Cambria Math" w:cs="Cambria Math"/>
              </w:rPr>
              <m:t>MP</m:t>
            </m:r>
          </m:den>
        </m:f>
      </m:oMath>
    </w:p>
    <w:p w14:paraId="6DD4ADE7" w14:textId="77777777" w:rsidR="001B31F1" w:rsidRDefault="001B31F1" w:rsidP="001B31F1">
      <w:pPr>
        <w:pBdr>
          <w:top w:val="nil"/>
          <w:left w:val="nil"/>
          <w:bottom w:val="nil"/>
          <w:right w:val="nil"/>
          <w:between w:val="nil"/>
        </w:pBdr>
        <w:spacing w:before="100" w:after="200"/>
        <w:ind w:left="720"/>
      </w:pPr>
      <w:r>
        <w:t>where:</w:t>
      </w:r>
    </w:p>
    <w:p w14:paraId="132072C7" w14:textId="77777777" w:rsidR="001B31F1" w:rsidRDefault="001B31F1" w:rsidP="001B31F1">
      <w:pPr>
        <w:pBdr>
          <w:top w:val="nil"/>
          <w:left w:val="nil"/>
          <w:bottom w:val="nil"/>
          <w:right w:val="nil"/>
          <w:between w:val="nil"/>
        </w:pBdr>
        <w:spacing w:before="100" w:after="200"/>
        <w:ind w:left="1803" w:hanging="1083"/>
      </w:pPr>
      <w:r>
        <w:t xml:space="preserve">MP = </w:t>
      </w:r>
      <w:r>
        <w:tab/>
        <w:t>total number of minutes, excluding Permitted Maintenance, within the relevant Service Period; and</w:t>
      </w:r>
    </w:p>
    <w:p w14:paraId="5EDFF982" w14:textId="77777777" w:rsidR="001B31F1" w:rsidRDefault="001B31F1" w:rsidP="001B31F1">
      <w:pPr>
        <w:pBdr>
          <w:top w:val="nil"/>
          <w:left w:val="nil"/>
          <w:bottom w:val="nil"/>
          <w:right w:val="nil"/>
          <w:between w:val="nil"/>
        </w:pBdr>
        <w:spacing w:before="100" w:after="200"/>
        <w:ind w:left="1803" w:hanging="1083"/>
      </w:pPr>
      <w:r>
        <w:t>SD =</w:t>
      </w:r>
      <w:r>
        <w:tab/>
        <w:t>total number of minutes of Service Downtime, excluding Permitted Maintenance, in the relevant Service Period.</w:t>
      </w:r>
    </w:p>
    <w:p w14:paraId="5173D96D" w14:textId="77777777" w:rsidR="001B31F1" w:rsidRDefault="001B31F1" w:rsidP="00E1349E">
      <w:pPr>
        <w:numPr>
          <w:ilvl w:val="1"/>
          <w:numId w:val="245"/>
        </w:numPr>
        <w:pBdr>
          <w:top w:val="nil"/>
          <w:left w:val="nil"/>
          <w:bottom w:val="nil"/>
          <w:right w:val="nil"/>
          <w:between w:val="nil"/>
        </w:pBdr>
        <w:spacing w:before="100" w:after="200"/>
      </w:pPr>
      <w:bookmarkStart w:id="335" w:name="_heading=h.1egqt2p" w:colFirst="0" w:colLast="0"/>
      <w:bookmarkEnd w:id="335"/>
      <w:r>
        <w:rPr>
          <w:color w:val="000000"/>
        </w:rPr>
        <w:t>When calculating Service Availability in accordance with this Paragraph 2:</w:t>
      </w:r>
    </w:p>
    <w:p w14:paraId="64690555" w14:textId="77777777" w:rsidR="001B31F1" w:rsidRDefault="001B31F1" w:rsidP="00E1349E">
      <w:pPr>
        <w:widowControl w:val="0"/>
        <w:numPr>
          <w:ilvl w:val="2"/>
          <w:numId w:val="245"/>
        </w:numPr>
        <w:pBdr>
          <w:top w:val="nil"/>
          <w:left w:val="nil"/>
          <w:bottom w:val="nil"/>
          <w:right w:val="nil"/>
          <w:between w:val="nil"/>
        </w:pBdr>
        <w:spacing w:before="100" w:after="200"/>
      </w:pPr>
      <w:bookmarkStart w:id="336" w:name="_heading=h.3ygebqi" w:colFirst="0" w:colLast="0"/>
      <w:bookmarkEnd w:id="336"/>
      <w:r>
        <w:rPr>
          <w:color w:val="000000"/>
        </w:rPr>
        <w:t>Service Downtime arising due to Permitted Maintenance that is carried out by the Supplier in accordance with Clause 9.4 (</w:t>
      </w:r>
      <w:r>
        <w:rPr>
          <w:i/>
          <w:color w:val="000000"/>
        </w:rPr>
        <w:t>Maintenance</w:t>
      </w:r>
      <w:r>
        <w:rPr>
          <w:color w:val="000000"/>
        </w:rPr>
        <w:t>) shall be subtracted from the total number of hours in the relevant Service Period; and</w:t>
      </w:r>
    </w:p>
    <w:p w14:paraId="2BFE8CCF" w14:textId="77777777" w:rsidR="001B31F1" w:rsidRDefault="001B31F1" w:rsidP="00E1349E">
      <w:pPr>
        <w:widowControl w:val="0"/>
        <w:numPr>
          <w:ilvl w:val="2"/>
          <w:numId w:val="245"/>
        </w:numPr>
        <w:pBdr>
          <w:top w:val="nil"/>
          <w:left w:val="nil"/>
          <w:bottom w:val="nil"/>
          <w:right w:val="nil"/>
          <w:between w:val="nil"/>
        </w:pBdr>
        <w:spacing w:before="100" w:after="200"/>
      </w:pPr>
      <w:r>
        <w:rPr>
          <w:color w:val="000000"/>
        </w:rPr>
        <w:t>Service Points shall accrue if:</w:t>
      </w:r>
    </w:p>
    <w:p w14:paraId="5F6CAF7F" w14:textId="77777777" w:rsidR="001B31F1" w:rsidRDefault="001B31F1" w:rsidP="00E1349E">
      <w:pPr>
        <w:numPr>
          <w:ilvl w:val="3"/>
          <w:numId w:val="245"/>
        </w:numPr>
        <w:pBdr>
          <w:top w:val="nil"/>
          <w:left w:val="nil"/>
          <w:bottom w:val="nil"/>
          <w:right w:val="nil"/>
          <w:between w:val="nil"/>
        </w:pBdr>
        <w:spacing w:before="100" w:after="200"/>
      </w:pPr>
      <w:r>
        <w:rPr>
          <w:color w:val="000000"/>
        </w:rPr>
        <w:t>any Service Downtime occurs as a result of Emergency Maintenance undertaken by the Supplier; or</w:t>
      </w:r>
    </w:p>
    <w:p w14:paraId="67959438" w14:textId="77777777" w:rsidR="001B31F1" w:rsidRDefault="001B31F1" w:rsidP="00E1349E">
      <w:pPr>
        <w:numPr>
          <w:ilvl w:val="3"/>
          <w:numId w:val="245"/>
        </w:numPr>
        <w:pBdr>
          <w:top w:val="nil"/>
          <w:left w:val="nil"/>
          <w:bottom w:val="nil"/>
          <w:right w:val="nil"/>
          <w:between w:val="nil"/>
        </w:pBdr>
        <w:spacing w:before="100" w:after="200"/>
      </w:pPr>
      <w:r>
        <w:rPr>
          <w:color w:val="000000"/>
        </w:rPr>
        <w:t xml:space="preserve">where maintenance undertaken by the Supplier exceeds </w:t>
      </w:r>
      <w:r>
        <w:t>6</w:t>
      </w:r>
      <w:r>
        <w:rPr>
          <w:color w:val="000000"/>
        </w:rPr>
        <w:t xml:space="preserve"> hours in any Service Period.</w:t>
      </w:r>
    </w:p>
    <w:p w14:paraId="70641690" w14:textId="77777777" w:rsidR="001B31F1" w:rsidRDefault="001B31F1" w:rsidP="00E1349E">
      <w:pPr>
        <w:keepNext/>
        <w:numPr>
          <w:ilvl w:val="0"/>
          <w:numId w:val="245"/>
        </w:numPr>
        <w:pBdr>
          <w:top w:val="nil"/>
          <w:left w:val="nil"/>
          <w:bottom w:val="nil"/>
          <w:right w:val="nil"/>
          <w:between w:val="nil"/>
        </w:pBdr>
        <w:spacing w:before="100" w:after="200"/>
      </w:pPr>
      <w:r>
        <w:rPr>
          <w:b/>
          <w:color w:val="000000"/>
        </w:rPr>
        <w:t>Response Times</w:t>
      </w:r>
    </w:p>
    <w:p w14:paraId="4AC27392" w14:textId="77777777" w:rsidR="001B31F1" w:rsidRDefault="001B31F1" w:rsidP="00E1349E">
      <w:pPr>
        <w:numPr>
          <w:ilvl w:val="1"/>
          <w:numId w:val="245"/>
        </w:numPr>
        <w:pBdr>
          <w:top w:val="nil"/>
          <w:left w:val="nil"/>
          <w:bottom w:val="nil"/>
          <w:right w:val="nil"/>
          <w:between w:val="nil"/>
        </w:pBdr>
        <w:spacing w:before="100" w:after="200"/>
      </w:pPr>
      <w:bookmarkStart w:id="337" w:name="_heading=h.qmd6f6wi296g" w:colFirst="0" w:colLast="0"/>
      <w:bookmarkEnd w:id="337"/>
      <w:r>
        <w:t>The time that it takes for a page to load for an end user is an important metric to track. Largest Contentful Paint (LCP) is an important Core Web Vitals metric for measuring load speed, in a user centric way. A range of Lab and Field tools exist to enable the LCP to be effectively measured and reported upon. Equivalent metrics to LCP can be considered, but must be mutually agreed with the Authority.</w:t>
      </w:r>
    </w:p>
    <w:p w14:paraId="20D87930" w14:textId="77777777" w:rsidR="001B31F1" w:rsidRDefault="001B31F1" w:rsidP="00E1349E">
      <w:pPr>
        <w:numPr>
          <w:ilvl w:val="1"/>
          <w:numId w:val="245"/>
        </w:numPr>
        <w:pBdr>
          <w:top w:val="nil"/>
          <w:left w:val="nil"/>
          <w:bottom w:val="nil"/>
          <w:right w:val="nil"/>
          <w:between w:val="nil"/>
        </w:pBdr>
        <w:spacing w:before="100" w:after="200"/>
      </w:pPr>
      <w:bookmarkStart w:id="338" w:name="_heading=h.grfe0hcs891" w:colFirst="0" w:colLast="0"/>
      <w:bookmarkEnd w:id="338"/>
      <w:r>
        <w:lastRenderedPageBreak/>
        <w:t>For API responses, where there’s not a page to load, the metric which the Authority will look to monitor is time to first byte (TTFB). This metric allows measurement of the time between a request for an API resource and when the first byte of a response begins to arrive. Equivalent metrics to TTFB can be considered, but must be mutually agreed with the Authority.</w:t>
      </w:r>
    </w:p>
    <w:p w14:paraId="2BADF56A" w14:textId="77777777" w:rsidR="001B31F1" w:rsidRDefault="001B31F1" w:rsidP="00E1349E">
      <w:pPr>
        <w:keepNext/>
        <w:numPr>
          <w:ilvl w:val="0"/>
          <w:numId w:val="245"/>
        </w:numPr>
        <w:pBdr>
          <w:top w:val="nil"/>
          <w:left w:val="nil"/>
          <w:bottom w:val="nil"/>
          <w:right w:val="nil"/>
          <w:between w:val="nil"/>
        </w:pBdr>
        <w:spacing w:before="100" w:after="200"/>
      </w:pPr>
      <w:r>
        <w:rPr>
          <w:b/>
        </w:rPr>
        <w:t xml:space="preserve">Client/Candidate </w:t>
      </w:r>
      <w:r>
        <w:rPr>
          <w:b/>
          <w:color w:val="000000"/>
        </w:rPr>
        <w:t>Help Desk Response Times</w:t>
      </w:r>
    </w:p>
    <w:p w14:paraId="4BACA837" w14:textId="77777777" w:rsidR="001B31F1" w:rsidRDefault="001B31F1" w:rsidP="00E1349E">
      <w:pPr>
        <w:numPr>
          <w:ilvl w:val="1"/>
          <w:numId w:val="245"/>
        </w:numPr>
        <w:pBdr>
          <w:top w:val="nil"/>
          <w:left w:val="nil"/>
          <w:bottom w:val="nil"/>
          <w:right w:val="nil"/>
          <w:between w:val="nil"/>
        </w:pBdr>
        <w:spacing w:before="100" w:after="200"/>
      </w:pPr>
      <w:r>
        <w:rPr>
          <w:color w:val="000000"/>
        </w:rPr>
        <w:t>Measurement of C</w:t>
      </w:r>
      <w:r>
        <w:t xml:space="preserve">lient/Candidate </w:t>
      </w:r>
      <w:r>
        <w:rPr>
          <w:color w:val="000000"/>
        </w:rPr>
        <w:t xml:space="preserve">Help Desk response times will be based on the time taken for a Help Desk operative to answer a </w:t>
      </w:r>
      <w:r>
        <w:t>case</w:t>
      </w:r>
      <w:r>
        <w:rPr>
          <w:color w:val="000000"/>
        </w:rPr>
        <w:t xml:space="preserve">. </w:t>
      </w:r>
      <w:r>
        <w:t xml:space="preserve">Cases </w:t>
      </w:r>
      <w:r>
        <w:rPr>
          <w:color w:val="000000"/>
        </w:rPr>
        <w:t>receiving an automated response or placed into a queuing system shall be deemed not to have been answered.</w:t>
      </w:r>
    </w:p>
    <w:p w14:paraId="39BE3579" w14:textId="77777777" w:rsidR="001B31F1" w:rsidRDefault="001B31F1" w:rsidP="00E1349E">
      <w:pPr>
        <w:numPr>
          <w:ilvl w:val="1"/>
          <w:numId w:val="245"/>
        </w:numPr>
        <w:pBdr>
          <w:top w:val="nil"/>
          <w:left w:val="nil"/>
          <w:bottom w:val="nil"/>
          <w:right w:val="nil"/>
          <w:between w:val="nil"/>
        </w:pBdr>
        <w:spacing w:before="100" w:after="200"/>
      </w:pPr>
      <w:bookmarkStart w:id="339" w:name="_heading=h.2lwamvv" w:colFirst="0" w:colLast="0"/>
      <w:bookmarkEnd w:id="339"/>
      <w:r>
        <w:rPr>
          <w:color w:val="000000"/>
        </w:rPr>
        <w:t>The Supplier shall monitor the Help Desk response times and shall provide the results of such monitoring to the Authority in accordance with the provisions of Part B of this Schedule.</w:t>
      </w:r>
    </w:p>
    <w:p w14:paraId="51164796" w14:textId="77777777" w:rsidR="001B31F1" w:rsidRDefault="001B31F1" w:rsidP="00E1349E">
      <w:pPr>
        <w:numPr>
          <w:ilvl w:val="1"/>
          <w:numId w:val="245"/>
        </w:numPr>
        <w:pBdr>
          <w:top w:val="nil"/>
          <w:left w:val="nil"/>
          <w:bottom w:val="nil"/>
          <w:right w:val="nil"/>
          <w:between w:val="nil"/>
        </w:pBdr>
        <w:spacing w:before="100" w:after="200"/>
      </w:pPr>
      <w:bookmarkStart w:id="340" w:name="_heading=h.9tu9uavnsa3m" w:colFirst="0" w:colLast="0"/>
      <w:bookmarkEnd w:id="340"/>
      <w:r>
        <w:t>The Authority’s Operational hours are as follows: minimum of 8am-6pm Monday to Friday (UK time).</w:t>
      </w:r>
    </w:p>
    <w:p w14:paraId="5EC51D28" w14:textId="77777777" w:rsidR="001B31F1" w:rsidRDefault="001B31F1" w:rsidP="00E1349E">
      <w:pPr>
        <w:keepNext/>
        <w:numPr>
          <w:ilvl w:val="0"/>
          <w:numId w:val="245"/>
        </w:numPr>
        <w:pBdr>
          <w:top w:val="nil"/>
          <w:left w:val="nil"/>
          <w:bottom w:val="nil"/>
          <w:right w:val="nil"/>
          <w:between w:val="nil"/>
        </w:pBdr>
        <w:spacing w:before="100" w:after="200"/>
      </w:pPr>
      <w:bookmarkStart w:id="341" w:name="_heading=h.111kx3o" w:colFirst="0" w:colLast="0"/>
      <w:bookmarkEnd w:id="341"/>
      <w:r>
        <w:rPr>
          <w:b/>
          <w:color w:val="000000"/>
        </w:rPr>
        <w:t>Fix Times</w:t>
      </w:r>
    </w:p>
    <w:p w14:paraId="4AFC754D" w14:textId="77777777" w:rsidR="001B31F1" w:rsidRDefault="001B31F1" w:rsidP="00E1349E">
      <w:pPr>
        <w:numPr>
          <w:ilvl w:val="1"/>
          <w:numId w:val="245"/>
        </w:numPr>
        <w:pBdr>
          <w:top w:val="nil"/>
          <w:left w:val="nil"/>
          <w:bottom w:val="nil"/>
          <w:right w:val="nil"/>
          <w:between w:val="nil"/>
        </w:pBdr>
        <w:spacing w:before="100" w:after="200"/>
      </w:pPr>
      <w:bookmarkStart w:id="342" w:name="_heading=h.3l18frh" w:colFirst="0" w:colLast="0"/>
      <w:bookmarkEnd w:id="342"/>
      <w:r>
        <w:rPr>
          <w:color w:val="000000"/>
        </w:rPr>
        <w:t>The “</w:t>
      </w:r>
      <w:r>
        <w:rPr>
          <w:b/>
          <w:color w:val="000000"/>
        </w:rPr>
        <w:t>Fix Time</w:t>
      </w:r>
      <w:r>
        <w:rPr>
          <w:color w:val="000000"/>
        </w:rPr>
        <w:t>” of a Service Incident is the period from the time that the Service Incident has been reported to the Supplier to the point of its Resolution and “</w:t>
      </w:r>
      <w:r>
        <w:rPr>
          <w:b/>
          <w:color w:val="000000"/>
        </w:rPr>
        <w:t>Resolution</w:t>
      </w:r>
      <w:r>
        <w:rPr>
          <w:color w:val="000000"/>
        </w:rPr>
        <w:t>” means in relation to a Service Incident either:</w:t>
      </w:r>
    </w:p>
    <w:p w14:paraId="522CE8C8" w14:textId="77777777" w:rsidR="001B31F1" w:rsidRDefault="001B31F1" w:rsidP="00E1349E">
      <w:pPr>
        <w:widowControl w:val="0"/>
        <w:numPr>
          <w:ilvl w:val="2"/>
          <w:numId w:val="245"/>
        </w:numPr>
        <w:pBdr>
          <w:top w:val="nil"/>
          <w:left w:val="nil"/>
          <w:bottom w:val="nil"/>
          <w:right w:val="nil"/>
          <w:between w:val="nil"/>
        </w:pBdr>
        <w:spacing w:before="100" w:after="200"/>
      </w:pPr>
      <w:r>
        <w:rPr>
          <w:color w:val="000000"/>
        </w:rPr>
        <w:t>the root cause of the Service Incident has been removed and the Services are being provided in accordance with the Services Description and Target Performance Levels; or</w:t>
      </w:r>
    </w:p>
    <w:p w14:paraId="1FEB2A62" w14:textId="77777777" w:rsidR="001B31F1" w:rsidRDefault="001B31F1" w:rsidP="00E1349E">
      <w:pPr>
        <w:widowControl w:val="0"/>
        <w:numPr>
          <w:ilvl w:val="2"/>
          <w:numId w:val="245"/>
        </w:numPr>
        <w:pBdr>
          <w:top w:val="nil"/>
          <w:left w:val="nil"/>
          <w:bottom w:val="nil"/>
          <w:right w:val="nil"/>
          <w:between w:val="nil"/>
        </w:pBdr>
        <w:spacing w:before="100" w:after="200"/>
      </w:pPr>
      <w:r>
        <w:rPr>
          <w:color w:val="000000"/>
        </w:rPr>
        <w:t>the Authority has been provided with a workaround in relation to the Service Incident deemed acceptable by the Authority.</w:t>
      </w:r>
    </w:p>
    <w:p w14:paraId="1BC5B065" w14:textId="77777777" w:rsidR="001B31F1" w:rsidRDefault="001B31F1" w:rsidP="00E1349E">
      <w:pPr>
        <w:numPr>
          <w:ilvl w:val="1"/>
          <w:numId w:val="245"/>
        </w:numPr>
        <w:pBdr>
          <w:top w:val="nil"/>
          <w:left w:val="nil"/>
          <w:bottom w:val="nil"/>
          <w:right w:val="nil"/>
          <w:between w:val="nil"/>
        </w:pBdr>
        <w:spacing w:before="100" w:after="200"/>
      </w:pPr>
      <w:r>
        <w:rPr>
          <w:color w:val="000000"/>
        </w:rPr>
        <w:t>Fix Times for Severity 3 Service Incidents, Severity 4 Service Incidents and Severity 5 Service Incidents shall be measured in Operational Hours.</w:t>
      </w:r>
    </w:p>
    <w:p w14:paraId="0A0CCE6A" w14:textId="77777777" w:rsidR="001B31F1" w:rsidRDefault="001B31F1" w:rsidP="001B31F1">
      <w:pPr>
        <w:pBdr>
          <w:top w:val="nil"/>
          <w:left w:val="nil"/>
          <w:bottom w:val="nil"/>
          <w:right w:val="nil"/>
          <w:between w:val="nil"/>
        </w:pBdr>
        <w:spacing w:before="100" w:after="200"/>
        <w:ind w:left="720"/>
      </w:pPr>
      <w:r>
        <w:rPr>
          <w:b/>
        </w:rPr>
        <w:t>Worked example:</w:t>
      </w:r>
      <w:r>
        <w:t xml:space="preserve"> if the Operational Hours for a fault are 0800-1800, then the clock stops measuring Fix Time at 1800 in the evening and restarts at 0800 the following day).</w:t>
      </w:r>
    </w:p>
    <w:p w14:paraId="28576312" w14:textId="77777777" w:rsidR="001B31F1" w:rsidRDefault="001B31F1" w:rsidP="00E1349E">
      <w:pPr>
        <w:numPr>
          <w:ilvl w:val="1"/>
          <w:numId w:val="245"/>
        </w:numPr>
        <w:pBdr>
          <w:top w:val="nil"/>
          <w:left w:val="nil"/>
          <w:bottom w:val="nil"/>
          <w:right w:val="nil"/>
          <w:between w:val="nil"/>
        </w:pBdr>
        <w:spacing w:before="100" w:after="200"/>
      </w:pPr>
      <w:r>
        <w:rPr>
          <w:color w:val="000000"/>
        </w:rPr>
        <w:t>Fix times for Severity 1 Service Incidents and Severity 2 Service Incidents shall be measured 24x7.</w:t>
      </w:r>
    </w:p>
    <w:p w14:paraId="3B80639C" w14:textId="77777777" w:rsidR="001B31F1" w:rsidRDefault="001B31F1" w:rsidP="00E1349E">
      <w:pPr>
        <w:numPr>
          <w:ilvl w:val="1"/>
          <w:numId w:val="245"/>
        </w:numPr>
        <w:pBdr>
          <w:top w:val="nil"/>
          <w:left w:val="nil"/>
          <w:bottom w:val="nil"/>
          <w:right w:val="nil"/>
          <w:between w:val="nil"/>
        </w:pBdr>
        <w:spacing w:before="100" w:after="200"/>
      </w:pPr>
      <w:r>
        <w:rPr>
          <w:color w:val="000000"/>
        </w:rPr>
        <w:t>The Supplier shall measure Fix Times as part of its service management responsibilities and report periodically to the Authority on Fix Times as part of the Performance Monitoring Report.</w:t>
      </w:r>
    </w:p>
    <w:p w14:paraId="477A28BF" w14:textId="77777777" w:rsidR="001B31F1" w:rsidRDefault="001B31F1" w:rsidP="00E1349E">
      <w:pPr>
        <w:numPr>
          <w:ilvl w:val="1"/>
          <w:numId w:val="245"/>
        </w:numPr>
        <w:pBdr>
          <w:top w:val="nil"/>
          <w:left w:val="nil"/>
          <w:bottom w:val="nil"/>
          <w:right w:val="nil"/>
          <w:between w:val="nil"/>
        </w:pBdr>
        <w:spacing w:before="100" w:after="200"/>
      </w:pPr>
      <w:r>
        <w:rPr>
          <w:color w:val="000000"/>
        </w:rPr>
        <w:t xml:space="preserve">For the purposes of this Paragraph 5, the following expressions shall have the meanings </w:t>
      </w:r>
      <w:r>
        <w:t>set opposite them below:</w:t>
      </w:r>
    </w:p>
    <w:tbl>
      <w:tblPr>
        <w:tblW w:w="9638" w:type="dxa"/>
        <w:tblInd w:w="624"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35"/>
        <w:gridCol w:w="6803"/>
      </w:tblGrid>
      <w:tr w:rsidR="001B31F1" w14:paraId="2356E370" w14:textId="77777777" w:rsidTr="001B31F1">
        <w:tc>
          <w:tcPr>
            <w:tcW w:w="2835" w:type="dxa"/>
          </w:tcPr>
          <w:p w14:paraId="3479EF65" w14:textId="77777777" w:rsidR="001B31F1" w:rsidRDefault="001B31F1" w:rsidP="001B31F1">
            <w:pPr>
              <w:pBdr>
                <w:top w:val="nil"/>
                <w:left w:val="nil"/>
                <w:bottom w:val="nil"/>
                <w:right w:val="nil"/>
                <w:between w:val="nil"/>
              </w:pBdr>
              <w:spacing w:before="100" w:after="200"/>
              <w:rPr>
                <w:color w:val="000000"/>
              </w:rPr>
            </w:pPr>
            <w:r>
              <w:rPr>
                <w:color w:val="000000"/>
              </w:rPr>
              <w:t>“Operational Hours”</w:t>
            </w:r>
          </w:p>
        </w:tc>
        <w:tc>
          <w:tcPr>
            <w:tcW w:w="6803" w:type="dxa"/>
          </w:tcPr>
          <w:p w14:paraId="44E1BE86" w14:textId="77777777" w:rsidR="001B31F1" w:rsidRDefault="001B31F1" w:rsidP="001B31F1">
            <w:pPr>
              <w:pBdr>
                <w:top w:val="nil"/>
                <w:left w:val="nil"/>
                <w:bottom w:val="nil"/>
                <w:right w:val="nil"/>
                <w:between w:val="nil"/>
              </w:pBdr>
              <w:spacing w:before="100" w:after="200"/>
              <w:rPr>
                <w:color w:val="000000"/>
              </w:rPr>
            </w:pPr>
            <w:r>
              <w:rPr>
                <w:color w:val="000000"/>
              </w:rPr>
              <w:t>In relation to any Service, the hours for which that Service is to be operational as set out in Schedule 2 (</w:t>
            </w:r>
            <w:r>
              <w:rPr>
                <w:i/>
                <w:color w:val="000000"/>
              </w:rPr>
              <w:t>Services Description</w:t>
            </w:r>
            <w:r>
              <w:rPr>
                <w:color w:val="000000"/>
              </w:rPr>
              <w:t>);</w:t>
            </w:r>
          </w:p>
        </w:tc>
      </w:tr>
      <w:tr w:rsidR="001B31F1" w14:paraId="4B8F7BF7" w14:textId="77777777" w:rsidTr="001B31F1">
        <w:tc>
          <w:tcPr>
            <w:tcW w:w="2835" w:type="dxa"/>
          </w:tcPr>
          <w:p w14:paraId="57600179" w14:textId="77777777" w:rsidR="001B31F1" w:rsidRDefault="001B31F1" w:rsidP="001B31F1">
            <w:pPr>
              <w:pBdr>
                <w:top w:val="nil"/>
                <w:left w:val="nil"/>
                <w:bottom w:val="nil"/>
                <w:right w:val="nil"/>
                <w:between w:val="nil"/>
              </w:pBdr>
              <w:spacing w:before="100" w:after="200"/>
              <w:rPr>
                <w:color w:val="000000"/>
              </w:rPr>
            </w:pPr>
            <w:r>
              <w:rPr>
                <w:color w:val="000000"/>
              </w:rPr>
              <w:lastRenderedPageBreak/>
              <w:t>“Service Incident”</w:t>
            </w:r>
          </w:p>
        </w:tc>
        <w:tc>
          <w:tcPr>
            <w:tcW w:w="6803" w:type="dxa"/>
          </w:tcPr>
          <w:p w14:paraId="19256B3B" w14:textId="77777777" w:rsidR="001B31F1" w:rsidRDefault="001B31F1" w:rsidP="001B31F1">
            <w:pPr>
              <w:pBdr>
                <w:top w:val="nil"/>
                <w:left w:val="nil"/>
                <w:bottom w:val="nil"/>
                <w:right w:val="nil"/>
                <w:between w:val="nil"/>
              </w:pBdr>
              <w:spacing w:before="100" w:after="200"/>
              <w:rPr>
                <w:color w:val="000000"/>
              </w:rPr>
            </w:pPr>
            <w:r>
              <w:rPr>
                <w:color w:val="000000"/>
              </w:rPr>
              <w:t>a reported occurrence of a failure to deliver any part of the Services in accordance with the Authority Requirements or the Performance Indicators;</w:t>
            </w:r>
          </w:p>
        </w:tc>
      </w:tr>
      <w:tr w:rsidR="001B31F1" w14:paraId="530DC150" w14:textId="77777777" w:rsidTr="001B31F1">
        <w:tc>
          <w:tcPr>
            <w:tcW w:w="2835" w:type="dxa"/>
          </w:tcPr>
          <w:p w14:paraId="5A93A226" w14:textId="77777777" w:rsidR="001B31F1" w:rsidRDefault="001B31F1" w:rsidP="001B31F1">
            <w:pPr>
              <w:pBdr>
                <w:top w:val="nil"/>
                <w:left w:val="nil"/>
                <w:bottom w:val="nil"/>
                <w:right w:val="nil"/>
                <w:between w:val="nil"/>
              </w:pBdr>
              <w:spacing w:before="100" w:after="200"/>
              <w:rPr>
                <w:color w:val="000000"/>
              </w:rPr>
            </w:pPr>
            <w:r>
              <w:rPr>
                <w:color w:val="000000"/>
              </w:rPr>
              <w:t>“Severity 1 Service Incident”</w:t>
            </w:r>
          </w:p>
        </w:tc>
        <w:tc>
          <w:tcPr>
            <w:tcW w:w="6803" w:type="dxa"/>
          </w:tcPr>
          <w:p w14:paraId="6CC06976" w14:textId="77777777" w:rsidR="001B31F1" w:rsidRDefault="001B31F1" w:rsidP="001B31F1">
            <w:pPr>
              <w:pBdr>
                <w:top w:val="nil"/>
                <w:left w:val="nil"/>
                <w:bottom w:val="nil"/>
                <w:right w:val="nil"/>
                <w:between w:val="nil"/>
              </w:pBdr>
              <w:spacing w:before="100" w:after="200"/>
              <w:rPr>
                <w:color w:val="000000"/>
              </w:rPr>
            </w:pPr>
            <w:r>
              <w:rPr>
                <w:color w:val="000000"/>
              </w:rPr>
              <w:t>a Service Incident which, in the reasonable opinion of the Authority:</w:t>
            </w:r>
          </w:p>
          <w:p w14:paraId="2C9AD605" w14:textId="77777777" w:rsidR="001B31F1" w:rsidRDefault="001B31F1" w:rsidP="00E1349E">
            <w:pPr>
              <w:numPr>
                <w:ilvl w:val="0"/>
                <w:numId w:val="242"/>
              </w:numPr>
              <w:pBdr>
                <w:top w:val="nil"/>
                <w:left w:val="nil"/>
                <w:bottom w:val="nil"/>
                <w:right w:val="nil"/>
                <w:between w:val="nil"/>
              </w:pBdr>
              <w:spacing w:before="100" w:after="200"/>
            </w:pPr>
            <w:r>
              <w:rPr>
                <w:color w:val="000000"/>
                <w:szCs w:val="24"/>
              </w:rPr>
              <w:t>constitutes a loss of the Service which prevents a large group of End Users from working;</w:t>
            </w:r>
          </w:p>
          <w:p w14:paraId="4B1144EC" w14:textId="77777777" w:rsidR="001B31F1" w:rsidRDefault="001B31F1" w:rsidP="00E1349E">
            <w:pPr>
              <w:numPr>
                <w:ilvl w:val="0"/>
                <w:numId w:val="242"/>
              </w:numPr>
              <w:pBdr>
                <w:top w:val="nil"/>
                <w:left w:val="nil"/>
                <w:bottom w:val="nil"/>
                <w:right w:val="nil"/>
                <w:between w:val="nil"/>
              </w:pBdr>
              <w:spacing w:before="100" w:after="200"/>
            </w:pPr>
            <w:r>
              <w:rPr>
                <w:color w:val="000000"/>
                <w:szCs w:val="24"/>
              </w:rPr>
              <w:t>has a critical impact on the activities of the Authority;</w:t>
            </w:r>
          </w:p>
          <w:p w14:paraId="708DFA08" w14:textId="77777777" w:rsidR="001B31F1" w:rsidRDefault="001B31F1" w:rsidP="00E1349E">
            <w:pPr>
              <w:numPr>
                <w:ilvl w:val="0"/>
                <w:numId w:val="242"/>
              </w:numPr>
              <w:pBdr>
                <w:top w:val="nil"/>
                <w:left w:val="nil"/>
                <w:bottom w:val="nil"/>
                <w:right w:val="nil"/>
                <w:between w:val="nil"/>
              </w:pBdr>
              <w:spacing w:before="100" w:after="200"/>
            </w:pPr>
            <w:r>
              <w:rPr>
                <w:color w:val="000000"/>
                <w:szCs w:val="24"/>
              </w:rPr>
              <w:t>causes significant financial loss and/or disruption to the Authority; or</w:t>
            </w:r>
          </w:p>
          <w:p w14:paraId="11BDFF1E" w14:textId="77777777" w:rsidR="001B31F1" w:rsidRDefault="001B31F1" w:rsidP="00E1349E">
            <w:pPr>
              <w:numPr>
                <w:ilvl w:val="0"/>
                <w:numId w:val="242"/>
              </w:numPr>
              <w:pBdr>
                <w:top w:val="nil"/>
                <w:left w:val="nil"/>
                <w:bottom w:val="nil"/>
                <w:right w:val="nil"/>
                <w:between w:val="nil"/>
              </w:pBdr>
              <w:spacing w:before="100" w:after="200"/>
            </w:pPr>
            <w:r>
              <w:rPr>
                <w:color w:val="000000"/>
                <w:szCs w:val="24"/>
              </w:rPr>
              <w:t>results in any material loss or corruption of Authority Data;</w:t>
            </w:r>
          </w:p>
          <w:p w14:paraId="40F0DF44" w14:textId="77777777" w:rsidR="001B31F1" w:rsidRDefault="001B31F1" w:rsidP="001B31F1">
            <w:pPr>
              <w:pBdr>
                <w:top w:val="nil"/>
                <w:left w:val="nil"/>
                <w:bottom w:val="nil"/>
                <w:right w:val="nil"/>
                <w:between w:val="nil"/>
              </w:pBdr>
              <w:spacing w:before="100" w:after="200"/>
              <w:rPr>
                <w:color w:val="000000"/>
              </w:rPr>
            </w:pPr>
            <w:r>
              <w:rPr>
                <w:color w:val="000000"/>
              </w:rPr>
              <w:t>Non-exhaustive examples:</w:t>
            </w:r>
          </w:p>
          <w:p w14:paraId="73B20479" w14:textId="77777777" w:rsidR="001B31F1" w:rsidRDefault="001B31F1" w:rsidP="00E1349E">
            <w:pPr>
              <w:numPr>
                <w:ilvl w:val="0"/>
                <w:numId w:val="242"/>
              </w:numPr>
              <w:pBdr>
                <w:top w:val="nil"/>
                <w:left w:val="nil"/>
                <w:bottom w:val="nil"/>
                <w:right w:val="nil"/>
                <w:between w:val="nil"/>
              </w:pBdr>
              <w:spacing w:before="100" w:after="200"/>
            </w:pPr>
            <w:r>
              <w:rPr>
                <w:color w:val="000000"/>
                <w:szCs w:val="24"/>
              </w:rPr>
              <w:t>a loss of power to a data centre causing failure of Services; or</w:t>
            </w:r>
          </w:p>
          <w:p w14:paraId="0F628ED2" w14:textId="77777777" w:rsidR="001B31F1" w:rsidRDefault="001B31F1" w:rsidP="00E1349E">
            <w:pPr>
              <w:numPr>
                <w:ilvl w:val="0"/>
                <w:numId w:val="242"/>
              </w:numPr>
              <w:pBdr>
                <w:top w:val="nil"/>
                <w:left w:val="nil"/>
                <w:bottom w:val="nil"/>
                <w:right w:val="nil"/>
                <w:between w:val="nil"/>
              </w:pBdr>
              <w:spacing w:before="100" w:after="200"/>
            </w:pPr>
            <w:r>
              <w:rPr>
                <w:color w:val="000000"/>
                <w:szCs w:val="24"/>
              </w:rPr>
              <w:t>a failure of the Services to provide user authentication service;</w:t>
            </w:r>
          </w:p>
        </w:tc>
      </w:tr>
      <w:tr w:rsidR="001B31F1" w14:paraId="1D259C32" w14:textId="77777777" w:rsidTr="001B31F1">
        <w:tc>
          <w:tcPr>
            <w:tcW w:w="2835" w:type="dxa"/>
          </w:tcPr>
          <w:p w14:paraId="51BE0EA6" w14:textId="77777777" w:rsidR="001B31F1" w:rsidRDefault="001B31F1" w:rsidP="001B31F1">
            <w:pPr>
              <w:pBdr>
                <w:top w:val="nil"/>
                <w:left w:val="nil"/>
                <w:bottom w:val="nil"/>
                <w:right w:val="nil"/>
                <w:between w:val="nil"/>
              </w:pBdr>
              <w:spacing w:before="100" w:after="200"/>
              <w:rPr>
                <w:color w:val="000000"/>
              </w:rPr>
            </w:pPr>
            <w:r>
              <w:rPr>
                <w:color w:val="000000"/>
              </w:rPr>
              <w:t>“Severity 2 Service Incident”</w:t>
            </w:r>
          </w:p>
        </w:tc>
        <w:tc>
          <w:tcPr>
            <w:tcW w:w="6803" w:type="dxa"/>
          </w:tcPr>
          <w:p w14:paraId="0344E86D" w14:textId="77777777" w:rsidR="001B31F1" w:rsidRDefault="001B31F1" w:rsidP="001B31F1">
            <w:pPr>
              <w:pBdr>
                <w:top w:val="nil"/>
                <w:left w:val="nil"/>
                <w:bottom w:val="nil"/>
                <w:right w:val="nil"/>
                <w:between w:val="nil"/>
              </w:pBdr>
              <w:spacing w:before="100" w:after="200"/>
              <w:rPr>
                <w:color w:val="000000"/>
              </w:rPr>
            </w:pPr>
            <w:r>
              <w:rPr>
                <w:color w:val="000000"/>
              </w:rPr>
              <w:t>a Service Incident which, in the reasonable opinion of the Authority has the potential to:</w:t>
            </w:r>
          </w:p>
          <w:p w14:paraId="05954337" w14:textId="77777777" w:rsidR="001B31F1" w:rsidRDefault="001B31F1" w:rsidP="00E1349E">
            <w:pPr>
              <w:numPr>
                <w:ilvl w:val="0"/>
                <w:numId w:val="248"/>
              </w:numPr>
              <w:pBdr>
                <w:top w:val="nil"/>
                <w:left w:val="nil"/>
                <w:bottom w:val="nil"/>
                <w:right w:val="nil"/>
                <w:between w:val="nil"/>
              </w:pBdr>
              <w:spacing w:before="100" w:after="200"/>
            </w:pPr>
            <w:r>
              <w:rPr>
                <w:color w:val="000000"/>
                <w:szCs w:val="24"/>
              </w:rPr>
              <w:t>have a major (but not critical) adverse impact on the activities of the Authority and no workaround acceptable to the Authority is available; or</w:t>
            </w:r>
          </w:p>
          <w:p w14:paraId="4A404F80" w14:textId="77777777" w:rsidR="001B31F1" w:rsidRDefault="001B31F1" w:rsidP="00E1349E">
            <w:pPr>
              <w:numPr>
                <w:ilvl w:val="0"/>
                <w:numId w:val="248"/>
              </w:numPr>
              <w:pBdr>
                <w:top w:val="nil"/>
                <w:left w:val="nil"/>
                <w:bottom w:val="nil"/>
                <w:right w:val="nil"/>
                <w:between w:val="nil"/>
              </w:pBdr>
              <w:spacing w:before="100" w:after="200"/>
            </w:pPr>
            <w:r>
              <w:rPr>
                <w:color w:val="000000"/>
                <w:szCs w:val="24"/>
              </w:rPr>
              <w:t>cause a financial loss and/or disruption to the Authority which is more than trivial but less severe than the significant financial loss described in the definition of a Severity 1 Service Failure;</w:t>
            </w:r>
          </w:p>
          <w:p w14:paraId="2036CD04" w14:textId="77777777" w:rsidR="001B31F1" w:rsidRDefault="001B31F1" w:rsidP="001B31F1">
            <w:pPr>
              <w:keepNext/>
              <w:pBdr>
                <w:top w:val="nil"/>
                <w:left w:val="nil"/>
                <w:bottom w:val="nil"/>
                <w:right w:val="nil"/>
                <w:between w:val="nil"/>
              </w:pBdr>
              <w:spacing w:before="100" w:after="200"/>
              <w:rPr>
                <w:b/>
                <w:color w:val="000000"/>
                <w:szCs w:val="24"/>
              </w:rPr>
            </w:pPr>
            <w:r>
              <w:rPr>
                <w:color w:val="000000"/>
              </w:rPr>
              <w:t>Non-exhaustive examples:</w:t>
            </w:r>
          </w:p>
          <w:p w14:paraId="7163CFBE" w14:textId="77777777" w:rsidR="001B31F1" w:rsidRDefault="001B31F1" w:rsidP="00E1349E">
            <w:pPr>
              <w:numPr>
                <w:ilvl w:val="0"/>
                <w:numId w:val="248"/>
              </w:numPr>
              <w:pBdr>
                <w:top w:val="nil"/>
                <w:left w:val="nil"/>
                <w:bottom w:val="nil"/>
                <w:right w:val="nil"/>
                <w:between w:val="nil"/>
              </w:pBdr>
              <w:spacing w:before="100" w:after="200"/>
            </w:pPr>
            <w:r>
              <w:rPr>
                <w:color w:val="000000"/>
                <w:szCs w:val="24"/>
              </w:rPr>
              <w:t>loss of ability to access or update Authority Data for all users.</w:t>
            </w:r>
          </w:p>
        </w:tc>
      </w:tr>
      <w:tr w:rsidR="001B31F1" w14:paraId="0473B6FB" w14:textId="77777777" w:rsidTr="001B31F1">
        <w:tc>
          <w:tcPr>
            <w:tcW w:w="2835" w:type="dxa"/>
          </w:tcPr>
          <w:p w14:paraId="46E5DA7E" w14:textId="77777777" w:rsidR="001B31F1" w:rsidRDefault="001B31F1" w:rsidP="001B31F1">
            <w:pPr>
              <w:pBdr>
                <w:top w:val="nil"/>
                <w:left w:val="nil"/>
                <w:bottom w:val="nil"/>
                <w:right w:val="nil"/>
                <w:between w:val="nil"/>
              </w:pBdr>
              <w:spacing w:before="100" w:after="200"/>
              <w:rPr>
                <w:color w:val="000000"/>
              </w:rPr>
            </w:pPr>
            <w:r>
              <w:rPr>
                <w:color w:val="000000"/>
              </w:rPr>
              <w:t>“Severity 3 Service Incident”</w:t>
            </w:r>
          </w:p>
        </w:tc>
        <w:tc>
          <w:tcPr>
            <w:tcW w:w="6803" w:type="dxa"/>
          </w:tcPr>
          <w:p w14:paraId="7AFBF3AE" w14:textId="77777777" w:rsidR="001B31F1" w:rsidRDefault="001B31F1" w:rsidP="001B31F1">
            <w:pPr>
              <w:pBdr>
                <w:top w:val="nil"/>
                <w:left w:val="nil"/>
                <w:bottom w:val="nil"/>
                <w:right w:val="nil"/>
                <w:between w:val="nil"/>
              </w:pBdr>
              <w:spacing w:before="100" w:after="200"/>
              <w:rPr>
                <w:color w:val="000000"/>
              </w:rPr>
            </w:pPr>
            <w:r>
              <w:rPr>
                <w:color w:val="000000"/>
              </w:rPr>
              <w:t>a Service Incident which, in the reasonable opinion of the Authority has the potential to:</w:t>
            </w:r>
          </w:p>
          <w:p w14:paraId="2EC0473C" w14:textId="77777777" w:rsidR="001B31F1" w:rsidRDefault="001B31F1" w:rsidP="00E1349E">
            <w:pPr>
              <w:numPr>
                <w:ilvl w:val="0"/>
                <w:numId w:val="239"/>
              </w:numPr>
              <w:pBdr>
                <w:top w:val="nil"/>
                <w:left w:val="nil"/>
                <w:bottom w:val="nil"/>
                <w:right w:val="nil"/>
                <w:between w:val="nil"/>
              </w:pBdr>
              <w:spacing w:before="100" w:after="200"/>
            </w:pPr>
            <w:r>
              <w:rPr>
                <w:color w:val="000000"/>
                <w:szCs w:val="24"/>
              </w:rPr>
              <w:t>have a major adverse impact on the activities of the Authority which can be reduced to a moderate adverse impact due to the availability of a workaround acceptable to the Authority; or</w:t>
            </w:r>
          </w:p>
          <w:p w14:paraId="2179875D" w14:textId="77777777" w:rsidR="001B31F1" w:rsidRDefault="001B31F1" w:rsidP="00E1349E">
            <w:pPr>
              <w:numPr>
                <w:ilvl w:val="0"/>
                <w:numId w:val="239"/>
              </w:numPr>
              <w:pBdr>
                <w:top w:val="nil"/>
                <w:left w:val="nil"/>
                <w:bottom w:val="nil"/>
                <w:right w:val="nil"/>
                <w:between w:val="nil"/>
              </w:pBdr>
              <w:spacing w:before="100" w:after="200"/>
            </w:pPr>
            <w:r>
              <w:rPr>
                <w:color w:val="000000"/>
                <w:szCs w:val="24"/>
              </w:rPr>
              <w:lastRenderedPageBreak/>
              <w:t>have a moderate adverse impact on the activities of the Authority;</w:t>
            </w:r>
          </w:p>
          <w:p w14:paraId="4E4AC7F6" w14:textId="77777777" w:rsidR="001B31F1" w:rsidRDefault="001B31F1" w:rsidP="001B31F1">
            <w:pPr>
              <w:keepNext/>
              <w:keepLines/>
              <w:pBdr>
                <w:top w:val="nil"/>
                <w:left w:val="nil"/>
                <w:bottom w:val="nil"/>
                <w:right w:val="nil"/>
                <w:between w:val="nil"/>
              </w:pBdr>
              <w:spacing w:before="100" w:after="200"/>
              <w:rPr>
                <w:color w:val="000000"/>
              </w:rPr>
            </w:pPr>
            <w:r>
              <w:rPr>
                <w:color w:val="000000"/>
              </w:rPr>
              <w:t>Non-exhaustive example:</w:t>
            </w:r>
          </w:p>
          <w:p w14:paraId="25E605A8" w14:textId="77777777" w:rsidR="001B31F1" w:rsidRDefault="001B31F1" w:rsidP="00E1349E">
            <w:pPr>
              <w:numPr>
                <w:ilvl w:val="0"/>
                <w:numId w:val="239"/>
              </w:numPr>
              <w:pBdr>
                <w:top w:val="nil"/>
                <w:left w:val="nil"/>
                <w:bottom w:val="nil"/>
                <w:right w:val="nil"/>
                <w:between w:val="nil"/>
              </w:pBdr>
              <w:spacing w:before="100" w:after="200"/>
            </w:pPr>
            <w:r>
              <w:rPr>
                <w:color w:val="000000"/>
                <w:szCs w:val="24"/>
              </w:rPr>
              <w:t>inability to access or update data for a class of customers;</w:t>
            </w:r>
          </w:p>
        </w:tc>
      </w:tr>
      <w:tr w:rsidR="001B31F1" w14:paraId="4057D687" w14:textId="77777777" w:rsidTr="001B31F1">
        <w:tc>
          <w:tcPr>
            <w:tcW w:w="2835" w:type="dxa"/>
          </w:tcPr>
          <w:p w14:paraId="663F7075" w14:textId="77777777" w:rsidR="001B31F1" w:rsidRDefault="001B31F1" w:rsidP="001B31F1">
            <w:pPr>
              <w:pBdr>
                <w:top w:val="nil"/>
                <w:left w:val="nil"/>
                <w:bottom w:val="nil"/>
                <w:right w:val="nil"/>
                <w:between w:val="nil"/>
              </w:pBdr>
              <w:spacing w:before="100" w:after="200"/>
              <w:rPr>
                <w:color w:val="000000"/>
              </w:rPr>
            </w:pPr>
            <w:r>
              <w:rPr>
                <w:color w:val="000000"/>
              </w:rPr>
              <w:lastRenderedPageBreak/>
              <w:t>“Severity 4 Service Incident”</w:t>
            </w:r>
          </w:p>
        </w:tc>
        <w:tc>
          <w:tcPr>
            <w:tcW w:w="6803" w:type="dxa"/>
          </w:tcPr>
          <w:p w14:paraId="2ACA17F7" w14:textId="77777777" w:rsidR="001B31F1" w:rsidRDefault="001B31F1" w:rsidP="001B31F1">
            <w:pPr>
              <w:pBdr>
                <w:top w:val="nil"/>
                <w:left w:val="nil"/>
                <w:bottom w:val="nil"/>
                <w:right w:val="nil"/>
                <w:between w:val="nil"/>
              </w:pBdr>
              <w:spacing w:before="100" w:after="200"/>
              <w:rPr>
                <w:color w:val="000000"/>
              </w:rPr>
            </w:pPr>
            <w:r>
              <w:rPr>
                <w:color w:val="000000"/>
              </w:rPr>
              <w:t>a Service Incident which, in the reasonable opinion of the Authority has the potential to have a minor adverse impact on the provision of the Services to End Users;</w:t>
            </w:r>
          </w:p>
          <w:p w14:paraId="260621F1" w14:textId="77777777" w:rsidR="001B31F1" w:rsidRDefault="001B31F1" w:rsidP="001B31F1">
            <w:pPr>
              <w:pBdr>
                <w:top w:val="nil"/>
                <w:left w:val="nil"/>
                <w:bottom w:val="nil"/>
                <w:right w:val="nil"/>
                <w:between w:val="nil"/>
              </w:pBdr>
              <w:spacing w:before="100" w:after="200"/>
              <w:rPr>
                <w:color w:val="000000"/>
              </w:rPr>
            </w:pPr>
            <w:r>
              <w:rPr>
                <w:color w:val="000000"/>
              </w:rPr>
              <w:t>Non-exhaustive example:</w:t>
            </w:r>
          </w:p>
          <w:p w14:paraId="5450F1C4" w14:textId="77777777" w:rsidR="001B31F1" w:rsidRDefault="001B31F1" w:rsidP="00E1349E">
            <w:pPr>
              <w:numPr>
                <w:ilvl w:val="0"/>
                <w:numId w:val="240"/>
              </w:numPr>
              <w:pBdr>
                <w:top w:val="nil"/>
                <w:left w:val="nil"/>
                <w:bottom w:val="nil"/>
                <w:right w:val="nil"/>
                <w:between w:val="nil"/>
              </w:pBdr>
              <w:spacing w:before="100" w:after="200"/>
            </w:pPr>
            <w:r>
              <w:rPr>
                <w:color w:val="000000"/>
                <w:szCs w:val="24"/>
              </w:rPr>
              <w:t>inability to access data for a single customer;</w:t>
            </w:r>
          </w:p>
        </w:tc>
      </w:tr>
      <w:tr w:rsidR="001B31F1" w14:paraId="32DA7174" w14:textId="77777777" w:rsidTr="001B31F1">
        <w:tc>
          <w:tcPr>
            <w:tcW w:w="2835" w:type="dxa"/>
          </w:tcPr>
          <w:p w14:paraId="04CDC938" w14:textId="77777777" w:rsidR="001B31F1" w:rsidRDefault="001B31F1" w:rsidP="001B31F1">
            <w:pPr>
              <w:pBdr>
                <w:top w:val="nil"/>
                <w:left w:val="nil"/>
                <w:bottom w:val="nil"/>
                <w:right w:val="nil"/>
                <w:between w:val="nil"/>
              </w:pBdr>
              <w:spacing w:before="100" w:after="200"/>
              <w:rPr>
                <w:color w:val="000000"/>
              </w:rPr>
            </w:pPr>
            <w:r>
              <w:rPr>
                <w:color w:val="000000"/>
              </w:rPr>
              <w:t>“Severity 5 Service Incident”</w:t>
            </w:r>
          </w:p>
        </w:tc>
        <w:tc>
          <w:tcPr>
            <w:tcW w:w="6803" w:type="dxa"/>
          </w:tcPr>
          <w:p w14:paraId="65AD2A74" w14:textId="77777777" w:rsidR="001B31F1" w:rsidRDefault="001B31F1" w:rsidP="001B31F1">
            <w:pPr>
              <w:pBdr>
                <w:top w:val="nil"/>
                <w:left w:val="nil"/>
                <w:bottom w:val="nil"/>
                <w:right w:val="nil"/>
                <w:between w:val="nil"/>
              </w:pBdr>
              <w:spacing w:before="100" w:after="200"/>
              <w:rPr>
                <w:color w:val="000000"/>
              </w:rPr>
            </w:pPr>
            <w:r>
              <w:rPr>
                <w:color w:val="000000"/>
              </w:rPr>
              <w:t>a Service Incident comprising a flaw which is cosmetic and, as such, does not undermine the End User’s confidence in the information being displayed;</w:t>
            </w:r>
          </w:p>
          <w:p w14:paraId="3F429E6D" w14:textId="77777777" w:rsidR="001B31F1" w:rsidRDefault="001B31F1" w:rsidP="001B31F1">
            <w:pPr>
              <w:pBdr>
                <w:top w:val="nil"/>
                <w:left w:val="nil"/>
                <w:bottom w:val="nil"/>
                <w:right w:val="nil"/>
                <w:between w:val="nil"/>
              </w:pBdr>
              <w:spacing w:before="100" w:after="200"/>
              <w:rPr>
                <w:color w:val="000000"/>
              </w:rPr>
            </w:pPr>
            <w:r>
              <w:rPr>
                <w:color w:val="000000"/>
              </w:rPr>
              <w:t>Non-exhaustive examples:</w:t>
            </w:r>
          </w:p>
          <w:p w14:paraId="79C47FDB" w14:textId="77777777" w:rsidR="001B31F1" w:rsidRDefault="001B31F1" w:rsidP="00E1349E">
            <w:pPr>
              <w:numPr>
                <w:ilvl w:val="0"/>
                <w:numId w:val="243"/>
              </w:numPr>
              <w:pBdr>
                <w:top w:val="nil"/>
                <w:left w:val="nil"/>
                <w:bottom w:val="nil"/>
                <w:right w:val="nil"/>
                <w:between w:val="nil"/>
              </w:pBdr>
              <w:spacing w:before="100" w:after="200"/>
            </w:pPr>
            <w:r>
              <w:rPr>
                <w:color w:val="000000"/>
                <w:szCs w:val="24"/>
              </w:rPr>
              <w:t>spelling error; or</w:t>
            </w:r>
          </w:p>
          <w:p w14:paraId="0269E09C" w14:textId="77777777" w:rsidR="001B31F1" w:rsidRDefault="001B31F1" w:rsidP="00E1349E">
            <w:pPr>
              <w:numPr>
                <w:ilvl w:val="0"/>
                <w:numId w:val="243"/>
              </w:numPr>
              <w:pBdr>
                <w:top w:val="nil"/>
                <w:left w:val="nil"/>
                <w:bottom w:val="nil"/>
                <w:right w:val="nil"/>
                <w:between w:val="nil"/>
              </w:pBdr>
              <w:spacing w:before="100" w:after="200"/>
            </w:pPr>
            <w:r>
              <w:rPr>
                <w:color w:val="000000"/>
                <w:szCs w:val="24"/>
              </w:rPr>
              <w:t>misalignment of data on screen display.</w:t>
            </w:r>
          </w:p>
        </w:tc>
      </w:tr>
    </w:tbl>
    <w:p w14:paraId="013F2C24" w14:textId="77777777" w:rsidR="001B31F1" w:rsidRDefault="001B31F1" w:rsidP="00E1349E">
      <w:pPr>
        <w:keepNext/>
        <w:numPr>
          <w:ilvl w:val="0"/>
          <w:numId w:val="245"/>
        </w:numPr>
        <w:pBdr>
          <w:top w:val="nil"/>
          <w:left w:val="nil"/>
          <w:bottom w:val="nil"/>
          <w:right w:val="nil"/>
          <w:between w:val="nil"/>
        </w:pBdr>
        <w:spacing w:before="100" w:after="200"/>
      </w:pPr>
      <w:r>
        <w:rPr>
          <w:b/>
          <w:color w:val="000000"/>
        </w:rPr>
        <w:t>Satisfaction Surveys</w:t>
      </w:r>
    </w:p>
    <w:p w14:paraId="6F8CFFA5" w14:textId="77777777" w:rsidR="001B31F1" w:rsidRDefault="001B31F1" w:rsidP="00E1349E">
      <w:pPr>
        <w:numPr>
          <w:ilvl w:val="1"/>
          <w:numId w:val="245"/>
        </w:numPr>
        <w:pBdr>
          <w:top w:val="nil"/>
          <w:left w:val="nil"/>
          <w:bottom w:val="nil"/>
          <w:right w:val="nil"/>
          <w:between w:val="nil"/>
        </w:pBdr>
        <w:spacing w:before="100" w:after="200"/>
      </w:pPr>
      <w:r>
        <w:rPr>
          <w:color w:val="000000"/>
        </w:rPr>
        <w:t>In order to assess the level of performance of the Supplier, the Authority may undertake satisfaction surveys in respect of End Users or various groups of End Users (each such survey a “</w:t>
      </w:r>
      <w:r>
        <w:rPr>
          <w:b/>
          <w:color w:val="000000"/>
        </w:rPr>
        <w:t>Satisfaction Survey</w:t>
      </w:r>
      <w:r>
        <w:rPr>
          <w:color w:val="000000"/>
        </w:rPr>
        <w:t>”), the results of which may be reflected in the Balanced Scorecard Report. The subject matter of Satisfaction Surveys may include:</w:t>
      </w:r>
    </w:p>
    <w:p w14:paraId="0F386158" w14:textId="77777777" w:rsidR="001B31F1" w:rsidRDefault="001B31F1" w:rsidP="00E1349E">
      <w:pPr>
        <w:widowControl w:val="0"/>
        <w:numPr>
          <w:ilvl w:val="2"/>
          <w:numId w:val="245"/>
        </w:numPr>
        <w:pBdr>
          <w:top w:val="nil"/>
          <w:left w:val="nil"/>
          <w:bottom w:val="nil"/>
          <w:right w:val="nil"/>
          <w:between w:val="nil"/>
        </w:pBdr>
        <w:spacing w:before="100" w:after="200"/>
        <w:ind w:left="1440" w:hanging="720"/>
      </w:pPr>
      <w:r>
        <w:rPr>
          <w:color w:val="000000"/>
        </w:rPr>
        <w:t xml:space="preserve">the assessment of the Supplier’s performance by the End Users against the agreed Key Performance Indicators and Subsidiary Performance Indicators; and/or </w:t>
      </w:r>
    </w:p>
    <w:p w14:paraId="00FB2A7D" w14:textId="77777777" w:rsidR="001B31F1" w:rsidRDefault="001B31F1" w:rsidP="00E1349E">
      <w:pPr>
        <w:widowControl w:val="0"/>
        <w:numPr>
          <w:ilvl w:val="2"/>
          <w:numId w:val="245"/>
        </w:numPr>
        <w:pBdr>
          <w:top w:val="nil"/>
          <w:left w:val="nil"/>
          <w:bottom w:val="nil"/>
          <w:right w:val="nil"/>
          <w:between w:val="nil"/>
        </w:pBdr>
        <w:spacing w:before="100" w:after="200"/>
        <w:ind w:left="1440" w:hanging="720"/>
      </w:pPr>
      <w:r>
        <w:rPr>
          <w:color w:val="000000"/>
        </w:rPr>
        <w:t>other suggestions for improvements to the Services.</w:t>
      </w:r>
    </w:p>
    <w:p w14:paraId="3E99B5C2" w14:textId="77777777" w:rsidR="001B31F1" w:rsidRDefault="001B31F1" w:rsidP="00E1349E">
      <w:pPr>
        <w:numPr>
          <w:ilvl w:val="1"/>
          <w:numId w:val="245"/>
        </w:numPr>
        <w:pBdr>
          <w:top w:val="nil"/>
          <w:left w:val="nil"/>
          <w:bottom w:val="nil"/>
          <w:right w:val="nil"/>
          <w:between w:val="nil"/>
        </w:pBdr>
        <w:spacing w:before="100" w:after="200"/>
      </w:pPr>
      <w:r>
        <w:rPr>
          <w:color w:val="000000"/>
        </w:rPr>
        <w:t>The Authority shall reflect in the monthly Balanced Scorecard Report any aspects of the Supplier’s performance of the Services which the responses to the Satisfaction Surveys reasonably suggest are not meeting the Services Description.</w:t>
      </w:r>
    </w:p>
    <w:p w14:paraId="29DE9DBC" w14:textId="77777777" w:rsidR="001B31F1" w:rsidRDefault="001B31F1" w:rsidP="00E1349E">
      <w:pPr>
        <w:keepNext/>
        <w:numPr>
          <w:ilvl w:val="0"/>
          <w:numId w:val="245"/>
        </w:numPr>
        <w:pBdr>
          <w:top w:val="nil"/>
          <w:left w:val="nil"/>
          <w:bottom w:val="nil"/>
          <w:right w:val="nil"/>
          <w:between w:val="nil"/>
        </w:pBdr>
        <w:spacing w:before="100" w:after="200"/>
      </w:pPr>
      <w:r>
        <w:rPr>
          <w:b/>
          <w:color w:val="000000"/>
        </w:rPr>
        <w:t>Virtual Library Completeness</w:t>
      </w:r>
    </w:p>
    <w:p w14:paraId="5C55F476" w14:textId="77777777" w:rsidR="001B31F1" w:rsidRDefault="001B31F1" w:rsidP="00E1349E">
      <w:pPr>
        <w:numPr>
          <w:ilvl w:val="1"/>
          <w:numId w:val="245"/>
        </w:numPr>
        <w:pBdr>
          <w:top w:val="nil"/>
          <w:left w:val="nil"/>
          <w:bottom w:val="nil"/>
          <w:right w:val="nil"/>
          <w:between w:val="nil"/>
        </w:pBdr>
        <w:spacing w:before="100" w:after="200"/>
      </w:pPr>
      <w:r>
        <w:rPr>
          <w:color w:val="000000"/>
        </w:rPr>
        <w:t>The Virtual Library shall be complete where all of the information required under Schedule 24 (</w:t>
      </w:r>
      <w:r>
        <w:rPr>
          <w:i/>
          <w:color w:val="000000"/>
        </w:rPr>
        <w:t>Reports and Records Provisions</w:t>
      </w:r>
      <w:r>
        <w:rPr>
          <w:color w:val="000000"/>
        </w:rPr>
        <w:t>) (</w:t>
      </w:r>
      <w:r>
        <w:rPr>
          <w:i/>
          <w:color w:val="000000"/>
        </w:rPr>
        <w:t>Annex 3: Records To Upload To Virtual Library</w:t>
      </w:r>
      <w:r>
        <w:rPr>
          <w:color w:val="000000"/>
        </w:rPr>
        <w:t>) has been uploaded to the Virtual Library in accordance with Paragraph 3 of that Schedule.</w:t>
      </w:r>
    </w:p>
    <w:p w14:paraId="64C8BC10" w14:textId="180E7D4F" w:rsidR="00F67E9E" w:rsidRPr="00A54A71" w:rsidRDefault="00F67E9E" w:rsidP="001B31F1">
      <w:pPr>
        <w:pStyle w:val="AppendixText2"/>
        <w:numPr>
          <w:ilvl w:val="0"/>
          <w:numId w:val="0"/>
        </w:numPr>
        <w:ind w:left="720"/>
      </w:pPr>
    </w:p>
    <w:p w14:paraId="03E38DC1" w14:textId="77777777" w:rsidR="00F67E9E" w:rsidRDefault="00F67E9E" w:rsidP="00F67E9E"/>
    <w:p w14:paraId="4BC1D3B8" w14:textId="77777777" w:rsidR="00F67E9E" w:rsidRDefault="00F67E9E" w:rsidP="00F67E9E"/>
    <w:p w14:paraId="65E412EE" w14:textId="77777777" w:rsidR="00F67E9E" w:rsidRPr="009E1FEF" w:rsidRDefault="00F67E9E" w:rsidP="00F13933">
      <w:pPr>
        <w:numPr>
          <w:ilvl w:val="1"/>
          <w:numId w:val="34"/>
        </w:numPr>
        <w:pBdr>
          <w:top w:val="nil"/>
          <w:left w:val="nil"/>
          <w:bottom w:val="nil"/>
          <w:right w:val="nil"/>
          <w:between w:val="nil"/>
        </w:pBdr>
        <w:tabs>
          <w:tab w:val="num" w:pos="360"/>
        </w:tabs>
        <w:spacing w:before="100" w:after="200"/>
        <w:ind w:left="360"/>
        <w:rPr>
          <w:szCs w:val="24"/>
        </w:rPr>
        <w:sectPr w:rsidR="00F67E9E" w:rsidRPr="009E1FEF" w:rsidSect="00240D26">
          <w:footerReference w:type="default" r:id="rId35"/>
          <w:footerReference w:type="first" r:id="rId36"/>
          <w:pgSz w:w="11900" w:h="16840" w:code="9"/>
          <w:pgMar w:top="1701" w:right="851" w:bottom="1134" w:left="851" w:header="567" w:footer="567" w:gutter="0"/>
          <w:cols w:space="720"/>
          <w:docGrid w:linePitch="360"/>
        </w:sectPr>
      </w:pPr>
    </w:p>
    <w:p w14:paraId="79B73389" w14:textId="77777777" w:rsidR="00F67E9E" w:rsidRPr="007C55B2" w:rsidRDefault="00F67E9E" w:rsidP="00F67E9E">
      <w:pPr>
        <w:pStyle w:val="Dividername"/>
      </w:pPr>
      <w:bookmarkStart w:id="343" w:name="_Ref92707593"/>
      <w:bookmarkEnd w:id="257"/>
      <w:r w:rsidRPr="007C55B2">
        <w:lastRenderedPageBreak/>
        <w:t>Schedule 4</w:t>
      </w:r>
      <w:bookmarkEnd w:id="343"/>
    </w:p>
    <w:p w14:paraId="04411160" w14:textId="77777777" w:rsidR="00F67E9E" w:rsidRPr="007C55B2" w:rsidRDefault="00F67E9E" w:rsidP="00F67E9E">
      <w:pPr>
        <w:pStyle w:val="Dividername"/>
      </w:pPr>
      <w:r w:rsidRPr="007C55B2">
        <w:t>Standards</w:t>
      </w:r>
    </w:p>
    <w:p w14:paraId="4F443411" w14:textId="77777777" w:rsidR="00F67E9E" w:rsidRDefault="00F67E9E" w:rsidP="00F67E9E"/>
    <w:p w14:paraId="068E3FC1" w14:textId="77777777" w:rsidR="00F67E9E" w:rsidRPr="005D0525" w:rsidRDefault="00F67E9E" w:rsidP="00F67E9E">
      <w:pPr>
        <w:pStyle w:val="Heading1"/>
      </w:pPr>
      <w:bookmarkStart w:id="344" w:name="Schedule4"/>
      <w:bookmarkStart w:id="345" w:name="_Ref92199295"/>
      <w:bookmarkStart w:id="346" w:name="_Toc145412742"/>
      <w:r w:rsidRPr="005D0525">
        <w:lastRenderedPageBreak/>
        <w:t>Schedule</w:t>
      </w:r>
      <w:r>
        <w:t> </w:t>
      </w:r>
      <w:r w:rsidRPr="005D0525">
        <w:t>4</w:t>
      </w:r>
      <w:bookmarkEnd w:id="344"/>
      <w:r>
        <w:t xml:space="preserve">: </w:t>
      </w:r>
      <w:bookmarkStart w:id="347" w:name="Schedule4Heading"/>
      <w:r w:rsidRPr="00F97284">
        <w:t>Standards</w:t>
      </w:r>
      <w:bookmarkEnd w:id="345"/>
      <w:bookmarkEnd w:id="346"/>
      <w:bookmarkEnd w:id="347"/>
    </w:p>
    <w:p w14:paraId="1A307ED8" w14:textId="77777777" w:rsidR="00F67E9E" w:rsidRPr="00E6346F" w:rsidRDefault="00F67E9E" w:rsidP="00F13933">
      <w:pPr>
        <w:pStyle w:val="Numbered1"/>
        <w:numPr>
          <w:ilvl w:val="0"/>
          <w:numId w:val="115"/>
        </w:numPr>
      </w:pPr>
      <w:r w:rsidRPr="00E6346F">
        <w:t>Definitions</w:t>
      </w:r>
    </w:p>
    <w:p w14:paraId="517EF2FE" w14:textId="77777777" w:rsidR="00F67E9E" w:rsidRPr="00F511A1" w:rsidRDefault="00F67E9E" w:rsidP="00F67E9E">
      <w:pPr>
        <w:pStyle w:val="Numbered11"/>
      </w:pPr>
      <w:r w:rsidRPr="00F511A1">
        <w:t>In this Schedule, the following definitions shall apply:</w:t>
      </w:r>
    </w:p>
    <w:tbl>
      <w:tblPr>
        <w:tblStyle w:val="MSAdefinitions"/>
        <w:tblW w:w="9638" w:type="dxa"/>
        <w:tblLook w:val="04A0" w:firstRow="1" w:lastRow="0" w:firstColumn="1" w:lastColumn="0" w:noHBand="0" w:noVBand="1"/>
      </w:tblPr>
      <w:tblGrid>
        <w:gridCol w:w="2835"/>
        <w:gridCol w:w="6803"/>
      </w:tblGrid>
      <w:tr w:rsidR="00F67E9E" w:rsidRPr="00F511A1" w14:paraId="016F9C88" w14:textId="77777777" w:rsidTr="0052486C">
        <w:tc>
          <w:tcPr>
            <w:tcW w:w="2835" w:type="dxa"/>
          </w:tcPr>
          <w:p w14:paraId="0E3CE1E7" w14:textId="77777777" w:rsidR="00F67E9E" w:rsidRPr="00F511A1" w:rsidRDefault="00F67E9E" w:rsidP="0052486C">
            <w:pPr>
              <w:pStyle w:val="StdBodyTextBold"/>
              <w:rPr>
                <w:rFonts w:cs="Arial"/>
              </w:rPr>
            </w:pPr>
            <w:r>
              <w:rPr>
                <w:rFonts w:cs="Arial"/>
              </w:rPr>
              <w:t>“</w:t>
            </w:r>
            <w:r w:rsidRPr="00F511A1">
              <w:rPr>
                <w:rFonts w:cs="Arial"/>
              </w:rPr>
              <w:t>Standards Hub</w:t>
            </w:r>
            <w:r>
              <w:rPr>
                <w:rFonts w:cs="Arial"/>
              </w:rPr>
              <w:t>”</w:t>
            </w:r>
          </w:p>
        </w:tc>
        <w:tc>
          <w:tcPr>
            <w:tcW w:w="6803" w:type="dxa"/>
          </w:tcPr>
          <w:p w14:paraId="50B31669" w14:textId="197AB1F6" w:rsidR="00F67E9E" w:rsidRPr="00F511A1" w:rsidRDefault="00F67E9E" w:rsidP="0052486C">
            <w:pPr>
              <w:pStyle w:val="StdBodyText"/>
              <w:rPr>
                <w:rFonts w:cs="Arial"/>
              </w:rPr>
            </w:pPr>
            <w:r w:rsidRPr="00F511A1">
              <w:rPr>
                <w:rFonts w:cs="Arial"/>
              </w:rPr>
              <w:t>the Government</w:t>
            </w:r>
            <w:r>
              <w:rPr>
                <w:rFonts w:cs="Arial"/>
              </w:rPr>
              <w:t>’</w:t>
            </w:r>
            <w:r w:rsidRPr="00F511A1">
              <w:rPr>
                <w:rFonts w:cs="Arial"/>
              </w:rPr>
              <w:t xml:space="preserve">s open and transparent standards adoption process as documented at </w:t>
            </w:r>
            <w:hyperlink r:id="rId37" w:history="1">
              <w:r w:rsidRPr="005870ED">
                <w:rPr>
                  <w:rStyle w:val="Hyperlink"/>
                </w:rPr>
                <w:t>http://standards.data.gov.uk/</w:t>
              </w:r>
            </w:hyperlink>
            <w:r w:rsidRPr="00F511A1">
              <w:rPr>
                <w:rFonts w:cs="Arial"/>
              </w:rPr>
              <w:t>; and</w:t>
            </w:r>
          </w:p>
        </w:tc>
      </w:tr>
      <w:tr w:rsidR="00F67E9E" w:rsidRPr="00F511A1" w14:paraId="49A7C223" w14:textId="77777777" w:rsidTr="0052486C">
        <w:tc>
          <w:tcPr>
            <w:tcW w:w="2835" w:type="dxa"/>
          </w:tcPr>
          <w:p w14:paraId="31D4AD7A" w14:textId="77777777" w:rsidR="00F67E9E" w:rsidRPr="00F511A1" w:rsidRDefault="00F67E9E" w:rsidP="0052486C">
            <w:pPr>
              <w:pStyle w:val="StdBodyTextBold"/>
              <w:rPr>
                <w:rFonts w:cs="Arial"/>
              </w:rPr>
            </w:pPr>
            <w:r>
              <w:rPr>
                <w:rFonts w:cs="Arial"/>
              </w:rPr>
              <w:t>“</w:t>
            </w:r>
            <w:r w:rsidRPr="00F511A1">
              <w:rPr>
                <w:rFonts w:cs="Arial"/>
              </w:rPr>
              <w:t>Suggested Challenge</w:t>
            </w:r>
            <w:r>
              <w:rPr>
                <w:rFonts w:cs="Arial"/>
              </w:rPr>
              <w:t>”</w:t>
            </w:r>
          </w:p>
        </w:tc>
        <w:tc>
          <w:tcPr>
            <w:tcW w:w="6803" w:type="dxa"/>
          </w:tcPr>
          <w:p w14:paraId="470FF145" w14:textId="77777777" w:rsidR="00F67E9E" w:rsidRPr="00F511A1" w:rsidRDefault="00F67E9E" w:rsidP="0052486C">
            <w:pPr>
              <w:pStyle w:val="StdBodyText"/>
              <w:rPr>
                <w:rFonts w:cs="Arial"/>
              </w:rPr>
            </w:pPr>
            <w:r w:rsidRPr="00F511A1">
              <w:rPr>
                <w:rFonts w:cs="Arial"/>
              </w:rPr>
              <w:t>a submission to suggest the adoption of new or emergent standards in the format specified on Standards Hub.</w:t>
            </w:r>
          </w:p>
        </w:tc>
      </w:tr>
    </w:tbl>
    <w:p w14:paraId="43CFA79C" w14:textId="77777777" w:rsidR="00F67E9E" w:rsidRPr="00F511A1" w:rsidRDefault="00F67E9E" w:rsidP="00F67E9E">
      <w:pPr>
        <w:pStyle w:val="Numbered1"/>
      </w:pPr>
      <w:bookmarkStart w:id="348" w:name="_Ref_ContractCompanion_9kb9Ur5CD"/>
      <w:r w:rsidRPr="00F511A1">
        <w:t>General</w:t>
      </w:r>
      <w:bookmarkEnd w:id="348"/>
    </w:p>
    <w:p w14:paraId="105DDEEC" w14:textId="77777777" w:rsidR="00F67E9E" w:rsidRPr="00F511A1" w:rsidRDefault="00F67E9E" w:rsidP="00F67E9E">
      <w:pPr>
        <w:pStyle w:val="Numbered11"/>
      </w:pPr>
      <w:bookmarkStart w:id="349" w:name="_9kR3WTrAG89GGDBdRw481pyCII7t676FD7DG6Il"/>
      <w:r w:rsidRPr="00F511A1">
        <w:t>Throughout the term of this Contract, the Parties shall monitor and notify each other of any new or emergent standards which could affect the Supplier</w:t>
      </w:r>
      <w:r>
        <w:t>’</w:t>
      </w:r>
      <w:r w:rsidRPr="00F511A1">
        <w:t>s provision, or the Authority</w:t>
      </w:r>
      <w:r>
        <w:t>’</w:t>
      </w:r>
      <w:r w:rsidRPr="00F511A1">
        <w:t>s receipt, of the Services.</w:t>
      </w:r>
      <w:bookmarkEnd w:id="349"/>
      <w:r w:rsidRPr="00F511A1">
        <w:t xml:space="preserve"> Any changes to the Standards, including the adoption of any such new or emergent standard, shall be agreed in accordance with the Change Control Procedure.</w:t>
      </w:r>
    </w:p>
    <w:p w14:paraId="7C3DAFA4" w14:textId="77777777" w:rsidR="00F67E9E" w:rsidRPr="00F511A1" w:rsidRDefault="00F67E9E" w:rsidP="00F67E9E">
      <w:pPr>
        <w:pStyle w:val="Numbered11"/>
      </w:pPr>
      <w:bookmarkStart w:id="350" w:name="_Ref_ContractCompanion_9kb9Ur5BE"/>
      <w:bookmarkStart w:id="351" w:name="_9kR3WTrAG89FKIChUjuvfpu4FB2yz58w4KQRA59"/>
      <w:r w:rsidRPr="00F511A1">
        <w:t>Where a new or emergent standard is to be developed or introduced by the Authority, the Supplier shall be responsible for ensuring that the potential impact on the Supplier</w:t>
      </w:r>
      <w:r>
        <w:t>’</w:t>
      </w:r>
      <w:r w:rsidRPr="00F511A1">
        <w:t>s provision, or the Authority</w:t>
      </w:r>
      <w:r>
        <w:t>’</w:t>
      </w:r>
      <w:r w:rsidRPr="00F511A1">
        <w:t>s receipt, of the Services is explained to the Authority (in a reasonable timeframe), prior to the implementation of the new or emergent standard.</w:t>
      </w:r>
      <w:bookmarkEnd w:id="350"/>
      <w:bookmarkEnd w:id="351"/>
    </w:p>
    <w:p w14:paraId="65881159" w14:textId="77777777" w:rsidR="00F67E9E" w:rsidRPr="00F511A1" w:rsidRDefault="00F67E9E" w:rsidP="00F67E9E">
      <w:pPr>
        <w:pStyle w:val="Numbered11"/>
      </w:pPr>
      <w:r w:rsidRPr="00F511A1">
        <w:t>Where Standards referenced conflict with each other or with Good Industry Practice, then the later Standard or best practice shall be adopted by the Supplier. Any such alteration to any Standard(s) shall require the prior written agreement of the Authority and shall be implemented within an agreed timescale.</w:t>
      </w:r>
    </w:p>
    <w:p w14:paraId="300E7D64" w14:textId="77777777" w:rsidR="00F67E9E" w:rsidRPr="00651C62" w:rsidRDefault="00F67E9E" w:rsidP="00F67E9E">
      <w:pPr>
        <w:pStyle w:val="Numbered1"/>
      </w:pPr>
      <w:r w:rsidRPr="00651C62">
        <w:t xml:space="preserve">Technology </w:t>
      </w:r>
      <w:r>
        <w:t>a</w:t>
      </w:r>
      <w:r w:rsidRPr="00651C62">
        <w:t>nd Digital Services Practice</w:t>
      </w:r>
    </w:p>
    <w:p w14:paraId="36ED3B0C" w14:textId="1309EF9B" w:rsidR="00F67E9E" w:rsidRPr="00651C62" w:rsidRDefault="00F67E9E" w:rsidP="00F67E9E">
      <w:pPr>
        <w:pStyle w:val="Numbered11"/>
      </w:pPr>
      <w:r w:rsidRPr="00651C62">
        <w:t>The Supplier shall (when designing, implementing and delivering the Services) adopt the applicable elements of HM Government</w:t>
      </w:r>
      <w:r>
        <w:t>’</w:t>
      </w:r>
      <w:r w:rsidRPr="00651C62">
        <w:t xml:space="preserve">s Technology Code of Practice as documented at </w:t>
      </w:r>
      <w:hyperlink r:id="rId38" w:history="1">
        <w:r w:rsidRPr="009611CF">
          <w:rPr>
            <w:rStyle w:val="Hyperlink"/>
            <w:rFonts w:cs="Arial"/>
          </w:rPr>
          <w:t>https://www.gov.uk/service-manual/technology/code-of-practice.html</w:t>
        </w:r>
      </w:hyperlink>
      <w:r w:rsidRPr="00651C62">
        <w:t xml:space="preserve">. </w:t>
      </w:r>
    </w:p>
    <w:p w14:paraId="45FF0D68" w14:textId="77777777" w:rsidR="00F67E9E" w:rsidRPr="00651C62" w:rsidRDefault="00F67E9E" w:rsidP="00F67E9E">
      <w:pPr>
        <w:pStyle w:val="Numbered1"/>
      </w:pPr>
      <w:bookmarkStart w:id="352" w:name="_Ref_ContractCompanion_9kb9Ur5CG"/>
      <w:r w:rsidRPr="00651C62">
        <w:t>Open Data Standards &amp; Standards Hub</w:t>
      </w:r>
      <w:bookmarkEnd w:id="352"/>
    </w:p>
    <w:p w14:paraId="64B224A6" w14:textId="7F39BA7D" w:rsidR="00F67E9E" w:rsidRPr="00651C62" w:rsidRDefault="00F67E9E" w:rsidP="00F67E9E">
      <w:pPr>
        <w:pStyle w:val="Numbered11"/>
      </w:pPr>
      <w:bookmarkStart w:id="353" w:name="_Ref_ContractCompanion_9kb9Ur5C8"/>
      <w:bookmarkStart w:id="354" w:name="_9kR3WTrAG89GEDDdRjVgA63xr1G7qv7z3EGGQZQ"/>
      <w:r w:rsidRPr="00651C62">
        <w:t>The Supplier shall comply to the extent within its control with UK Government</w:t>
      </w:r>
      <w:r>
        <w:t>’</w:t>
      </w:r>
      <w:r w:rsidRPr="00651C62">
        <w:t xml:space="preserve">s Open Standards Principles as documented at </w:t>
      </w:r>
      <w:hyperlink r:id="rId39" w:history="1">
        <w:r w:rsidRPr="009611CF">
          <w:rPr>
            <w:rStyle w:val="Hyperlink"/>
            <w:rFonts w:cs="Arial"/>
          </w:rPr>
          <w:t>https://www.gov.uk/government/publications/open-standards-principles/open-standards-principles</w:t>
        </w:r>
      </w:hyperlink>
      <w:r w:rsidRPr="00651C62">
        <w:t>, as they relate to the specification of standards for software interoperability, data and document formats in the IT Environment.</w:t>
      </w:r>
      <w:bookmarkEnd w:id="353"/>
      <w:bookmarkEnd w:id="354"/>
    </w:p>
    <w:p w14:paraId="2134D44A" w14:textId="37BA25A3" w:rsidR="00F67E9E" w:rsidRPr="00F511A1" w:rsidRDefault="00F67E9E" w:rsidP="00F67E9E">
      <w:pPr>
        <w:pStyle w:val="Numbered11"/>
      </w:pPr>
      <w:r w:rsidRPr="00F511A1">
        <w:t xml:space="preserve">Without prejudice to the generality of </w:t>
      </w:r>
      <w:bookmarkStart w:id="355" w:name="_9kMHG5YVtCIABHMKEjWlwxhrw6HD4017Ay6MSTC"/>
      <w:r w:rsidRPr="00F511A1">
        <w:t xml:space="preserve">Paragraph </w:t>
      </w:r>
      <w:r w:rsidRPr="00F511A1">
        <w:fldChar w:fldCharType="begin"/>
      </w:r>
      <w:r w:rsidRPr="00F511A1">
        <w:instrText xml:space="preserve"> REF _Ref_ContractCompanion_9kb9Ur5BE \n \h \t \* MERGEFORMAT </w:instrText>
      </w:r>
      <w:r w:rsidRPr="00F511A1">
        <w:fldChar w:fldCharType="separate"/>
      </w:r>
      <w:r w:rsidR="007A1473">
        <w:t>2.2</w:t>
      </w:r>
      <w:r w:rsidRPr="00F511A1">
        <w:fldChar w:fldCharType="end"/>
      </w:r>
      <w:bookmarkEnd w:id="355"/>
      <w:r w:rsidRPr="00F511A1">
        <w:t>, the Supplier shall, when implementing or updating a technical component or part of the Software or Supplier Solution where there is a requirement under this Contract or opportunity to use a new or emergent standard, submit a Suggested Challenge compliant with the UK Government</w:t>
      </w:r>
      <w:r>
        <w:t>’</w:t>
      </w:r>
      <w:r w:rsidRPr="00F511A1">
        <w:t xml:space="preserve">s Open Standards Principles (using the process detailed on Standards Hub and documented at </w:t>
      </w:r>
      <w:hyperlink r:id="rId40" w:history="1">
        <w:r w:rsidRPr="009611CF">
          <w:rPr>
            <w:rStyle w:val="Hyperlink"/>
            <w:rFonts w:cs="Arial"/>
          </w:rPr>
          <w:t>http://standards.data.gov.uk/</w:t>
        </w:r>
      </w:hyperlink>
      <w:r w:rsidRPr="00F511A1">
        <w:t xml:space="preserve">). Each Suggested Challenge submitted by the Supplier shall detail, subject to the security and confidentiality provisions in this </w:t>
      </w:r>
      <w:r w:rsidRPr="00F511A1">
        <w:lastRenderedPageBreak/>
        <w:t>Contract, an illustration of such requirement or opportunity within the IT Environment, Supplier Solution and Government</w:t>
      </w:r>
      <w:r>
        <w:t>’</w:t>
      </w:r>
      <w:r w:rsidRPr="00F511A1">
        <w:t>s IT infrastructure and the suggested open standard.</w:t>
      </w:r>
    </w:p>
    <w:p w14:paraId="02C0E883" w14:textId="48D28BCF" w:rsidR="00F67E9E" w:rsidRPr="00F511A1" w:rsidRDefault="00F67E9E" w:rsidP="00F67E9E">
      <w:pPr>
        <w:pStyle w:val="Numbered11"/>
      </w:pPr>
      <w:r w:rsidRPr="00F511A1">
        <w:t xml:space="preserve">The Supplier shall ensure that all documentation published on behalf of the Authority pursuant to this Contract is provided in a non-proprietary format (such as PDF or Open Document Format (ISO 26300 or equivalent)) as well as any native file format documentation in accordance with the obligation under </w:t>
      </w:r>
      <w:bookmarkStart w:id="356" w:name="_9kMHG5YVtCIABIGFFfTlXiC85zt3I9sx915GIIS"/>
      <w:r w:rsidRPr="00F511A1">
        <w:t xml:space="preserve">Paragraph </w:t>
      </w:r>
      <w:r w:rsidRPr="00F511A1">
        <w:fldChar w:fldCharType="begin"/>
      </w:r>
      <w:r w:rsidRPr="00F511A1">
        <w:instrText xml:space="preserve"> REF _Ref_ContractCompanion_9kb9Ur5C8 \n \h \t \* MERGEFORMAT </w:instrText>
      </w:r>
      <w:r w:rsidRPr="00F511A1">
        <w:fldChar w:fldCharType="separate"/>
      </w:r>
      <w:r w:rsidR="007A1473">
        <w:t>4.1</w:t>
      </w:r>
      <w:r w:rsidRPr="00F511A1">
        <w:fldChar w:fldCharType="end"/>
      </w:r>
      <w:bookmarkEnd w:id="356"/>
      <w:r w:rsidRPr="00F511A1">
        <w:t xml:space="preserve"> to comply with the UK Government</w:t>
      </w:r>
      <w:r>
        <w:t>’</w:t>
      </w:r>
      <w:r w:rsidRPr="00F511A1">
        <w:t xml:space="preserve">s Open Standards Principles, unless the Authority otherwise agrees in writing. </w:t>
      </w:r>
    </w:p>
    <w:p w14:paraId="3DA4A3F6" w14:textId="77777777" w:rsidR="00F67E9E" w:rsidRPr="00F511A1" w:rsidRDefault="00F67E9E" w:rsidP="00F67E9E">
      <w:pPr>
        <w:pStyle w:val="Numbered1"/>
      </w:pPr>
      <w:r w:rsidRPr="00F511A1">
        <w:t>Technology Architecture Standards</w:t>
      </w:r>
    </w:p>
    <w:p w14:paraId="7032DAF3" w14:textId="77777777" w:rsidR="00F67E9E" w:rsidRPr="00F511A1" w:rsidRDefault="00F67E9E" w:rsidP="00F67E9E">
      <w:pPr>
        <w:pStyle w:val="Numbered11"/>
      </w:pPr>
      <w:r w:rsidRPr="00F511A1">
        <w:t xml:space="preserve">The Supplier shall produce full and detailed technical architecture documentation for the Supplier Solution in accordance with Good Industry Practice. If documentation exists that complies with the Open Group Architecture Framework </w:t>
      </w:r>
      <w:bookmarkStart w:id="357" w:name="_9kMHG5YVtCIABIHLLjWlwxyzzG974r7J45LM5AQ"/>
      <w:r w:rsidRPr="00F511A1">
        <w:t>9.2</w:t>
      </w:r>
      <w:bookmarkEnd w:id="357"/>
      <w:r w:rsidRPr="00F511A1">
        <w:t xml:space="preserve"> or its equivalent, then this shall be deemed acceptable.</w:t>
      </w:r>
    </w:p>
    <w:p w14:paraId="6A06912A" w14:textId="77777777" w:rsidR="00F67E9E" w:rsidRPr="00F511A1" w:rsidRDefault="00F67E9E" w:rsidP="00F67E9E">
      <w:pPr>
        <w:pStyle w:val="Numbered1"/>
      </w:pPr>
      <w:r w:rsidRPr="00F511A1">
        <w:t>Accessible Digital Standards</w:t>
      </w:r>
    </w:p>
    <w:p w14:paraId="18FBDFE3" w14:textId="77777777" w:rsidR="00F67E9E" w:rsidRPr="00F511A1" w:rsidRDefault="00F67E9E" w:rsidP="00F67E9E">
      <w:pPr>
        <w:pStyle w:val="Numbered11"/>
      </w:pPr>
      <w:r w:rsidRPr="00F511A1">
        <w:t>The Supplier shall comply with (or with equivalents to):</w:t>
      </w:r>
    </w:p>
    <w:p w14:paraId="624EFFA3" w14:textId="77777777" w:rsidR="000E46B7" w:rsidRDefault="00F67E9E" w:rsidP="00F67E9E">
      <w:pPr>
        <w:pStyle w:val="Numbered111"/>
        <w:tabs>
          <w:tab w:val="clear" w:pos="1800"/>
        </w:tabs>
        <w:ind w:left="1440" w:hanging="720"/>
      </w:pPr>
      <w:r w:rsidRPr="00F511A1">
        <w:t xml:space="preserve">the World Wide Web Consortium (W3C) Web Accessibility Initiative (WAI) Web Content Accessibility Guidelines (WCAG) </w:t>
      </w:r>
      <w:bookmarkStart w:id="358" w:name="_9kMHG5YVtCIABIIFDfTy6A3r0EKK9v898HF9FI8"/>
      <w:r w:rsidRPr="00F511A1">
        <w:t>2.1</w:t>
      </w:r>
      <w:bookmarkEnd w:id="358"/>
      <w:r w:rsidRPr="00F511A1">
        <w:t xml:space="preserve"> Conformance Level AA</w:t>
      </w:r>
      <w:r w:rsidR="000E46B7">
        <w:t xml:space="preserve"> minimum</w:t>
      </w:r>
      <w:r w:rsidRPr="00F511A1">
        <w:t xml:space="preserve">; </w:t>
      </w:r>
    </w:p>
    <w:p w14:paraId="11C8C2F6" w14:textId="110F5B65" w:rsidR="00F67E9E" w:rsidRPr="00F511A1" w:rsidRDefault="000E46B7" w:rsidP="0020504D">
      <w:pPr>
        <w:pStyle w:val="Numbered111"/>
      </w:pPr>
      <w:r w:rsidRPr="000E46B7">
        <w:t>future versions of the Wide Web Consortium (W3C) Web Content Acc</w:t>
      </w:r>
      <w:r>
        <w:t xml:space="preserve">essibility Guidelines (WCAG); </w:t>
      </w:r>
      <w:r w:rsidR="00F67E9E" w:rsidRPr="00F511A1">
        <w:t>and</w:t>
      </w:r>
    </w:p>
    <w:p w14:paraId="3E4EAD57" w14:textId="77777777" w:rsidR="000E46B7" w:rsidRDefault="00F67E9E" w:rsidP="00F67E9E">
      <w:pPr>
        <w:pStyle w:val="Numbered111"/>
        <w:tabs>
          <w:tab w:val="clear" w:pos="1800"/>
        </w:tabs>
        <w:ind w:left="1440" w:hanging="720"/>
      </w:pPr>
      <w:r w:rsidRPr="00F511A1">
        <w:t xml:space="preserve">ISO/IEC 13066-1: 2011 Information Technology – Interoperability with assistive technology (AT) – </w:t>
      </w:r>
      <w:bookmarkStart w:id="359" w:name="_9kR3WTr2CC57AZEn7I"/>
      <w:r w:rsidRPr="00F511A1">
        <w:t>Part 1</w:t>
      </w:r>
      <w:bookmarkEnd w:id="359"/>
      <w:r w:rsidRPr="00F511A1">
        <w:t>: Requirements and recommendations for interoperability</w:t>
      </w:r>
    </w:p>
    <w:p w14:paraId="5DEC1362" w14:textId="3190CFDB" w:rsidR="00F67E9E" w:rsidRPr="00F511A1" w:rsidRDefault="000E46B7" w:rsidP="0020504D">
      <w:pPr>
        <w:pStyle w:val="Numbered11"/>
      </w:pPr>
      <w:r>
        <w:t>The Supplier shall ensure the Services meet</w:t>
      </w:r>
      <w:r w:rsidRPr="000E46B7">
        <w:t xml:space="preserve"> WCAG 2.1 standards for accessibility at a minimum to AA l</w:t>
      </w:r>
      <w:r>
        <w:t>evel. When WCAG 2.2 is released</w:t>
      </w:r>
      <w:r w:rsidRPr="000E46B7">
        <w:t xml:space="preserve"> </w:t>
      </w:r>
      <w:r>
        <w:t xml:space="preserve">(i.e. </w:t>
      </w:r>
      <w:r w:rsidRPr="000E46B7">
        <w:t xml:space="preserve">the updated </w:t>
      </w:r>
      <w:r>
        <w:t xml:space="preserve">WCAG </w:t>
      </w:r>
      <w:r w:rsidRPr="000E46B7">
        <w:t>standard</w:t>
      </w:r>
      <w:r>
        <w:t>)</w:t>
      </w:r>
      <w:r w:rsidR="0021499D">
        <w:t xml:space="preserve"> and </w:t>
      </w:r>
      <w:r w:rsidR="00F13933">
        <w:t xml:space="preserve">when </w:t>
      </w:r>
      <w:r w:rsidR="0021499D">
        <w:t xml:space="preserve">any further </w:t>
      </w:r>
      <w:r w:rsidR="00F13933">
        <w:t>updated WCAG standards</w:t>
      </w:r>
      <w:r w:rsidR="001B31F1">
        <w:t xml:space="preserve"> are </w:t>
      </w:r>
      <w:r w:rsidR="00F13933">
        <w:t>released</w:t>
      </w:r>
      <w:r w:rsidR="001B31F1">
        <w:t xml:space="preserve"> </w:t>
      </w:r>
      <w:r w:rsidR="00F13933">
        <w:t xml:space="preserve">at any time </w:t>
      </w:r>
      <w:r w:rsidR="001B31F1">
        <w:t>during</w:t>
      </w:r>
      <w:r w:rsidR="00F13933">
        <w:t xml:space="preserve"> the Term</w:t>
      </w:r>
      <w:r>
        <w:t>, the S</w:t>
      </w:r>
      <w:r w:rsidRPr="000E46B7">
        <w:t xml:space="preserve">upplier must ensure compliance </w:t>
      </w:r>
      <w:r>
        <w:t>to th</w:t>
      </w:r>
      <w:r w:rsidR="00113107">
        <w:t>e new</w:t>
      </w:r>
      <w:r>
        <w:t xml:space="preserve"> standard at a minimum to AA level </w:t>
      </w:r>
      <w:r w:rsidRPr="000E46B7">
        <w:t xml:space="preserve">with no additional costs. This shall be evaluated by an independent accessibility audit service </w:t>
      </w:r>
      <w:r>
        <w:t>arranged by the Authority. The S</w:t>
      </w:r>
      <w:r w:rsidRPr="000E46B7">
        <w:t xml:space="preserve">upplier shall ensure </w:t>
      </w:r>
      <w:r>
        <w:t xml:space="preserve">that </w:t>
      </w:r>
      <w:r w:rsidRPr="000E46B7">
        <w:t>any remedial activities identified by the audit to meet AA are completed at no additional cost to the Authority</w:t>
      </w:r>
      <w:r w:rsidR="00F67E9E" w:rsidRPr="00F511A1">
        <w:t>.</w:t>
      </w:r>
    </w:p>
    <w:p w14:paraId="44B08366" w14:textId="77777777" w:rsidR="00F67E9E" w:rsidRPr="00F511A1" w:rsidRDefault="00F67E9E" w:rsidP="00F67E9E">
      <w:pPr>
        <w:pStyle w:val="Numbered1"/>
      </w:pPr>
      <w:r w:rsidRPr="00F511A1">
        <w:t>Service Management Software &amp; Standards</w:t>
      </w:r>
    </w:p>
    <w:p w14:paraId="42ADB001" w14:textId="54D85684" w:rsidR="00F67E9E" w:rsidRPr="00F511A1" w:rsidRDefault="00F67E9E" w:rsidP="00F67E9E">
      <w:pPr>
        <w:pStyle w:val="Numbered11"/>
      </w:pPr>
      <w:r w:rsidRPr="00F511A1">
        <w:t xml:space="preserve">Subject to </w:t>
      </w:r>
      <w:bookmarkStart w:id="360" w:name="_9kR3WTr2BB9GJdEnoewrqy2O"/>
      <w:r w:rsidRPr="00F511A1">
        <w:t xml:space="preserve">Paragraphs </w:t>
      </w:r>
      <w:r w:rsidRPr="00F511A1">
        <w:fldChar w:fldCharType="begin"/>
      </w:r>
      <w:r w:rsidRPr="00F511A1">
        <w:instrText xml:space="preserve"> REF _Ref_ContractCompanion_9kb9Ur5CD \w \n \h \t \* MERGEFORMAT </w:instrText>
      </w:r>
      <w:r w:rsidRPr="00F511A1">
        <w:fldChar w:fldCharType="separate"/>
      </w:r>
      <w:r w:rsidR="007A1473">
        <w:t>2</w:t>
      </w:r>
      <w:r w:rsidRPr="00F511A1">
        <w:fldChar w:fldCharType="end"/>
      </w:r>
      <w:bookmarkEnd w:id="360"/>
      <w:r w:rsidRPr="00F511A1">
        <w:t xml:space="preserve"> to </w:t>
      </w:r>
      <w:bookmarkStart w:id="361" w:name="_9kR3WTr2BB9HDB"/>
      <w:r w:rsidRPr="00F511A1">
        <w:fldChar w:fldCharType="begin"/>
      </w:r>
      <w:r w:rsidRPr="00F511A1">
        <w:instrText xml:space="preserve"> REF _Ref_ContractCompanion_9kb9Ur5CG \w \n \h \t \* MERGEFORMAT </w:instrText>
      </w:r>
      <w:r w:rsidRPr="00F511A1">
        <w:fldChar w:fldCharType="separate"/>
      </w:r>
      <w:r w:rsidR="007A1473">
        <w:t>4</w:t>
      </w:r>
      <w:r w:rsidRPr="00F511A1">
        <w:fldChar w:fldCharType="end"/>
      </w:r>
      <w:bookmarkEnd w:id="361"/>
      <w:r w:rsidRPr="00F511A1">
        <w:t xml:space="preserve"> (inclusive), the Supplier shall reference relevant industry and HM Government standards and best practice guidelines in the management of the Services, including the following and/or their equivalents:</w:t>
      </w:r>
    </w:p>
    <w:p w14:paraId="1C45E8F0" w14:textId="77777777" w:rsidR="00F67E9E" w:rsidRPr="00F511A1" w:rsidRDefault="00F67E9E" w:rsidP="00F67E9E">
      <w:pPr>
        <w:pStyle w:val="Numbered111"/>
        <w:tabs>
          <w:tab w:val="clear" w:pos="1800"/>
          <w:tab w:val="num" w:pos="1440"/>
        </w:tabs>
        <w:ind w:left="1440" w:hanging="720"/>
      </w:pPr>
      <w:r w:rsidRPr="00F511A1">
        <w:t>ITIL v4;</w:t>
      </w:r>
    </w:p>
    <w:p w14:paraId="4105F91B" w14:textId="77777777" w:rsidR="00F67E9E" w:rsidRPr="00F511A1" w:rsidRDefault="00F67E9E" w:rsidP="00F67E9E">
      <w:pPr>
        <w:pStyle w:val="Numbered111"/>
        <w:tabs>
          <w:tab w:val="clear" w:pos="1800"/>
          <w:tab w:val="num" w:pos="1440"/>
        </w:tabs>
        <w:ind w:left="1440" w:hanging="720"/>
        <w:rPr>
          <w:lang w:val="fr-FR"/>
        </w:rPr>
      </w:pPr>
      <w:r w:rsidRPr="00F511A1">
        <w:rPr>
          <w:lang w:val="fr-FR"/>
        </w:rPr>
        <w:t xml:space="preserve">ISO/IEC 20000-1 2018 </w:t>
      </w:r>
      <w:r>
        <w:rPr>
          <w:lang w:val="fr-FR"/>
        </w:rPr>
        <w:t>“</w:t>
      </w:r>
      <w:r w:rsidRPr="00F511A1">
        <w:rPr>
          <w:lang w:val="fr-FR"/>
        </w:rPr>
        <w:t xml:space="preserve">Information technology — Service management – </w:t>
      </w:r>
      <w:bookmarkStart w:id="362" w:name="_9kMHG5YVt4EE79CbGp9K"/>
      <w:r w:rsidRPr="00F511A1">
        <w:rPr>
          <w:lang w:val="fr-FR"/>
        </w:rPr>
        <w:t>Part</w:t>
      </w:r>
      <w:r>
        <w:rPr>
          <w:lang w:val="fr-FR"/>
        </w:rPr>
        <w:t> </w:t>
      </w:r>
      <w:r w:rsidRPr="00F511A1">
        <w:rPr>
          <w:lang w:val="fr-FR"/>
        </w:rPr>
        <w:t>1</w:t>
      </w:r>
      <w:bookmarkEnd w:id="362"/>
      <w:r>
        <w:rPr>
          <w:lang w:val="fr-FR"/>
        </w:rPr>
        <w:t>”</w:t>
      </w:r>
      <w:r w:rsidRPr="00F511A1">
        <w:rPr>
          <w:lang w:val="fr-FR"/>
        </w:rPr>
        <w:t xml:space="preserve">; </w:t>
      </w:r>
    </w:p>
    <w:p w14:paraId="1D326A4F" w14:textId="77777777" w:rsidR="00F67E9E" w:rsidRPr="00F511A1" w:rsidRDefault="00F67E9E" w:rsidP="00F67E9E">
      <w:pPr>
        <w:pStyle w:val="Numbered111"/>
        <w:tabs>
          <w:tab w:val="clear" w:pos="1800"/>
          <w:tab w:val="num" w:pos="1440"/>
        </w:tabs>
        <w:ind w:left="1440" w:hanging="720"/>
        <w:rPr>
          <w:lang w:val="fr-FR"/>
        </w:rPr>
      </w:pPr>
      <w:r w:rsidRPr="00F511A1">
        <w:rPr>
          <w:lang w:val="fr-FR"/>
        </w:rPr>
        <w:t xml:space="preserve">ISO/IEC 20000-2 2019 </w:t>
      </w:r>
      <w:r>
        <w:rPr>
          <w:lang w:val="fr-FR"/>
        </w:rPr>
        <w:t>“</w:t>
      </w:r>
      <w:r w:rsidRPr="00F511A1">
        <w:rPr>
          <w:lang w:val="fr-FR"/>
        </w:rPr>
        <w:t xml:space="preserve">Information technology — Service management – </w:t>
      </w:r>
      <w:bookmarkStart w:id="363" w:name="_9kR3WTr2CC58CaEn7J"/>
      <w:bookmarkEnd w:id="363"/>
      <w:r w:rsidRPr="00F511A1">
        <w:rPr>
          <w:lang w:val="fr-FR"/>
        </w:rPr>
        <w:t>Part</w:t>
      </w:r>
      <w:r>
        <w:rPr>
          <w:lang w:val="fr-FR"/>
        </w:rPr>
        <w:t> </w:t>
      </w:r>
      <w:r w:rsidRPr="00F511A1">
        <w:rPr>
          <w:lang w:val="fr-FR"/>
        </w:rPr>
        <w:t>2</w:t>
      </w:r>
      <w:r>
        <w:rPr>
          <w:lang w:val="fr-FR"/>
        </w:rPr>
        <w:t>”</w:t>
      </w:r>
      <w:r w:rsidRPr="00F511A1">
        <w:rPr>
          <w:lang w:val="fr-FR"/>
        </w:rPr>
        <w:t xml:space="preserve">; </w:t>
      </w:r>
    </w:p>
    <w:p w14:paraId="322528F3" w14:textId="77777777" w:rsidR="00F67E9E" w:rsidRPr="00F511A1" w:rsidRDefault="00F67E9E" w:rsidP="00F67E9E">
      <w:pPr>
        <w:pStyle w:val="Numbered111"/>
        <w:tabs>
          <w:tab w:val="clear" w:pos="1800"/>
          <w:tab w:val="num" w:pos="1440"/>
        </w:tabs>
        <w:ind w:left="1440" w:hanging="720"/>
      </w:pPr>
      <w:r w:rsidRPr="00F511A1">
        <w:t xml:space="preserve">ISO 10007: 2017 </w:t>
      </w:r>
      <w:r>
        <w:t>“</w:t>
      </w:r>
      <w:r w:rsidRPr="00F511A1">
        <w:t>Quality management systems – Guidelines for configuration management</w:t>
      </w:r>
      <w:r>
        <w:t>”</w:t>
      </w:r>
      <w:r w:rsidRPr="00F511A1">
        <w:t>; and</w:t>
      </w:r>
    </w:p>
    <w:p w14:paraId="7E74AB2E" w14:textId="77777777" w:rsidR="0020504D" w:rsidRDefault="00F67E9E" w:rsidP="00F67E9E">
      <w:pPr>
        <w:pStyle w:val="Numbered111"/>
        <w:tabs>
          <w:tab w:val="clear" w:pos="1800"/>
          <w:tab w:val="num" w:pos="1440"/>
        </w:tabs>
        <w:ind w:left="1440" w:hanging="720"/>
      </w:pPr>
      <w:r w:rsidRPr="00F511A1">
        <w:t xml:space="preserve">ISO 22313:2020 </w:t>
      </w:r>
      <w:r>
        <w:t>“</w:t>
      </w:r>
      <w:r w:rsidRPr="00F511A1">
        <w:t xml:space="preserve">Security and resilience. Business continuity management </w:t>
      </w:r>
      <w:r w:rsidRPr="00F511A1">
        <w:lastRenderedPageBreak/>
        <w:t>systems. Guidance on the use of ISO 22301</w:t>
      </w:r>
      <w:r>
        <w:t>”</w:t>
      </w:r>
      <w:r w:rsidRPr="00F511A1">
        <w:t xml:space="preserve"> and, ISO/IEC 27031:2011 and ISO 22301:2019</w:t>
      </w:r>
      <w:r w:rsidR="0020504D">
        <w:t>; and</w:t>
      </w:r>
    </w:p>
    <w:p w14:paraId="56A0BA5B" w14:textId="20A0D431" w:rsidR="00F67E9E" w:rsidRPr="00F511A1" w:rsidRDefault="0020504D" w:rsidP="0020504D">
      <w:pPr>
        <w:pStyle w:val="Numbered111"/>
      </w:pPr>
      <w:r w:rsidRPr="0020504D">
        <w:t>ISO/IEC 27001:2022 "Information security management systems"</w:t>
      </w:r>
      <w:r w:rsidR="00F67E9E" w:rsidRPr="00F511A1">
        <w:t>.</w:t>
      </w:r>
    </w:p>
    <w:p w14:paraId="6F1A2B38" w14:textId="77777777" w:rsidR="00F67E9E" w:rsidRPr="00F511A1" w:rsidRDefault="00F67E9E" w:rsidP="00F67E9E">
      <w:pPr>
        <w:pStyle w:val="Numbered11"/>
      </w:pPr>
      <w:r w:rsidRPr="00F511A1">
        <w:t xml:space="preserve">For the purposes of management of the Services and delivery performance the Supplier shall make use of Software that complies with Good Industry Practice including availability, change, incident, knowledge, problem, release &amp; deployment, request fulfilment, service asset and configuration, service catalogue, service level and service portfolio management. If such Software has been assessed under the ITIL Software Scheme as being compliant to </w:t>
      </w:r>
      <w:r>
        <w:t>“</w:t>
      </w:r>
      <w:r w:rsidRPr="00F511A1">
        <w:t>Bronze Level</w:t>
      </w:r>
      <w:r>
        <w:t>”</w:t>
      </w:r>
      <w:r w:rsidRPr="00F511A1">
        <w:t>, then this shall be deemed acceptable.</w:t>
      </w:r>
    </w:p>
    <w:p w14:paraId="59F8EE57" w14:textId="77777777" w:rsidR="00F67E9E" w:rsidRPr="00F511A1" w:rsidRDefault="00F67E9E" w:rsidP="00F67E9E">
      <w:pPr>
        <w:pStyle w:val="Numbered1"/>
      </w:pPr>
      <w:r w:rsidRPr="00F511A1">
        <w:t>Sustainability</w:t>
      </w:r>
    </w:p>
    <w:p w14:paraId="3DDC6822" w14:textId="29501F4A" w:rsidR="00F67E9E" w:rsidRPr="00F511A1" w:rsidRDefault="00F67E9E" w:rsidP="00F67E9E">
      <w:pPr>
        <w:pStyle w:val="Numbered11"/>
      </w:pPr>
      <w:r w:rsidRPr="00F511A1">
        <w:t xml:space="preserve">The Supplier shall comply with the sustainability requirements set out in </w:t>
      </w:r>
      <w:r>
        <w:fldChar w:fldCharType="begin"/>
      </w:r>
      <w:r>
        <w:instrText xml:space="preserve"> REF Schedule4Annex1 \h </w:instrText>
      </w:r>
      <w:r>
        <w:fldChar w:fldCharType="separate"/>
      </w:r>
      <w:r w:rsidR="007A1473" w:rsidRPr="006158F0">
        <w:t>Annex 1</w:t>
      </w:r>
      <w:r>
        <w:fldChar w:fldCharType="end"/>
      </w:r>
      <w:r w:rsidRPr="00F511A1">
        <w:t xml:space="preserve"> to this </w:t>
      </w:r>
      <w:r>
        <w:fldChar w:fldCharType="begin"/>
      </w:r>
      <w:r>
        <w:instrText xml:space="preserve"> REF Schedule4 \h </w:instrText>
      </w:r>
      <w:r>
        <w:fldChar w:fldCharType="separate"/>
      </w:r>
      <w:r w:rsidR="007A1473" w:rsidRPr="005D0525">
        <w:t>Schedule</w:t>
      </w:r>
      <w:r w:rsidR="007A1473">
        <w:t> </w:t>
      </w:r>
      <w:r w:rsidR="007A1473" w:rsidRPr="005D0525">
        <w:t>4</w:t>
      </w:r>
      <w:r>
        <w:fldChar w:fldCharType="end"/>
      </w:r>
      <w:r w:rsidRPr="00F511A1">
        <w:t>.</w:t>
      </w:r>
    </w:p>
    <w:p w14:paraId="4B93A2BD" w14:textId="77777777" w:rsidR="00F67E9E" w:rsidRPr="00F511A1" w:rsidRDefault="00F67E9E" w:rsidP="00F67E9E">
      <w:pPr>
        <w:pStyle w:val="Numbered1"/>
      </w:pPr>
      <w:r w:rsidRPr="00F511A1">
        <w:t>Hardware Safety Standards</w:t>
      </w:r>
    </w:p>
    <w:p w14:paraId="79D703F3" w14:textId="77777777" w:rsidR="00F67E9E" w:rsidRPr="00F511A1" w:rsidRDefault="00F67E9E" w:rsidP="00F67E9E">
      <w:pPr>
        <w:pStyle w:val="Numbered11"/>
      </w:pPr>
      <w:r w:rsidRPr="00F511A1">
        <w:t>The Supplier shall comply with those BS or other standards relevant to the provision of the Services, including the following or their equivalents:</w:t>
      </w:r>
    </w:p>
    <w:p w14:paraId="48BF7292" w14:textId="77777777" w:rsidR="00F67E9E" w:rsidRPr="00F511A1" w:rsidRDefault="00F67E9E" w:rsidP="00F67E9E">
      <w:pPr>
        <w:pStyle w:val="Numbered111"/>
        <w:tabs>
          <w:tab w:val="clear" w:pos="1800"/>
          <w:tab w:val="num" w:pos="1440"/>
        </w:tabs>
        <w:ind w:left="1440" w:hanging="720"/>
      </w:pPr>
      <w:r w:rsidRPr="00F511A1">
        <w:t>any new hardware required for the delivery of the Services (including printers), shall conform to BS EN IEC 62368-1:2020+A11:2020 or subsequent replacements. In considering where to site any such hardware, the Supplier shall consider the future working user environment and shall position the hardware sympathetically, wherever possible;</w:t>
      </w:r>
    </w:p>
    <w:p w14:paraId="739B1717" w14:textId="77777777" w:rsidR="00F67E9E" w:rsidRPr="00F511A1" w:rsidRDefault="00F67E9E" w:rsidP="00F67E9E">
      <w:pPr>
        <w:pStyle w:val="Numbered111"/>
        <w:tabs>
          <w:tab w:val="clear" w:pos="1800"/>
          <w:tab w:val="num" w:pos="1440"/>
        </w:tabs>
        <w:ind w:left="1440" w:hanging="720"/>
      </w:pPr>
      <w:r w:rsidRPr="00F511A1">
        <w:t>any new audio, video and similar electronic apparatus required for the delivery of the Services, shall conform to the following standard: BS EN IEC 62368-1:2020+A11:2020 or any subsequent replacements;</w:t>
      </w:r>
    </w:p>
    <w:p w14:paraId="1FD1B535" w14:textId="77777777" w:rsidR="00F67E9E" w:rsidRPr="00F511A1" w:rsidRDefault="00F67E9E" w:rsidP="00F67E9E">
      <w:pPr>
        <w:pStyle w:val="Numbered111"/>
        <w:tabs>
          <w:tab w:val="clear" w:pos="1800"/>
          <w:tab w:val="num" w:pos="1440"/>
        </w:tabs>
        <w:ind w:left="1440" w:hanging="720"/>
      </w:pPr>
      <w:r w:rsidRPr="00F511A1">
        <w:t>any new laser printers or scanners using lasers, required for the delivery of the Services, shall conform to either of the following safety Standards: BS EN 60825-1:2014 or any subsequent replacements; and</w:t>
      </w:r>
    </w:p>
    <w:p w14:paraId="4B2182CD" w14:textId="77777777" w:rsidR="00F67E9E" w:rsidRPr="00F511A1" w:rsidRDefault="00F67E9E" w:rsidP="00F67E9E">
      <w:pPr>
        <w:pStyle w:val="Numbered111"/>
        <w:tabs>
          <w:tab w:val="clear" w:pos="1800"/>
          <w:tab w:val="num" w:pos="1440"/>
        </w:tabs>
        <w:ind w:left="1440" w:hanging="720"/>
      </w:pPr>
      <w:r w:rsidRPr="00F511A1">
        <w:t>any new apparatus for connection to any telecommunication network, and required for the delivery of the Services, shall conform to the following safety Standard: BS EN 62949:2017 or any subsequent replacements.</w:t>
      </w:r>
    </w:p>
    <w:p w14:paraId="5FA3D66D" w14:textId="77777777" w:rsidR="00F67E9E" w:rsidRPr="00F511A1" w:rsidRDefault="00F67E9E" w:rsidP="00F67E9E">
      <w:pPr>
        <w:pStyle w:val="Numbered11"/>
      </w:pPr>
      <w:bookmarkStart w:id="364" w:name="_9kR3WTrAG89GFJJhUjuvwxxE752p5H23JK38O7A"/>
      <w:r w:rsidRPr="00F511A1">
        <w:t>Where required to do so as part of the Services, the Supplier shall perform electrical safety checks in relation to all equipment supplied under this Contract in accordance with the relevant health and safety regulations.</w:t>
      </w:r>
      <w:bookmarkEnd w:id="364"/>
    </w:p>
    <w:p w14:paraId="2B65F947" w14:textId="77777777" w:rsidR="00F67E9E" w:rsidRDefault="00F67E9E" w:rsidP="00F67E9E">
      <w:pPr>
        <w:rPr>
          <w:rFonts w:eastAsia="Times New Roman" w:cs="Arial"/>
          <w:szCs w:val="24"/>
          <w:lang w:eastAsia="en-GB"/>
        </w:rPr>
      </w:pPr>
    </w:p>
    <w:p w14:paraId="0218DEEE" w14:textId="77777777" w:rsidR="00F67E9E" w:rsidRDefault="00F67E9E" w:rsidP="00F67E9E">
      <w:pPr>
        <w:rPr>
          <w:rFonts w:eastAsia="Times New Roman" w:cs="Arial"/>
          <w:szCs w:val="24"/>
          <w:lang w:eastAsia="en-GB"/>
        </w:rPr>
      </w:pPr>
      <w:r>
        <w:rPr>
          <w:rFonts w:eastAsia="Times New Roman" w:cs="Arial"/>
          <w:szCs w:val="24"/>
          <w:lang w:eastAsia="en-GB"/>
        </w:rPr>
        <w:br w:type="page"/>
      </w:r>
    </w:p>
    <w:p w14:paraId="0F2D048A" w14:textId="77777777" w:rsidR="00F67E9E" w:rsidRPr="006158F0" w:rsidRDefault="00F67E9E" w:rsidP="00F67E9E">
      <w:pPr>
        <w:pStyle w:val="Heading2"/>
      </w:pPr>
      <w:bookmarkStart w:id="365" w:name="Schedule4Annex1"/>
      <w:bookmarkStart w:id="366" w:name="_Ref92201503"/>
      <w:bookmarkStart w:id="367" w:name="_Toc145412743"/>
      <w:r w:rsidRPr="006158F0">
        <w:lastRenderedPageBreak/>
        <w:t>Annex 1</w:t>
      </w:r>
      <w:bookmarkEnd w:id="365"/>
      <w:r w:rsidRPr="006158F0">
        <w:t xml:space="preserve">: </w:t>
      </w:r>
      <w:bookmarkStart w:id="368" w:name="Schedule4Annex1Heading"/>
      <w:r w:rsidRPr="006158F0">
        <w:t>Sustainability</w:t>
      </w:r>
      <w:bookmarkEnd w:id="366"/>
      <w:bookmarkEnd w:id="367"/>
      <w:bookmarkEnd w:id="368"/>
    </w:p>
    <w:p w14:paraId="0E583A71" w14:textId="77777777" w:rsidR="00F67E9E" w:rsidRPr="006158F0" w:rsidRDefault="00F67E9E" w:rsidP="00F67E9E"/>
    <w:p w14:paraId="69C6C934" w14:textId="77777777" w:rsidR="00F67E9E" w:rsidRPr="006158F0" w:rsidRDefault="00F67E9E" w:rsidP="00F13933">
      <w:pPr>
        <w:pStyle w:val="AppendixText1"/>
        <w:numPr>
          <w:ilvl w:val="0"/>
          <w:numId w:val="35"/>
        </w:numPr>
      </w:pPr>
      <w:r w:rsidRPr="006158F0">
        <w:t>Definitions</w:t>
      </w:r>
    </w:p>
    <w:p w14:paraId="0A21CD06" w14:textId="6C4B859E" w:rsidR="00F67E9E" w:rsidRPr="00F511A1" w:rsidRDefault="00F67E9E" w:rsidP="00F67E9E">
      <w:pPr>
        <w:pStyle w:val="AppendixText2"/>
        <w:tabs>
          <w:tab w:val="num" w:pos="720"/>
        </w:tabs>
      </w:pPr>
      <w:bookmarkStart w:id="369" w:name="_9kR3WTrAG9BHFKm0s3rWQ83t5YO80BRCyx8FDHT"/>
      <w:r w:rsidRPr="00F511A1">
        <w:t xml:space="preserve">In this </w:t>
      </w:r>
      <w:r>
        <w:fldChar w:fldCharType="begin"/>
      </w:r>
      <w:r>
        <w:instrText xml:space="preserve"> REF Schedule4Annex1 \h </w:instrText>
      </w:r>
      <w:r>
        <w:fldChar w:fldCharType="separate"/>
      </w:r>
      <w:r w:rsidR="007A1473" w:rsidRPr="006158F0">
        <w:t>Annex 1</w:t>
      </w:r>
      <w:r>
        <w:fldChar w:fldCharType="end"/>
      </w:r>
      <w:r w:rsidRPr="00F511A1">
        <w:t>, the following definitions shall apply:</w:t>
      </w:r>
      <w:bookmarkEnd w:id="369"/>
    </w:p>
    <w:tbl>
      <w:tblPr>
        <w:tblStyle w:val="MSAdefinitions"/>
        <w:tblW w:w="9638" w:type="dxa"/>
        <w:tblLook w:val="04A0" w:firstRow="1" w:lastRow="0" w:firstColumn="1" w:lastColumn="0" w:noHBand="0" w:noVBand="1"/>
      </w:tblPr>
      <w:tblGrid>
        <w:gridCol w:w="2835"/>
        <w:gridCol w:w="6803"/>
      </w:tblGrid>
      <w:tr w:rsidR="00F67E9E" w:rsidRPr="00F511A1" w14:paraId="0FF833C2" w14:textId="77777777" w:rsidTr="0052486C">
        <w:tc>
          <w:tcPr>
            <w:tcW w:w="2835" w:type="dxa"/>
          </w:tcPr>
          <w:p w14:paraId="4DC31FB1" w14:textId="77777777" w:rsidR="00F67E9E" w:rsidRPr="00F511A1" w:rsidRDefault="00F67E9E" w:rsidP="0052486C">
            <w:pPr>
              <w:pStyle w:val="StdBodyTextBold"/>
              <w:rPr>
                <w:rFonts w:cs="Arial"/>
              </w:rPr>
            </w:pPr>
            <w:r>
              <w:rPr>
                <w:rFonts w:cs="Arial"/>
              </w:rPr>
              <w:t>“</w:t>
            </w:r>
            <w:r w:rsidRPr="00F511A1">
              <w:rPr>
                <w:rFonts w:cs="Arial"/>
              </w:rPr>
              <w:t>Permitted Item</w:t>
            </w:r>
            <w:r>
              <w:rPr>
                <w:rFonts w:cs="Arial"/>
              </w:rPr>
              <w:t>”</w:t>
            </w:r>
          </w:p>
        </w:tc>
        <w:tc>
          <w:tcPr>
            <w:tcW w:w="6803" w:type="dxa"/>
          </w:tcPr>
          <w:p w14:paraId="51A3B233" w14:textId="7536CE03" w:rsidR="00F67E9E" w:rsidRPr="00F511A1" w:rsidRDefault="00F67E9E" w:rsidP="0052486C">
            <w:pPr>
              <w:pStyle w:val="StdBodyText"/>
              <w:rPr>
                <w:rFonts w:cs="Arial"/>
              </w:rPr>
            </w:pPr>
            <w:r w:rsidRPr="00F511A1">
              <w:rPr>
                <w:rFonts w:cs="Arial"/>
              </w:rPr>
              <w:t xml:space="preserve">means those items which are permissible under this Contract to the extent set out in </w:t>
            </w:r>
            <w:bookmarkStart w:id="370" w:name="_9kMHG5YVtCIABJGcLhkhy7sANVw5o04v7bAJBJV"/>
            <w:r w:rsidRPr="00F511A1">
              <w:rPr>
                <w:rFonts w:cs="Arial"/>
              </w:rPr>
              <w:t>Table B</w:t>
            </w:r>
            <w:bookmarkEnd w:id="370"/>
            <w:r w:rsidRPr="00F511A1">
              <w:rPr>
                <w:rFonts w:cs="Arial"/>
              </w:rPr>
              <w:t xml:space="preserve"> of this </w:t>
            </w:r>
            <w:r>
              <w:fldChar w:fldCharType="begin"/>
            </w:r>
            <w:r>
              <w:instrText xml:space="preserve"> REF Schedule4Annex1 \h </w:instrText>
            </w:r>
            <w:r>
              <w:fldChar w:fldCharType="separate"/>
            </w:r>
            <w:r w:rsidR="007A1473" w:rsidRPr="006158F0">
              <w:t>Annex 1</w:t>
            </w:r>
            <w:r>
              <w:fldChar w:fldCharType="end"/>
            </w:r>
            <w:r>
              <w:rPr>
                <w:rFonts w:cs="Arial"/>
              </w:rPr>
              <w:t>;</w:t>
            </w:r>
          </w:p>
        </w:tc>
      </w:tr>
      <w:tr w:rsidR="00F67E9E" w:rsidRPr="00F511A1" w14:paraId="28591442" w14:textId="77777777" w:rsidTr="0052486C">
        <w:tc>
          <w:tcPr>
            <w:tcW w:w="2835" w:type="dxa"/>
          </w:tcPr>
          <w:p w14:paraId="3FE65C2A" w14:textId="77777777" w:rsidR="00F67E9E" w:rsidRPr="00F511A1" w:rsidRDefault="00F67E9E" w:rsidP="0052486C">
            <w:pPr>
              <w:pStyle w:val="StdBodyTextBold"/>
              <w:rPr>
                <w:rFonts w:cs="Arial"/>
              </w:rPr>
            </w:pPr>
            <w:r>
              <w:rPr>
                <w:rFonts w:cs="Arial"/>
              </w:rPr>
              <w:t>“</w:t>
            </w:r>
            <w:r w:rsidRPr="00F511A1">
              <w:rPr>
                <w:rFonts w:cs="Arial"/>
              </w:rPr>
              <w:t>Prohibited Items</w:t>
            </w:r>
            <w:r>
              <w:rPr>
                <w:rFonts w:cs="Arial"/>
              </w:rPr>
              <w:t>”</w:t>
            </w:r>
          </w:p>
        </w:tc>
        <w:tc>
          <w:tcPr>
            <w:tcW w:w="6803" w:type="dxa"/>
          </w:tcPr>
          <w:p w14:paraId="036A8410" w14:textId="37DAD5CB" w:rsidR="00F67E9E" w:rsidRPr="00F511A1" w:rsidRDefault="00F67E9E" w:rsidP="0052486C">
            <w:pPr>
              <w:pStyle w:val="StdBodyText"/>
              <w:rPr>
                <w:rFonts w:cs="Arial"/>
              </w:rPr>
            </w:pPr>
            <w:r w:rsidRPr="00F511A1">
              <w:rPr>
                <w:rFonts w:cs="Arial"/>
              </w:rPr>
              <w:t xml:space="preserve">means those items which are not permissible under this Contract as set out at </w:t>
            </w:r>
            <w:bookmarkStart w:id="371" w:name="_9kMHG5YVtCIABJHdLhkhy7sANVw5o04u6oKB612"/>
            <w:r w:rsidRPr="00F511A1">
              <w:rPr>
                <w:rFonts w:cs="Arial"/>
              </w:rPr>
              <w:t>Table A</w:t>
            </w:r>
            <w:bookmarkEnd w:id="371"/>
            <w:r w:rsidRPr="00F511A1">
              <w:rPr>
                <w:rFonts w:cs="Arial"/>
              </w:rPr>
              <w:t xml:space="preserve"> of this </w:t>
            </w:r>
            <w:r>
              <w:fldChar w:fldCharType="begin"/>
            </w:r>
            <w:r>
              <w:instrText xml:space="preserve"> REF Schedule4Annex1 \h </w:instrText>
            </w:r>
            <w:r>
              <w:fldChar w:fldCharType="separate"/>
            </w:r>
            <w:r w:rsidR="007A1473" w:rsidRPr="006158F0">
              <w:t>Annex 1</w:t>
            </w:r>
            <w:r>
              <w:fldChar w:fldCharType="end"/>
            </w:r>
            <w:r>
              <w:rPr>
                <w:rFonts w:cs="Arial"/>
              </w:rPr>
              <w:t>;</w:t>
            </w:r>
          </w:p>
        </w:tc>
      </w:tr>
      <w:tr w:rsidR="00F67E9E" w:rsidRPr="00F511A1" w14:paraId="5103710D" w14:textId="77777777" w:rsidTr="0052486C">
        <w:tc>
          <w:tcPr>
            <w:tcW w:w="2835" w:type="dxa"/>
          </w:tcPr>
          <w:p w14:paraId="7C6AF586" w14:textId="77777777" w:rsidR="00F67E9E" w:rsidRPr="00F511A1" w:rsidRDefault="00F67E9E" w:rsidP="0052486C">
            <w:pPr>
              <w:pStyle w:val="StdBodyTextBold"/>
              <w:rPr>
                <w:rFonts w:cs="Arial"/>
              </w:rPr>
            </w:pPr>
            <w:r>
              <w:rPr>
                <w:rFonts w:cs="Arial"/>
              </w:rPr>
              <w:t>“</w:t>
            </w:r>
            <w:r w:rsidRPr="00F511A1">
              <w:rPr>
                <w:rFonts w:cs="Arial"/>
              </w:rPr>
              <w:t>Sustainability Reports</w:t>
            </w:r>
            <w:r>
              <w:rPr>
                <w:rFonts w:cs="Arial"/>
              </w:rPr>
              <w:t>”</w:t>
            </w:r>
          </w:p>
        </w:tc>
        <w:tc>
          <w:tcPr>
            <w:tcW w:w="6803" w:type="dxa"/>
          </w:tcPr>
          <w:p w14:paraId="2E5A15CF" w14:textId="6D0CBF17" w:rsidR="00F67E9E" w:rsidRPr="00F511A1" w:rsidRDefault="00F67E9E" w:rsidP="0052486C">
            <w:pPr>
              <w:pStyle w:val="StdBodyText"/>
              <w:rPr>
                <w:rFonts w:cs="Arial"/>
              </w:rPr>
            </w:pPr>
            <w:r w:rsidRPr="00F511A1">
              <w:rPr>
                <w:rFonts w:cs="Arial"/>
              </w:rPr>
              <w:t xml:space="preserve">written reports to be completed by the Supplier containing the information outlined in </w:t>
            </w:r>
            <w:bookmarkStart w:id="372" w:name="_9kMHG5YVtCIABJIeLhkhy7sANVw5o04wBuRRA0E"/>
            <w:r w:rsidRPr="00F511A1">
              <w:rPr>
                <w:rFonts w:cs="Arial"/>
              </w:rPr>
              <w:t>Table C</w:t>
            </w:r>
            <w:bookmarkEnd w:id="372"/>
            <w:r w:rsidRPr="00F511A1">
              <w:rPr>
                <w:rFonts w:cs="Arial"/>
              </w:rPr>
              <w:t xml:space="preserve"> of this </w:t>
            </w:r>
            <w:r>
              <w:fldChar w:fldCharType="begin"/>
            </w:r>
            <w:r>
              <w:instrText xml:space="preserve"> REF Schedule4Annex1 \h </w:instrText>
            </w:r>
            <w:r>
              <w:fldChar w:fldCharType="separate"/>
            </w:r>
            <w:r w:rsidR="007A1473" w:rsidRPr="006158F0">
              <w:t>Annex 1</w:t>
            </w:r>
            <w:r>
              <w:fldChar w:fldCharType="end"/>
            </w:r>
            <w:r>
              <w:rPr>
                <w:rFonts w:cs="Arial"/>
              </w:rPr>
              <w:t>; and</w:t>
            </w:r>
          </w:p>
        </w:tc>
      </w:tr>
      <w:tr w:rsidR="00F67E9E" w:rsidRPr="00F511A1" w14:paraId="62BCE6CC" w14:textId="77777777" w:rsidTr="0052486C">
        <w:tc>
          <w:tcPr>
            <w:tcW w:w="2835" w:type="dxa"/>
          </w:tcPr>
          <w:p w14:paraId="0C14EB2C" w14:textId="77777777" w:rsidR="00F67E9E" w:rsidRPr="00F511A1" w:rsidRDefault="00F67E9E" w:rsidP="0052486C">
            <w:pPr>
              <w:pStyle w:val="StdBodyTextBold"/>
              <w:rPr>
                <w:rFonts w:cs="Arial"/>
              </w:rPr>
            </w:pPr>
            <w:r>
              <w:rPr>
                <w:rFonts w:cs="Arial"/>
              </w:rPr>
              <w:t>“</w:t>
            </w:r>
            <w:r w:rsidRPr="00F511A1">
              <w:rPr>
                <w:rFonts w:cs="Arial"/>
              </w:rPr>
              <w:t>Waste Hierarchy</w:t>
            </w:r>
            <w:r>
              <w:rPr>
                <w:rFonts w:cs="Arial"/>
              </w:rPr>
              <w:t>”</w:t>
            </w:r>
          </w:p>
        </w:tc>
        <w:tc>
          <w:tcPr>
            <w:tcW w:w="6803" w:type="dxa"/>
          </w:tcPr>
          <w:p w14:paraId="198EBC98" w14:textId="77777777" w:rsidR="00F67E9E" w:rsidRPr="00F511A1" w:rsidRDefault="00F67E9E" w:rsidP="0052486C">
            <w:pPr>
              <w:pStyle w:val="StdBodyText"/>
              <w:rPr>
                <w:rFonts w:cs="Arial"/>
              </w:rPr>
            </w:pPr>
            <w:r w:rsidRPr="00F511A1">
              <w:rPr>
                <w:rFonts w:cs="Arial"/>
              </w:rPr>
              <w:t>means prioritisation of waste management in the following order of preference as set out in the Waste (England and Wales) Regulation 2011:</w:t>
            </w:r>
          </w:p>
          <w:p w14:paraId="13E5E33F" w14:textId="77777777" w:rsidR="00F67E9E" w:rsidRPr="008C58BE" w:rsidRDefault="00F67E9E" w:rsidP="00F13933">
            <w:pPr>
              <w:pStyle w:val="DefinitionList"/>
              <w:numPr>
                <w:ilvl w:val="0"/>
                <w:numId w:val="124"/>
              </w:numPr>
            </w:pPr>
            <w:r w:rsidRPr="008C58BE">
              <w:t>Prevention;</w:t>
            </w:r>
          </w:p>
          <w:p w14:paraId="754B9B0F" w14:textId="77777777" w:rsidR="00F67E9E" w:rsidRPr="008C58BE" w:rsidRDefault="00F67E9E" w:rsidP="00F13933">
            <w:pPr>
              <w:pStyle w:val="DefinitionList"/>
              <w:numPr>
                <w:ilvl w:val="0"/>
                <w:numId w:val="78"/>
              </w:numPr>
            </w:pPr>
            <w:r w:rsidRPr="008C58BE">
              <w:t>Preparing for re-use;</w:t>
            </w:r>
          </w:p>
          <w:p w14:paraId="708890F9" w14:textId="77777777" w:rsidR="00F67E9E" w:rsidRPr="008C58BE" w:rsidRDefault="00F67E9E" w:rsidP="00F13933">
            <w:pPr>
              <w:pStyle w:val="DefinitionList"/>
              <w:numPr>
                <w:ilvl w:val="0"/>
                <w:numId w:val="78"/>
              </w:numPr>
            </w:pPr>
            <w:r w:rsidRPr="008C58BE">
              <w:t>Recycling;</w:t>
            </w:r>
          </w:p>
          <w:p w14:paraId="422E8A7B" w14:textId="77777777" w:rsidR="00F67E9E" w:rsidRPr="008C58BE" w:rsidRDefault="00F67E9E" w:rsidP="00F13933">
            <w:pPr>
              <w:pStyle w:val="DefinitionList"/>
              <w:numPr>
                <w:ilvl w:val="0"/>
                <w:numId w:val="78"/>
              </w:numPr>
            </w:pPr>
            <w:r w:rsidRPr="008C58BE">
              <w:t>Other Recovery; and</w:t>
            </w:r>
          </w:p>
          <w:p w14:paraId="0E836B6D" w14:textId="77777777" w:rsidR="00F67E9E" w:rsidRPr="00F511A1" w:rsidRDefault="00F67E9E" w:rsidP="00F13933">
            <w:pPr>
              <w:pStyle w:val="DefinitionList"/>
              <w:numPr>
                <w:ilvl w:val="0"/>
                <w:numId w:val="78"/>
              </w:numPr>
              <w:rPr>
                <w:rFonts w:cs="Arial"/>
              </w:rPr>
            </w:pPr>
            <w:r w:rsidRPr="008C58BE">
              <w:t>Disposal.</w:t>
            </w:r>
          </w:p>
        </w:tc>
      </w:tr>
    </w:tbl>
    <w:p w14:paraId="03EF14C7" w14:textId="77777777" w:rsidR="00F67E9E" w:rsidRPr="00F511A1" w:rsidRDefault="00F67E9E" w:rsidP="00F67E9E">
      <w:pPr>
        <w:pStyle w:val="AppendixText1"/>
        <w:tabs>
          <w:tab w:val="clear" w:pos="720"/>
          <w:tab w:val="num" w:pos="1080"/>
        </w:tabs>
        <w:ind w:left="1080"/>
      </w:pPr>
      <w:r w:rsidRPr="00F511A1">
        <w:t>Public Sector Equality Duty</w:t>
      </w:r>
    </w:p>
    <w:p w14:paraId="05FCC2A8" w14:textId="77777777" w:rsidR="00F67E9E" w:rsidRPr="00F511A1" w:rsidRDefault="00F67E9E" w:rsidP="00F67E9E">
      <w:pPr>
        <w:pStyle w:val="AppendixText2"/>
        <w:tabs>
          <w:tab w:val="num" w:pos="1080"/>
        </w:tabs>
        <w:ind w:left="1080"/>
      </w:pPr>
      <w:bookmarkStart w:id="373" w:name="_Ref99015013"/>
      <w:r w:rsidRPr="00F511A1">
        <w:t>In addition to legal obligations, where the Supplier is providing a Service to which the Public Sector Equality duty applies, the Supplier shall support the Authority in fulfilling its Public Sector Equality duty under S149 of the Equality Act 2010 by ensuring that it fulfils its obligations under the Contract in a way that seeks to:</w:t>
      </w:r>
      <w:bookmarkEnd w:id="373"/>
    </w:p>
    <w:p w14:paraId="4CC44886" w14:textId="77777777" w:rsidR="00F67E9E" w:rsidRPr="00F511A1" w:rsidRDefault="00F67E9E" w:rsidP="00F67E9E">
      <w:pPr>
        <w:pStyle w:val="AppendixText3"/>
        <w:tabs>
          <w:tab w:val="clear" w:pos="1800"/>
        </w:tabs>
        <w:ind w:left="1890" w:hanging="810"/>
      </w:pPr>
      <w:r w:rsidRPr="00F511A1">
        <w:t>eliminate discrimination, harassment or victimisation and any other conduct prohibited by the Equality Act 2010; and</w:t>
      </w:r>
    </w:p>
    <w:p w14:paraId="211F1DF0" w14:textId="77777777" w:rsidR="00F67E9E" w:rsidRPr="00F511A1" w:rsidRDefault="00F67E9E" w:rsidP="00F67E9E">
      <w:pPr>
        <w:pStyle w:val="AppendixText3"/>
        <w:keepNext/>
        <w:tabs>
          <w:tab w:val="clear" w:pos="1800"/>
        </w:tabs>
        <w:ind w:left="1890" w:hanging="810"/>
      </w:pPr>
      <w:r w:rsidRPr="00F511A1">
        <w:t>advance:</w:t>
      </w:r>
    </w:p>
    <w:p w14:paraId="41CC512F" w14:textId="77777777" w:rsidR="00F67E9E" w:rsidRPr="00BF2D9D" w:rsidRDefault="00F67E9E" w:rsidP="00F67E9E">
      <w:pPr>
        <w:pStyle w:val="AppendixText4"/>
        <w:tabs>
          <w:tab w:val="clear" w:pos="2520"/>
          <w:tab w:val="num" w:pos="2610"/>
        </w:tabs>
        <w:ind w:left="2610"/>
      </w:pPr>
      <w:r w:rsidRPr="00BF2D9D">
        <w:t xml:space="preserve">equality of opportunity; and </w:t>
      </w:r>
    </w:p>
    <w:p w14:paraId="56535F79" w14:textId="77777777" w:rsidR="00F67E9E" w:rsidRPr="00BF2D9D" w:rsidRDefault="00F67E9E" w:rsidP="00F67E9E">
      <w:pPr>
        <w:pStyle w:val="AppendixText4"/>
        <w:tabs>
          <w:tab w:val="clear" w:pos="2520"/>
          <w:tab w:val="num" w:pos="2610"/>
        </w:tabs>
        <w:ind w:left="2610"/>
      </w:pPr>
      <w:r w:rsidRPr="00BF2D9D">
        <w:t>good relations,</w:t>
      </w:r>
    </w:p>
    <w:p w14:paraId="57829845" w14:textId="77777777" w:rsidR="00F67E9E" w:rsidRPr="003B5A16" w:rsidRDefault="00F67E9E" w:rsidP="00F67E9E">
      <w:pPr>
        <w:pStyle w:val="AppendixText3continued"/>
        <w:ind w:left="1893"/>
      </w:pPr>
      <w:r w:rsidRPr="003B5A16">
        <w:t>between those with a protected characteristic (age, disability, gender reassignment, pregnancy and maternity, race, religion or belief, sex, sexual orientation, and marriage and civil partnership) and those who do not share it.</w:t>
      </w:r>
    </w:p>
    <w:p w14:paraId="48187DCF" w14:textId="4E0C95A6" w:rsidR="00F67E9E" w:rsidRPr="0020504D" w:rsidRDefault="00F67E9E" w:rsidP="00F67E9E">
      <w:pPr>
        <w:pStyle w:val="AppendixText2"/>
        <w:tabs>
          <w:tab w:val="num" w:pos="720"/>
        </w:tabs>
      </w:pPr>
      <w:bookmarkStart w:id="374" w:name="_Ref99015024"/>
      <w:r w:rsidRPr="0020504D">
        <w:rPr>
          <w:rFonts w:cs="Arial"/>
        </w:rPr>
        <w:t xml:space="preserve">In </w:t>
      </w:r>
      <w:r w:rsidRPr="0020504D">
        <w:t>delivering the Service, the Supplier will comply with the Authority’s equality, diversity and inclusion requirements, to be provided to the Supplier by the Authority.</w:t>
      </w:r>
      <w:bookmarkEnd w:id="374"/>
      <w:r w:rsidR="0020504D">
        <w:t xml:space="preserve"> As at the Effective Date, these requirements are set out at </w:t>
      </w:r>
      <w:hyperlink r:id="rId41" w:history="1">
        <w:r w:rsidR="0020504D" w:rsidRPr="006159E1">
          <w:rPr>
            <w:color w:val="000000" w:themeColor="text1"/>
            <w:u w:color="0000FF"/>
          </w:rPr>
          <w:t>https://www.gov.uk/government/organisations/cabinet-office/about/equality-and-diversity</w:t>
        </w:r>
      </w:hyperlink>
      <w:r w:rsidR="0020504D" w:rsidRPr="006159E1">
        <w:rPr>
          <w:color w:val="000000" w:themeColor="text1"/>
        </w:rPr>
        <w:t xml:space="preserve">, </w:t>
      </w:r>
      <w:r w:rsidR="0020504D">
        <w:t>but are subject to change during the Term. The Supplier is responsible for ensuring that it is up-to-date and compliant to the Authority's requirements in this respect.</w:t>
      </w:r>
    </w:p>
    <w:p w14:paraId="6E9F59DE" w14:textId="2CE892A3" w:rsidR="00F67E9E" w:rsidRPr="00D546EF" w:rsidRDefault="00F67E9E" w:rsidP="00F67E9E">
      <w:pPr>
        <w:pStyle w:val="AppendixText2"/>
        <w:tabs>
          <w:tab w:val="num" w:pos="720"/>
        </w:tabs>
      </w:pPr>
      <w:bookmarkStart w:id="375" w:name="_Ref99015061"/>
      <w:r w:rsidRPr="0020504D">
        <w:t>The Supplier shall ensure that it fulfils its obligations under the Contract in a way that does not discriminate against individuals because of socio-economic background, working pattern or having parental or other caring responsibilities.</w:t>
      </w:r>
      <w:bookmarkEnd w:id="375"/>
    </w:p>
    <w:p w14:paraId="72479A86" w14:textId="77777777" w:rsidR="00F67E9E" w:rsidRPr="00651C62" w:rsidRDefault="00F67E9E" w:rsidP="00F67E9E">
      <w:pPr>
        <w:pStyle w:val="AppendixText1"/>
      </w:pPr>
      <w:r w:rsidRPr="00651C62">
        <w:t>Environmental Requirements</w:t>
      </w:r>
    </w:p>
    <w:p w14:paraId="3FFFF0B4" w14:textId="77777777" w:rsidR="00F67E9E" w:rsidRPr="00F511A1" w:rsidRDefault="00F67E9E" w:rsidP="00F67E9E">
      <w:pPr>
        <w:pStyle w:val="AppendixText2"/>
      </w:pPr>
      <w:bookmarkStart w:id="376" w:name="_9kR3WTr8E8458B"/>
      <w:bookmarkStart w:id="377" w:name="_Ref99015037"/>
      <w:bookmarkEnd w:id="376"/>
      <w:r w:rsidRPr="00F511A1">
        <w:t>The Supplier must perform its obligations meeting in all material respects the requirements of all applicable Laws Contract regarding the environment.</w:t>
      </w:r>
      <w:bookmarkEnd w:id="377"/>
      <w:r w:rsidRPr="00F511A1">
        <w:t xml:space="preserve"> </w:t>
      </w:r>
    </w:p>
    <w:p w14:paraId="58C20421" w14:textId="77777777" w:rsidR="00F67E9E" w:rsidRPr="00F511A1" w:rsidRDefault="00F67E9E" w:rsidP="00F67E9E">
      <w:pPr>
        <w:pStyle w:val="AppendixText2"/>
      </w:pPr>
      <w:r w:rsidRPr="00F511A1">
        <w:t>The Supplier warrants that it has obtained relevant Environment Management System (EMS) certified to ISO 14001 or an equivalent certification from a UKAS accredited body and shall comply with and maintain certification requirements throughout the Term.</w:t>
      </w:r>
    </w:p>
    <w:p w14:paraId="26253E8E" w14:textId="77777777" w:rsidR="00F67E9E" w:rsidRPr="00F511A1" w:rsidRDefault="00F67E9E" w:rsidP="00F67E9E">
      <w:pPr>
        <w:pStyle w:val="AppendixText2"/>
      </w:pPr>
      <w:r w:rsidRPr="00F511A1">
        <w:t>In performing its obligations under the Contract the Supplier shall, where applicable to the Contract, to the reasonable satisfaction of the Authority:</w:t>
      </w:r>
    </w:p>
    <w:p w14:paraId="7DDD9BE2" w14:textId="77777777" w:rsidR="00F67E9E" w:rsidRPr="00F511A1" w:rsidRDefault="00F67E9E" w:rsidP="00F67E9E">
      <w:pPr>
        <w:pStyle w:val="AppendixText3"/>
        <w:tabs>
          <w:tab w:val="clear" w:pos="1800"/>
          <w:tab w:val="num" w:pos="1440"/>
        </w:tabs>
        <w:ind w:left="1440" w:hanging="720"/>
      </w:pPr>
      <w:r w:rsidRPr="00F511A1">
        <w:t>demonstrate low carbon resource efficiency, including minimising the use of resources and responding promptly to the Authority</w:t>
      </w:r>
      <w:r>
        <w:t>’</w:t>
      </w:r>
      <w:r w:rsidRPr="00F511A1">
        <w:t>s reasonable questions;</w:t>
      </w:r>
    </w:p>
    <w:p w14:paraId="39B22630" w14:textId="77777777" w:rsidR="00F67E9E" w:rsidRPr="00F511A1" w:rsidRDefault="00F67E9E" w:rsidP="00F67E9E">
      <w:pPr>
        <w:pStyle w:val="AppendixText3"/>
        <w:tabs>
          <w:tab w:val="clear" w:pos="1800"/>
          <w:tab w:val="num" w:pos="1440"/>
        </w:tabs>
        <w:ind w:left="1440" w:hanging="720"/>
      </w:pPr>
      <w:r w:rsidRPr="00F511A1">
        <w:t xml:space="preserve">prioritise waste management in accordance with the Waste Hierarchy as set out in Law; </w:t>
      </w:r>
    </w:p>
    <w:p w14:paraId="026FC74C" w14:textId="77777777" w:rsidR="00F67E9E" w:rsidRPr="00F511A1" w:rsidRDefault="00F67E9E" w:rsidP="00F67E9E">
      <w:pPr>
        <w:pStyle w:val="AppendixText3"/>
        <w:tabs>
          <w:tab w:val="clear" w:pos="1800"/>
          <w:tab w:val="num" w:pos="1440"/>
        </w:tabs>
        <w:ind w:left="1440" w:hanging="720"/>
      </w:pPr>
      <w:r w:rsidRPr="00F511A1">
        <w:t>be responsible for ensuring that any waste generated by the Supplier and sent for recycling, disposal or other recovery as a consequence of this Contract is taken by a licensed waste carrier to an authorised site for treatment or disposal and that the disposal or treatment of waste complies with the law;</w:t>
      </w:r>
    </w:p>
    <w:p w14:paraId="153D6982" w14:textId="77777777" w:rsidR="00F67E9E" w:rsidRPr="00F511A1" w:rsidRDefault="00F67E9E" w:rsidP="00F67E9E">
      <w:pPr>
        <w:pStyle w:val="AppendixText3"/>
        <w:tabs>
          <w:tab w:val="clear" w:pos="1800"/>
          <w:tab w:val="num" w:pos="1440"/>
        </w:tabs>
        <w:ind w:left="1440" w:hanging="720"/>
      </w:pPr>
      <w:r w:rsidRPr="00F511A1">
        <w:t>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w:t>
      </w:r>
    </w:p>
    <w:p w14:paraId="70054ADC" w14:textId="77777777" w:rsidR="00F67E9E" w:rsidRPr="006158F0" w:rsidRDefault="00F67E9E" w:rsidP="00F67E9E">
      <w:pPr>
        <w:pStyle w:val="AppendixText3"/>
        <w:tabs>
          <w:tab w:val="clear" w:pos="1800"/>
          <w:tab w:val="num" w:pos="1440"/>
        </w:tabs>
        <w:ind w:left="1440" w:hanging="720"/>
      </w:pPr>
      <w:r w:rsidRPr="00F511A1">
        <w:t xml:space="preserve">in circumstances that a permit, licence or exemption to carry or send waste generated under this Contract is revoked, the Supplier shall cease to carry or send waste or allow waste to be carried by any Subcontractor until authorisation is </w:t>
      </w:r>
      <w:r w:rsidRPr="006158F0">
        <w:t>obtained from the Environment Agency; minimise the release of greenhouse gases (including carbon dioxide emissions), air pollutants, volatile organic compounds and other substances damaging to health and the environment; and</w:t>
      </w:r>
    </w:p>
    <w:p w14:paraId="1615D854" w14:textId="77777777" w:rsidR="00F67E9E" w:rsidRPr="006158F0" w:rsidRDefault="00F67E9E" w:rsidP="00F67E9E">
      <w:pPr>
        <w:pStyle w:val="AppendixText3"/>
        <w:tabs>
          <w:tab w:val="clear" w:pos="1800"/>
          <w:tab w:val="num" w:pos="1440"/>
        </w:tabs>
        <w:ind w:left="1440" w:hanging="720"/>
      </w:pPr>
      <w:r w:rsidRPr="006158F0">
        <w:t>reduce and minimise carbon emissions by taking into account factors including, but not limited to, the locations from which materials are sourced, the transport of materials, the locations from which the work force are recruited and emissions from offices and on-site equipment.</w:t>
      </w:r>
    </w:p>
    <w:p w14:paraId="5F18D279" w14:textId="77777777" w:rsidR="00F67E9E" w:rsidRPr="006158F0" w:rsidRDefault="00F67E9E" w:rsidP="00F67E9E">
      <w:pPr>
        <w:pStyle w:val="AppendixText2"/>
      </w:pPr>
      <w:r w:rsidRPr="006158F0">
        <w:t>In performing its obligations under the Contract, the Supplier shall to the reasonable satisfaction of the Authority (where the anticipated Charges in any Contract Year are above £5 million per annum (excluding VAT)), where related to and proportionate to the contract in accordance with PPN 06/21), publish and maintain a credible Carbon Reduction Plan in accordance with PPN 06/21.</w:t>
      </w:r>
    </w:p>
    <w:p w14:paraId="564F627E" w14:textId="77777777" w:rsidR="00F67E9E" w:rsidRPr="006158F0" w:rsidRDefault="00F67E9E" w:rsidP="00F67E9E">
      <w:pPr>
        <w:pStyle w:val="AppendixText2"/>
      </w:pPr>
      <w:r w:rsidRPr="006158F0">
        <w:lastRenderedPageBreak/>
        <w:t>The Supplier shall not provide to the Authority Goods or Deliverables which comprise wholly or partly of Prohibited Items unless such item is a Permitted Item.</w:t>
      </w:r>
    </w:p>
    <w:p w14:paraId="3E826340" w14:textId="77777777" w:rsidR="00F67E9E" w:rsidRPr="006158F0" w:rsidRDefault="00F67E9E" w:rsidP="00F67E9E">
      <w:pPr>
        <w:pStyle w:val="AppendixText2"/>
      </w:pPr>
      <w:bookmarkStart w:id="378" w:name="_Ref99015051"/>
      <w:r w:rsidRPr="006158F0">
        <w:t>The Supplier shall not use anything which comprises wholly or partly of the Prohibited Items to provide the Services under this Contract unless:</w:t>
      </w:r>
      <w:bookmarkEnd w:id="378"/>
    </w:p>
    <w:p w14:paraId="2B26622C" w14:textId="77777777" w:rsidR="00F67E9E" w:rsidRPr="006158F0" w:rsidRDefault="00F67E9E" w:rsidP="00F67E9E">
      <w:pPr>
        <w:pStyle w:val="AppendixText3"/>
        <w:tabs>
          <w:tab w:val="clear" w:pos="1800"/>
          <w:tab w:val="num" w:pos="1440"/>
        </w:tabs>
        <w:ind w:left="1440" w:hanging="720"/>
      </w:pPr>
      <w:r w:rsidRPr="006158F0">
        <w:t xml:space="preserve">it is a Permitted Item; or </w:t>
      </w:r>
    </w:p>
    <w:p w14:paraId="7A90F63E" w14:textId="77777777" w:rsidR="00F67E9E" w:rsidRPr="006158F0" w:rsidRDefault="00F67E9E" w:rsidP="00F67E9E">
      <w:pPr>
        <w:pStyle w:val="AppendixText3"/>
        <w:tabs>
          <w:tab w:val="clear" w:pos="1800"/>
          <w:tab w:val="num" w:pos="1440"/>
        </w:tabs>
        <w:ind w:left="1440" w:hanging="720"/>
      </w:pPr>
      <w:r w:rsidRPr="006158F0">
        <w:t>the use is primarily related to the management of the Supplier’s own facilities or internal operations as opposed to the provision of Services.</w:t>
      </w:r>
    </w:p>
    <w:p w14:paraId="26439492" w14:textId="58FF990F" w:rsidR="00F67E9E" w:rsidRPr="006158F0" w:rsidRDefault="00F67E9E" w:rsidP="00F67E9E">
      <w:pPr>
        <w:pStyle w:val="AppendixText2"/>
        <w:tabs>
          <w:tab w:val="num" w:pos="0"/>
          <w:tab w:val="num" w:pos="1080"/>
        </w:tabs>
      </w:pPr>
      <w:bookmarkStart w:id="379" w:name="_Ref99015094"/>
      <w:r w:rsidRPr="006158F0">
        <w:t>The Supplier must have a documented management system and controls in place to manage the environmental impacts of delivering the Services.</w:t>
      </w:r>
      <w:bookmarkEnd w:id="379"/>
    </w:p>
    <w:p w14:paraId="09A77C2F" w14:textId="4C400AC8" w:rsidR="00F67E9E" w:rsidRPr="006158F0" w:rsidRDefault="00F67E9E" w:rsidP="00F67E9E">
      <w:pPr>
        <w:pStyle w:val="AppendixText2"/>
        <w:tabs>
          <w:tab w:val="num" w:pos="0"/>
          <w:tab w:val="num" w:pos="1080"/>
        </w:tabs>
      </w:pPr>
      <w:r w:rsidRPr="006158F0">
        <w:t>The Supplier shall ensure that any Services are designed, sourced and delivered in a manner which is environmentally and socially responsible.</w:t>
      </w:r>
    </w:p>
    <w:p w14:paraId="7953D410" w14:textId="2EA4D0A6" w:rsidR="00F67E9E" w:rsidRPr="006158F0" w:rsidRDefault="00F67E9E" w:rsidP="0020504D">
      <w:pPr>
        <w:pStyle w:val="AppendixText2"/>
        <w:rPr>
          <w:bCs/>
        </w:rPr>
      </w:pPr>
      <w:r w:rsidRPr="006158F0">
        <w:t>In delivering the Services, the Supplier must comply with the Authority’s sustainability requirements, to be provided to the Supplier by the Authority.</w:t>
      </w:r>
      <w:r w:rsidR="0020504D" w:rsidRPr="006158F0">
        <w:t xml:space="preserve"> It is the responsibility of the </w:t>
      </w:r>
      <w:r w:rsidR="0052486C" w:rsidRPr="006158F0">
        <w:t>S</w:t>
      </w:r>
      <w:r w:rsidR="0020504D" w:rsidRPr="006158F0">
        <w:t xml:space="preserve">upplier to stay up-to-date </w:t>
      </w:r>
      <w:r w:rsidR="0052486C" w:rsidRPr="006158F0">
        <w:t xml:space="preserve">and compliant </w:t>
      </w:r>
      <w:r w:rsidR="0020504D" w:rsidRPr="006158F0">
        <w:t xml:space="preserve">with the </w:t>
      </w:r>
      <w:r w:rsidR="0052486C" w:rsidRPr="006158F0">
        <w:t>A</w:t>
      </w:r>
      <w:r w:rsidR="0020504D" w:rsidRPr="006158F0">
        <w:t>uthorit</w:t>
      </w:r>
      <w:r w:rsidR="0052486C" w:rsidRPr="006158F0">
        <w:t>y'</w:t>
      </w:r>
      <w:r w:rsidR="0020504D" w:rsidRPr="006158F0">
        <w:t>s sustainability requirements</w:t>
      </w:r>
      <w:r w:rsidR="0052486C" w:rsidRPr="006158F0">
        <w:t>.</w:t>
      </w:r>
    </w:p>
    <w:p w14:paraId="1FFB6479" w14:textId="11B0223E" w:rsidR="00F67E9E" w:rsidRPr="006158F0" w:rsidRDefault="00F67E9E" w:rsidP="00F67E9E">
      <w:pPr>
        <w:pStyle w:val="AppendixText2"/>
        <w:tabs>
          <w:tab w:val="num" w:pos="0"/>
          <w:tab w:val="num" w:pos="1080"/>
        </w:tabs>
      </w:pPr>
      <w:r w:rsidRPr="006158F0">
        <w:t>In performing its obligations under the Contract, the Supplier shall to the reasonable satisfaction of the Authority:</w:t>
      </w:r>
    </w:p>
    <w:p w14:paraId="0A4A36C6" w14:textId="4E1E519E" w:rsidR="00F67E9E" w:rsidRPr="006158F0" w:rsidRDefault="00F67E9E" w:rsidP="00F67E9E">
      <w:pPr>
        <w:pStyle w:val="AppendixText3"/>
        <w:tabs>
          <w:tab w:val="clear" w:pos="1800"/>
          <w:tab w:val="num" w:pos="1440"/>
        </w:tabs>
        <w:ind w:left="1440" w:hanging="720"/>
        <w:rPr>
          <w:bCs/>
        </w:rPr>
      </w:pPr>
      <w:r w:rsidRPr="006158F0">
        <w:t>demonstrate that the whole life cycle impacts (including end of use) associated with the Services that extend beyond direct operations into that of the supply chain have been considered and reduced;</w:t>
      </w:r>
    </w:p>
    <w:p w14:paraId="5C2401FA" w14:textId="2D7D8F7B" w:rsidR="00F67E9E" w:rsidRPr="006158F0" w:rsidRDefault="00F67E9E" w:rsidP="00F67E9E">
      <w:pPr>
        <w:pStyle w:val="AppendixText3"/>
        <w:tabs>
          <w:tab w:val="clear" w:pos="1800"/>
          <w:tab w:val="num" w:pos="1440"/>
        </w:tabs>
        <w:ind w:left="1440" w:hanging="720"/>
      </w:pPr>
      <w:r w:rsidRPr="006158F0">
        <w:t>minimise the consumption of resources and use them efficiently (including water and energy), working towards a circular economy including designing out waste and non-renewable resources, using re-use and closed loop systems;</w:t>
      </w:r>
    </w:p>
    <w:p w14:paraId="6C6CA890" w14:textId="7F19D758" w:rsidR="00F67E9E" w:rsidRPr="006158F0" w:rsidRDefault="00F67E9E" w:rsidP="00F67E9E">
      <w:pPr>
        <w:pStyle w:val="AppendixText3"/>
        <w:tabs>
          <w:tab w:val="clear" w:pos="1800"/>
          <w:tab w:val="num" w:pos="1440"/>
        </w:tabs>
        <w:ind w:left="1440" w:hanging="720"/>
      </w:pPr>
      <w:r w:rsidRPr="006158F0">
        <w:t>demonstrate protection of the environment including understanding and reduction of biosecurity risks (which include risks to plant and tree health from harmful pests and diseases), and reducing and eliminating hazardous/harmful substances to the environment and preventing pollution;</w:t>
      </w:r>
    </w:p>
    <w:p w14:paraId="1F8B86DD" w14:textId="48797DE3" w:rsidR="00F67E9E" w:rsidRPr="006158F0" w:rsidRDefault="00F67E9E" w:rsidP="00F67E9E">
      <w:pPr>
        <w:pStyle w:val="AppendixText3"/>
        <w:tabs>
          <w:tab w:val="clear" w:pos="1800"/>
          <w:tab w:val="num" w:pos="1440"/>
        </w:tabs>
        <w:ind w:left="1440" w:hanging="720"/>
      </w:pPr>
      <w:r w:rsidRPr="006158F0">
        <w:rPr>
          <w:b/>
        </w:rPr>
        <w:t xml:space="preserve">Optional: </w:t>
      </w:r>
      <w:r w:rsidRPr="006158F0">
        <w:t>enhance the natural environment and connecting communities with the environment; and</w:t>
      </w:r>
    </w:p>
    <w:p w14:paraId="46C18B26" w14:textId="11E261CE" w:rsidR="00F67E9E" w:rsidRPr="006158F0" w:rsidRDefault="00F67E9E" w:rsidP="00F67E9E">
      <w:pPr>
        <w:pStyle w:val="AppendixText3"/>
        <w:tabs>
          <w:tab w:val="clear" w:pos="1800"/>
          <w:tab w:val="num" w:pos="1440"/>
        </w:tabs>
        <w:ind w:left="1440" w:hanging="720"/>
      </w:pPr>
      <w:r w:rsidRPr="006158F0">
        <w:rPr>
          <w:b/>
        </w:rPr>
        <w:t xml:space="preserve">Optional: </w:t>
      </w:r>
      <w:r w:rsidRPr="006158F0">
        <w:t>achieve continuous improvement in environmental (and social) performance.</w:t>
      </w:r>
    </w:p>
    <w:p w14:paraId="4ACDB13B" w14:textId="499CAB27" w:rsidR="00F67E9E" w:rsidRPr="00C5141A" w:rsidRDefault="00F67E9E" w:rsidP="00F67E9E">
      <w:pPr>
        <w:pStyle w:val="AppendixText2"/>
        <w:tabs>
          <w:tab w:val="num" w:pos="360"/>
          <w:tab w:val="num" w:pos="720"/>
        </w:tabs>
        <w:spacing w:after="100"/>
      </w:pPr>
      <w:bookmarkStart w:id="380" w:name="_Ref99015075"/>
      <w:r w:rsidRPr="00C5141A">
        <w:t xml:space="preserve">The Supplier </w:t>
      </w:r>
      <w:r w:rsidRPr="002E7013">
        <w:rPr>
          <w:rFonts w:eastAsia="Arial"/>
        </w:rPr>
        <w:t>shall</w:t>
      </w:r>
      <w:r w:rsidRPr="00C5141A">
        <w:t xml:space="preserve"> meet the applicable Government Buying Standards applicable to </w:t>
      </w:r>
      <w:r>
        <w:t>Services</w:t>
      </w:r>
      <w:r w:rsidRPr="00C5141A">
        <w:t xml:space="preserve"> which can be found online at:</w:t>
      </w:r>
      <w:bookmarkEnd w:id="380"/>
      <w:r w:rsidRPr="00C5141A">
        <w:t xml:space="preserve"> </w:t>
      </w:r>
    </w:p>
    <w:p w14:paraId="5014F1FC" w14:textId="53D5E9C1" w:rsidR="00F67E9E" w:rsidRPr="00F97284" w:rsidRDefault="00236244" w:rsidP="00F67E9E">
      <w:pPr>
        <w:pStyle w:val="AppendixText2continued"/>
        <w:tabs>
          <w:tab w:val="num" w:pos="720"/>
        </w:tabs>
        <w:ind w:left="720"/>
      </w:pPr>
      <w:hyperlink r:id="rId42" w:history="1">
        <w:r w:rsidR="00F67E9E" w:rsidRPr="00F97284">
          <w:rPr>
            <w:rStyle w:val="Hyperlink"/>
            <w:rFonts w:asciiTheme="majorHAnsi" w:hAnsiTheme="majorHAnsi" w:cstheme="majorHAnsi"/>
            <w:szCs w:val="24"/>
          </w:rPr>
          <w:t>https://www.gov.uk/government/collections/sustainable-procurement-the-government-buying-standards-gbs</w:t>
        </w:r>
      </w:hyperlink>
      <w:r w:rsidR="00F67E9E" w:rsidRPr="00F97284">
        <w:rPr>
          <w:rStyle w:val="Hyperlink"/>
          <w:rFonts w:asciiTheme="majorHAnsi" w:hAnsiTheme="majorHAnsi" w:cstheme="majorHAnsi"/>
          <w:szCs w:val="24"/>
        </w:rPr>
        <w:t>.</w:t>
      </w:r>
    </w:p>
    <w:p w14:paraId="4E942A4F" w14:textId="77777777" w:rsidR="00F67E9E" w:rsidRPr="00C5141A" w:rsidRDefault="00F67E9E" w:rsidP="00F67E9E">
      <w:pPr>
        <w:pStyle w:val="AppendixText1"/>
      </w:pPr>
      <w:bookmarkStart w:id="381" w:name="_Ref99015084"/>
      <w:r>
        <w:t>Supplier Code of Conduct</w:t>
      </w:r>
      <w:bookmarkEnd w:id="381"/>
    </w:p>
    <w:p w14:paraId="252809C5" w14:textId="77777777" w:rsidR="00F67E9E" w:rsidRPr="00C5141A" w:rsidRDefault="00F67E9E" w:rsidP="00F67E9E">
      <w:pPr>
        <w:pStyle w:val="AppendixText2"/>
        <w:tabs>
          <w:tab w:val="num" w:pos="720"/>
        </w:tabs>
        <w:spacing w:after="100"/>
      </w:pPr>
      <w:r w:rsidRPr="00C5141A">
        <w:t>In February 2019, HM Government published a Supplier Code of Conduct setting out the standards and behaviours expected of suppliers who work with government which can be found online at:</w:t>
      </w:r>
    </w:p>
    <w:p w14:paraId="0C0B81B8" w14:textId="507572E5" w:rsidR="00F67E9E" w:rsidRPr="00440B73" w:rsidRDefault="00236244" w:rsidP="00F67E9E">
      <w:pPr>
        <w:pStyle w:val="AppendixText2"/>
        <w:numPr>
          <w:ilvl w:val="0"/>
          <w:numId w:val="0"/>
        </w:numPr>
        <w:spacing w:after="100"/>
        <w:ind w:left="720"/>
      </w:pPr>
      <w:hyperlink r:id="rId43" w:history="1">
        <w:r w:rsidR="00F67E9E" w:rsidRPr="0068493F">
          <w:rPr>
            <w:rStyle w:val="Hyperlink"/>
            <w:rFonts w:eastAsiaTheme="minorHAnsi" w:cstheme="minorBidi"/>
            <w:szCs w:val="20"/>
            <w:lang w:eastAsia="en-US"/>
          </w:rPr>
          <w:t>https://assets.publishing.service.gov.uk/government/uploads/system/uploads/attachment_data/file/1163536/Supplier_Code_of_Conduct_v3.pdf</w:t>
        </w:r>
      </w:hyperlink>
    </w:p>
    <w:p w14:paraId="307C1755" w14:textId="77777777" w:rsidR="00F67E9E" w:rsidRPr="00B87B2B" w:rsidRDefault="00F67E9E" w:rsidP="00F67E9E">
      <w:pPr>
        <w:pStyle w:val="AppendixText2"/>
        <w:tabs>
          <w:tab w:val="num" w:pos="720"/>
        </w:tabs>
        <w:spacing w:after="100"/>
      </w:pPr>
      <w:r w:rsidRPr="00B87B2B">
        <w:t>The Authority expects to meet, and expects its suppliers and subcontractors to meet, the standards set out in that Code.</w:t>
      </w:r>
    </w:p>
    <w:p w14:paraId="2397E728" w14:textId="77777777" w:rsidR="00F67E9E" w:rsidRPr="00D546EF" w:rsidRDefault="00F67E9E" w:rsidP="00F67E9E">
      <w:pPr>
        <w:pStyle w:val="AppendixText1"/>
      </w:pPr>
      <w:r w:rsidRPr="00D546EF">
        <w:t>Reporting Requirements</w:t>
      </w:r>
    </w:p>
    <w:p w14:paraId="158BA3C1" w14:textId="77777777" w:rsidR="00F67E9E" w:rsidRPr="006158F0" w:rsidRDefault="00F67E9E" w:rsidP="00F67E9E">
      <w:pPr>
        <w:pStyle w:val="AppendixText2"/>
        <w:tabs>
          <w:tab w:val="num" w:pos="720"/>
        </w:tabs>
      </w:pPr>
      <w:r w:rsidRPr="006158F0">
        <w:t>The Supplier shall comply with reasonable requests by the Authority for information evidencing compliance:</w:t>
      </w:r>
    </w:p>
    <w:p w14:paraId="2915DBC3" w14:textId="0EC75515" w:rsidR="00F67E9E" w:rsidRPr="006158F0" w:rsidRDefault="00F67E9E" w:rsidP="00F67E9E">
      <w:pPr>
        <w:pStyle w:val="AppendixText3"/>
        <w:tabs>
          <w:tab w:val="clear" w:pos="1800"/>
          <w:tab w:val="num" w:pos="1440"/>
        </w:tabs>
        <w:ind w:left="1440" w:hanging="720"/>
      </w:pPr>
      <w:r w:rsidRPr="006158F0">
        <w:t xml:space="preserve">with Paragraphs </w:t>
      </w:r>
      <w:r w:rsidRPr="006158F0">
        <w:fldChar w:fldCharType="begin"/>
      </w:r>
      <w:r w:rsidRPr="006158F0">
        <w:instrText xml:space="preserve"> REF _Ref99015013 \w \h  \* MERGEFORMAT </w:instrText>
      </w:r>
      <w:r w:rsidRPr="006158F0">
        <w:fldChar w:fldCharType="separate"/>
      </w:r>
      <w:r w:rsidR="007A1473">
        <w:t>2.1</w:t>
      </w:r>
      <w:r w:rsidRPr="006158F0">
        <w:fldChar w:fldCharType="end"/>
      </w:r>
      <w:r w:rsidRPr="006158F0">
        <w:t xml:space="preserve">, </w:t>
      </w:r>
      <w:r w:rsidRPr="006158F0">
        <w:fldChar w:fldCharType="begin"/>
      </w:r>
      <w:r w:rsidRPr="006158F0">
        <w:instrText xml:space="preserve"> REF _Ref99015037 \w \h  \* MERGEFORMAT </w:instrText>
      </w:r>
      <w:r w:rsidRPr="006158F0">
        <w:fldChar w:fldCharType="separate"/>
      </w:r>
      <w:r w:rsidR="007A1473">
        <w:t>3.1</w:t>
      </w:r>
      <w:r w:rsidRPr="006158F0">
        <w:fldChar w:fldCharType="end"/>
      </w:r>
      <w:r w:rsidRPr="006158F0">
        <w:t xml:space="preserve"> to </w:t>
      </w:r>
      <w:r w:rsidRPr="006158F0">
        <w:fldChar w:fldCharType="begin"/>
      </w:r>
      <w:r w:rsidRPr="006158F0">
        <w:instrText xml:space="preserve"> REF _Ref99015051 \w \h  \* MERGEFORMAT </w:instrText>
      </w:r>
      <w:r w:rsidRPr="006158F0">
        <w:fldChar w:fldCharType="separate"/>
      </w:r>
      <w:r w:rsidR="007A1473">
        <w:t>3.6</w:t>
      </w:r>
      <w:r w:rsidRPr="006158F0">
        <w:fldChar w:fldCharType="end"/>
      </w:r>
      <w:r w:rsidRPr="006158F0">
        <w:t xml:space="preserve">, </w:t>
      </w:r>
      <w:r w:rsidRPr="006158F0">
        <w:fldChar w:fldCharType="begin"/>
      </w:r>
      <w:r w:rsidRPr="006158F0">
        <w:instrText xml:space="preserve"> REF _Ref99015075 \w \h  \* MERGEFORMAT </w:instrText>
      </w:r>
      <w:r w:rsidRPr="006158F0">
        <w:fldChar w:fldCharType="separate"/>
      </w:r>
      <w:r w:rsidR="007A1473">
        <w:t>3.11</w:t>
      </w:r>
      <w:r w:rsidRPr="006158F0">
        <w:fldChar w:fldCharType="end"/>
      </w:r>
      <w:r w:rsidRPr="006158F0">
        <w:t xml:space="preserve"> and </w:t>
      </w:r>
      <w:r w:rsidRPr="006158F0">
        <w:fldChar w:fldCharType="begin"/>
      </w:r>
      <w:r w:rsidRPr="006158F0">
        <w:instrText xml:space="preserve"> REF _Ref99015084 \w \h  \* MERGEFORMAT </w:instrText>
      </w:r>
      <w:r w:rsidRPr="006158F0">
        <w:fldChar w:fldCharType="separate"/>
      </w:r>
      <w:r w:rsidR="007A1473">
        <w:t>4</w:t>
      </w:r>
      <w:r w:rsidRPr="006158F0">
        <w:fldChar w:fldCharType="end"/>
      </w:r>
      <w:r w:rsidRPr="006158F0">
        <w:t xml:space="preserve"> of this </w:t>
      </w:r>
      <w:r w:rsidRPr="006158F0">
        <w:fldChar w:fldCharType="begin"/>
      </w:r>
      <w:r w:rsidRPr="006158F0">
        <w:instrText xml:space="preserve"> REF Schedule4Annex1 \h </w:instrText>
      </w:r>
      <w:r w:rsidR="006158F0" w:rsidRPr="006158F0">
        <w:instrText xml:space="preserve"> \* MERGEFORMAT </w:instrText>
      </w:r>
      <w:r w:rsidRPr="006158F0">
        <w:fldChar w:fldCharType="separate"/>
      </w:r>
      <w:r w:rsidR="007A1473" w:rsidRPr="006158F0">
        <w:t>Annex 1</w:t>
      </w:r>
      <w:r w:rsidRPr="006158F0">
        <w:fldChar w:fldCharType="end"/>
      </w:r>
      <w:r w:rsidRPr="006158F0">
        <w:t xml:space="preserve"> within fourteen (14)</w:t>
      </w:r>
      <w:r w:rsidR="0052486C" w:rsidRPr="006158F0">
        <w:t xml:space="preserve"> calendar</w:t>
      </w:r>
      <w:r w:rsidRPr="006158F0">
        <w:t xml:space="preserve"> days of such request; and</w:t>
      </w:r>
    </w:p>
    <w:p w14:paraId="469C879B" w14:textId="62BC4BCA" w:rsidR="00F67E9E" w:rsidRPr="006158F0" w:rsidRDefault="00F67E9E" w:rsidP="00F67E9E">
      <w:pPr>
        <w:pStyle w:val="AppendixText3"/>
        <w:tabs>
          <w:tab w:val="clear" w:pos="1800"/>
          <w:tab w:val="num" w:pos="1440"/>
        </w:tabs>
        <w:ind w:left="1440" w:hanging="720"/>
      </w:pPr>
      <w:r w:rsidRPr="006158F0">
        <w:t xml:space="preserve">With Paragraphs </w:t>
      </w:r>
      <w:r w:rsidRPr="006158F0">
        <w:fldChar w:fldCharType="begin"/>
      </w:r>
      <w:r w:rsidRPr="006158F0">
        <w:instrText xml:space="preserve"> REF _Ref99015024 \w \h  \* MERGEFORMAT </w:instrText>
      </w:r>
      <w:r w:rsidRPr="006158F0">
        <w:fldChar w:fldCharType="separate"/>
      </w:r>
      <w:r w:rsidR="007A1473">
        <w:t>2.2</w:t>
      </w:r>
      <w:r w:rsidRPr="006158F0">
        <w:fldChar w:fldCharType="end"/>
      </w:r>
      <w:r w:rsidRPr="006158F0">
        <w:t xml:space="preserve">, </w:t>
      </w:r>
      <w:r w:rsidRPr="006158F0">
        <w:fldChar w:fldCharType="begin"/>
      </w:r>
      <w:r w:rsidRPr="006158F0">
        <w:instrText xml:space="preserve"> REF _Ref99015061 \w \h  \* MERGEFORMAT </w:instrText>
      </w:r>
      <w:r w:rsidRPr="006158F0">
        <w:fldChar w:fldCharType="separate"/>
      </w:r>
      <w:r w:rsidR="007A1473">
        <w:t>2.3</w:t>
      </w:r>
      <w:r w:rsidRPr="006158F0">
        <w:fldChar w:fldCharType="end"/>
      </w:r>
      <w:r w:rsidRPr="006158F0">
        <w:t xml:space="preserve"> and </w:t>
      </w:r>
      <w:r w:rsidRPr="006158F0">
        <w:fldChar w:fldCharType="begin"/>
      </w:r>
      <w:r w:rsidRPr="006158F0">
        <w:instrText xml:space="preserve"> REF _Ref99015094 \w \h  \* MERGEFORMAT </w:instrText>
      </w:r>
      <w:r w:rsidRPr="006158F0">
        <w:fldChar w:fldCharType="separate"/>
      </w:r>
      <w:r w:rsidR="007A1473">
        <w:t>3.7</w:t>
      </w:r>
      <w:r w:rsidRPr="006158F0">
        <w:fldChar w:fldCharType="end"/>
      </w:r>
      <w:r w:rsidRPr="006158F0">
        <w:t xml:space="preserve"> to </w:t>
      </w:r>
      <w:r w:rsidR="00850F58">
        <w:t>3.12</w:t>
      </w:r>
      <w:r w:rsidRPr="006158F0">
        <w:t xml:space="preserve"> of this </w:t>
      </w:r>
      <w:r w:rsidRPr="006158F0">
        <w:fldChar w:fldCharType="begin"/>
      </w:r>
      <w:r w:rsidRPr="006158F0">
        <w:instrText xml:space="preserve"> REF Schedule4Annex1 \h </w:instrText>
      </w:r>
      <w:r w:rsidR="006158F0" w:rsidRPr="006158F0">
        <w:instrText xml:space="preserve"> \* MERGEFORMAT </w:instrText>
      </w:r>
      <w:r w:rsidRPr="006158F0">
        <w:fldChar w:fldCharType="separate"/>
      </w:r>
      <w:r w:rsidR="007A1473" w:rsidRPr="006158F0">
        <w:t>Annex 1</w:t>
      </w:r>
      <w:r w:rsidRPr="006158F0">
        <w:fldChar w:fldCharType="end"/>
      </w:r>
      <w:r w:rsidRPr="006158F0">
        <w:t xml:space="preserve"> within thirty (30) </w:t>
      </w:r>
      <w:r w:rsidR="0052486C" w:rsidRPr="006158F0">
        <w:t xml:space="preserve">calendar </w:t>
      </w:r>
      <w:r w:rsidRPr="006158F0">
        <w:t>days of such request.</w:t>
      </w:r>
    </w:p>
    <w:p w14:paraId="0947028B" w14:textId="45E042C0" w:rsidR="00F67E9E" w:rsidRPr="006158F0" w:rsidRDefault="00F67E9E" w:rsidP="00F67E9E">
      <w:pPr>
        <w:pStyle w:val="AppendixText2"/>
        <w:tabs>
          <w:tab w:val="num" w:pos="720"/>
        </w:tabs>
      </w:pPr>
      <w:r w:rsidRPr="006158F0">
        <w:t xml:space="preserve">The Supplier shall complete the Sustainability Report in relation to its provision of the Services under this Contract and provide the Sustainability Report to the Authority on the date and frequency outlined in Table C of this </w:t>
      </w:r>
      <w:r w:rsidRPr="006158F0">
        <w:fldChar w:fldCharType="begin"/>
      </w:r>
      <w:r w:rsidRPr="006158F0">
        <w:instrText xml:space="preserve"> REF Schedule4Annex1 \h </w:instrText>
      </w:r>
      <w:r w:rsidR="006158F0">
        <w:instrText xml:space="preserve"> \* MERGEFORMAT </w:instrText>
      </w:r>
      <w:r w:rsidRPr="006158F0">
        <w:fldChar w:fldCharType="separate"/>
      </w:r>
      <w:r w:rsidR="007A1473" w:rsidRPr="006158F0">
        <w:t>Annex 1</w:t>
      </w:r>
      <w:r w:rsidRPr="006158F0">
        <w:fldChar w:fldCharType="end"/>
      </w:r>
      <w:r w:rsidRPr="006158F0">
        <w:t>.</w:t>
      </w:r>
    </w:p>
    <w:p w14:paraId="04394D84" w14:textId="77777777" w:rsidR="00F67E9E" w:rsidRPr="00B87B2B" w:rsidRDefault="00F67E9E" w:rsidP="00F67E9E">
      <w:pPr>
        <w:pStyle w:val="Heading3"/>
      </w:pPr>
      <w:bookmarkStart w:id="382" w:name="Schedule4TableA"/>
      <w:bookmarkStart w:id="383" w:name="_9kR3WTrAG89HFbJfifw5q8LTu3my2s4mI94z0JG"/>
      <w:r w:rsidRPr="00B87B2B">
        <w:t>Table</w:t>
      </w:r>
      <w:r>
        <w:t> </w:t>
      </w:r>
      <w:r w:rsidRPr="00B87B2B">
        <w:t>A</w:t>
      </w:r>
      <w:bookmarkEnd w:id="382"/>
      <w:r w:rsidRPr="00B87B2B">
        <w:t xml:space="preserve"> – Prohibited Items</w:t>
      </w:r>
      <w:bookmarkEnd w:id="383"/>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9"/>
        <w:gridCol w:w="7483"/>
      </w:tblGrid>
      <w:tr w:rsidR="00F67E9E" w:rsidRPr="006158F0" w14:paraId="34C6901D" w14:textId="77777777" w:rsidTr="0052486C">
        <w:trPr>
          <w:trHeight w:val="145"/>
        </w:trPr>
        <w:tc>
          <w:tcPr>
            <w:tcW w:w="2689" w:type="dxa"/>
            <w:vMerge w:val="restart"/>
          </w:tcPr>
          <w:p w14:paraId="255F6B37" w14:textId="77777777" w:rsidR="00F67E9E" w:rsidRPr="006158F0" w:rsidRDefault="00F67E9E" w:rsidP="0052486C">
            <w:pPr>
              <w:pStyle w:val="StdBodyTextBold"/>
              <w:spacing w:before="0" w:after="0"/>
              <w:rPr>
                <w:rFonts w:cs="Arial"/>
                <w:sz w:val="24"/>
              </w:rPr>
            </w:pPr>
            <w:r w:rsidRPr="006158F0">
              <w:rPr>
                <w:rFonts w:cs="Arial"/>
                <w:sz w:val="24"/>
              </w:rPr>
              <w:t>The following consumer single use plastics are Prohibited Items:</w:t>
            </w:r>
          </w:p>
        </w:tc>
        <w:tc>
          <w:tcPr>
            <w:tcW w:w="7483" w:type="dxa"/>
          </w:tcPr>
          <w:p w14:paraId="58A0E18A" w14:textId="77777777" w:rsidR="00F67E9E" w:rsidRPr="006158F0" w:rsidRDefault="00F67E9E" w:rsidP="0052486C">
            <w:pPr>
              <w:pStyle w:val="StdBodyTextBold"/>
              <w:keepNext/>
              <w:keepLines/>
              <w:spacing w:before="0" w:after="0"/>
              <w:rPr>
                <w:rFonts w:cs="Arial"/>
                <w:sz w:val="24"/>
              </w:rPr>
            </w:pPr>
            <w:r w:rsidRPr="006158F0">
              <w:rPr>
                <w:rFonts w:cs="Arial"/>
                <w:sz w:val="24"/>
              </w:rPr>
              <w:t>Catering</w:t>
            </w:r>
          </w:p>
          <w:p w14:paraId="2EF94CB1" w14:textId="77777777" w:rsidR="00F67E9E" w:rsidRPr="006158F0" w:rsidRDefault="00F67E9E" w:rsidP="00F13933">
            <w:pPr>
              <w:pStyle w:val="DefinitionList"/>
              <w:numPr>
                <w:ilvl w:val="0"/>
                <w:numId w:val="80"/>
              </w:numPr>
              <w:spacing w:after="0"/>
              <w:rPr>
                <w:sz w:val="24"/>
                <w:szCs w:val="36"/>
              </w:rPr>
            </w:pPr>
            <w:r w:rsidRPr="006158F0">
              <w:rPr>
                <w:sz w:val="24"/>
                <w:szCs w:val="36"/>
              </w:rPr>
              <w:t>Single use sachets e.g. coffee pods, sauce sachets, milk sachets</w:t>
            </w:r>
          </w:p>
          <w:p w14:paraId="2CFFE8CF" w14:textId="77777777" w:rsidR="00F67E9E" w:rsidRPr="006158F0" w:rsidRDefault="00F67E9E" w:rsidP="00F13933">
            <w:pPr>
              <w:pStyle w:val="DefinitionList"/>
              <w:numPr>
                <w:ilvl w:val="0"/>
                <w:numId w:val="78"/>
              </w:numPr>
              <w:spacing w:after="0"/>
              <w:rPr>
                <w:sz w:val="24"/>
                <w:szCs w:val="32"/>
              </w:rPr>
            </w:pPr>
            <w:r w:rsidRPr="006158F0">
              <w:rPr>
                <w:sz w:val="24"/>
                <w:szCs w:val="32"/>
              </w:rPr>
              <w:t>Take away cutlery</w:t>
            </w:r>
          </w:p>
          <w:p w14:paraId="7093241D" w14:textId="77777777" w:rsidR="00F67E9E" w:rsidRPr="006158F0" w:rsidRDefault="00F67E9E" w:rsidP="00F13933">
            <w:pPr>
              <w:pStyle w:val="DefinitionList"/>
              <w:numPr>
                <w:ilvl w:val="0"/>
                <w:numId w:val="78"/>
              </w:numPr>
              <w:spacing w:after="0"/>
              <w:rPr>
                <w:sz w:val="24"/>
                <w:szCs w:val="32"/>
              </w:rPr>
            </w:pPr>
            <w:r w:rsidRPr="006158F0">
              <w:rPr>
                <w:sz w:val="24"/>
                <w:szCs w:val="32"/>
              </w:rPr>
              <w:t>Take away boxes and plates</w:t>
            </w:r>
          </w:p>
          <w:p w14:paraId="57DD6159" w14:textId="77777777" w:rsidR="00F67E9E" w:rsidRPr="006158F0" w:rsidRDefault="00F67E9E" w:rsidP="00F13933">
            <w:pPr>
              <w:pStyle w:val="DefinitionList"/>
              <w:numPr>
                <w:ilvl w:val="0"/>
                <w:numId w:val="78"/>
              </w:numPr>
              <w:spacing w:after="0"/>
              <w:rPr>
                <w:sz w:val="24"/>
                <w:szCs w:val="32"/>
              </w:rPr>
            </w:pPr>
            <w:r w:rsidRPr="006158F0">
              <w:rPr>
                <w:sz w:val="24"/>
                <w:szCs w:val="32"/>
              </w:rPr>
              <w:t>Cups made wholly or partially of plastic</w:t>
            </w:r>
          </w:p>
          <w:p w14:paraId="62EC7410" w14:textId="77777777" w:rsidR="00F67E9E" w:rsidRPr="006158F0" w:rsidRDefault="00F67E9E" w:rsidP="00F13933">
            <w:pPr>
              <w:pStyle w:val="DefinitionList"/>
              <w:numPr>
                <w:ilvl w:val="0"/>
                <w:numId w:val="78"/>
              </w:numPr>
              <w:spacing w:after="0"/>
              <w:rPr>
                <w:sz w:val="24"/>
                <w:szCs w:val="32"/>
              </w:rPr>
            </w:pPr>
            <w:r w:rsidRPr="006158F0">
              <w:rPr>
                <w:sz w:val="24"/>
                <w:szCs w:val="32"/>
              </w:rPr>
              <w:t>Straws</w:t>
            </w:r>
          </w:p>
          <w:p w14:paraId="242D76C3" w14:textId="77777777" w:rsidR="00F67E9E" w:rsidRPr="006158F0" w:rsidRDefault="00F67E9E" w:rsidP="00F13933">
            <w:pPr>
              <w:pStyle w:val="DefinitionList"/>
              <w:numPr>
                <w:ilvl w:val="0"/>
                <w:numId w:val="78"/>
              </w:numPr>
              <w:spacing w:after="0"/>
              <w:rPr>
                <w:sz w:val="24"/>
                <w:szCs w:val="32"/>
              </w:rPr>
            </w:pPr>
            <w:r w:rsidRPr="006158F0">
              <w:rPr>
                <w:sz w:val="24"/>
                <w:szCs w:val="32"/>
              </w:rPr>
              <w:t>Stirrers</w:t>
            </w:r>
          </w:p>
          <w:p w14:paraId="7F31CE5C" w14:textId="77777777" w:rsidR="00F67E9E" w:rsidRPr="006158F0" w:rsidRDefault="00F67E9E" w:rsidP="00F13933">
            <w:pPr>
              <w:pStyle w:val="DefinitionList"/>
              <w:numPr>
                <w:ilvl w:val="0"/>
                <w:numId w:val="78"/>
              </w:numPr>
              <w:spacing w:after="0"/>
              <w:rPr>
                <w:sz w:val="24"/>
                <w:szCs w:val="32"/>
              </w:rPr>
            </w:pPr>
            <w:r w:rsidRPr="006158F0">
              <w:rPr>
                <w:sz w:val="24"/>
                <w:szCs w:val="32"/>
              </w:rPr>
              <w:t>Water bottles</w:t>
            </w:r>
          </w:p>
        </w:tc>
      </w:tr>
      <w:tr w:rsidR="00F67E9E" w:rsidRPr="006158F0" w14:paraId="2A8A0272" w14:textId="77777777" w:rsidTr="0052486C">
        <w:trPr>
          <w:trHeight w:val="145"/>
        </w:trPr>
        <w:tc>
          <w:tcPr>
            <w:tcW w:w="2689" w:type="dxa"/>
            <w:vMerge/>
          </w:tcPr>
          <w:p w14:paraId="40938991" w14:textId="77777777" w:rsidR="00F67E9E" w:rsidRPr="006158F0" w:rsidRDefault="00F67E9E" w:rsidP="0052486C">
            <w:pPr>
              <w:pStyle w:val="StdBodyText"/>
              <w:spacing w:before="0" w:after="0"/>
              <w:rPr>
                <w:rFonts w:cs="Arial"/>
                <w:sz w:val="24"/>
              </w:rPr>
            </w:pPr>
          </w:p>
        </w:tc>
        <w:tc>
          <w:tcPr>
            <w:tcW w:w="7483" w:type="dxa"/>
          </w:tcPr>
          <w:p w14:paraId="77116221" w14:textId="77777777" w:rsidR="00F67E9E" w:rsidRPr="006158F0" w:rsidRDefault="00F67E9E" w:rsidP="0052486C">
            <w:pPr>
              <w:pStyle w:val="StdBodyTextBold"/>
              <w:keepNext/>
              <w:keepLines/>
              <w:spacing w:before="0" w:after="0"/>
              <w:rPr>
                <w:rFonts w:cs="Arial"/>
                <w:sz w:val="24"/>
              </w:rPr>
            </w:pPr>
            <w:r w:rsidRPr="006158F0">
              <w:rPr>
                <w:rFonts w:cs="Arial"/>
                <w:sz w:val="24"/>
              </w:rPr>
              <w:t>Facilities</w:t>
            </w:r>
          </w:p>
          <w:p w14:paraId="70EE7FC0" w14:textId="77777777" w:rsidR="00F67E9E" w:rsidRPr="006158F0" w:rsidRDefault="00F67E9E" w:rsidP="00F13933">
            <w:pPr>
              <w:pStyle w:val="DefinitionList"/>
              <w:numPr>
                <w:ilvl w:val="0"/>
                <w:numId w:val="79"/>
              </w:numPr>
              <w:spacing w:after="0"/>
              <w:rPr>
                <w:sz w:val="24"/>
                <w:szCs w:val="32"/>
              </w:rPr>
            </w:pPr>
            <w:r w:rsidRPr="006158F0">
              <w:rPr>
                <w:sz w:val="24"/>
                <w:szCs w:val="32"/>
              </w:rPr>
              <w:t>Single use containers e.g. hand soap, cleaning products</w:t>
            </w:r>
          </w:p>
          <w:p w14:paraId="08A7DB05" w14:textId="77777777" w:rsidR="00F67E9E" w:rsidRPr="006158F0" w:rsidRDefault="00F67E9E" w:rsidP="00F13933">
            <w:pPr>
              <w:pStyle w:val="DefinitionList"/>
              <w:numPr>
                <w:ilvl w:val="0"/>
                <w:numId w:val="78"/>
              </w:numPr>
              <w:rPr>
                <w:rFonts w:cs="Arial"/>
                <w:sz w:val="24"/>
              </w:rPr>
            </w:pPr>
            <w:r w:rsidRPr="006158F0">
              <w:rPr>
                <w:sz w:val="24"/>
              </w:rPr>
              <w:t>Wipes containing plastic</w:t>
            </w:r>
          </w:p>
        </w:tc>
      </w:tr>
      <w:tr w:rsidR="00F67E9E" w:rsidRPr="006158F0" w14:paraId="604D91BF" w14:textId="77777777" w:rsidTr="0052486C">
        <w:trPr>
          <w:trHeight w:val="145"/>
        </w:trPr>
        <w:tc>
          <w:tcPr>
            <w:tcW w:w="2689" w:type="dxa"/>
            <w:vMerge/>
          </w:tcPr>
          <w:p w14:paraId="0B8C88AA" w14:textId="77777777" w:rsidR="00F67E9E" w:rsidRPr="006158F0" w:rsidRDefault="00F67E9E" w:rsidP="0052486C">
            <w:pPr>
              <w:pStyle w:val="StdBodyText"/>
              <w:spacing w:before="0" w:after="0"/>
              <w:rPr>
                <w:rFonts w:cs="Arial"/>
                <w:sz w:val="24"/>
              </w:rPr>
            </w:pPr>
          </w:p>
        </w:tc>
        <w:tc>
          <w:tcPr>
            <w:tcW w:w="7483" w:type="dxa"/>
          </w:tcPr>
          <w:p w14:paraId="29638C8B" w14:textId="77777777" w:rsidR="00F67E9E" w:rsidRPr="006158F0" w:rsidRDefault="00F67E9E" w:rsidP="0052486C">
            <w:pPr>
              <w:pStyle w:val="StdBodyTextBold"/>
              <w:spacing w:before="0" w:after="0"/>
              <w:rPr>
                <w:rFonts w:cs="Arial"/>
                <w:sz w:val="24"/>
              </w:rPr>
            </w:pPr>
            <w:r w:rsidRPr="006158F0">
              <w:rPr>
                <w:rFonts w:cs="Arial"/>
                <w:sz w:val="24"/>
              </w:rPr>
              <w:t>Office Supplies</w:t>
            </w:r>
          </w:p>
          <w:p w14:paraId="6B137F78" w14:textId="77777777" w:rsidR="00F67E9E" w:rsidRPr="006158F0" w:rsidRDefault="00F67E9E" w:rsidP="00F13933">
            <w:pPr>
              <w:pStyle w:val="DefinitionList"/>
              <w:numPr>
                <w:ilvl w:val="0"/>
                <w:numId w:val="81"/>
              </w:numPr>
              <w:spacing w:after="0"/>
              <w:rPr>
                <w:sz w:val="24"/>
                <w:szCs w:val="28"/>
              </w:rPr>
            </w:pPr>
            <w:r w:rsidRPr="006158F0">
              <w:rPr>
                <w:sz w:val="24"/>
                <w:szCs w:val="28"/>
              </w:rPr>
              <w:t>Plastic envelopes</w:t>
            </w:r>
          </w:p>
          <w:p w14:paraId="660E09AA" w14:textId="77777777" w:rsidR="00F67E9E" w:rsidRPr="006158F0" w:rsidRDefault="00F67E9E" w:rsidP="00F13933">
            <w:pPr>
              <w:pStyle w:val="DefinitionList"/>
              <w:numPr>
                <w:ilvl w:val="0"/>
                <w:numId w:val="79"/>
              </w:numPr>
              <w:spacing w:after="0"/>
              <w:rPr>
                <w:sz w:val="24"/>
              </w:rPr>
            </w:pPr>
            <w:r w:rsidRPr="006158F0">
              <w:rPr>
                <w:sz w:val="24"/>
              </w:rPr>
              <w:t xml:space="preserve">Plastic wrapping for </w:t>
            </w:r>
            <w:r w:rsidRPr="006158F0">
              <w:t>brochures</w:t>
            </w:r>
          </w:p>
          <w:p w14:paraId="4395AE53" w14:textId="77777777" w:rsidR="00F67E9E" w:rsidRPr="006158F0" w:rsidRDefault="00F67E9E" w:rsidP="00F13933">
            <w:pPr>
              <w:pStyle w:val="DefinitionList"/>
              <w:numPr>
                <w:ilvl w:val="0"/>
                <w:numId w:val="79"/>
              </w:numPr>
              <w:spacing w:after="0"/>
              <w:rPr>
                <w:rFonts w:cs="Arial"/>
                <w:sz w:val="24"/>
              </w:rPr>
            </w:pPr>
            <w:r w:rsidRPr="006158F0">
              <w:rPr>
                <w:sz w:val="24"/>
              </w:rPr>
              <w:t xml:space="preserve">Paper or card </w:t>
            </w:r>
            <w:r w:rsidRPr="006158F0">
              <w:t>which</w:t>
            </w:r>
            <w:r w:rsidRPr="006158F0">
              <w:rPr>
                <w:sz w:val="24"/>
              </w:rPr>
              <w:t xml:space="preserve"> is bleached with chlorine</w:t>
            </w:r>
          </w:p>
        </w:tc>
      </w:tr>
      <w:tr w:rsidR="00F67E9E" w:rsidRPr="006158F0" w14:paraId="7269EBFA" w14:textId="77777777" w:rsidTr="0052486C">
        <w:trPr>
          <w:trHeight w:val="145"/>
        </w:trPr>
        <w:tc>
          <w:tcPr>
            <w:tcW w:w="2689" w:type="dxa"/>
            <w:vMerge/>
          </w:tcPr>
          <w:p w14:paraId="1ADD464C" w14:textId="77777777" w:rsidR="00F67E9E" w:rsidRPr="006158F0" w:rsidRDefault="00F67E9E" w:rsidP="0052486C">
            <w:pPr>
              <w:pStyle w:val="StdBodyText"/>
              <w:spacing w:before="0" w:after="0"/>
              <w:rPr>
                <w:rFonts w:cs="Arial"/>
                <w:sz w:val="24"/>
              </w:rPr>
            </w:pPr>
          </w:p>
        </w:tc>
        <w:tc>
          <w:tcPr>
            <w:tcW w:w="7483" w:type="dxa"/>
          </w:tcPr>
          <w:p w14:paraId="35DE9964" w14:textId="77777777" w:rsidR="00F67E9E" w:rsidRPr="006158F0" w:rsidRDefault="00F67E9E" w:rsidP="0052486C">
            <w:pPr>
              <w:pStyle w:val="StdBodyTextBold"/>
              <w:spacing w:before="0" w:after="0"/>
              <w:rPr>
                <w:rFonts w:cs="Arial"/>
                <w:sz w:val="24"/>
              </w:rPr>
            </w:pPr>
            <w:r w:rsidRPr="006158F0">
              <w:rPr>
                <w:rFonts w:cs="Arial"/>
                <w:sz w:val="24"/>
              </w:rPr>
              <w:t>Packaging</w:t>
            </w:r>
          </w:p>
          <w:p w14:paraId="37AF6B9E" w14:textId="77777777" w:rsidR="00F67E9E" w:rsidRPr="006158F0" w:rsidRDefault="00F67E9E" w:rsidP="00F13933">
            <w:pPr>
              <w:pStyle w:val="DefinitionList"/>
              <w:numPr>
                <w:ilvl w:val="0"/>
                <w:numId w:val="82"/>
              </w:numPr>
              <w:spacing w:after="0"/>
              <w:rPr>
                <w:sz w:val="24"/>
                <w:szCs w:val="32"/>
              </w:rPr>
            </w:pPr>
            <w:r w:rsidRPr="006158F0">
              <w:rPr>
                <w:sz w:val="24"/>
                <w:szCs w:val="32"/>
              </w:rPr>
              <w:t>Single use plastic packaging from deliveries where avoidable e.g. shrink wrapped packaging from office supplier or facilities products.</w:t>
            </w:r>
          </w:p>
          <w:p w14:paraId="5FC06184" w14:textId="77777777" w:rsidR="00F67E9E" w:rsidRPr="006158F0" w:rsidRDefault="00F67E9E" w:rsidP="00F13933">
            <w:pPr>
              <w:pStyle w:val="DefinitionList"/>
              <w:numPr>
                <w:ilvl w:val="0"/>
                <w:numId w:val="81"/>
              </w:numPr>
              <w:spacing w:after="0"/>
              <w:rPr>
                <w:rFonts w:cs="Arial"/>
                <w:sz w:val="24"/>
              </w:rPr>
            </w:pPr>
            <w:r w:rsidRPr="006158F0">
              <w:rPr>
                <w:sz w:val="24"/>
                <w:szCs w:val="28"/>
              </w:rPr>
              <w:t>Single use carrier bags</w:t>
            </w:r>
          </w:p>
        </w:tc>
      </w:tr>
      <w:tr w:rsidR="00F67E9E" w:rsidRPr="006158F0" w14:paraId="7C738155" w14:textId="77777777" w:rsidTr="0052486C">
        <w:tc>
          <w:tcPr>
            <w:tcW w:w="2689" w:type="dxa"/>
          </w:tcPr>
          <w:p w14:paraId="4EDCEAE0" w14:textId="77777777" w:rsidR="00F67E9E" w:rsidRPr="006158F0" w:rsidRDefault="00F67E9E" w:rsidP="0052486C">
            <w:pPr>
              <w:pStyle w:val="StdBodyTextBold"/>
              <w:spacing w:before="0" w:after="0"/>
              <w:rPr>
                <w:rFonts w:cs="Arial"/>
                <w:sz w:val="24"/>
              </w:rPr>
            </w:pPr>
            <w:r w:rsidRPr="006158F0">
              <w:rPr>
                <w:rFonts w:cs="Arial"/>
                <w:sz w:val="24"/>
              </w:rPr>
              <w:lastRenderedPageBreak/>
              <w:t>Project specific Prohibitions</w:t>
            </w:r>
          </w:p>
        </w:tc>
        <w:tc>
          <w:tcPr>
            <w:tcW w:w="7483" w:type="dxa"/>
          </w:tcPr>
          <w:p w14:paraId="0C2B83FF" w14:textId="2F4EAF38" w:rsidR="00F67E9E" w:rsidRPr="006158F0" w:rsidRDefault="0052486C" w:rsidP="0052486C">
            <w:pPr>
              <w:pStyle w:val="StdBodyText"/>
              <w:spacing w:before="0" w:after="0"/>
              <w:rPr>
                <w:rFonts w:cs="Arial"/>
                <w:bCs/>
                <w:iCs/>
                <w:sz w:val="24"/>
              </w:rPr>
            </w:pPr>
            <w:r w:rsidRPr="006158F0">
              <w:rPr>
                <w:rFonts w:cs="Arial"/>
                <w:bCs/>
                <w:iCs/>
                <w:sz w:val="24"/>
              </w:rPr>
              <w:t>Energy-intensive hardware, when making decisions on hardware such as servers, the supplier must ensure that they consider the solutions Power Usage Effectiveness (PUE) rating and opt for those with lower values ie better energy efficiency.</w:t>
            </w:r>
          </w:p>
        </w:tc>
      </w:tr>
    </w:tbl>
    <w:p w14:paraId="7635A6D1" w14:textId="77777777" w:rsidR="00F67E9E" w:rsidRPr="006158F0" w:rsidRDefault="00F67E9E" w:rsidP="00F67E9E">
      <w:pPr>
        <w:rPr>
          <w:rFonts w:cs="Arial"/>
          <w:bCs/>
          <w:szCs w:val="24"/>
        </w:rPr>
      </w:pPr>
    </w:p>
    <w:p w14:paraId="034D9365" w14:textId="48421983" w:rsidR="00F67E9E" w:rsidRPr="006158F0" w:rsidRDefault="00F67E9E" w:rsidP="00F67E9E">
      <w:pPr>
        <w:pStyle w:val="Heading3"/>
      </w:pPr>
      <w:bookmarkStart w:id="384" w:name="Schedule4TableB"/>
      <w:bookmarkStart w:id="385" w:name="_9kR3WTrAG89HEaJfifw5q8LTu3my2t5Z8H9HTF0"/>
      <w:r w:rsidRPr="006158F0">
        <w:t>Table B</w:t>
      </w:r>
      <w:bookmarkEnd w:id="384"/>
      <w:r w:rsidRPr="006158F0">
        <w:t xml:space="preserve"> – Permitted Items</w:t>
      </w:r>
      <w:bookmarkEnd w:id="385"/>
    </w:p>
    <w:p w14:paraId="2AD995C0" w14:textId="09C796FD" w:rsidR="0052486C" w:rsidRPr="006158F0" w:rsidRDefault="0052486C" w:rsidP="0052486C">
      <w:r w:rsidRPr="006158F0">
        <w:t>Not Applicable</w:t>
      </w:r>
    </w:p>
    <w:p w14:paraId="1E459A48" w14:textId="77777777" w:rsidR="0052486C" w:rsidRPr="006158F0" w:rsidRDefault="0052486C" w:rsidP="0052486C"/>
    <w:p w14:paraId="1B72A0C0" w14:textId="77777777" w:rsidR="00F67E9E" w:rsidRPr="006158F0" w:rsidRDefault="00F67E9E" w:rsidP="00F67E9E"/>
    <w:p w14:paraId="178DA931" w14:textId="77777777" w:rsidR="00F67E9E" w:rsidRPr="006158F0" w:rsidRDefault="00F67E9E" w:rsidP="00F67E9E">
      <w:pPr>
        <w:pStyle w:val="Heading3"/>
      </w:pPr>
      <w:bookmarkStart w:id="386" w:name="Schedule4TableC"/>
      <w:bookmarkStart w:id="387" w:name="_9kR3WTrAG89HGcJfifw5q8LTu3my2u9sPP8yC5u"/>
      <w:r w:rsidRPr="006158F0">
        <w:t>Table C</w:t>
      </w:r>
      <w:bookmarkEnd w:id="386"/>
      <w:r w:rsidRPr="006158F0">
        <w:t xml:space="preserve"> – Sustainability Reports</w:t>
      </w:r>
      <w:bookmarkEnd w:id="387"/>
    </w:p>
    <w:p w14:paraId="30A07333" w14:textId="0BD60FA1" w:rsidR="00F67E9E" w:rsidRPr="006158F0" w:rsidRDefault="00F67E9E" w:rsidP="00F67E9E">
      <w:pPr>
        <w:pStyle w:val="StdBodyText"/>
        <w:rPr>
          <w:rFonts w:cs="Arial"/>
          <w:bCs/>
          <w:iCs/>
        </w:rPr>
      </w:pPr>
    </w:p>
    <w:tbl>
      <w:tblPr>
        <w:tblStyle w:val="MSATable-header"/>
        <w:tblW w:w="10204" w:type="dxa"/>
        <w:tblLook w:val="0620" w:firstRow="1" w:lastRow="0" w:firstColumn="0" w:lastColumn="0" w:noHBand="1" w:noVBand="1"/>
      </w:tblPr>
      <w:tblGrid>
        <w:gridCol w:w="1984"/>
        <w:gridCol w:w="5669"/>
        <w:gridCol w:w="2551"/>
      </w:tblGrid>
      <w:tr w:rsidR="00F67E9E" w:rsidRPr="006158F0" w14:paraId="375D5921"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984" w:type="dxa"/>
            <w:vAlign w:val="bottom"/>
          </w:tcPr>
          <w:p w14:paraId="1670406D" w14:textId="77777777" w:rsidR="00F67E9E" w:rsidRPr="006158F0" w:rsidRDefault="00F67E9E" w:rsidP="0052486C">
            <w:pPr>
              <w:pStyle w:val="StdBodyTextBold"/>
              <w:spacing w:before="0" w:after="0"/>
              <w:rPr>
                <w:rFonts w:cs="Arial"/>
                <w:b/>
                <w:bCs/>
              </w:rPr>
            </w:pPr>
            <w:r w:rsidRPr="006158F0">
              <w:rPr>
                <w:rFonts w:cs="Arial"/>
                <w:b/>
                <w:bCs/>
              </w:rPr>
              <w:t>Sustainability Report Name</w:t>
            </w:r>
          </w:p>
        </w:tc>
        <w:tc>
          <w:tcPr>
            <w:tcW w:w="5669" w:type="dxa"/>
            <w:vAlign w:val="bottom"/>
          </w:tcPr>
          <w:p w14:paraId="6B64415A" w14:textId="77777777" w:rsidR="00F67E9E" w:rsidRPr="006158F0" w:rsidRDefault="00F67E9E" w:rsidP="0052486C">
            <w:pPr>
              <w:pStyle w:val="StdBodyTextBold"/>
              <w:spacing w:before="0" w:after="0"/>
              <w:rPr>
                <w:rFonts w:cs="Arial"/>
                <w:b/>
                <w:bCs/>
              </w:rPr>
            </w:pPr>
            <w:r w:rsidRPr="006158F0">
              <w:rPr>
                <w:rFonts w:cs="Arial"/>
                <w:b/>
                <w:bCs/>
              </w:rPr>
              <w:t>Content of Report</w:t>
            </w:r>
          </w:p>
        </w:tc>
        <w:tc>
          <w:tcPr>
            <w:tcW w:w="2551" w:type="dxa"/>
            <w:vAlign w:val="bottom"/>
          </w:tcPr>
          <w:p w14:paraId="002C1CE6" w14:textId="77777777" w:rsidR="00F67E9E" w:rsidRPr="006158F0" w:rsidRDefault="00F67E9E" w:rsidP="0052486C">
            <w:pPr>
              <w:pStyle w:val="StdBodyTextBold"/>
              <w:spacing w:before="0" w:after="0"/>
              <w:rPr>
                <w:rFonts w:cs="Arial"/>
                <w:b/>
                <w:bCs/>
              </w:rPr>
            </w:pPr>
            <w:r w:rsidRPr="006158F0">
              <w:rPr>
                <w:rFonts w:cs="Arial"/>
                <w:b/>
                <w:bCs/>
              </w:rPr>
              <w:t>Frequency of Report</w:t>
            </w:r>
          </w:p>
        </w:tc>
      </w:tr>
      <w:tr w:rsidR="00F67E9E" w:rsidRPr="006158F0" w14:paraId="74F38D91" w14:textId="77777777" w:rsidTr="0052486C">
        <w:tc>
          <w:tcPr>
            <w:tcW w:w="1984" w:type="dxa"/>
          </w:tcPr>
          <w:p w14:paraId="13311BF6" w14:textId="5F5645FE" w:rsidR="00F67E9E" w:rsidRPr="006158F0" w:rsidRDefault="00F67E9E" w:rsidP="0052486C">
            <w:pPr>
              <w:pStyle w:val="StdBodyTextBold"/>
              <w:spacing w:before="0" w:after="0"/>
              <w:rPr>
                <w:rFonts w:cs="Arial"/>
              </w:rPr>
            </w:pPr>
            <w:r w:rsidRPr="006158F0">
              <w:rPr>
                <w:rFonts w:cs="Arial"/>
              </w:rPr>
              <w:t>Sustainability - General</w:t>
            </w:r>
          </w:p>
        </w:tc>
        <w:tc>
          <w:tcPr>
            <w:tcW w:w="5669" w:type="dxa"/>
          </w:tcPr>
          <w:p w14:paraId="5E0A6D7A" w14:textId="507156A0" w:rsidR="00F67E9E" w:rsidRPr="006158F0" w:rsidRDefault="00C33B3A" w:rsidP="0052486C">
            <w:pPr>
              <w:pStyle w:val="StdBodyText"/>
              <w:spacing w:before="0" w:after="0"/>
            </w:pPr>
            <w:r>
              <w:t>A</w:t>
            </w:r>
            <w:r w:rsidR="00F67E9E" w:rsidRPr="006158F0">
              <w:t>s proportionate and relevant to the Contract, the key sustainability impacts identified; the sustainability improvements planned or delivered; and the risks to the Services of climate change, including mitigation, adaptation and continuity plans employed by the Supplier in response to those risks.</w:t>
            </w:r>
          </w:p>
        </w:tc>
        <w:tc>
          <w:tcPr>
            <w:tcW w:w="2551" w:type="dxa"/>
          </w:tcPr>
          <w:p w14:paraId="5116DB9A" w14:textId="7B209889" w:rsidR="00F67E9E" w:rsidRPr="006158F0" w:rsidRDefault="00F67E9E" w:rsidP="0052486C">
            <w:pPr>
              <w:pStyle w:val="StdBodyText"/>
              <w:spacing w:before="0" w:after="0"/>
              <w:rPr>
                <w:rFonts w:cs="Arial"/>
              </w:rPr>
            </w:pPr>
            <w:r w:rsidRPr="006158F0">
              <w:rPr>
                <w:rFonts w:cs="Arial"/>
              </w:rPr>
              <w:t xml:space="preserve">On </w:t>
            </w:r>
            <w:r w:rsidR="0052486C" w:rsidRPr="006158F0">
              <w:rPr>
                <w:rFonts w:cs="Arial"/>
              </w:rPr>
              <w:t xml:space="preserve">each </w:t>
            </w:r>
            <w:r w:rsidRPr="006158F0">
              <w:rPr>
                <w:rFonts w:cs="Arial"/>
              </w:rPr>
              <w:t>anniversary of the Effective Date</w:t>
            </w:r>
          </w:p>
        </w:tc>
      </w:tr>
      <w:tr w:rsidR="00F67E9E" w:rsidRPr="006158F0" w14:paraId="40137E7A" w14:textId="77777777" w:rsidTr="0052486C">
        <w:tc>
          <w:tcPr>
            <w:tcW w:w="1984" w:type="dxa"/>
          </w:tcPr>
          <w:p w14:paraId="50FD7C35" w14:textId="7786BCDE" w:rsidR="00F67E9E" w:rsidRPr="006158F0" w:rsidRDefault="00F67E9E" w:rsidP="0052486C">
            <w:pPr>
              <w:pStyle w:val="StdBodyTextBold"/>
              <w:spacing w:before="0" w:after="0"/>
              <w:rPr>
                <w:rFonts w:cs="Arial"/>
              </w:rPr>
            </w:pPr>
            <w:r w:rsidRPr="006158F0">
              <w:rPr>
                <w:rFonts w:cs="Arial"/>
              </w:rPr>
              <w:t>Greenhouse Gas Emissions</w:t>
            </w:r>
          </w:p>
        </w:tc>
        <w:tc>
          <w:tcPr>
            <w:tcW w:w="5669" w:type="dxa"/>
          </w:tcPr>
          <w:p w14:paraId="2792E482" w14:textId="43875353" w:rsidR="00F67E9E" w:rsidRPr="006158F0" w:rsidRDefault="00F67E9E" w:rsidP="0052486C">
            <w:pPr>
              <w:pStyle w:val="StdBodyText"/>
              <w:spacing w:before="0" w:after="0"/>
              <w:rPr>
                <w:rFonts w:cs="Arial"/>
              </w:rPr>
            </w:pPr>
            <w:r w:rsidRPr="006158F0">
              <w:rPr>
                <w:rFonts w:cs="Arial"/>
              </w:rPr>
              <w:t>Detail the Scope 1 and Scope 2 GHG emissions associated with the delivery of the contract.</w:t>
            </w:r>
          </w:p>
          <w:p w14:paraId="49550E3E" w14:textId="4C9590CD" w:rsidR="00F67E9E" w:rsidRPr="006158F0" w:rsidRDefault="00F67E9E" w:rsidP="0052486C">
            <w:pPr>
              <w:pStyle w:val="StdBodyText"/>
              <w:spacing w:before="0" w:after="120"/>
              <w:rPr>
                <w:rFonts w:cs="Arial"/>
              </w:rPr>
            </w:pPr>
            <w:r w:rsidRPr="006158F0">
              <w:rPr>
                <w:rFonts w:cs="Arial"/>
              </w:rPr>
              <w:t>Scope 3 emissions to be reported as required</w:t>
            </w:r>
            <w:r w:rsidR="00C33B3A">
              <w:rPr>
                <w:rFonts w:cs="Arial"/>
              </w:rPr>
              <w:t>.</w:t>
            </w:r>
          </w:p>
          <w:p w14:paraId="5F103125" w14:textId="77777777" w:rsidR="00F67E9E" w:rsidRPr="006158F0" w:rsidRDefault="00F67E9E" w:rsidP="0052486C">
            <w:pPr>
              <w:pStyle w:val="StdBodyText"/>
              <w:spacing w:before="0" w:after="120"/>
              <w:rPr>
                <w:rFonts w:cs="Arial"/>
              </w:rPr>
            </w:pPr>
            <w:r w:rsidRPr="006158F0">
              <w:rPr>
                <w:rFonts w:cs="Arial"/>
              </w:rPr>
              <w:t xml:space="preserve">Emissions reporting should be in accordance with established best practice and internationally accepted standards. </w:t>
            </w:r>
          </w:p>
          <w:p w14:paraId="0B3A435E" w14:textId="5A56074B" w:rsidR="00F67E9E" w:rsidRPr="006158F0" w:rsidRDefault="00F67E9E" w:rsidP="0052486C">
            <w:pPr>
              <w:pStyle w:val="StdBodyText"/>
              <w:spacing w:before="0" w:after="0"/>
              <w:rPr>
                <w:rFonts w:cs="Arial"/>
              </w:rPr>
            </w:pPr>
            <w:r w:rsidRPr="006158F0">
              <w:rPr>
                <w:rFonts w:cs="Arial"/>
              </w:rPr>
              <w:t>Greenhouse gas reporting from emissions sources (Scope 1, Scope 2 and Scope 3), and specific activities as requested by the Authority. This may include activities such as transportation, energy use and waste disposal.</w:t>
            </w:r>
          </w:p>
        </w:tc>
        <w:tc>
          <w:tcPr>
            <w:tcW w:w="2551" w:type="dxa"/>
          </w:tcPr>
          <w:p w14:paraId="55372857" w14:textId="0D2F136E" w:rsidR="00F67E9E" w:rsidRPr="006158F0" w:rsidRDefault="00F67E9E" w:rsidP="0052486C">
            <w:pPr>
              <w:pStyle w:val="StdBodyText"/>
              <w:spacing w:before="0" w:after="0"/>
              <w:rPr>
                <w:rFonts w:cs="Arial"/>
              </w:rPr>
            </w:pPr>
            <w:r w:rsidRPr="006158F0">
              <w:rPr>
                <w:rFonts w:cs="Arial"/>
              </w:rPr>
              <w:t xml:space="preserve">On </w:t>
            </w:r>
            <w:r w:rsidR="0052486C" w:rsidRPr="006158F0">
              <w:rPr>
                <w:rFonts w:cs="Arial"/>
              </w:rPr>
              <w:t xml:space="preserve">each </w:t>
            </w:r>
            <w:r w:rsidRPr="006158F0">
              <w:rPr>
                <w:rFonts w:cs="Arial"/>
              </w:rPr>
              <w:t>anniversary of the Effective Date</w:t>
            </w:r>
          </w:p>
        </w:tc>
      </w:tr>
    </w:tbl>
    <w:p w14:paraId="2F841369" w14:textId="77777777" w:rsidR="00F67E9E" w:rsidRDefault="00F67E9E" w:rsidP="00F67E9E"/>
    <w:p w14:paraId="78E96EE5" w14:textId="77777777" w:rsidR="00F67E9E" w:rsidRDefault="00F67E9E" w:rsidP="00F67E9E"/>
    <w:p w14:paraId="2E503989" w14:textId="77777777" w:rsidR="00F67E9E" w:rsidRDefault="00F67E9E" w:rsidP="00F67E9E">
      <w:pPr>
        <w:sectPr w:rsidR="00F67E9E" w:rsidSect="00240D26">
          <w:headerReference w:type="default" r:id="rId44"/>
          <w:footerReference w:type="default" r:id="rId45"/>
          <w:headerReference w:type="first" r:id="rId46"/>
          <w:footerReference w:type="first" r:id="rId47"/>
          <w:pgSz w:w="11900" w:h="16840" w:code="9"/>
          <w:pgMar w:top="1701" w:right="851" w:bottom="1134" w:left="851" w:header="567" w:footer="567" w:gutter="0"/>
          <w:cols w:space="720"/>
          <w:docGrid w:linePitch="360"/>
        </w:sectPr>
      </w:pPr>
    </w:p>
    <w:p w14:paraId="56BBF770" w14:textId="77777777" w:rsidR="00F67E9E" w:rsidRPr="007C55B2" w:rsidRDefault="00F67E9E" w:rsidP="00F67E9E">
      <w:pPr>
        <w:pStyle w:val="Dividername"/>
      </w:pPr>
      <w:r w:rsidRPr="007C55B2">
        <w:lastRenderedPageBreak/>
        <w:t>Schedule 5</w:t>
      </w:r>
    </w:p>
    <w:p w14:paraId="04106626" w14:textId="77777777" w:rsidR="00F67E9E" w:rsidRPr="007C55B2" w:rsidRDefault="00F67E9E" w:rsidP="00F67E9E">
      <w:pPr>
        <w:pStyle w:val="Dividername"/>
      </w:pPr>
      <w:r w:rsidRPr="007C55B2">
        <w:t>Security Management</w:t>
      </w:r>
    </w:p>
    <w:p w14:paraId="042B66D9" w14:textId="77777777" w:rsidR="00F67E9E" w:rsidRDefault="00F67E9E" w:rsidP="00F67E9E"/>
    <w:p w14:paraId="1015384D" w14:textId="77777777" w:rsidR="00F67E9E" w:rsidRPr="005D0525" w:rsidRDefault="00F67E9E" w:rsidP="00F67E9E">
      <w:pPr>
        <w:pStyle w:val="Heading1"/>
      </w:pPr>
      <w:bookmarkStart w:id="388" w:name="Schedule5"/>
      <w:bookmarkStart w:id="389" w:name="_Ref92199339"/>
      <w:bookmarkStart w:id="390" w:name="_Toc145412744"/>
      <w:r w:rsidRPr="005D0525">
        <w:lastRenderedPageBreak/>
        <w:t>Schedule</w:t>
      </w:r>
      <w:r>
        <w:t> </w:t>
      </w:r>
      <w:r w:rsidRPr="005D0525">
        <w:t>5</w:t>
      </w:r>
      <w:bookmarkEnd w:id="388"/>
      <w:r>
        <w:t xml:space="preserve">: </w:t>
      </w:r>
      <w:bookmarkStart w:id="391" w:name="Schedule5Heading"/>
      <w:r w:rsidRPr="00F97284">
        <w:t>Security Management</w:t>
      </w:r>
      <w:bookmarkEnd w:id="389"/>
      <w:bookmarkEnd w:id="390"/>
      <w:bookmarkEnd w:id="391"/>
    </w:p>
    <w:p w14:paraId="21309DDA" w14:textId="77777777" w:rsidR="0029093D" w:rsidRPr="00D42BA3" w:rsidRDefault="0029093D" w:rsidP="00E1349E">
      <w:pPr>
        <w:pStyle w:val="Numbered1"/>
        <w:numPr>
          <w:ilvl w:val="0"/>
          <w:numId w:val="210"/>
        </w:numPr>
        <w:rPr>
          <w:rFonts w:asciiTheme="minorHAnsi" w:hAnsiTheme="minorHAnsi" w:cstheme="minorHAnsi"/>
          <w:szCs w:val="24"/>
        </w:rPr>
      </w:pPr>
      <w:r w:rsidRPr="00D42BA3">
        <w:rPr>
          <w:rFonts w:asciiTheme="minorHAnsi" w:hAnsiTheme="minorHAnsi" w:cstheme="minorHAnsi"/>
          <w:szCs w:val="24"/>
        </w:rPr>
        <w:t>Authority Options</w:t>
      </w:r>
    </w:p>
    <w:p w14:paraId="61247335" w14:textId="77777777" w:rsidR="0029093D" w:rsidRPr="00D42BA3" w:rsidRDefault="0029093D" w:rsidP="00E1349E">
      <w:pPr>
        <w:pStyle w:val="Body2"/>
        <w:numPr>
          <w:ilvl w:val="0"/>
          <w:numId w:val="209"/>
        </w:numPr>
        <w:spacing w:before="100" w:after="200" w:line="240" w:lineRule="auto"/>
        <w:rPr>
          <w:rFonts w:asciiTheme="minorHAnsi" w:hAnsiTheme="minorHAnsi" w:cstheme="minorHAnsi"/>
          <w:sz w:val="24"/>
          <w:szCs w:val="24"/>
        </w:rPr>
      </w:pPr>
      <w:r w:rsidRPr="00D42BA3">
        <w:rPr>
          <w:rFonts w:asciiTheme="minorHAnsi" w:hAnsiTheme="minorHAnsi" w:cstheme="minorHAnsi"/>
          <w:sz w:val="24"/>
          <w:szCs w:val="24"/>
        </w:rPr>
        <w:t>Where the Authority has selected an option in the table below, the Supplier must comply with the requirements relating to that option set out in the relevant paragraph:</w:t>
      </w:r>
    </w:p>
    <w:tbl>
      <w:tblPr>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3"/>
        <w:gridCol w:w="3555"/>
        <w:gridCol w:w="548"/>
      </w:tblGrid>
      <w:tr w:rsidR="0029093D" w:rsidRPr="00D42BA3" w14:paraId="07A3A216" w14:textId="77777777" w:rsidTr="0029093D">
        <w:tc>
          <w:tcPr>
            <w:tcW w:w="8296" w:type="dxa"/>
            <w:gridSpan w:val="3"/>
          </w:tcPr>
          <w:p w14:paraId="4E64AF3D" w14:textId="77777777" w:rsidR="0029093D" w:rsidRPr="00D42BA3" w:rsidRDefault="0029093D" w:rsidP="0029093D">
            <w:pPr>
              <w:rPr>
                <w:rFonts w:asciiTheme="minorHAnsi" w:hAnsiTheme="minorHAnsi" w:cstheme="minorHAnsi"/>
                <w:szCs w:val="24"/>
              </w:rPr>
            </w:pPr>
            <w:r w:rsidRPr="00D42BA3">
              <w:rPr>
                <w:rFonts w:asciiTheme="minorHAnsi" w:hAnsiTheme="minorHAnsi" w:cstheme="minorHAnsi"/>
                <w:szCs w:val="24"/>
              </w:rPr>
              <w:t>Locations (see paragraph 1 of the Security Requirements)</w:t>
            </w:r>
          </w:p>
        </w:tc>
      </w:tr>
      <w:tr w:rsidR="0029093D" w:rsidRPr="00D42BA3" w14:paraId="33747FD4" w14:textId="77777777" w:rsidTr="0029093D">
        <w:tc>
          <w:tcPr>
            <w:tcW w:w="4193" w:type="dxa"/>
            <w:vMerge w:val="restart"/>
          </w:tcPr>
          <w:p w14:paraId="2B8DE130"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The Supplier and Sub-contractors may store, access or Process Government Data in:</w:t>
            </w:r>
          </w:p>
        </w:tc>
        <w:tc>
          <w:tcPr>
            <w:tcW w:w="3555" w:type="dxa"/>
          </w:tcPr>
          <w:p w14:paraId="7D04B4F1"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the United Kingdom only</w:t>
            </w:r>
          </w:p>
        </w:tc>
        <w:tc>
          <w:tcPr>
            <w:tcW w:w="548" w:type="dxa"/>
            <w:vAlign w:val="center"/>
          </w:tcPr>
          <w:p w14:paraId="389E7ED5" w14:textId="77777777" w:rsidR="0029093D" w:rsidRPr="00D42BA3" w:rsidRDefault="0029093D" w:rsidP="0029093D">
            <w:pPr>
              <w:rPr>
                <w:rFonts w:asciiTheme="minorHAnsi" w:hAnsiTheme="minorHAnsi" w:cstheme="minorHAnsi"/>
                <w:b/>
                <w:szCs w:val="24"/>
              </w:rPr>
            </w:pPr>
            <w:r w:rsidRPr="00D42BA3">
              <w:rPr>
                <w:rFonts w:asciiTheme="minorHAnsi" w:eastAsia="MS Gothic" w:hAnsiTheme="minorHAnsi" w:cstheme="minorHAnsi"/>
                <w:szCs w:val="24"/>
              </w:rPr>
              <w:t>X</w:t>
            </w:r>
          </w:p>
        </w:tc>
      </w:tr>
      <w:tr w:rsidR="0029093D" w:rsidRPr="00D42BA3" w14:paraId="59FD9F54" w14:textId="77777777" w:rsidTr="0029093D">
        <w:tc>
          <w:tcPr>
            <w:tcW w:w="4193" w:type="dxa"/>
            <w:vMerge/>
          </w:tcPr>
          <w:p w14:paraId="1758C8AD" w14:textId="77777777" w:rsidR="0029093D" w:rsidRPr="00D42BA3" w:rsidRDefault="0029093D" w:rsidP="0029093D">
            <w:pPr>
              <w:rPr>
                <w:rFonts w:asciiTheme="minorHAnsi" w:hAnsiTheme="minorHAnsi" w:cstheme="minorHAnsi"/>
                <w:b/>
                <w:szCs w:val="24"/>
              </w:rPr>
            </w:pPr>
          </w:p>
        </w:tc>
        <w:tc>
          <w:tcPr>
            <w:tcW w:w="3555" w:type="dxa"/>
          </w:tcPr>
          <w:p w14:paraId="44175476"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the United Kingdom and European Economic Area only</w:t>
            </w:r>
          </w:p>
        </w:tc>
        <w:tc>
          <w:tcPr>
            <w:tcW w:w="548" w:type="dxa"/>
            <w:vAlign w:val="center"/>
          </w:tcPr>
          <w:p w14:paraId="4E1014DF" w14:textId="77777777" w:rsidR="0029093D" w:rsidRPr="00D42BA3" w:rsidRDefault="0029093D" w:rsidP="0029093D">
            <w:pPr>
              <w:rPr>
                <w:rFonts w:asciiTheme="minorHAnsi" w:hAnsiTheme="minorHAnsi" w:cstheme="minorHAnsi"/>
                <w:b/>
                <w:szCs w:val="24"/>
              </w:rPr>
            </w:pPr>
            <w:r w:rsidRPr="00D42BA3">
              <w:rPr>
                <w:rFonts w:ascii="Segoe UI Symbol" w:eastAsia="MS Gothic" w:hAnsi="Segoe UI Symbol" w:cs="Segoe UI Symbol"/>
                <w:szCs w:val="24"/>
              </w:rPr>
              <w:t>☐</w:t>
            </w:r>
          </w:p>
        </w:tc>
      </w:tr>
      <w:tr w:rsidR="0029093D" w:rsidRPr="00D42BA3" w14:paraId="5720013E" w14:textId="77777777" w:rsidTr="0029093D">
        <w:tc>
          <w:tcPr>
            <w:tcW w:w="4193" w:type="dxa"/>
            <w:vMerge/>
          </w:tcPr>
          <w:p w14:paraId="71D63E11" w14:textId="77777777" w:rsidR="0029093D" w:rsidRPr="00D42BA3" w:rsidRDefault="0029093D" w:rsidP="0029093D">
            <w:pPr>
              <w:rPr>
                <w:rFonts w:asciiTheme="minorHAnsi" w:hAnsiTheme="minorHAnsi" w:cstheme="minorHAnsi"/>
                <w:b/>
                <w:szCs w:val="24"/>
              </w:rPr>
            </w:pPr>
          </w:p>
        </w:tc>
        <w:tc>
          <w:tcPr>
            <w:tcW w:w="3555" w:type="dxa"/>
          </w:tcPr>
          <w:p w14:paraId="4318093D"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anywhere in the world not prohibited by the Buyer</w:t>
            </w:r>
          </w:p>
        </w:tc>
        <w:tc>
          <w:tcPr>
            <w:tcW w:w="548" w:type="dxa"/>
            <w:vAlign w:val="center"/>
          </w:tcPr>
          <w:p w14:paraId="0C2734C4" w14:textId="77777777" w:rsidR="0029093D" w:rsidRPr="00D42BA3" w:rsidRDefault="0029093D" w:rsidP="0029093D">
            <w:pPr>
              <w:rPr>
                <w:rFonts w:asciiTheme="minorHAnsi" w:hAnsiTheme="minorHAnsi" w:cstheme="minorHAnsi"/>
                <w:b/>
                <w:szCs w:val="24"/>
              </w:rPr>
            </w:pPr>
            <w:r w:rsidRPr="00D42BA3">
              <w:rPr>
                <w:rFonts w:ascii="Segoe UI Symbol" w:eastAsia="MS Gothic" w:hAnsi="Segoe UI Symbol" w:cs="Segoe UI Symbol"/>
                <w:szCs w:val="24"/>
              </w:rPr>
              <w:t>☐</w:t>
            </w:r>
          </w:p>
        </w:tc>
      </w:tr>
      <w:tr w:rsidR="0029093D" w:rsidRPr="00D42BA3" w14:paraId="05A60414" w14:textId="77777777" w:rsidTr="0029093D">
        <w:tc>
          <w:tcPr>
            <w:tcW w:w="8296" w:type="dxa"/>
            <w:gridSpan w:val="3"/>
          </w:tcPr>
          <w:p w14:paraId="01DC90A7" w14:textId="77777777" w:rsidR="0029093D" w:rsidRPr="00D42BA3" w:rsidRDefault="0029093D" w:rsidP="0029093D">
            <w:pPr>
              <w:rPr>
                <w:rFonts w:asciiTheme="minorHAnsi" w:hAnsiTheme="minorHAnsi" w:cstheme="minorHAnsi"/>
                <w:szCs w:val="24"/>
              </w:rPr>
            </w:pPr>
            <w:r w:rsidRPr="00D42BA3">
              <w:rPr>
                <w:rFonts w:asciiTheme="minorHAnsi" w:hAnsiTheme="minorHAnsi" w:cstheme="minorHAnsi"/>
                <w:szCs w:val="24"/>
              </w:rPr>
              <w:t>Support Locations (see paragraph 1 of the Security Requirements)</w:t>
            </w:r>
          </w:p>
        </w:tc>
      </w:tr>
      <w:tr w:rsidR="0029093D" w:rsidRPr="00D42BA3" w14:paraId="71DA7042" w14:textId="77777777" w:rsidTr="0029093D">
        <w:tc>
          <w:tcPr>
            <w:tcW w:w="4193" w:type="dxa"/>
            <w:vMerge w:val="restart"/>
          </w:tcPr>
          <w:p w14:paraId="4CF72997"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The Supplier and Subcontractors may operate Support Locations in:</w:t>
            </w:r>
          </w:p>
        </w:tc>
        <w:tc>
          <w:tcPr>
            <w:tcW w:w="3555" w:type="dxa"/>
          </w:tcPr>
          <w:p w14:paraId="41036AC6"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the United Kingdom only</w:t>
            </w:r>
          </w:p>
        </w:tc>
        <w:tc>
          <w:tcPr>
            <w:tcW w:w="548" w:type="dxa"/>
            <w:vAlign w:val="center"/>
          </w:tcPr>
          <w:p w14:paraId="3B24122F" w14:textId="77777777" w:rsidR="0029093D" w:rsidRPr="00D42BA3" w:rsidRDefault="0029093D" w:rsidP="0029093D">
            <w:pPr>
              <w:rPr>
                <w:rFonts w:asciiTheme="minorHAnsi" w:hAnsiTheme="minorHAnsi" w:cstheme="minorHAnsi"/>
                <w:b/>
                <w:szCs w:val="24"/>
              </w:rPr>
            </w:pPr>
            <w:r w:rsidRPr="00D42BA3">
              <w:rPr>
                <w:rFonts w:asciiTheme="minorHAnsi" w:eastAsia="MS Gothic" w:hAnsiTheme="minorHAnsi" w:cstheme="minorHAnsi"/>
                <w:szCs w:val="24"/>
              </w:rPr>
              <w:t>X</w:t>
            </w:r>
          </w:p>
        </w:tc>
      </w:tr>
      <w:tr w:rsidR="0029093D" w:rsidRPr="00D42BA3" w14:paraId="2FD82661" w14:textId="77777777" w:rsidTr="0029093D">
        <w:tc>
          <w:tcPr>
            <w:tcW w:w="4193" w:type="dxa"/>
            <w:vMerge/>
          </w:tcPr>
          <w:p w14:paraId="6411965A" w14:textId="77777777" w:rsidR="0029093D" w:rsidRPr="00D42BA3" w:rsidRDefault="0029093D" w:rsidP="0029093D">
            <w:pPr>
              <w:rPr>
                <w:rFonts w:asciiTheme="minorHAnsi" w:hAnsiTheme="minorHAnsi" w:cstheme="minorHAnsi"/>
                <w:b/>
                <w:szCs w:val="24"/>
              </w:rPr>
            </w:pPr>
          </w:p>
        </w:tc>
        <w:tc>
          <w:tcPr>
            <w:tcW w:w="3555" w:type="dxa"/>
          </w:tcPr>
          <w:p w14:paraId="11C1D6A3"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the United Kingdom and European Economic Area only</w:t>
            </w:r>
          </w:p>
        </w:tc>
        <w:tc>
          <w:tcPr>
            <w:tcW w:w="548" w:type="dxa"/>
            <w:vAlign w:val="center"/>
          </w:tcPr>
          <w:p w14:paraId="5453D9D2" w14:textId="77777777" w:rsidR="0029093D" w:rsidRPr="00D42BA3" w:rsidRDefault="0029093D" w:rsidP="0029093D">
            <w:pPr>
              <w:rPr>
                <w:rFonts w:asciiTheme="minorHAnsi" w:hAnsiTheme="minorHAnsi" w:cstheme="minorHAnsi"/>
                <w:b/>
                <w:szCs w:val="24"/>
              </w:rPr>
            </w:pPr>
            <w:r w:rsidRPr="00D42BA3">
              <w:rPr>
                <w:rFonts w:ascii="Segoe UI Symbol" w:eastAsia="MS Gothic" w:hAnsi="Segoe UI Symbol" w:cs="Segoe UI Symbol"/>
                <w:szCs w:val="24"/>
              </w:rPr>
              <w:t>☐</w:t>
            </w:r>
          </w:p>
        </w:tc>
      </w:tr>
      <w:tr w:rsidR="0029093D" w:rsidRPr="00D42BA3" w14:paraId="71E21DF3" w14:textId="77777777" w:rsidTr="0029093D">
        <w:tc>
          <w:tcPr>
            <w:tcW w:w="4193" w:type="dxa"/>
            <w:vMerge/>
          </w:tcPr>
          <w:p w14:paraId="12452FF5" w14:textId="77777777" w:rsidR="0029093D" w:rsidRPr="00D42BA3" w:rsidRDefault="0029093D" w:rsidP="0029093D">
            <w:pPr>
              <w:rPr>
                <w:rFonts w:asciiTheme="minorHAnsi" w:hAnsiTheme="minorHAnsi" w:cstheme="minorHAnsi"/>
                <w:b/>
                <w:szCs w:val="24"/>
              </w:rPr>
            </w:pPr>
          </w:p>
        </w:tc>
        <w:tc>
          <w:tcPr>
            <w:tcW w:w="3555" w:type="dxa"/>
          </w:tcPr>
          <w:p w14:paraId="034D7FE2"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anywhere in the world not prohibited by the Buyer</w:t>
            </w:r>
          </w:p>
        </w:tc>
        <w:tc>
          <w:tcPr>
            <w:tcW w:w="548" w:type="dxa"/>
            <w:vAlign w:val="center"/>
          </w:tcPr>
          <w:p w14:paraId="4F2FA537" w14:textId="77777777" w:rsidR="0029093D" w:rsidRPr="00D42BA3" w:rsidRDefault="0029093D" w:rsidP="0029093D">
            <w:pPr>
              <w:rPr>
                <w:rFonts w:asciiTheme="minorHAnsi" w:hAnsiTheme="minorHAnsi" w:cstheme="minorHAnsi"/>
                <w:b/>
                <w:szCs w:val="24"/>
              </w:rPr>
            </w:pPr>
            <w:r w:rsidRPr="00D42BA3">
              <w:rPr>
                <w:rFonts w:ascii="Segoe UI Symbol" w:eastAsia="MS Gothic" w:hAnsi="Segoe UI Symbol" w:cs="Segoe UI Symbol"/>
                <w:szCs w:val="24"/>
              </w:rPr>
              <w:t>☐</w:t>
            </w:r>
          </w:p>
        </w:tc>
      </w:tr>
      <w:tr w:rsidR="0029093D" w:rsidRPr="00D42BA3" w14:paraId="4C81A14C" w14:textId="77777777" w:rsidTr="0029093D">
        <w:tc>
          <w:tcPr>
            <w:tcW w:w="8296" w:type="dxa"/>
            <w:gridSpan w:val="3"/>
          </w:tcPr>
          <w:p w14:paraId="0AA3E47F" w14:textId="77777777" w:rsidR="0029093D" w:rsidRPr="00D42BA3" w:rsidRDefault="0029093D" w:rsidP="0029093D">
            <w:pPr>
              <w:rPr>
                <w:rFonts w:asciiTheme="minorHAnsi" w:hAnsiTheme="minorHAnsi" w:cstheme="minorHAnsi"/>
                <w:szCs w:val="24"/>
              </w:rPr>
            </w:pPr>
            <w:r w:rsidRPr="00D42BA3">
              <w:rPr>
                <w:rFonts w:asciiTheme="minorHAnsi" w:hAnsiTheme="minorHAnsi" w:cstheme="minorHAnsi"/>
                <w:szCs w:val="24"/>
              </w:rPr>
              <w:t>Development Activity (see Appendix 2)</w:t>
            </w:r>
          </w:p>
        </w:tc>
      </w:tr>
      <w:tr w:rsidR="0029093D" w:rsidRPr="00D42BA3" w14:paraId="51A8A185" w14:textId="77777777" w:rsidTr="0029093D">
        <w:tc>
          <w:tcPr>
            <w:tcW w:w="7748" w:type="dxa"/>
            <w:gridSpan w:val="2"/>
          </w:tcPr>
          <w:p w14:paraId="2415AD30"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The Authority requires the Supplier to undertake Development Activity under this Contract and, as a consequence, Appendix 2 applies</w:t>
            </w:r>
          </w:p>
        </w:tc>
        <w:tc>
          <w:tcPr>
            <w:tcW w:w="548" w:type="dxa"/>
            <w:vAlign w:val="center"/>
          </w:tcPr>
          <w:p w14:paraId="6EA1D656"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x</w:t>
            </w:r>
          </w:p>
        </w:tc>
      </w:tr>
      <w:tr w:rsidR="0029093D" w:rsidRPr="00D42BA3" w14:paraId="18DBC308" w14:textId="77777777" w:rsidTr="0029093D">
        <w:tc>
          <w:tcPr>
            <w:tcW w:w="7748" w:type="dxa"/>
            <w:gridSpan w:val="2"/>
          </w:tcPr>
          <w:p w14:paraId="4D4943F5" w14:textId="77777777" w:rsidR="0029093D" w:rsidRPr="00D42BA3" w:rsidRDefault="0029093D" w:rsidP="0029093D">
            <w:pPr>
              <w:rPr>
                <w:rFonts w:asciiTheme="minorHAnsi" w:hAnsiTheme="minorHAnsi" w:cstheme="minorHAnsi"/>
                <w:szCs w:val="24"/>
              </w:rPr>
            </w:pPr>
            <w:r w:rsidRPr="00D42BA3">
              <w:rPr>
                <w:rFonts w:asciiTheme="minorHAnsi" w:hAnsiTheme="minorHAnsi" w:cstheme="minorHAnsi"/>
                <w:szCs w:val="24"/>
              </w:rPr>
              <w:t>Locations for Development Activity (applies only if the option relating to Development Activities is selected; see paragraph 1 of the Security Requirements)</w:t>
            </w:r>
          </w:p>
        </w:tc>
        <w:tc>
          <w:tcPr>
            <w:tcW w:w="548" w:type="dxa"/>
            <w:vAlign w:val="center"/>
          </w:tcPr>
          <w:p w14:paraId="0EC0E347"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x</w:t>
            </w:r>
          </w:p>
        </w:tc>
      </w:tr>
      <w:tr w:rsidR="0029093D" w:rsidRPr="00D42BA3" w14:paraId="5CA746AE" w14:textId="77777777" w:rsidTr="0029093D">
        <w:tc>
          <w:tcPr>
            <w:tcW w:w="4193" w:type="dxa"/>
          </w:tcPr>
          <w:p w14:paraId="41D5D223"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The Supplier and Subcontractors may undertake Development Activity in:</w:t>
            </w:r>
          </w:p>
        </w:tc>
        <w:tc>
          <w:tcPr>
            <w:tcW w:w="3555" w:type="dxa"/>
          </w:tcPr>
          <w:p w14:paraId="42EB6673" w14:textId="7D6BECBA" w:rsidR="0029093D" w:rsidRPr="00D42BA3" w:rsidRDefault="0029093D" w:rsidP="00F92244">
            <w:pPr>
              <w:rPr>
                <w:rFonts w:asciiTheme="minorHAnsi" w:hAnsiTheme="minorHAnsi" w:cstheme="minorHAnsi"/>
                <w:b/>
                <w:szCs w:val="24"/>
              </w:rPr>
            </w:pPr>
            <w:r w:rsidRPr="00D42BA3">
              <w:rPr>
                <w:rFonts w:asciiTheme="minorHAnsi" w:hAnsiTheme="minorHAnsi" w:cstheme="minorHAnsi"/>
                <w:szCs w:val="24"/>
              </w:rPr>
              <w:t>the United Kingdom only</w:t>
            </w:r>
            <w:r w:rsidR="00412EE9">
              <w:rPr>
                <w:rFonts w:asciiTheme="minorHAnsi" w:hAnsiTheme="minorHAnsi" w:cstheme="minorHAnsi"/>
                <w:szCs w:val="24"/>
              </w:rPr>
              <w:t xml:space="preserve"> (</w:t>
            </w:r>
            <w:r w:rsidR="002267D4">
              <w:rPr>
                <w:rFonts w:asciiTheme="minorHAnsi" w:hAnsiTheme="minorHAnsi" w:cstheme="minorHAnsi"/>
                <w:szCs w:val="24"/>
              </w:rPr>
              <w:t xml:space="preserve">if and to </w:t>
            </w:r>
            <w:r w:rsidR="00412EE9">
              <w:rPr>
                <w:rFonts w:asciiTheme="minorHAnsi" w:hAnsiTheme="minorHAnsi" w:cstheme="minorHAnsi"/>
                <w:szCs w:val="24"/>
              </w:rPr>
              <w:t xml:space="preserve">the extent such Development Activity involves </w:t>
            </w:r>
            <w:r w:rsidR="0061120F">
              <w:rPr>
                <w:rFonts w:asciiTheme="minorHAnsi" w:hAnsiTheme="minorHAnsi" w:cstheme="minorHAnsi"/>
                <w:szCs w:val="24"/>
              </w:rPr>
              <w:t xml:space="preserve">the Supplier and/or its Subcontractors having </w:t>
            </w:r>
            <w:r w:rsidR="00412EE9">
              <w:rPr>
                <w:rFonts w:asciiTheme="minorHAnsi" w:hAnsiTheme="minorHAnsi" w:cstheme="minorHAnsi"/>
                <w:szCs w:val="24"/>
              </w:rPr>
              <w:t xml:space="preserve">access </w:t>
            </w:r>
            <w:r w:rsidR="0061120F">
              <w:rPr>
                <w:rFonts w:asciiTheme="minorHAnsi" w:hAnsiTheme="minorHAnsi" w:cstheme="minorHAnsi"/>
                <w:szCs w:val="24"/>
              </w:rPr>
              <w:t>to and/or processing</w:t>
            </w:r>
            <w:r w:rsidR="00412EE9">
              <w:rPr>
                <w:rFonts w:asciiTheme="minorHAnsi" w:hAnsiTheme="minorHAnsi" w:cstheme="minorHAnsi"/>
                <w:szCs w:val="24"/>
              </w:rPr>
              <w:t xml:space="preserve"> any Personal Data</w:t>
            </w:r>
            <w:r w:rsidR="00F92244">
              <w:rPr>
                <w:rFonts w:asciiTheme="minorHAnsi" w:hAnsiTheme="minorHAnsi" w:cstheme="minorHAnsi"/>
                <w:szCs w:val="24"/>
              </w:rPr>
              <w:t xml:space="preserve"> in respect of which the Authority and/or any Platform Customer is the Controller</w:t>
            </w:r>
            <w:r w:rsidR="004A2991">
              <w:rPr>
                <w:rFonts w:asciiTheme="minorHAnsi" w:hAnsiTheme="minorHAnsi" w:cstheme="minorHAnsi"/>
                <w:szCs w:val="24"/>
              </w:rPr>
              <w:t>)</w:t>
            </w:r>
          </w:p>
        </w:tc>
        <w:tc>
          <w:tcPr>
            <w:tcW w:w="548" w:type="dxa"/>
            <w:vAlign w:val="center"/>
          </w:tcPr>
          <w:p w14:paraId="5BC62C88" w14:textId="77777777" w:rsidR="0029093D" w:rsidRPr="00D42BA3" w:rsidRDefault="0029093D" w:rsidP="0029093D">
            <w:pPr>
              <w:rPr>
                <w:rFonts w:asciiTheme="minorHAnsi" w:hAnsiTheme="minorHAnsi" w:cstheme="minorHAnsi"/>
                <w:b/>
                <w:szCs w:val="24"/>
              </w:rPr>
            </w:pPr>
            <w:r w:rsidRPr="00D42BA3">
              <w:rPr>
                <w:rFonts w:asciiTheme="minorHAnsi" w:eastAsia="MS Gothic" w:hAnsiTheme="minorHAnsi" w:cstheme="minorHAnsi"/>
                <w:szCs w:val="24"/>
              </w:rPr>
              <w:t>X</w:t>
            </w:r>
          </w:p>
        </w:tc>
      </w:tr>
      <w:tr w:rsidR="0029093D" w:rsidRPr="00D42BA3" w14:paraId="50E01025" w14:textId="77777777" w:rsidTr="0029093D">
        <w:tc>
          <w:tcPr>
            <w:tcW w:w="4193" w:type="dxa"/>
          </w:tcPr>
          <w:p w14:paraId="184F62EC" w14:textId="77777777" w:rsidR="0029093D" w:rsidRPr="00D42BA3" w:rsidRDefault="0029093D" w:rsidP="0029093D">
            <w:pPr>
              <w:rPr>
                <w:rFonts w:asciiTheme="minorHAnsi" w:hAnsiTheme="minorHAnsi" w:cstheme="minorHAnsi"/>
                <w:b/>
                <w:szCs w:val="24"/>
              </w:rPr>
            </w:pPr>
          </w:p>
        </w:tc>
        <w:tc>
          <w:tcPr>
            <w:tcW w:w="3555" w:type="dxa"/>
          </w:tcPr>
          <w:p w14:paraId="3892A5D1" w14:textId="77777777" w:rsidR="0029093D" w:rsidRPr="00D42BA3" w:rsidRDefault="0029093D" w:rsidP="0029093D">
            <w:pPr>
              <w:rPr>
                <w:rFonts w:asciiTheme="minorHAnsi" w:hAnsiTheme="minorHAnsi" w:cstheme="minorHAnsi"/>
                <w:b/>
                <w:szCs w:val="24"/>
              </w:rPr>
            </w:pPr>
            <w:r w:rsidRPr="00D42BA3">
              <w:rPr>
                <w:rFonts w:asciiTheme="minorHAnsi" w:hAnsiTheme="minorHAnsi" w:cstheme="minorHAnsi"/>
                <w:szCs w:val="24"/>
              </w:rPr>
              <w:t>the United Kingdom and European Economic Area only</w:t>
            </w:r>
          </w:p>
        </w:tc>
        <w:tc>
          <w:tcPr>
            <w:tcW w:w="548" w:type="dxa"/>
            <w:vAlign w:val="center"/>
          </w:tcPr>
          <w:p w14:paraId="6CF01199" w14:textId="77777777" w:rsidR="0029093D" w:rsidRPr="00D42BA3" w:rsidRDefault="0029093D" w:rsidP="0029093D">
            <w:pPr>
              <w:rPr>
                <w:rFonts w:asciiTheme="minorHAnsi" w:hAnsiTheme="minorHAnsi" w:cstheme="minorHAnsi"/>
                <w:b/>
                <w:szCs w:val="24"/>
              </w:rPr>
            </w:pPr>
            <w:r w:rsidRPr="00D42BA3">
              <w:rPr>
                <w:rFonts w:ascii="Segoe UI Symbol" w:eastAsia="MS Gothic" w:hAnsi="Segoe UI Symbol" w:cs="Segoe UI Symbol"/>
                <w:szCs w:val="24"/>
              </w:rPr>
              <w:t>☐</w:t>
            </w:r>
          </w:p>
        </w:tc>
      </w:tr>
      <w:tr w:rsidR="0029093D" w:rsidRPr="00D42BA3" w14:paraId="3DC5E59A" w14:textId="77777777" w:rsidTr="0029093D">
        <w:tc>
          <w:tcPr>
            <w:tcW w:w="4193" w:type="dxa"/>
          </w:tcPr>
          <w:p w14:paraId="3ED83522" w14:textId="77777777" w:rsidR="0029093D" w:rsidRPr="00D42BA3" w:rsidRDefault="0029093D" w:rsidP="0029093D">
            <w:pPr>
              <w:rPr>
                <w:rFonts w:asciiTheme="minorHAnsi" w:hAnsiTheme="minorHAnsi" w:cstheme="minorHAnsi"/>
                <w:b/>
                <w:szCs w:val="24"/>
              </w:rPr>
            </w:pPr>
          </w:p>
        </w:tc>
        <w:tc>
          <w:tcPr>
            <w:tcW w:w="3555" w:type="dxa"/>
          </w:tcPr>
          <w:p w14:paraId="077B1D17" w14:textId="4482EDB1" w:rsidR="0029093D" w:rsidRPr="00D42BA3" w:rsidRDefault="0029093D" w:rsidP="0061120F">
            <w:pPr>
              <w:rPr>
                <w:rFonts w:asciiTheme="minorHAnsi" w:hAnsiTheme="minorHAnsi" w:cstheme="minorHAnsi"/>
                <w:b/>
                <w:szCs w:val="24"/>
              </w:rPr>
            </w:pPr>
            <w:r w:rsidRPr="00D42BA3">
              <w:rPr>
                <w:rFonts w:asciiTheme="minorHAnsi" w:hAnsiTheme="minorHAnsi" w:cstheme="minorHAnsi"/>
                <w:szCs w:val="24"/>
              </w:rPr>
              <w:t>anywhere in the world not prohibited by the Buyer</w:t>
            </w:r>
            <w:r w:rsidR="002267D4">
              <w:rPr>
                <w:rFonts w:asciiTheme="minorHAnsi" w:hAnsiTheme="minorHAnsi" w:cstheme="minorHAnsi"/>
                <w:szCs w:val="24"/>
              </w:rPr>
              <w:t>,</w:t>
            </w:r>
            <w:r w:rsidR="00412EE9">
              <w:rPr>
                <w:rFonts w:asciiTheme="minorHAnsi" w:hAnsiTheme="minorHAnsi" w:cstheme="minorHAnsi"/>
                <w:szCs w:val="24"/>
              </w:rPr>
              <w:t xml:space="preserve"> </w:t>
            </w:r>
            <w:r w:rsidR="002267D4">
              <w:rPr>
                <w:rFonts w:asciiTheme="minorHAnsi" w:hAnsiTheme="minorHAnsi" w:cstheme="minorHAnsi"/>
                <w:szCs w:val="24"/>
              </w:rPr>
              <w:t>as long as the</w:t>
            </w:r>
            <w:r w:rsidR="00412EE9">
              <w:rPr>
                <w:rFonts w:asciiTheme="minorHAnsi" w:hAnsiTheme="minorHAnsi" w:cstheme="minorHAnsi"/>
                <w:szCs w:val="24"/>
              </w:rPr>
              <w:t xml:space="preserve"> Development Activity does not involve</w:t>
            </w:r>
            <w:r w:rsidR="0061120F">
              <w:rPr>
                <w:rFonts w:asciiTheme="minorHAnsi" w:hAnsiTheme="minorHAnsi" w:cstheme="minorHAnsi"/>
                <w:szCs w:val="24"/>
              </w:rPr>
              <w:t xml:space="preserve"> the Supplier and/or its Subcontractors having access to and/or processing</w:t>
            </w:r>
            <w:r w:rsidR="00412EE9">
              <w:rPr>
                <w:rFonts w:asciiTheme="minorHAnsi" w:hAnsiTheme="minorHAnsi" w:cstheme="minorHAnsi"/>
                <w:szCs w:val="24"/>
              </w:rPr>
              <w:t xml:space="preserve"> any Personal Data</w:t>
            </w:r>
            <w:r w:rsidR="00F92244">
              <w:rPr>
                <w:rFonts w:asciiTheme="minorHAnsi" w:hAnsiTheme="minorHAnsi" w:cstheme="minorHAnsi"/>
                <w:szCs w:val="24"/>
              </w:rPr>
              <w:t xml:space="preserve"> in respect of which the Authority and/or any </w:t>
            </w:r>
            <w:r w:rsidR="00F92244">
              <w:rPr>
                <w:rFonts w:asciiTheme="minorHAnsi" w:hAnsiTheme="minorHAnsi" w:cstheme="minorHAnsi"/>
                <w:szCs w:val="24"/>
              </w:rPr>
              <w:lastRenderedPageBreak/>
              <w:t>Platform Customer is the Controller)</w:t>
            </w:r>
          </w:p>
        </w:tc>
        <w:tc>
          <w:tcPr>
            <w:tcW w:w="548" w:type="dxa"/>
            <w:vAlign w:val="center"/>
          </w:tcPr>
          <w:p w14:paraId="1917B6A0" w14:textId="5053D915" w:rsidR="0029093D" w:rsidRPr="00D42BA3" w:rsidRDefault="00412EE9" w:rsidP="0029093D">
            <w:pPr>
              <w:rPr>
                <w:rFonts w:asciiTheme="minorHAnsi" w:hAnsiTheme="minorHAnsi" w:cstheme="minorHAnsi"/>
                <w:b/>
                <w:szCs w:val="24"/>
              </w:rPr>
            </w:pPr>
            <w:r w:rsidRPr="00D42BA3">
              <w:rPr>
                <w:rFonts w:asciiTheme="minorHAnsi" w:eastAsia="MS Gothic" w:hAnsiTheme="minorHAnsi" w:cstheme="minorHAnsi"/>
                <w:szCs w:val="24"/>
              </w:rPr>
              <w:lastRenderedPageBreak/>
              <w:t>X</w:t>
            </w:r>
          </w:p>
        </w:tc>
      </w:tr>
    </w:tbl>
    <w:p w14:paraId="6C0617BD" w14:textId="4EEEB7FF" w:rsidR="0029093D" w:rsidRDefault="0029093D" w:rsidP="0029093D">
      <w:pPr>
        <w:pStyle w:val="Numbered1"/>
        <w:rPr>
          <w:rFonts w:asciiTheme="minorHAnsi" w:hAnsiTheme="minorHAnsi" w:cstheme="minorHAnsi"/>
          <w:szCs w:val="24"/>
        </w:rPr>
      </w:pPr>
      <w:r w:rsidRPr="00D42BA3">
        <w:rPr>
          <w:rFonts w:asciiTheme="minorHAnsi" w:hAnsiTheme="minorHAnsi" w:cstheme="minorHAnsi"/>
          <w:szCs w:val="24"/>
        </w:rPr>
        <w:t>Definitions</w:t>
      </w:r>
    </w:p>
    <w:p w14:paraId="37159165" w14:textId="583309FC" w:rsidR="00E54F94" w:rsidRPr="00E54F94" w:rsidRDefault="00E54F94" w:rsidP="00E54F94">
      <w:pPr>
        <w:pStyle w:val="Normal1"/>
        <w:ind w:left="720"/>
        <w:rPr>
          <w:rFonts w:asciiTheme="minorHAnsi" w:hAnsiTheme="minorHAnsi" w:cstheme="minorHAnsi"/>
        </w:rPr>
      </w:pPr>
      <w:r w:rsidRPr="00E54F94">
        <w:rPr>
          <w:rFonts w:asciiTheme="minorHAnsi" w:hAnsiTheme="minorHAnsi" w:cstheme="minorHAnsi"/>
        </w:rPr>
        <w:t>The following definitions given to terms in this Schedule 5 (Security Management) will supersede the definitions in Schedule 1 (Definitions and Interpretation) for the purposes of Schedule 5 (Security Management) only:</w:t>
      </w:r>
    </w:p>
    <w:tbl>
      <w:tblPr>
        <w:tblW w:w="8386" w:type="dxa"/>
        <w:tblInd w:w="630" w:type="dxa"/>
        <w:tblLayout w:type="fixed"/>
        <w:tblLook w:val="0400" w:firstRow="0" w:lastRow="0" w:firstColumn="0" w:lastColumn="0" w:noHBand="0" w:noVBand="1"/>
      </w:tblPr>
      <w:tblGrid>
        <w:gridCol w:w="2245"/>
        <w:gridCol w:w="6141"/>
      </w:tblGrid>
      <w:tr w:rsidR="0029093D" w:rsidRPr="00D42BA3" w14:paraId="20A257D7" w14:textId="77777777" w:rsidTr="0029093D">
        <w:tc>
          <w:tcPr>
            <w:tcW w:w="2245" w:type="dxa"/>
          </w:tcPr>
          <w:p w14:paraId="40C9A2D9" w14:textId="77777777" w:rsidR="0029093D" w:rsidRPr="00E54F94" w:rsidRDefault="0029093D" w:rsidP="00D42BA3">
            <w:pPr>
              <w:spacing w:before="100" w:after="200"/>
              <w:rPr>
                <w:rFonts w:asciiTheme="minorHAnsi" w:hAnsiTheme="minorHAnsi" w:cstheme="minorHAnsi"/>
                <w:b/>
                <w:szCs w:val="24"/>
              </w:rPr>
            </w:pPr>
            <w:r w:rsidRPr="00E54F94">
              <w:rPr>
                <w:rFonts w:asciiTheme="minorHAnsi" w:hAnsiTheme="minorHAnsi" w:cstheme="minorHAnsi"/>
                <w:b/>
                <w:szCs w:val="24"/>
              </w:rPr>
              <w:t>Anti-virus Software</w:t>
            </w:r>
          </w:p>
        </w:tc>
        <w:tc>
          <w:tcPr>
            <w:tcW w:w="6141" w:type="dxa"/>
          </w:tcPr>
          <w:p w14:paraId="12793BF9" w14:textId="77777777" w:rsidR="0029093D" w:rsidRPr="00D42BA3" w:rsidRDefault="0029093D" w:rsidP="00D42BA3">
            <w:pPr>
              <w:spacing w:before="100" w:after="200"/>
              <w:rPr>
                <w:rFonts w:asciiTheme="minorHAnsi" w:hAnsiTheme="minorHAnsi" w:cstheme="minorHAnsi"/>
                <w:b/>
                <w:szCs w:val="24"/>
              </w:rPr>
            </w:pPr>
            <w:r w:rsidRPr="00D42BA3">
              <w:rPr>
                <w:rFonts w:asciiTheme="minorHAnsi" w:hAnsiTheme="minorHAnsi" w:cstheme="minorHAnsi"/>
                <w:szCs w:val="24"/>
              </w:rPr>
              <w:t>means software that:</w:t>
            </w:r>
          </w:p>
          <w:p w14:paraId="4FFE6A77" w14:textId="77777777" w:rsidR="0029093D" w:rsidRPr="00D42BA3" w:rsidRDefault="0029093D" w:rsidP="00E1349E">
            <w:pPr>
              <w:pStyle w:val="DefinitionList"/>
              <w:numPr>
                <w:ilvl w:val="0"/>
                <w:numId w:val="211"/>
              </w:numPr>
              <w:tabs>
                <w:tab w:val="clear" w:pos="720"/>
                <w:tab w:val="num" w:pos="861"/>
              </w:tabs>
              <w:rPr>
                <w:rFonts w:asciiTheme="minorHAnsi" w:hAnsiTheme="minorHAnsi" w:cstheme="minorHAnsi"/>
                <w:b/>
              </w:rPr>
            </w:pPr>
            <w:r w:rsidRPr="00D42BA3">
              <w:rPr>
                <w:rFonts w:asciiTheme="minorHAnsi" w:eastAsia="Arial" w:hAnsiTheme="minorHAnsi" w:cstheme="minorHAnsi"/>
              </w:rPr>
              <w:t>the Supplier Information Management System from the possible introduction of Malicious Software;</w:t>
            </w:r>
          </w:p>
          <w:p w14:paraId="6E473B1B" w14:textId="77777777" w:rsidR="0029093D" w:rsidRPr="00D42BA3" w:rsidRDefault="0029093D" w:rsidP="00F13933">
            <w:pPr>
              <w:pStyle w:val="DefinitionList"/>
              <w:numPr>
                <w:ilvl w:val="0"/>
                <w:numId w:val="66"/>
              </w:numPr>
              <w:tabs>
                <w:tab w:val="clear" w:pos="720"/>
                <w:tab w:val="num" w:pos="861"/>
              </w:tabs>
              <w:ind w:left="861"/>
              <w:rPr>
                <w:rFonts w:asciiTheme="minorHAnsi" w:hAnsiTheme="minorHAnsi" w:cstheme="minorHAnsi"/>
                <w:b/>
              </w:rPr>
            </w:pPr>
            <w:r w:rsidRPr="00D42BA3">
              <w:rPr>
                <w:rFonts w:asciiTheme="minorHAnsi" w:eastAsia="Arial" w:hAnsiTheme="minorHAnsi" w:cstheme="minorHAnsi"/>
              </w:rPr>
              <w:t>scans for and identifies possible Malicious Software in the Supplier Information Management System;</w:t>
            </w:r>
          </w:p>
          <w:p w14:paraId="3DB37FE2" w14:textId="77777777" w:rsidR="0029093D" w:rsidRPr="00D42BA3" w:rsidRDefault="0029093D" w:rsidP="00F13933">
            <w:pPr>
              <w:pStyle w:val="DefinitionList"/>
              <w:numPr>
                <w:ilvl w:val="0"/>
                <w:numId w:val="66"/>
              </w:numPr>
              <w:tabs>
                <w:tab w:val="clear" w:pos="720"/>
                <w:tab w:val="num" w:pos="861"/>
              </w:tabs>
              <w:ind w:left="861"/>
              <w:rPr>
                <w:rFonts w:asciiTheme="minorHAnsi" w:hAnsiTheme="minorHAnsi" w:cstheme="minorHAnsi"/>
                <w:b/>
              </w:rPr>
            </w:pPr>
            <w:r w:rsidRPr="00D42BA3">
              <w:rPr>
                <w:rFonts w:asciiTheme="minorHAnsi" w:eastAsia="Arial" w:hAnsiTheme="minorHAnsi" w:cstheme="minorHAnsi"/>
              </w:rPr>
              <w:t>if Malicious Software is detected in the Supplier Information Management System, so far as possible:</w:t>
            </w:r>
          </w:p>
          <w:p w14:paraId="2A3DCB5B" w14:textId="77777777" w:rsidR="0029093D" w:rsidRPr="00D42BA3" w:rsidRDefault="0029093D" w:rsidP="00F13933">
            <w:pPr>
              <w:pStyle w:val="DefinitionListLevel1"/>
              <w:numPr>
                <w:ilvl w:val="1"/>
                <w:numId w:val="66"/>
              </w:numPr>
              <w:rPr>
                <w:rFonts w:asciiTheme="minorHAnsi" w:eastAsia="Arial" w:hAnsiTheme="minorHAnsi" w:cstheme="minorHAnsi"/>
                <w:b/>
              </w:rPr>
            </w:pPr>
            <w:r w:rsidRPr="00D42BA3">
              <w:rPr>
                <w:rFonts w:asciiTheme="minorHAnsi" w:eastAsia="Arial" w:hAnsiTheme="minorHAnsi" w:cstheme="minorHAnsi"/>
              </w:rPr>
              <w:t>prevents the harmful effects of the Malicious Software; and</w:t>
            </w:r>
          </w:p>
          <w:p w14:paraId="1FAF3C20" w14:textId="77777777" w:rsidR="0029093D" w:rsidRPr="00D42BA3" w:rsidRDefault="0029093D" w:rsidP="00F13933">
            <w:pPr>
              <w:pStyle w:val="DefinitionListLevel1"/>
              <w:numPr>
                <w:ilvl w:val="1"/>
                <w:numId w:val="66"/>
              </w:numPr>
              <w:rPr>
                <w:rFonts w:asciiTheme="minorHAnsi" w:hAnsiTheme="minorHAnsi" w:cstheme="minorHAnsi"/>
              </w:rPr>
            </w:pPr>
            <w:r w:rsidRPr="00D42BA3">
              <w:rPr>
                <w:rFonts w:asciiTheme="minorHAnsi" w:eastAsia="Arial" w:hAnsiTheme="minorHAnsi" w:cstheme="minorHAnsi"/>
              </w:rPr>
              <w:t>removes the Malicious Software from the Supplier Information Management System.</w:t>
            </w:r>
          </w:p>
        </w:tc>
      </w:tr>
      <w:tr w:rsidR="00673249" w:rsidRPr="00577CA4" w14:paraId="225439BB" w14:textId="77777777" w:rsidTr="0029093D">
        <w:tc>
          <w:tcPr>
            <w:tcW w:w="2245" w:type="dxa"/>
          </w:tcPr>
          <w:p w14:paraId="46376729" w14:textId="1F323A65" w:rsidR="00673249" w:rsidRPr="00E54F94" w:rsidRDefault="00673249" w:rsidP="00D42BA3">
            <w:pPr>
              <w:spacing w:before="100" w:after="200"/>
              <w:rPr>
                <w:rFonts w:cs="Arial"/>
                <w:b/>
                <w:szCs w:val="24"/>
              </w:rPr>
            </w:pPr>
            <w:r>
              <w:rPr>
                <w:rFonts w:cs="Arial"/>
                <w:b/>
                <w:szCs w:val="24"/>
              </w:rPr>
              <w:t xml:space="preserve">Appendix </w:t>
            </w:r>
          </w:p>
        </w:tc>
        <w:tc>
          <w:tcPr>
            <w:tcW w:w="6141" w:type="dxa"/>
          </w:tcPr>
          <w:p w14:paraId="567D5C8C" w14:textId="3EAC7E73" w:rsidR="00673249" w:rsidRPr="00673249" w:rsidRDefault="00673249" w:rsidP="00D42BA3">
            <w:pPr>
              <w:spacing w:before="100" w:after="200"/>
              <w:rPr>
                <w:rFonts w:cs="Arial"/>
                <w:szCs w:val="24"/>
              </w:rPr>
            </w:pPr>
            <w:r w:rsidRPr="00673249">
              <w:rPr>
                <w:rFonts w:cs="Arial"/>
                <w:szCs w:val="24"/>
              </w:rPr>
              <w:t>means an appendix to this Schedule 5 (Security Management)</w:t>
            </w:r>
            <w:r>
              <w:rPr>
                <w:rFonts w:cs="Arial"/>
                <w:szCs w:val="24"/>
              </w:rPr>
              <w:t>.</w:t>
            </w:r>
          </w:p>
        </w:tc>
      </w:tr>
      <w:tr w:rsidR="0029093D" w:rsidRPr="00577CA4" w14:paraId="13204595" w14:textId="77777777" w:rsidTr="0029093D">
        <w:tc>
          <w:tcPr>
            <w:tcW w:w="2245" w:type="dxa"/>
          </w:tcPr>
          <w:p w14:paraId="0F10A023" w14:textId="77777777" w:rsidR="0029093D" w:rsidRPr="00E54F94" w:rsidRDefault="0029093D" w:rsidP="00D42BA3">
            <w:pPr>
              <w:spacing w:before="100" w:after="200"/>
              <w:rPr>
                <w:rFonts w:cs="Arial"/>
                <w:b/>
                <w:szCs w:val="24"/>
              </w:rPr>
            </w:pPr>
            <w:r w:rsidRPr="00E54F94">
              <w:rPr>
                <w:rFonts w:cs="Arial"/>
                <w:b/>
                <w:szCs w:val="24"/>
              </w:rPr>
              <w:t>Assets</w:t>
            </w:r>
          </w:p>
        </w:tc>
        <w:tc>
          <w:tcPr>
            <w:tcW w:w="6141" w:type="dxa"/>
          </w:tcPr>
          <w:p w14:paraId="0BDC07B4" w14:textId="77777777" w:rsidR="0029093D" w:rsidRPr="00577CA4" w:rsidRDefault="0029093D" w:rsidP="00D42BA3">
            <w:pPr>
              <w:spacing w:before="100" w:after="200"/>
              <w:rPr>
                <w:rFonts w:cs="Arial"/>
                <w:b/>
                <w:szCs w:val="24"/>
              </w:rPr>
            </w:pPr>
            <w:r w:rsidRPr="00577CA4">
              <w:rPr>
                <w:rFonts w:cs="Arial"/>
                <w:szCs w:val="24"/>
              </w:rPr>
              <w:t>means all assets and rights used by the Supplier to provide the Services in accordance with this Contract but excluding the Authority Assets.</w:t>
            </w:r>
          </w:p>
        </w:tc>
      </w:tr>
      <w:tr w:rsidR="0029093D" w:rsidRPr="00577CA4" w14:paraId="30FB180B" w14:textId="77777777" w:rsidTr="0029093D">
        <w:tc>
          <w:tcPr>
            <w:tcW w:w="2245" w:type="dxa"/>
          </w:tcPr>
          <w:p w14:paraId="581A19A7" w14:textId="77777777" w:rsidR="0029093D" w:rsidRPr="00E54F94" w:rsidRDefault="0029093D" w:rsidP="00D42BA3">
            <w:pPr>
              <w:spacing w:before="100" w:after="200"/>
              <w:rPr>
                <w:rFonts w:cs="Arial"/>
                <w:b/>
                <w:szCs w:val="24"/>
              </w:rPr>
            </w:pPr>
            <w:r w:rsidRPr="00E54F94">
              <w:rPr>
                <w:rFonts w:cs="Arial"/>
                <w:b/>
                <w:szCs w:val="24"/>
              </w:rPr>
              <w:t>Authority-led Assurance</w:t>
            </w:r>
          </w:p>
        </w:tc>
        <w:tc>
          <w:tcPr>
            <w:tcW w:w="6141" w:type="dxa"/>
          </w:tcPr>
          <w:p w14:paraId="7C57022B" w14:textId="768E1078" w:rsidR="0029093D" w:rsidRPr="00577CA4" w:rsidRDefault="0029093D" w:rsidP="00D42BA3">
            <w:pPr>
              <w:spacing w:before="100" w:after="200"/>
              <w:rPr>
                <w:rFonts w:cs="Arial"/>
                <w:b/>
                <w:szCs w:val="24"/>
              </w:rPr>
            </w:pPr>
            <w:r w:rsidRPr="00577CA4">
              <w:rPr>
                <w:rFonts w:cs="Arial"/>
                <w:szCs w:val="24"/>
              </w:rPr>
              <w:t xml:space="preserve">means the assessment of the Supplier Information Management System in accordance with </w:t>
            </w:r>
            <w:r w:rsidR="00D006F4">
              <w:rPr>
                <w:rFonts w:cs="Arial"/>
                <w:szCs w:val="24"/>
              </w:rPr>
              <w:t>Paragraph</w:t>
            </w:r>
            <w:r w:rsidRPr="00577CA4">
              <w:rPr>
                <w:rFonts w:cs="Arial"/>
                <w:szCs w:val="24"/>
              </w:rPr>
              <w:t> 14 by the Authority or an independent information risk manager or other qualified professional appointed by the Authority.</w:t>
            </w:r>
          </w:p>
        </w:tc>
      </w:tr>
      <w:tr w:rsidR="0029093D" w:rsidRPr="00577CA4" w14:paraId="6F71903B" w14:textId="77777777" w:rsidTr="0029093D">
        <w:tc>
          <w:tcPr>
            <w:tcW w:w="2245" w:type="dxa"/>
          </w:tcPr>
          <w:p w14:paraId="2BD6318B" w14:textId="77777777" w:rsidR="0029093D" w:rsidRPr="00E54F94" w:rsidRDefault="0029093D" w:rsidP="00D42BA3">
            <w:pPr>
              <w:spacing w:before="100" w:after="200"/>
              <w:rPr>
                <w:rFonts w:cs="Arial"/>
                <w:b/>
                <w:szCs w:val="24"/>
              </w:rPr>
            </w:pPr>
            <w:r w:rsidRPr="00E54F94">
              <w:rPr>
                <w:rFonts w:cs="Arial"/>
                <w:b/>
                <w:szCs w:val="24"/>
              </w:rPr>
              <w:t>Authority Data</w:t>
            </w:r>
          </w:p>
        </w:tc>
        <w:tc>
          <w:tcPr>
            <w:tcW w:w="6141" w:type="dxa"/>
          </w:tcPr>
          <w:p w14:paraId="53376947" w14:textId="77777777" w:rsidR="0029093D" w:rsidRPr="00577CA4" w:rsidRDefault="0029093D" w:rsidP="00D42BA3">
            <w:pPr>
              <w:spacing w:before="100" w:after="200"/>
              <w:rPr>
                <w:rFonts w:cs="Arial"/>
                <w:b/>
                <w:szCs w:val="24"/>
              </w:rPr>
            </w:pPr>
            <w:r w:rsidRPr="00577CA4">
              <w:rPr>
                <w:rFonts w:cs="Arial"/>
                <w:szCs w:val="24"/>
              </w:rPr>
              <w:t>means any:</w:t>
            </w:r>
          </w:p>
          <w:p w14:paraId="0FCEA316" w14:textId="77777777" w:rsidR="0029093D" w:rsidRPr="0029093D" w:rsidRDefault="0029093D" w:rsidP="00E1349E">
            <w:pPr>
              <w:pStyle w:val="DefinitionList"/>
              <w:numPr>
                <w:ilvl w:val="0"/>
                <w:numId w:val="212"/>
              </w:numPr>
              <w:tabs>
                <w:tab w:val="clear" w:pos="720"/>
                <w:tab w:val="num" w:pos="861"/>
              </w:tabs>
              <w:rPr>
                <w:rFonts w:eastAsia="Arial" w:cs="Arial"/>
                <w:b/>
              </w:rPr>
            </w:pPr>
            <w:r w:rsidRPr="0029093D">
              <w:rPr>
                <w:rFonts w:eastAsia="Arial" w:cs="Arial"/>
              </w:rPr>
              <w:t xml:space="preserve">data, text, drawings, diagrams, images or sounds (together with any database made up of any of these) which are embodied in any electronic, magnetic, optical or tangible media; </w:t>
            </w:r>
          </w:p>
          <w:p w14:paraId="055331C0" w14:textId="77777777" w:rsidR="0029093D" w:rsidRPr="00E50523" w:rsidRDefault="0029093D" w:rsidP="00F13933">
            <w:pPr>
              <w:pStyle w:val="DefinitionList"/>
              <w:numPr>
                <w:ilvl w:val="0"/>
                <w:numId w:val="66"/>
              </w:numPr>
              <w:tabs>
                <w:tab w:val="clear" w:pos="720"/>
                <w:tab w:val="num" w:pos="861"/>
              </w:tabs>
              <w:ind w:left="861"/>
              <w:rPr>
                <w:rFonts w:cs="Arial"/>
                <w:b/>
              </w:rPr>
            </w:pPr>
            <w:r w:rsidRPr="00E50523">
              <w:rPr>
                <w:rFonts w:eastAsia="Arial" w:cs="Arial"/>
              </w:rPr>
              <w:lastRenderedPageBreak/>
              <w:t>Personal Data for which the Authority is a, or the, Data Controller; or</w:t>
            </w:r>
          </w:p>
          <w:p w14:paraId="63A85369" w14:textId="17C092CB" w:rsidR="0029093D" w:rsidRPr="00E50523" w:rsidRDefault="0029093D" w:rsidP="00F13933">
            <w:pPr>
              <w:pStyle w:val="DefinitionList"/>
              <w:numPr>
                <w:ilvl w:val="0"/>
                <w:numId w:val="66"/>
              </w:numPr>
              <w:tabs>
                <w:tab w:val="clear" w:pos="720"/>
                <w:tab w:val="num" w:pos="861"/>
              </w:tabs>
              <w:ind w:left="861"/>
              <w:rPr>
                <w:rFonts w:cs="Arial"/>
                <w:b/>
              </w:rPr>
            </w:pPr>
            <w:r w:rsidRPr="00E50523">
              <w:rPr>
                <w:rFonts w:eastAsia="Arial" w:cs="Arial"/>
              </w:rPr>
              <w:t xml:space="preserve">any meta-data relating to categories of data referred to in </w:t>
            </w:r>
            <w:r w:rsidR="00D006F4">
              <w:rPr>
                <w:rFonts w:eastAsia="Arial" w:cs="Arial"/>
              </w:rPr>
              <w:t>Paragraph</w:t>
            </w:r>
            <w:r w:rsidRPr="00E50523">
              <w:rPr>
                <w:rFonts w:eastAsia="Arial" w:cs="Arial"/>
              </w:rPr>
              <w:t>s (a) or (b);</w:t>
            </w:r>
          </w:p>
          <w:p w14:paraId="4B94D9FB" w14:textId="77777777" w:rsidR="0029093D" w:rsidRPr="00E50523" w:rsidRDefault="0029093D" w:rsidP="00D42BA3">
            <w:pPr>
              <w:spacing w:before="100" w:after="200"/>
              <w:rPr>
                <w:rFonts w:cs="Arial"/>
                <w:b/>
              </w:rPr>
            </w:pPr>
            <w:r w:rsidRPr="00E50523">
              <w:rPr>
                <w:rFonts w:cs="Arial"/>
              </w:rPr>
              <w:t>that is:</w:t>
            </w:r>
          </w:p>
          <w:p w14:paraId="287B4F2C" w14:textId="77777777" w:rsidR="0029093D" w:rsidRPr="00E50523" w:rsidRDefault="0029093D" w:rsidP="00F13933">
            <w:pPr>
              <w:pStyle w:val="DefinitionList"/>
              <w:numPr>
                <w:ilvl w:val="0"/>
                <w:numId w:val="66"/>
              </w:numPr>
              <w:tabs>
                <w:tab w:val="clear" w:pos="720"/>
                <w:tab w:val="num" w:pos="861"/>
              </w:tabs>
              <w:ind w:left="861"/>
              <w:rPr>
                <w:rFonts w:eastAsia="Arial" w:cs="Arial"/>
              </w:rPr>
            </w:pPr>
            <w:r w:rsidRPr="00E50523">
              <w:rPr>
                <w:rFonts w:eastAsia="Arial" w:cs="Arial"/>
              </w:rPr>
              <w:t>supplied to the Supplier by or on behalf of the Authority; or</w:t>
            </w:r>
          </w:p>
          <w:p w14:paraId="1D990E6C" w14:textId="77777777" w:rsidR="0029093D" w:rsidRPr="00577CA4" w:rsidRDefault="0029093D" w:rsidP="00F13933">
            <w:pPr>
              <w:pStyle w:val="DefinitionList"/>
              <w:numPr>
                <w:ilvl w:val="0"/>
                <w:numId w:val="66"/>
              </w:numPr>
              <w:tabs>
                <w:tab w:val="clear" w:pos="720"/>
                <w:tab w:val="num" w:pos="861"/>
              </w:tabs>
              <w:ind w:left="861"/>
              <w:rPr>
                <w:rFonts w:cs="Arial"/>
              </w:rPr>
            </w:pPr>
            <w:r w:rsidRPr="00577CA4">
              <w:rPr>
                <w:rFonts w:eastAsia="Arial" w:cs="Arial"/>
              </w:rPr>
              <w:t>that the Supplier generates, processes, stores or transmits under this Contract; and</w:t>
            </w:r>
          </w:p>
          <w:p w14:paraId="13CB0AFF" w14:textId="77777777" w:rsidR="0029093D" w:rsidRPr="00577CA4" w:rsidRDefault="0029093D" w:rsidP="00D42BA3">
            <w:pPr>
              <w:spacing w:before="100" w:after="200"/>
              <w:rPr>
                <w:rFonts w:cs="Arial"/>
                <w:b/>
                <w:szCs w:val="24"/>
              </w:rPr>
            </w:pPr>
            <w:r w:rsidRPr="00577CA4">
              <w:rPr>
                <w:rFonts w:cs="Arial"/>
                <w:szCs w:val="24"/>
              </w:rPr>
              <w:t xml:space="preserve">for the avoidance of doubt includes the Code and any meta-data relating to the Code. </w:t>
            </w:r>
          </w:p>
        </w:tc>
      </w:tr>
      <w:tr w:rsidR="0029093D" w:rsidRPr="00577CA4" w14:paraId="462ABB44" w14:textId="77777777" w:rsidTr="0029093D">
        <w:tc>
          <w:tcPr>
            <w:tcW w:w="2245" w:type="dxa"/>
          </w:tcPr>
          <w:p w14:paraId="72B71F17" w14:textId="77777777" w:rsidR="0029093D" w:rsidRPr="00E54F94" w:rsidRDefault="0029093D" w:rsidP="00D42BA3">
            <w:pPr>
              <w:spacing w:before="100" w:after="200"/>
              <w:rPr>
                <w:rFonts w:cs="Arial"/>
                <w:b/>
                <w:szCs w:val="24"/>
              </w:rPr>
            </w:pPr>
            <w:r w:rsidRPr="00E54F94">
              <w:rPr>
                <w:rFonts w:cs="Arial"/>
                <w:b/>
                <w:szCs w:val="24"/>
              </w:rPr>
              <w:lastRenderedPageBreak/>
              <w:t>Authority Data Register</w:t>
            </w:r>
          </w:p>
        </w:tc>
        <w:tc>
          <w:tcPr>
            <w:tcW w:w="6141" w:type="dxa"/>
          </w:tcPr>
          <w:p w14:paraId="7630B8B4" w14:textId="77777777" w:rsidR="0029093D" w:rsidRPr="00577CA4" w:rsidRDefault="0029093D" w:rsidP="00D42BA3">
            <w:pPr>
              <w:spacing w:before="100" w:after="200"/>
              <w:rPr>
                <w:rFonts w:cs="Arial"/>
                <w:b/>
                <w:szCs w:val="24"/>
              </w:rPr>
            </w:pPr>
            <w:r w:rsidRPr="00577CA4">
              <w:rPr>
                <w:rFonts w:cs="Arial"/>
                <w:szCs w:val="24"/>
              </w:rPr>
              <w:t>means the register of all Authority Data the Supplier, or any Sub-contractor, receives from or creates for the Authority, produced and maintained in accordance with paragraph 16 of the Security Requirements.</w:t>
            </w:r>
          </w:p>
        </w:tc>
      </w:tr>
      <w:tr w:rsidR="0029093D" w:rsidRPr="00577CA4" w14:paraId="207B210A" w14:textId="77777777" w:rsidTr="0029093D">
        <w:tc>
          <w:tcPr>
            <w:tcW w:w="2245" w:type="dxa"/>
          </w:tcPr>
          <w:p w14:paraId="705EEC81" w14:textId="77777777" w:rsidR="0029093D" w:rsidRPr="00E54F94" w:rsidRDefault="0029093D" w:rsidP="00D42BA3">
            <w:pPr>
              <w:spacing w:before="100" w:after="200"/>
              <w:rPr>
                <w:rFonts w:cs="Arial"/>
                <w:b/>
                <w:szCs w:val="24"/>
              </w:rPr>
            </w:pPr>
            <w:r w:rsidRPr="00E54F94">
              <w:rPr>
                <w:rFonts w:cs="Arial"/>
                <w:b/>
                <w:szCs w:val="24"/>
              </w:rPr>
              <w:t>Authority Equipment</w:t>
            </w:r>
          </w:p>
        </w:tc>
        <w:tc>
          <w:tcPr>
            <w:tcW w:w="6141" w:type="dxa"/>
          </w:tcPr>
          <w:p w14:paraId="04A3F1AD" w14:textId="77777777" w:rsidR="0029093D" w:rsidRPr="00577CA4" w:rsidRDefault="0029093D" w:rsidP="00D42BA3">
            <w:pPr>
              <w:spacing w:before="100" w:after="200"/>
              <w:rPr>
                <w:rFonts w:cs="Arial"/>
                <w:b/>
                <w:szCs w:val="24"/>
              </w:rPr>
            </w:pPr>
            <w:r w:rsidRPr="00577CA4">
              <w:rPr>
                <w:rFonts w:cs="Arial"/>
                <w:szCs w:val="24"/>
              </w:rPr>
              <w:t>means any hardware, computer or telecoms devices, and equipment that forms part of the Authority System.</w:t>
            </w:r>
          </w:p>
        </w:tc>
      </w:tr>
      <w:tr w:rsidR="0029093D" w:rsidRPr="00577CA4" w14:paraId="568394F7" w14:textId="77777777" w:rsidTr="0029093D">
        <w:tc>
          <w:tcPr>
            <w:tcW w:w="2245" w:type="dxa"/>
          </w:tcPr>
          <w:p w14:paraId="2EAF3009" w14:textId="77777777" w:rsidR="0029093D" w:rsidRPr="00E54F94" w:rsidRDefault="0029093D" w:rsidP="00D42BA3">
            <w:pPr>
              <w:spacing w:before="100" w:after="200"/>
              <w:rPr>
                <w:rFonts w:cs="Arial"/>
                <w:b/>
                <w:szCs w:val="24"/>
              </w:rPr>
            </w:pPr>
            <w:r w:rsidRPr="00E54F94">
              <w:rPr>
                <w:rFonts w:cs="Arial"/>
                <w:b/>
                <w:szCs w:val="24"/>
              </w:rPr>
              <w:t>Authority Premises</w:t>
            </w:r>
          </w:p>
        </w:tc>
        <w:tc>
          <w:tcPr>
            <w:tcW w:w="6141" w:type="dxa"/>
          </w:tcPr>
          <w:p w14:paraId="11D293FA" w14:textId="77777777" w:rsidR="0029093D" w:rsidRPr="00577CA4" w:rsidRDefault="0029093D" w:rsidP="00D42BA3">
            <w:pPr>
              <w:spacing w:before="100" w:after="200"/>
              <w:rPr>
                <w:rFonts w:cs="Arial"/>
                <w:b/>
                <w:szCs w:val="24"/>
              </w:rPr>
            </w:pPr>
            <w:r w:rsidRPr="00577CA4">
              <w:rPr>
                <w:rFonts w:cs="Arial"/>
                <w:szCs w:val="24"/>
              </w:rPr>
              <w:t>means premises owned, controlled or occupied by the Authority and/or any central government body which are made available for use by the Supplier or its Sub-contractors for provision of the Services (or any part of the Service).</w:t>
            </w:r>
          </w:p>
        </w:tc>
      </w:tr>
      <w:tr w:rsidR="0029093D" w:rsidRPr="00577CA4" w14:paraId="202EC03D" w14:textId="77777777" w:rsidTr="0029093D">
        <w:tc>
          <w:tcPr>
            <w:tcW w:w="2245" w:type="dxa"/>
          </w:tcPr>
          <w:p w14:paraId="10F6BBF3" w14:textId="77777777" w:rsidR="0029093D" w:rsidRPr="00E54F94" w:rsidRDefault="0029093D" w:rsidP="00D42BA3">
            <w:pPr>
              <w:spacing w:before="100" w:after="200"/>
              <w:rPr>
                <w:rFonts w:cs="Arial"/>
                <w:b/>
                <w:szCs w:val="24"/>
              </w:rPr>
            </w:pPr>
            <w:r w:rsidRPr="00E54F94">
              <w:rPr>
                <w:rFonts w:cs="Arial"/>
                <w:b/>
                <w:szCs w:val="24"/>
              </w:rPr>
              <w:t>Authority System</w:t>
            </w:r>
          </w:p>
        </w:tc>
        <w:tc>
          <w:tcPr>
            <w:tcW w:w="6141" w:type="dxa"/>
          </w:tcPr>
          <w:p w14:paraId="64950230" w14:textId="77777777" w:rsidR="0029093D" w:rsidRPr="00577CA4" w:rsidRDefault="0029093D" w:rsidP="00D42BA3">
            <w:pPr>
              <w:spacing w:before="100" w:after="200"/>
              <w:rPr>
                <w:rFonts w:cs="Arial"/>
                <w:b/>
                <w:szCs w:val="24"/>
              </w:rPr>
            </w:pPr>
            <w:r w:rsidRPr="00577CA4">
              <w:rPr>
                <w:rFonts w:cs="Arial"/>
                <w:szCs w:val="24"/>
              </w:rPr>
              <w:t>means the Authority’s information and communications technology system, including any software or Authority Equipment, owned by the Authority or leased or licenced to it by a third-party, that:</w:t>
            </w:r>
          </w:p>
          <w:p w14:paraId="4381CC05" w14:textId="77777777" w:rsidR="0029093D" w:rsidRPr="0029093D" w:rsidRDefault="0029093D" w:rsidP="00E1349E">
            <w:pPr>
              <w:pStyle w:val="DefinitionList"/>
              <w:numPr>
                <w:ilvl w:val="0"/>
                <w:numId w:val="213"/>
              </w:numPr>
              <w:tabs>
                <w:tab w:val="clear" w:pos="720"/>
                <w:tab w:val="num" w:pos="861"/>
              </w:tabs>
              <w:rPr>
                <w:rFonts w:eastAsia="Arial" w:cs="Arial"/>
                <w:b/>
              </w:rPr>
            </w:pPr>
            <w:r w:rsidRPr="0029093D">
              <w:rPr>
                <w:rFonts w:eastAsia="Arial" w:cs="Arial"/>
              </w:rPr>
              <w:t>is used by the Authority or the Supplier in connection with this contract;</w:t>
            </w:r>
          </w:p>
          <w:p w14:paraId="657CBAD3" w14:textId="77777777" w:rsidR="0029093D" w:rsidRPr="00E50523" w:rsidRDefault="0029093D" w:rsidP="00F13933">
            <w:pPr>
              <w:pStyle w:val="DefinitionList"/>
              <w:numPr>
                <w:ilvl w:val="0"/>
                <w:numId w:val="66"/>
              </w:numPr>
              <w:tabs>
                <w:tab w:val="clear" w:pos="720"/>
                <w:tab w:val="num" w:pos="861"/>
              </w:tabs>
              <w:ind w:left="861"/>
              <w:rPr>
                <w:rFonts w:cs="Arial"/>
                <w:b/>
              </w:rPr>
            </w:pPr>
            <w:r w:rsidRPr="00E50523">
              <w:rPr>
                <w:rFonts w:eastAsia="Arial" w:cs="Arial"/>
              </w:rPr>
              <w:t>interfaces with the Supplier System; and/or</w:t>
            </w:r>
          </w:p>
          <w:p w14:paraId="7D1816C7" w14:textId="77777777" w:rsidR="0029093D" w:rsidRPr="00577CA4" w:rsidRDefault="0029093D" w:rsidP="00F13933">
            <w:pPr>
              <w:pStyle w:val="DefinitionList"/>
              <w:numPr>
                <w:ilvl w:val="0"/>
                <w:numId w:val="66"/>
              </w:numPr>
              <w:tabs>
                <w:tab w:val="clear" w:pos="720"/>
                <w:tab w:val="num" w:pos="861"/>
              </w:tabs>
              <w:ind w:left="861"/>
            </w:pPr>
            <w:r w:rsidRPr="00E50523">
              <w:rPr>
                <w:rFonts w:eastAsia="Arial" w:cs="Arial"/>
              </w:rPr>
              <w:t>is necessary for the Authority to receive the Services.</w:t>
            </w:r>
          </w:p>
        </w:tc>
      </w:tr>
      <w:tr w:rsidR="0029093D" w:rsidRPr="00577CA4" w14:paraId="67845DDC" w14:textId="77777777" w:rsidTr="0029093D">
        <w:tc>
          <w:tcPr>
            <w:tcW w:w="2245" w:type="dxa"/>
          </w:tcPr>
          <w:p w14:paraId="3C91A606" w14:textId="77777777" w:rsidR="0029093D" w:rsidRPr="00E54F94" w:rsidRDefault="0029093D" w:rsidP="00D42BA3">
            <w:pPr>
              <w:spacing w:before="100" w:after="200"/>
              <w:rPr>
                <w:rFonts w:cs="Arial"/>
                <w:b/>
                <w:szCs w:val="24"/>
              </w:rPr>
            </w:pPr>
            <w:r w:rsidRPr="00E54F94">
              <w:rPr>
                <w:rFonts w:cs="Arial"/>
                <w:b/>
                <w:szCs w:val="24"/>
              </w:rPr>
              <w:t>Breach Action Plan</w:t>
            </w:r>
          </w:p>
        </w:tc>
        <w:tc>
          <w:tcPr>
            <w:tcW w:w="6141" w:type="dxa"/>
          </w:tcPr>
          <w:p w14:paraId="3A9B010F" w14:textId="77777777" w:rsidR="0029093D" w:rsidRPr="00577CA4" w:rsidRDefault="0029093D" w:rsidP="00D42BA3">
            <w:pPr>
              <w:spacing w:before="100" w:after="200"/>
              <w:rPr>
                <w:rFonts w:cs="Arial"/>
                <w:b/>
                <w:szCs w:val="24"/>
              </w:rPr>
            </w:pPr>
            <w:r w:rsidRPr="00577CA4">
              <w:rPr>
                <w:rFonts w:cs="Arial"/>
                <w:szCs w:val="24"/>
              </w:rPr>
              <w:t>means a plan prepared under paragraph 14.3 of the Security Requirements addressing any Breach of Security.</w:t>
            </w:r>
          </w:p>
        </w:tc>
      </w:tr>
      <w:tr w:rsidR="0029093D" w:rsidRPr="00577CA4" w14:paraId="7A415226" w14:textId="77777777" w:rsidTr="0029093D">
        <w:tc>
          <w:tcPr>
            <w:tcW w:w="2245" w:type="dxa"/>
          </w:tcPr>
          <w:p w14:paraId="5C11B0B7" w14:textId="77777777" w:rsidR="0029093D" w:rsidRPr="00E54F94" w:rsidRDefault="0029093D" w:rsidP="00D42BA3">
            <w:pPr>
              <w:spacing w:before="100" w:after="200"/>
              <w:rPr>
                <w:rFonts w:cs="Arial"/>
                <w:b/>
                <w:szCs w:val="24"/>
              </w:rPr>
            </w:pPr>
            <w:r w:rsidRPr="00E54F94">
              <w:rPr>
                <w:rFonts w:cs="Arial"/>
                <w:b/>
                <w:szCs w:val="24"/>
              </w:rPr>
              <w:t>Breach of Security</w:t>
            </w:r>
          </w:p>
        </w:tc>
        <w:tc>
          <w:tcPr>
            <w:tcW w:w="6141" w:type="dxa"/>
          </w:tcPr>
          <w:p w14:paraId="2DB5369F" w14:textId="77777777" w:rsidR="0029093D" w:rsidRPr="003840DB" w:rsidRDefault="0029093D" w:rsidP="00D42BA3">
            <w:pPr>
              <w:spacing w:before="100" w:after="200"/>
              <w:rPr>
                <w:rFonts w:cs="Arial"/>
                <w:b/>
                <w:szCs w:val="24"/>
              </w:rPr>
            </w:pPr>
            <w:r w:rsidRPr="003840DB">
              <w:rPr>
                <w:rFonts w:cs="Arial"/>
                <w:szCs w:val="24"/>
              </w:rPr>
              <w:t xml:space="preserve">means the occurrence of: </w:t>
            </w:r>
          </w:p>
          <w:p w14:paraId="1BFD38F2" w14:textId="77777777" w:rsidR="0029093D" w:rsidRPr="0029093D" w:rsidRDefault="0029093D" w:rsidP="00E1349E">
            <w:pPr>
              <w:pStyle w:val="DefinitionList"/>
              <w:numPr>
                <w:ilvl w:val="0"/>
                <w:numId w:val="214"/>
              </w:numPr>
              <w:tabs>
                <w:tab w:val="clear" w:pos="720"/>
                <w:tab w:val="num" w:pos="861"/>
              </w:tabs>
              <w:rPr>
                <w:rFonts w:eastAsia="Arial" w:cs="Arial"/>
                <w:b/>
              </w:rPr>
            </w:pPr>
            <w:r w:rsidRPr="0029093D">
              <w:rPr>
                <w:rFonts w:eastAsia="Arial" w:cs="Arial"/>
              </w:rPr>
              <w:lastRenderedPageBreak/>
              <w:t xml:space="preserve">any unauthorised access to or use of the Services, the Authority Premises, the Sites, the Supplier Information Management System and/or any information or data used by the Authority, the Supplier or any Sub-contractor in connection with this Contract, including the Authority Data and the Code; </w:t>
            </w:r>
          </w:p>
          <w:p w14:paraId="5C7E64D1" w14:textId="77777777" w:rsidR="0029093D" w:rsidRPr="003840DB" w:rsidRDefault="0029093D" w:rsidP="00F13933">
            <w:pPr>
              <w:pStyle w:val="DefinitionList"/>
              <w:numPr>
                <w:ilvl w:val="0"/>
                <w:numId w:val="66"/>
              </w:numPr>
              <w:tabs>
                <w:tab w:val="clear" w:pos="720"/>
                <w:tab w:val="num" w:pos="861"/>
              </w:tabs>
              <w:ind w:left="861"/>
              <w:rPr>
                <w:rFonts w:cs="Arial"/>
              </w:rPr>
            </w:pPr>
            <w:r w:rsidRPr="003840DB">
              <w:rPr>
                <w:rFonts w:eastAsia="Arial" w:cs="Arial"/>
              </w:rPr>
              <w:t>the loss (physical or otherwise), corruption and/or unau</w:t>
            </w:r>
            <w:r w:rsidRPr="003840DB">
              <w:rPr>
                <w:rFonts w:cs="Arial"/>
              </w:rPr>
              <w:t>thorised disclosure of any information or data, including copies of such information or data, used by the Authority, the Supplier or any Sub-contractor in connection with this Contract, including the Authority Data and the Code; and/or</w:t>
            </w:r>
          </w:p>
          <w:p w14:paraId="77EE9C02" w14:textId="77777777" w:rsidR="0029093D" w:rsidRPr="003840DB" w:rsidRDefault="0029093D" w:rsidP="00F13933">
            <w:pPr>
              <w:pStyle w:val="DefinitionList"/>
              <w:numPr>
                <w:ilvl w:val="0"/>
                <w:numId w:val="66"/>
              </w:numPr>
              <w:tabs>
                <w:tab w:val="clear" w:pos="720"/>
                <w:tab w:val="num" w:pos="861"/>
              </w:tabs>
              <w:ind w:left="861"/>
              <w:rPr>
                <w:rFonts w:cs="Arial"/>
                <w:b/>
              </w:rPr>
            </w:pPr>
            <w:r w:rsidRPr="003840DB">
              <w:rPr>
                <w:rFonts w:cs="Arial"/>
              </w:rPr>
              <w:t>any part of the Supplier Information Management System ceasing to be compliant with the Certification Requirements;</w:t>
            </w:r>
          </w:p>
          <w:p w14:paraId="17E4031F" w14:textId="77777777" w:rsidR="0029093D" w:rsidRPr="003840DB" w:rsidRDefault="0029093D" w:rsidP="00F13933">
            <w:pPr>
              <w:pStyle w:val="DefinitionList"/>
              <w:numPr>
                <w:ilvl w:val="0"/>
                <w:numId w:val="66"/>
              </w:numPr>
              <w:tabs>
                <w:tab w:val="clear" w:pos="720"/>
                <w:tab w:val="num" w:pos="861"/>
              </w:tabs>
              <w:ind w:left="861"/>
              <w:rPr>
                <w:rFonts w:cs="Arial"/>
                <w:b/>
              </w:rPr>
            </w:pPr>
            <w:r w:rsidRPr="003840DB">
              <w:rPr>
                <w:rFonts w:cs="Arial"/>
              </w:rPr>
              <w:t>the installation of Malicious Software in the:</w:t>
            </w:r>
          </w:p>
          <w:p w14:paraId="2158829F" w14:textId="77777777" w:rsidR="0029093D" w:rsidRPr="003840DB" w:rsidRDefault="0029093D" w:rsidP="00F13933">
            <w:pPr>
              <w:pStyle w:val="DefinitionListLevel1"/>
              <w:numPr>
                <w:ilvl w:val="1"/>
                <w:numId w:val="66"/>
              </w:numPr>
              <w:rPr>
                <w:rFonts w:cs="Arial"/>
                <w:b/>
              </w:rPr>
            </w:pPr>
            <w:r w:rsidRPr="003840DB">
              <w:rPr>
                <w:rFonts w:cs="Arial"/>
              </w:rPr>
              <w:t>Supplier Information Management System;</w:t>
            </w:r>
          </w:p>
          <w:p w14:paraId="5B97D6BE" w14:textId="77777777" w:rsidR="0029093D" w:rsidRPr="003840DB" w:rsidRDefault="0029093D" w:rsidP="00F13933">
            <w:pPr>
              <w:pStyle w:val="DefinitionListLevel1"/>
              <w:numPr>
                <w:ilvl w:val="1"/>
                <w:numId w:val="66"/>
              </w:numPr>
              <w:rPr>
                <w:rFonts w:cs="Arial"/>
                <w:b/>
              </w:rPr>
            </w:pPr>
            <w:r w:rsidRPr="003840DB">
              <w:rPr>
                <w:rFonts w:cs="Arial"/>
              </w:rPr>
              <w:t>Development Environment; or</w:t>
            </w:r>
          </w:p>
          <w:p w14:paraId="6B160DB7" w14:textId="77777777" w:rsidR="0029093D" w:rsidRPr="003840DB" w:rsidRDefault="0029093D" w:rsidP="00F13933">
            <w:pPr>
              <w:pStyle w:val="DefinitionListLevel1"/>
              <w:numPr>
                <w:ilvl w:val="1"/>
                <w:numId w:val="66"/>
              </w:numPr>
              <w:rPr>
                <w:rFonts w:cs="Arial"/>
                <w:b/>
              </w:rPr>
            </w:pPr>
            <w:r w:rsidRPr="003840DB">
              <w:rPr>
                <w:rFonts w:cs="Arial"/>
              </w:rPr>
              <w:t>Developed System;</w:t>
            </w:r>
          </w:p>
          <w:p w14:paraId="48190563" w14:textId="77777777" w:rsidR="0029093D" w:rsidRPr="003840DB" w:rsidRDefault="0029093D" w:rsidP="00F13933">
            <w:pPr>
              <w:pStyle w:val="DefinitionList"/>
              <w:numPr>
                <w:ilvl w:val="0"/>
                <w:numId w:val="66"/>
              </w:numPr>
              <w:tabs>
                <w:tab w:val="clear" w:pos="720"/>
                <w:tab w:val="num" w:pos="861"/>
              </w:tabs>
              <w:ind w:left="861"/>
              <w:rPr>
                <w:rFonts w:cs="Arial"/>
                <w:b/>
              </w:rPr>
            </w:pPr>
            <w:r w:rsidRPr="003840DB">
              <w:rPr>
                <w:rFonts w:cs="Arial"/>
              </w:rPr>
              <w:t>any loss of operational efficiency or failure to operate to specification as the result of the installation or operation of Malicious Software in the:</w:t>
            </w:r>
          </w:p>
          <w:p w14:paraId="02F093FD" w14:textId="77777777" w:rsidR="0029093D" w:rsidRPr="003840DB" w:rsidRDefault="0029093D" w:rsidP="00F13933">
            <w:pPr>
              <w:pStyle w:val="DefinitionListLevel1"/>
              <w:numPr>
                <w:ilvl w:val="1"/>
                <w:numId w:val="66"/>
              </w:numPr>
              <w:rPr>
                <w:rFonts w:cs="Arial"/>
                <w:b/>
              </w:rPr>
            </w:pPr>
            <w:r w:rsidRPr="003840DB">
              <w:rPr>
                <w:rFonts w:cs="Arial"/>
              </w:rPr>
              <w:t>Supplier Information Management System;</w:t>
            </w:r>
          </w:p>
          <w:p w14:paraId="626A0F66" w14:textId="77777777" w:rsidR="0029093D" w:rsidRPr="003840DB" w:rsidRDefault="0029093D" w:rsidP="00F13933">
            <w:pPr>
              <w:pStyle w:val="DefinitionListLevel1"/>
              <w:numPr>
                <w:ilvl w:val="1"/>
                <w:numId w:val="66"/>
              </w:numPr>
              <w:rPr>
                <w:rFonts w:cs="Arial"/>
                <w:b/>
              </w:rPr>
            </w:pPr>
            <w:r w:rsidRPr="003840DB">
              <w:rPr>
                <w:rFonts w:cs="Arial"/>
              </w:rPr>
              <w:t>Development Environment; or</w:t>
            </w:r>
          </w:p>
          <w:p w14:paraId="19DDA8A1" w14:textId="77777777" w:rsidR="0029093D" w:rsidRPr="003840DB" w:rsidRDefault="0029093D" w:rsidP="00F13933">
            <w:pPr>
              <w:pStyle w:val="DefinitionListLevel1"/>
              <w:numPr>
                <w:ilvl w:val="1"/>
                <w:numId w:val="66"/>
              </w:numPr>
              <w:rPr>
                <w:rFonts w:cs="Arial"/>
                <w:b/>
              </w:rPr>
            </w:pPr>
            <w:r w:rsidRPr="003840DB">
              <w:rPr>
                <w:rFonts w:cs="Arial"/>
              </w:rPr>
              <w:t>Developed System; and</w:t>
            </w:r>
          </w:p>
          <w:p w14:paraId="679AFA88" w14:textId="43C50FAF" w:rsidR="0029093D" w:rsidRPr="003840DB" w:rsidRDefault="0029093D" w:rsidP="00F13933">
            <w:pPr>
              <w:pStyle w:val="DefinitionList"/>
              <w:numPr>
                <w:ilvl w:val="0"/>
                <w:numId w:val="66"/>
              </w:numPr>
              <w:tabs>
                <w:tab w:val="clear" w:pos="720"/>
                <w:tab w:val="num" w:pos="861"/>
              </w:tabs>
              <w:ind w:left="861"/>
              <w:rPr>
                <w:rFonts w:cs="Arial"/>
                <w:b/>
              </w:rPr>
            </w:pPr>
            <w:r w:rsidRPr="003840DB">
              <w:rPr>
                <w:rFonts w:cs="Arial"/>
              </w:rPr>
              <w:t>includes any attempt to undertake the activities listed in sub-</w:t>
            </w:r>
            <w:r w:rsidR="00D006F4">
              <w:rPr>
                <w:rFonts w:cs="Arial"/>
              </w:rPr>
              <w:t>Paragraph</w:t>
            </w:r>
            <w:r w:rsidRPr="003840DB">
              <w:rPr>
                <w:rFonts w:cs="Arial"/>
              </w:rPr>
              <w:t> (a) where the Supplier has reasonable grounds to suspect that attempt:</w:t>
            </w:r>
          </w:p>
          <w:p w14:paraId="3F8A2FA3" w14:textId="77777777" w:rsidR="0029093D" w:rsidRPr="003840DB" w:rsidRDefault="0029093D" w:rsidP="00F13933">
            <w:pPr>
              <w:pStyle w:val="DefinitionListLevel1"/>
              <w:numPr>
                <w:ilvl w:val="1"/>
                <w:numId w:val="66"/>
              </w:numPr>
              <w:rPr>
                <w:rFonts w:cs="Arial"/>
                <w:b/>
              </w:rPr>
            </w:pPr>
            <w:r w:rsidRPr="003840DB">
              <w:rPr>
                <w:rFonts w:cs="Arial"/>
              </w:rPr>
              <w:t>was part of a wider effort to access information and communications technology operated by or on behalf of Central Government Bodies; or</w:t>
            </w:r>
          </w:p>
          <w:p w14:paraId="33526033" w14:textId="77777777" w:rsidR="0029093D" w:rsidRPr="003840DB" w:rsidRDefault="0029093D" w:rsidP="00F13933">
            <w:pPr>
              <w:pStyle w:val="DefinitionListLevel1"/>
              <w:numPr>
                <w:ilvl w:val="1"/>
                <w:numId w:val="66"/>
              </w:numPr>
              <w:rPr>
                <w:rFonts w:cs="Arial"/>
              </w:rPr>
            </w:pPr>
            <w:r w:rsidRPr="003840DB">
              <w:rPr>
                <w:rFonts w:cs="Arial"/>
              </w:rPr>
              <w:lastRenderedPageBreak/>
              <w:t>was undertaken, or directed by, a state other than the United Kingdom.</w:t>
            </w:r>
          </w:p>
        </w:tc>
      </w:tr>
      <w:tr w:rsidR="0029093D" w:rsidRPr="00577CA4" w14:paraId="61135241" w14:textId="77777777" w:rsidTr="0029093D">
        <w:tc>
          <w:tcPr>
            <w:tcW w:w="2245" w:type="dxa"/>
          </w:tcPr>
          <w:p w14:paraId="36F982E7" w14:textId="77777777" w:rsidR="0029093D" w:rsidRPr="00E54F94" w:rsidRDefault="0029093D" w:rsidP="00D42BA3">
            <w:pPr>
              <w:spacing w:before="100" w:after="200"/>
              <w:rPr>
                <w:rFonts w:cs="Arial"/>
                <w:b/>
                <w:szCs w:val="24"/>
              </w:rPr>
            </w:pPr>
            <w:r w:rsidRPr="00E54F94">
              <w:rPr>
                <w:rFonts w:cs="Arial"/>
                <w:b/>
                <w:szCs w:val="24"/>
              </w:rPr>
              <w:lastRenderedPageBreak/>
              <w:t>CAF</w:t>
            </w:r>
          </w:p>
        </w:tc>
        <w:tc>
          <w:tcPr>
            <w:tcW w:w="6141" w:type="dxa"/>
          </w:tcPr>
          <w:p w14:paraId="1D1F9E94" w14:textId="4EE51D6C" w:rsidR="0029093D" w:rsidRPr="0042507C" w:rsidRDefault="0029093D" w:rsidP="00D42BA3">
            <w:pPr>
              <w:spacing w:before="100" w:after="200"/>
              <w:rPr>
                <w:rFonts w:cs="Arial"/>
                <w:b/>
                <w:szCs w:val="24"/>
              </w:rPr>
            </w:pPr>
            <w:r w:rsidRPr="0042507C">
              <w:rPr>
                <w:rFonts w:cs="Arial"/>
                <w:szCs w:val="24"/>
              </w:rPr>
              <w:t xml:space="preserve">The NCSC’s Cyber Assessment Framework - </w:t>
            </w:r>
            <w:hyperlink r:id="rId48">
              <w:r w:rsidRPr="0042507C">
                <w:rPr>
                  <w:rFonts w:cs="Arial"/>
                  <w:color w:val="0563C1"/>
                  <w:szCs w:val="24"/>
                  <w:u w:val="single"/>
                </w:rPr>
                <w:t>https://www.ncsc.gov.uk/collection/caf/cyber-assessment-framework</w:t>
              </w:r>
            </w:hyperlink>
          </w:p>
        </w:tc>
      </w:tr>
      <w:tr w:rsidR="0029093D" w:rsidRPr="00577CA4" w14:paraId="50221D9E" w14:textId="77777777" w:rsidTr="0029093D">
        <w:tc>
          <w:tcPr>
            <w:tcW w:w="2245" w:type="dxa"/>
          </w:tcPr>
          <w:p w14:paraId="3D47742F" w14:textId="77777777" w:rsidR="0029093D" w:rsidRPr="00E54F94" w:rsidRDefault="0029093D" w:rsidP="00D42BA3">
            <w:pPr>
              <w:spacing w:before="100" w:after="200"/>
              <w:rPr>
                <w:rFonts w:cs="Arial"/>
                <w:b/>
                <w:szCs w:val="24"/>
              </w:rPr>
            </w:pPr>
            <w:r w:rsidRPr="00E54F94">
              <w:rPr>
                <w:rFonts w:cs="Arial"/>
                <w:b/>
                <w:szCs w:val="24"/>
              </w:rPr>
              <w:t>Certification Requirements</w:t>
            </w:r>
          </w:p>
        </w:tc>
        <w:tc>
          <w:tcPr>
            <w:tcW w:w="6141" w:type="dxa"/>
          </w:tcPr>
          <w:p w14:paraId="7941107A" w14:textId="4443C2A6" w:rsidR="0029093D" w:rsidRPr="00577CA4" w:rsidRDefault="0029093D" w:rsidP="00D42BA3">
            <w:pPr>
              <w:spacing w:before="100" w:after="200"/>
              <w:rPr>
                <w:rFonts w:cs="Arial"/>
                <w:szCs w:val="24"/>
              </w:rPr>
            </w:pPr>
            <w:r w:rsidRPr="00577CA4">
              <w:rPr>
                <w:rFonts w:cs="Arial"/>
                <w:szCs w:val="24"/>
              </w:rPr>
              <w:t xml:space="preserve">means the requirements set out in </w:t>
            </w:r>
            <w:r w:rsidR="00D006F4">
              <w:rPr>
                <w:rFonts w:cs="Arial"/>
                <w:szCs w:val="24"/>
              </w:rPr>
              <w:t>Paragraph</w:t>
            </w:r>
            <w:r w:rsidRPr="00577CA4">
              <w:rPr>
                <w:rFonts w:cs="Arial"/>
                <w:szCs w:val="24"/>
              </w:rPr>
              <w:t> 12.3.</w:t>
            </w:r>
          </w:p>
        </w:tc>
      </w:tr>
      <w:tr w:rsidR="0029093D" w:rsidRPr="00577CA4" w14:paraId="56FE1DE5" w14:textId="77777777" w:rsidTr="0029093D">
        <w:tc>
          <w:tcPr>
            <w:tcW w:w="2245" w:type="dxa"/>
          </w:tcPr>
          <w:p w14:paraId="47D715A2" w14:textId="77777777" w:rsidR="0029093D" w:rsidRPr="00E54F94" w:rsidRDefault="0029093D" w:rsidP="00D42BA3">
            <w:pPr>
              <w:spacing w:before="100" w:after="200"/>
              <w:rPr>
                <w:rFonts w:cs="Arial"/>
                <w:b/>
                <w:szCs w:val="24"/>
              </w:rPr>
            </w:pPr>
            <w:r w:rsidRPr="00E54F94">
              <w:rPr>
                <w:rFonts w:cs="Arial"/>
                <w:b/>
                <w:szCs w:val="24"/>
              </w:rPr>
              <w:t>CHECK Scheme</w:t>
            </w:r>
          </w:p>
        </w:tc>
        <w:tc>
          <w:tcPr>
            <w:tcW w:w="6141" w:type="dxa"/>
          </w:tcPr>
          <w:p w14:paraId="2165BC86" w14:textId="77777777" w:rsidR="0029093D" w:rsidRPr="00577CA4" w:rsidRDefault="0029093D" w:rsidP="00D42BA3">
            <w:pPr>
              <w:spacing w:before="100" w:after="200"/>
              <w:rPr>
                <w:rFonts w:cs="Arial"/>
                <w:szCs w:val="24"/>
              </w:rPr>
            </w:pPr>
            <w:r w:rsidRPr="00577CA4">
              <w:rPr>
                <w:rFonts w:cs="Arial"/>
                <w:szCs w:val="24"/>
              </w:rPr>
              <w:t>means the NCSC’s scheme under which approved companies can conduct authorised penetration tests of public sector and critical national infrastructure systems and networks.</w:t>
            </w:r>
          </w:p>
        </w:tc>
      </w:tr>
      <w:tr w:rsidR="0029093D" w:rsidRPr="00577CA4" w14:paraId="77A1646E" w14:textId="77777777" w:rsidTr="0029093D">
        <w:tc>
          <w:tcPr>
            <w:tcW w:w="2245" w:type="dxa"/>
          </w:tcPr>
          <w:p w14:paraId="6DCDC363" w14:textId="77777777" w:rsidR="0029093D" w:rsidRPr="00E54F94" w:rsidRDefault="0029093D" w:rsidP="00D42BA3">
            <w:pPr>
              <w:spacing w:before="100" w:after="200"/>
              <w:rPr>
                <w:rFonts w:cs="Arial"/>
                <w:b/>
                <w:szCs w:val="24"/>
              </w:rPr>
            </w:pPr>
            <w:r w:rsidRPr="00E54F94">
              <w:rPr>
                <w:rFonts w:cs="Arial"/>
                <w:b/>
                <w:szCs w:val="24"/>
              </w:rPr>
              <w:t>CHECK Service Provider</w:t>
            </w:r>
          </w:p>
        </w:tc>
        <w:tc>
          <w:tcPr>
            <w:tcW w:w="6141" w:type="dxa"/>
          </w:tcPr>
          <w:p w14:paraId="09CDAE12" w14:textId="77777777" w:rsidR="0029093D" w:rsidRPr="00577CA4" w:rsidRDefault="0029093D" w:rsidP="00D42BA3">
            <w:pPr>
              <w:spacing w:before="100" w:after="200"/>
              <w:rPr>
                <w:rFonts w:cs="Arial"/>
                <w:b/>
                <w:szCs w:val="24"/>
              </w:rPr>
            </w:pPr>
            <w:r w:rsidRPr="00577CA4">
              <w:rPr>
                <w:rFonts w:cs="Arial"/>
                <w:szCs w:val="24"/>
              </w:rPr>
              <w:t>means a company which, under the CHECK Scheme:</w:t>
            </w:r>
          </w:p>
          <w:p w14:paraId="329B9AD1" w14:textId="77777777" w:rsidR="0029093D" w:rsidRPr="0029093D" w:rsidRDefault="0029093D" w:rsidP="00E1349E">
            <w:pPr>
              <w:pStyle w:val="DefinitionList"/>
              <w:numPr>
                <w:ilvl w:val="0"/>
                <w:numId w:val="215"/>
              </w:numPr>
              <w:tabs>
                <w:tab w:val="clear" w:pos="720"/>
                <w:tab w:val="num" w:pos="861"/>
              </w:tabs>
              <w:rPr>
                <w:rFonts w:cs="Arial"/>
                <w:b/>
              </w:rPr>
            </w:pPr>
            <w:r w:rsidRPr="0029093D">
              <w:rPr>
                <w:rFonts w:cs="Arial"/>
              </w:rPr>
              <w:t>has been certified by the National Cyber Security Centre;</w:t>
            </w:r>
          </w:p>
          <w:p w14:paraId="168F1932" w14:textId="77777777" w:rsidR="0029093D" w:rsidRPr="003840DB" w:rsidRDefault="0029093D" w:rsidP="00F13933">
            <w:pPr>
              <w:pStyle w:val="DefinitionList"/>
              <w:numPr>
                <w:ilvl w:val="0"/>
                <w:numId w:val="66"/>
              </w:numPr>
              <w:tabs>
                <w:tab w:val="clear" w:pos="720"/>
                <w:tab w:val="num" w:pos="861"/>
              </w:tabs>
              <w:ind w:left="861"/>
              <w:rPr>
                <w:rFonts w:cs="Arial"/>
                <w:b/>
              </w:rPr>
            </w:pPr>
            <w:r w:rsidRPr="00577CA4">
              <w:rPr>
                <w:rFonts w:cs="Arial"/>
              </w:rPr>
              <w:t>holds "Green Light" status; and</w:t>
            </w:r>
          </w:p>
          <w:p w14:paraId="0AC661C4" w14:textId="77777777" w:rsidR="0029093D" w:rsidRPr="00577CA4" w:rsidRDefault="0029093D" w:rsidP="00F13933">
            <w:pPr>
              <w:pStyle w:val="DefinitionList"/>
              <w:numPr>
                <w:ilvl w:val="0"/>
                <w:numId w:val="66"/>
              </w:numPr>
              <w:tabs>
                <w:tab w:val="clear" w:pos="720"/>
                <w:tab w:val="num" w:pos="861"/>
              </w:tabs>
              <w:ind w:left="861"/>
              <w:rPr>
                <w:rFonts w:cs="Arial"/>
              </w:rPr>
            </w:pPr>
            <w:r w:rsidRPr="00577CA4">
              <w:rPr>
                <w:rFonts w:cs="Arial"/>
              </w:rPr>
              <w:t>is authorised to provide the IT Health Check services required by paragraph 10 of the Security Requirements.</w:t>
            </w:r>
          </w:p>
        </w:tc>
      </w:tr>
      <w:tr w:rsidR="0029093D" w:rsidRPr="00577CA4" w14:paraId="271EC74A" w14:textId="77777777" w:rsidTr="0029093D">
        <w:tc>
          <w:tcPr>
            <w:tcW w:w="2245" w:type="dxa"/>
          </w:tcPr>
          <w:p w14:paraId="0596D410" w14:textId="77777777" w:rsidR="0029093D" w:rsidRPr="00E54F94" w:rsidRDefault="0029093D" w:rsidP="00D42BA3">
            <w:pPr>
              <w:spacing w:before="100" w:after="200"/>
              <w:rPr>
                <w:rFonts w:cs="Arial"/>
                <w:b/>
                <w:szCs w:val="24"/>
              </w:rPr>
            </w:pPr>
            <w:r w:rsidRPr="00E54F94">
              <w:rPr>
                <w:rFonts w:cs="Arial"/>
                <w:b/>
                <w:szCs w:val="24"/>
              </w:rPr>
              <w:t>Code</w:t>
            </w:r>
          </w:p>
        </w:tc>
        <w:tc>
          <w:tcPr>
            <w:tcW w:w="6141" w:type="dxa"/>
          </w:tcPr>
          <w:p w14:paraId="06522649" w14:textId="77777777" w:rsidR="0029093D" w:rsidRPr="00577CA4" w:rsidRDefault="0029093D" w:rsidP="00D42BA3">
            <w:pPr>
              <w:spacing w:before="100" w:after="200"/>
              <w:rPr>
                <w:rFonts w:cs="Arial"/>
                <w:b/>
                <w:szCs w:val="24"/>
              </w:rPr>
            </w:pPr>
            <w:r w:rsidRPr="00577CA4">
              <w:rPr>
                <w:rFonts w:cs="Arial"/>
                <w:szCs w:val="24"/>
              </w:rPr>
              <w:t>means, in respect of the Developed System:</w:t>
            </w:r>
          </w:p>
          <w:p w14:paraId="1893620A" w14:textId="77777777" w:rsidR="0029093D" w:rsidRPr="0029093D" w:rsidRDefault="0029093D" w:rsidP="00E1349E">
            <w:pPr>
              <w:pStyle w:val="DefinitionList"/>
              <w:numPr>
                <w:ilvl w:val="0"/>
                <w:numId w:val="216"/>
              </w:numPr>
              <w:tabs>
                <w:tab w:val="clear" w:pos="720"/>
                <w:tab w:val="num" w:pos="861"/>
              </w:tabs>
              <w:rPr>
                <w:rFonts w:cs="Arial"/>
                <w:b/>
              </w:rPr>
            </w:pPr>
            <w:r w:rsidRPr="0029093D">
              <w:rPr>
                <w:rFonts w:cs="Arial"/>
              </w:rPr>
              <w:t>the source code;</w:t>
            </w:r>
          </w:p>
          <w:p w14:paraId="6924D0DA" w14:textId="77777777" w:rsidR="0029093D" w:rsidRPr="003840DB" w:rsidRDefault="0029093D" w:rsidP="00F13933">
            <w:pPr>
              <w:pStyle w:val="DefinitionList"/>
              <w:numPr>
                <w:ilvl w:val="0"/>
                <w:numId w:val="66"/>
              </w:numPr>
              <w:tabs>
                <w:tab w:val="clear" w:pos="720"/>
                <w:tab w:val="num" w:pos="861"/>
              </w:tabs>
              <w:ind w:left="861"/>
              <w:rPr>
                <w:rFonts w:cs="Arial"/>
                <w:b/>
              </w:rPr>
            </w:pPr>
            <w:r w:rsidRPr="00577CA4">
              <w:rPr>
                <w:rFonts w:cs="Arial"/>
              </w:rPr>
              <w:t>the object code;</w:t>
            </w:r>
          </w:p>
          <w:p w14:paraId="446D3661" w14:textId="77777777" w:rsidR="0029093D" w:rsidRPr="003840DB" w:rsidRDefault="0029093D" w:rsidP="00F13933">
            <w:pPr>
              <w:pStyle w:val="DefinitionList"/>
              <w:numPr>
                <w:ilvl w:val="0"/>
                <w:numId w:val="66"/>
              </w:numPr>
              <w:tabs>
                <w:tab w:val="clear" w:pos="720"/>
                <w:tab w:val="num" w:pos="861"/>
              </w:tabs>
              <w:ind w:left="861"/>
              <w:rPr>
                <w:rFonts w:cs="Arial"/>
                <w:b/>
              </w:rPr>
            </w:pPr>
            <w:r w:rsidRPr="00577CA4">
              <w:rPr>
                <w:rFonts w:cs="Arial"/>
              </w:rPr>
              <w:t>third-party components, including third-party coding frameworks and libraries; and</w:t>
            </w:r>
          </w:p>
          <w:p w14:paraId="2CCBF265" w14:textId="77777777" w:rsidR="0029093D" w:rsidRPr="00577CA4" w:rsidRDefault="0029093D" w:rsidP="00F13933">
            <w:pPr>
              <w:pStyle w:val="DefinitionList"/>
              <w:numPr>
                <w:ilvl w:val="0"/>
                <w:numId w:val="66"/>
              </w:numPr>
              <w:tabs>
                <w:tab w:val="clear" w:pos="720"/>
                <w:tab w:val="num" w:pos="861"/>
              </w:tabs>
              <w:ind w:left="861"/>
              <w:rPr>
                <w:rFonts w:cs="Arial"/>
              </w:rPr>
            </w:pPr>
            <w:r w:rsidRPr="00577CA4">
              <w:rPr>
                <w:rFonts w:cs="Arial"/>
              </w:rPr>
              <w:t>all supporting documentation.</w:t>
            </w:r>
          </w:p>
        </w:tc>
      </w:tr>
      <w:tr w:rsidR="0029093D" w:rsidRPr="00577CA4" w14:paraId="601461A0" w14:textId="77777777" w:rsidTr="0029093D">
        <w:tc>
          <w:tcPr>
            <w:tcW w:w="2245" w:type="dxa"/>
          </w:tcPr>
          <w:p w14:paraId="62D01701" w14:textId="77777777" w:rsidR="0029093D" w:rsidRPr="00E54F94" w:rsidRDefault="0029093D" w:rsidP="00D42BA3">
            <w:pPr>
              <w:spacing w:before="100" w:after="200"/>
              <w:rPr>
                <w:rFonts w:cs="Arial"/>
                <w:b/>
                <w:szCs w:val="24"/>
              </w:rPr>
            </w:pPr>
            <w:r w:rsidRPr="00E54F94">
              <w:rPr>
                <w:rFonts w:cs="Arial"/>
                <w:b/>
                <w:szCs w:val="24"/>
              </w:rPr>
              <w:t>Code Review</w:t>
            </w:r>
          </w:p>
        </w:tc>
        <w:tc>
          <w:tcPr>
            <w:tcW w:w="6141" w:type="dxa"/>
          </w:tcPr>
          <w:p w14:paraId="640F793F" w14:textId="77777777" w:rsidR="0029093D" w:rsidRPr="00577CA4" w:rsidRDefault="0029093D" w:rsidP="00D42BA3">
            <w:pPr>
              <w:spacing w:before="100" w:after="200"/>
              <w:rPr>
                <w:rFonts w:cs="Arial"/>
                <w:b/>
                <w:szCs w:val="24"/>
              </w:rPr>
            </w:pPr>
            <w:r w:rsidRPr="00577CA4">
              <w:rPr>
                <w:rFonts w:cs="Arial"/>
                <w:szCs w:val="24"/>
              </w:rPr>
              <w:t>means a periodic review of the Code by manual or automated means to:</w:t>
            </w:r>
          </w:p>
          <w:p w14:paraId="40AB57B4" w14:textId="77777777" w:rsidR="0029093D" w:rsidRPr="0029093D" w:rsidRDefault="0029093D" w:rsidP="00E1349E">
            <w:pPr>
              <w:pStyle w:val="DefinitionList"/>
              <w:numPr>
                <w:ilvl w:val="0"/>
                <w:numId w:val="217"/>
              </w:numPr>
              <w:tabs>
                <w:tab w:val="clear" w:pos="720"/>
                <w:tab w:val="num" w:pos="861"/>
              </w:tabs>
              <w:rPr>
                <w:rFonts w:eastAsia="Calibri" w:cs="Arial"/>
                <w:b/>
                <w:lang w:eastAsia="en-US"/>
              </w:rPr>
            </w:pPr>
            <w:r w:rsidRPr="0029093D">
              <w:rPr>
                <w:rFonts w:eastAsia="Calibri" w:cs="Arial"/>
                <w:lang w:eastAsia="en-US"/>
              </w:rPr>
              <w:t>identify and fix any bugs; and</w:t>
            </w:r>
          </w:p>
          <w:p w14:paraId="08506ADD" w14:textId="77777777" w:rsidR="0029093D" w:rsidRPr="003840DB" w:rsidRDefault="0029093D" w:rsidP="00F13933">
            <w:pPr>
              <w:pStyle w:val="DefinitionList"/>
              <w:numPr>
                <w:ilvl w:val="0"/>
                <w:numId w:val="66"/>
              </w:numPr>
              <w:tabs>
                <w:tab w:val="clear" w:pos="720"/>
                <w:tab w:val="num" w:pos="861"/>
              </w:tabs>
              <w:ind w:left="861"/>
              <w:rPr>
                <w:rFonts w:cs="Arial"/>
                <w:b/>
              </w:rPr>
            </w:pPr>
            <w:r w:rsidRPr="00577CA4">
              <w:rPr>
                <w:rFonts w:cs="Arial"/>
              </w:rPr>
              <w:t>ensure the Code complies with</w:t>
            </w:r>
          </w:p>
          <w:p w14:paraId="102044EE" w14:textId="77777777" w:rsidR="0029093D" w:rsidRPr="0055431A" w:rsidRDefault="0029093D" w:rsidP="00F13933">
            <w:pPr>
              <w:pStyle w:val="DefinitionListLevel1"/>
              <w:numPr>
                <w:ilvl w:val="1"/>
                <w:numId w:val="66"/>
              </w:numPr>
              <w:rPr>
                <w:rFonts w:cs="Arial"/>
                <w:b/>
              </w:rPr>
            </w:pPr>
            <w:r w:rsidRPr="0055431A">
              <w:rPr>
                <w:rFonts w:cs="Arial"/>
              </w:rPr>
              <w:t>the requirements of this Schedule 5 (Security Management); and</w:t>
            </w:r>
          </w:p>
          <w:p w14:paraId="41010B1E" w14:textId="77777777" w:rsidR="0029093D" w:rsidRPr="0055431A" w:rsidRDefault="0029093D" w:rsidP="00F13933">
            <w:pPr>
              <w:pStyle w:val="DefinitionListLevel1"/>
              <w:numPr>
                <w:ilvl w:val="1"/>
                <w:numId w:val="66"/>
              </w:numPr>
              <w:rPr>
                <w:rFonts w:cs="Arial"/>
              </w:rPr>
            </w:pPr>
            <w:r w:rsidRPr="0055431A">
              <w:rPr>
                <w:rFonts w:cs="Arial"/>
              </w:rPr>
              <w:t>the Secure Development Guidance.</w:t>
            </w:r>
          </w:p>
        </w:tc>
      </w:tr>
      <w:tr w:rsidR="0029093D" w:rsidRPr="00577CA4" w14:paraId="7B3EF50E" w14:textId="77777777" w:rsidTr="0029093D">
        <w:tc>
          <w:tcPr>
            <w:tcW w:w="2245" w:type="dxa"/>
          </w:tcPr>
          <w:p w14:paraId="08F22E44" w14:textId="77777777" w:rsidR="0029093D" w:rsidRPr="00E54F94" w:rsidRDefault="0029093D" w:rsidP="00D42BA3">
            <w:pPr>
              <w:spacing w:before="100" w:after="200"/>
              <w:rPr>
                <w:rFonts w:cs="Arial"/>
                <w:b/>
                <w:szCs w:val="24"/>
              </w:rPr>
            </w:pPr>
            <w:r w:rsidRPr="00E54F94">
              <w:rPr>
                <w:rFonts w:cs="Arial"/>
                <w:b/>
                <w:szCs w:val="24"/>
              </w:rPr>
              <w:lastRenderedPageBreak/>
              <w:t>Code Review Plan</w:t>
            </w:r>
          </w:p>
        </w:tc>
        <w:tc>
          <w:tcPr>
            <w:tcW w:w="6141" w:type="dxa"/>
          </w:tcPr>
          <w:p w14:paraId="4DE592D6" w14:textId="77777777" w:rsidR="0029093D" w:rsidRPr="00577CA4" w:rsidRDefault="0029093D" w:rsidP="00D42BA3">
            <w:pPr>
              <w:spacing w:before="100" w:after="200"/>
              <w:rPr>
                <w:rFonts w:cs="Arial"/>
                <w:b/>
                <w:szCs w:val="24"/>
              </w:rPr>
            </w:pPr>
            <w:r w:rsidRPr="00577CA4">
              <w:rPr>
                <w:rFonts w:cs="Arial"/>
                <w:szCs w:val="24"/>
              </w:rPr>
              <w:t>means the document agreed with the Authority under paragraph 5.2 of the Security Requirements for Development setting out the requirements for, and frequency of, Code Reviews.</w:t>
            </w:r>
          </w:p>
        </w:tc>
      </w:tr>
      <w:tr w:rsidR="0029093D" w:rsidRPr="00577CA4" w14:paraId="3D001DF6" w14:textId="77777777" w:rsidTr="0029093D">
        <w:tc>
          <w:tcPr>
            <w:tcW w:w="2245" w:type="dxa"/>
          </w:tcPr>
          <w:p w14:paraId="394C07B5" w14:textId="77777777" w:rsidR="0029093D" w:rsidRPr="00E54F94" w:rsidRDefault="0029093D" w:rsidP="00D42BA3">
            <w:pPr>
              <w:spacing w:before="100" w:after="200"/>
              <w:rPr>
                <w:rFonts w:cs="Arial"/>
                <w:b/>
                <w:szCs w:val="24"/>
              </w:rPr>
            </w:pPr>
            <w:r w:rsidRPr="00E54F94">
              <w:rPr>
                <w:rFonts w:cs="Arial"/>
                <w:b/>
                <w:szCs w:val="24"/>
              </w:rPr>
              <w:t>Code Review Report</w:t>
            </w:r>
          </w:p>
        </w:tc>
        <w:tc>
          <w:tcPr>
            <w:tcW w:w="6141" w:type="dxa"/>
          </w:tcPr>
          <w:p w14:paraId="34D07AB4" w14:textId="77777777" w:rsidR="0029093D" w:rsidRPr="00577CA4" w:rsidRDefault="0029093D" w:rsidP="00D42BA3">
            <w:pPr>
              <w:spacing w:before="100" w:after="200"/>
              <w:rPr>
                <w:rFonts w:cs="Arial"/>
                <w:b/>
                <w:szCs w:val="24"/>
              </w:rPr>
            </w:pPr>
            <w:r w:rsidRPr="00577CA4">
              <w:rPr>
                <w:rFonts w:cs="Arial"/>
                <w:szCs w:val="24"/>
              </w:rPr>
              <w:t>means a report setting out the findings of a Code Review.</w:t>
            </w:r>
          </w:p>
        </w:tc>
      </w:tr>
      <w:tr w:rsidR="0029093D" w:rsidRPr="00577CA4" w14:paraId="57FAAA15" w14:textId="77777777" w:rsidTr="0029093D">
        <w:tc>
          <w:tcPr>
            <w:tcW w:w="2245" w:type="dxa"/>
          </w:tcPr>
          <w:p w14:paraId="488A46A6" w14:textId="77777777" w:rsidR="0029093D" w:rsidRPr="00E54F94" w:rsidRDefault="0029093D" w:rsidP="00D42BA3">
            <w:pPr>
              <w:spacing w:before="100" w:after="200"/>
              <w:rPr>
                <w:rFonts w:cs="Arial"/>
                <w:b/>
                <w:szCs w:val="24"/>
              </w:rPr>
            </w:pPr>
            <w:r w:rsidRPr="00E54F94">
              <w:rPr>
                <w:rFonts w:cs="Arial"/>
                <w:b/>
                <w:szCs w:val="24"/>
              </w:rPr>
              <w:t>Cyber Essentials</w:t>
            </w:r>
          </w:p>
        </w:tc>
        <w:tc>
          <w:tcPr>
            <w:tcW w:w="6141" w:type="dxa"/>
          </w:tcPr>
          <w:p w14:paraId="7BC537CD" w14:textId="77777777" w:rsidR="0029093D" w:rsidRPr="00577CA4" w:rsidRDefault="0029093D" w:rsidP="00D42BA3">
            <w:pPr>
              <w:spacing w:before="100" w:after="200"/>
              <w:rPr>
                <w:rFonts w:cs="Arial"/>
                <w:b/>
                <w:szCs w:val="24"/>
              </w:rPr>
            </w:pPr>
            <w:r w:rsidRPr="00577CA4">
              <w:rPr>
                <w:rFonts w:cs="Arial"/>
                <w:szCs w:val="24"/>
              </w:rPr>
              <w:t>means the Cyber Essentials certificate issued under the Cyber Essentials Scheme.</w:t>
            </w:r>
          </w:p>
        </w:tc>
      </w:tr>
      <w:tr w:rsidR="0029093D" w:rsidRPr="00577CA4" w14:paraId="662735EA" w14:textId="77777777" w:rsidTr="0029093D">
        <w:tc>
          <w:tcPr>
            <w:tcW w:w="2245" w:type="dxa"/>
          </w:tcPr>
          <w:p w14:paraId="465BD626" w14:textId="77777777" w:rsidR="0029093D" w:rsidRPr="00E54F94" w:rsidRDefault="0029093D" w:rsidP="00D42BA3">
            <w:pPr>
              <w:spacing w:before="100" w:after="200"/>
              <w:rPr>
                <w:rFonts w:cs="Arial"/>
                <w:b/>
                <w:szCs w:val="24"/>
              </w:rPr>
            </w:pPr>
            <w:r w:rsidRPr="00E54F94">
              <w:rPr>
                <w:rFonts w:cs="Arial"/>
                <w:b/>
                <w:szCs w:val="24"/>
              </w:rPr>
              <w:t>Cyber Essentials Plus</w:t>
            </w:r>
          </w:p>
        </w:tc>
        <w:tc>
          <w:tcPr>
            <w:tcW w:w="6141" w:type="dxa"/>
          </w:tcPr>
          <w:p w14:paraId="4C334692" w14:textId="77777777" w:rsidR="0029093D" w:rsidRPr="00577CA4" w:rsidRDefault="0029093D" w:rsidP="00D42BA3">
            <w:pPr>
              <w:spacing w:before="100" w:after="200"/>
              <w:rPr>
                <w:rFonts w:cs="Arial"/>
                <w:b/>
                <w:szCs w:val="24"/>
              </w:rPr>
            </w:pPr>
            <w:r w:rsidRPr="00577CA4">
              <w:rPr>
                <w:rFonts w:cs="Arial"/>
                <w:szCs w:val="24"/>
              </w:rPr>
              <w:t>means the Cyber Essentials Plus certificate issued under the Cyber Essentials Scheme.</w:t>
            </w:r>
          </w:p>
        </w:tc>
      </w:tr>
      <w:tr w:rsidR="0029093D" w:rsidRPr="00577CA4" w14:paraId="68325346" w14:textId="77777777" w:rsidTr="0029093D">
        <w:tc>
          <w:tcPr>
            <w:tcW w:w="2245" w:type="dxa"/>
          </w:tcPr>
          <w:p w14:paraId="094C3AE9" w14:textId="77777777" w:rsidR="0029093D" w:rsidRPr="00E54F94" w:rsidRDefault="0029093D" w:rsidP="00D42BA3">
            <w:pPr>
              <w:spacing w:before="100" w:after="200"/>
              <w:rPr>
                <w:rFonts w:cs="Arial"/>
                <w:b/>
                <w:szCs w:val="24"/>
              </w:rPr>
            </w:pPr>
            <w:r w:rsidRPr="00E54F94">
              <w:rPr>
                <w:rFonts w:cs="Arial"/>
                <w:b/>
                <w:szCs w:val="24"/>
              </w:rPr>
              <w:t>Cyber Essentials Scheme</w:t>
            </w:r>
          </w:p>
        </w:tc>
        <w:tc>
          <w:tcPr>
            <w:tcW w:w="6141" w:type="dxa"/>
          </w:tcPr>
          <w:p w14:paraId="4C7CBB82" w14:textId="77777777" w:rsidR="0029093D" w:rsidRPr="00577CA4" w:rsidRDefault="0029093D" w:rsidP="00D42BA3">
            <w:pPr>
              <w:spacing w:before="100" w:after="200"/>
              <w:rPr>
                <w:rFonts w:cs="Arial"/>
                <w:b/>
                <w:szCs w:val="24"/>
              </w:rPr>
            </w:pPr>
            <w:r w:rsidRPr="00577CA4">
              <w:rPr>
                <w:rFonts w:cs="Arial"/>
                <w:szCs w:val="24"/>
              </w:rPr>
              <w:t>means the Cyber Essentials scheme operated by the National Cyber Security Centre.</w:t>
            </w:r>
          </w:p>
        </w:tc>
      </w:tr>
      <w:tr w:rsidR="0029093D" w:rsidRPr="00577CA4" w14:paraId="27DC7118" w14:textId="77777777" w:rsidTr="0029093D">
        <w:tc>
          <w:tcPr>
            <w:tcW w:w="2245" w:type="dxa"/>
          </w:tcPr>
          <w:p w14:paraId="6DB19798" w14:textId="77777777" w:rsidR="0029093D" w:rsidRPr="00E54F94" w:rsidRDefault="0029093D" w:rsidP="00D42BA3">
            <w:pPr>
              <w:spacing w:before="100" w:after="200"/>
              <w:rPr>
                <w:rFonts w:cs="Arial"/>
                <w:b/>
                <w:szCs w:val="24"/>
              </w:rPr>
            </w:pPr>
            <w:r w:rsidRPr="00E54F94">
              <w:rPr>
                <w:rFonts w:cs="Arial"/>
                <w:b/>
                <w:szCs w:val="24"/>
              </w:rPr>
              <w:t>Data Migration Plan</w:t>
            </w:r>
          </w:p>
        </w:tc>
        <w:tc>
          <w:tcPr>
            <w:tcW w:w="6141" w:type="dxa"/>
          </w:tcPr>
          <w:p w14:paraId="51118306" w14:textId="77777777" w:rsidR="0029093D" w:rsidRPr="00577CA4" w:rsidRDefault="0029093D" w:rsidP="00D42BA3">
            <w:pPr>
              <w:spacing w:before="100" w:after="200"/>
              <w:rPr>
                <w:rFonts w:cs="Arial"/>
                <w:b/>
                <w:szCs w:val="24"/>
              </w:rPr>
            </w:pPr>
            <w:r w:rsidRPr="00577CA4">
              <w:rPr>
                <w:rFonts w:cs="Arial"/>
                <w:szCs w:val="24"/>
              </w:rPr>
              <w:t>means the plan for the migration of the Authority Data to the Authority and/or the Replacement Supplier (as required by the Authority) required by paragraph 15 of the Security Requirements.</w:t>
            </w:r>
          </w:p>
        </w:tc>
      </w:tr>
      <w:tr w:rsidR="0029093D" w:rsidRPr="00577CA4" w14:paraId="76ACED0E" w14:textId="77777777" w:rsidTr="0029093D">
        <w:tc>
          <w:tcPr>
            <w:tcW w:w="2245" w:type="dxa"/>
          </w:tcPr>
          <w:p w14:paraId="4EEB7F7B" w14:textId="77777777" w:rsidR="0029093D" w:rsidRPr="00E54F94" w:rsidRDefault="0029093D" w:rsidP="00D42BA3">
            <w:pPr>
              <w:spacing w:before="100" w:after="200"/>
              <w:rPr>
                <w:rFonts w:cs="Arial"/>
                <w:b/>
                <w:szCs w:val="24"/>
              </w:rPr>
            </w:pPr>
            <w:r w:rsidRPr="00E54F94">
              <w:rPr>
                <w:rFonts w:cs="Arial"/>
                <w:b/>
                <w:szCs w:val="24"/>
              </w:rPr>
              <w:t>Developed System</w:t>
            </w:r>
          </w:p>
        </w:tc>
        <w:tc>
          <w:tcPr>
            <w:tcW w:w="6141" w:type="dxa"/>
          </w:tcPr>
          <w:p w14:paraId="3B8682C0" w14:textId="77777777" w:rsidR="0029093D" w:rsidRPr="00577CA4" w:rsidRDefault="0029093D" w:rsidP="00D42BA3">
            <w:pPr>
              <w:spacing w:before="100" w:after="200"/>
              <w:rPr>
                <w:rFonts w:cs="Arial"/>
                <w:b/>
                <w:szCs w:val="24"/>
              </w:rPr>
            </w:pPr>
            <w:r w:rsidRPr="00577CA4">
              <w:rPr>
                <w:rFonts w:cs="Arial"/>
                <w:szCs w:val="24"/>
              </w:rPr>
              <w:t>means any software or system that the Supplier will develop under this Contract either:</w:t>
            </w:r>
          </w:p>
          <w:p w14:paraId="3252DD43" w14:textId="77777777" w:rsidR="0029093D" w:rsidRPr="0029093D" w:rsidRDefault="0029093D" w:rsidP="00E1349E">
            <w:pPr>
              <w:pStyle w:val="DefinitionList"/>
              <w:numPr>
                <w:ilvl w:val="0"/>
                <w:numId w:val="218"/>
              </w:numPr>
              <w:tabs>
                <w:tab w:val="clear" w:pos="720"/>
                <w:tab w:val="num" w:pos="861"/>
              </w:tabs>
              <w:rPr>
                <w:rFonts w:cs="Arial"/>
                <w:b/>
              </w:rPr>
            </w:pPr>
            <w:r w:rsidRPr="0029093D">
              <w:rPr>
                <w:rFonts w:cs="Arial"/>
              </w:rPr>
              <w:t>as part of the Services; or</w:t>
            </w:r>
          </w:p>
          <w:p w14:paraId="2FFF2131" w14:textId="77777777" w:rsidR="0029093D" w:rsidRPr="0055431A" w:rsidRDefault="0029093D" w:rsidP="00F13933">
            <w:pPr>
              <w:pStyle w:val="DefinitionList"/>
              <w:numPr>
                <w:ilvl w:val="0"/>
                <w:numId w:val="66"/>
              </w:numPr>
              <w:tabs>
                <w:tab w:val="clear" w:pos="720"/>
                <w:tab w:val="num" w:pos="861"/>
              </w:tabs>
              <w:ind w:left="861"/>
              <w:rPr>
                <w:rFonts w:cs="Arial"/>
                <w:b/>
              </w:rPr>
            </w:pPr>
            <w:r w:rsidRPr="0055431A">
              <w:rPr>
                <w:rFonts w:cs="Arial"/>
              </w:rPr>
              <w:t>to create or modify Software to:</w:t>
            </w:r>
          </w:p>
          <w:p w14:paraId="69A92413" w14:textId="77777777" w:rsidR="0029093D" w:rsidRPr="0055431A" w:rsidRDefault="0029093D" w:rsidP="00F13933">
            <w:pPr>
              <w:pStyle w:val="DefinitionListLevel1"/>
              <w:numPr>
                <w:ilvl w:val="1"/>
                <w:numId w:val="66"/>
              </w:numPr>
              <w:rPr>
                <w:rFonts w:cs="Arial"/>
                <w:b/>
              </w:rPr>
            </w:pPr>
            <w:r w:rsidRPr="0055431A">
              <w:rPr>
                <w:rFonts w:cs="Arial"/>
              </w:rPr>
              <w:t>provide the Services; or</w:t>
            </w:r>
          </w:p>
          <w:p w14:paraId="18D9CD7D" w14:textId="77777777" w:rsidR="0029093D" w:rsidRPr="00577CA4" w:rsidRDefault="0029093D" w:rsidP="00F13933">
            <w:pPr>
              <w:pStyle w:val="DefinitionListLevel1"/>
              <w:numPr>
                <w:ilvl w:val="1"/>
                <w:numId w:val="66"/>
              </w:numPr>
            </w:pPr>
            <w:r w:rsidRPr="0055431A">
              <w:rPr>
                <w:rFonts w:cs="Arial"/>
              </w:rPr>
              <w:t>Process Authority Data.</w:t>
            </w:r>
          </w:p>
        </w:tc>
      </w:tr>
      <w:tr w:rsidR="0029093D" w:rsidRPr="00577CA4" w14:paraId="41CE35A1" w14:textId="77777777" w:rsidTr="0029093D">
        <w:tc>
          <w:tcPr>
            <w:tcW w:w="2245" w:type="dxa"/>
          </w:tcPr>
          <w:p w14:paraId="630F1836" w14:textId="77777777" w:rsidR="0029093D" w:rsidRPr="00E54F94" w:rsidRDefault="0029093D" w:rsidP="00D42BA3">
            <w:pPr>
              <w:spacing w:before="100" w:after="200"/>
              <w:rPr>
                <w:rFonts w:cs="Arial"/>
                <w:b/>
                <w:szCs w:val="24"/>
              </w:rPr>
            </w:pPr>
            <w:r w:rsidRPr="00E54F94">
              <w:rPr>
                <w:rFonts w:cs="Arial"/>
                <w:b/>
                <w:szCs w:val="24"/>
              </w:rPr>
              <w:t>Development Activity</w:t>
            </w:r>
          </w:p>
        </w:tc>
        <w:tc>
          <w:tcPr>
            <w:tcW w:w="6141" w:type="dxa"/>
          </w:tcPr>
          <w:p w14:paraId="5520BFA2" w14:textId="77777777" w:rsidR="0029093D" w:rsidRPr="00577CA4" w:rsidRDefault="0029093D" w:rsidP="00D42BA3">
            <w:pPr>
              <w:spacing w:before="100" w:after="200"/>
              <w:rPr>
                <w:rFonts w:cs="Arial"/>
                <w:b/>
                <w:szCs w:val="24"/>
              </w:rPr>
            </w:pPr>
            <w:r w:rsidRPr="00577CA4">
              <w:rPr>
                <w:rFonts w:cs="Arial"/>
                <w:szCs w:val="24"/>
              </w:rPr>
              <w:t>means any activity relating to the development, deployment maintenance and upgrading of the Developed System, including:</w:t>
            </w:r>
          </w:p>
          <w:p w14:paraId="646498E5" w14:textId="77777777" w:rsidR="0029093D" w:rsidRPr="0029093D" w:rsidRDefault="0029093D" w:rsidP="00E1349E">
            <w:pPr>
              <w:pStyle w:val="DefinitionList"/>
              <w:numPr>
                <w:ilvl w:val="0"/>
                <w:numId w:val="219"/>
              </w:numPr>
              <w:tabs>
                <w:tab w:val="clear" w:pos="720"/>
                <w:tab w:val="num" w:pos="861"/>
              </w:tabs>
              <w:rPr>
                <w:rFonts w:cs="Arial"/>
                <w:b/>
              </w:rPr>
            </w:pPr>
            <w:r w:rsidRPr="0029093D">
              <w:rPr>
                <w:rFonts w:cs="Arial"/>
              </w:rPr>
              <w:t>coding;</w:t>
            </w:r>
          </w:p>
          <w:p w14:paraId="024A6A61" w14:textId="77777777" w:rsidR="0029093D" w:rsidRPr="0055431A" w:rsidRDefault="0029093D" w:rsidP="00F13933">
            <w:pPr>
              <w:pStyle w:val="DefinitionList"/>
              <w:numPr>
                <w:ilvl w:val="0"/>
                <w:numId w:val="66"/>
              </w:numPr>
              <w:tabs>
                <w:tab w:val="clear" w:pos="720"/>
                <w:tab w:val="num" w:pos="861"/>
              </w:tabs>
              <w:ind w:left="861"/>
              <w:rPr>
                <w:rFonts w:cs="Arial"/>
                <w:b/>
              </w:rPr>
            </w:pPr>
            <w:r w:rsidRPr="0055431A">
              <w:rPr>
                <w:rFonts w:cs="Arial"/>
              </w:rPr>
              <w:t>testing;</w:t>
            </w:r>
          </w:p>
          <w:p w14:paraId="7BDFAEE7" w14:textId="77777777" w:rsidR="0029093D" w:rsidRPr="0055431A" w:rsidRDefault="0029093D" w:rsidP="00F13933">
            <w:pPr>
              <w:pStyle w:val="DefinitionList"/>
              <w:numPr>
                <w:ilvl w:val="0"/>
                <w:numId w:val="66"/>
              </w:numPr>
              <w:tabs>
                <w:tab w:val="clear" w:pos="720"/>
                <w:tab w:val="num" w:pos="861"/>
              </w:tabs>
              <w:ind w:left="861"/>
              <w:rPr>
                <w:rFonts w:cs="Arial"/>
                <w:b/>
              </w:rPr>
            </w:pPr>
            <w:r w:rsidRPr="0055431A">
              <w:rPr>
                <w:rFonts w:cs="Arial"/>
              </w:rPr>
              <w:t>code storage; and</w:t>
            </w:r>
          </w:p>
          <w:p w14:paraId="4F45BF71" w14:textId="77777777" w:rsidR="0029093D" w:rsidRPr="00577CA4" w:rsidRDefault="0029093D" w:rsidP="00F13933">
            <w:pPr>
              <w:pStyle w:val="DefinitionList"/>
              <w:numPr>
                <w:ilvl w:val="0"/>
                <w:numId w:val="66"/>
              </w:numPr>
              <w:tabs>
                <w:tab w:val="clear" w:pos="720"/>
                <w:tab w:val="num" w:pos="861"/>
              </w:tabs>
              <w:ind w:left="861"/>
            </w:pPr>
            <w:r w:rsidRPr="0055431A">
              <w:rPr>
                <w:rFonts w:cs="Arial"/>
              </w:rPr>
              <w:t>deployment.</w:t>
            </w:r>
          </w:p>
        </w:tc>
      </w:tr>
      <w:tr w:rsidR="0029093D" w:rsidRPr="00577CA4" w14:paraId="3B2AF16A" w14:textId="77777777" w:rsidTr="0029093D">
        <w:tc>
          <w:tcPr>
            <w:tcW w:w="2245" w:type="dxa"/>
          </w:tcPr>
          <w:p w14:paraId="1EEC4AB1" w14:textId="77777777" w:rsidR="0029093D" w:rsidRPr="00E54F94" w:rsidRDefault="0029093D" w:rsidP="00D42BA3">
            <w:pPr>
              <w:spacing w:before="100" w:after="200"/>
              <w:rPr>
                <w:rFonts w:cs="Arial"/>
                <w:b/>
                <w:szCs w:val="24"/>
              </w:rPr>
            </w:pPr>
            <w:r w:rsidRPr="00E54F94">
              <w:rPr>
                <w:rFonts w:cs="Arial"/>
                <w:b/>
                <w:szCs w:val="24"/>
              </w:rPr>
              <w:t>Development Environment</w:t>
            </w:r>
          </w:p>
        </w:tc>
        <w:tc>
          <w:tcPr>
            <w:tcW w:w="6141" w:type="dxa"/>
          </w:tcPr>
          <w:p w14:paraId="69FA1CAC" w14:textId="77777777" w:rsidR="0029093D" w:rsidRPr="00577CA4" w:rsidRDefault="0029093D" w:rsidP="00D42BA3">
            <w:pPr>
              <w:spacing w:before="100" w:after="200"/>
              <w:rPr>
                <w:rFonts w:cs="Arial"/>
                <w:b/>
                <w:szCs w:val="24"/>
              </w:rPr>
            </w:pPr>
            <w:r w:rsidRPr="00577CA4">
              <w:rPr>
                <w:rFonts w:cs="Arial"/>
                <w:szCs w:val="24"/>
              </w:rPr>
              <w:t xml:space="preserve">means any information and communications technology system and the Sites forming part of the Supplier Information Management System that the Supplier or </w:t>
            </w:r>
            <w:r w:rsidRPr="00577CA4">
              <w:rPr>
                <w:rFonts w:cs="Arial"/>
                <w:szCs w:val="24"/>
              </w:rPr>
              <w:lastRenderedPageBreak/>
              <w:t>its Sub-contractors will use to provide the Development Activity.</w:t>
            </w:r>
          </w:p>
        </w:tc>
      </w:tr>
      <w:tr w:rsidR="0029093D" w:rsidRPr="00577CA4" w14:paraId="1A9C2598" w14:textId="77777777" w:rsidTr="0029093D">
        <w:tc>
          <w:tcPr>
            <w:tcW w:w="2245" w:type="dxa"/>
          </w:tcPr>
          <w:p w14:paraId="797C3DCE" w14:textId="77777777" w:rsidR="0029093D" w:rsidRPr="00E54F94" w:rsidRDefault="0029093D" w:rsidP="00D42BA3">
            <w:pPr>
              <w:spacing w:before="100" w:after="200"/>
              <w:rPr>
                <w:rFonts w:cs="Arial"/>
                <w:b/>
                <w:szCs w:val="24"/>
              </w:rPr>
            </w:pPr>
            <w:r w:rsidRPr="00E54F94">
              <w:rPr>
                <w:rFonts w:cs="Arial"/>
                <w:b/>
                <w:szCs w:val="24"/>
              </w:rPr>
              <w:lastRenderedPageBreak/>
              <w:t>EEA</w:t>
            </w:r>
          </w:p>
        </w:tc>
        <w:tc>
          <w:tcPr>
            <w:tcW w:w="6141" w:type="dxa"/>
          </w:tcPr>
          <w:p w14:paraId="2E5C00EC" w14:textId="77777777" w:rsidR="0029093D" w:rsidRPr="00577CA4" w:rsidRDefault="0029093D" w:rsidP="00D42BA3">
            <w:pPr>
              <w:spacing w:before="100" w:after="200"/>
              <w:rPr>
                <w:rFonts w:cs="Arial"/>
                <w:b/>
                <w:szCs w:val="24"/>
              </w:rPr>
            </w:pPr>
            <w:r w:rsidRPr="00577CA4">
              <w:rPr>
                <w:rFonts w:cs="Arial"/>
                <w:szCs w:val="24"/>
              </w:rPr>
              <w:t>means the European Economic Area.</w:t>
            </w:r>
          </w:p>
        </w:tc>
      </w:tr>
      <w:tr w:rsidR="0029093D" w:rsidRPr="00577CA4" w14:paraId="0142F8E3" w14:textId="77777777" w:rsidTr="0029093D">
        <w:tc>
          <w:tcPr>
            <w:tcW w:w="2245" w:type="dxa"/>
          </w:tcPr>
          <w:p w14:paraId="735AF31C" w14:textId="77777777" w:rsidR="0029093D" w:rsidRPr="00E54F94" w:rsidRDefault="0029093D" w:rsidP="00D42BA3">
            <w:pPr>
              <w:spacing w:before="100" w:after="200"/>
              <w:rPr>
                <w:rFonts w:cs="Arial"/>
                <w:b/>
                <w:szCs w:val="24"/>
              </w:rPr>
            </w:pPr>
            <w:r w:rsidRPr="00E54F94">
              <w:rPr>
                <w:rFonts w:cs="Arial"/>
                <w:b/>
                <w:szCs w:val="24"/>
              </w:rPr>
              <w:t>End-user Device</w:t>
            </w:r>
          </w:p>
        </w:tc>
        <w:tc>
          <w:tcPr>
            <w:tcW w:w="6141" w:type="dxa"/>
          </w:tcPr>
          <w:p w14:paraId="032D7089" w14:textId="77777777" w:rsidR="0029093D" w:rsidRPr="00577CA4" w:rsidRDefault="0029093D" w:rsidP="00D42BA3">
            <w:pPr>
              <w:spacing w:before="100" w:after="200"/>
              <w:rPr>
                <w:rFonts w:cs="Arial"/>
                <w:b/>
                <w:szCs w:val="24"/>
              </w:rPr>
            </w:pPr>
            <w:r w:rsidRPr="00577CA4">
              <w:rPr>
                <w:rFonts w:cs="Arial"/>
                <w:szCs w:val="24"/>
              </w:rPr>
              <w:t>means any personal computers, laptops, tablets, terminals, smartphones or other portable electronic device used in the provision of the Services.</w:t>
            </w:r>
          </w:p>
        </w:tc>
      </w:tr>
      <w:tr w:rsidR="0029093D" w:rsidRPr="00577CA4" w14:paraId="58E54F8B" w14:textId="77777777" w:rsidTr="0029093D">
        <w:tc>
          <w:tcPr>
            <w:tcW w:w="2245" w:type="dxa"/>
          </w:tcPr>
          <w:p w14:paraId="0152CA07" w14:textId="77777777" w:rsidR="0029093D" w:rsidRPr="00E54F94" w:rsidRDefault="0029093D" w:rsidP="00D42BA3">
            <w:pPr>
              <w:spacing w:before="100" w:after="200"/>
              <w:rPr>
                <w:rFonts w:cs="Arial"/>
                <w:b/>
                <w:szCs w:val="24"/>
              </w:rPr>
            </w:pPr>
            <w:r w:rsidRPr="00E54F94">
              <w:rPr>
                <w:rFonts w:cs="Arial"/>
                <w:b/>
                <w:szCs w:val="24"/>
              </w:rPr>
              <w:t>Email Service</w:t>
            </w:r>
          </w:p>
        </w:tc>
        <w:tc>
          <w:tcPr>
            <w:tcW w:w="6141" w:type="dxa"/>
          </w:tcPr>
          <w:p w14:paraId="601D236F" w14:textId="77777777" w:rsidR="0029093D" w:rsidRPr="00577CA4" w:rsidRDefault="0029093D" w:rsidP="00D42BA3">
            <w:pPr>
              <w:spacing w:before="100" w:after="200"/>
              <w:rPr>
                <w:rFonts w:cs="Arial"/>
                <w:b/>
                <w:szCs w:val="24"/>
              </w:rPr>
            </w:pPr>
            <w:r w:rsidRPr="00577CA4">
              <w:rPr>
                <w:rFonts w:cs="Arial"/>
                <w:szCs w:val="24"/>
              </w:rPr>
              <w:t>means a service that will send, or can be used to send, emails from the Authority’s email address or otherwise on behalf of the Authority.</w:t>
            </w:r>
          </w:p>
        </w:tc>
      </w:tr>
      <w:tr w:rsidR="0029093D" w:rsidRPr="00577CA4" w14:paraId="41A5DE96" w14:textId="77777777" w:rsidTr="0029093D">
        <w:tc>
          <w:tcPr>
            <w:tcW w:w="2245" w:type="dxa"/>
          </w:tcPr>
          <w:p w14:paraId="70295AF7" w14:textId="77777777" w:rsidR="0029093D" w:rsidRPr="00E54F94" w:rsidRDefault="0029093D" w:rsidP="00D42BA3">
            <w:pPr>
              <w:spacing w:before="100" w:after="200"/>
              <w:rPr>
                <w:rFonts w:cs="Arial"/>
                <w:b/>
                <w:szCs w:val="24"/>
              </w:rPr>
            </w:pPr>
            <w:r w:rsidRPr="00E54F94">
              <w:rPr>
                <w:rFonts w:cs="Arial"/>
                <w:b/>
                <w:szCs w:val="24"/>
              </w:rPr>
              <w:t>Higher Risk Sub-contractor</w:t>
            </w:r>
          </w:p>
        </w:tc>
        <w:tc>
          <w:tcPr>
            <w:tcW w:w="6141" w:type="dxa"/>
          </w:tcPr>
          <w:p w14:paraId="7D939CE7" w14:textId="77777777" w:rsidR="0029093D" w:rsidRPr="00577CA4" w:rsidRDefault="0029093D" w:rsidP="00D42BA3">
            <w:pPr>
              <w:spacing w:before="100" w:after="200"/>
              <w:rPr>
                <w:rFonts w:cs="Arial"/>
                <w:b/>
                <w:szCs w:val="24"/>
              </w:rPr>
            </w:pPr>
            <w:r w:rsidRPr="00577CA4">
              <w:rPr>
                <w:rFonts w:cs="Arial"/>
                <w:szCs w:val="24"/>
              </w:rPr>
              <w:t>means a Sub-contractor that Processes Authority Data, where that data includes either:</w:t>
            </w:r>
          </w:p>
          <w:p w14:paraId="22F74EC5" w14:textId="52B94582" w:rsidR="0029093D" w:rsidRPr="0029093D" w:rsidRDefault="0029093D" w:rsidP="00E1349E">
            <w:pPr>
              <w:pStyle w:val="DefinitionList"/>
              <w:numPr>
                <w:ilvl w:val="0"/>
                <w:numId w:val="220"/>
              </w:numPr>
              <w:tabs>
                <w:tab w:val="clear" w:pos="720"/>
                <w:tab w:val="num" w:pos="861"/>
              </w:tabs>
              <w:rPr>
                <w:rFonts w:cs="Arial"/>
                <w:b/>
              </w:rPr>
            </w:pPr>
            <w:r w:rsidRPr="0029093D">
              <w:rPr>
                <w:rFonts w:cs="Arial"/>
              </w:rPr>
              <w:t xml:space="preserve">the Personal Data of 1000 or more individuals in aggregate during the period between the first Operational Service Commencement Date and the date on which this Contract terminates in accordance with </w:t>
            </w:r>
            <w:r w:rsidR="00DF1966">
              <w:rPr>
                <w:rFonts w:cs="Arial"/>
              </w:rPr>
              <w:t>C</w:t>
            </w:r>
            <w:r w:rsidRPr="0029093D">
              <w:rPr>
                <w:rFonts w:cs="Arial"/>
              </w:rPr>
              <w:t>lause </w:t>
            </w:r>
            <w:r w:rsidR="00DF1966">
              <w:rPr>
                <w:rFonts w:cs="Arial"/>
              </w:rPr>
              <w:t>31.1.2</w:t>
            </w:r>
            <w:r w:rsidRPr="0029093D">
              <w:rPr>
                <w:rFonts w:cs="Arial"/>
              </w:rPr>
              <w:t>; or</w:t>
            </w:r>
          </w:p>
          <w:p w14:paraId="049590FF" w14:textId="77777777" w:rsidR="0029093D" w:rsidRPr="0055431A" w:rsidRDefault="0029093D" w:rsidP="00F13933">
            <w:pPr>
              <w:pStyle w:val="DefinitionList"/>
              <w:numPr>
                <w:ilvl w:val="0"/>
                <w:numId w:val="66"/>
              </w:numPr>
              <w:tabs>
                <w:tab w:val="clear" w:pos="720"/>
                <w:tab w:val="num" w:pos="861"/>
              </w:tabs>
              <w:ind w:left="861"/>
              <w:rPr>
                <w:rFonts w:cs="Arial"/>
                <w:b/>
              </w:rPr>
            </w:pPr>
            <w:r w:rsidRPr="0055431A">
              <w:rPr>
                <w:rFonts w:cs="Arial"/>
              </w:rPr>
              <w:t>any part of that Personal Data includes any of the following:</w:t>
            </w:r>
          </w:p>
          <w:p w14:paraId="78E8274D" w14:textId="77777777" w:rsidR="0029093D" w:rsidRPr="0055431A" w:rsidRDefault="0029093D" w:rsidP="00F13933">
            <w:pPr>
              <w:pStyle w:val="DefinitionListLevel1"/>
              <w:numPr>
                <w:ilvl w:val="1"/>
                <w:numId w:val="66"/>
              </w:numPr>
              <w:rPr>
                <w:rFonts w:cs="Arial"/>
                <w:b/>
              </w:rPr>
            </w:pPr>
            <w:r w:rsidRPr="0055431A">
              <w:rPr>
                <w:rFonts w:cs="Arial"/>
              </w:rPr>
              <w:t>financial information (including any tax and/or welfare information) relating to any person;</w:t>
            </w:r>
          </w:p>
          <w:p w14:paraId="7D38BCAA" w14:textId="77777777" w:rsidR="0029093D" w:rsidRPr="0055431A" w:rsidRDefault="0029093D" w:rsidP="00F13933">
            <w:pPr>
              <w:pStyle w:val="DefinitionListLevel1"/>
              <w:numPr>
                <w:ilvl w:val="1"/>
                <w:numId w:val="66"/>
              </w:numPr>
              <w:rPr>
                <w:rFonts w:cs="Arial"/>
                <w:b/>
              </w:rPr>
            </w:pPr>
            <w:r w:rsidRPr="0055431A">
              <w:rPr>
                <w:rFonts w:cs="Arial"/>
              </w:rPr>
              <w:t>any information relating to actual or alleged criminal offences (including criminal records);</w:t>
            </w:r>
          </w:p>
          <w:p w14:paraId="04AAC42A" w14:textId="77777777" w:rsidR="0029093D" w:rsidRPr="0055431A" w:rsidRDefault="0029093D" w:rsidP="00F13933">
            <w:pPr>
              <w:pStyle w:val="DefinitionListLevel1"/>
              <w:numPr>
                <w:ilvl w:val="1"/>
                <w:numId w:val="66"/>
              </w:numPr>
              <w:rPr>
                <w:rFonts w:cs="Arial"/>
                <w:b/>
              </w:rPr>
            </w:pPr>
            <w:r w:rsidRPr="0055431A">
              <w:rPr>
                <w:rFonts w:cs="Arial"/>
              </w:rPr>
              <w:t>any information relating to children and/or vulnerable persons;</w:t>
            </w:r>
          </w:p>
          <w:p w14:paraId="26344338" w14:textId="77777777" w:rsidR="0029093D" w:rsidRPr="0055431A" w:rsidRDefault="0029093D" w:rsidP="00F13933">
            <w:pPr>
              <w:pStyle w:val="DefinitionListLevel1"/>
              <w:numPr>
                <w:ilvl w:val="1"/>
                <w:numId w:val="66"/>
              </w:numPr>
              <w:rPr>
                <w:rFonts w:cs="Arial"/>
                <w:b/>
              </w:rPr>
            </w:pPr>
            <w:r w:rsidRPr="0055431A">
              <w:rPr>
                <w:rFonts w:cs="Arial"/>
              </w:rPr>
              <w:t>any information relating to social care;</w:t>
            </w:r>
          </w:p>
          <w:p w14:paraId="3E038B84" w14:textId="77777777" w:rsidR="0029093D" w:rsidRPr="0055431A" w:rsidRDefault="0029093D" w:rsidP="00F13933">
            <w:pPr>
              <w:pStyle w:val="DefinitionListLevel1"/>
              <w:numPr>
                <w:ilvl w:val="1"/>
                <w:numId w:val="66"/>
              </w:numPr>
              <w:rPr>
                <w:rFonts w:cs="Arial"/>
                <w:b/>
              </w:rPr>
            </w:pPr>
            <w:r w:rsidRPr="0055431A">
              <w:rPr>
                <w:rFonts w:cs="Arial"/>
              </w:rPr>
              <w:t>any information relating to a person’s current or past employment; or</w:t>
            </w:r>
          </w:p>
          <w:p w14:paraId="290C2E6E" w14:textId="77777777" w:rsidR="0029093D" w:rsidRPr="0055431A" w:rsidRDefault="0029093D" w:rsidP="00F13933">
            <w:pPr>
              <w:pStyle w:val="DefinitionListLevel1"/>
              <w:numPr>
                <w:ilvl w:val="1"/>
                <w:numId w:val="66"/>
              </w:numPr>
              <w:rPr>
                <w:rFonts w:cs="Arial"/>
                <w:b/>
              </w:rPr>
            </w:pPr>
            <w:r w:rsidRPr="0055431A">
              <w:rPr>
                <w:rFonts w:cs="Arial"/>
              </w:rPr>
              <w:t>Special Category Personal Data; or</w:t>
            </w:r>
          </w:p>
          <w:p w14:paraId="535E05E1" w14:textId="77777777" w:rsidR="0029093D" w:rsidRPr="0055431A" w:rsidRDefault="0029093D" w:rsidP="00F13933">
            <w:pPr>
              <w:pStyle w:val="DefinitionList"/>
              <w:numPr>
                <w:ilvl w:val="0"/>
                <w:numId w:val="66"/>
              </w:numPr>
              <w:tabs>
                <w:tab w:val="clear" w:pos="720"/>
                <w:tab w:val="num" w:pos="861"/>
              </w:tabs>
              <w:ind w:left="861"/>
              <w:rPr>
                <w:rFonts w:cs="Arial"/>
                <w:b/>
              </w:rPr>
            </w:pPr>
            <w:r w:rsidRPr="0055431A">
              <w:rPr>
                <w:rFonts w:cs="Arial"/>
              </w:rPr>
              <w:t>the Authority in its discretion, designates a Sub-contractor as a Higher Risk Sub-Contractor:</w:t>
            </w:r>
          </w:p>
          <w:p w14:paraId="5914735C" w14:textId="77777777" w:rsidR="0029093D" w:rsidRPr="0055431A" w:rsidRDefault="0029093D" w:rsidP="00F13933">
            <w:pPr>
              <w:pStyle w:val="DefinitionListLevel1"/>
              <w:numPr>
                <w:ilvl w:val="1"/>
                <w:numId w:val="66"/>
              </w:numPr>
              <w:rPr>
                <w:rFonts w:cs="Arial"/>
                <w:b/>
              </w:rPr>
            </w:pPr>
            <w:r w:rsidRPr="0055431A">
              <w:rPr>
                <w:rFonts w:cs="Arial"/>
              </w:rPr>
              <w:t>in any procurement document related to this Contract; or</w:t>
            </w:r>
          </w:p>
          <w:p w14:paraId="009A7C79" w14:textId="77777777" w:rsidR="0029093D" w:rsidRPr="00577CA4" w:rsidRDefault="0029093D" w:rsidP="00F13933">
            <w:pPr>
              <w:pStyle w:val="DefinitionListLevel1"/>
              <w:numPr>
                <w:ilvl w:val="1"/>
                <w:numId w:val="66"/>
              </w:numPr>
              <w:rPr>
                <w:rFonts w:cs="Arial"/>
              </w:rPr>
            </w:pPr>
            <w:r w:rsidRPr="0055431A">
              <w:rPr>
                <w:rFonts w:cs="Arial"/>
              </w:rPr>
              <w:t>during the Term.</w:t>
            </w:r>
          </w:p>
        </w:tc>
      </w:tr>
      <w:tr w:rsidR="0029093D" w:rsidRPr="00577CA4" w14:paraId="3D6A3F47" w14:textId="77777777" w:rsidTr="0029093D">
        <w:tc>
          <w:tcPr>
            <w:tcW w:w="2245" w:type="dxa"/>
          </w:tcPr>
          <w:p w14:paraId="1358F5EA" w14:textId="77777777" w:rsidR="0029093D" w:rsidRPr="00E54F94" w:rsidRDefault="0029093D" w:rsidP="00D42BA3">
            <w:pPr>
              <w:spacing w:before="100" w:after="200"/>
              <w:rPr>
                <w:rFonts w:cs="Arial"/>
                <w:b/>
                <w:szCs w:val="24"/>
              </w:rPr>
            </w:pPr>
            <w:r w:rsidRPr="00E54F94">
              <w:rPr>
                <w:rFonts w:cs="Arial"/>
                <w:b/>
                <w:szCs w:val="24"/>
              </w:rPr>
              <w:lastRenderedPageBreak/>
              <w:t>HMG Baseline Personnel Security Standard</w:t>
            </w:r>
          </w:p>
        </w:tc>
        <w:tc>
          <w:tcPr>
            <w:tcW w:w="6141" w:type="dxa"/>
          </w:tcPr>
          <w:p w14:paraId="56DED3A5" w14:textId="46A68A48" w:rsidR="0029093D" w:rsidRPr="00577CA4" w:rsidRDefault="0029093D" w:rsidP="00D42BA3">
            <w:pPr>
              <w:spacing w:before="100" w:after="200"/>
              <w:rPr>
                <w:rFonts w:cs="Arial"/>
                <w:b/>
                <w:szCs w:val="24"/>
              </w:rPr>
            </w:pPr>
            <w:r w:rsidRPr="00577CA4">
              <w:rPr>
                <w:rFonts w:cs="Arial"/>
                <w:szCs w:val="24"/>
              </w:rPr>
              <w:t>means the employment controls applied to any individual member of the Supplier Personnel that performs any activity relating to the provision or management of the Services, as set out in "HMG Baseline Personnel Standard", Version 6.0, May 2018  (</w:t>
            </w:r>
            <w:hyperlink r:id="rId49">
              <w:r w:rsidRPr="0055431A">
                <w:rPr>
                  <w:rFonts w:cs="Arial"/>
                  <w:color w:val="0563C1"/>
                  <w:u w:val="single"/>
                </w:rPr>
                <w:t>https://assets.publishing.service.gov.uk</w:t>
              </w:r>
              <w:r w:rsidRPr="0055431A">
                <w:rPr>
                  <w:rFonts w:cs="Arial"/>
                  <w:color w:val="0563C1"/>
                  <w:u w:val="single"/>
                </w:rPr>
                <w:br/>
                <w:t>/government/uploads/system/uploads/attachment_data/file/714002/</w:t>
              </w:r>
              <w:r w:rsidRPr="0055431A">
                <w:rPr>
                  <w:rFonts w:cs="Arial"/>
                  <w:color w:val="0563C1"/>
                  <w:u w:val="single"/>
                </w:rPr>
                <w:br/>
                <w:t>HMG_Baseline_Personnel_Security_Standard_-_May_2018.pdf</w:t>
              </w:r>
            </w:hyperlink>
            <w:r w:rsidRPr="00577CA4">
              <w:rPr>
                <w:rFonts w:cs="Arial"/>
                <w:szCs w:val="24"/>
              </w:rPr>
              <w:t>), as that document is updated from time to time.</w:t>
            </w:r>
          </w:p>
        </w:tc>
      </w:tr>
      <w:tr w:rsidR="0029093D" w:rsidRPr="00577CA4" w14:paraId="1FE76DAD" w14:textId="77777777" w:rsidTr="0029093D">
        <w:tc>
          <w:tcPr>
            <w:tcW w:w="2245" w:type="dxa"/>
          </w:tcPr>
          <w:p w14:paraId="300A5492" w14:textId="77777777" w:rsidR="0029093D" w:rsidRPr="00E54F94" w:rsidRDefault="0029093D" w:rsidP="00D42BA3">
            <w:pPr>
              <w:spacing w:before="100" w:after="200"/>
              <w:rPr>
                <w:rFonts w:cs="Arial"/>
                <w:b/>
                <w:szCs w:val="24"/>
              </w:rPr>
            </w:pPr>
            <w:r w:rsidRPr="00E54F94">
              <w:rPr>
                <w:rFonts w:cs="Arial"/>
                <w:b/>
                <w:szCs w:val="24"/>
              </w:rPr>
              <w:t>Independent Security Adviser</w:t>
            </w:r>
          </w:p>
        </w:tc>
        <w:tc>
          <w:tcPr>
            <w:tcW w:w="6141" w:type="dxa"/>
          </w:tcPr>
          <w:p w14:paraId="175B2D59" w14:textId="2C50C588" w:rsidR="0029093D" w:rsidRPr="00577CA4" w:rsidRDefault="0029093D" w:rsidP="00D42BA3">
            <w:pPr>
              <w:spacing w:before="100" w:after="200"/>
              <w:rPr>
                <w:rFonts w:cs="Arial"/>
                <w:b/>
                <w:szCs w:val="24"/>
              </w:rPr>
            </w:pPr>
            <w:r w:rsidRPr="00577CA4">
              <w:rPr>
                <w:rFonts w:cs="Arial"/>
                <w:szCs w:val="24"/>
              </w:rPr>
              <w:t xml:space="preserve">means the independent and appropriately qualified and experienced security architect or expert appointed under </w:t>
            </w:r>
            <w:r w:rsidR="00D006F4">
              <w:rPr>
                <w:rFonts w:cs="Arial"/>
                <w:szCs w:val="24"/>
              </w:rPr>
              <w:t>Paragraph</w:t>
            </w:r>
            <w:r w:rsidRPr="00577CA4">
              <w:rPr>
                <w:rFonts w:cs="Arial"/>
                <w:szCs w:val="24"/>
              </w:rPr>
              <w:t> 19.</w:t>
            </w:r>
          </w:p>
        </w:tc>
      </w:tr>
      <w:tr w:rsidR="0029093D" w:rsidRPr="00577CA4" w14:paraId="0CC337F3" w14:textId="77777777" w:rsidTr="0029093D">
        <w:tc>
          <w:tcPr>
            <w:tcW w:w="2245" w:type="dxa"/>
          </w:tcPr>
          <w:p w14:paraId="0C673E1F" w14:textId="77777777" w:rsidR="0029093D" w:rsidRPr="00E54F94" w:rsidRDefault="0029093D" w:rsidP="00D42BA3">
            <w:pPr>
              <w:spacing w:before="100" w:after="200"/>
              <w:rPr>
                <w:rFonts w:cs="Arial"/>
                <w:b/>
                <w:szCs w:val="24"/>
              </w:rPr>
            </w:pPr>
            <w:r w:rsidRPr="00E54F94">
              <w:rPr>
                <w:rFonts w:cs="Arial"/>
                <w:b/>
                <w:szCs w:val="24"/>
              </w:rPr>
              <w:t>ISO Certification</w:t>
            </w:r>
          </w:p>
        </w:tc>
        <w:tc>
          <w:tcPr>
            <w:tcW w:w="6141" w:type="dxa"/>
          </w:tcPr>
          <w:p w14:paraId="6FC6EE8B" w14:textId="77777777" w:rsidR="0029093D" w:rsidRPr="00577CA4" w:rsidRDefault="0029093D" w:rsidP="00D42BA3">
            <w:pPr>
              <w:spacing w:before="100" w:after="200"/>
              <w:rPr>
                <w:rFonts w:cs="Arial"/>
                <w:b/>
                <w:szCs w:val="24"/>
              </w:rPr>
            </w:pPr>
            <w:r w:rsidRPr="00577CA4">
              <w:rPr>
                <w:rFonts w:cs="Arial"/>
                <w:szCs w:val="24"/>
              </w:rPr>
              <w:t>means:</w:t>
            </w:r>
          </w:p>
          <w:p w14:paraId="3DBA4F0B" w14:textId="77777777" w:rsidR="0029093D" w:rsidRPr="0029093D" w:rsidRDefault="0029093D" w:rsidP="00E1349E">
            <w:pPr>
              <w:pStyle w:val="DefinitionList"/>
              <w:numPr>
                <w:ilvl w:val="0"/>
                <w:numId w:val="221"/>
              </w:numPr>
              <w:tabs>
                <w:tab w:val="clear" w:pos="720"/>
                <w:tab w:val="num" w:pos="861"/>
              </w:tabs>
              <w:rPr>
                <w:rFonts w:cs="Arial"/>
                <w:b/>
              </w:rPr>
            </w:pPr>
            <w:r w:rsidRPr="0029093D">
              <w:rPr>
                <w:rFonts w:cs="Arial"/>
              </w:rPr>
              <w:t>ISO/IEC27001:2013, where the certification was obtained before November 2022, but only until November 2025; and</w:t>
            </w:r>
          </w:p>
          <w:p w14:paraId="2F773F46" w14:textId="77777777" w:rsidR="0029093D" w:rsidRPr="0055431A" w:rsidRDefault="0029093D" w:rsidP="00F13933">
            <w:pPr>
              <w:pStyle w:val="DefinitionList"/>
              <w:numPr>
                <w:ilvl w:val="0"/>
                <w:numId w:val="66"/>
              </w:numPr>
              <w:tabs>
                <w:tab w:val="clear" w:pos="720"/>
                <w:tab w:val="num" w:pos="861"/>
              </w:tabs>
              <w:ind w:left="861"/>
            </w:pPr>
            <w:r w:rsidRPr="0055431A">
              <w:rPr>
                <w:rFonts w:cs="Arial"/>
              </w:rPr>
              <w:t>ISO/IEC27001:2022 in all other cases.</w:t>
            </w:r>
          </w:p>
        </w:tc>
      </w:tr>
      <w:tr w:rsidR="0029093D" w:rsidRPr="00577CA4" w14:paraId="782490A9" w14:textId="77777777" w:rsidTr="0029093D">
        <w:tc>
          <w:tcPr>
            <w:tcW w:w="2245" w:type="dxa"/>
          </w:tcPr>
          <w:p w14:paraId="38461EC0" w14:textId="77777777" w:rsidR="0029093D" w:rsidRPr="00E54F94" w:rsidRDefault="0029093D" w:rsidP="00D42BA3">
            <w:pPr>
              <w:spacing w:before="100" w:after="200"/>
              <w:rPr>
                <w:rFonts w:cs="Arial"/>
                <w:b/>
                <w:szCs w:val="24"/>
              </w:rPr>
            </w:pPr>
            <w:r w:rsidRPr="00E54F94">
              <w:rPr>
                <w:rFonts w:cs="Arial"/>
                <w:b/>
                <w:szCs w:val="24"/>
              </w:rPr>
              <w:t>IT Health Check</w:t>
            </w:r>
          </w:p>
        </w:tc>
        <w:tc>
          <w:tcPr>
            <w:tcW w:w="6141" w:type="dxa"/>
          </w:tcPr>
          <w:p w14:paraId="75166B70" w14:textId="77777777" w:rsidR="0029093D" w:rsidRPr="00577CA4" w:rsidRDefault="0029093D" w:rsidP="00D42BA3">
            <w:pPr>
              <w:spacing w:before="100" w:after="200"/>
              <w:rPr>
                <w:rFonts w:cs="Arial"/>
                <w:b/>
                <w:szCs w:val="24"/>
              </w:rPr>
            </w:pPr>
            <w:r w:rsidRPr="00577CA4">
              <w:rPr>
                <w:rFonts w:cs="Arial"/>
                <w:szCs w:val="24"/>
              </w:rPr>
              <w:t>means testing of the Supplier Information Management System by a CHECK Service Provider.</w:t>
            </w:r>
          </w:p>
        </w:tc>
      </w:tr>
      <w:tr w:rsidR="0029093D" w:rsidRPr="00577CA4" w14:paraId="61A6F5A8" w14:textId="77777777" w:rsidTr="0029093D">
        <w:tc>
          <w:tcPr>
            <w:tcW w:w="2245" w:type="dxa"/>
          </w:tcPr>
          <w:p w14:paraId="2DCE8FAB" w14:textId="77777777" w:rsidR="0029093D" w:rsidRPr="00E54F94" w:rsidRDefault="0029093D" w:rsidP="00D42BA3">
            <w:pPr>
              <w:spacing w:before="100" w:after="200"/>
              <w:rPr>
                <w:rFonts w:cs="Arial"/>
                <w:b/>
                <w:szCs w:val="24"/>
              </w:rPr>
            </w:pPr>
            <w:r w:rsidRPr="00E54F94">
              <w:rPr>
                <w:rFonts w:cs="Arial"/>
                <w:b/>
                <w:szCs w:val="24"/>
              </w:rPr>
              <w:t>Key Sub-contractor</w:t>
            </w:r>
          </w:p>
        </w:tc>
        <w:tc>
          <w:tcPr>
            <w:tcW w:w="6141" w:type="dxa"/>
          </w:tcPr>
          <w:p w14:paraId="686A58BA" w14:textId="77777777" w:rsidR="0029093D" w:rsidRPr="00577CA4" w:rsidRDefault="0029093D" w:rsidP="00D42BA3">
            <w:pPr>
              <w:spacing w:before="100" w:after="200"/>
              <w:rPr>
                <w:rFonts w:cs="Arial"/>
                <w:b/>
                <w:szCs w:val="24"/>
              </w:rPr>
            </w:pPr>
            <w:r w:rsidRPr="00577CA4">
              <w:rPr>
                <w:rFonts w:cs="Arial"/>
                <w:szCs w:val="24"/>
              </w:rPr>
              <w:t>means any Sub-contractor:</w:t>
            </w:r>
          </w:p>
          <w:p w14:paraId="52DACDF5" w14:textId="77777777" w:rsidR="0029093D" w:rsidRPr="0029093D" w:rsidRDefault="0029093D" w:rsidP="00E1349E">
            <w:pPr>
              <w:pStyle w:val="DefinitionList"/>
              <w:numPr>
                <w:ilvl w:val="0"/>
                <w:numId w:val="222"/>
              </w:numPr>
              <w:tabs>
                <w:tab w:val="clear" w:pos="720"/>
                <w:tab w:val="num" w:pos="861"/>
              </w:tabs>
              <w:rPr>
                <w:rFonts w:cs="Arial"/>
                <w:b/>
              </w:rPr>
            </w:pPr>
            <w:r w:rsidRPr="0029093D">
              <w:rPr>
                <w:rFonts w:cs="Arial"/>
              </w:rPr>
              <w:t>which, in the opinion of the Authority, performs (or would perform if appointed) a critical role in the provision of all or any part of the Services; and/or</w:t>
            </w:r>
          </w:p>
          <w:p w14:paraId="2F1C098B" w14:textId="77777777" w:rsidR="0029093D" w:rsidRPr="00577CA4" w:rsidRDefault="0029093D" w:rsidP="00F13933">
            <w:pPr>
              <w:pStyle w:val="DefinitionList"/>
              <w:numPr>
                <w:ilvl w:val="0"/>
                <w:numId w:val="66"/>
              </w:numPr>
              <w:tabs>
                <w:tab w:val="clear" w:pos="720"/>
                <w:tab w:val="num" w:pos="861"/>
              </w:tabs>
              <w:ind w:left="861"/>
              <w:rPr>
                <w:rFonts w:cs="Arial"/>
              </w:rPr>
            </w:pPr>
            <w:r w:rsidRPr="0055431A">
              <w:rPr>
                <w:rFonts w:cs="Arial"/>
              </w:rPr>
              <w:t>with a Sub-contract with a contract value which at the time of appointment exceeds (or would exceed if appointed) 10% of the aggregate Charges forecast to be payable under this Contract (as set out in the Financial Model).</w:t>
            </w:r>
          </w:p>
        </w:tc>
      </w:tr>
      <w:tr w:rsidR="0029093D" w:rsidRPr="00577CA4" w14:paraId="2AAAE291" w14:textId="77777777" w:rsidTr="0029093D">
        <w:tc>
          <w:tcPr>
            <w:tcW w:w="2245" w:type="dxa"/>
          </w:tcPr>
          <w:p w14:paraId="5D2B17E7" w14:textId="77777777" w:rsidR="0029093D" w:rsidRPr="00E54F94" w:rsidRDefault="0029093D" w:rsidP="00D42BA3">
            <w:pPr>
              <w:spacing w:before="100" w:after="200"/>
              <w:rPr>
                <w:rFonts w:cs="Arial"/>
                <w:b/>
                <w:szCs w:val="24"/>
              </w:rPr>
            </w:pPr>
            <w:r w:rsidRPr="00E54F94">
              <w:rPr>
                <w:rFonts w:cs="Arial"/>
                <w:b/>
                <w:szCs w:val="24"/>
              </w:rPr>
              <w:t>Key Sub-contractor Default</w:t>
            </w:r>
          </w:p>
        </w:tc>
        <w:tc>
          <w:tcPr>
            <w:tcW w:w="6141" w:type="dxa"/>
          </w:tcPr>
          <w:p w14:paraId="5940EC02" w14:textId="48875F4E" w:rsidR="0029093D" w:rsidRPr="00577CA4" w:rsidRDefault="0029093D" w:rsidP="00D42BA3">
            <w:pPr>
              <w:spacing w:before="100" w:after="200"/>
              <w:rPr>
                <w:rFonts w:cs="Arial"/>
                <w:b/>
                <w:szCs w:val="24"/>
              </w:rPr>
            </w:pPr>
            <w:r w:rsidRPr="00577CA4">
              <w:rPr>
                <w:rFonts w:cs="Arial"/>
                <w:szCs w:val="24"/>
              </w:rPr>
              <w:t xml:space="preserve">has the meaning set out in </w:t>
            </w:r>
            <w:r w:rsidR="00D006F4">
              <w:rPr>
                <w:rFonts w:cs="Arial"/>
                <w:szCs w:val="24"/>
              </w:rPr>
              <w:t>Paragraph</w:t>
            </w:r>
            <w:r w:rsidRPr="00577CA4">
              <w:rPr>
                <w:rFonts w:cs="Arial"/>
                <w:szCs w:val="24"/>
              </w:rPr>
              <w:t> 10.4.</w:t>
            </w:r>
          </w:p>
        </w:tc>
      </w:tr>
      <w:tr w:rsidR="0029093D" w:rsidRPr="00577CA4" w14:paraId="3607F082" w14:textId="77777777" w:rsidTr="0029093D">
        <w:tc>
          <w:tcPr>
            <w:tcW w:w="2245" w:type="dxa"/>
          </w:tcPr>
          <w:p w14:paraId="78C2A658" w14:textId="77777777" w:rsidR="0029093D" w:rsidRPr="00E54F94" w:rsidRDefault="0029093D" w:rsidP="00D42BA3">
            <w:pPr>
              <w:spacing w:before="100" w:after="200"/>
              <w:rPr>
                <w:rFonts w:cs="Arial"/>
                <w:b/>
                <w:szCs w:val="24"/>
              </w:rPr>
            </w:pPr>
            <w:r w:rsidRPr="00E54F94">
              <w:rPr>
                <w:rFonts w:cs="Arial"/>
                <w:b/>
                <w:szCs w:val="24"/>
              </w:rPr>
              <w:t>Malicious Software</w:t>
            </w:r>
          </w:p>
        </w:tc>
        <w:tc>
          <w:tcPr>
            <w:tcW w:w="6141" w:type="dxa"/>
          </w:tcPr>
          <w:p w14:paraId="5E747DB8" w14:textId="77777777" w:rsidR="0029093D" w:rsidRPr="00577CA4" w:rsidRDefault="0029093D" w:rsidP="00D42BA3">
            <w:pPr>
              <w:spacing w:before="100" w:after="200"/>
              <w:rPr>
                <w:rFonts w:cs="Arial"/>
                <w:b/>
                <w:szCs w:val="24"/>
              </w:rPr>
            </w:pPr>
            <w:r w:rsidRPr="00577CA4">
              <w:rPr>
                <w:rFonts w:cs="Arial"/>
                <w:szCs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w:t>
            </w:r>
            <w:r w:rsidRPr="00577CA4">
              <w:rPr>
                <w:rFonts w:cs="Arial"/>
                <w:szCs w:val="24"/>
              </w:rPr>
              <w:lastRenderedPageBreak/>
              <w:t>malicious software is introduced wilfully, negligently or without knowledge of its existence.</w:t>
            </w:r>
          </w:p>
        </w:tc>
      </w:tr>
      <w:tr w:rsidR="0029093D" w:rsidRPr="00577CA4" w14:paraId="0E7CDC9A" w14:textId="77777777" w:rsidTr="0029093D">
        <w:tc>
          <w:tcPr>
            <w:tcW w:w="2245" w:type="dxa"/>
          </w:tcPr>
          <w:p w14:paraId="69A27DF2" w14:textId="77777777" w:rsidR="0029093D" w:rsidRPr="00E54F94" w:rsidRDefault="0029093D" w:rsidP="00D42BA3">
            <w:pPr>
              <w:spacing w:before="100" w:after="200"/>
              <w:rPr>
                <w:rFonts w:cs="Arial"/>
                <w:b/>
                <w:szCs w:val="24"/>
              </w:rPr>
            </w:pPr>
            <w:r w:rsidRPr="00E54F94">
              <w:rPr>
                <w:rFonts w:cs="Arial"/>
                <w:b/>
                <w:szCs w:val="24"/>
              </w:rPr>
              <w:lastRenderedPageBreak/>
              <w:t>Medium Risk Sub-contractor</w:t>
            </w:r>
          </w:p>
        </w:tc>
        <w:tc>
          <w:tcPr>
            <w:tcW w:w="6141" w:type="dxa"/>
          </w:tcPr>
          <w:p w14:paraId="19C69B23" w14:textId="6833775F" w:rsidR="0029093D" w:rsidRPr="00577CA4" w:rsidRDefault="0029093D" w:rsidP="00D42BA3">
            <w:pPr>
              <w:spacing w:before="100" w:after="200"/>
              <w:rPr>
                <w:rFonts w:cs="Arial"/>
                <w:b/>
                <w:szCs w:val="24"/>
              </w:rPr>
            </w:pPr>
            <w:r w:rsidRPr="00577CA4">
              <w:rPr>
                <w:rFonts w:cs="Arial"/>
                <w:szCs w:val="24"/>
              </w:rPr>
              <w:t>means a Sub-contractor that Processes Authority Data, where that data</w:t>
            </w:r>
          </w:p>
          <w:p w14:paraId="733A489B" w14:textId="282A7799" w:rsidR="0029093D" w:rsidRPr="0029093D" w:rsidRDefault="0029093D" w:rsidP="00E1349E">
            <w:pPr>
              <w:pStyle w:val="DefinitionList"/>
              <w:numPr>
                <w:ilvl w:val="0"/>
                <w:numId w:val="223"/>
              </w:numPr>
              <w:tabs>
                <w:tab w:val="clear" w:pos="720"/>
                <w:tab w:val="num" w:pos="861"/>
              </w:tabs>
              <w:rPr>
                <w:rFonts w:cs="Arial"/>
                <w:b/>
              </w:rPr>
            </w:pPr>
            <w:r w:rsidRPr="0029093D">
              <w:rPr>
                <w:rFonts w:cs="Arial"/>
              </w:rPr>
              <w:t xml:space="preserve">includes the Personal Data of between 100 and 999 individuals (inclusive) in the period between the first Operational Service Commencement Date and the date on which this Contract terminates in accordance with </w:t>
            </w:r>
            <w:r w:rsidR="00DF1966">
              <w:rPr>
                <w:rFonts w:cs="Arial"/>
              </w:rPr>
              <w:t>C</w:t>
            </w:r>
            <w:r w:rsidRPr="0029093D">
              <w:rPr>
                <w:rFonts w:cs="Arial"/>
              </w:rPr>
              <w:t>lause </w:t>
            </w:r>
            <w:r w:rsidR="00DF1966">
              <w:rPr>
                <w:rFonts w:cs="Arial"/>
              </w:rPr>
              <w:t>31.1.2</w:t>
            </w:r>
            <w:r w:rsidR="00DF1966" w:rsidRPr="0029093D" w:rsidDel="00DF1966">
              <w:rPr>
                <w:rFonts w:cs="Arial"/>
              </w:rPr>
              <w:t xml:space="preserve"> </w:t>
            </w:r>
            <w:r w:rsidR="00DF1966">
              <w:rPr>
                <w:rFonts w:cs="Arial"/>
              </w:rPr>
              <w:t xml:space="preserve">; </w:t>
            </w:r>
            <w:r w:rsidRPr="0029093D">
              <w:rPr>
                <w:rFonts w:cs="Arial"/>
              </w:rPr>
              <w:t>and</w:t>
            </w:r>
          </w:p>
          <w:p w14:paraId="1E0059AC" w14:textId="77777777" w:rsidR="0029093D" w:rsidRPr="0055431A" w:rsidRDefault="0029093D" w:rsidP="00F13933">
            <w:pPr>
              <w:pStyle w:val="DefinitionList"/>
              <w:numPr>
                <w:ilvl w:val="0"/>
                <w:numId w:val="66"/>
              </w:numPr>
              <w:tabs>
                <w:tab w:val="clear" w:pos="720"/>
                <w:tab w:val="num" w:pos="861"/>
              </w:tabs>
              <w:ind w:left="861"/>
            </w:pPr>
            <w:r w:rsidRPr="0055431A">
              <w:rPr>
                <w:rFonts w:cs="Arial"/>
              </w:rPr>
              <w:t>does not include Special Category Personal Data].</w:t>
            </w:r>
          </w:p>
        </w:tc>
      </w:tr>
      <w:tr w:rsidR="0029093D" w:rsidRPr="00577CA4" w14:paraId="15507B50" w14:textId="77777777" w:rsidTr="0029093D">
        <w:tc>
          <w:tcPr>
            <w:tcW w:w="2245" w:type="dxa"/>
          </w:tcPr>
          <w:p w14:paraId="6727AD80" w14:textId="77777777" w:rsidR="0029093D" w:rsidRPr="00E54F94" w:rsidRDefault="0029093D" w:rsidP="00D42BA3">
            <w:pPr>
              <w:spacing w:before="100" w:after="200"/>
              <w:rPr>
                <w:rFonts w:cs="Arial"/>
                <w:b/>
                <w:szCs w:val="24"/>
              </w:rPr>
            </w:pPr>
            <w:r w:rsidRPr="00E54F94">
              <w:rPr>
                <w:rFonts w:cs="Arial"/>
                <w:b/>
                <w:szCs w:val="24"/>
              </w:rPr>
              <w:t>Modules Register</w:t>
            </w:r>
          </w:p>
        </w:tc>
        <w:tc>
          <w:tcPr>
            <w:tcW w:w="6141" w:type="dxa"/>
          </w:tcPr>
          <w:p w14:paraId="7837F21F" w14:textId="77777777" w:rsidR="0029093D" w:rsidRPr="00577CA4" w:rsidRDefault="0029093D" w:rsidP="00D42BA3">
            <w:pPr>
              <w:spacing w:before="100" w:after="200"/>
              <w:rPr>
                <w:rFonts w:cs="Arial"/>
                <w:b/>
                <w:szCs w:val="24"/>
              </w:rPr>
            </w:pPr>
            <w:r w:rsidRPr="00577CA4">
              <w:rPr>
                <w:rFonts w:cs="Arial"/>
                <w:szCs w:val="24"/>
              </w:rPr>
              <w:t>means the register of Third-party Software Modules required by paragraph 7.2 of the Security Requirements.</w:t>
            </w:r>
          </w:p>
        </w:tc>
      </w:tr>
      <w:tr w:rsidR="0029093D" w:rsidRPr="00577CA4" w14:paraId="69468E29" w14:textId="77777777" w:rsidTr="0029093D">
        <w:tc>
          <w:tcPr>
            <w:tcW w:w="2245" w:type="dxa"/>
          </w:tcPr>
          <w:p w14:paraId="4B975CD7" w14:textId="77777777" w:rsidR="0029093D" w:rsidRPr="00E54F94" w:rsidRDefault="0029093D" w:rsidP="00D42BA3">
            <w:pPr>
              <w:spacing w:before="100" w:after="200"/>
              <w:rPr>
                <w:rFonts w:cs="Arial"/>
                <w:b/>
                <w:szCs w:val="24"/>
              </w:rPr>
            </w:pPr>
            <w:r w:rsidRPr="00E54F94">
              <w:rPr>
                <w:rFonts w:cs="Arial"/>
                <w:b/>
                <w:szCs w:val="24"/>
              </w:rPr>
              <w:t>NCSC</w:t>
            </w:r>
          </w:p>
        </w:tc>
        <w:tc>
          <w:tcPr>
            <w:tcW w:w="6141" w:type="dxa"/>
          </w:tcPr>
          <w:p w14:paraId="08D18777" w14:textId="77777777" w:rsidR="0029093D" w:rsidRPr="00577CA4" w:rsidRDefault="0029093D" w:rsidP="00D42BA3">
            <w:pPr>
              <w:spacing w:before="100" w:after="200"/>
              <w:rPr>
                <w:rFonts w:cs="Arial"/>
                <w:b/>
                <w:szCs w:val="24"/>
              </w:rPr>
            </w:pPr>
            <w:r w:rsidRPr="00577CA4">
              <w:rPr>
                <w:rFonts w:cs="Arial"/>
                <w:szCs w:val="24"/>
              </w:rPr>
              <w:t>means the National Cyber Security Centre or any replacement or successor body carrying out the same function.</w:t>
            </w:r>
          </w:p>
        </w:tc>
      </w:tr>
      <w:tr w:rsidR="0029093D" w:rsidRPr="00577CA4" w14:paraId="4E135721" w14:textId="77777777" w:rsidTr="0029093D">
        <w:tc>
          <w:tcPr>
            <w:tcW w:w="2245" w:type="dxa"/>
          </w:tcPr>
          <w:p w14:paraId="52C8A1FF" w14:textId="77777777" w:rsidR="0029093D" w:rsidRPr="00E54F94" w:rsidRDefault="0029093D" w:rsidP="00D42BA3">
            <w:pPr>
              <w:spacing w:before="100" w:after="200"/>
              <w:rPr>
                <w:rFonts w:cs="Arial"/>
                <w:b/>
                <w:szCs w:val="24"/>
              </w:rPr>
            </w:pPr>
            <w:r w:rsidRPr="00E54F94">
              <w:rPr>
                <w:rFonts w:cs="Arial"/>
                <w:b/>
                <w:szCs w:val="24"/>
              </w:rPr>
              <w:t>NCSC Cloud Security Principles</w:t>
            </w:r>
          </w:p>
        </w:tc>
        <w:tc>
          <w:tcPr>
            <w:tcW w:w="6141" w:type="dxa"/>
          </w:tcPr>
          <w:p w14:paraId="75FB8B13" w14:textId="7E13C205" w:rsidR="0029093D" w:rsidRPr="00577CA4" w:rsidRDefault="0029093D" w:rsidP="00D42BA3">
            <w:pPr>
              <w:spacing w:before="100" w:after="200"/>
              <w:rPr>
                <w:rFonts w:cs="Arial"/>
                <w:b/>
                <w:szCs w:val="24"/>
              </w:rPr>
            </w:pPr>
            <w:r w:rsidRPr="00577CA4">
              <w:rPr>
                <w:rFonts w:cs="Arial"/>
                <w:szCs w:val="24"/>
              </w:rPr>
              <w:t xml:space="preserve">means the NCSC’s document "Implementing the Cloud Security Principles" as updated or replaced from time to time and found at </w:t>
            </w:r>
            <w:hyperlink r:id="rId50">
              <w:r w:rsidRPr="0055431A">
                <w:rPr>
                  <w:rFonts w:cs="Arial"/>
                  <w:color w:val="1155CC"/>
                  <w:u w:val="single"/>
                </w:rPr>
                <w:t>https://www.ncsc.gov.uk/collection/cloud/the-cloud-security-principles</w:t>
              </w:r>
            </w:hyperlink>
            <w:r w:rsidRPr="00577CA4">
              <w:rPr>
                <w:rFonts w:cs="Arial"/>
                <w:szCs w:val="24"/>
              </w:rPr>
              <w:t>.</w:t>
            </w:r>
          </w:p>
        </w:tc>
      </w:tr>
      <w:tr w:rsidR="0029093D" w:rsidRPr="00577CA4" w14:paraId="0D50CD47" w14:textId="77777777" w:rsidTr="0029093D">
        <w:tc>
          <w:tcPr>
            <w:tcW w:w="2245" w:type="dxa"/>
          </w:tcPr>
          <w:p w14:paraId="5702774F" w14:textId="77777777" w:rsidR="0029093D" w:rsidRPr="00E54F94" w:rsidRDefault="0029093D" w:rsidP="00D42BA3">
            <w:pPr>
              <w:spacing w:before="100" w:after="200"/>
              <w:rPr>
                <w:rFonts w:cs="Arial"/>
                <w:b/>
                <w:szCs w:val="24"/>
              </w:rPr>
            </w:pPr>
            <w:r w:rsidRPr="00E54F94">
              <w:rPr>
                <w:rFonts w:cs="Arial"/>
                <w:b/>
                <w:szCs w:val="24"/>
              </w:rPr>
              <w:t>NCSC Device Guidance</w:t>
            </w:r>
          </w:p>
        </w:tc>
        <w:tc>
          <w:tcPr>
            <w:tcW w:w="6141" w:type="dxa"/>
          </w:tcPr>
          <w:p w14:paraId="14A8083D" w14:textId="57074029" w:rsidR="0029093D" w:rsidRPr="00577CA4" w:rsidRDefault="0029093D" w:rsidP="00D42BA3">
            <w:pPr>
              <w:spacing w:before="100" w:after="200"/>
              <w:rPr>
                <w:rFonts w:cs="Arial"/>
                <w:b/>
                <w:szCs w:val="24"/>
              </w:rPr>
            </w:pPr>
            <w:r w:rsidRPr="00577CA4">
              <w:rPr>
                <w:rFonts w:cs="Arial"/>
                <w:szCs w:val="24"/>
              </w:rPr>
              <w:t xml:space="preserve">means the NCSC’s document "Device Security Guidance", as updated or replaced from time to time and found at </w:t>
            </w:r>
            <w:hyperlink r:id="rId51">
              <w:r w:rsidRPr="0055431A">
                <w:rPr>
                  <w:rFonts w:cs="Arial"/>
                  <w:color w:val="0563C1"/>
                  <w:u w:val="single"/>
                </w:rPr>
                <w:t>https://www.ncsc.gov.uk/collection/device-security-guidance</w:t>
              </w:r>
            </w:hyperlink>
            <w:r w:rsidRPr="0055431A">
              <w:rPr>
                <w:rFonts w:cs="Arial"/>
                <w:color w:val="000000"/>
              </w:rPr>
              <w:t>.</w:t>
            </w:r>
            <w:r w:rsidRPr="0055431A">
              <w:rPr>
                <w:rFonts w:cs="Arial"/>
                <w:szCs w:val="24"/>
              </w:rPr>
              <w:t>.</w:t>
            </w:r>
          </w:p>
        </w:tc>
      </w:tr>
      <w:tr w:rsidR="0029093D" w:rsidRPr="00577CA4" w14:paraId="1E1256C4" w14:textId="77777777" w:rsidTr="0029093D">
        <w:tc>
          <w:tcPr>
            <w:tcW w:w="2245" w:type="dxa"/>
          </w:tcPr>
          <w:p w14:paraId="6FDFCA59" w14:textId="77777777" w:rsidR="0029093D" w:rsidRPr="00E54F94" w:rsidRDefault="0029093D" w:rsidP="00D42BA3">
            <w:pPr>
              <w:spacing w:before="100" w:after="200"/>
              <w:rPr>
                <w:rFonts w:cs="Arial"/>
                <w:b/>
                <w:szCs w:val="24"/>
              </w:rPr>
            </w:pPr>
            <w:r w:rsidRPr="00E54F94">
              <w:rPr>
                <w:rFonts w:cs="Arial"/>
                <w:b/>
                <w:szCs w:val="24"/>
              </w:rPr>
              <w:t>NCSC Protecting Bulk Personal Data Guidance</w:t>
            </w:r>
          </w:p>
        </w:tc>
        <w:tc>
          <w:tcPr>
            <w:tcW w:w="6141" w:type="dxa"/>
          </w:tcPr>
          <w:p w14:paraId="7762A2F4" w14:textId="4C3558F5" w:rsidR="0029093D" w:rsidRPr="00577CA4" w:rsidRDefault="0029093D" w:rsidP="00D42BA3">
            <w:pPr>
              <w:spacing w:before="100" w:after="200"/>
              <w:rPr>
                <w:rFonts w:cs="Arial"/>
                <w:b/>
                <w:szCs w:val="24"/>
              </w:rPr>
            </w:pPr>
            <w:r w:rsidRPr="00577CA4">
              <w:rPr>
                <w:rFonts w:cs="Arial"/>
                <w:szCs w:val="24"/>
              </w:rPr>
              <w:t xml:space="preserve">means the NCSC’s document "Protecting Bulk Personal Data", as updated or replaced from time to time and found at </w:t>
            </w:r>
            <w:hyperlink r:id="rId52">
              <w:r w:rsidRPr="0055431A">
                <w:rPr>
                  <w:rFonts w:cs="Arial"/>
                  <w:color w:val="0563C1"/>
                  <w:u w:val="single"/>
                </w:rPr>
                <w:t>https://www.ncsc.gov.uk/information/keeping-bulk-personal-data-safe</w:t>
              </w:r>
            </w:hyperlink>
            <w:r w:rsidRPr="00577CA4">
              <w:rPr>
                <w:rFonts w:cs="Arial"/>
                <w:szCs w:val="24"/>
              </w:rPr>
              <w:t>.</w:t>
            </w:r>
          </w:p>
        </w:tc>
      </w:tr>
      <w:tr w:rsidR="0029093D" w:rsidRPr="00577CA4" w14:paraId="7A6C855D" w14:textId="77777777" w:rsidTr="0029093D">
        <w:tc>
          <w:tcPr>
            <w:tcW w:w="2245" w:type="dxa"/>
          </w:tcPr>
          <w:p w14:paraId="409754E0" w14:textId="77777777" w:rsidR="0029093D" w:rsidRPr="00E54F94" w:rsidRDefault="0029093D" w:rsidP="00D42BA3">
            <w:pPr>
              <w:spacing w:before="100" w:after="200"/>
              <w:rPr>
                <w:rFonts w:cs="Arial"/>
                <w:b/>
                <w:szCs w:val="24"/>
              </w:rPr>
            </w:pPr>
            <w:r w:rsidRPr="00E54F94">
              <w:rPr>
                <w:rFonts w:cs="Arial"/>
                <w:b/>
                <w:szCs w:val="24"/>
              </w:rPr>
              <w:t>NCSC Secure Design Principles</w:t>
            </w:r>
          </w:p>
        </w:tc>
        <w:tc>
          <w:tcPr>
            <w:tcW w:w="6141" w:type="dxa"/>
          </w:tcPr>
          <w:p w14:paraId="089FEDA5" w14:textId="35A296B5" w:rsidR="0029093D" w:rsidRPr="00577CA4" w:rsidRDefault="0029093D" w:rsidP="00D42BA3">
            <w:pPr>
              <w:spacing w:before="100" w:after="200"/>
              <w:rPr>
                <w:rFonts w:cs="Arial"/>
                <w:b/>
                <w:szCs w:val="24"/>
              </w:rPr>
            </w:pPr>
            <w:r w:rsidRPr="00577CA4">
              <w:rPr>
                <w:rFonts w:cs="Arial"/>
                <w:szCs w:val="24"/>
              </w:rPr>
              <w:t xml:space="preserve">means the NCSC’s document "Secure Design Principles", as updated or replaced from time to time and found at </w:t>
            </w:r>
            <w:hyperlink r:id="rId53">
              <w:r w:rsidRPr="0055431A">
                <w:rPr>
                  <w:rFonts w:cs="Arial"/>
                  <w:color w:val="0563C1"/>
                  <w:u w:val="single"/>
                </w:rPr>
                <w:t>https://www.ncsc.gov.uk/collection/cyber-security-design-principles</w:t>
              </w:r>
            </w:hyperlink>
            <w:r w:rsidRPr="0055431A">
              <w:rPr>
                <w:rFonts w:cs="Arial"/>
                <w:color w:val="000000"/>
              </w:rPr>
              <w:t>.</w:t>
            </w:r>
            <w:r w:rsidRPr="00577CA4">
              <w:rPr>
                <w:rFonts w:cs="Arial"/>
                <w:szCs w:val="24"/>
              </w:rPr>
              <w:t>.</w:t>
            </w:r>
          </w:p>
        </w:tc>
      </w:tr>
      <w:tr w:rsidR="0029093D" w:rsidRPr="00577CA4" w14:paraId="235410DA" w14:textId="77777777" w:rsidTr="0029093D">
        <w:tc>
          <w:tcPr>
            <w:tcW w:w="2245" w:type="dxa"/>
          </w:tcPr>
          <w:p w14:paraId="30454A5B" w14:textId="77777777" w:rsidR="0029093D" w:rsidRPr="00E54F94" w:rsidRDefault="0029093D" w:rsidP="00D42BA3">
            <w:pPr>
              <w:spacing w:before="100" w:after="200"/>
              <w:rPr>
                <w:rFonts w:cs="Arial"/>
                <w:b/>
                <w:szCs w:val="24"/>
              </w:rPr>
            </w:pPr>
            <w:r w:rsidRPr="00E54F94">
              <w:rPr>
                <w:rFonts w:cs="Arial"/>
                <w:b/>
                <w:szCs w:val="24"/>
              </w:rPr>
              <w:t>OWASP</w:t>
            </w:r>
          </w:p>
        </w:tc>
        <w:tc>
          <w:tcPr>
            <w:tcW w:w="6141" w:type="dxa"/>
          </w:tcPr>
          <w:p w14:paraId="6D424B6A" w14:textId="77777777" w:rsidR="0029093D" w:rsidRPr="00577CA4" w:rsidRDefault="0029093D" w:rsidP="00D42BA3">
            <w:pPr>
              <w:spacing w:before="100" w:after="200"/>
              <w:rPr>
                <w:rFonts w:cs="Arial"/>
                <w:b/>
                <w:szCs w:val="24"/>
              </w:rPr>
            </w:pPr>
            <w:r w:rsidRPr="00577CA4">
              <w:rPr>
                <w:rFonts w:cs="Arial"/>
                <w:szCs w:val="24"/>
              </w:rPr>
              <w:t>means the Open Web Application Security Project Foundation.</w:t>
            </w:r>
          </w:p>
        </w:tc>
      </w:tr>
      <w:tr w:rsidR="0029093D" w:rsidRPr="00577CA4" w14:paraId="08A46A78" w14:textId="77777777" w:rsidTr="0029093D">
        <w:tc>
          <w:tcPr>
            <w:tcW w:w="2245" w:type="dxa"/>
          </w:tcPr>
          <w:p w14:paraId="6B175209" w14:textId="77777777" w:rsidR="0029093D" w:rsidRPr="00E54F94" w:rsidRDefault="0029093D" w:rsidP="00D42BA3">
            <w:pPr>
              <w:spacing w:before="100" w:after="200"/>
              <w:rPr>
                <w:rFonts w:cs="Arial"/>
                <w:b/>
                <w:szCs w:val="24"/>
              </w:rPr>
            </w:pPr>
            <w:r w:rsidRPr="00E54F94">
              <w:rPr>
                <w:rFonts w:cs="Arial"/>
                <w:b/>
                <w:szCs w:val="24"/>
              </w:rPr>
              <w:lastRenderedPageBreak/>
              <w:t>OWASP Secure Coding Practice</w:t>
            </w:r>
          </w:p>
        </w:tc>
        <w:tc>
          <w:tcPr>
            <w:tcW w:w="6141" w:type="dxa"/>
          </w:tcPr>
          <w:p w14:paraId="78B3111C" w14:textId="7383FC3D" w:rsidR="0029093D" w:rsidRPr="00577CA4" w:rsidRDefault="0029093D" w:rsidP="00D42BA3">
            <w:pPr>
              <w:spacing w:before="100" w:after="200"/>
              <w:rPr>
                <w:rFonts w:cs="Arial"/>
                <w:b/>
                <w:szCs w:val="24"/>
              </w:rPr>
            </w:pPr>
            <w:r w:rsidRPr="00577CA4">
              <w:rPr>
                <w:rFonts w:cs="Arial"/>
                <w:szCs w:val="24"/>
              </w:rPr>
              <w:t xml:space="preserve">means the Secure Coding Practices Quick Reference Guide published by OWASP, as updated or replaced from time to time and found at </w:t>
            </w:r>
            <w:hyperlink r:id="rId54" w:anchor=":~:text=The%20Secure%20Coding%20Practices%20Quick,then%20on%20vulnerabilities%20or%20exploits.">
              <w:hyperlink r:id="rId55" w:anchor=":~:text=The%20Secure%20Coding%20Practices%20Quick,then%20on%20vulnerabilities%20or%20exploits." w:history="1">
                <w:r w:rsidRPr="002D3F58">
                  <w:rPr>
                    <w:rStyle w:val="Hyperlink"/>
                    <w:rFonts w:cs="Arial"/>
                    <w:color w:val="0563C1"/>
                  </w:rPr>
                  <w:t>https://owasp.org/www-project-secure-coding-practices-quick-reference-guide/#:~:text=The%20Secure%20Coding%20Practices%20Quick,then%20on%20vulnerabilities%20or%20exploits.</w:t>
                </w:r>
              </w:hyperlink>
            </w:hyperlink>
          </w:p>
        </w:tc>
      </w:tr>
      <w:tr w:rsidR="0029093D" w:rsidRPr="00577CA4" w14:paraId="5E6AE060" w14:textId="77777777" w:rsidTr="0029093D">
        <w:tc>
          <w:tcPr>
            <w:tcW w:w="2245" w:type="dxa"/>
          </w:tcPr>
          <w:p w14:paraId="2695247C" w14:textId="77777777" w:rsidR="0029093D" w:rsidRPr="00E54F94" w:rsidRDefault="0029093D" w:rsidP="00D42BA3">
            <w:pPr>
              <w:spacing w:before="100" w:after="200"/>
              <w:rPr>
                <w:rFonts w:cs="Arial"/>
                <w:b/>
                <w:szCs w:val="24"/>
              </w:rPr>
            </w:pPr>
            <w:r w:rsidRPr="00E54F94">
              <w:rPr>
                <w:rFonts w:cs="Arial"/>
                <w:b/>
                <w:szCs w:val="24"/>
              </w:rPr>
              <w:t>OWASP Top Ten</w:t>
            </w:r>
          </w:p>
        </w:tc>
        <w:tc>
          <w:tcPr>
            <w:tcW w:w="6141" w:type="dxa"/>
          </w:tcPr>
          <w:p w14:paraId="42A566F0" w14:textId="29709D55" w:rsidR="0029093D" w:rsidRPr="00577CA4" w:rsidRDefault="0029093D" w:rsidP="00D42BA3">
            <w:pPr>
              <w:spacing w:before="100" w:after="200"/>
              <w:rPr>
                <w:rFonts w:cs="Arial"/>
                <w:b/>
                <w:szCs w:val="24"/>
              </w:rPr>
            </w:pPr>
            <w:r w:rsidRPr="00577CA4">
              <w:rPr>
                <w:rFonts w:cs="Arial"/>
                <w:szCs w:val="24"/>
              </w:rPr>
              <w:t xml:space="preserve">means the list of the most critical security risks to web applications published annually by OWASP and found at </w:t>
            </w:r>
            <w:hyperlink r:id="rId56">
              <w:r w:rsidRPr="0055431A">
                <w:rPr>
                  <w:rFonts w:cs="Arial"/>
                  <w:color w:val="0563C1"/>
                  <w:u w:val="single"/>
                </w:rPr>
                <w:t>https://owasp.org/www-project-top-ten/</w:t>
              </w:r>
            </w:hyperlink>
            <w:r w:rsidRPr="0055431A">
              <w:rPr>
                <w:rFonts w:cs="Arial"/>
                <w:color w:val="000000"/>
              </w:rPr>
              <w:t>.</w:t>
            </w:r>
          </w:p>
        </w:tc>
      </w:tr>
      <w:tr w:rsidR="0029093D" w:rsidRPr="00577CA4" w14:paraId="0EA3B264" w14:textId="77777777" w:rsidTr="0029093D">
        <w:tc>
          <w:tcPr>
            <w:tcW w:w="2245" w:type="dxa"/>
          </w:tcPr>
          <w:p w14:paraId="452E9EE3" w14:textId="77777777" w:rsidR="0029093D" w:rsidRPr="00E54F94" w:rsidRDefault="0029093D" w:rsidP="00D42BA3">
            <w:pPr>
              <w:spacing w:before="100" w:after="200"/>
              <w:rPr>
                <w:rFonts w:cs="Arial"/>
                <w:b/>
                <w:szCs w:val="24"/>
              </w:rPr>
            </w:pPr>
            <w:r w:rsidRPr="00E54F94">
              <w:rPr>
                <w:rFonts w:cs="Arial"/>
                <w:b/>
                <w:szCs w:val="24"/>
              </w:rPr>
              <w:t>Privileged User</w:t>
            </w:r>
          </w:p>
        </w:tc>
        <w:tc>
          <w:tcPr>
            <w:tcW w:w="6141" w:type="dxa"/>
          </w:tcPr>
          <w:p w14:paraId="28924667" w14:textId="77777777" w:rsidR="0029093D" w:rsidRPr="00577CA4" w:rsidRDefault="0029093D" w:rsidP="00D42BA3">
            <w:pPr>
              <w:spacing w:before="100" w:after="200"/>
              <w:rPr>
                <w:rFonts w:cs="Arial"/>
                <w:b/>
                <w:szCs w:val="24"/>
              </w:rPr>
            </w:pPr>
            <w:r w:rsidRPr="00577CA4">
              <w:rPr>
                <w:rFonts w:cs="Arial"/>
                <w:szCs w:val="24"/>
              </w:rPr>
              <w:t>means a user with system administration access to the Supplier Information Management System, or substantially similar access privileges.</w:t>
            </w:r>
          </w:p>
        </w:tc>
      </w:tr>
      <w:tr w:rsidR="0029093D" w:rsidRPr="00577CA4" w14:paraId="539102B5" w14:textId="77777777" w:rsidTr="0029093D">
        <w:tc>
          <w:tcPr>
            <w:tcW w:w="2245" w:type="dxa"/>
          </w:tcPr>
          <w:p w14:paraId="38FF590E" w14:textId="77777777" w:rsidR="0029093D" w:rsidRPr="00E54F94" w:rsidRDefault="0029093D" w:rsidP="00D42BA3">
            <w:pPr>
              <w:spacing w:before="100" w:after="200"/>
              <w:rPr>
                <w:rFonts w:cs="Arial"/>
                <w:b/>
                <w:szCs w:val="24"/>
              </w:rPr>
            </w:pPr>
            <w:r w:rsidRPr="00E54F94">
              <w:rPr>
                <w:rFonts w:cs="Arial"/>
                <w:b/>
                <w:szCs w:val="24"/>
              </w:rPr>
              <w:t>Process</w:t>
            </w:r>
          </w:p>
        </w:tc>
        <w:tc>
          <w:tcPr>
            <w:tcW w:w="6141" w:type="dxa"/>
          </w:tcPr>
          <w:p w14:paraId="370846CD" w14:textId="77777777" w:rsidR="0029093D" w:rsidRPr="00577CA4" w:rsidRDefault="0029093D" w:rsidP="00D42BA3">
            <w:pPr>
              <w:spacing w:before="100" w:after="200"/>
              <w:rPr>
                <w:rFonts w:cs="Arial"/>
                <w:b/>
                <w:szCs w:val="24"/>
              </w:rPr>
            </w:pPr>
            <w:r w:rsidRPr="00577CA4">
              <w:rPr>
                <w:rFonts w:cs="Arial"/>
                <w:szCs w:val="24"/>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29093D" w:rsidRPr="00577CA4" w14:paraId="2BBAC3BA" w14:textId="77777777" w:rsidTr="0029093D">
        <w:tc>
          <w:tcPr>
            <w:tcW w:w="2245" w:type="dxa"/>
          </w:tcPr>
          <w:p w14:paraId="7D21CA98" w14:textId="77777777" w:rsidR="0029093D" w:rsidRPr="00E54F94" w:rsidRDefault="0029093D" w:rsidP="00D42BA3">
            <w:pPr>
              <w:spacing w:before="100" w:after="200"/>
              <w:rPr>
                <w:rFonts w:cs="Arial"/>
                <w:b/>
                <w:szCs w:val="24"/>
              </w:rPr>
            </w:pPr>
            <w:r w:rsidRPr="00E54F94">
              <w:rPr>
                <w:rFonts w:cs="Arial"/>
                <w:b/>
                <w:szCs w:val="24"/>
              </w:rPr>
              <w:t>Prohibited Activity</w:t>
            </w:r>
          </w:p>
        </w:tc>
        <w:tc>
          <w:tcPr>
            <w:tcW w:w="6141" w:type="dxa"/>
          </w:tcPr>
          <w:p w14:paraId="14661831" w14:textId="77777777" w:rsidR="0029093D" w:rsidRPr="00577CA4" w:rsidRDefault="0029093D" w:rsidP="00D42BA3">
            <w:pPr>
              <w:spacing w:before="100" w:after="200"/>
              <w:rPr>
                <w:rFonts w:cs="Arial"/>
                <w:b/>
                <w:szCs w:val="24"/>
              </w:rPr>
            </w:pPr>
            <w:r w:rsidRPr="00577CA4">
              <w:rPr>
                <w:rFonts w:cs="Arial"/>
                <w:szCs w:val="24"/>
              </w:rPr>
              <w:t>means the storage, access or Processing of Authority Data prohibited by a Prohibition Notice.</w:t>
            </w:r>
          </w:p>
        </w:tc>
      </w:tr>
      <w:tr w:rsidR="0029093D" w:rsidRPr="00577CA4" w14:paraId="74B16533" w14:textId="77777777" w:rsidTr="0029093D">
        <w:tc>
          <w:tcPr>
            <w:tcW w:w="2245" w:type="dxa"/>
          </w:tcPr>
          <w:p w14:paraId="36F38BB1" w14:textId="77777777" w:rsidR="0029093D" w:rsidRPr="00E54F94" w:rsidRDefault="0029093D" w:rsidP="00D42BA3">
            <w:pPr>
              <w:spacing w:before="100" w:after="200"/>
              <w:rPr>
                <w:rFonts w:cs="Arial"/>
                <w:b/>
                <w:szCs w:val="24"/>
              </w:rPr>
            </w:pPr>
            <w:r w:rsidRPr="00E54F94">
              <w:rPr>
                <w:rFonts w:cs="Arial"/>
                <w:b/>
                <w:szCs w:val="24"/>
              </w:rPr>
              <w:t>Prohibition Notice</w:t>
            </w:r>
          </w:p>
        </w:tc>
        <w:tc>
          <w:tcPr>
            <w:tcW w:w="6141" w:type="dxa"/>
          </w:tcPr>
          <w:p w14:paraId="3842C5F7" w14:textId="77777777" w:rsidR="0029093D" w:rsidRPr="00577CA4" w:rsidRDefault="0029093D" w:rsidP="00D42BA3">
            <w:pPr>
              <w:spacing w:before="100" w:after="200"/>
              <w:rPr>
                <w:rFonts w:cs="Arial"/>
                <w:b/>
                <w:szCs w:val="24"/>
              </w:rPr>
            </w:pPr>
            <w:r w:rsidRPr="00577CA4">
              <w:rPr>
                <w:rFonts w:cs="Arial"/>
                <w:szCs w:val="24"/>
              </w:rPr>
              <w:t>means a notice issued under paragraph 1.10 of the Security Requirements.</w:t>
            </w:r>
          </w:p>
        </w:tc>
      </w:tr>
      <w:tr w:rsidR="0029093D" w:rsidRPr="00577CA4" w14:paraId="1A1C2AFB" w14:textId="77777777" w:rsidTr="0029093D">
        <w:tc>
          <w:tcPr>
            <w:tcW w:w="2245" w:type="dxa"/>
          </w:tcPr>
          <w:p w14:paraId="548458E0" w14:textId="77777777" w:rsidR="0029093D" w:rsidRPr="00E54F94" w:rsidRDefault="0029093D" w:rsidP="00D42BA3">
            <w:pPr>
              <w:spacing w:before="100" w:after="200"/>
              <w:rPr>
                <w:rFonts w:cs="Arial"/>
                <w:b/>
                <w:szCs w:val="24"/>
              </w:rPr>
            </w:pPr>
            <w:r w:rsidRPr="00E54F94">
              <w:rPr>
                <w:rFonts w:cs="Arial"/>
                <w:b/>
                <w:szCs w:val="24"/>
              </w:rPr>
              <w:t>Protective Monitoring System</w:t>
            </w:r>
          </w:p>
        </w:tc>
        <w:tc>
          <w:tcPr>
            <w:tcW w:w="6141" w:type="dxa"/>
          </w:tcPr>
          <w:p w14:paraId="7452733F" w14:textId="77777777" w:rsidR="0029093D" w:rsidRPr="00577CA4" w:rsidRDefault="0029093D" w:rsidP="00D42BA3">
            <w:pPr>
              <w:spacing w:before="100" w:after="200"/>
              <w:rPr>
                <w:rFonts w:cs="Arial"/>
                <w:b/>
                <w:szCs w:val="24"/>
              </w:rPr>
            </w:pPr>
            <w:r w:rsidRPr="00577CA4">
              <w:rPr>
                <w:rFonts w:cs="Arial"/>
                <w:szCs w:val="24"/>
              </w:rPr>
              <w:t>means the system implemented by the Supplier and its Sub-contractors under paragraph 12.1 of the Security Requirements to monitor and analyse access to and use of the Supplier Information Management System, the Development Environment, the Authority Data and the Code.</w:t>
            </w:r>
          </w:p>
        </w:tc>
      </w:tr>
      <w:tr w:rsidR="0029093D" w:rsidRPr="00577CA4" w14:paraId="72567890" w14:textId="77777777" w:rsidTr="0029093D">
        <w:tc>
          <w:tcPr>
            <w:tcW w:w="2245" w:type="dxa"/>
          </w:tcPr>
          <w:p w14:paraId="45A992A9" w14:textId="77777777" w:rsidR="0029093D" w:rsidRPr="00E54F94" w:rsidRDefault="0029093D" w:rsidP="00D42BA3">
            <w:pPr>
              <w:spacing w:before="100" w:after="200"/>
              <w:rPr>
                <w:rFonts w:cs="Arial"/>
                <w:b/>
                <w:szCs w:val="24"/>
              </w:rPr>
            </w:pPr>
            <w:r w:rsidRPr="00E54F94">
              <w:rPr>
                <w:rFonts w:cs="Arial"/>
                <w:b/>
                <w:szCs w:val="24"/>
              </w:rPr>
              <w:t>RAP Trigger</w:t>
            </w:r>
          </w:p>
        </w:tc>
        <w:tc>
          <w:tcPr>
            <w:tcW w:w="6141" w:type="dxa"/>
          </w:tcPr>
          <w:p w14:paraId="156C2F12" w14:textId="6E2CD593" w:rsidR="0029093D" w:rsidRPr="00577CA4" w:rsidRDefault="0029093D" w:rsidP="00D42BA3">
            <w:pPr>
              <w:spacing w:before="100" w:after="200"/>
              <w:rPr>
                <w:rFonts w:cs="Arial"/>
                <w:b/>
                <w:szCs w:val="24"/>
              </w:rPr>
            </w:pPr>
            <w:r w:rsidRPr="00577CA4">
              <w:rPr>
                <w:rFonts w:cs="Arial"/>
                <w:szCs w:val="24"/>
              </w:rPr>
              <w:t xml:space="preserve">means the occurrence of one of the events set out in </w:t>
            </w:r>
            <w:r w:rsidR="00D006F4">
              <w:rPr>
                <w:rFonts w:cs="Arial"/>
                <w:szCs w:val="24"/>
              </w:rPr>
              <w:t>Paragraph</w:t>
            </w:r>
            <w:r w:rsidRPr="00577CA4">
              <w:rPr>
                <w:rFonts w:cs="Arial"/>
                <w:szCs w:val="24"/>
              </w:rPr>
              <w:t> 18.1.</w:t>
            </w:r>
          </w:p>
        </w:tc>
      </w:tr>
      <w:tr w:rsidR="0029093D" w:rsidRPr="00577CA4" w14:paraId="27825B22" w14:textId="77777777" w:rsidTr="0029093D">
        <w:tc>
          <w:tcPr>
            <w:tcW w:w="2245" w:type="dxa"/>
          </w:tcPr>
          <w:p w14:paraId="7A5C20E6" w14:textId="77777777" w:rsidR="0029093D" w:rsidRPr="00E54F94" w:rsidRDefault="0029093D" w:rsidP="00D42BA3">
            <w:pPr>
              <w:spacing w:before="100" w:after="200"/>
              <w:rPr>
                <w:rFonts w:cs="Arial"/>
                <w:b/>
                <w:szCs w:val="24"/>
              </w:rPr>
            </w:pPr>
            <w:r w:rsidRPr="00E54F94">
              <w:rPr>
                <w:rFonts w:cs="Arial"/>
                <w:b/>
                <w:szCs w:val="24"/>
              </w:rPr>
              <w:t>Register of Sites, Support Locations and Third-Party Tools.</w:t>
            </w:r>
          </w:p>
        </w:tc>
        <w:tc>
          <w:tcPr>
            <w:tcW w:w="6141" w:type="dxa"/>
          </w:tcPr>
          <w:p w14:paraId="3B6709AC" w14:textId="77777777" w:rsidR="0029093D" w:rsidRPr="00577CA4" w:rsidRDefault="0029093D" w:rsidP="00D42BA3">
            <w:pPr>
              <w:spacing w:before="100" w:after="200"/>
              <w:rPr>
                <w:rFonts w:cs="Arial"/>
                <w:b/>
                <w:szCs w:val="24"/>
              </w:rPr>
            </w:pPr>
            <w:r w:rsidRPr="00577CA4">
              <w:rPr>
                <w:rFonts w:cs="Arial"/>
                <w:szCs w:val="24"/>
              </w:rPr>
              <w:t>means the part of the Security Management Plan setting out, in respect of Sites, Support Locations and Third-Party Tools:</w:t>
            </w:r>
          </w:p>
          <w:p w14:paraId="7AEAD789" w14:textId="77777777" w:rsidR="0029093D" w:rsidRPr="0029093D" w:rsidRDefault="0029093D" w:rsidP="00E1349E">
            <w:pPr>
              <w:pStyle w:val="DefinitionList"/>
              <w:numPr>
                <w:ilvl w:val="0"/>
                <w:numId w:val="224"/>
              </w:numPr>
              <w:tabs>
                <w:tab w:val="clear" w:pos="720"/>
                <w:tab w:val="num" w:pos="861"/>
              </w:tabs>
              <w:rPr>
                <w:rFonts w:cs="Arial"/>
                <w:b/>
              </w:rPr>
            </w:pPr>
            <w:r w:rsidRPr="0029093D">
              <w:rPr>
                <w:rFonts w:cs="Arial"/>
              </w:rPr>
              <w:t>the Sites, Support Locations and Third-party Tools that the Supplier will use to Process Authority Data or provide the Services;</w:t>
            </w:r>
          </w:p>
          <w:p w14:paraId="1E5B8A9F" w14:textId="77777777" w:rsidR="0029093D" w:rsidRPr="00885175" w:rsidRDefault="0029093D" w:rsidP="00F13933">
            <w:pPr>
              <w:pStyle w:val="DefinitionList"/>
              <w:numPr>
                <w:ilvl w:val="0"/>
                <w:numId w:val="66"/>
              </w:numPr>
              <w:tabs>
                <w:tab w:val="clear" w:pos="720"/>
                <w:tab w:val="num" w:pos="861"/>
              </w:tabs>
              <w:ind w:left="861"/>
              <w:rPr>
                <w:rFonts w:cs="Arial"/>
                <w:b/>
              </w:rPr>
            </w:pPr>
            <w:r w:rsidRPr="00885175">
              <w:rPr>
                <w:rFonts w:cs="Arial"/>
              </w:rPr>
              <w:lastRenderedPageBreak/>
              <w:t>the nature of the activity performed at the Site or Support Location or by the Third-Party Tool in respect of the Authority Data;</w:t>
            </w:r>
          </w:p>
          <w:p w14:paraId="38E1C64F" w14:textId="77777777" w:rsidR="0029093D" w:rsidRPr="00885175" w:rsidRDefault="0029093D" w:rsidP="00F13933">
            <w:pPr>
              <w:pStyle w:val="DefinitionList"/>
              <w:numPr>
                <w:ilvl w:val="0"/>
                <w:numId w:val="66"/>
              </w:numPr>
              <w:tabs>
                <w:tab w:val="clear" w:pos="720"/>
                <w:tab w:val="num" w:pos="861"/>
              </w:tabs>
              <w:ind w:left="861"/>
              <w:rPr>
                <w:rFonts w:cs="Arial"/>
                <w:b/>
              </w:rPr>
            </w:pPr>
            <w:r w:rsidRPr="00885175">
              <w:rPr>
                <w:rFonts w:cs="Arial"/>
              </w:rPr>
              <w:t>in respect of each entity providing a Site, Support Location or Third-Party Tool, its:</w:t>
            </w:r>
          </w:p>
          <w:p w14:paraId="4881A8A7" w14:textId="77777777" w:rsidR="0029093D" w:rsidRPr="00885175" w:rsidRDefault="0029093D" w:rsidP="00F13933">
            <w:pPr>
              <w:pStyle w:val="DefinitionListLevel1"/>
              <w:numPr>
                <w:ilvl w:val="1"/>
                <w:numId w:val="66"/>
              </w:numPr>
              <w:rPr>
                <w:rFonts w:cs="Arial"/>
                <w:b/>
              </w:rPr>
            </w:pPr>
            <w:r w:rsidRPr="00885175">
              <w:rPr>
                <w:rFonts w:cs="Arial"/>
              </w:rPr>
              <w:t>full legal name;</w:t>
            </w:r>
          </w:p>
          <w:p w14:paraId="312FF459" w14:textId="77777777" w:rsidR="0029093D" w:rsidRPr="00885175" w:rsidRDefault="0029093D" w:rsidP="00F13933">
            <w:pPr>
              <w:pStyle w:val="DefinitionListLevel1"/>
              <w:numPr>
                <w:ilvl w:val="1"/>
                <w:numId w:val="66"/>
              </w:numPr>
              <w:rPr>
                <w:rFonts w:cs="Arial"/>
                <w:b/>
              </w:rPr>
            </w:pPr>
            <w:r w:rsidRPr="00885175">
              <w:rPr>
                <w:rFonts w:cs="Arial"/>
              </w:rPr>
              <w:t>trading name (if any)</w:t>
            </w:r>
          </w:p>
          <w:p w14:paraId="17BDC078" w14:textId="77777777" w:rsidR="0029093D" w:rsidRPr="00885175" w:rsidRDefault="0029093D" w:rsidP="00F13933">
            <w:pPr>
              <w:pStyle w:val="DefinitionListLevel1"/>
              <w:numPr>
                <w:ilvl w:val="1"/>
                <w:numId w:val="66"/>
              </w:numPr>
              <w:rPr>
                <w:rFonts w:cs="Arial"/>
                <w:b/>
              </w:rPr>
            </w:pPr>
            <w:r w:rsidRPr="00885175">
              <w:rPr>
                <w:rFonts w:cs="Arial"/>
              </w:rPr>
              <w:t>country of registration;</w:t>
            </w:r>
          </w:p>
          <w:p w14:paraId="658D6FAB" w14:textId="77777777" w:rsidR="0029093D" w:rsidRPr="00885175" w:rsidRDefault="0029093D" w:rsidP="00F13933">
            <w:pPr>
              <w:pStyle w:val="DefinitionListLevel1"/>
              <w:numPr>
                <w:ilvl w:val="1"/>
                <w:numId w:val="66"/>
              </w:numPr>
              <w:rPr>
                <w:rFonts w:cs="Arial"/>
                <w:b/>
              </w:rPr>
            </w:pPr>
            <w:r w:rsidRPr="00885175">
              <w:rPr>
                <w:rFonts w:cs="Arial"/>
              </w:rPr>
              <w:t xml:space="preserve">registration number (if applicable); and </w:t>
            </w:r>
          </w:p>
          <w:p w14:paraId="7E01D62C" w14:textId="77777777" w:rsidR="0029093D" w:rsidRPr="00577CA4" w:rsidRDefault="0029093D" w:rsidP="00F13933">
            <w:pPr>
              <w:pStyle w:val="DefinitionListLevel1"/>
              <w:numPr>
                <w:ilvl w:val="1"/>
                <w:numId w:val="66"/>
              </w:numPr>
            </w:pPr>
            <w:r w:rsidRPr="00885175">
              <w:rPr>
                <w:rFonts w:cs="Arial"/>
              </w:rPr>
              <w:t>registered address.</w:t>
            </w:r>
          </w:p>
        </w:tc>
      </w:tr>
      <w:tr w:rsidR="0029093D" w:rsidRPr="00577CA4" w14:paraId="009181D1" w14:textId="77777777" w:rsidTr="0029093D">
        <w:tc>
          <w:tcPr>
            <w:tcW w:w="2245" w:type="dxa"/>
          </w:tcPr>
          <w:p w14:paraId="4EEEF8A6" w14:textId="77777777" w:rsidR="0029093D" w:rsidRPr="00E54F94" w:rsidRDefault="0029093D" w:rsidP="00D42BA3">
            <w:pPr>
              <w:spacing w:before="100" w:after="200"/>
              <w:rPr>
                <w:rFonts w:cs="Arial"/>
                <w:b/>
                <w:szCs w:val="24"/>
              </w:rPr>
            </w:pPr>
            <w:r w:rsidRPr="00E54F94">
              <w:rPr>
                <w:rFonts w:cs="Arial"/>
                <w:b/>
                <w:szCs w:val="24"/>
              </w:rPr>
              <w:lastRenderedPageBreak/>
              <w:t>Relevant Activities</w:t>
            </w:r>
          </w:p>
        </w:tc>
        <w:tc>
          <w:tcPr>
            <w:tcW w:w="6141" w:type="dxa"/>
          </w:tcPr>
          <w:p w14:paraId="40C5D537" w14:textId="77777777" w:rsidR="0029093D" w:rsidRPr="00577CA4" w:rsidRDefault="0029093D" w:rsidP="00D42BA3">
            <w:pPr>
              <w:spacing w:before="100" w:after="200"/>
              <w:rPr>
                <w:rFonts w:cs="Arial"/>
                <w:b/>
                <w:szCs w:val="24"/>
              </w:rPr>
            </w:pPr>
            <w:r w:rsidRPr="00577CA4">
              <w:rPr>
                <w:rFonts w:cs="Arial"/>
                <w:szCs w:val="24"/>
              </w:rPr>
              <w:t>means those activities specified in paragraph 1.1 of the Security Requirements.</w:t>
            </w:r>
          </w:p>
        </w:tc>
      </w:tr>
      <w:tr w:rsidR="0029093D" w:rsidRPr="00577CA4" w14:paraId="7AA48ABB" w14:textId="77777777" w:rsidTr="0029093D">
        <w:tc>
          <w:tcPr>
            <w:tcW w:w="2245" w:type="dxa"/>
          </w:tcPr>
          <w:p w14:paraId="692DD271" w14:textId="77777777" w:rsidR="0029093D" w:rsidRPr="00E54F94" w:rsidRDefault="0029093D" w:rsidP="00D42BA3">
            <w:pPr>
              <w:spacing w:before="100" w:after="200"/>
              <w:rPr>
                <w:rFonts w:cs="Arial"/>
                <w:b/>
                <w:szCs w:val="24"/>
              </w:rPr>
            </w:pPr>
            <w:r w:rsidRPr="00E54F94">
              <w:rPr>
                <w:rFonts w:cs="Arial"/>
                <w:b/>
                <w:szCs w:val="24"/>
              </w:rPr>
              <w:t>Relevant Certifications</w:t>
            </w:r>
          </w:p>
        </w:tc>
        <w:tc>
          <w:tcPr>
            <w:tcW w:w="6141" w:type="dxa"/>
          </w:tcPr>
          <w:p w14:paraId="1DEF16A4" w14:textId="77777777" w:rsidR="0029093D" w:rsidRPr="00577CA4" w:rsidRDefault="0029093D" w:rsidP="00D42BA3">
            <w:pPr>
              <w:spacing w:before="100" w:after="200"/>
              <w:rPr>
                <w:rFonts w:cs="Arial"/>
                <w:b/>
                <w:szCs w:val="24"/>
              </w:rPr>
            </w:pPr>
            <w:r w:rsidRPr="00577CA4">
              <w:rPr>
                <w:rFonts w:cs="Arial"/>
                <w:szCs w:val="24"/>
              </w:rPr>
              <w:t>means:</w:t>
            </w:r>
          </w:p>
          <w:p w14:paraId="78444B7F" w14:textId="77777777" w:rsidR="0029093D" w:rsidRPr="0029093D" w:rsidRDefault="0029093D" w:rsidP="00E1349E">
            <w:pPr>
              <w:pStyle w:val="DefinitionList"/>
              <w:numPr>
                <w:ilvl w:val="0"/>
                <w:numId w:val="225"/>
              </w:numPr>
              <w:tabs>
                <w:tab w:val="clear" w:pos="720"/>
                <w:tab w:val="num" w:pos="861"/>
              </w:tabs>
              <w:rPr>
                <w:rFonts w:cs="Arial"/>
                <w:b/>
              </w:rPr>
            </w:pPr>
            <w:r w:rsidRPr="0029093D">
              <w:rPr>
                <w:rFonts w:cs="Arial"/>
              </w:rPr>
              <w:t>in the case of the Supplier, any SIMS Sub-contractor and any Sub-contractor that Processes Authority Data:</w:t>
            </w:r>
          </w:p>
          <w:p w14:paraId="6F1130A2" w14:textId="77777777" w:rsidR="0029093D" w:rsidRPr="00885175" w:rsidRDefault="0029093D" w:rsidP="00F13933">
            <w:pPr>
              <w:pStyle w:val="DefinitionListLevel1"/>
              <w:numPr>
                <w:ilvl w:val="1"/>
                <w:numId w:val="66"/>
              </w:numPr>
              <w:rPr>
                <w:rFonts w:cs="Arial"/>
                <w:b/>
              </w:rPr>
            </w:pPr>
            <w:r w:rsidRPr="00885175">
              <w:rPr>
                <w:rFonts w:cs="Arial"/>
              </w:rPr>
              <w:t>an ISO Certification by a UKAS-approved certification body in respect of the Supplier Information Management System, or the Supplier Information Management System is included within the scope of a wider certification of compliance with an ISO Certification; and</w:t>
            </w:r>
          </w:p>
          <w:p w14:paraId="0183AD78" w14:textId="77777777" w:rsidR="0029093D" w:rsidRPr="00885175" w:rsidRDefault="0029093D" w:rsidP="00F13933">
            <w:pPr>
              <w:pStyle w:val="DefinitionListLevel1"/>
              <w:numPr>
                <w:ilvl w:val="1"/>
                <w:numId w:val="66"/>
              </w:numPr>
              <w:rPr>
                <w:rFonts w:cs="Arial"/>
                <w:b/>
              </w:rPr>
            </w:pPr>
            <w:r w:rsidRPr="00885175">
              <w:rPr>
                <w:rFonts w:cs="Arial"/>
              </w:rPr>
              <w:t>Cyber Essentials Plus; and</w:t>
            </w:r>
          </w:p>
          <w:p w14:paraId="33A27663" w14:textId="77777777" w:rsidR="0029093D" w:rsidRPr="00577CA4" w:rsidRDefault="0029093D" w:rsidP="00F13933">
            <w:pPr>
              <w:pStyle w:val="DefinitionList"/>
              <w:numPr>
                <w:ilvl w:val="0"/>
                <w:numId w:val="66"/>
              </w:numPr>
              <w:tabs>
                <w:tab w:val="clear" w:pos="720"/>
                <w:tab w:val="num" w:pos="861"/>
              </w:tabs>
              <w:ind w:left="861"/>
              <w:rPr>
                <w:rFonts w:cs="Arial"/>
              </w:rPr>
            </w:pPr>
            <w:r w:rsidRPr="00885175">
              <w:rPr>
                <w:rFonts w:cs="Arial"/>
              </w:rPr>
              <w:t>for all other Sub-contractors means Cyber Essentials Plus.</w:t>
            </w:r>
          </w:p>
        </w:tc>
      </w:tr>
      <w:tr w:rsidR="0029093D" w:rsidRPr="00577CA4" w14:paraId="6AFAE655" w14:textId="77777777" w:rsidTr="0029093D">
        <w:tc>
          <w:tcPr>
            <w:tcW w:w="2245" w:type="dxa"/>
          </w:tcPr>
          <w:p w14:paraId="156B1A51" w14:textId="77777777" w:rsidR="0029093D" w:rsidRPr="00E54F94" w:rsidRDefault="0029093D" w:rsidP="00D42BA3">
            <w:pPr>
              <w:spacing w:before="100" w:after="200"/>
              <w:rPr>
                <w:rFonts w:cs="Arial"/>
                <w:b/>
                <w:szCs w:val="24"/>
              </w:rPr>
            </w:pPr>
            <w:r w:rsidRPr="00E54F94">
              <w:rPr>
                <w:rFonts w:cs="Arial"/>
                <w:b/>
                <w:szCs w:val="24"/>
              </w:rPr>
              <w:t>Relevant Convictions</w:t>
            </w:r>
          </w:p>
        </w:tc>
        <w:tc>
          <w:tcPr>
            <w:tcW w:w="6141" w:type="dxa"/>
          </w:tcPr>
          <w:p w14:paraId="48DD405C" w14:textId="77777777" w:rsidR="0029093D" w:rsidRPr="00577CA4" w:rsidRDefault="0029093D" w:rsidP="00D42BA3">
            <w:pPr>
              <w:spacing w:before="100" w:after="200"/>
              <w:rPr>
                <w:rFonts w:cs="Arial"/>
                <w:b/>
                <w:szCs w:val="24"/>
              </w:rPr>
            </w:pPr>
            <w:r w:rsidRPr="00577CA4">
              <w:rPr>
                <w:rFonts w:cs="Arial"/>
                <w:szCs w:val="24"/>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Authority may specify.</w:t>
            </w:r>
          </w:p>
        </w:tc>
      </w:tr>
      <w:tr w:rsidR="0029093D" w:rsidRPr="00577CA4" w14:paraId="6A14BC17" w14:textId="77777777" w:rsidTr="0029093D">
        <w:tc>
          <w:tcPr>
            <w:tcW w:w="2245" w:type="dxa"/>
          </w:tcPr>
          <w:p w14:paraId="36632DB6" w14:textId="77777777" w:rsidR="0029093D" w:rsidRPr="00E54F94" w:rsidRDefault="0029093D" w:rsidP="00D42BA3">
            <w:pPr>
              <w:spacing w:before="100" w:after="200"/>
              <w:rPr>
                <w:rFonts w:cs="Arial"/>
                <w:b/>
                <w:szCs w:val="24"/>
              </w:rPr>
            </w:pPr>
            <w:r w:rsidRPr="00E54F94">
              <w:rPr>
                <w:rFonts w:cs="Arial"/>
                <w:b/>
                <w:szCs w:val="24"/>
              </w:rPr>
              <w:lastRenderedPageBreak/>
              <w:t>Remediation Action Plan</w:t>
            </w:r>
          </w:p>
        </w:tc>
        <w:tc>
          <w:tcPr>
            <w:tcW w:w="6141" w:type="dxa"/>
          </w:tcPr>
          <w:p w14:paraId="15DD6913" w14:textId="1732ACA2" w:rsidR="0029093D" w:rsidRPr="00577CA4" w:rsidRDefault="0029093D" w:rsidP="00D42BA3">
            <w:pPr>
              <w:spacing w:before="100" w:after="200"/>
              <w:rPr>
                <w:rFonts w:cs="Arial"/>
                <w:b/>
                <w:szCs w:val="24"/>
              </w:rPr>
            </w:pPr>
            <w:r w:rsidRPr="00577CA4">
              <w:rPr>
                <w:rFonts w:cs="Arial"/>
                <w:szCs w:val="24"/>
              </w:rPr>
              <w:t xml:space="preserve">means the plan prepared by the Supplier in accordance with </w:t>
            </w:r>
            <w:r w:rsidR="00D006F4">
              <w:rPr>
                <w:rFonts w:cs="Arial"/>
                <w:szCs w:val="24"/>
              </w:rPr>
              <w:t>Paragraph</w:t>
            </w:r>
            <w:r w:rsidRPr="00577CA4">
              <w:rPr>
                <w:rFonts w:cs="Arial"/>
                <w:szCs w:val="24"/>
              </w:rPr>
              <w:t> 10.20 to 10.24, addressing the vulnerabilities and findings in a IT Health Check report.</w:t>
            </w:r>
          </w:p>
        </w:tc>
      </w:tr>
      <w:tr w:rsidR="0029093D" w:rsidRPr="00577CA4" w14:paraId="17A1415F" w14:textId="77777777" w:rsidTr="0029093D">
        <w:tc>
          <w:tcPr>
            <w:tcW w:w="2245" w:type="dxa"/>
          </w:tcPr>
          <w:p w14:paraId="3880B56B" w14:textId="77777777" w:rsidR="0029093D" w:rsidRPr="00E54F94" w:rsidRDefault="0029093D" w:rsidP="00D42BA3">
            <w:pPr>
              <w:spacing w:before="100" w:after="200"/>
              <w:rPr>
                <w:rFonts w:cs="Arial"/>
                <w:b/>
                <w:szCs w:val="24"/>
              </w:rPr>
            </w:pPr>
            <w:r w:rsidRPr="00E54F94">
              <w:rPr>
                <w:rFonts w:cs="Arial"/>
                <w:b/>
                <w:szCs w:val="24"/>
              </w:rPr>
              <w:t>Required Changes Register</w:t>
            </w:r>
          </w:p>
        </w:tc>
        <w:tc>
          <w:tcPr>
            <w:tcW w:w="6141" w:type="dxa"/>
          </w:tcPr>
          <w:p w14:paraId="3CBC9566" w14:textId="77777777" w:rsidR="0029093D" w:rsidRPr="00577CA4" w:rsidRDefault="0029093D" w:rsidP="00D42BA3">
            <w:pPr>
              <w:spacing w:before="100" w:after="200"/>
              <w:rPr>
                <w:rFonts w:cs="Arial"/>
                <w:b/>
                <w:szCs w:val="24"/>
              </w:rPr>
            </w:pPr>
            <w:r w:rsidRPr="00577CA4">
              <w:rPr>
                <w:rFonts w:cs="Arial"/>
                <w:szCs w:val="24"/>
              </w:rPr>
              <w:t>means the register recording each of the changes that the Supplier proposes to the Supplier Information Management System or the Security Management Plan together:</w:t>
            </w:r>
          </w:p>
          <w:p w14:paraId="29BC477E" w14:textId="77777777" w:rsidR="0029093D" w:rsidRPr="00E54F94" w:rsidRDefault="0029093D" w:rsidP="00E1349E">
            <w:pPr>
              <w:pStyle w:val="DefinitionList"/>
              <w:numPr>
                <w:ilvl w:val="0"/>
                <w:numId w:val="235"/>
              </w:numPr>
              <w:tabs>
                <w:tab w:val="clear" w:pos="720"/>
                <w:tab w:val="num" w:pos="861"/>
              </w:tabs>
              <w:rPr>
                <w:rFonts w:cs="Arial"/>
                <w:b/>
              </w:rPr>
            </w:pPr>
            <w:r w:rsidRPr="00E54F94">
              <w:rPr>
                <w:rFonts w:cs="Arial"/>
              </w:rPr>
              <w:t>the details of any approval of the change provided by the Authority, including any conditions or limitations on that approval; and</w:t>
            </w:r>
          </w:p>
          <w:p w14:paraId="370F73A8" w14:textId="77777777" w:rsidR="0029093D" w:rsidRPr="00885175" w:rsidRDefault="0029093D" w:rsidP="00F13933">
            <w:pPr>
              <w:pStyle w:val="DefinitionList"/>
              <w:numPr>
                <w:ilvl w:val="0"/>
                <w:numId w:val="66"/>
              </w:numPr>
              <w:tabs>
                <w:tab w:val="clear" w:pos="720"/>
                <w:tab w:val="num" w:pos="861"/>
              </w:tabs>
              <w:ind w:left="861"/>
              <w:rPr>
                <w:rFonts w:cs="Arial"/>
                <w:b/>
              </w:rPr>
            </w:pPr>
            <w:r w:rsidRPr="00885175">
              <w:rPr>
                <w:rFonts w:cs="Arial"/>
              </w:rPr>
              <w:t>the date:</w:t>
            </w:r>
          </w:p>
          <w:p w14:paraId="66D4C76D" w14:textId="77777777" w:rsidR="0029093D" w:rsidRPr="00885175" w:rsidRDefault="0029093D" w:rsidP="00F13933">
            <w:pPr>
              <w:pStyle w:val="DefinitionListLevel1"/>
              <w:numPr>
                <w:ilvl w:val="1"/>
                <w:numId w:val="66"/>
              </w:numPr>
              <w:rPr>
                <w:rFonts w:cs="Arial"/>
                <w:b/>
              </w:rPr>
            </w:pPr>
            <w:r w:rsidRPr="00885175">
              <w:rPr>
                <w:rFonts w:cs="Arial"/>
              </w:rPr>
              <w:t>the date by which the change it to be implemented; and</w:t>
            </w:r>
          </w:p>
          <w:p w14:paraId="0BF380CF" w14:textId="77777777" w:rsidR="0029093D" w:rsidRPr="00577CA4" w:rsidRDefault="0029093D" w:rsidP="00F13933">
            <w:pPr>
              <w:pStyle w:val="DefinitionListLevel1"/>
              <w:numPr>
                <w:ilvl w:val="1"/>
                <w:numId w:val="66"/>
              </w:numPr>
            </w:pPr>
            <w:r w:rsidRPr="00885175">
              <w:rPr>
                <w:rFonts w:cs="Arial"/>
              </w:rPr>
              <w:t>the date on which the change was implemented.</w:t>
            </w:r>
          </w:p>
        </w:tc>
      </w:tr>
      <w:tr w:rsidR="0029093D" w:rsidRPr="00577CA4" w14:paraId="1947516C" w14:textId="77777777" w:rsidTr="0029093D">
        <w:tc>
          <w:tcPr>
            <w:tcW w:w="2245" w:type="dxa"/>
          </w:tcPr>
          <w:p w14:paraId="20558785" w14:textId="77777777" w:rsidR="0029093D" w:rsidRPr="00E54F94" w:rsidRDefault="0029093D" w:rsidP="00D42BA3">
            <w:pPr>
              <w:spacing w:before="100" w:after="200"/>
              <w:rPr>
                <w:rFonts w:cs="Arial"/>
                <w:b/>
                <w:szCs w:val="24"/>
              </w:rPr>
            </w:pPr>
            <w:r w:rsidRPr="00E54F94">
              <w:rPr>
                <w:rFonts w:cs="Arial"/>
                <w:b/>
                <w:szCs w:val="24"/>
              </w:rPr>
              <w:t>Residual Risk Statement</w:t>
            </w:r>
          </w:p>
        </w:tc>
        <w:tc>
          <w:tcPr>
            <w:tcW w:w="6141" w:type="dxa"/>
          </w:tcPr>
          <w:p w14:paraId="0C3CC107" w14:textId="77777777" w:rsidR="0029093D" w:rsidRPr="00577CA4" w:rsidRDefault="0029093D" w:rsidP="00D42BA3">
            <w:pPr>
              <w:spacing w:before="100" w:after="200"/>
              <w:rPr>
                <w:rFonts w:cs="Arial"/>
                <w:b/>
                <w:szCs w:val="24"/>
              </w:rPr>
            </w:pPr>
            <w:r w:rsidRPr="00577CA4">
              <w:rPr>
                <w:rFonts w:cs="Arial"/>
                <w:szCs w:val="24"/>
              </w:rPr>
              <w:t>means a notice issued by the Authority that</w:t>
            </w:r>
          </w:p>
          <w:p w14:paraId="11C5D681" w14:textId="77777777" w:rsidR="0029093D" w:rsidRPr="00E54F94" w:rsidRDefault="0029093D" w:rsidP="00E1349E">
            <w:pPr>
              <w:pStyle w:val="DefinitionList"/>
              <w:numPr>
                <w:ilvl w:val="0"/>
                <w:numId w:val="234"/>
              </w:numPr>
              <w:tabs>
                <w:tab w:val="clear" w:pos="720"/>
                <w:tab w:val="num" w:pos="861"/>
              </w:tabs>
              <w:rPr>
                <w:rFonts w:cs="Arial"/>
                <w:b/>
              </w:rPr>
            </w:pPr>
            <w:r w:rsidRPr="00E54F94">
              <w:rPr>
                <w:rFonts w:cs="Arial"/>
              </w:rPr>
              <w:t>sets out the information risks associated with using the Supplier Information Management System; and</w:t>
            </w:r>
          </w:p>
          <w:p w14:paraId="6DC2C5BD" w14:textId="77777777" w:rsidR="0029093D" w:rsidRPr="00885175" w:rsidRDefault="0029093D" w:rsidP="00F13933">
            <w:pPr>
              <w:pStyle w:val="DefinitionList"/>
              <w:numPr>
                <w:ilvl w:val="0"/>
                <w:numId w:val="66"/>
              </w:numPr>
              <w:tabs>
                <w:tab w:val="clear" w:pos="720"/>
                <w:tab w:val="num" w:pos="861"/>
              </w:tabs>
              <w:ind w:left="861"/>
              <w:rPr>
                <w:rFonts w:cs="Arial"/>
                <w:b/>
              </w:rPr>
            </w:pPr>
            <w:r w:rsidRPr="00885175">
              <w:rPr>
                <w:rFonts w:cs="Arial"/>
              </w:rPr>
              <w:t>confirms that the Authority:</w:t>
            </w:r>
          </w:p>
          <w:p w14:paraId="6428CA4F" w14:textId="77777777" w:rsidR="0029093D" w:rsidRPr="00885175" w:rsidRDefault="0029093D" w:rsidP="00F13933">
            <w:pPr>
              <w:pStyle w:val="DefinitionListLevel1"/>
              <w:numPr>
                <w:ilvl w:val="1"/>
                <w:numId w:val="66"/>
              </w:numPr>
              <w:rPr>
                <w:rFonts w:cs="Arial"/>
                <w:b/>
              </w:rPr>
            </w:pPr>
            <w:r w:rsidRPr="00885175">
              <w:rPr>
                <w:rFonts w:cs="Arial"/>
              </w:rPr>
              <w:t>is satisfied that the identified risks have been adequately and appropriately addressed; and</w:t>
            </w:r>
          </w:p>
          <w:p w14:paraId="0BE63336" w14:textId="77777777" w:rsidR="0029093D" w:rsidRPr="00577CA4" w:rsidRDefault="0029093D" w:rsidP="00F13933">
            <w:pPr>
              <w:pStyle w:val="DefinitionListLevel1"/>
              <w:numPr>
                <w:ilvl w:val="1"/>
                <w:numId w:val="66"/>
              </w:numPr>
            </w:pPr>
            <w:r w:rsidRPr="00885175">
              <w:rPr>
                <w:rFonts w:cs="Arial"/>
              </w:rPr>
              <w:t>that the residual risks are understood and accepted by the Authority.</w:t>
            </w:r>
          </w:p>
        </w:tc>
      </w:tr>
      <w:tr w:rsidR="0029093D" w:rsidRPr="00577CA4" w14:paraId="38CDC43F" w14:textId="77777777" w:rsidTr="0029093D">
        <w:tc>
          <w:tcPr>
            <w:tcW w:w="2245" w:type="dxa"/>
          </w:tcPr>
          <w:p w14:paraId="600B558E" w14:textId="77777777" w:rsidR="0029093D" w:rsidRPr="00E54F94" w:rsidRDefault="0029093D" w:rsidP="00D42BA3">
            <w:pPr>
              <w:spacing w:before="100" w:after="200"/>
              <w:rPr>
                <w:rFonts w:cs="Arial"/>
                <w:b/>
                <w:szCs w:val="24"/>
              </w:rPr>
            </w:pPr>
            <w:r w:rsidRPr="00E54F94">
              <w:rPr>
                <w:rFonts w:cs="Arial"/>
                <w:b/>
                <w:szCs w:val="24"/>
              </w:rPr>
              <w:t>Risk Management Approval Statement</w:t>
            </w:r>
          </w:p>
        </w:tc>
        <w:tc>
          <w:tcPr>
            <w:tcW w:w="6141" w:type="dxa"/>
          </w:tcPr>
          <w:p w14:paraId="2DDE00B4" w14:textId="5D0C4A04" w:rsidR="0029093D" w:rsidRPr="00577CA4" w:rsidRDefault="0029093D" w:rsidP="00D42BA3">
            <w:pPr>
              <w:spacing w:before="100" w:after="200"/>
              <w:rPr>
                <w:rFonts w:cs="Arial"/>
                <w:b/>
                <w:szCs w:val="24"/>
              </w:rPr>
            </w:pPr>
            <w:r w:rsidRPr="00577CA4">
              <w:rPr>
                <w:rFonts w:cs="Arial"/>
                <w:szCs w:val="24"/>
              </w:rPr>
              <w:t xml:space="preserve">the statement issued by the Authority under </w:t>
            </w:r>
            <w:r w:rsidR="00D006F4">
              <w:rPr>
                <w:rFonts w:cs="Arial"/>
                <w:szCs w:val="24"/>
              </w:rPr>
              <w:t>Paragraph</w:t>
            </w:r>
            <w:r w:rsidRPr="00577CA4">
              <w:rPr>
                <w:rFonts w:cs="Arial"/>
                <w:szCs w:val="24"/>
              </w:rPr>
              <w:t> 14.7 following the Authority-led Assurance of the Supplier Information Management System.</w:t>
            </w:r>
          </w:p>
        </w:tc>
      </w:tr>
      <w:tr w:rsidR="0029093D" w:rsidRPr="00577CA4" w14:paraId="093ACB34" w14:textId="77777777" w:rsidTr="0029093D">
        <w:tc>
          <w:tcPr>
            <w:tcW w:w="2245" w:type="dxa"/>
          </w:tcPr>
          <w:p w14:paraId="48EE69F8" w14:textId="77777777" w:rsidR="0029093D" w:rsidRPr="00E54F94" w:rsidRDefault="0029093D" w:rsidP="00D42BA3">
            <w:pPr>
              <w:spacing w:before="100" w:after="200"/>
              <w:rPr>
                <w:rFonts w:cs="Arial"/>
                <w:b/>
                <w:szCs w:val="24"/>
              </w:rPr>
            </w:pPr>
            <w:r w:rsidRPr="00E54F94">
              <w:rPr>
                <w:rFonts w:cs="Arial"/>
                <w:b/>
                <w:szCs w:val="24"/>
              </w:rPr>
              <w:t>Secure Development Guidance</w:t>
            </w:r>
          </w:p>
        </w:tc>
        <w:tc>
          <w:tcPr>
            <w:tcW w:w="6141" w:type="dxa"/>
          </w:tcPr>
          <w:p w14:paraId="7D643B10" w14:textId="77777777" w:rsidR="0029093D" w:rsidRPr="00577CA4" w:rsidRDefault="0029093D" w:rsidP="00D42BA3">
            <w:pPr>
              <w:spacing w:before="100" w:after="200"/>
              <w:rPr>
                <w:rFonts w:cs="Arial"/>
                <w:b/>
                <w:szCs w:val="24"/>
              </w:rPr>
            </w:pPr>
            <w:r w:rsidRPr="00577CA4">
              <w:rPr>
                <w:rFonts w:cs="Arial"/>
                <w:szCs w:val="24"/>
              </w:rPr>
              <w:t>means the Supplier’s secure coding policy required under its ISO27001 Relevant Certification.</w:t>
            </w:r>
          </w:p>
        </w:tc>
      </w:tr>
      <w:tr w:rsidR="0029093D" w:rsidRPr="00577CA4" w14:paraId="0CFD7A1F" w14:textId="77777777" w:rsidTr="0029093D">
        <w:tc>
          <w:tcPr>
            <w:tcW w:w="2245" w:type="dxa"/>
          </w:tcPr>
          <w:p w14:paraId="2F923D11" w14:textId="77777777" w:rsidR="0029093D" w:rsidRPr="00E54F94" w:rsidRDefault="0029093D" w:rsidP="00D42BA3">
            <w:pPr>
              <w:spacing w:before="100" w:after="200"/>
              <w:rPr>
                <w:rFonts w:cs="Arial"/>
                <w:b/>
                <w:szCs w:val="24"/>
              </w:rPr>
            </w:pPr>
            <w:r w:rsidRPr="00E54F94">
              <w:rPr>
                <w:rFonts w:cs="Arial"/>
                <w:b/>
                <w:szCs w:val="24"/>
              </w:rPr>
              <w:t>Security Management Plan</w:t>
            </w:r>
          </w:p>
        </w:tc>
        <w:tc>
          <w:tcPr>
            <w:tcW w:w="6141" w:type="dxa"/>
          </w:tcPr>
          <w:p w14:paraId="183D9157" w14:textId="2AECDD82" w:rsidR="0029093D" w:rsidRPr="00577CA4" w:rsidRDefault="0029093D" w:rsidP="00D42BA3">
            <w:pPr>
              <w:spacing w:before="100" w:after="200"/>
              <w:rPr>
                <w:rFonts w:cs="Arial"/>
                <w:b/>
                <w:szCs w:val="24"/>
              </w:rPr>
            </w:pPr>
            <w:r w:rsidRPr="00577CA4">
              <w:rPr>
                <w:rFonts w:cs="Arial"/>
                <w:szCs w:val="24"/>
              </w:rPr>
              <w:t xml:space="preserve">means the document prepared in accordance with the requirements of </w:t>
            </w:r>
            <w:r w:rsidR="00D006F4">
              <w:rPr>
                <w:rFonts w:cs="Arial"/>
                <w:szCs w:val="24"/>
              </w:rPr>
              <w:t>Paragraph</w:t>
            </w:r>
            <w:r w:rsidRPr="00577CA4">
              <w:rPr>
                <w:rFonts w:cs="Arial"/>
                <w:szCs w:val="24"/>
              </w:rPr>
              <w:t> 13 and in the format, and containing the information, specified in Appendix </w:t>
            </w:r>
            <w:r w:rsidR="00673249">
              <w:rPr>
                <w:rFonts w:cs="Arial"/>
                <w:szCs w:val="24"/>
              </w:rPr>
              <w:t>5</w:t>
            </w:r>
            <w:r w:rsidRPr="00577CA4">
              <w:rPr>
                <w:rFonts w:cs="Arial"/>
                <w:szCs w:val="24"/>
              </w:rPr>
              <w:t>.</w:t>
            </w:r>
          </w:p>
        </w:tc>
      </w:tr>
      <w:tr w:rsidR="0029093D" w:rsidRPr="00577CA4" w14:paraId="3F1AC17A" w14:textId="77777777" w:rsidTr="0029093D">
        <w:tc>
          <w:tcPr>
            <w:tcW w:w="2245" w:type="dxa"/>
          </w:tcPr>
          <w:p w14:paraId="73429D9F" w14:textId="77777777" w:rsidR="0029093D" w:rsidRPr="00E54F94" w:rsidRDefault="0029093D" w:rsidP="00D42BA3">
            <w:pPr>
              <w:spacing w:before="100" w:after="200"/>
              <w:rPr>
                <w:rFonts w:cs="Arial"/>
                <w:b/>
                <w:szCs w:val="24"/>
              </w:rPr>
            </w:pPr>
            <w:r w:rsidRPr="00E54F94">
              <w:rPr>
                <w:rFonts w:cs="Arial"/>
                <w:b/>
                <w:szCs w:val="24"/>
              </w:rPr>
              <w:lastRenderedPageBreak/>
              <w:t>Security Requirements</w:t>
            </w:r>
          </w:p>
        </w:tc>
        <w:tc>
          <w:tcPr>
            <w:tcW w:w="6141" w:type="dxa"/>
          </w:tcPr>
          <w:p w14:paraId="5DA5DCF6" w14:textId="77777777" w:rsidR="0029093D" w:rsidRPr="00577CA4" w:rsidRDefault="0029093D" w:rsidP="00D42BA3">
            <w:pPr>
              <w:spacing w:before="100" w:after="200"/>
              <w:rPr>
                <w:rFonts w:cs="Arial"/>
                <w:b/>
                <w:szCs w:val="24"/>
              </w:rPr>
            </w:pPr>
            <w:r w:rsidRPr="00577CA4">
              <w:rPr>
                <w:rFonts w:cs="Arial"/>
                <w:szCs w:val="24"/>
              </w:rPr>
              <w:t>mean the security requirements in Appendix 1 to this Schedule 5 (</w:t>
            </w:r>
            <w:r w:rsidRPr="00577CA4">
              <w:rPr>
                <w:rFonts w:cs="Arial"/>
                <w:i/>
                <w:szCs w:val="24"/>
              </w:rPr>
              <w:t>Security Management</w:t>
            </w:r>
            <w:r w:rsidRPr="00577CA4">
              <w:rPr>
                <w:rFonts w:cs="Arial"/>
                <w:szCs w:val="24"/>
              </w:rPr>
              <w:t>).</w:t>
            </w:r>
          </w:p>
        </w:tc>
      </w:tr>
      <w:tr w:rsidR="0029093D" w:rsidRPr="00577CA4" w14:paraId="1651658F" w14:textId="77777777" w:rsidTr="0029093D">
        <w:tc>
          <w:tcPr>
            <w:tcW w:w="2245" w:type="dxa"/>
          </w:tcPr>
          <w:p w14:paraId="007D45AF" w14:textId="77777777" w:rsidR="0029093D" w:rsidRPr="00E54F94" w:rsidRDefault="0029093D" w:rsidP="00D42BA3">
            <w:pPr>
              <w:spacing w:before="100" w:after="200"/>
              <w:rPr>
                <w:rFonts w:cs="Arial"/>
                <w:b/>
                <w:szCs w:val="24"/>
              </w:rPr>
            </w:pPr>
            <w:r w:rsidRPr="00E54F94">
              <w:rPr>
                <w:rFonts w:cs="Arial"/>
                <w:b/>
                <w:szCs w:val="24"/>
              </w:rPr>
              <w:t>Security Requirements for Development</w:t>
            </w:r>
          </w:p>
        </w:tc>
        <w:tc>
          <w:tcPr>
            <w:tcW w:w="6141" w:type="dxa"/>
          </w:tcPr>
          <w:p w14:paraId="60E6EE50" w14:textId="77777777" w:rsidR="0029093D" w:rsidRPr="00577CA4" w:rsidRDefault="0029093D" w:rsidP="00D42BA3">
            <w:pPr>
              <w:spacing w:before="100" w:after="200"/>
              <w:rPr>
                <w:rFonts w:cs="Arial"/>
                <w:b/>
                <w:szCs w:val="24"/>
              </w:rPr>
            </w:pPr>
            <w:r w:rsidRPr="00577CA4">
              <w:rPr>
                <w:rFonts w:cs="Arial"/>
                <w:szCs w:val="24"/>
              </w:rPr>
              <w:t>means the security requirement Appendix 2 to this Schedule 5 (</w:t>
            </w:r>
            <w:r w:rsidRPr="00577CA4">
              <w:rPr>
                <w:rFonts w:cs="Arial"/>
                <w:i/>
                <w:szCs w:val="24"/>
              </w:rPr>
              <w:t>Security Management</w:t>
            </w:r>
            <w:r w:rsidRPr="00577CA4">
              <w:rPr>
                <w:rFonts w:cs="Arial"/>
                <w:szCs w:val="24"/>
              </w:rPr>
              <w:t>).</w:t>
            </w:r>
          </w:p>
        </w:tc>
      </w:tr>
      <w:tr w:rsidR="0029093D" w:rsidRPr="00577CA4" w14:paraId="3F97FE16" w14:textId="77777777" w:rsidTr="0029093D">
        <w:tc>
          <w:tcPr>
            <w:tcW w:w="2245" w:type="dxa"/>
          </w:tcPr>
          <w:p w14:paraId="4BB1CC81" w14:textId="77777777" w:rsidR="0029093D" w:rsidRPr="00E54F94" w:rsidRDefault="0029093D" w:rsidP="00D42BA3">
            <w:pPr>
              <w:spacing w:before="100" w:after="200"/>
              <w:rPr>
                <w:rFonts w:cs="Arial"/>
                <w:b/>
                <w:szCs w:val="24"/>
              </w:rPr>
            </w:pPr>
            <w:r w:rsidRPr="00E54F94">
              <w:rPr>
                <w:rFonts w:cs="Arial"/>
                <w:b/>
                <w:szCs w:val="24"/>
              </w:rPr>
              <w:t>Security Test</w:t>
            </w:r>
          </w:p>
        </w:tc>
        <w:tc>
          <w:tcPr>
            <w:tcW w:w="6141" w:type="dxa"/>
          </w:tcPr>
          <w:p w14:paraId="7EFF5B7C" w14:textId="77777777" w:rsidR="0029093D" w:rsidRPr="00577CA4" w:rsidRDefault="0029093D" w:rsidP="00D42BA3">
            <w:pPr>
              <w:spacing w:before="100" w:after="200"/>
              <w:rPr>
                <w:rFonts w:cs="Arial"/>
                <w:b/>
                <w:szCs w:val="24"/>
              </w:rPr>
            </w:pPr>
            <w:r w:rsidRPr="00577CA4">
              <w:rPr>
                <w:rFonts w:cs="Arial"/>
                <w:szCs w:val="24"/>
              </w:rPr>
              <w:t>means:</w:t>
            </w:r>
          </w:p>
          <w:p w14:paraId="25659018" w14:textId="77777777" w:rsidR="0029093D" w:rsidRPr="00E54F94" w:rsidRDefault="0029093D" w:rsidP="00E1349E">
            <w:pPr>
              <w:pStyle w:val="DefinitionList"/>
              <w:numPr>
                <w:ilvl w:val="0"/>
                <w:numId w:val="233"/>
              </w:numPr>
              <w:tabs>
                <w:tab w:val="clear" w:pos="720"/>
                <w:tab w:val="num" w:pos="861"/>
              </w:tabs>
              <w:rPr>
                <w:rFonts w:cs="Arial"/>
                <w:b/>
              </w:rPr>
            </w:pPr>
            <w:r w:rsidRPr="00E54F94">
              <w:rPr>
                <w:rFonts w:cs="Arial"/>
              </w:rPr>
              <w:t>an Authority Security Test;</w:t>
            </w:r>
          </w:p>
          <w:p w14:paraId="4455BFDC" w14:textId="77777777" w:rsidR="0029093D" w:rsidRPr="00885175" w:rsidRDefault="0029093D" w:rsidP="00F13933">
            <w:pPr>
              <w:pStyle w:val="DefinitionList"/>
              <w:numPr>
                <w:ilvl w:val="0"/>
                <w:numId w:val="66"/>
              </w:numPr>
              <w:tabs>
                <w:tab w:val="clear" w:pos="720"/>
                <w:tab w:val="num" w:pos="861"/>
              </w:tabs>
              <w:ind w:left="861"/>
              <w:rPr>
                <w:rFonts w:cs="Arial"/>
                <w:b/>
              </w:rPr>
            </w:pPr>
            <w:r w:rsidRPr="00885175">
              <w:rPr>
                <w:rFonts w:cs="Arial"/>
              </w:rPr>
              <w:t>an IT Health Check; or</w:t>
            </w:r>
          </w:p>
          <w:p w14:paraId="28AE3E47" w14:textId="77777777" w:rsidR="0029093D" w:rsidRPr="00885175" w:rsidRDefault="0029093D" w:rsidP="00F13933">
            <w:pPr>
              <w:pStyle w:val="DefinitionList"/>
              <w:numPr>
                <w:ilvl w:val="0"/>
                <w:numId w:val="66"/>
              </w:numPr>
              <w:tabs>
                <w:tab w:val="clear" w:pos="720"/>
                <w:tab w:val="num" w:pos="861"/>
              </w:tabs>
              <w:ind w:left="861"/>
            </w:pPr>
            <w:r w:rsidRPr="00885175">
              <w:rPr>
                <w:rFonts w:cs="Arial"/>
              </w:rPr>
              <w:t>a Supplier Security Test.</w:t>
            </w:r>
          </w:p>
        </w:tc>
      </w:tr>
      <w:tr w:rsidR="0029093D" w:rsidRPr="00577CA4" w14:paraId="7972AEC2" w14:textId="77777777" w:rsidTr="0029093D">
        <w:tc>
          <w:tcPr>
            <w:tcW w:w="2245" w:type="dxa"/>
          </w:tcPr>
          <w:p w14:paraId="44FB7918" w14:textId="77777777" w:rsidR="0029093D" w:rsidRPr="00E54F94" w:rsidRDefault="0029093D" w:rsidP="00D42BA3">
            <w:pPr>
              <w:spacing w:before="100" w:after="200"/>
              <w:rPr>
                <w:rFonts w:cs="Arial"/>
                <w:b/>
                <w:szCs w:val="24"/>
              </w:rPr>
            </w:pPr>
            <w:r w:rsidRPr="00E54F94">
              <w:rPr>
                <w:rFonts w:cs="Arial"/>
                <w:b/>
                <w:szCs w:val="24"/>
              </w:rPr>
              <w:t>Security Working Group</w:t>
            </w:r>
          </w:p>
        </w:tc>
        <w:tc>
          <w:tcPr>
            <w:tcW w:w="6141" w:type="dxa"/>
          </w:tcPr>
          <w:p w14:paraId="7E616528" w14:textId="6587BBCC" w:rsidR="0029093D" w:rsidRPr="00577CA4" w:rsidRDefault="0029093D" w:rsidP="00D42BA3">
            <w:pPr>
              <w:spacing w:before="100" w:after="200"/>
              <w:rPr>
                <w:rFonts w:cs="Arial"/>
                <w:b/>
                <w:szCs w:val="24"/>
              </w:rPr>
            </w:pPr>
            <w:r w:rsidRPr="00577CA4">
              <w:rPr>
                <w:rFonts w:cs="Arial"/>
                <w:szCs w:val="24"/>
              </w:rPr>
              <w:t xml:space="preserve">means the Board established under </w:t>
            </w:r>
            <w:r w:rsidR="00D006F4">
              <w:rPr>
                <w:rFonts w:cs="Arial"/>
                <w:szCs w:val="24"/>
              </w:rPr>
              <w:t>Paragraph</w:t>
            </w:r>
            <w:r w:rsidRPr="00577CA4">
              <w:rPr>
                <w:rFonts w:cs="Arial"/>
                <w:szCs w:val="24"/>
              </w:rPr>
              <w:t> 8 or Schedule 21 (Governance), as applicable.</w:t>
            </w:r>
          </w:p>
        </w:tc>
      </w:tr>
      <w:tr w:rsidR="0029093D" w:rsidRPr="00577CA4" w14:paraId="28592B4A" w14:textId="77777777" w:rsidTr="0029093D">
        <w:tc>
          <w:tcPr>
            <w:tcW w:w="2245" w:type="dxa"/>
          </w:tcPr>
          <w:p w14:paraId="3FA732CD" w14:textId="77777777" w:rsidR="0029093D" w:rsidRPr="00E54F94" w:rsidRDefault="0029093D" w:rsidP="00D42BA3">
            <w:pPr>
              <w:spacing w:before="100" w:after="200"/>
              <w:rPr>
                <w:rFonts w:cs="Arial"/>
                <w:b/>
                <w:szCs w:val="24"/>
              </w:rPr>
            </w:pPr>
            <w:r w:rsidRPr="00E54F94">
              <w:rPr>
                <w:rFonts w:cs="Arial"/>
                <w:b/>
                <w:szCs w:val="24"/>
              </w:rPr>
              <w:t>SIMS Sub-contractor</w:t>
            </w:r>
          </w:p>
        </w:tc>
        <w:tc>
          <w:tcPr>
            <w:tcW w:w="6141" w:type="dxa"/>
          </w:tcPr>
          <w:p w14:paraId="0C54B2B9" w14:textId="77777777" w:rsidR="0029093D" w:rsidRPr="00577CA4" w:rsidRDefault="0029093D" w:rsidP="00D42BA3">
            <w:pPr>
              <w:spacing w:before="100" w:after="200"/>
              <w:rPr>
                <w:rFonts w:cs="Arial"/>
                <w:b/>
                <w:szCs w:val="24"/>
              </w:rPr>
            </w:pPr>
            <w:r w:rsidRPr="00577CA4">
              <w:rPr>
                <w:rFonts w:cs="Arial"/>
                <w:szCs w:val="24"/>
              </w:rPr>
              <w:t>means a Sub-contractor designated by the Authority that provides or operates the whole, or a substantial part, of the Supplier Information Management System.</w:t>
            </w:r>
          </w:p>
        </w:tc>
      </w:tr>
      <w:tr w:rsidR="0029093D" w:rsidRPr="00577CA4" w14:paraId="3FFAD6BC" w14:textId="77777777" w:rsidTr="0029093D">
        <w:tc>
          <w:tcPr>
            <w:tcW w:w="2245" w:type="dxa"/>
          </w:tcPr>
          <w:p w14:paraId="7FDE85AE" w14:textId="77777777" w:rsidR="0029093D" w:rsidRPr="00E54F94" w:rsidRDefault="0029093D" w:rsidP="00D42BA3">
            <w:pPr>
              <w:spacing w:before="100" w:after="200"/>
              <w:rPr>
                <w:rFonts w:cs="Arial"/>
                <w:b/>
                <w:szCs w:val="24"/>
              </w:rPr>
            </w:pPr>
            <w:r w:rsidRPr="00E54F94">
              <w:rPr>
                <w:rFonts w:cs="Arial"/>
                <w:b/>
                <w:szCs w:val="24"/>
              </w:rPr>
              <w:t>Sites</w:t>
            </w:r>
          </w:p>
        </w:tc>
        <w:tc>
          <w:tcPr>
            <w:tcW w:w="6141" w:type="dxa"/>
          </w:tcPr>
          <w:p w14:paraId="16BB4F36" w14:textId="77777777" w:rsidR="0029093D" w:rsidRPr="00577CA4" w:rsidRDefault="0029093D" w:rsidP="00D42BA3">
            <w:pPr>
              <w:spacing w:before="100" w:after="200"/>
              <w:rPr>
                <w:rFonts w:cs="Arial"/>
                <w:b/>
                <w:szCs w:val="24"/>
              </w:rPr>
            </w:pPr>
            <w:r w:rsidRPr="00577CA4">
              <w:rPr>
                <w:rFonts w:cs="Arial"/>
                <w:szCs w:val="24"/>
              </w:rPr>
              <w:t xml:space="preserve">means any premises (including the Authority Premises, the Supplier’s premises or third-party premises): </w:t>
            </w:r>
          </w:p>
          <w:p w14:paraId="2ADA8CC8" w14:textId="77777777" w:rsidR="0029093D" w:rsidRPr="00E54F94" w:rsidRDefault="0029093D" w:rsidP="00E1349E">
            <w:pPr>
              <w:pStyle w:val="DefinitionList"/>
              <w:numPr>
                <w:ilvl w:val="0"/>
                <w:numId w:val="232"/>
              </w:numPr>
              <w:tabs>
                <w:tab w:val="clear" w:pos="720"/>
                <w:tab w:val="num" w:pos="861"/>
              </w:tabs>
              <w:rPr>
                <w:rFonts w:cs="Arial"/>
                <w:b/>
              </w:rPr>
            </w:pPr>
            <w:r w:rsidRPr="00E54F94">
              <w:rPr>
                <w:rFonts w:cs="Arial"/>
              </w:rPr>
              <w:t>from, to or at which:</w:t>
            </w:r>
          </w:p>
          <w:p w14:paraId="1D57970C" w14:textId="77777777" w:rsidR="0029093D" w:rsidRPr="00885175" w:rsidRDefault="0029093D" w:rsidP="00F13933">
            <w:pPr>
              <w:pStyle w:val="DefinitionListLevel1"/>
              <w:numPr>
                <w:ilvl w:val="1"/>
                <w:numId w:val="66"/>
              </w:numPr>
              <w:rPr>
                <w:rFonts w:cs="Arial"/>
                <w:b/>
              </w:rPr>
            </w:pPr>
            <w:r w:rsidRPr="00885175">
              <w:rPr>
                <w:rFonts w:cs="Arial"/>
              </w:rPr>
              <w:t xml:space="preserve">the Services are (or are to be) provided; or </w:t>
            </w:r>
          </w:p>
          <w:p w14:paraId="444A584A" w14:textId="77777777" w:rsidR="0029093D" w:rsidRPr="00885175" w:rsidRDefault="0029093D" w:rsidP="00F13933">
            <w:pPr>
              <w:pStyle w:val="DefinitionListLevel1"/>
              <w:numPr>
                <w:ilvl w:val="1"/>
                <w:numId w:val="66"/>
              </w:numPr>
              <w:rPr>
                <w:rFonts w:cs="Arial"/>
                <w:b/>
              </w:rPr>
            </w:pPr>
            <w:r w:rsidRPr="00885175">
              <w:rPr>
                <w:rFonts w:cs="Arial"/>
              </w:rPr>
              <w:t>the Supplier or any Sub-contractor  manages, organises or otherwise directs the provision or the use of the Services; or</w:t>
            </w:r>
          </w:p>
          <w:p w14:paraId="7329D9CF" w14:textId="77777777" w:rsidR="0029093D" w:rsidRPr="00885175" w:rsidRDefault="0029093D" w:rsidP="00F13933">
            <w:pPr>
              <w:pStyle w:val="DefinitionList"/>
              <w:numPr>
                <w:ilvl w:val="0"/>
                <w:numId w:val="66"/>
              </w:numPr>
              <w:tabs>
                <w:tab w:val="clear" w:pos="720"/>
                <w:tab w:val="num" w:pos="861"/>
              </w:tabs>
              <w:ind w:left="861"/>
              <w:rPr>
                <w:rFonts w:cs="Arial"/>
                <w:b/>
              </w:rPr>
            </w:pPr>
            <w:r w:rsidRPr="00885175">
              <w:rPr>
                <w:rFonts w:cs="Arial"/>
              </w:rPr>
              <w:t>where:</w:t>
            </w:r>
          </w:p>
          <w:p w14:paraId="2795CC9E" w14:textId="77777777" w:rsidR="0029093D" w:rsidRPr="00885175" w:rsidRDefault="0029093D" w:rsidP="00F13933">
            <w:pPr>
              <w:pStyle w:val="DefinitionListLevel1"/>
              <w:numPr>
                <w:ilvl w:val="1"/>
                <w:numId w:val="66"/>
              </w:numPr>
              <w:rPr>
                <w:rFonts w:cs="Arial"/>
                <w:b/>
              </w:rPr>
            </w:pPr>
            <w:r w:rsidRPr="00885175">
              <w:rPr>
                <w:rFonts w:cs="Arial"/>
              </w:rPr>
              <w:t xml:space="preserve">any part of the Supplier System is situated; or </w:t>
            </w:r>
          </w:p>
          <w:p w14:paraId="38D78AF6" w14:textId="77777777" w:rsidR="0029093D" w:rsidRPr="00577CA4" w:rsidRDefault="0029093D" w:rsidP="00F13933">
            <w:pPr>
              <w:pStyle w:val="DefinitionListLevel1"/>
              <w:numPr>
                <w:ilvl w:val="1"/>
                <w:numId w:val="66"/>
              </w:numPr>
            </w:pPr>
            <w:r w:rsidRPr="00885175">
              <w:rPr>
                <w:rFonts w:cs="Arial"/>
              </w:rPr>
              <w:t>any physical interface with the Authority System takes place.</w:t>
            </w:r>
          </w:p>
        </w:tc>
      </w:tr>
      <w:tr w:rsidR="0029093D" w:rsidRPr="00577CA4" w14:paraId="6D060F4A" w14:textId="77777777" w:rsidTr="0029093D">
        <w:tc>
          <w:tcPr>
            <w:tcW w:w="2245" w:type="dxa"/>
          </w:tcPr>
          <w:p w14:paraId="150CBC32" w14:textId="77777777" w:rsidR="0029093D" w:rsidRPr="00E54F94" w:rsidRDefault="0029093D" w:rsidP="00D42BA3">
            <w:pPr>
              <w:spacing w:before="100" w:after="200"/>
              <w:rPr>
                <w:rFonts w:cs="Arial"/>
                <w:b/>
                <w:szCs w:val="24"/>
              </w:rPr>
            </w:pPr>
            <w:r w:rsidRPr="00E54F94">
              <w:rPr>
                <w:rFonts w:cs="Arial"/>
                <w:b/>
                <w:szCs w:val="24"/>
              </w:rPr>
              <w:t>SMP Sub-contractor</w:t>
            </w:r>
          </w:p>
        </w:tc>
        <w:tc>
          <w:tcPr>
            <w:tcW w:w="6141" w:type="dxa"/>
          </w:tcPr>
          <w:p w14:paraId="249C9219" w14:textId="77777777" w:rsidR="0029093D" w:rsidRPr="00577CA4" w:rsidRDefault="0029093D" w:rsidP="00D42BA3">
            <w:pPr>
              <w:spacing w:before="100" w:after="200"/>
              <w:rPr>
                <w:rFonts w:cs="Arial"/>
                <w:b/>
                <w:szCs w:val="24"/>
              </w:rPr>
            </w:pPr>
            <w:r w:rsidRPr="00577CA4">
              <w:rPr>
                <w:rFonts w:cs="Arial"/>
                <w:szCs w:val="24"/>
              </w:rPr>
              <w:t>means a Sub-contractor with significant market power, such that:</w:t>
            </w:r>
          </w:p>
          <w:p w14:paraId="259D8AF2" w14:textId="77777777" w:rsidR="0029093D" w:rsidRPr="00E54F94" w:rsidRDefault="0029093D" w:rsidP="00E1349E">
            <w:pPr>
              <w:pStyle w:val="DefinitionList"/>
              <w:numPr>
                <w:ilvl w:val="0"/>
                <w:numId w:val="231"/>
              </w:numPr>
              <w:tabs>
                <w:tab w:val="clear" w:pos="720"/>
                <w:tab w:val="num" w:pos="861"/>
              </w:tabs>
              <w:rPr>
                <w:rFonts w:cs="Arial"/>
                <w:b/>
              </w:rPr>
            </w:pPr>
            <w:r w:rsidRPr="00E54F94">
              <w:rPr>
                <w:rFonts w:cs="Arial"/>
              </w:rPr>
              <w:t>they will not contract other than on their own contractual terms; and</w:t>
            </w:r>
          </w:p>
          <w:p w14:paraId="27E832CB" w14:textId="77777777" w:rsidR="0029093D" w:rsidRPr="00885175" w:rsidRDefault="0029093D" w:rsidP="00F13933">
            <w:pPr>
              <w:pStyle w:val="DefinitionList"/>
              <w:numPr>
                <w:ilvl w:val="0"/>
                <w:numId w:val="66"/>
              </w:numPr>
              <w:tabs>
                <w:tab w:val="clear" w:pos="720"/>
                <w:tab w:val="num" w:pos="861"/>
              </w:tabs>
              <w:ind w:left="861"/>
              <w:rPr>
                <w:rFonts w:cs="Arial"/>
                <w:b/>
              </w:rPr>
            </w:pPr>
            <w:r w:rsidRPr="00885175">
              <w:rPr>
                <w:rFonts w:cs="Arial"/>
              </w:rPr>
              <w:t>either:</w:t>
            </w:r>
          </w:p>
          <w:p w14:paraId="11F15729" w14:textId="77777777" w:rsidR="0029093D" w:rsidRPr="00885175" w:rsidRDefault="0029093D" w:rsidP="00F13933">
            <w:pPr>
              <w:pStyle w:val="DefinitionListLevel1"/>
              <w:numPr>
                <w:ilvl w:val="1"/>
                <w:numId w:val="66"/>
              </w:numPr>
              <w:rPr>
                <w:rFonts w:cs="Arial"/>
                <w:b/>
              </w:rPr>
            </w:pPr>
            <w:r w:rsidRPr="00885175">
              <w:rPr>
                <w:rFonts w:cs="Arial"/>
              </w:rPr>
              <w:lastRenderedPageBreak/>
              <w:t>there are no other substitutable suppliers of the particular services other than SMP Sub-contractors; or</w:t>
            </w:r>
          </w:p>
          <w:p w14:paraId="72A98952" w14:textId="77777777" w:rsidR="0029093D" w:rsidRPr="00577CA4" w:rsidRDefault="0029093D" w:rsidP="00F13933">
            <w:pPr>
              <w:pStyle w:val="DefinitionListLevel1"/>
              <w:numPr>
                <w:ilvl w:val="1"/>
                <w:numId w:val="66"/>
              </w:numPr>
            </w:pPr>
            <w:r w:rsidRPr="00885175">
              <w:rPr>
                <w:rFonts w:cs="Arial"/>
              </w:rPr>
              <w:t>the Sub-contractor concerned has an effective monopoly on the provision of the Services.</w:t>
            </w:r>
          </w:p>
        </w:tc>
      </w:tr>
      <w:tr w:rsidR="0029093D" w:rsidRPr="00577CA4" w14:paraId="71D68121" w14:textId="77777777" w:rsidTr="0029093D">
        <w:tc>
          <w:tcPr>
            <w:tcW w:w="2245" w:type="dxa"/>
          </w:tcPr>
          <w:p w14:paraId="1C857781" w14:textId="77777777" w:rsidR="0029093D" w:rsidRPr="00E54F94" w:rsidRDefault="0029093D" w:rsidP="00D42BA3">
            <w:pPr>
              <w:spacing w:before="100" w:after="200"/>
              <w:rPr>
                <w:rFonts w:cs="Arial"/>
                <w:b/>
                <w:szCs w:val="24"/>
              </w:rPr>
            </w:pPr>
            <w:r w:rsidRPr="00E54F94">
              <w:rPr>
                <w:rFonts w:cs="Arial"/>
                <w:b/>
                <w:szCs w:val="24"/>
              </w:rPr>
              <w:lastRenderedPageBreak/>
              <w:t>Statement of Information Risk Appetite</w:t>
            </w:r>
          </w:p>
        </w:tc>
        <w:tc>
          <w:tcPr>
            <w:tcW w:w="6141" w:type="dxa"/>
          </w:tcPr>
          <w:p w14:paraId="47465FD0" w14:textId="0F572095" w:rsidR="0029093D" w:rsidRPr="00577CA4" w:rsidRDefault="0029093D" w:rsidP="00D42BA3">
            <w:pPr>
              <w:spacing w:before="100" w:after="200"/>
              <w:rPr>
                <w:rFonts w:cs="Arial"/>
                <w:b/>
                <w:szCs w:val="24"/>
              </w:rPr>
            </w:pPr>
            <w:r w:rsidRPr="00577CA4">
              <w:rPr>
                <w:rFonts w:cs="Arial"/>
                <w:szCs w:val="24"/>
              </w:rPr>
              <w:t xml:space="preserve">means the statement provided by the Authority under </w:t>
            </w:r>
            <w:r w:rsidR="00D006F4">
              <w:rPr>
                <w:rFonts w:cs="Arial"/>
                <w:szCs w:val="24"/>
              </w:rPr>
              <w:t>Paragraph</w:t>
            </w:r>
            <w:r w:rsidRPr="00577CA4">
              <w:rPr>
                <w:rFonts w:cs="Arial"/>
                <w:szCs w:val="24"/>
              </w:rPr>
              <w:t> 7.1 setting out the nature and level of risk that the Supplier accepts from the operation of the Supplier Information Management System.</w:t>
            </w:r>
          </w:p>
        </w:tc>
      </w:tr>
      <w:tr w:rsidR="0029093D" w:rsidRPr="00577CA4" w14:paraId="3EB2D6A3" w14:textId="77777777" w:rsidTr="0029093D">
        <w:tc>
          <w:tcPr>
            <w:tcW w:w="2245" w:type="dxa"/>
          </w:tcPr>
          <w:p w14:paraId="4D24D5A2" w14:textId="77777777" w:rsidR="0029093D" w:rsidRPr="00E54F94" w:rsidRDefault="0029093D" w:rsidP="00D42BA3">
            <w:pPr>
              <w:spacing w:before="100" w:after="200"/>
              <w:rPr>
                <w:rFonts w:cs="Arial"/>
                <w:b/>
                <w:szCs w:val="24"/>
              </w:rPr>
            </w:pPr>
            <w:r w:rsidRPr="00E54F94">
              <w:rPr>
                <w:rFonts w:cs="Arial"/>
                <w:b/>
                <w:szCs w:val="24"/>
              </w:rPr>
              <w:t>Sub-contractor</w:t>
            </w:r>
          </w:p>
        </w:tc>
        <w:tc>
          <w:tcPr>
            <w:tcW w:w="6141" w:type="dxa"/>
          </w:tcPr>
          <w:p w14:paraId="1924916E" w14:textId="77777777" w:rsidR="0029093D" w:rsidRPr="00577CA4" w:rsidRDefault="0029093D" w:rsidP="00D42BA3">
            <w:pPr>
              <w:spacing w:before="100" w:after="200"/>
              <w:rPr>
                <w:rFonts w:cs="Arial"/>
                <w:b/>
                <w:szCs w:val="24"/>
              </w:rPr>
            </w:pPr>
            <w:r w:rsidRPr="00577CA4">
              <w:rPr>
                <w:rFonts w:cs="Arial"/>
                <w:szCs w:val="24"/>
              </w:rPr>
              <w:t>includes, for the purposes of this Schedule 5 (</w:t>
            </w:r>
            <w:r w:rsidRPr="00577CA4">
              <w:rPr>
                <w:rFonts w:cs="Arial"/>
                <w:i/>
                <w:szCs w:val="24"/>
              </w:rPr>
              <w:t>Security Management</w:t>
            </w:r>
            <w:r w:rsidRPr="00577CA4">
              <w:rPr>
                <w:rFonts w:cs="Arial"/>
                <w:szCs w:val="24"/>
              </w:rPr>
              <w:t>), any individual or entity that:</w:t>
            </w:r>
          </w:p>
          <w:p w14:paraId="2AEBD9D1" w14:textId="77777777" w:rsidR="0029093D" w:rsidRPr="00E54F94" w:rsidRDefault="0029093D" w:rsidP="00E1349E">
            <w:pPr>
              <w:pStyle w:val="DefinitionList"/>
              <w:numPr>
                <w:ilvl w:val="0"/>
                <w:numId w:val="230"/>
              </w:numPr>
              <w:tabs>
                <w:tab w:val="clear" w:pos="720"/>
                <w:tab w:val="num" w:pos="861"/>
              </w:tabs>
              <w:rPr>
                <w:rFonts w:cs="Arial"/>
                <w:b/>
              </w:rPr>
            </w:pPr>
            <w:r w:rsidRPr="00E54F94">
              <w:rPr>
                <w:rFonts w:cs="Arial"/>
              </w:rPr>
              <w:t>forms part of the supply chain of the Supplier; and</w:t>
            </w:r>
          </w:p>
          <w:p w14:paraId="350FEAE3" w14:textId="77777777" w:rsidR="0029093D" w:rsidRPr="00885175" w:rsidRDefault="0029093D" w:rsidP="00F13933">
            <w:pPr>
              <w:pStyle w:val="DefinitionList"/>
              <w:numPr>
                <w:ilvl w:val="0"/>
                <w:numId w:val="66"/>
              </w:numPr>
              <w:tabs>
                <w:tab w:val="clear" w:pos="720"/>
                <w:tab w:val="num" w:pos="861"/>
              </w:tabs>
              <w:ind w:left="861"/>
            </w:pPr>
            <w:r w:rsidRPr="00885175">
              <w:rPr>
                <w:rFonts w:cs="Arial"/>
              </w:rPr>
              <w:t>has access to, hosts, or performs any operation on or in respect of the Supplier Information Management System, the Development Environment, the Code and the Authority Data.</w:t>
            </w:r>
          </w:p>
        </w:tc>
      </w:tr>
      <w:tr w:rsidR="0029093D" w:rsidRPr="00577CA4" w14:paraId="074092AC" w14:textId="77777777" w:rsidTr="0029093D">
        <w:tc>
          <w:tcPr>
            <w:tcW w:w="2245" w:type="dxa"/>
          </w:tcPr>
          <w:p w14:paraId="6DE112B0" w14:textId="77777777" w:rsidR="0029093D" w:rsidRPr="00E54F94" w:rsidRDefault="0029093D" w:rsidP="00D42BA3">
            <w:pPr>
              <w:spacing w:before="100" w:after="200"/>
              <w:rPr>
                <w:rFonts w:cs="Arial"/>
                <w:b/>
                <w:szCs w:val="24"/>
              </w:rPr>
            </w:pPr>
            <w:r w:rsidRPr="00E54F94">
              <w:rPr>
                <w:rFonts w:cs="Arial"/>
                <w:b/>
                <w:szCs w:val="24"/>
              </w:rPr>
              <w:t>Sub-contractor Personnel</w:t>
            </w:r>
          </w:p>
        </w:tc>
        <w:tc>
          <w:tcPr>
            <w:tcW w:w="6141" w:type="dxa"/>
          </w:tcPr>
          <w:p w14:paraId="6E96E438" w14:textId="77777777" w:rsidR="0029093D" w:rsidRPr="00577CA4" w:rsidRDefault="0029093D" w:rsidP="00D42BA3">
            <w:pPr>
              <w:spacing w:before="100" w:after="200"/>
              <w:rPr>
                <w:rFonts w:cs="Arial"/>
                <w:b/>
                <w:szCs w:val="24"/>
              </w:rPr>
            </w:pPr>
            <w:r w:rsidRPr="00577CA4">
              <w:rPr>
                <w:rFonts w:cs="Arial"/>
                <w:szCs w:val="24"/>
              </w:rPr>
              <w:t>means:</w:t>
            </w:r>
          </w:p>
          <w:p w14:paraId="2DBE22F8" w14:textId="77777777" w:rsidR="0029093D" w:rsidRPr="00E54F94" w:rsidRDefault="0029093D" w:rsidP="00E1349E">
            <w:pPr>
              <w:pStyle w:val="DefinitionList"/>
              <w:numPr>
                <w:ilvl w:val="0"/>
                <w:numId w:val="229"/>
              </w:numPr>
              <w:tabs>
                <w:tab w:val="clear" w:pos="720"/>
                <w:tab w:val="num" w:pos="861"/>
              </w:tabs>
              <w:rPr>
                <w:rFonts w:cs="Arial"/>
                <w:b/>
              </w:rPr>
            </w:pPr>
            <w:r w:rsidRPr="00E54F94">
              <w:rPr>
                <w:rFonts w:cs="Arial"/>
              </w:rPr>
              <w:t>any individual engaged, directly or indirectly, or employed, by any Sub-contractor; and</w:t>
            </w:r>
          </w:p>
          <w:p w14:paraId="725049D9" w14:textId="77777777" w:rsidR="0029093D" w:rsidRPr="00885175" w:rsidRDefault="0029093D" w:rsidP="00F13933">
            <w:pPr>
              <w:pStyle w:val="DefinitionList"/>
              <w:numPr>
                <w:ilvl w:val="0"/>
                <w:numId w:val="66"/>
              </w:numPr>
              <w:tabs>
                <w:tab w:val="clear" w:pos="720"/>
                <w:tab w:val="num" w:pos="861"/>
              </w:tabs>
              <w:ind w:left="861"/>
              <w:rPr>
                <w:rFonts w:cs="Arial"/>
                <w:b/>
              </w:rPr>
            </w:pPr>
            <w:r w:rsidRPr="00885175">
              <w:rPr>
                <w:rFonts w:cs="Arial"/>
              </w:rPr>
              <w:t>engaged in or likely to be engaged in:</w:t>
            </w:r>
          </w:p>
          <w:p w14:paraId="0D2E0E29" w14:textId="77777777" w:rsidR="0029093D" w:rsidRPr="002D3F58" w:rsidRDefault="0029093D" w:rsidP="00F13933">
            <w:pPr>
              <w:pStyle w:val="DefinitionListLevel1"/>
              <w:numPr>
                <w:ilvl w:val="1"/>
                <w:numId w:val="66"/>
              </w:numPr>
              <w:rPr>
                <w:rFonts w:cs="Arial"/>
                <w:b/>
              </w:rPr>
            </w:pPr>
            <w:r w:rsidRPr="002D3F58">
              <w:rPr>
                <w:rFonts w:cs="Arial"/>
              </w:rPr>
              <w:t>the performance or management of the Services;</w:t>
            </w:r>
          </w:p>
          <w:p w14:paraId="3AE1E5FB" w14:textId="77777777" w:rsidR="0029093D" w:rsidRPr="002D3F58" w:rsidRDefault="0029093D" w:rsidP="00F13933">
            <w:pPr>
              <w:pStyle w:val="DefinitionListLevel1"/>
              <w:numPr>
                <w:ilvl w:val="1"/>
                <w:numId w:val="66"/>
              </w:numPr>
            </w:pPr>
            <w:r w:rsidRPr="002D3F58">
              <w:rPr>
                <w:rFonts w:cs="Arial"/>
              </w:rPr>
              <w:t>or the provision of facilities or services that are necessary for the provision of the Services.</w:t>
            </w:r>
          </w:p>
        </w:tc>
      </w:tr>
      <w:tr w:rsidR="0029093D" w:rsidRPr="00577CA4" w14:paraId="0BE98F06" w14:textId="77777777" w:rsidTr="0029093D">
        <w:tc>
          <w:tcPr>
            <w:tcW w:w="2245" w:type="dxa"/>
          </w:tcPr>
          <w:p w14:paraId="534784B5" w14:textId="77777777" w:rsidR="0029093D" w:rsidRPr="00E54F94" w:rsidRDefault="0029093D" w:rsidP="00D42BA3">
            <w:pPr>
              <w:spacing w:before="100" w:after="200"/>
              <w:rPr>
                <w:rFonts w:cs="Arial"/>
                <w:b/>
                <w:szCs w:val="24"/>
              </w:rPr>
            </w:pPr>
            <w:r w:rsidRPr="00E54F94">
              <w:rPr>
                <w:rFonts w:cs="Arial"/>
                <w:b/>
                <w:szCs w:val="24"/>
              </w:rPr>
              <w:t>Sub-contractors’ Systems</w:t>
            </w:r>
          </w:p>
        </w:tc>
        <w:tc>
          <w:tcPr>
            <w:tcW w:w="6141" w:type="dxa"/>
          </w:tcPr>
          <w:p w14:paraId="79BB04BE" w14:textId="77777777" w:rsidR="0029093D" w:rsidRPr="00577CA4" w:rsidRDefault="0029093D" w:rsidP="00D42BA3">
            <w:pPr>
              <w:spacing w:before="100" w:after="200"/>
              <w:rPr>
                <w:rFonts w:cs="Arial"/>
                <w:b/>
                <w:szCs w:val="24"/>
              </w:rPr>
            </w:pPr>
            <w:r w:rsidRPr="00577CA4">
              <w:rPr>
                <w:rFonts w:cs="Arial"/>
                <w:szCs w:val="24"/>
              </w:rPr>
              <w:t>means the information and communications technology system used by a Sub-contractor in implementing and performing the Services, including:</w:t>
            </w:r>
          </w:p>
          <w:p w14:paraId="16B1E9EF" w14:textId="77777777" w:rsidR="0029093D" w:rsidRPr="00E54F94" w:rsidRDefault="0029093D" w:rsidP="00E1349E">
            <w:pPr>
              <w:pStyle w:val="DefinitionList"/>
              <w:numPr>
                <w:ilvl w:val="0"/>
                <w:numId w:val="228"/>
              </w:numPr>
              <w:tabs>
                <w:tab w:val="clear" w:pos="720"/>
                <w:tab w:val="num" w:pos="861"/>
              </w:tabs>
              <w:rPr>
                <w:rFonts w:cs="Arial"/>
                <w:b/>
              </w:rPr>
            </w:pPr>
            <w:r w:rsidRPr="00E54F94">
              <w:rPr>
                <w:rFonts w:cs="Arial"/>
              </w:rPr>
              <w:t>the Software;</w:t>
            </w:r>
          </w:p>
          <w:p w14:paraId="42682182" w14:textId="77777777" w:rsidR="0029093D" w:rsidRPr="00EC6A56" w:rsidRDefault="0029093D" w:rsidP="00F13933">
            <w:pPr>
              <w:pStyle w:val="DefinitionList"/>
              <w:numPr>
                <w:ilvl w:val="0"/>
                <w:numId w:val="66"/>
              </w:numPr>
              <w:tabs>
                <w:tab w:val="clear" w:pos="720"/>
                <w:tab w:val="num" w:pos="861"/>
              </w:tabs>
              <w:ind w:left="861"/>
              <w:rPr>
                <w:rFonts w:cs="Arial"/>
                <w:b/>
              </w:rPr>
            </w:pPr>
            <w:r w:rsidRPr="00EC6A56">
              <w:rPr>
                <w:rFonts w:cs="Arial"/>
              </w:rPr>
              <w:t>the Supplier Equipment;</w:t>
            </w:r>
          </w:p>
          <w:p w14:paraId="2FDA4E18" w14:textId="77777777" w:rsidR="0029093D" w:rsidRPr="00EC6A56" w:rsidRDefault="0029093D" w:rsidP="00F13933">
            <w:pPr>
              <w:pStyle w:val="DefinitionList"/>
              <w:numPr>
                <w:ilvl w:val="0"/>
                <w:numId w:val="66"/>
              </w:numPr>
              <w:tabs>
                <w:tab w:val="clear" w:pos="720"/>
                <w:tab w:val="num" w:pos="861"/>
              </w:tabs>
              <w:ind w:left="861"/>
              <w:rPr>
                <w:rFonts w:cs="Arial"/>
                <w:b/>
              </w:rPr>
            </w:pPr>
            <w:r w:rsidRPr="00EC6A56">
              <w:rPr>
                <w:rFonts w:cs="Arial"/>
              </w:rPr>
              <w:t>configuration and management utilities;</w:t>
            </w:r>
          </w:p>
          <w:p w14:paraId="64F2CEB3" w14:textId="77777777" w:rsidR="0029093D" w:rsidRPr="00EC6A56" w:rsidRDefault="0029093D" w:rsidP="00F13933">
            <w:pPr>
              <w:pStyle w:val="DefinitionList"/>
              <w:numPr>
                <w:ilvl w:val="0"/>
                <w:numId w:val="66"/>
              </w:numPr>
              <w:tabs>
                <w:tab w:val="clear" w:pos="720"/>
                <w:tab w:val="num" w:pos="861"/>
              </w:tabs>
              <w:ind w:left="861"/>
              <w:rPr>
                <w:rFonts w:cs="Arial"/>
                <w:b/>
              </w:rPr>
            </w:pPr>
            <w:r w:rsidRPr="00EC6A56">
              <w:rPr>
                <w:rFonts w:cs="Arial"/>
              </w:rPr>
              <w:t>calibration and testing tools;</w:t>
            </w:r>
          </w:p>
          <w:p w14:paraId="51F09D04" w14:textId="77777777" w:rsidR="0029093D" w:rsidRPr="00EC6A56" w:rsidRDefault="0029093D" w:rsidP="00F13933">
            <w:pPr>
              <w:pStyle w:val="DefinitionList"/>
              <w:numPr>
                <w:ilvl w:val="0"/>
                <w:numId w:val="66"/>
              </w:numPr>
              <w:tabs>
                <w:tab w:val="clear" w:pos="720"/>
                <w:tab w:val="num" w:pos="861"/>
              </w:tabs>
              <w:ind w:left="861"/>
              <w:rPr>
                <w:rFonts w:cs="Arial"/>
                <w:b/>
              </w:rPr>
            </w:pPr>
            <w:r w:rsidRPr="00EC6A56">
              <w:rPr>
                <w:rFonts w:cs="Arial"/>
              </w:rPr>
              <w:t>and related cabling; but</w:t>
            </w:r>
          </w:p>
          <w:p w14:paraId="16C48330" w14:textId="77777777" w:rsidR="0029093D" w:rsidRPr="00EC6A56" w:rsidRDefault="0029093D" w:rsidP="00D42BA3">
            <w:pPr>
              <w:pStyle w:val="DefinitionList"/>
              <w:numPr>
                <w:ilvl w:val="0"/>
                <w:numId w:val="0"/>
              </w:numPr>
              <w:ind w:left="141"/>
            </w:pPr>
            <w:r w:rsidRPr="00EC6A56">
              <w:rPr>
                <w:rFonts w:cs="Arial"/>
              </w:rPr>
              <w:lastRenderedPageBreak/>
              <w:t>does not include the Authority System.</w:t>
            </w:r>
          </w:p>
        </w:tc>
      </w:tr>
      <w:tr w:rsidR="0029093D" w:rsidRPr="00577CA4" w14:paraId="5D6D5AE0" w14:textId="77777777" w:rsidTr="0029093D">
        <w:tc>
          <w:tcPr>
            <w:tcW w:w="2245" w:type="dxa"/>
          </w:tcPr>
          <w:p w14:paraId="1A2090B4" w14:textId="77777777" w:rsidR="0029093D" w:rsidRPr="00E54F94" w:rsidRDefault="0029093D" w:rsidP="00D42BA3">
            <w:pPr>
              <w:spacing w:before="100" w:after="200"/>
              <w:rPr>
                <w:rFonts w:cs="Arial"/>
                <w:b/>
                <w:szCs w:val="24"/>
              </w:rPr>
            </w:pPr>
            <w:r w:rsidRPr="00E54F94">
              <w:rPr>
                <w:rFonts w:cs="Arial"/>
                <w:b/>
                <w:szCs w:val="24"/>
              </w:rPr>
              <w:lastRenderedPageBreak/>
              <w:t>Supplier Information Management System</w:t>
            </w:r>
          </w:p>
        </w:tc>
        <w:tc>
          <w:tcPr>
            <w:tcW w:w="6141" w:type="dxa"/>
          </w:tcPr>
          <w:p w14:paraId="6E5C13B8" w14:textId="75624C8C" w:rsidR="0029093D" w:rsidRPr="00577CA4" w:rsidRDefault="0029093D" w:rsidP="00D42BA3">
            <w:pPr>
              <w:spacing w:before="100" w:after="200"/>
              <w:rPr>
                <w:rFonts w:cs="Arial"/>
                <w:b/>
                <w:szCs w:val="24"/>
              </w:rPr>
            </w:pPr>
            <w:r w:rsidRPr="00577CA4">
              <w:rPr>
                <w:rFonts w:cs="Arial"/>
                <w:szCs w:val="24"/>
              </w:rPr>
              <w:t xml:space="preserve">means those parts of Wider Information Management System that that the Authority has determined in accordance with </w:t>
            </w:r>
            <w:r w:rsidR="00D006F4">
              <w:rPr>
                <w:rFonts w:cs="Arial"/>
                <w:szCs w:val="24"/>
              </w:rPr>
              <w:t>Paragraph</w:t>
            </w:r>
            <w:r w:rsidRPr="00577CA4">
              <w:rPr>
                <w:rFonts w:cs="Arial"/>
                <w:szCs w:val="24"/>
              </w:rPr>
              <w:t> 11 shall be subject to Authority-led Assurance.</w:t>
            </w:r>
          </w:p>
        </w:tc>
      </w:tr>
      <w:tr w:rsidR="0029093D" w:rsidRPr="00577CA4" w14:paraId="6AD2135F" w14:textId="77777777" w:rsidTr="0029093D">
        <w:tc>
          <w:tcPr>
            <w:tcW w:w="2245" w:type="dxa"/>
          </w:tcPr>
          <w:p w14:paraId="474425E8" w14:textId="77777777" w:rsidR="0029093D" w:rsidRPr="00E54F94" w:rsidRDefault="0029093D" w:rsidP="00D42BA3">
            <w:pPr>
              <w:spacing w:before="100" w:after="200"/>
              <w:rPr>
                <w:rFonts w:cs="Arial"/>
                <w:b/>
                <w:szCs w:val="24"/>
              </w:rPr>
            </w:pPr>
            <w:r w:rsidRPr="00E54F94">
              <w:rPr>
                <w:rFonts w:cs="Arial"/>
                <w:b/>
                <w:szCs w:val="24"/>
              </w:rPr>
              <w:t>Supplier Personnel</w:t>
            </w:r>
          </w:p>
        </w:tc>
        <w:tc>
          <w:tcPr>
            <w:tcW w:w="6141" w:type="dxa"/>
          </w:tcPr>
          <w:p w14:paraId="1C6F09A7" w14:textId="77777777" w:rsidR="0029093D" w:rsidRPr="00577CA4" w:rsidRDefault="0029093D" w:rsidP="00D42BA3">
            <w:pPr>
              <w:spacing w:before="100" w:after="200"/>
              <w:rPr>
                <w:rFonts w:cs="Arial"/>
                <w:b/>
                <w:szCs w:val="24"/>
              </w:rPr>
            </w:pPr>
            <w:r w:rsidRPr="00577CA4">
              <w:rPr>
                <w:rFonts w:cs="Arial"/>
                <w:szCs w:val="24"/>
              </w:rPr>
              <w:t>means any individual engaged, directly or indirectly, or employed by the Supplier or any Sub-contractor, in the management or performance of the Supplier’s obligations under this Contract.</w:t>
            </w:r>
          </w:p>
        </w:tc>
      </w:tr>
      <w:tr w:rsidR="0029093D" w:rsidRPr="00577CA4" w14:paraId="7D97B611" w14:textId="77777777" w:rsidTr="0029093D">
        <w:tc>
          <w:tcPr>
            <w:tcW w:w="2245" w:type="dxa"/>
          </w:tcPr>
          <w:p w14:paraId="183E1D33" w14:textId="77777777" w:rsidR="0029093D" w:rsidRPr="00E54F94" w:rsidRDefault="0029093D" w:rsidP="00D42BA3">
            <w:pPr>
              <w:spacing w:before="100" w:after="200"/>
              <w:rPr>
                <w:rFonts w:cs="Arial"/>
                <w:b/>
                <w:szCs w:val="24"/>
              </w:rPr>
            </w:pPr>
            <w:r w:rsidRPr="00E54F94">
              <w:rPr>
                <w:rFonts w:cs="Arial"/>
                <w:b/>
                <w:szCs w:val="24"/>
              </w:rPr>
              <w:t>Supplier System</w:t>
            </w:r>
          </w:p>
        </w:tc>
        <w:tc>
          <w:tcPr>
            <w:tcW w:w="6141" w:type="dxa"/>
          </w:tcPr>
          <w:p w14:paraId="21F2E068" w14:textId="77777777" w:rsidR="0029093D" w:rsidRPr="00577CA4" w:rsidRDefault="0029093D" w:rsidP="00D42BA3">
            <w:pPr>
              <w:spacing w:before="100" w:after="200"/>
              <w:rPr>
                <w:rFonts w:cs="Arial"/>
                <w:b/>
                <w:szCs w:val="24"/>
              </w:rPr>
            </w:pPr>
            <w:r w:rsidRPr="00577CA4">
              <w:rPr>
                <w:rFonts w:cs="Arial"/>
                <w:szCs w:val="24"/>
              </w:rPr>
              <w:t>means the information and communications technology system used by the Supplier or any Sub-contractor in implementing and performing the Services including any software, hardware, computer and telecoms devices, equipment, configuration and management utilities, calibration and testing tools and related cabling (but excluding the Authority System).</w:t>
            </w:r>
          </w:p>
        </w:tc>
      </w:tr>
      <w:tr w:rsidR="0029093D" w:rsidRPr="00577CA4" w14:paraId="13C18C70" w14:textId="77777777" w:rsidTr="0029093D">
        <w:tc>
          <w:tcPr>
            <w:tcW w:w="2245" w:type="dxa"/>
          </w:tcPr>
          <w:p w14:paraId="4030A489" w14:textId="77777777" w:rsidR="0029093D" w:rsidRPr="00E54F94" w:rsidRDefault="0029093D" w:rsidP="00D42BA3">
            <w:pPr>
              <w:spacing w:before="100" w:after="200"/>
              <w:rPr>
                <w:rFonts w:cs="Arial"/>
                <w:b/>
                <w:szCs w:val="24"/>
              </w:rPr>
            </w:pPr>
            <w:r w:rsidRPr="00E54F94">
              <w:rPr>
                <w:rFonts w:cs="Arial"/>
                <w:b/>
                <w:szCs w:val="24"/>
              </w:rPr>
              <w:t>Support Location</w:t>
            </w:r>
          </w:p>
        </w:tc>
        <w:tc>
          <w:tcPr>
            <w:tcW w:w="6141" w:type="dxa"/>
          </w:tcPr>
          <w:p w14:paraId="2524E713" w14:textId="77777777" w:rsidR="0029093D" w:rsidRPr="00577CA4" w:rsidRDefault="0029093D" w:rsidP="00D42BA3">
            <w:pPr>
              <w:spacing w:before="100" w:after="200"/>
              <w:rPr>
                <w:rFonts w:cs="Arial"/>
                <w:b/>
                <w:szCs w:val="24"/>
              </w:rPr>
            </w:pPr>
            <w:r w:rsidRPr="00577CA4">
              <w:rPr>
                <w:rFonts w:cs="Arial"/>
                <w:szCs w:val="24"/>
              </w:rPr>
              <w:t>means a place or facility where or from which individuals may access or Process the Code or the Authority Data.</w:t>
            </w:r>
          </w:p>
        </w:tc>
      </w:tr>
      <w:tr w:rsidR="0029093D" w:rsidRPr="00577CA4" w14:paraId="6DEF6179" w14:textId="77777777" w:rsidTr="0029093D">
        <w:tc>
          <w:tcPr>
            <w:tcW w:w="2245" w:type="dxa"/>
          </w:tcPr>
          <w:p w14:paraId="03355193" w14:textId="77777777" w:rsidR="0029093D" w:rsidRPr="00E54F94" w:rsidRDefault="0029093D" w:rsidP="00D42BA3">
            <w:pPr>
              <w:spacing w:before="100" w:after="200"/>
              <w:rPr>
                <w:rFonts w:cs="Arial"/>
                <w:b/>
                <w:szCs w:val="24"/>
              </w:rPr>
            </w:pPr>
            <w:r w:rsidRPr="00E54F94">
              <w:rPr>
                <w:rFonts w:cs="Arial"/>
                <w:b/>
                <w:szCs w:val="24"/>
              </w:rPr>
              <w:t>Support Register</w:t>
            </w:r>
          </w:p>
        </w:tc>
        <w:tc>
          <w:tcPr>
            <w:tcW w:w="6141" w:type="dxa"/>
          </w:tcPr>
          <w:p w14:paraId="2F872050" w14:textId="77777777" w:rsidR="0029093D" w:rsidRPr="00577CA4" w:rsidRDefault="0029093D" w:rsidP="00D42BA3">
            <w:pPr>
              <w:spacing w:before="100" w:after="200"/>
              <w:rPr>
                <w:rFonts w:cs="Arial"/>
                <w:b/>
                <w:szCs w:val="24"/>
              </w:rPr>
            </w:pPr>
            <w:r w:rsidRPr="00577CA4">
              <w:rPr>
                <w:rFonts w:cs="Arial"/>
                <w:szCs w:val="24"/>
              </w:rPr>
              <w:t>means the register of all hardware and software used to provide the Services produced and maintained in accordance with paragraph 4 of the Security Requirements.</w:t>
            </w:r>
          </w:p>
        </w:tc>
      </w:tr>
      <w:tr w:rsidR="0029093D" w:rsidRPr="00577CA4" w14:paraId="326AC3F8" w14:textId="77777777" w:rsidTr="0029093D">
        <w:tc>
          <w:tcPr>
            <w:tcW w:w="2245" w:type="dxa"/>
          </w:tcPr>
          <w:p w14:paraId="137B4995" w14:textId="77777777" w:rsidR="0029093D" w:rsidRPr="00E54F94" w:rsidRDefault="0029093D" w:rsidP="00D42BA3">
            <w:pPr>
              <w:spacing w:before="100" w:after="200"/>
              <w:rPr>
                <w:rFonts w:cs="Arial"/>
                <w:b/>
                <w:szCs w:val="24"/>
              </w:rPr>
            </w:pPr>
            <w:r w:rsidRPr="00E54F94">
              <w:rPr>
                <w:rFonts w:cs="Arial"/>
                <w:b/>
                <w:szCs w:val="24"/>
              </w:rPr>
              <w:t>Third-party Software Module</w:t>
            </w:r>
          </w:p>
        </w:tc>
        <w:tc>
          <w:tcPr>
            <w:tcW w:w="6141" w:type="dxa"/>
          </w:tcPr>
          <w:p w14:paraId="7BC29EE2" w14:textId="77777777" w:rsidR="0029093D" w:rsidRPr="00577CA4" w:rsidRDefault="0029093D" w:rsidP="00D42BA3">
            <w:pPr>
              <w:spacing w:before="100" w:after="200"/>
              <w:rPr>
                <w:rFonts w:cs="Arial"/>
                <w:b/>
                <w:szCs w:val="24"/>
              </w:rPr>
            </w:pPr>
            <w:r w:rsidRPr="00577CA4">
              <w:rPr>
                <w:rFonts w:cs="Arial"/>
                <w:szCs w:val="24"/>
              </w:rPr>
              <w:t>means any module, library or framework that:</w:t>
            </w:r>
          </w:p>
          <w:p w14:paraId="7456486C" w14:textId="77777777" w:rsidR="0029093D" w:rsidRPr="00E54F94" w:rsidRDefault="0029093D" w:rsidP="00E1349E">
            <w:pPr>
              <w:pStyle w:val="DefinitionList"/>
              <w:numPr>
                <w:ilvl w:val="0"/>
                <w:numId w:val="227"/>
              </w:numPr>
              <w:tabs>
                <w:tab w:val="clear" w:pos="720"/>
                <w:tab w:val="num" w:pos="861"/>
              </w:tabs>
              <w:rPr>
                <w:rFonts w:cs="Arial"/>
                <w:b/>
              </w:rPr>
            </w:pPr>
            <w:r w:rsidRPr="00E54F94">
              <w:rPr>
                <w:rFonts w:cs="Arial"/>
              </w:rPr>
              <w:t>is not produced by the Supplier or a Sub-contractor as part of the Development Activity; and</w:t>
            </w:r>
          </w:p>
          <w:p w14:paraId="2D254F0C" w14:textId="77777777" w:rsidR="0029093D" w:rsidRPr="00EC6A56" w:rsidRDefault="0029093D" w:rsidP="00F13933">
            <w:pPr>
              <w:pStyle w:val="DefinitionList"/>
              <w:numPr>
                <w:ilvl w:val="0"/>
                <w:numId w:val="66"/>
              </w:numPr>
              <w:tabs>
                <w:tab w:val="clear" w:pos="720"/>
                <w:tab w:val="num" w:pos="861"/>
              </w:tabs>
              <w:ind w:left="861"/>
              <w:rPr>
                <w:rFonts w:cs="Arial"/>
                <w:b/>
              </w:rPr>
            </w:pPr>
            <w:r w:rsidRPr="00EC6A56">
              <w:rPr>
                <w:rFonts w:cs="Arial"/>
              </w:rPr>
              <w:t>either:</w:t>
            </w:r>
          </w:p>
          <w:p w14:paraId="0B5643EC" w14:textId="77777777" w:rsidR="0029093D" w:rsidRPr="00EC6A56" w:rsidRDefault="0029093D" w:rsidP="00F13933">
            <w:pPr>
              <w:pStyle w:val="DefinitionListLevel1"/>
              <w:numPr>
                <w:ilvl w:val="1"/>
                <w:numId w:val="66"/>
              </w:numPr>
              <w:rPr>
                <w:rFonts w:cs="Arial"/>
                <w:b/>
              </w:rPr>
            </w:pPr>
            <w:r w:rsidRPr="00EC6A56">
              <w:rPr>
                <w:rFonts w:cs="Arial"/>
              </w:rPr>
              <w:t>forms, or will form, part of the Code; or</w:t>
            </w:r>
          </w:p>
          <w:p w14:paraId="07786FEE" w14:textId="77777777" w:rsidR="0029093D" w:rsidRPr="00577CA4" w:rsidRDefault="0029093D" w:rsidP="00F13933">
            <w:pPr>
              <w:pStyle w:val="DefinitionListLevel1"/>
              <w:numPr>
                <w:ilvl w:val="1"/>
                <w:numId w:val="66"/>
              </w:numPr>
            </w:pPr>
            <w:r w:rsidRPr="00EC6A56">
              <w:rPr>
                <w:rFonts w:cs="Arial"/>
              </w:rPr>
              <w:t>is, or will be, accessed by the Developed System during its operation.</w:t>
            </w:r>
          </w:p>
        </w:tc>
      </w:tr>
      <w:tr w:rsidR="0029093D" w:rsidRPr="00577CA4" w14:paraId="0805C3CB" w14:textId="77777777" w:rsidTr="0029093D">
        <w:tc>
          <w:tcPr>
            <w:tcW w:w="2245" w:type="dxa"/>
          </w:tcPr>
          <w:p w14:paraId="44ECD803" w14:textId="77777777" w:rsidR="0029093D" w:rsidRPr="00E54F94" w:rsidRDefault="0029093D" w:rsidP="00D42BA3">
            <w:pPr>
              <w:spacing w:before="100" w:after="200"/>
              <w:rPr>
                <w:rFonts w:cs="Arial"/>
                <w:b/>
                <w:szCs w:val="24"/>
              </w:rPr>
            </w:pPr>
            <w:r w:rsidRPr="00E54F94">
              <w:rPr>
                <w:rFonts w:cs="Arial"/>
                <w:b/>
                <w:szCs w:val="24"/>
              </w:rPr>
              <w:t>Third-party Tool</w:t>
            </w:r>
          </w:p>
        </w:tc>
        <w:tc>
          <w:tcPr>
            <w:tcW w:w="6141" w:type="dxa"/>
          </w:tcPr>
          <w:p w14:paraId="4D27B98A" w14:textId="77777777" w:rsidR="0029093D" w:rsidRPr="00577CA4" w:rsidRDefault="0029093D" w:rsidP="00D42BA3">
            <w:pPr>
              <w:spacing w:before="100" w:after="200"/>
              <w:rPr>
                <w:rFonts w:cs="Arial"/>
                <w:b/>
                <w:szCs w:val="24"/>
              </w:rPr>
            </w:pPr>
            <w:r w:rsidRPr="00577CA4">
              <w:rPr>
                <w:rFonts w:cs="Arial"/>
                <w:szCs w:val="24"/>
              </w:rPr>
              <w:t>means any activity conducted other than by the Supplier during which the Code or the Authority Data is accessed, analysed or modified or some form of operation is performed on it.</w:t>
            </w:r>
          </w:p>
        </w:tc>
      </w:tr>
      <w:tr w:rsidR="0029093D" w:rsidRPr="00577CA4" w14:paraId="1347F6EB" w14:textId="77777777" w:rsidTr="0029093D">
        <w:tc>
          <w:tcPr>
            <w:tcW w:w="2245" w:type="dxa"/>
          </w:tcPr>
          <w:p w14:paraId="6035025C" w14:textId="77777777" w:rsidR="0029093D" w:rsidRPr="00E54F94" w:rsidRDefault="0029093D" w:rsidP="00D42BA3">
            <w:pPr>
              <w:spacing w:before="100" w:after="200"/>
              <w:rPr>
                <w:rFonts w:cs="Arial"/>
                <w:b/>
                <w:szCs w:val="24"/>
              </w:rPr>
            </w:pPr>
            <w:r w:rsidRPr="00E54F94">
              <w:rPr>
                <w:rFonts w:cs="Arial"/>
                <w:b/>
                <w:szCs w:val="24"/>
              </w:rPr>
              <w:t>UKAS</w:t>
            </w:r>
          </w:p>
        </w:tc>
        <w:tc>
          <w:tcPr>
            <w:tcW w:w="6141" w:type="dxa"/>
          </w:tcPr>
          <w:p w14:paraId="6CA8656D" w14:textId="77777777" w:rsidR="0029093D" w:rsidRPr="00577CA4" w:rsidRDefault="0029093D" w:rsidP="00D42BA3">
            <w:pPr>
              <w:spacing w:before="100" w:after="200"/>
              <w:rPr>
                <w:rFonts w:cs="Arial"/>
                <w:b/>
                <w:szCs w:val="24"/>
              </w:rPr>
            </w:pPr>
            <w:r w:rsidRPr="00577CA4">
              <w:rPr>
                <w:rFonts w:cs="Arial"/>
                <w:szCs w:val="24"/>
              </w:rPr>
              <w:t>means the United Kingdom Accreditation Service.</w:t>
            </w:r>
          </w:p>
        </w:tc>
      </w:tr>
      <w:tr w:rsidR="0029093D" w:rsidRPr="00577CA4" w14:paraId="3889DEA9" w14:textId="77777777" w:rsidTr="0029093D">
        <w:tc>
          <w:tcPr>
            <w:tcW w:w="2245" w:type="dxa"/>
          </w:tcPr>
          <w:p w14:paraId="4AD853A3" w14:textId="77777777" w:rsidR="0029093D" w:rsidRPr="00E54F94" w:rsidRDefault="0029093D" w:rsidP="00D42BA3">
            <w:pPr>
              <w:spacing w:before="100" w:after="200"/>
              <w:rPr>
                <w:rFonts w:cs="Arial"/>
                <w:b/>
                <w:szCs w:val="24"/>
              </w:rPr>
            </w:pPr>
            <w:r w:rsidRPr="00E54F94">
              <w:rPr>
                <w:rFonts w:cs="Arial"/>
                <w:b/>
                <w:szCs w:val="24"/>
              </w:rPr>
              <w:lastRenderedPageBreak/>
              <w:t>Wider Information Management System</w:t>
            </w:r>
          </w:p>
        </w:tc>
        <w:tc>
          <w:tcPr>
            <w:tcW w:w="6141" w:type="dxa"/>
          </w:tcPr>
          <w:p w14:paraId="680D6BE1" w14:textId="77777777" w:rsidR="0029093D" w:rsidRPr="00577CA4" w:rsidRDefault="0029093D" w:rsidP="00D42BA3">
            <w:pPr>
              <w:spacing w:before="100" w:after="200"/>
              <w:rPr>
                <w:rFonts w:cs="Arial"/>
                <w:b/>
                <w:szCs w:val="24"/>
              </w:rPr>
            </w:pPr>
            <w:r w:rsidRPr="00577CA4">
              <w:rPr>
                <w:rFonts w:cs="Arial"/>
                <w:szCs w:val="24"/>
              </w:rPr>
              <w:t>means</w:t>
            </w:r>
          </w:p>
          <w:p w14:paraId="65F08482" w14:textId="77777777" w:rsidR="0029093D" w:rsidRPr="00E54F94" w:rsidRDefault="0029093D" w:rsidP="00E1349E">
            <w:pPr>
              <w:pStyle w:val="DefinitionList"/>
              <w:numPr>
                <w:ilvl w:val="0"/>
                <w:numId w:val="226"/>
              </w:numPr>
              <w:tabs>
                <w:tab w:val="clear" w:pos="720"/>
                <w:tab w:val="num" w:pos="861"/>
              </w:tabs>
              <w:rPr>
                <w:rFonts w:cs="Arial"/>
                <w:b/>
              </w:rPr>
            </w:pPr>
            <w:r w:rsidRPr="00E54F94">
              <w:rPr>
                <w:rFonts w:cs="Arial"/>
              </w:rPr>
              <w:t>any:</w:t>
            </w:r>
          </w:p>
          <w:p w14:paraId="57184D09" w14:textId="77777777" w:rsidR="0029093D" w:rsidRPr="00EC6A56" w:rsidRDefault="0029093D" w:rsidP="00F13933">
            <w:pPr>
              <w:pStyle w:val="DefinitionListLevel1"/>
              <w:numPr>
                <w:ilvl w:val="1"/>
                <w:numId w:val="66"/>
              </w:numPr>
              <w:rPr>
                <w:rFonts w:cs="Arial"/>
                <w:b/>
              </w:rPr>
            </w:pPr>
            <w:r w:rsidRPr="00EC6A56">
              <w:rPr>
                <w:rFonts w:cs="Arial"/>
              </w:rPr>
              <w:t>information assets,</w:t>
            </w:r>
          </w:p>
          <w:p w14:paraId="5A503BFE" w14:textId="77777777" w:rsidR="0029093D" w:rsidRPr="00EC6A56" w:rsidRDefault="0029093D" w:rsidP="00F13933">
            <w:pPr>
              <w:pStyle w:val="DefinitionListLevel1"/>
              <w:numPr>
                <w:ilvl w:val="1"/>
                <w:numId w:val="66"/>
              </w:numPr>
              <w:rPr>
                <w:rFonts w:cs="Arial"/>
                <w:b/>
              </w:rPr>
            </w:pPr>
            <w:r w:rsidRPr="00EC6A56">
              <w:rPr>
                <w:rFonts w:cs="Arial"/>
              </w:rPr>
              <w:t>IT systems,</w:t>
            </w:r>
          </w:p>
          <w:p w14:paraId="531A646D" w14:textId="77777777" w:rsidR="0029093D" w:rsidRPr="00EC6A56" w:rsidRDefault="0029093D" w:rsidP="00F13933">
            <w:pPr>
              <w:pStyle w:val="DefinitionListLevel1"/>
              <w:numPr>
                <w:ilvl w:val="1"/>
                <w:numId w:val="66"/>
              </w:numPr>
              <w:rPr>
                <w:rFonts w:cs="Arial"/>
                <w:b/>
              </w:rPr>
            </w:pPr>
            <w:r w:rsidRPr="00EC6A56">
              <w:rPr>
                <w:rFonts w:cs="Arial"/>
              </w:rPr>
              <w:t>IT services; or Sites</w:t>
            </w:r>
          </w:p>
          <w:p w14:paraId="368B8BAE" w14:textId="77777777" w:rsidR="0029093D" w:rsidRPr="00577CA4" w:rsidRDefault="0029093D" w:rsidP="00D42BA3">
            <w:pPr>
              <w:spacing w:before="100" w:after="200"/>
              <w:rPr>
                <w:rFonts w:cs="Arial"/>
                <w:b/>
                <w:szCs w:val="24"/>
              </w:rPr>
            </w:pPr>
            <w:r w:rsidRPr="00577CA4">
              <w:rPr>
                <w:rFonts w:cs="Arial"/>
                <w:szCs w:val="24"/>
              </w:rPr>
              <w:t>that the Supplier or any Sub-contractor will use to Process, or support the Processing of, Authority Data and provide, or support the provision of, the Services; and</w:t>
            </w:r>
          </w:p>
          <w:p w14:paraId="227A6323" w14:textId="77777777" w:rsidR="0029093D" w:rsidRPr="00EC6A56" w:rsidRDefault="0029093D" w:rsidP="00F13933">
            <w:pPr>
              <w:pStyle w:val="DefinitionList"/>
              <w:numPr>
                <w:ilvl w:val="0"/>
                <w:numId w:val="66"/>
              </w:numPr>
              <w:tabs>
                <w:tab w:val="clear" w:pos="720"/>
                <w:tab w:val="num" w:pos="861"/>
              </w:tabs>
              <w:ind w:left="861"/>
              <w:rPr>
                <w:rFonts w:cs="Arial"/>
                <w:b/>
              </w:rPr>
            </w:pPr>
            <w:r w:rsidRPr="00EC6A56">
              <w:rPr>
                <w:rFonts w:cs="Arial"/>
              </w:rPr>
              <w:t>the associated information management system, including all relevant:</w:t>
            </w:r>
          </w:p>
          <w:p w14:paraId="4C39EFC9" w14:textId="77777777" w:rsidR="0029093D" w:rsidRPr="00577CA4" w:rsidRDefault="0029093D" w:rsidP="00F13933">
            <w:pPr>
              <w:pStyle w:val="DefinitionListLevel1"/>
              <w:numPr>
                <w:ilvl w:val="1"/>
                <w:numId w:val="66"/>
              </w:numPr>
              <w:rPr>
                <w:rFonts w:cs="Arial"/>
              </w:rPr>
            </w:pPr>
            <w:r w:rsidRPr="00EC6A56">
              <w:rPr>
                <w:rFonts w:cs="Arial"/>
              </w:rPr>
              <w:t>organisational</w:t>
            </w:r>
            <w:r w:rsidRPr="00577CA4">
              <w:rPr>
                <w:rFonts w:cs="Arial"/>
              </w:rPr>
              <w:t xml:space="preserve"> structure diagrams,</w:t>
            </w:r>
          </w:p>
          <w:p w14:paraId="65B0C317" w14:textId="77777777" w:rsidR="0029093D" w:rsidRPr="00EC6A56" w:rsidRDefault="0029093D" w:rsidP="00F13933">
            <w:pPr>
              <w:pStyle w:val="DefinitionListLevel1"/>
              <w:numPr>
                <w:ilvl w:val="1"/>
                <w:numId w:val="66"/>
              </w:numPr>
              <w:rPr>
                <w:rFonts w:cs="Arial"/>
                <w:b/>
              </w:rPr>
            </w:pPr>
            <w:r w:rsidRPr="00EC6A56">
              <w:rPr>
                <w:rFonts w:cs="Arial"/>
              </w:rPr>
              <w:t>controls,</w:t>
            </w:r>
          </w:p>
          <w:p w14:paraId="493937B9" w14:textId="77777777" w:rsidR="0029093D" w:rsidRPr="00EC6A56" w:rsidRDefault="0029093D" w:rsidP="00F13933">
            <w:pPr>
              <w:pStyle w:val="DefinitionListLevel1"/>
              <w:numPr>
                <w:ilvl w:val="1"/>
                <w:numId w:val="66"/>
              </w:numPr>
              <w:rPr>
                <w:rFonts w:cs="Arial"/>
                <w:b/>
              </w:rPr>
            </w:pPr>
            <w:r w:rsidRPr="00EC6A56">
              <w:rPr>
                <w:rFonts w:cs="Arial"/>
              </w:rPr>
              <w:t>policies,</w:t>
            </w:r>
          </w:p>
          <w:p w14:paraId="331BA367" w14:textId="77777777" w:rsidR="0029093D" w:rsidRPr="00EC6A56" w:rsidRDefault="0029093D" w:rsidP="00F13933">
            <w:pPr>
              <w:pStyle w:val="DefinitionListLevel1"/>
              <w:numPr>
                <w:ilvl w:val="1"/>
                <w:numId w:val="66"/>
              </w:numPr>
              <w:rPr>
                <w:rFonts w:cs="Arial"/>
                <w:b/>
              </w:rPr>
            </w:pPr>
            <w:r w:rsidRPr="00EC6A56">
              <w:rPr>
                <w:rFonts w:cs="Arial"/>
              </w:rPr>
              <w:t>practices,</w:t>
            </w:r>
          </w:p>
          <w:p w14:paraId="46586F2C" w14:textId="77777777" w:rsidR="0029093D" w:rsidRPr="00EC6A56" w:rsidRDefault="0029093D" w:rsidP="00F13933">
            <w:pPr>
              <w:pStyle w:val="DefinitionListLevel1"/>
              <w:numPr>
                <w:ilvl w:val="1"/>
                <w:numId w:val="66"/>
              </w:numPr>
              <w:rPr>
                <w:rFonts w:cs="Arial"/>
                <w:b/>
              </w:rPr>
            </w:pPr>
            <w:r w:rsidRPr="00EC6A56">
              <w:rPr>
                <w:rFonts w:cs="Arial"/>
              </w:rPr>
              <w:t>procedures,</w:t>
            </w:r>
          </w:p>
          <w:p w14:paraId="49ADD322" w14:textId="77777777" w:rsidR="0029093D" w:rsidRPr="00EC6A56" w:rsidRDefault="0029093D" w:rsidP="00F13933">
            <w:pPr>
              <w:pStyle w:val="DefinitionListLevel1"/>
              <w:numPr>
                <w:ilvl w:val="1"/>
                <w:numId w:val="66"/>
              </w:numPr>
              <w:rPr>
                <w:rFonts w:cs="Arial"/>
                <w:b/>
              </w:rPr>
            </w:pPr>
            <w:r w:rsidRPr="00EC6A56">
              <w:rPr>
                <w:rFonts w:cs="Arial"/>
              </w:rPr>
              <w:t xml:space="preserve">processes; and </w:t>
            </w:r>
          </w:p>
          <w:p w14:paraId="2C89ABA0" w14:textId="77777777" w:rsidR="0029093D" w:rsidRPr="00577CA4" w:rsidRDefault="0029093D" w:rsidP="00F13933">
            <w:pPr>
              <w:pStyle w:val="DefinitionListLevel1"/>
              <w:numPr>
                <w:ilvl w:val="1"/>
                <w:numId w:val="66"/>
              </w:numPr>
              <w:rPr>
                <w:rFonts w:cs="Arial"/>
              </w:rPr>
            </w:pPr>
            <w:r w:rsidRPr="00EC6A56">
              <w:rPr>
                <w:rFonts w:cs="Arial"/>
              </w:rPr>
              <w:t>resources.</w:t>
            </w:r>
          </w:p>
        </w:tc>
      </w:tr>
    </w:tbl>
    <w:p w14:paraId="1C2FC274" w14:textId="77777777" w:rsidR="0029093D" w:rsidRDefault="0029093D" w:rsidP="0029093D">
      <w:pPr>
        <w:pStyle w:val="Numbered1"/>
      </w:pPr>
      <w:r>
        <w:t>Introduction</w:t>
      </w:r>
    </w:p>
    <w:p w14:paraId="6F43936F" w14:textId="77777777" w:rsidR="0029093D" w:rsidRDefault="0029093D" w:rsidP="00E1349E">
      <w:pPr>
        <w:keepNext/>
        <w:numPr>
          <w:ilvl w:val="0"/>
          <w:numId w:val="199"/>
        </w:numPr>
        <w:pBdr>
          <w:top w:val="nil"/>
          <w:left w:val="nil"/>
          <w:bottom w:val="nil"/>
          <w:right w:val="nil"/>
          <w:between w:val="nil"/>
        </w:pBdr>
        <w:spacing w:before="100" w:after="200"/>
      </w:pPr>
      <w:r>
        <w:rPr>
          <w:color w:val="000000"/>
        </w:rPr>
        <w:t>This Schedule 5 (</w:t>
      </w:r>
      <w:r>
        <w:rPr>
          <w:i/>
          <w:color w:val="000000"/>
        </w:rPr>
        <w:t>Security Management</w:t>
      </w:r>
      <w:r>
        <w:rPr>
          <w:color w:val="000000"/>
        </w:rPr>
        <w:t>) sets out:</w:t>
      </w:r>
    </w:p>
    <w:p w14:paraId="0E7C0B7A" w14:textId="77777777" w:rsidR="0029093D" w:rsidRDefault="0029093D" w:rsidP="0029093D">
      <w:pPr>
        <w:pStyle w:val="Numbered11"/>
      </w:pPr>
      <w:r>
        <w:t>the Authority’s decision on where the Supplier may:</w:t>
      </w:r>
    </w:p>
    <w:p w14:paraId="47D10E6D" w14:textId="77777777" w:rsidR="0029093D" w:rsidRDefault="0029093D" w:rsidP="0029093D">
      <w:pPr>
        <w:pStyle w:val="Numbered111"/>
      </w:pPr>
      <w:r>
        <w:t>store, access or process Authority Data;</w:t>
      </w:r>
    </w:p>
    <w:p w14:paraId="3A2353E6" w14:textId="77777777" w:rsidR="0029093D" w:rsidRDefault="0029093D" w:rsidP="0029093D">
      <w:pPr>
        <w:pStyle w:val="Numbered111"/>
      </w:pPr>
      <w:r>
        <w:t>undertake the Development Activity;</w:t>
      </w:r>
    </w:p>
    <w:p w14:paraId="78567265" w14:textId="77777777" w:rsidR="0029093D" w:rsidRDefault="0029093D" w:rsidP="0029093D">
      <w:pPr>
        <w:pStyle w:val="Numbered111"/>
      </w:pPr>
      <w:r>
        <w:t>host the Development Environment; and</w:t>
      </w:r>
    </w:p>
    <w:p w14:paraId="276F96B6" w14:textId="77777777" w:rsidR="0029093D" w:rsidRDefault="0029093D" w:rsidP="0029093D">
      <w:pPr>
        <w:pStyle w:val="Numbered111"/>
      </w:pPr>
      <w:r>
        <w:t>locate Support Locations,</w:t>
      </w:r>
    </w:p>
    <w:p w14:paraId="7EF58E11" w14:textId="2B65765D" w:rsidR="0029093D" w:rsidRDefault="0029093D" w:rsidP="00E1349E">
      <w:pPr>
        <w:numPr>
          <w:ilvl w:val="1"/>
          <w:numId w:val="199"/>
        </w:numPr>
        <w:pBdr>
          <w:top w:val="nil"/>
          <w:left w:val="nil"/>
          <w:bottom w:val="nil"/>
          <w:right w:val="nil"/>
          <w:between w:val="nil"/>
        </w:pBdr>
        <w:spacing w:before="100" w:after="200"/>
      </w:pPr>
      <w:r>
        <w:rPr>
          <w:color w:val="000000"/>
        </w:rPr>
        <w:t xml:space="preserve">(in </w:t>
      </w:r>
      <w:r w:rsidR="00D006F4">
        <w:rPr>
          <w:color w:val="000000"/>
        </w:rPr>
        <w:t>Paragraph</w:t>
      </w:r>
      <w:r>
        <w:rPr>
          <w:color w:val="000000"/>
        </w:rPr>
        <w:t> 1);</w:t>
      </w:r>
    </w:p>
    <w:p w14:paraId="2D582D18" w14:textId="6C340080" w:rsidR="0029093D" w:rsidRDefault="0029093D" w:rsidP="0029093D">
      <w:pPr>
        <w:pStyle w:val="Numbered11"/>
      </w:pPr>
      <w:r>
        <w:t xml:space="preserve">the principles of security that apply to this Contract (in </w:t>
      </w:r>
      <w:r w:rsidR="00D006F4">
        <w:t>Paragraph</w:t>
      </w:r>
      <w:r>
        <w:t> 4);</w:t>
      </w:r>
    </w:p>
    <w:p w14:paraId="2AC6C291" w14:textId="1A28205E" w:rsidR="0029093D" w:rsidRDefault="0029093D" w:rsidP="0029093D">
      <w:pPr>
        <w:pStyle w:val="Numbered11"/>
      </w:pPr>
      <w:r>
        <w:t xml:space="preserve">the requirement to obtain a Risk Management Approval Statement (in </w:t>
      </w:r>
      <w:r w:rsidR="00D006F4">
        <w:t>Paragraph</w:t>
      </w:r>
      <w:r>
        <w:t>s 6 and 14);</w:t>
      </w:r>
    </w:p>
    <w:p w14:paraId="26230E24" w14:textId="1EC1283D" w:rsidR="0029093D" w:rsidRDefault="0029093D" w:rsidP="0029093D">
      <w:pPr>
        <w:pStyle w:val="Numbered11"/>
      </w:pPr>
      <w:r>
        <w:t xml:space="preserve">the annual confirmation of compliance to be provided by the Supplier (in </w:t>
      </w:r>
      <w:r w:rsidR="00D006F4">
        <w:lastRenderedPageBreak/>
        <w:t>Paragraph</w:t>
      </w:r>
      <w:r>
        <w:t> 7);</w:t>
      </w:r>
    </w:p>
    <w:p w14:paraId="29E25046" w14:textId="5D686AD7" w:rsidR="0029093D" w:rsidRDefault="0029093D" w:rsidP="0029093D">
      <w:pPr>
        <w:pStyle w:val="Numbered11"/>
      </w:pPr>
      <w:r>
        <w:t>the governance arrangements for security matters, where these are not otherwise specified in Schedule 21 (</w:t>
      </w:r>
      <w:r>
        <w:rPr>
          <w:i/>
        </w:rPr>
        <w:t>Governance</w:t>
      </w:r>
      <w:r>
        <w:t xml:space="preserve">) (in </w:t>
      </w:r>
      <w:r w:rsidR="00D006F4">
        <w:t>Paragraph</w:t>
      </w:r>
      <w:r>
        <w:t> 8;</w:t>
      </w:r>
    </w:p>
    <w:p w14:paraId="6A2E550F" w14:textId="2983EB33" w:rsidR="0029093D" w:rsidRDefault="0029093D" w:rsidP="0029093D">
      <w:pPr>
        <w:pStyle w:val="Numbered11"/>
      </w:pPr>
      <w:r>
        <w:t xml:space="preserve">access to personnel (in </w:t>
      </w:r>
      <w:r w:rsidR="00D006F4">
        <w:t>Paragraph</w:t>
      </w:r>
      <w:r>
        <w:t> 9);</w:t>
      </w:r>
    </w:p>
    <w:p w14:paraId="0E82132B" w14:textId="0C893B62" w:rsidR="0029093D" w:rsidRDefault="0029093D" w:rsidP="0029093D">
      <w:pPr>
        <w:pStyle w:val="Numbered11"/>
      </w:pPr>
      <w:r>
        <w:t xml:space="preserve">obligations in relation to Sub-contractors (in </w:t>
      </w:r>
      <w:r w:rsidR="00D006F4">
        <w:t>Paragraph</w:t>
      </w:r>
      <w:r>
        <w:t> 10);</w:t>
      </w:r>
    </w:p>
    <w:p w14:paraId="2F260F9F" w14:textId="78C30D94" w:rsidR="0029093D" w:rsidRDefault="0029093D" w:rsidP="0029093D">
      <w:pPr>
        <w:pStyle w:val="Numbered11"/>
      </w:pPr>
      <w:r>
        <w:t xml:space="preserve">the responsibility of the Authority to determine the Supplier Information Management System that will be subject to Authority-led Assurance (in </w:t>
      </w:r>
      <w:r w:rsidR="00D006F4">
        <w:t>Paragraph</w:t>
      </w:r>
      <w:r>
        <w:t> 11);</w:t>
      </w:r>
    </w:p>
    <w:p w14:paraId="623206AC" w14:textId="536D7D89" w:rsidR="0029093D" w:rsidRDefault="0029093D" w:rsidP="0029093D">
      <w:pPr>
        <w:pStyle w:val="Numbered11"/>
      </w:pPr>
      <w:r>
        <w:t xml:space="preserve">the Certification Requirements (in </w:t>
      </w:r>
      <w:r w:rsidR="00D006F4">
        <w:t>Paragraph</w:t>
      </w:r>
      <w:r>
        <w:t> 12);</w:t>
      </w:r>
    </w:p>
    <w:p w14:paraId="3436F25D" w14:textId="491FA4E8" w:rsidR="0029093D" w:rsidRDefault="0029093D" w:rsidP="0029093D">
      <w:pPr>
        <w:pStyle w:val="Numbered11"/>
      </w:pPr>
      <w:r>
        <w:t xml:space="preserve">the development, monitoring and updating of the Security Management Plan by the Supplier (in </w:t>
      </w:r>
      <w:r w:rsidR="00D006F4">
        <w:t>Paragraph</w:t>
      </w:r>
      <w:r>
        <w:t>s 13, 15 and 16);</w:t>
      </w:r>
    </w:p>
    <w:p w14:paraId="3AFCB99E" w14:textId="77777777" w:rsidR="0029093D" w:rsidRDefault="0029093D" w:rsidP="0029093D">
      <w:pPr>
        <w:pStyle w:val="Numbered11"/>
      </w:pPr>
      <w:r>
        <w:t>the granting by the Authority of approval for the Supplier to commence:</w:t>
      </w:r>
    </w:p>
    <w:p w14:paraId="0C69C874" w14:textId="77777777" w:rsidR="0029093D" w:rsidRDefault="0029093D" w:rsidP="0029093D">
      <w:pPr>
        <w:pStyle w:val="Numbered111"/>
      </w:pPr>
      <w:r>
        <w:t>the provision of Operational Services; and/or</w:t>
      </w:r>
    </w:p>
    <w:p w14:paraId="513BCCC0" w14:textId="33D3C299" w:rsidR="0029093D" w:rsidRDefault="0029093D" w:rsidP="0029093D">
      <w:pPr>
        <w:pStyle w:val="Numbered111"/>
      </w:pPr>
      <w:r>
        <w:t xml:space="preserve">Processing Authority Data (in </w:t>
      </w:r>
      <w:r w:rsidR="00D006F4">
        <w:t>Paragraph</w:t>
      </w:r>
      <w:r>
        <w:t> 14);</w:t>
      </w:r>
    </w:p>
    <w:p w14:paraId="7E2ACDF1" w14:textId="61A4A4A2" w:rsidR="0029093D" w:rsidRDefault="0029093D" w:rsidP="0029093D">
      <w:pPr>
        <w:pStyle w:val="Numbered11"/>
      </w:pPr>
      <w:r>
        <w:t xml:space="preserve">the management of changes to the Supplier Information Management System (in </w:t>
      </w:r>
      <w:r w:rsidR="00D006F4">
        <w:t>Paragraph</w:t>
      </w:r>
      <w:r>
        <w:t xml:space="preserve"> 17); and </w:t>
      </w:r>
    </w:p>
    <w:p w14:paraId="4B2BA1D8" w14:textId="77777777" w:rsidR="0029093D" w:rsidRDefault="0029093D" w:rsidP="0029093D">
      <w:pPr>
        <w:pStyle w:val="Numbered11"/>
      </w:pPr>
      <w:r>
        <w:t>the Authority’s additional remedies for breach of this Schedule 5 (</w:t>
      </w:r>
      <w:r>
        <w:rPr>
          <w:i/>
        </w:rPr>
        <w:t>Security Management</w:t>
      </w:r>
      <w:r>
        <w:t>), including:</w:t>
      </w:r>
    </w:p>
    <w:p w14:paraId="63ECA8B8" w14:textId="3ED912ED" w:rsidR="0029093D" w:rsidRDefault="0029093D" w:rsidP="0029093D">
      <w:pPr>
        <w:pStyle w:val="Numbered111"/>
      </w:pPr>
      <w:r>
        <w:t xml:space="preserve">the requirement for Remediation Action Plans (in </w:t>
      </w:r>
      <w:r w:rsidR="00D006F4">
        <w:t>Paragraph</w:t>
      </w:r>
      <w:r>
        <w:t> 18);</w:t>
      </w:r>
    </w:p>
    <w:p w14:paraId="09117F1A" w14:textId="3445E36B" w:rsidR="0029093D" w:rsidRDefault="0029093D" w:rsidP="0029093D">
      <w:pPr>
        <w:pStyle w:val="Numbered111"/>
      </w:pPr>
      <w:r>
        <w:t xml:space="preserve">the appointment of Independent Security Advisers (in </w:t>
      </w:r>
      <w:r w:rsidR="00D006F4">
        <w:t>Paragraph</w:t>
      </w:r>
      <w:r>
        <w:t> 19); and</w:t>
      </w:r>
    </w:p>
    <w:p w14:paraId="7F45BD44" w14:textId="11B63254" w:rsidR="0029093D" w:rsidRDefault="0029093D" w:rsidP="0029093D">
      <w:pPr>
        <w:pStyle w:val="Numbered111"/>
      </w:pPr>
      <w:r>
        <w:t xml:space="preserve">the withholding of Charges by the Authority (in </w:t>
      </w:r>
      <w:r w:rsidR="00D006F4">
        <w:t>Paragraph</w:t>
      </w:r>
      <w:r>
        <w:t> 20).</w:t>
      </w:r>
    </w:p>
    <w:p w14:paraId="317ADC14" w14:textId="77777777" w:rsidR="0029093D" w:rsidRDefault="0029093D" w:rsidP="0029093D">
      <w:pPr>
        <w:pStyle w:val="Numbered1"/>
      </w:pPr>
      <w:r>
        <w:t>Principles of security</w:t>
      </w:r>
    </w:p>
    <w:p w14:paraId="5159C734" w14:textId="77777777" w:rsidR="0029093D" w:rsidRDefault="0029093D" w:rsidP="0029093D">
      <w:pPr>
        <w:pStyle w:val="Numbered11"/>
      </w:pPr>
      <w:r>
        <w:t>The Supplier acknowledges that the Authority places great emphasis on the confidentiality, integrity and availability of the Authority Data and, consequently, on the security of:</w:t>
      </w:r>
    </w:p>
    <w:p w14:paraId="7C3BEADB" w14:textId="77777777" w:rsidR="0029093D" w:rsidRDefault="0029093D" w:rsidP="0029093D">
      <w:pPr>
        <w:pStyle w:val="Numbered111"/>
      </w:pPr>
      <w:r>
        <w:t>the Authority System;</w:t>
      </w:r>
    </w:p>
    <w:p w14:paraId="21ADD304" w14:textId="77777777" w:rsidR="0029093D" w:rsidRDefault="0029093D" w:rsidP="0029093D">
      <w:pPr>
        <w:pStyle w:val="Numbered111"/>
      </w:pPr>
      <w:r>
        <w:t>the Supplier System;</w:t>
      </w:r>
    </w:p>
    <w:p w14:paraId="2484F2E2" w14:textId="77777777" w:rsidR="0029093D" w:rsidRDefault="0029093D" w:rsidP="0029093D">
      <w:pPr>
        <w:pStyle w:val="Numbered111"/>
      </w:pPr>
      <w:r>
        <w:t>the Sites;</w:t>
      </w:r>
    </w:p>
    <w:p w14:paraId="1B6684F2" w14:textId="77777777" w:rsidR="0029093D" w:rsidRDefault="0029093D" w:rsidP="0029093D">
      <w:pPr>
        <w:pStyle w:val="Numbered111"/>
      </w:pPr>
      <w:r>
        <w:t>the Services; and</w:t>
      </w:r>
    </w:p>
    <w:p w14:paraId="4706FE46" w14:textId="77777777" w:rsidR="0029093D" w:rsidRDefault="0029093D" w:rsidP="0029093D">
      <w:pPr>
        <w:pStyle w:val="Numbered111"/>
      </w:pPr>
      <w:r>
        <w:t>the Supplier Information Management System.</w:t>
      </w:r>
    </w:p>
    <w:p w14:paraId="72558C68" w14:textId="39A69DD0" w:rsidR="0029093D" w:rsidRDefault="0029093D" w:rsidP="0029093D">
      <w:pPr>
        <w:pStyle w:val="Numbered11"/>
      </w:pPr>
      <w:r>
        <w:t xml:space="preserve">The Parties shall share information and act in a co-operative manner at all times to further the principles of security in </w:t>
      </w:r>
      <w:r w:rsidR="00D006F4">
        <w:t>Paragraph</w:t>
      </w:r>
      <w:r>
        <w:t> 4.1.</w:t>
      </w:r>
    </w:p>
    <w:p w14:paraId="56F86ED6" w14:textId="77777777" w:rsidR="0029093D" w:rsidRDefault="0029093D" w:rsidP="0029093D">
      <w:pPr>
        <w:pStyle w:val="Numbered11"/>
      </w:pPr>
      <w:r>
        <w:lastRenderedPageBreak/>
        <w:t>Notwithstanding the involvement of the Authority in the Authority-led Assurance of the Supplier Information Management System, the Supplier remains responsible for:</w:t>
      </w:r>
    </w:p>
    <w:p w14:paraId="13C0E7BA" w14:textId="77777777" w:rsidR="0029093D" w:rsidRDefault="0029093D" w:rsidP="0029093D">
      <w:pPr>
        <w:pStyle w:val="Numbered111"/>
      </w:pPr>
      <w:r>
        <w:t>the security, confidentiality, integrity and availability of the Authority Data when that Authority Data is under the control of the Supplier or any of its Sub-contractors; and</w:t>
      </w:r>
    </w:p>
    <w:p w14:paraId="6A869832" w14:textId="77777777" w:rsidR="0029093D" w:rsidRDefault="0029093D" w:rsidP="0029093D">
      <w:pPr>
        <w:pStyle w:val="Numbered111"/>
      </w:pPr>
      <w:r>
        <w:t>the security of the Supplier Information Management System.</w:t>
      </w:r>
    </w:p>
    <w:p w14:paraId="488996E5" w14:textId="77777777" w:rsidR="0029093D" w:rsidRDefault="0029093D" w:rsidP="0029093D">
      <w:pPr>
        <w:pStyle w:val="Numbered1"/>
      </w:pPr>
      <w:r>
        <w:t>Security requirements</w:t>
      </w:r>
    </w:p>
    <w:p w14:paraId="616EBC23" w14:textId="77777777" w:rsidR="0029093D" w:rsidRDefault="0029093D" w:rsidP="0029093D">
      <w:pPr>
        <w:pStyle w:val="Numbered11"/>
      </w:pPr>
      <w:r>
        <w:t>The Supplier must, unless otherwise agreed in writing with the Authority:</w:t>
      </w:r>
    </w:p>
    <w:p w14:paraId="70346899" w14:textId="77777777" w:rsidR="0029093D" w:rsidRDefault="0029093D" w:rsidP="0029093D">
      <w:pPr>
        <w:pStyle w:val="Numbered111"/>
      </w:pPr>
      <w:r>
        <w:t>comply with the Security Requirements in Appendix 1;</w:t>
      </w:r>
    </w:p>
    <w:p w14:paraId="259DA647" w14:textId="5F9DB2AC" w:rsidR="0029093D" w:rsidRDefault="0029093D" w:rsidP="0029093D">
      <w:pPr>
        <w:pStyle w:val="Numbered111"/>
      </w:pPr>
      <w:r>
        <w:t xml:space="preserve">where the relevant option in </w:t>
      </w:r>
      <w:r w:rsidR="00D006F4">
        <w:t>Paragraph</w:t>
      </w:r>
      <w:r>
        <w:t> 1 is selected, comply with the Security Requirements for Development in Appendix 2; and</w:t>
      </w:r>
    </w:p>
    <w:p w14:paraId="2C00AC77" w14:textId="77777777" w:rsidR="0029093D" w:rsidRDefault="0029093D" w:rsidP="0029093D">
      <w:pPr>
        <w:pStyle w:val="Numbered111"/>
      </w:pPr>
      <w:r>
        <w:t>ensure that Sub-contractors comply with:</w:t>
      </w:r>
    </w:p>
    <w:p w14:paraId="30E50D53" w14:textId="77777777" w:rsidR="0029093D" w:rsidRDefault="0029093D" w:rsidP="0029093D">
      <w:pPr>
        <w:pStyle w:val="Numbered111a"/>
      </w:pPr>
      <w:r>
        <w:t>all Security Requirements in Appendix 1; and</w:t>
      </w:r>
    </w:p>
    <w:p w14:paraId="5E3CF68D" w14:textId="2FE37399" w:rsidR="0029093D" w:rsidRDefault="0029093D" w:rsidP="0029093D">
      <w:pPr>
        <w:pStyle w:val="Numbered111a"/>
      </w:pPr>
      <w:r>
        <w:t xml:space="preserve">where the relevant option in </w:t>
      </w:r>
      <w:r w:rsidR="00D006F4">
        <w:t>Paragraph</w:t>
      </w:r>
      <w:r>
        <w:t> 1 is selected, all Security Requirements for Development in Appendix 2,</w:t>
      </w:r>
    </w:p>
    <w:p w14:paraId="63CB7169" w14:textId="77777777" w:rsidR="0029093D" w:rsidRPr="004D5C83" w:rsidRDefault="0029093D" w:rsidP="004D5C83">
      <w:pPr>
        <w:pStyle w:val="Heading4"/>
        <w:ind w:left="1800"/>
        <w:jc w:val="left"/>
        <w:rPr>
          <w:b w:val="0"/>
        </w:rPr>
      </w:pPr>
      <w:r w:rsidRPr="004D5C83">
        <w:rPr>
          <w:b w:val="0"/>
        </w:rPr>
        <w:t>that apply to the activities that the Sub-contractor performs under its Sub-contract, unless:</w:t>
      </w:r>
    </w:p>
    <w:p w14:paraId="0ECAC275" w14:textId="5A8AE302" w:rsidR="0029093D" w:rsidRDefault="00D006F4" w:rsidP="0029093D">
      <w:pPr>
        <w:pStyle w:val="Numbered111a"/>
      </w:pPr>
      <w:r>
        <w:t>Paragraph</w:t>
      </w:r>
      <w:r w:rsidR="0029093D">
        <w:t xml:space="preserve"> 5.2 applies; </w:t>
      </w:r>
    </w:p>
    <w:p w14:paraId="1392B8E8" w14:textId="77777777" w:rsidR="0029093D" w:rsidRDefault="0029093D" w:rsidP="0029093D">
      <w:pPr>
        <w:pStyle w:val="Numbered11"/>
      </w:pPr>
      <w:r>
        <w:t>the table in Appendix 4 limits the Security Requirements or Security Requirements for Development that apply to a Sub-contractor.</w:t>
      </w:r>
    </w:p>
    <w:p w14:paraId="7ECC4ACF" w14:textId="77777777" w:rsidR="0029093D" w:rsidRDefault="0029093D" w:rsidP="0029093D">
      <w:pPr>
        <w:pStyle w:val="Numbered11"/>
      </w:pPr>
      <w:r>
        <w:t>Where a Sub-contractor is a SMP Sub-contractor, the Supplier shall:</w:t>
      </w:r>
    </w:p>
    <w:p w14:paraId="7E5EDFAE" w14:textId="77777777" w:rsidR="0029093D" w:rsidRDefault="0029093D" w:rsidP="0029093D">
      <w:pPr>
        <w:pStyle w:val="Numbered111"/>
      </w:pPr>
      <w:r>
        <w:t>use best endeavours to ensure that the SMP Sub-contractor complies with the Security Requirements;</w:t>
      </w:r>
    </w:p>
    <w:p w14:paraId="18B8196A" w14:textId="77777777" w:rsidR="0029093D" w:rsidRDefault="0029093D" w:rsidP="0029093D">
      <w:pPr>
        <w:pStyle w:val="Numbered111"/>
      </w:pPr>
      <w:r>
        <w:t>document the differences between Security Requirements and the obligations that the SMP Sub-contractor is prepared to accept in sufficient detail to allow the Buyer to form an informed view of the risks concerned;</w:t>
      </w:r>
    </w:p>
    <w:p w14:paraId="69B3AD14" w14:textId="77777777" w:rsidR="0029093D" w:rsidRDefault="0029093D" w:rsidP="0029093D">
      <w:pPr>
        <w:pStyle w:val="Numbered111"/>
      </w:pPr>
      <w:r>
        <w:t>take such steps as the Buyer may require to mitigate those risks.</w:t>
      </w:r>
    </w:p>
    <w:p w14:paraId="2D03D399" w14:textId="77777777" w:rsidR="0029093D" w:rsidRDefault="0029093D" w:rsidP="0029093D">
      <w:pPr>
        <w:pStyle w:val="Numbered1"/>
      </w:pPr>
      <w:r>
        <w:t>Authority to proceed</w:t>
      </w:r>
    </w:p>
    <w:p w14:paraId="06D96DAD" w14:textId="77777777" w:rsidR="0029093D" w:rsidRDefault="0029093D" w:rsidP="00E1349E">
      <w:pPr>
        <w:keepNext/>
        <w:numPr>
          <w:ilvl w:val="0"/>
          <w:numId w:val="199"/>
        </w:numPr>
        <w:pBdr>
          <w:top w:val="nil"/>
          <w:left w:val="nil"/>
          <w:bottom w:val="nil"/>
          <w:right w:val="nil"/>
          <w:between w:val="nil"/>
        </w:pBdr>
        <w:spacing w:before="100" w:after="200"/>
      </w:pPr>
      <w:r>
        <w:rPr>
          <w:color w:val="000000"/>
        </w:rPr>
        <w:t>Notwithstanding anything in this Contract, the Supplier may not:</w:t>
      </w:r>
    </w:p>
    <w:p w14:paraId="5E513833" w14:textId="77777777" w:rsidR="0029093D" w:rsidRDefault="0029093D" w:rsidP="0029093D">
      <w:pPr>
        <w:pStyle w:val="Numbered11"/>
      </w:pPr>
      <w:r>
        <w:t>commence the provision of any Operational Services; or</w:t>
      </w:r>
    </w:p>
    <w:p w14:paraId="6CE5D8C3" w14:textId="77777777" w:rsidR="0029093D" w:rsidRDefault="0029093D" w:rsidP="0029093D">
      <w:pPr>
        <w:pStyle w:val="Numbered11"/>
      </w:pPr>
      <w:r>
        <w:t>Process any Authority Data using the Supplier Information Management System,</w:t>
      </w:r>
    </w:p>
    <w:p w14:paraId="48B9A1AF" w14:textId="77777777" w:rsidR="0029093D" w:rsidRPr="004D5C83" w:rsidRDefault="0029093D" w:rsidP="0029093D">
      <w:pPr>
        <w:pStyle w:val="Heading3"/>
        <w:ind w:left="720"/>
        <w:rPr>
          <w:b w:val="0"/>
        </w:rPr>
      </w:pPr>
      <w:r w:rsidRPr="004D5C83">
        <w:rPr>
          <w:b w:val="0"/>
        </w:rPr>
        <w:lastRenderedPageBreak/>
        <w:t xml:space="preserve">unless </w:t>
      </w:r>
    </w:p>
    <w:p w14:paraId="147C7F55" w14:textId="799DDCF1" w:rsidR="0029093D" w:rsidRDefault="0029093D" w:rsidP="0029093D">
      <w:pPr>
        <w:pStyle w:val="Numbered11"/>
      </w:pPr>
      <w:r>
        <w:t xml:space="preserve">the Supplier has, and ensured that Sub-contractors have, obtained the Relevant Certifications under </w:t>
      </w:r>
      <w:r w:rsidR="00D006F4">
        <w:t>Paragraph</w:t>
      </w:r>
      <w:r>
        <w:t> 12;</w:t>
      </w:r>
    </w:p>
    <w:p w14:paraId="072DA1AB" w14:textId="77777777" w:rsidR="0029093D" w:rsidRDefault="0029093D" w:rsidP="0029093D">
      <w:pPr>
        <w:pStyle w:val="Numbered11"/>
      </w:pPr>
      <w:r>
        <w:t>the Supplier has completed an IT Health Check in accordance with paragraph 10 of the Security Requirements; and</w:t>
      </w:r>
    </w:p>
    <w:p w14:paraId="7C9FE307" w14:textId="6D68E1E7" w:rsidR="0029093D" w:rsidRDefault="0029093D" w:rsidP="0029093D">
      <w:pPr>
        <w:pStyle w:val="Numbered11"/>
      </w:pPr>
      <w:r>
        <w:t xml:space="preserve">the Authority has issued a Risk Management Approval Statement under </w:t>
      </w:r>
      <w:r w:rsidR="00D006F4">
        <w:t>Paragraph</w:t>
      </w:r>
      <w:r>
        <w:t> 14.7</w:t>
      </w:r>
      <w:r w:rsidR="00D206E0">
        <w:t>.1</w:t>
      </w:r>
      <w:r>
        <w:t>.</w:t>
      </w:r>
    </w:p>
    <w:p w14:paraId="1CD56F71" w14:textId="77777777" w:rsidR="0029093D" w:rsidRDefault="0029093D" w:rsidP="0029093D">
      <w:pPr>
        <w:pStyle w:val="Numbered1"/>
      </w:pPr>
      <w:r>
        <w:t>Supplier confirmation</w:t>
      </w:r>
    </w:p>
    <w:p w14:paraId="43210B1B" w14:textId="21A23FF9" w:rsidR="0029093D" w:rsidRDefault="0029093D" w:rsidP="0029093D">
      <w:pPr>
        <w:pStyle w:val="Numbered11"/>
      </w:pPr>
      <w:bookmarkStart w:id="392" w:name="_heading=h.2grqrue" w:colFirst="0" w:colLast="0"/>
      <w:bookmarkEnd w:id="392"/>
      <w:r>
        <w:t xml:space="preserve">The Supplier must, no later than the last day of each Contract Year, provide to the Authority a letter from its </w:t>
      </w:r>
      <w:r w:rsidR="0018231E">
        <w:t>Chairman</w:t>
      </w:r>
      <w:r>
        <w:t xml:space="preserve"> (or equivalent officer) confirming that, having made due and careful enquiry:</w:t>
      </w:r>
    </w:p>
    <w:p w14:paraId="65B3E878" w14:textId="77777777" w:rsidR="0029093D" w:rsidRDefault="0029093D" w:rsidP="0029093D">
      <w:pPr>
        <w:pStyle w:val="Numbered111"/>
      </w:pPr>
      <w:r>
        <w:t>the Supplier has in the previous year carried out all tests and has in place all procedures required in relation to security matters required by this Contract;</w:t>
      </w:r>
    </w:p>
    <w:p w14:paraId="41EA1F62" w14:textId="4CE528FB" w:rsidR="0029093D" w:rsidRDefault="0029093D" w:rsidP="0029093D">
      <w:pPr>
        <w:pStyle w:val="Numbered111"/>
      </w:pPr>
      <w:r>
        <w:t xml:space="preserve">subject to </w:t>
      </w:r>
      <w:r w:rsidR="00D006F4">
        <w:t>Paragraph</w:t>
      </w:r>
      <w:r>
        <w:t xml:space="preserve"> 7.2: </w:t>
      </w:r>
    </w:p>
    <w:p w14:paraId="4DC2B9A2" w14:textId="77777777" w:rsidR="0029093D" w:rsidRDefault="0029093D" w:rsidP="0029093D">
      <w:pPr>
        <w:pStyle w:val="Numbered111a"/>
      </w:pPr>
      <w:r>
        <w:t>it has fully complied with all requirements of this Schedule 5 (</w:t>
      </w:r>
      <w:r>
        <w:rPr>
          <w:i/>
        </w:rPr>
        <w:t>Security Management</w:t>
      </w:r>
      <w:r>
        <w:t>); and</w:t>
      </w:r>
    </w:p>
    <w:p w14:paraId="42585D2F" w14:textId="77777777" w:rsidR="0029093D" w:rsidRDefault="0029093D" w:rsidP="0029093D">
      <w:pPr>
        <w:pStyle w:val="Numbered111a"/>
      </w:pPr>
      <w:r>
        <w:t>all Sub-contractors have complied with the requirements of this Schedule 5 (</w:t>
      </w:r>
      <w:r>
        <w:rPr>
          <w:i/>
        </w:rPr>
        <w:t>Security Management</w:t>
      </w:r>
      <w:r>
        <w:t>) with which the Supplier is required to ensure they comply;</w:t>
      </w:r>
    </w:p>
    <w:p w14:paraId="52FBAC0A" w14:textId="77777777" w:rsidR="0029093D" w:rsidRDefault="0029093D" w:rsidP="0029093D">
      <w:pPr>
        <w:pStyle w:val="Numbered111"/>
      </w:pPr>
      <w:r>
        <w:t>the Supplier considers that its security and risk mitigation procedures remain effective.</w:t>
      </w:r>
    </w:p>
    <w:p w14:paraId="1C03DEEA" w14:textId="6D46A318" w:rsidR="0029093D" w:rsidRDefault="0029093D" w:rsidP="0029093D">
      <w:pPr>
        <w:pStyle w:val="Numbered11"/>
      </w:pPr>
      <w:r>
        <w:t xml:space="preserve">Where the Authority has, in respect of the period covered by the confirmation provided under </w:t>
      </w:r>
      <w:r w:rsidR="00D006F4">
        <w:t>Paragraph</w:t>
      </w:r>
      <w:r>
        <w:t> 7.1 agreed in writing that the Supplier need not, or need only partially, comply within any requirement of this Schedule 5 (</w:t>
      </w:r>
      <w:r>
        <w:rPr>
          <w:i/>
        </w:rPr>
        <w:t>Security Management</w:t>
      </w:r>
      <w:r>
        <w:t>):</w:t>
      </w:r>
    </w:p>
    <w:p w14:paraId="5B8B8455" w14:textId="77777777" w:rsidR="0029093D" w:rsidRDefault="0029093D" w:rsidP="0029093D">
      <w:pPr>
        <w:pStyle w:val="Numbered111"/>
      </w:pPr>
      <w:r>
        <w:t>the confirmation must include details of the Authority’s agreement; and</w:t>
      </w:r>
    </w:p>
    <w:p w14:paraId="12609C1B" w14:textId="77777777" w:rsidR="0029093D" w:rsidRDefault="0029093D" w:rsidP="0029093D">
      <w:pPr>
        <w:pStyle w:val="Numbered111"/>
      </w:pPr>
      <w:r>
        <w:t>confirm that the Supplier has fully complied with that modified requirement.</w:t>
      </w:r>
    </w:p>
    <w:p w14:paraId="1F516884" w14:textId="77777777" w:rsidR="0029093D" w:rsidRDefault="0029093D" w:rsidP="0029093D">
      <w:pPr>
        <w:pStyle w:val="Numbered11"/>
      </w:pPr>
      <w:r>
        <w:t>The Supplier must:</w:t>
      </w:r>
    </w:p>
    <w:p w14:paraId="112345FB" w14:textId="564739C5" w:rsidR="0029093D" w:rsidRDefault="0029093D" w:rsidP="0029093D">
      <w:pPr>
        <w:pStyle w:val="Numbered111"/>
      </w:pPr>
      <w:r>
        <w:t xml:space="preserve">keep and maintain a register setting out all agreements referred to in </w:t>
      </w:r>
      <w:r w:rsidR="00D006F4">
        <w:t>Paragraph</w:t>
      </w:r>
      <w:r>
        <w:t> 7.2; and</w:t>
      </w:r>
    </w:p>
    <w:p w14:paraId="1140603D" w14:textId="77777777" w:rsidR="0029093D" w:rsidRDefault="0029093D" w:rsidP="0029093D">
      <w:pPr>
        <w:pStyle w:val="Numbered111"/>
      </w:pPr>
      <w:r>
        <w:t>provide a copy of that register to the Authority on request.</w:t>
      </w:r>
    </w:p>
    <w:p w14:paraId="6DB8C485" w14:textId="77777777" w:rsidR="0029093D" w:rsidRDefault="0029093D" w:rsidP="0029093D">
      <w:pPr>
        <w:pStyle w:val="Numbered1"/>
      </w:pPr>
      <w:r>
        <w:t>Governance</w:t>
      </w:r>
    </w:p>
    <w:p w14:paraId="645823A4" w14:textId="2C8ABA66" w:rsidR="0029093D" w:rsidRDefault="0029093D" w:rsidP="0029093D">
      <w:pPr>
        <w:pStyle w:val="Numbered11"/>
      </w:pPr>
      <w:r>
        <w:t xml:space="preserve">This </w:t>
      </w:r>
      <w:r w:rsidR="00D006F4">
        <w:t>Paragraph</w:t>
      </w:r>
      <w:r>
        <w:t xml:space="preserve"> 8 applies where a Security Working Group, or Board (as that </w:t>
      </w:r>
      <w:r>
        <w:lastRenderedPageBreak/>
        <w:t>term is defined in Schedule 21 (</w:t>
      </w:r>
      <w:r>
        <w:rPr>
          <w:i/>
        </w:rPr>
        <w:t>Governance</w:t>
      </w:r>
      <w:r>
        <w:t>)), with a similar remit, is not provided for otherwise in this Contract.</w:t>
      </w:r>
    </w:p>
    <w:p w14:paraId="245C3833" w14:textId="77777777" w:rsidR="0029093D" w:rsidRDefault="0029093D" w:rsidP="0029093D">
      <w:pPr>
        <w:pStyle w:val="Numbered11"/>
      </w:pPr>
      <w:r>
        <w:t>The Authority must establish a Security Working Group on which both the Authority and the Supplier are represented.</w:t>
      </w:r>
    </w:p>
    <w:p w14:paraId="00E4CC68" w14:textId="77777777" w:rsidR="0029093D" w:rsidRDefault="0029093D" w:rsidP="0029093D">
      <w:pPr>
        <w:pStyle w:val="Numbered11"/>
      </w:pPr>
      <w:r>
        <w:t>The notice or other document establishing the Security Working Group must set out:</w:t>
      </w:r>
    </w:p>
    <w:p w14:paraId="64825705" w14:textId="77777777" w:rsidR="0029093D" w:rsidRDefault="0029093D" w:rsidP="0029093D">
      <w:pPr>
        <w:pStyle w:val="Numbered111"/>
      </w:pPr>
      <w:r>
        <w:t>the Authority members;</w:t>
      </w:r>
    </w:p>
    <w:p w14:paraId="77513F38" w14:textId="77777777" w:rsidR="0029093D" w:rsidRDefault="0029093D" w:rsidP="0029093D">
      <w:pPr>
        <w:pStyle w:val="Numbered111"/>
      </w:pPr>
      <w:r>
        <w:t>the Supplier members;</w:t>
      </w:r>
    </w:p>
    <w:p w14:paraId="02F33BF0" w14:textId="77777777" w:rsidR="0029093D" w:rsidRDefault="0029093D" w:rsidP="0029093D">
      <w:pPr>
        <w:pStyle w:val="Numbered111"/>
      </w:pPr>
      <w:r>
        <w:t>the chairperson of the Security Working Group;</w:t>
      </w:r>
    </w:p>
    <w:p w14:paraId="484F0B94" w14:textId="77777777" w:rsidR="0029093D" w:rsidRDefault="0029093D" w:rsidP="0029093D">
      <w:pPr>
        <w:pStyle w:val="Numbered111"/>
      </w:pPr>
      <w:r>
        <w:t>the date of the first meeting;</w:t>
      </w:r>
    </w:p>
    <w:p w14:paraId="1B7BF8BF" w14:textId="77777777" w:rsidR="0029093D" w:rsidRDefault="0029093D" w:rsidP="0029093D">
      <w:pPr>
        <w:pStyle w:val="Numbered111"/>
      </w:pPr>
      <w:r>
        <w:t>the frequency of meetings; and</w:t>
      </w:r>
    </w:p>
    <w:p w14:paraId="7E0288E8" w14:textId="77777777" w:rsidR="0029093D" w:rsidRDefault="0029093D" w:rsidP="0029093D">
      <w:pPr>
        <w:pStyle w:val="Numbered111"/>
      </w:pPr>
      <w:r>
        <w:t>the location of meetings</w:t>
      </w:r>
    </w:p>
    <w:p w14:paraId="424B1E19" w14:textId="77777777" w:rsidR="0029093D" w:rsidRDefault="0029093D" w:rsidP="0029093D">
      <w:pPr>
        <w:pStyle w:val="Numbered11"/>
      </w:pPr>
      <w:r>
        <w:t>The Security Working Group has oversight of all matters relating to the security of the Authority Data and the Supplier Information Management System.</w:t>
      </w:r>
    </w:p>
    <w:p w14:paraId="56CE7BA0" w14:textId="77777777" w:rsidR="0029093D" w:rsidRDefault="0029093D" w:rsidP="0029093D">
      <w:pPr>
        <w:pStyle w:val="Numbered11"/>
      </w:pPr>
      <w:r>
        <w:t>The Security Working Group meets:</w:t>
      </w:r>
    </w:p>
    <w:p w14:paraId="4A697B19" w14:textId="77777777" w:rsidR="0029093D" w:rsidRDefault="0029093D" w:rsidP="0029093D">
      <w:pPr>
        <w:pStyle w:val="Numbered111"/>
      </w:pPr>
      <w:r>
        <w:t>at least once every three months; and</w:t>
      </w:r>
    </w:p>
    <w:p w14:paraId="4BA43CFB" w14:textId="77777777" w:rsidR="0029093D" w:rsidRDefault="0029093D" w:rsidP="0029093D">
      <w:pPr>
        <w:pStyle w:val="Numbered111"/>
      </w:pPr>
      <w:r>
        <w:t>additionally when required by the Authority.</w:t>
      </w:r>
    </w:p>
    <w:p w14:paraId="76C44D49" w14:textId="77777777" w:rsidR="0029093D" w:rsidRDefault="0029093D" w:rsidP="0029093D">
      <w:pPr>
        <w:pStyle w:val="Numbered11"/>
      </w:pPr>
      <w:r>
        <w:t>The Supplier must ensure that the Supplier Personnel attending each meeting of the Security Working Group:</w:t>
      </w:r>
    </w:p>
    <w:p w14:paraId="63D5DD22" w14:textId="77777777" w:rsidR="0029093D" w:rsidRDefault="0029093D" w:rsidP="0029093D">
      <w:pPr>
        <w:pStyle w:val="Numbered111"/>
      </w:pPr>
      <w:r>
        <w:t>have sufficient knowledge and experience to contribute to the discussion of the matters on the agenda for the meeting;</w:t>
      </w:r>
    </w:p>
    <w:p w14:paraId="1E9145AF" w14:textId="77777777" w:rsidR="0029093D" w:rsidRDefault="0029093D" w:rsidP="0029093D">
      <w:pPr>
        <w:pStyle w:val="Numbered111"/>
      </w:pPr>
      <w:r>
        <w:t>are authorised to make decisions that are binding on the Supplier in respect of those matters, including any decisions that require expenditure or investment by the Supplier; and</w:t>
      </w:r>
    </w:p>
    <w:p w14:paraId="462B065E" w14:textId="77777777" w:rsidR="0029093D" w:rsidRDefault="0029093D" w:rsidP="0029093D">
      <w:pPr>
        <w:pStyle w:val="Numbered111"/>
      </w:pPr>
      <w:r>
        <w:t>where relevant to the matters on the agenda for the meeting, include representatives of relevant Sub-contractors.</w:t>
      </w:r>
    </w:p>
    <w:p w14:paraId="7BA01C09" w14:textId="77777777" w:rsidR="0029093D" w:rsidRDefault="0029093D" w:rsidP="0029093D">
      <w:pPr>
        <w:pStyle w:val="Numbered11"/>
      </w:pPr>
      <w:r>
        <w:t>Any decisions, recommendations or advice of the Security Working Group:</w:t>
      </w:r>
    </w:p>
    <w:p w14:paraId="486087F2" w14:textId="77777777" w:rsidR="0029093D" w:rsidRDefault="0029093D" w:rsidP="0029093D">
      <w:pPr>
        <w:pStyle w:val="Numbered111"/>
      </w:pPr>
      <w:r>
        <w:t>are binding on the Supplier, unless the Authority agrees otherwise; and</w:t>
      </w:r>
    </w:p>
    <w:p w14:paraId="3A4C205D" w14:textId="77777777" w:rsidR="0029093D" w:rsidRDefault="0029093D" w:rsidP="0029093D">
      <w:pPr>
        <w:pStyle w:val="Numbered111"/>
      </w:pPr>
      <w:r>
        <w:t>do not limit or modify the Supplier’s responsibilities under this Schedule 5 (</w:t>
      </w:r>
      <w:r>
        <w:rPr>
          <w:i/>
        </w:rPr>
        <w:t>Security Management</w:t>
      </w:r>
      <w:r>
        <w:t>).</w:t>
      </w:r>
    </w:p>
    <w:p w14:paraId="15825446" w14:textId="77777777" w:rsidR="0029093D" w:rsidRDefault="0029093D" w:rsidP="0029093D">
      <w:pPr>
        <w:pStyle w:val="Numbered11"/>
      </w:pPr>
      <w:r>
        <w:t>Appendix 3 applies to the Security Working Group.</w:t>
      </w:r>
    </w:p>
    <w:p w14:paraId="43E7B5A8" w14:textId="77777777" w:rsidR="0029093D" w:rsidRDefault="0029093D" w:rsidP="0029093D">
      <w:pPr>
        <w:pStyle w:val="Numbered1"/>
      </w:pPr>
      <w:r>
        <w:lastRenderedPageBreak/>
        <w:t>Personnel</w:t>
      </w:r>
    </w:p>
    <w:p w14:paraId="2B30B8A9" w14:textId="77777777" w:rsidR="0029093D" w:rsidRDefault="0029093D" w:rsidP="0029093D">
      <w:pPr>
        <w:pStyle w:val="Numbered11"/>
      </w:pPr>
      <w:r>
        <w:t>The Supplier must ensure that it all times it maintains within the Supplier Personnel sufficient numbers of qualified, skilled security professionals to ensure the Supplier complies with the requirements of this Schedule 5 (</w:t>
      </w:r>
      <w:r>
        <w:rPr>
          <w:i/>
        </w:rPr>
        <w:t>Security Management</w:t>
      </w:r>
      <w:r>
        <w:t>).</w:t>
      </w:r>
    </w:p>
    <w:p w14:paraId="072901F1" w14:textId="77777777" w:rsidR="0029093D" w:rsidRDefault="0029093D" w:rsidP="0029093D">
      <w:pPr>
        <w:pStyle w:val="Numbered11"/>
      </w:pPr>
      <w:r>
        <w:t>To facilitate:</w:t>
      </w:r>
    </w:p>
    <w:p w14:paraId="4B3C2629" w14:textId="77777777" w:rsidR="0029093D" w:rsidRDefault="0029093D" w:rsidP="0029093D">
      <w:pPr>
        <w:pStyle w:val="Numbered111"/>
      </w:pPr>
      <w:r>
        <w:t>the Authority-led Assurance and oversight of the Supplier Information Management System; and</w:t>
      </w:r>
    </w:p>
    <w:p w14:paraId="35180018" w14:textId="77777777" w:rsidR="00CD68D5" w:rsidRDefault="0029093D" w:rsidP="00CD68D5">
      <w:pPr>
        <w:pStyle w:val="Numbered111"/>
      </w:pPr>
      <w:r>
        <w:t>the Supplier's design, implementation, operation, management and continual improvement of the Security Management Plan and the security of the Services and Supplier Information Management System and otherwise,</w:t>
      </w:r>
      <w:r w:rsidR="00CD68D5">
        <w:t xml:space="preserve"> </w:t>
      </w:r>
    </w:p>
    <w:p w14:paraId="2FFBBCC5" w14:textId="4002E37D" w:rsidR="00D42BA3" w:rsidRPr="00D006F4" w:rsidRDefault="00D42BA3" w:rsidP="00D006F4">
      <w:pPr>
        <w:pStyle w:val="Normal1"/>
        <w:ind w:firstLine="720"/>
        <w:rPr>
          <w:rFonts w:asciiTheme="minorHAnsi" w:hAnsiTheme="minorHAnsi" w:cstheme="minorHAnsi"/>
        </w:rPr>
      </w:pPr>
      <w:r w:rsidRPr="00D006F4">
        <w:rPr>
          <w:rFonts w:asciiTheme="minorHAnsi" w:hAnsiTheme="minorHAnsi" w:cstheme="minorHAnsi"/>
        </w:rPr>
        <w:t>at reasonable times and on reasonable notice:</w:t>
      </w:r>
    </w:p>
    <w:p w14:paraId="3BC7B472" w14:textId="4EB5D00F" w:rsidR="0029093D" w:rsidRDefault="0029093D" w:rsidP="0029093D">
      <w:pPr>
        <w:pStyle w:val="Numbered111"/>
      </w:pPr>
      <w:r>
        <w:t>the Supplier shall provide access to the Supplier Personnel responsible for information assurance; and</w:t>
      </w:r>
    </w:p>
    <w:p w14:paraId="77625DAA" w14:textId="77777777" w:rsidR="0029093D" w:rsidRDefault="0029093D" w:rsidP="0029093D">
      <w:pPr>
        <w:pStyle w:val="Numbered111"/>
      </w:pPr>
      <w:r>
        <w:t>the Authority shall provide access to its personnel responsible for information assurance.</w:t>
      </w:r>
    </w:p>
    <w:p w14:paraId="13B04450" w14:textId="77777777" w:rsidR="0029093D" w:rsidRDefault="0029093D" w:rsidP="0029093D">
      <w:pPr>
        <w:pStyle w:val="Numbered1"/>
      </w:pPr>
      <w:r>
        <w:t>Sub-contractors</w:t>
      </w:r>
    </w:p>
    <w:p w14:paraId="6C3966C9" w14:textId="77777777" w:rsidR="0029093D" w:rsidRDefault="0029093D" w:rsidP="0029093D">
      <w:pPr>
        <w:keepNext/>
        <w:pBdr>
          <w:top w:val="nil"/>
          <w:left w:val="nil"/>
          <w:bottom w:val="nil"/>
          <w:right w:val="nil"/>
          <w:between w:val="nil"/>
        </w:pBdr>
        <w:ind w:left="720"/>
        <w:rPr>
          <w:b/>
          <w:color w:val="000000"/>
        </w:rPr>
      </w:pPr>
      <w:r>
        <w:rPr>
          <w:b/>
          <w:color w:val="000000"/>
        </w:rPr>
        <w:t>SIMS Sub-contractor</w:t>
      </w:r>
    </w:p>
    <w:p w14:paraId="71290FEC" w14:textId="2A5BEFFF" w:rsidR="0029093D" w:rsidRDefault="0029093D" w:rsidP="0029093D">
      <w:pPr>
        <w:pStyle w:val="Numbered11"/>
      </w:pPr>
      <w:r>
        <w:t xml:space="preserve">Notwithstanding anything else in this Contract, but subject to </w:t>
      </w:r>
      <w:r w:rsidR="00D006F4">
        <w:t>Paragraph</w:t>
      </w:r>
      <w:r>
        <w:t> 5.2, a SIMS Sub-contractor shall be treated for all purposes as a Key Sub-contractor.</w:t>
      </w:r>
    </w:p>
    <w:p w14:paraId="4F54C7F2" w14:textId="77777777" w:rsidR="0029093D" w:rsidRDefault="0029093D" w:rsidP="0029093D">
      <w:pPr>
        <w:pStyle w:val="Numbered11"/>
      </w:pPr>
      <w:r>
        <w:t>In addition to the obligations imposed by this Contract on Key Sub-contractors, the Supplier must ensure that the Key Subcontract with each SIMS Sub-contractor:</w:t>
      </w:r>
    </w:p>
    <w:p w14:paraId="02876875" w14:textId="77777777" w:rsidR="0029093D" w:rsidRDefault="0029093D" w:rsidP="0029093D">
      <w:pPr>
        <w:pStyle w:val="Numbered111"/>
      </w:pPr>
      <w:r>
        <w:t>contains obligations no less onerous on the Key Sub-contractor than those imposed on the Supplier under this Schedule 5 (</w:t>
      </w:r>
      <w:r>
        <w:rPr>
          <w:i/>
        </w:rPr>
        <w:t>Security Management</w:t>
      </w:r>
      <w:r>
        <w:t>); and</w:t>
      </w:r>
    </w:p>
    <w:p w14:paraId="1FBF064E" w14:textId="77777777" w:rsidR="0029093D" w:rsidRDefault="0029093D" w:rsidP="0029093D">
      <w:pPr>
        <w:pStyle w:val="Numbered111"/>
      </w:pPr>
      <w:r>
        <w:t>provides for the Authority to perform Authority-led Assurance of any part of the Supplier Information Management System that the SIMS Sub-contractor provides or operates that is not otherwise subject to Authority-led Assurance under this Schedule 5 (</w:t>
      </w:r>
      <w:r>
        <w:rPr>
          <w:i/>
        </w:rPr>
        <w:t>Security Management</w:t>
      </w:r>
      <w:r>
        <w:t>).</w:t>
      </w:r>
    </w:p>
    <w:p w14:paraId="7E61A1D8" w14:textId="77777777" w:rsidR="0029093D" w:rsidRDefault="0029093D" w:rsidP="0029093D">
      <w:pPr>
        <w:keepNext/>
        <w:pBdr>
          <w:top w:val="nil"/>
          <w:left w:val="nil"/>
          <w:bottom w:val="nil"/>
          <w:right w:val="nil"/>
          <w:between w:val="nil"/>
        </w:pBdr>
        <w:ind w:left="720"/>
        <w:rPr>
          <w:b/>
          <w:color w:val="000000"/>
        </w:rPr>
      </w:pPr>
      <w:r>
        <w:rPr>
          <w:b/>
          <w:color w:val="000000"/>
        </w:rPr>
        <w:t>Sub-contractors</w:t>
      </w:r>
    </w:p>
    <w:p w14:paraId="028AE591" w14:textId="77777777" w:rsidR="0029093D" w:rsidRDefault="0029093D" w:rsidP="0029093D">
      <w:pPr>
        <w:pStyle w:val="Numbered11"/>
      </w:pPr>
      <w:r>
        <w:t>The Supplier must, before entering into a binding Sub-contract with any Sub-contractor:</w:t>
      </w:r>
    </w:p>
    <w:p w14:paraId="25959629" w14:textId="77777777" w:rsidR="0029093D" w:rsidRDefault="0029093D" w:rsidP="0029093D">
      <w:pPr>
        <w:pStyle w:val="Numbered111"/>
      </w:pPr>
      <w:r>
        <w:t xml:space="preserve">undertake sufficient due diligence of the proposed Sub-contractor to </w:t>
      </w:r>
      <w:r>
        <w:lastRenderedPageBreak/>
        <w:t>provide reasonable assurance that the proposed Sub-contractor can perform the obligations that this Schedule requires the Supplier ensure that the proposed Sub-contractor performs;</w:t>
      </w:r>
    </w:p>
    <w:p w14:paraId="76AE7C5C" w14:textId="77777777" w:rsidR="0029093D" w:rsidRDefault="0029093D" w:rsidP="0029093D">
      <w:pPr>
        <w:pStyle w:val="Numbered111"/>
      </w:pPr>
      <w:r>
        <w:t>keeps adequate records of the due diligence it has undertaken in respect of the proposed Sub-contractors; and</w:t>
      </w:r>
    </w:p>
    <w:p w14:paraId="1EE5C19F" w14:textId="77777777" w:rsidR="0029093D" w:rsidRDefault="0029093D" w:rsidP="0029093D">
      <w:pPr>
        <w:pStyle w:val="Numbered111"/>
      </w:pPr>
      <w:r>
        <w:t>provides those records to the Authority on request.</w:t>
      </w:r>
    </w:p>
    <w:p w14:paraId="6F41AF53" w14:textId="77777777" w:rsidR="0029093D" w:rsidRDefault="0029093D" w:rsidP="0029093D">
      <w:pPr>
        <w:keepNext/>
        <w:pBdr>
          <w:top w:val="nil"/>
          <w:left w:val="nil"/>
          <w:bottom w:val="nil"/>
          <w:right w:val="nil"/>
          <w:between w:val="nil"/>
        </w:pBdr>
        <w:ind w:left="720"/>
        <w:rPr>
          <w:b/>
          <w:color w:val="000000"/>
        </w:rPr>
      </w:pPr>
      <w:r>
        <w:rPr>
          <w:b/>
          <w:color w:val="000000"/>
        </w:rPr>
        <w:t>Key Sub-contractor Default</w:t>
      </w:r>
    </w:p>
    <w:p w14:paraId="45EFF6B1" w14:textId="7C43AEAC" w:rsidR="0029093D" w:rsidRDefault="0029093D" w:rsidP="0029093D">
      <w:pPr>
        <w:pStyle w:val="Numbered11"/>
      </w:pPr>
      <w:r>
        <w:t xml:space="preserve">Where the Supplier becomes aware of an actual or suspected failure by a Key Sub-contractor to comply with any obligation in this Schedule with which the Supplier is, by virtue of </w:t>
      </w:r>
      <w:r w:rsidR="00D006F4">
        <w:t>Paragraph</w:t>
      </w:r>
      <w:r>
        <w:t> 5.1</w:t>
      </w:r>
      <w:r w:rsidR="00D206E0">
        <w:t>.3</w:t>
      </w:r>
      <w:r>
        <w:t>, required to ensure the Key Sub-contractor complies (</w:t>
      </w:r>
      <w:r>
        <w:rPr>
          <w:b/>
        </w:rPr>
        <w:t>Key Sub-contractor Default</w:t>
      </w:r>
      <w:r>
        <w:t>), the Supplier must:</w:t>
      </w:r>
    </w:p>
    <w:p w14:paraId="21D7C1BD" w14:textId="77777777" w:rsidR="0029093D" w:rsidRDefault="0029093D" w:rsidP="0029093D">
      <w:pPr>
        <w:pStyle w:val="Numbered111"/>
      </w:pPr>
      <w:r>
        <w:t>as soon as reasonably practicable and in any event within two Working days of becoming aware of the Key Sub-contractor Default notify the Authority setting out the actual or anticipated effect of the Key Sub-contractor Default; and</w:t>
      </w:r>
    </w:p>
    <w:p w14:paraId="6D30368A" w14:textId="1ACDCCAB" w:rsidR="0029093D" w:rsidRDefault="0029093D" w:rsidP="0029093D">
      <w:pPr>
        <w:pStyle w:val="Numbered111"/>
      </w:pPr>
      <w:r>
        <w:t xml:space="preserve">unless the Authority waives the requirement, comply with the Remediation Action Plan process in </w:t>
      </w:r>
      <w:r w:rsidR="00D006F4">
        <w:t>Paragraph</w:t>
      </w:r>
      <w:r>
        <w:t> 18.</w:t>
      </w:r>
    </w:p>
    <w:p w14:paraId="6DA945E4" w14:textId="77777777" w:rsidR="0029093D" w:rsidRDefault="0029093D" w:rsidP="0029093D">
      <w:pPr>
        <w:pStyle w:val="Numbered1"/>
      </w:pPr>
      <w:r>
        <w:t>Supplier Information Management System</w:t>
      </w:r>
    </w:p>
    <w:p w14:paraId="11EB1C1D" w14:textId="77777777" w:rsidR="0029093D" w:rsidRDefault="0029093D" w:rsidP="0029093D">
      <w:pPr>
        <w:pStyle w:val="Numbered11"/>
      </w:pPr>
      <w:r>
        <w:t>The Authority must determine:</w:t>
      </w:r>
    </w:p>
    <w:p w14:paraId="03A247C0" w14:textId="77777777" w:rsidR="0029093D" w:rsidRDefault="0029093D" w:rsidP="0029093D">
      <w:pPr>
        <w:pStyle w:val="Numbered111"/>
      </w:pPr>
      <w:r>
        <w:t>the scope and component parts of the Supplier Information Management System; and</w:t>
      </w:r>
    </w:p>
    <w:p w14:paraId="03A7419B" w14:textId="77777777" w:rsidR="0029093D" w:rsidRDefault="0029093D" w:rsidP="0029093D">
      <w:pPr>
        <w:pStyle w:val="Numbered111"/>
      </w:pPr>
      <w:r>
        <w:t>the boundary between the Supplier Information Management System and the Wider Information Management System.</w:t>
      </w:r>
    </w:p>
    <w:p w14:paraId="428C9B45" w14:textId="77777777" w:rsidR="0029093D" w:rsidRDefault="0029093D" w:rsidP="0029093D">
      <w:pPr>
        <w:pStyle w:val="Numbered11"/>
      </w:pPr>
      <w:r>
        <w:t>To enable the Authority to make that determination, the Supplier shall provide the Authority with such documentation and information that the Authority may require regarding the Wider Information Management System.</w:t>
      </w:r>
    </w:p>
    <w:p w14:paraId="272D763E" w14:textId="77777777" w:rsidR="0029093D" w:rsidRDefault="0029093D" w:rsidP="0029093D">
      <w:pPr>
        <w:pStyle w:val="Numbered11"/>
      </w:pPr>
      <w:r>
        <w:t>The Authority shall notify the Supplier, as soon as reasonably practical, following the receipt of such documentation and information, of its decision regarding:</w:t>
      </w:r>
    </w:p>
    <w:p w14:paraId="161DE9A4" w14:textId="77777777" w:rsidR="0029093D" w:rsidRDefault="0029093D" w:rsidP="0029093D">
      <w:pPr>
        <w:pStyle w:val="Numbered111"/>
      </w:pPr>
      <w:r>
        <w:t>the scope and component parts of the Supplier Information Management System;</w:t>
      </w:r>
    </w:p>
    <w:p w14:paraId="1498E623" w14:textId="77777777" w:rsidR="0029093D" w:rsidRDefault="0029093D" w:rsidP="0029093D">
      <w:pPr>
        <w:pStyle w:val="Numbered111"/>
      </w:pPr>
      <w:r>
        <w:t>its boundary with the Wider Information Management System.</w:t>
      </w:r>
    </w:p>
    <w:p w14:paraId="48C190F9" w14:textId="77777777" w:rsidR="0029093D" w:rsidRDefault="0029093D" w:rsidP="0029093D">
      <w:pPr>
        <w:pStyle w:val="Numbered11"/>
      </w:pPr>
      <w:r>
        <w:t>The Supplier shall reproduce the Authority’s decision as a diagram documenting the components and systems forming part of, and the boundary between, the Supplier Information Management System and the Wider Information Management System.</w:t>
      </w:r>
    </w:p>
    <w:p w14:paraId="44E38C81" w14:textId="3A82E666" w:rsidR="0029093D" w:rsidRDefault="0029093D" w:rsidP="0029093D">
      <w:pPr>
        <w:pStyle w:val="Numbered11"/>
      </w:pPr>
      <w:r>
        <w:t xml:space="preserve">The diagram prepared under </w:t>
      </w:r>
      <w:r w:rsidR="00D006F4">
        <w:t>Paragraph</w:t>
      </w:r>
      <w:r>
        <w:t xml:space="preserve"> 11.4 forms part of the Security </w:t>
      </w:r>
      <w:r>
        <w:lastRenderedPageBreak/>
        <w:t>Management Plan.</w:t>
      </w:r>
    </w:p>
    <w:p w14:paraId="689207DA" w14:textId="77777777" w:rsidR="0029093D" w:rsidRDefault="0029093D" w:rsidP="0029093D">
      <w:pPr>
        <w:pStyle w:val="Numbered11"/>
      </w:pPr>
      <w:r>
        <w:t>Any proposed change to:</w:t>
      </w:r>
    </w:p>
    <w:p w14:paraId="454431FA" w14:textId="77777777" w:rsidR="0029093D" w:rsidRDefault="0029093D" w:rsidP="0029093D">
      <w:pPr>
        <w:pStyle w:val="Numbered111"/>
      </w:pPr>
      <w:r>
        <w:t>the component parts of the Supplier Information Management System; or</w:t>
      </w:r>
    </w:p>
    <w:p w14:paraId="643E205B" w14:textId="77777777" w:rsidR="0029093D" w:rsidRDefault="0029093D" w:rsidP="0029093D">
      <w:pPr>
        <w:pStyle w:val="Numbered111"/>
      </w:pPr>
      <w:r>
        <w:t>the boundary between the Supplier Information Management System and the Wider Information Management System,</w:t>
      </w:r>
    </w:p>
    <w:p w14:paraId="3E6C2969" w14:textId="77777777" w:rsidR="0029093D" w:rsidRPr="00D206E0" w:rsidRDefault="0029093D" w:rsidP="0029093D">
      <w:pPr>
        <w:pStyle w:val="Heading3"/>
        <w:ind w:left="720"/>
        <w:rPr>
          <w:b w:val="0"/>
        </w:rPr>
      </w:pPr>
      <w:r w:rsidRPr="00D206E0">
        <w:rPr>
          <w:b w:val="0"/>
        </w:rPr>
        <w:t>is:</w:t>
      </w:r>
    </w:p>
    <w:p w14:paraId="567D7FA1" w14:textId="77777777" w:rsidR="0029093D" w:rsidRDefault="0029093D" w:rsidP="0029093D">
      <w:pPr>
        <w:pStyle w:val="Numbered111"/>
      </w:pPr>
      <w:r>
        <w:t>an Operational Change to which the Change Control Procedure applies;</w:t>
      </w:r>
    </w:p>
    <w:p w14:paraId="27961F34" w14:textId="1CDCDDD2" w:rsidR="0029093D" w:rsidRDefault="0029093D" w:rsidP="0029093D">
      <w:pPr>
        <w:pStyle w:val="Numbered111"/>
      </w:pPr>
      <w:r>
        <w:t xml:space="preserve">requires approval by the Authority under </w:t>
      </w:r>
      <w:r w:rsidR="00D006F4">
        <w:t>Paragraph</w:t>
      </w:r>
      <w:r>
        <w:t> 17; and</w:t>
      </w:r>
    </w:p>
    <w:p w14:paraId="4537CDF4" w14:textId="77777777" w:rsidR="0029093D" w:rsidRDefault="0029093D" w:rsidP="0029093D">
      <w:pPr>
        <w:pStyle w:val="Numbered111"/>
      </w:pPr>
      <w:r>
        <w:t>the Authority may require the appointment of an Independent Security Adviser to advise on the proposed change.</w:t>
      </w:r>
    </w:p>
    <w:p w14:paraId="08E4EF19" w14:textId="77777777" w:rsidR="0029093D" w:rsidRDefault="0029093D" w:rsidP="0029093D">
      <w:pPr>
        <w:pStyle w:val="Numbered1"/>
      </w:pPr>
      <w:r>
        <w:t>Certification Requirements</w:t>
      </w:r>
    </w:p>
    <w:p w14:paraId="51B5434F" w14:textId="77777777" w:rsidR="0029093D" w:rsidRDefault="0029093D" w:rsidP="0029093D">
      <w:pPr>
        <w:pStyle w:val="Numbered11"/>
      </w:pPr>
      <w:r>
        <w:t>The Supplier shall ensure that, unless otherwise agreed by the Authority, both:</w:t>
      </w:r>
    </w:p>
    <w:p w14:paraId="31E41481" w14:textId="77777777" w:rsidR="0029093D" w:rsidRDefault="0029093D" w:rsidP="0029093D">
      <w:pPr>
        <w:pStyle w:val="Numbered111"/>
      </w:pPr>
      <w:r>
        <w:t>it; and</w:t>
      </w:r>
    </w:p>
    <w:p w14:paraId="26528729" w14:textId="77777777" w:rsidR="00CD68D5" w:rsidRDefault="0029093D" w:rsidP="00CD68D5">
      <w:pPr>
        <w:pStyle w:val="Numbered111"/>
      </w:pPr>
      <w:r>
        <w:t>any Sub-contractor,</w:t>
      </w:r>
    </w:p>
    <w:p w14:paraId="32FAE950" w14:textId="1A902119" w:rsidR="0029093D" w:rsidRDefault="0029093D" w:rsidP="00CD68D5">
      <w:pPr>
        <w:pStyle w:val="Numbered111"/>
        <w:numPr>
          <w:ilvl w:val="0"/>
          <w:numId w:val="0"/>
        </w:numPr>
        <w:ind w:left="720"/>
      </w:pPr>
      <w:r>
        <w:t>are certified as compliant with the Relevant Certifications, that is to say:</w:t>
      </w:r>
    </w:p>
    <w:p w14:paraId="5ED5645F" w14:textId="77777777" w:rsidR="0029093D" w:rsidRDefault="0029093D" w:rsidP="0029093D">
      <w:pPr>
        <w:pStyle w:val="Numbered111"/>
      </w:pPr>
      <w:r>
        <w:t>in the case of the Supplier, any SIMS Sub-contractor, any Key Sub-contractor and any Higher-risk Sub-contractor:</w:t>
      </w:r>
    </w:p>
    <w:p w14:paraId="3B788733" w14:textId="77777777" w:rsidR="0029093D" w:rsidRDefault="0029093D" w:rsidP="0029093D">
      <w:pPr>
        <w:pStyle w:val="Numbered111a"/>
      </w:pPr>
      <w:r>
        <w:t>an ISO Certification by a UKAS-approved certification body in respect of the Supplier Information Management System, or the Supplier Information Management System is included within the scope of a wider certification of compliance with an ISO Certification; and</w:t>
      </w:r>
    </w:p>
    <w:p w14:paraId="19E77E94" w14:textId="77777777" w:rsidR="0029093D" w:rsidRDefault="0029093D" w:rsidP="0029093D">
      <w:pPr>
        <w:pStyle w:val="Numbered111a"/>
      </w:pPr>
      <w:r>
        <w:t>Cyber Essentials Plus; and</w:t>
      </w:r>
    </w:p>
    <w:p w14:paraId="60EFBF71" w14:textId="77777777" w:rsidR="0029093D" w:rsidRDefault="0029093D" w:rsidP="0029093D">
      <w:pPr>
        <w:pStyle w:val="Numbered111"/>
      </w:pPr>
      <w:r>
        <w:t>for all other Sub-contractors, Cyber Essentials Plus</w:t>
      </w:r>
    </w:p>
    <w:p w14:paraId="68903D6C" w14:textId="77777777" w:rsidR="0029093D" w:rsidRDefault="0029093D" w:rsidP="0029093D">
      <w:pPr>
        <w:pStyle w:val="Numbered11"/>
      </w:pPr>
      <w:r>
        <w:t>Unless otherwise agreed by the Authority, before it begins to provide the Services, the Supplier must provide the Authority with a copy of:</w:t>
      </w:r>
    </w:p>
    <w:p w14:paraId="00913D3E" w14:textId="77777777" w:rsidR="0029093D" w:rsidRDefault="0029093D" w:rsidP="0029093D">
      <w:pPr>
        <w:pStyle w:val="Numbered111"/>
      </w:pPr>
      <w:r>
        <w:t>the Relevant Certifications for it and any Sub-contractor; and</w:t>
      </w:r>
    </w:p>
    <w:p w14:paraId="5EE7214E" w14:textId="77777777" w:rsidR="0029093D" w:rsidRDefault="0029093D" w:rsidP="0029093D">
      <w:pPr>
        <w:pStyle w:val="Numbered111"/>
      </w:pPr>
      <w:r>
        <w:t>the relevant scope and statement of applicability required under the ISO/IEC 27001 Relevant Certifications.</w:t>
      </w:r>
    </w:p>
    <w:p w14:paraId="63F58680" w14:textId="77777777" w:rsidR="0029093D" w:rsidRDefault="0029093D" w:rsidP="0029093D">
      <w:pPr>
        <w:pStyle w:val="Numbered11"/>
      </w:pPr>
      <w:r>
        <w:t>The Supplier must ensure that at the time it begins to provide the Services, the Relevant Certifications for it and any Sub-contractor are:</w:t>
      </w:r>
    </w:p>
    <w:p w14:paraId="5D35C7A5" w14:textId="77777777" w:rsidR="0029093D" w:rsidRDefault="0029093D" w:rsidP="0029093D">
      <w:pPr>
        <w:pStyle w:val="Numbered111"/>
      </w:pPr>
      <w:r>
        <w:lastRenderedPageBreak/>
        <w:t>currently in effect;</w:t>
      </w:r>
    </w:p>
    <w:p w14:paraId="7338FB66" w14:textId="77777777" w:rsidR="0029093D" w:rsidRDefault="0029093D" w:rsidP="0029093D">
      <w:pPr>
        <w:pStyle w:val="Numbered111"/>
      </w:pPr>
      <w:r>
        <w:t>cover at least the full scope of the Supplier Information Management System; and</w:t>
      </w:r>
    </w:p>
    <w:p w14:paraId="6C117EEC" w14:textId="77777777" w:rsidR="0029093D" w:rsidRDefault="0029093D" w:rsidP="0029093D">
      <w:pPr>
        <w:pStyle w:val="Numbered111"/>
      </w:pPr>
      <w:r>
        <w:t>are not subject to any condition that may impact the provision of the Services or the Development Activity (</w:t>
      </w:r>
      <w:r>
        <w:rPr>
          <w:b/>
        </w:rPr>
        <w:t>Certification Requirements</w:t>
      </w:r>
      <w:r>
        <w:t>).</w:t>
      </w:r>
    </w:p>
    <w:p w14:paraId="763F2223" w14:textId="77777777" w:rsidR="0029093D" w:rsidRDefault="0029093D" w:rsidP="0029093D">
      <w:pPr>
        <w:pStyle w:val="Numbered11"/>
      </w:pPr>
      <w:r>
        <w:t>The Supplier must notify the Authority promptly, and in any event within three Working Days, after becoming aware that, in respect of it or any Sub-contractor:</w:t>
      </w:r>
    </w:p>
    <w:p w14:paraId="6F0D8309" w14:textId="77777777" w:rsidR="0029093D" w:rsidRDefault="0029093D" w:rsidP="0029093D">
      <w:pPr>
        <w:pStyle w:val="Numbered111"/>
      </w:pPr>
      <w:r>
        <w:t>a Relevant Certification has been revoked or cancelled by the body that awarded it;</w:t>
      </w:r>
    </w:p>
    <w:p w14:paraId="7468E6E1" w14:textId="77777777" w:rsidR="0029093D" w:rsidRDefault="0029093D" w:rsidP="0029093D">
      <w:pPr>
        <w:pStyle w:val="Numbered111"/>
      </w:pPr>
      <w:r>
        <w:t>a Relevant Certification expired and has not been renewed by the Supplier;</w:t>
      </w:r>
    </w:p>
    <w:p w14:paraId="776E3441" w14:textId="77777777" w:rsidR="0029093D" w:rsidRDefault="0029093D" w:rsidP="0029093D">
      <w:pPr>
        <w:pStyle w:val="Numbered111"/>
      </w:pPr>
      <w:r>
        <w:t>a Relevant Certification no longer applies to the full scope of the Supplier Information Management System; or</w:t>
      </w:r>
    </w:p>
    <w:p w14:paraId="59D79ED1" w14:textId="77777777" w:rsidR="0029093D" w:rsidRDefault="0029093D" w:rsidP="0029093D">
      <w:pPr>
        <w:pStyle w:val="Numbered111"/>
      </w:pPr>
      <w:r>
        <w:t xml:space="preserve">the body that awarded a Relevant Certification has made it subject to conditions, the compliance with which may impact the provision of the Services (each a </w:t>
      </w:r>
      <w:r>
        <w:rPr>
          <w:b/>
        </w:rPr>
        <w:t>Certification Default</w:t>
      </w:r>
      <w:r>
        <w:t>)</w:t>
      </w:r>
    </w:p>
    <w:p w14:paraId="3FF4A5D9" w14:textId="24302A4B" w:rsidR="0029093D" w:rsidRDefault="0029093D" w:rsidP="0029093D">
      <w:pPr>
        <w:pStyle w:val="Numbered11"/>
      </w:pPr>
      <w:r>
        <w:t xml:space="preserve">Where the Supplier has notified the Authority of a Certification Default under </w:t>
      </w:r>
      <w:r w:rsidR="00D006F4">
        <w:t>Paragraph</w:t>
      </w:r>
      <w:r>
        <w:t> 12.4:</w:t>
      </w:r>
    </w:p>
    <w:p w14:paraId="278B3B38" w14:textId="16CFC253" w:rsidR="0029093D" w:rsidRDefault="0029093D" w:rsidP="0029093D">
      <w:pPr>
        <w:pStyle w:val="Numbered111"/>
      </w:pPr>
      <w:r>
        <w:t xml:space="preserve">the Supplier must, within ten Working Days of the date in which the Supplier provided notice under </w:t>
      </w:r>
      <w:r w:rsidR="00D006F4">
        <w:t>Paragraph</w:t>
      </w:r>
      <w:r>
        <w:t> 6.4 (or such other period as the Parties may agree) provide a draft plan (</w:t>
      </w:r>
      <w:r>
        <w:rPr>
          <w:b/>
        </w:rPr>
        <w:t>Certification Rectification Plan</w:t>
      </w:r>
      <w:r>
        <w:t>) to the Authority setting out:</w:t>
      </w:r>
    </w:p>
    <w:p w14:paraId="236B8E77" w14:textId="77777777" w:rsidR="0029093D" w:rsidRDefault="0029093D" w:rsidP="0029093D">
      <w:pPr>
        <w:pStyle w:val="Numbered111a"/>
      </w:pPr>
      <w:r>
        <w:t>full details of the Certification Default, including a root cause analysis;</w:t>
      </w:r>
    </w:p>
    <w:p w14:paraId="70452AC4" w14:textId="77777777" w:rsidR="0029093D" w:rsidRDefault="0029093D" w:rsidP="0029093D">
      <w:pPr>
        <w:pStyle w:val="Numbered111a"/>
      </w:pPr>
      <w:r>
        <w:t>the actual and anticipated effects of the Certification Default;</w:t>
      </w:r>
    </w:p>
    <w:p w14:paraId="2886A29B" w14:textId="77777777" w:rsidR="0029093D" w:rsidRDefault="0029093D" w:rsidP="0029093D">
      <w:pPr>
        <w:pStyle w:val="Numbered111a"/>
      </w:pPr>
      <w:r>
        <w:t>the steps the Supplier and any Sub-contractor to which the Certification Default relates will take to remedy the Certification Default;</w:t>
      </w:r>
    </w:p>
    <w:p w14:paraId="5018E275" w14:textId="77777777" w:rsidR="0029093D" w:rsidRDefault="0029093D" w:rsidP="0029093D">
      <w:pPr>
        <w:pStyle w:val="Numbered111"/>
      </w:pPr>
      <w:r>
        <w:t>the Authority must notify the Supplier as soon as reasonably practicable whether it accepts or rejects the Certification Rectification Plan;</w:t>
      </w:r>
    </w:p>
    <w:p w14:paraId="65B48DA6" w14:textId="1D3B0CA0" w:rsidR="0029093D" w:rsidRDefault="0029093D" w:rsidP="0029093D">
      <w:pPr>
        <w:pStyle w:val="Numbered111"/>
      </w:pPr>
      <w:r>
        <w:t xml:space="preserve">if the Authority rejects the Certification Rectification Plan, the Supplier must within five Working Days of the date of the rejection submit a revised Certification Rectification Plan and </w:t>
      </w:r>
      <w:r w:rsidR="00D006F4">
        <w:t>Paragraph</w:t>
      </w:r>
      <w:r>
        <w:t> 12.5</w:t>
      </w:r>
      <w:r w:rsidR="00D206E0">
        <w:t>.2</w:t>
      </w:r>
      <w:r>
        <w:t xml:space="preserve"> will apply to the re-submitted plan;</w:t>
      </w:r>
    </w:p>
    <w:p w14:paraId="5AAB0FC4" w14:textId="77777777" w:rsidR="0029093D" w:rsidRDefault="0029093D" w:rsidP="0029093D">
      <w:pPr>
        <w:pStyle w:val="Numbered111"/>
      </w:pPr>
      <w:r>
        <w:t xml:space="preserve">the rejection by the Authority of a revised Certification Rectification </w:t>
      </w:r>
      <w:r>
        <w:lastRenderedPageBreak/>
        <w:t>Plan is a material Default of this Contract;</w:t>
      </w:r>
    </w:p>
    <w:p w14:paraId="6F88B2B5" w14:textId="77777777" w:rsidR="0029093D" w:rsidRDefault="0029093D" w:rsidP="0029093D">
      <w:pPr>
        <w:pStyle w:val="Numbered111"/>
      </w:pPr>
      <w:r>
        <w:t>if the Buyer accepts the Certification Rectification Plan, the Supplier must start work immediately on the plan.</w:t>
      </w:r>
    </w:p>
    <w:p w14:paraId="6A3CC828" w14:textId="77777777" w:rsidR="0029093D" w:rsidRDefault="0029093D" w:rsidP="0029093D">
      <w:pPr>
        <w:pStyle w:val="Numbered1"/>
      </w:pPr>
      <w:r>
        <w:t>Security Management Plan</w:t>
      </w:r>
    </w:p>
    <w:p w14:paraId="38D790DB" w14:textId="77777777" w:rsidR="0029093D" w:rsidRDefault="0029093D" w:rsidP="0029093D">
      <w:pPr>
        <w:keepNext/>
        <w:pBdr>
          <w:top w:val="nil"/>
          <w:left w:val="nil"/>
          <w:bottom w:val="nil"/>
          <w:right w:val="nil"/>
          <w:between w:val="nil"/>
        </w:pBdr>
        <w:ind w:left="720"/>
        <w:rPr>
          <w:b/>
          <w:color w:val="000000"/>
        </w:rPr>
      </w:pPr>
      <w:r>
        <w:rPr>
          <w:b/>
          <w:color w:val="000000"/>
        </w:rPr>
        <w:t>Purpose of Security Management Plan</w:t>
      </w:r>
    </w:p>
    <w:p w14:paraId="40DCF1BB" w14:textId="77777777" w:rsidR="0029093D" w:rsidRDefault="0029093D" w:rsidP="0029093D">
      <w:pPr>
        <w:pStyle w:val="Numbered11"/>
      </w:pPr>
      <w:r>
        <w:t>The Authority may, at any time, provide the Supplier with a Statement of Risk Appetite.</w:t>
      </w:r>
    </w:p>
    <w:p w14:paraId="77327A68" w14:textId="77777777" w:rsidR="0029093D" w:rsidRDefault="0029093D" w:rsidP="0029093D">
      <w:pPr>
        <w:pStyle w:val="Numbered11"/>
      </w:pPr>
      <w:r>
        <w:t>The Supplier must document in the Security Management Plan how the Supplier and its Sub-contractors will:</w:t>
      </w:r>
    </w:p>
    <w:p w14:paraId="668EE210" w14:textId="77777777" w:rsidR="0029093D" w:rsidRDefault="0029093D" w:rsidP="0029093D">
      <w:pPr>
        <w:pStyle w:val="Numbered111"/>
      </w:pPr>
      <w:r>
        <w:t>comply with the requirements set out in this Schedule 5 (</w:t>
      </w:r>
      <w:r>
        <w:rPr>
          <w:i/>
        </w:rPr>
        <w:t>Security Management</w:t>
      </w:r>
      <w:r>
        <w:t>) and the Contract in order to ensure the security of the Authority Data and the Supplier Information Management System; and</w:t>
      </w:r>
    </w:p>
    <w:p w14:paraId="12836A70" w14:textId="77777777" w:rsidR="0029093D" w:rsidRDefault="0029093D" w:rsidP="0029093D">
      <w:pPr>
        <w:pStyle w:val="Numbered111"/>
      </w:pPr>
      <w:r>
        <w:t xml:space="preserve">ensure that the operation of the Supplier Information Management System and the provision of the Services does not give rise to any information security risks greater than those set out in that Statement of Information Risk Appetite (where one has been provided). </w:t>
      </w:r>
    </w:p>
    <w:p w14:paraId="5697105F" w14:textId="77777777" w:rsidR="0029093D" w:rsidRDefault="0029093D" w:rsidP="0029093D">
      <w:pPr>
        <w:pStyle w:val="Numbered11"/>
      </w:pPr>
      <w:r>
        <w:t>The Supplier must ensure that:</w:t>
      </w:r>
    </w:p>
    <w:p w14:paraId="7C5BE380" w14:textId="77777777" w:rsidR="0029093D" w:rsidRDefault="0029093D" w:rsidP="0029093D">
      <w:pPr>
        <w:pStyle w:val="Numbered111"/>
      </w:pPr>
      <w:r>
        <w:t xml:space="preserve">the Security Management Plan accurately represents the Supplier Information Management System; </w:t>
      </w:r>
    </w:p>
    <w:p w14:paraId="6C33A147" w14:textId="77777777" w:rsidR="0029093D" w:rsidRDefault="0029093D" w:rsidP="0029093D">
      <w:pPr>
        <w:pStyle w:val="Numbered111"/>
      </w:pPr>
      <w:r>
        <w:t>the Supplier Information Management System will meet the requirements of this Schedule 5 (</w:t>
      </w:r>
      <w:r>
        <w:rPr>
          <w:i/>
        </w:rPr>
        <w:t>Security Management</w:t>
      </w:r>
      <w:r>
        <w:t>) and the Statement of Risk Appetite (where one has been provided); and</w:t>
      </w:r>
    </w:p>
    <w:p w14:paraId="13BF23B2" w14:textId="77777777" w:rsidR="0029093D" w:rsidRDefault="0029093D" w:rsidP="0029093D">
      <w:pPr>
        <w:pStyle w:val="Numbered111"/>
      </w:pPr>
      <w:r>
        <w:t>the residual risks of the Supplier Information Management System are no greater than those provided for in the Statement of Risk Appetite (where one has been provided).</w:t>
      </w:r>
    </w:p>
    <w:p w14:paraId="26C923BB" w14:textId="77777777" w:rsidR="0029093D" w:rsidRDefault="0029093D" w:rsidP="0029093D">
      <w:pPr>
        <w:keepNext/>
        <w:pBdr>
          <w:top w:val="nil"/>
          <w:left w:val="nil"/>
          <w:bottom w:val="nil"/>
          <w:right w:val="nil"/>
          <w:between w:val="nil"/>
        </w:pBdr>
        <w:ind w:left="720"/>
        <w:rPr>
          <w:b/>
          <w:color w:val="000000"/>
        </w:rPr>
      </w:pPr>
      <w:r>
        <w:rPr>
          <w:b/>
          <w:color w:val="000000"/>
        </w:rPr>
        <w:t>Preparation of Security Management Plan</w:t>
      </w:r>
    </w:p>
    <w:p w14:paraId="0D6C7C07" w14:textId="77777777" w:rsidR="0029093D" w:rsidRDefault="0029093D" w:rsidP="0029093D">
      <w:pPr>
        <w:pStyle w:val="Numbered11"/>
      </w:pPr>
      <w:r>
        <w:t>The Supplier must prepare and submit the Security Management Plan to the Authority:</w:t>
      </w:r>
    </w:p>
    <w:p w14:paraId="15DEC9C6" w14:textId="77777777" w:rsidR="0029093D" w:rsidRDefault="0029093D" w:rsidP="0029093D">
      <w:pPr>
        <w:pStyle w:val="Numbered111"/>
      </w:pPr>
      <w:r>
        <w:t>by the date specified in the Detailed Implementation Plan; or</w:t>
      </w:r>
    </w:p>
    <w:p w14:paraId="1EEF715F" w14:textId="77777777" w:rsidR="0029093D" w:rsidRDefault="0029093D" w:rsidP="0029093D">
      <w:pPr>
        <w:pStyle w:val="Numbered111"/>
      </w:pPr>
      <w:r>
        <w:t>if no such date is specified, in sufficient time to allow for the Authority to:</w:t>
      </w:r>
    </w:p>
    <w:p w14:paraId="62DD0514" w14:textId="77777777" w:rsidR="0029093D" w:rsidRDefault="0029093D" w:rsidP="0029093D">
      <w:pPr>
        <w:pStyle w:val="Numbered111a"/>
      </w:pPr>
      <w:r>
        <w:t>approve the Security Management Plan; and</w:t>
      </w:r>
    </w:p>
    <w:p w14:paraId="5418B99D" w14:textId="77777777" w:rsidR="0029093D" w:rsidRDefault="0029093D" w:rsidP="0029093D">
      <w:pPr>
        <w:pStyle w:val="Numbered111a"/>
      </w:pPr>
      <w:r>
        <w:t>undertake any Authority-led Assurance activity,</w:t>
      </w:r>
    </w:p>
    <w:p w14:paraId="5395A4B6" w14:textId="77777777" w:rsidR="0029093D" w:rsidRDefault="0029093D" w:rsidP="0029093D">
      <w:pPr>
        <w:pStyle w:val="Heading4"/>
        <w:ind w:left="1800"/>
      </w:pPr>
      <w:r>
        <w:lastRenderedPageBreak/>
        <w:t>before the first Operational Service Commencement Date.</w:t>
      </w:r>
    </w:p>
    <w:p w14:paraId="2EDCAA71" w14:textId="21886BEC" w:rsidR="0029093D" w:rsidRDefault="0029093D" w:rsidP="0029093D">
      <w:pPr>
        <w:pStyle w:val="Numbered11"/>
      </w:pPr>
      <w:r>
        <w:t xml:space="preserve">If </w:t>
      </w:r>
      <w:r w:rsidR="00D006F4">
        <w:t>Paragraph</w:t>
      </w:r>
      <w:r>
        <w:t> 13.</w:t>
      </w:r>
      <w:r w:rsidR="00D206E0">
        <w:t>4.2</w:t>
      </w:r>
      <w:r>
        <w:t xml:space="preserve"> applies, and any delay resulting from the Authority-led Assurance  causes or contributes to Supplier Non-Performance under </w:t>
      </w:r>
      <w:r w:rsidR="00D206E0">
        <w:t>C</w:t>
      </w:r>
      <w:r>
        <w:t>lause </w:t>
      </w:r>
      <w:r w:rsidR="00D206E0">
        <w:t>29.1</w:t>
      </w:r>
      <w:r>
        <w:t xml:space="preserve"> that delay is not an Authority Cause and the Supplier shall not be entitled to any relief or compensation under </w:t>
      </w:r>
      <w:r w:rsidR="00D206E0">
        <w:t>C</w:t>
      </w:r>
      <w:r>
        <w:t>lause </w:t>
      </w:r>
      <w:r w:rsidR="00D206E0">
        <w:t>29</w:t>
      </w:r>
      <w:r>
        <w:t>.</w:t>
      </w:r>
    </w:p>
    <w:p w14:paraId="62838019" w14:textId="77777777" w:rsidR="0029093D" w:rsidRDefault="0029093D" w:rsidP="0029093D">
      <w:pPr>
        <w:keepNext/>
        <w:pBdr>
          <w:top w:val="nil"/>
          <w:left w:val="nil"/>
          <w:bottom w:val="nil"/>
          <w:right w:val="nil"/>
          <w:between w:val="nil"/>
        </w:pBdr>
        <w:ind w:left="720"/>
        <w:rPr>
          <w:b/>
          <w:color w:val="000000"/>
        </w:rPr>
      </w:pPr>
      <w:r>
        <w:rPr>
          <w:b/>
          <w:color w:val="000000"/>
        </w:rPr>
        <w:t>Contents of Security Management Plan</w:t>
      </w:r>
    </w:p>
    <w:p w14:paraId="69D6311F" w14:textId="77777777" w:rsidR="0029093D" w:rsidRDefault="0029093D" w:rsidP="0029093D">
      <w:pPr>
        <w:pStyle w:val="Numbered11"/>
      </w:pPr>
      <w:r>
        <w:t>The Security Management Plan must use the template in Appendix 5 and must include:</w:t>
      </w:r>
    </w:p>
    <w:p w14:paraId="59275DA2" w14:textId="77777777" w:rsidR="0029093D" w:rsidRDefault="0029093D" w:rsidP="0029093D">
      <w:pPr>
        <w:pStyle w:val="Numbered111"/>
      </w:pPr>
      <w:r>
        <w:t>a formal information risk assessment of, and a risk treatment plan for, the Supplier Information Management System;</w:t>
      </w:r>
    </w:p>
    <w:p w14:paraId="563FF4DB" w14:textId="77777777" w:rsidR="0029093D" w:rsidRDefault="0029093D" w:rsidP="0029093D">
      <w:pPr>
        <w:pStyle w:val="Numbered111"/>
      </w:pPr>
      <w:r>
        <w:t>a completed statement of applicability under the relevant ISO Certification for the Supplier Information Management System;</w:t>
      </w:r>
    </w:p>
    <w:p w14:paraId="6EA149B3" w14:textId="77777777" w:rsidR="0029093D" w:rsidRDefault="0029093D" w:rsidP="0029093D">
      <w:pPr>
        <w:pStyle w:val="Numbered111"/>
      </w:pPr>
      <w:r>
        <w:t>the process for managing any security risks from Sub-contractors and third parties with access to the Services, the Supplier Information Management System or the Authority Data;</w:t>
      </w:r>
    </w:p>
    <w:p w14:paraId="3C95578E" w14:textId="77777777" w:rsidR="0029093D" w:rsidRDefault="0029093D" w:rsidP="0029093D">
      <w:pPr>
        <w:pStyle w:val="Numbered111"/>
      </w:pPr>
      <w:r>
        <w:t>unless such requirement is waived by the Authority, the controls the Supplier will implement in respect of the Services and all processes associated with the delivery of the Services, including:</w:t>
      </w:r>
    </w:p>
    <w:p w14:paraId="484CC26B" w14:textId="77777777" w:rsidR="0029093D" w:rsidRDefault="0029093D" w:rsidP="0029093D">
      <w:pPr>
        <w:pStyle w:val="Numbered111a"/>
      </w:pPr>
      <w:r>
        <w:t>the Supplier System;</w:t>
      </w:r>
    </w:p>
    <w:p w14:paraId="43CB68EC" w14:textId="77777777" w:rsidR="0029093D" w:rsidRDefault="0029093D" w:rsidP="0029093D">
      <w:pPr>
        <w:pStyle w:val="Numbered111a"/>
      </w:pPr>
      <w:r>
        <w:t>the Sites; and</w:t>
      </w:r>
    </w:p>
    <w:p w14:paraId="6D850EB5" w14:textId="77777777" w:rsidR="0029093D" w:rsidRDefault="0029093D" w:rsidP="0029093D">
      <w:pPr>
        <w:pStyle w:val="Numbered111a"/>
      </w:pPr>
      <w:r>
        <w:t xml:space="preserve">the Authority System (to the extent that it is under the control of the Supplier); and </w:t>
      </w:r>
    </w:p>
    <w:p w14:paraId="249221F4" w14:textId="77777777" w:rsidR="0029093D" w:rsidRDefault="0029093D" w:rsidP="0029093D">
      <w:pPr>
        <w:pStyle w:val="Numbered111a"/>
      </w:pPr>
      <w:r>
        <w:t>any IT, Information and data (including the Confidential Information of the Authority and the Authority Data) to the extent used by the Authority or the Supplier:</w:t>
      </w:r>
    </w:p>
    <w:p w14:paraId="152D4C35" w14:textId="77777777" w:rsidR="0029093D" w:rsidRDefault="0029093D" w:rsidP="0029093D">
      <w:pPr>
        <w:pStyle w:val="Numbered111ai"/>
        <w:tabs>
          <w:tab w:val="clear" w:pos="3240"/>
          <w:tab w:val="num" w:pos="360"/>
        </w:tabs>
      </w:pPr>
      <w:r>
        <w:t>in connection with this Contract or</w:t>
      </w:r>
    </w:p>
    <w:p w14:paraId="05D15A6F" w14:textId="77777777" w:rsidR="0029093D" w:rsidRDefault="0029093D" w:rsidP="0029093D">
      <w:pPr>
        <w:pStyle w:val="Numbered111ai"/>
        <w:tabs>
          <w:tab w:val="clear" w:pos="3240"/>
          <w:tab w:val="num" w:pos="360"/>
        </w:tabs>
      </w:pPr>
      <w:r>
        <w:t>in connection with any system that could directly or indirectly have an impact on that Information, data and/or the Services;</w:t>
      </w:r>
    </w:p>
    <w:p w14:paraId="4B870B3F" w14:textId="77777777" w:rsidR="0029093D" w:rsidRDefault="0029093D" w:rsidP="0029093D">
      <w:pPr>
        <w:pStyle w:val="Numbered111"/>
      </w:pPr>
      <w:r>
        <w:t>the Required Changes Register;</w:t>
      </w:r>
    </w:p>
    <w:p w14:paraId="16C74F33" w14:textId="77777777" w:rsidR="0029093D" w:rsidRDefault="0029093D" w:rsidP="0029093D">
      <w:pPr>
        <w:pStyle w:val="Numbered111"/>
      </w:pPr>
      <w:r>
        <w:t>evidence that the Supplier and each Sub-contractor (so far as those requirements apply) is compliant with:</w:t>
      </w:r>
    </w:p>
    <w:p w14:paraId="77360CCC" w14:textId="77777777" w:rsidR="0029093D" w:rsidRDefault="0029093D" w:rsidP="0029093D">
      <w:pPr>
        <w:pStyle w:val="Numbered111a"/>
      </w:pPr>
      <w:r>
        <w:t>the Certification Requirements;</w:t>
      </w:r>
    </w:p>
    <w:p w14:paraId="6F95F3EE" w14:textId="77777777" w:rsidR="0029093D" w:rsidRDefault="0029093D" w:rsidP="0029093D">
      <w:pPr>
        <w:pStyle w:val="Numbered111a"/>
      </w:pPr>
      <w:r>
        <w:t>the Security Requirements; and</w:t>
      </w:r>
    </w:p>
    <w:p w14:paraId="66BBDB2F" w14:textId="3B008EB5" w:rsidR="0029093D" w:rsidRDefault="0029093D" w:rsidP="0029093D">
      <w:pPr>
        <w:pStyle w:val="Numbered111a"/>
      </w:pPr>
      <w:r>
        <w:t xml:space="preserve">where the relevant option in </w:t>
      </w:r>
      <w:r w:rsidR="00D006F4">
        <w:t>Paragraph</w:t>
      </w:r>
      <w:r>
        <w:t> 1 is selected, the Security Requirements for Development;</w:t>
      </w:r>
    </w:p>
    <w:p w14:paraId="4FD47F4D" w14:textId="0FE98754" w:rsidR="0029093D" w:rsidRDefault="0029093D" w:rsidP="0029093D">
      <w:pPr>
        <w:pStyle w:val="Numbered111"/>
      </w:pPr>
      <w:r>
        <w:lastRenderedPageBreak/>
        <w:t xml:space="preserve">the diagram documenting the Supplier Information Management System, the Wider Information Management System and the boundary between them (created under </w:t>
      </w:r>
      <w:r w:rsidR="00D006F4">
        <w:t>Paragraph</w:t>
      </w:r>
      <w:r>
        <w:t> 11).</w:t>
      </w:r>
    </w:p>
    <w:p w14:paraId="26249606" w14:textId="5D488BFA" w:rsidR="0029093D" w:rsidRDefault="0029093D" w:rsidP="0029093D">
      <w:pPr>
        <w:pStyle w:val="Numbered111"/>
      </w:pPr>
      <w:r>
        <w:t>an assessment of the Supplier Information Management System against the requirements of this Schedule 5 (</w:t>
      </w:r>
      <w:r>
        <w:rPr>
          <w:i/>
        </w:rPr>
        <w:t>Security Management</w:t>
      </w:r>
      <w:r>
        <w:t xml:space="preserve">), including the Security Requirements and, where the relevant option in </w:t>
      </w:r>
      <w:r w:rsidR="00D006F4">
        <w:t>Paragraph</w:t>
      </w:r>
      <w:r>
        <w:t> 1 is selected, the Security Requirements for Development (where applicable);</w:t>
      </w:r>
    </w:p>
    <w:p w14:paraId="649C30FB" w14:textId="77777777" w:rsidR="0029093D" w:rsidRDefault="0029093D" w:rsidP="0029093D">
      <w:pPr>
        <w:pStyle w:val="Numbered111"/>
      </w:pPr>
      <w:r>
        <w:t>the process the Supplier will implement immediately after it becomes aware of a Breach of Security to restore normal operations as quickly as possible, minimising any adverse impact on the Authority Data, the Authority, the Services and/or users of the Services; and</w:t>
      </w:r>
    </w:p>
    <w:p w14:paraId="570FEDFD" w14:textId="77777777" w:rsidR="0029093D" w:rsidRDefault="0029093D" w:rsidP="0029093D">
      <w:pPr>
        <w:pStyle w:val="Numbered111"/>
      </w:pPr>
      <w:r>
        <w:t>the following information, so far as is applicable, in respect of each Sub-contractor:</w:t>
      </w:r>
    </w:p>
    <w:p w14:paraId="1929F6D4" w14:textId="77777777" w:rsidR="0029093D" w:rsidRDefault="0029093D" w:rsidP="0029093D">
      <w:pPr>
        <w:pStyle w:val="Numbered111a"/>
      </w:pPr>
      <w:r>
        <w:t>the Sub-contractor’s:</w:t>
      </w:r>
    </w:p>
    <w:p w14:paraId="79EED66A" w14:textId="77777777" w:rsidR="0029093D" w:rsidRDefault="0029093D" w:rsidP="0029093D">
      <w:pPr>
        <w:pStyle w:val="Numbered111ai"/>
        <w:tabs>
          <w:tab w:val="clear" w:pos="3240"/>
          <w:tab w:val="num" w:pos="360"/>
        </w:tabs>
      </w:pPr>
      <w:r>
        <w:t>legal name;</w:t>
      </w:r>
    </w:p>
    <w:p w14:paraId="5AA49193" w14:textId="77777777" w:rsidR="0029093D" w:rsidRDefault="0029093D" w:rsidP="0029093D">
      <w:pPr>
        <w:pStyle w:val="Numbered111ai"/>
        <w:tabs>
          <w:tab w:val="clear" w:pos="3240"/>
          <w:tab w:val="num" w:pos="360"/>
        </w:tabs>
      </w:pPr>
      <w:r>
        <w:t xml:space="preserve">trading name (if any); and </w:t>
      </w:r>
    </w:p>
    <w:p w14:paraId="767191FC" w14:textId="77777777" w:rsidR="0029093D" w:rsidRDefault="0029093D" w:rsidP="0029093D">
      <w:pPr>
        <w:pStyle w:val="Numbered111ai"/>
        <w:tabs>
          <w:tab w:val="clear" w:pos="3240"/>
          <w:tab w:val="num" w:pos="360"/>
        </w:tabs>
      </w:pPr>
      <w:r>
        <w:t>registration details (where the Sub-contractor is not an individual);</w:t>
      </w:r>
    </w:p>
    <w:p w14:paraId="7DFA6BBA" w14:textId="77777777" w:rsidR="0029093D" w:rsidRDefault="0029093D" w:rsidP="0029093D">
      <w:pPr>
        <w:pStyle w:val="Numbered111a"/>
      </w:pPr>
      <w:r>
        <w:t>the Relevant Certifications held by the Sub-contractor;</w:t>
      </w:r>
    </w:p>
    <w:p w14:paraId="0B03B017" w14:textId="77777777" w:rsidR="0029093D" w:rsidRDefault="0029093D" w:rsidP="0029093D">
      <w:pPr>
        <w:pStyle w:val="Numbered111a"/>
      </w:pPr>
      <w:r>
        <w:t>the Sites used by the Sub-contractor;</w:t>
      </w:r>
    </w:p>
    <w:p w14:paraId="27871D07" w14:textId="77777777" w:rsidR="0029093D" w:rsidRDefault="0029093D" w:rsidP="0029093D">
      <w:pPr>
        <w:pStyle w:val="Numbered111a"/>
      </w:pPr>
      <w:r>
        <w:t>the Services provided, or contributed to, by the Sub-contractor;</w:t>
      </w:r>
    </w:p>
    <w:p w14:paraId="057151A4" w14:textId="77777777" w:rsidR="0029093D" w:rsidRDefault="0029093D" w:rsidP="0029093D">
      <w:pPr>
        <w:pStyle w:val="Numbered111a"/>
      </w:pPr>
      <w:r>
        <w:t>the access the Sub-contractor has to the Supplier Information Management System;</w:t>
      </w:r>
    </w:p>
    <w:p w14:paraId="6755A79D" w14:textId="77777777" w:rsidR="0029093D" w:rsidRDefault="0029093D" w:rsidP="0029093D">
      <w:pPr>
        <w:pStyle w:val="Numbered111a"/>
      </w:pPr>
      <w:r>
        <w:t>the Authority Data Processed by the Sub-contractor;</w:t>
      </w:r>
    </w:p>
    <w:p w14:paraId="5C0C2439" w14:textId="77777777" w:rsidR="0029093D" w:rsidRDefault="0029093D" w:rsidP="0029093D">
      <w:pPr>
        <w:pStyle w:val="Numbered111a"/>
      </w:pPr>
      <w:r>
        <w:t>the Processing that the Sub-contractor will undertake in respect of the Authority Data; and</w:t>
      </w:r>
    </w:p>
    <w:p w14:paraId="58D69804" w14:textId="77777777" w:rsidR="0029093D" w:rsidRDefault="0029093D" w:rsidP="0029093D">
      <w:pPr>
        <w:pStyle w:val="Numbered111a"/>
      </w:pPr>
      <w:r>
        <w:t>the measures the Sub-contractor has in place to comply with the requirements of this Schedule 5 (</w:t>
      </w:r>
      <w:r>
        <w:rPr>
          <w:i/>
        </w:rPr>
        <w:t>Security Management</w:t>
      </w:r>
      <w:r>
        <w:t>);</w:t>
      </w:r>
    </w:p>
    <w:p w14:paraId="3B92AE37" w14:textId="77777777" w:rsidR="0029093D" w:rsidRDefault="0029093D" w:rsidP="0029093D">
      <w:pPr>
        <w:pStyle w:val="Numbered111"/>
      </w:pPr>
      <w:r>
        <w:t>the Register of Sites, Support Locations and Third Party Tools;</w:t>
      </w:r>
    </w:p>
    <w:p w14:paraId="053248E1" w14:textId="77777777" w:rsidR="0029093D" w:rsidRDefault="0029093D" w:rsidP="0029093D">
      <w:pPr>
        <w:pStyle w:val="Numbered111"/>
      </w:pPr>
      <w:r>
        <w:t>the Modules Register;</w:t>
      </w:r>
    </w:p>
    <w:p w14:paraId="75228B7E" w14:textId="77777777" w:rsidR="0029093D" w:rsidRDefault="0029093D" w:rsidP="0029093D">
      <w:pPr>
        <w:pStyle w:val="Numbered111"/>
      </w:pPr>
      <w:r>
        <w:t>the Support Register; and</w:t>
      </w:r>
    </w:p>
    <w:p w14:paraId="494E63F9" w14:textId="77777777" w:rsidR="0029093D" w:rsidRDefault="0029093D" w:rsidP="0029093D">
      <w:pPr>
        <w:pStyle w:val="Numbered111"/>
      </w:pPr>
      <w:r>
        <w:t xml:space="preserve">details of the protective monitoring that the Supplier will undertake in accordance with paragraph 12 of the Security Requirements, </w:t>
      </w:r>
      <w:r>
        <w:lastRenderedPageBreak/>
        <w:t>including:</w:t>
      </w:r>
    </w:p>
    <w:p w14:paraId="5F5E2364" w14:textId="77777777" w:rsidR="0029093D" w:rsidRDefault="0029093D" w:rsidP="0029093D">
      <w:pPr>
        <w:pStyle w:val="Numbered111a"/>
      </w:pPr>
      <w:r>
        <w:t>the additional audit and monitoring the Supplier will undertake of the Supplier Information Management System; and</w:t>
      </w:r>
    </w:p>
    <w:p w14:paraId="3980AEA9" w14:textId="77777777" w:rsidR="0029093D" w:rsidRDefault="0029093D" w:rsidP="0029093D">
      <w:pPr>
        <w:pStyle w:val="Numbered111a"/>
      </w:pPr>
      <w:r>
        <w:t>the retention periods for audit records and event logs.</w:t>
      </w:r>
    </w:p>
    <w:p w14:paraId="18B9627D" w14:textId="77777777" w:rsidR="0029093D" w:rsidRDefault="0029093D" w:rsidP="0029093D">
      <w:pPr>
        <w:pStyle w:val="Numbered1"/>
      </w:pPr>
      <w:bookmarkStart w:id="393" w:name="_heading=h.2dlolyb" w:colFirst="0" w:colLast="0"/>
      <w:bookmarkEnd w:id="393"/>
      <w:r>
        <w:t>Authority-led Assurance of Supplier Information Management System</w:t>
      </w:r>
    </w:p>
    <w:p w14:paraId="1B0407C4" w14:textId="1A02E4A2" w:rsidR="0029093D" w:rsidRDefault="0029093D" w:rsidP="0029093D">
      <w:pPr>
        <w:pStyle w:val="Numbered11"/>
      </w:pPr>
      <w:r>
        <w:t xml:space="preserve">The Authority will undertake Authority-led Assurance of the Supplier Information Management System in accordance with this </w:t>
      </w:r>
      <w:r w:rsidR="00D006F4">
        <w:t>Paragraph</w:t>
      </w:r>
      <w:r>
        <w:t> 14.</w:t>
      </w:r>
    </w:p>
    <w:p w14:paraId="04AAA015" w14:textId="77777777" w:rsidR="0029093D" w:rsidRDefault="0029093D" w:rsidP="0029093D">
      <w:pPr>
        <w:pStyle w:val="Numbered11"/>
      </w:pPr>
      <w:r>
        <w:t>The Supplier acknowledges that the purpose of Authority-led Assurance is to ensure that:</w:t>
      </w:r>
    </w:p>
    <w:p w14:paraId="20CBE9BF" w14:textId="77777777" w:rsidR="0029093D" w:rsidRDefault="0029093D" w:rsidP="0029093D">
      <w:pPr>
        <w:pStyle w:val="Numbered111"/>
      </w:pPr>
      <w:r>
        <w:t xml:space="preserve">the Security Management Plan accurately represents the Supplier Information Management System; </w:t>
      </w:r>
    </w:p>
    <w:p w14:paraId="49D30CFE" w14:textId="77777777" w:rsidR="0029093D" w:rsidRDefault="0029093D" w:rsidP="0029093D">
      <w:pPr>
        <w:pStyle w:val="Numbered111"/>
      </w:pPr>
      <w:r>
        <w:t>the Authority has sufficient confidence that the Supplier Information Management System will meet the requirements of this Schedule 5 (</w:t>
      </w:r>
      <w:r>
        <w:rPr>
          <w:i/>
        </w:rPr>
        <w:t>Security Management</w:t>
      </w:r>
      <w:r>
        <w:t>) and the Statement of Risk Appetite (where one has been provided); and</w:t>
      </w:r>
    </w:p>
    <w:p w14:paraId="40A6467D" w14:textId="77777777" w:rsidR="0029093D" w:rsidRDefault="0029093D" w:rsidP="0029093D">
      <w:pPr>
        <w:pStyle w:val="Numbered111"/>
      </w:pPr>
      <w:r>
        <w:t>the residual risks of the Supplier Information Management System are no greater than those provided for in the Statement of Risk Appetite (where one has been provided).</w:t>
      </w:r>
    </w:p>
    <w:p w14:paraId="45EAF78F" w14:textId="77777777" w:rsidR="0029093D" w:rsidRDefault="0029093D" w:rsidP="0029093D">
      <w:pPr>
        <w:pStyle w:val="Numbered11"/>
      </w:pPr>
      <w:r>
        <w:t>The Authority, or representatives appointed by the Authority, will perform Authority-led Assurance.</w:t>
      </w:r>
    </w:p>
    <w:p w14:paraId="62281418" w14:textId="77777777" w:rsidR="0029093D" w:rsidRDefault="0029093D" w:rsidP="0029093D">
      <w:pPr>
        <w:pStyle w:val="Numbered11"/>
      </w:pPr>
      <w:r>
        <w:t>In addition to any obligations imposed by Schedule 13 (</w:t>
      </w:r>
      <w:r>
        <w:rPr>
          <w:i/>
        </w:rPr>
        <w:t>Implementation Plan</w:t>
      </w:r>
      <w:r>
        <w:t>) or Schedule 14 (</w:t>
      </w:r>
      <w:r>
        <w:rPr>
          <w:i/>
        </w:rPr>
        <w:t>Testing Procedures</w:t>
      </w:r>
      <w:r>
        <w:t>) the Supplier must ensure that its Detailed Implementation Plan includes:</w:t>
      </w:r>
    </w:p>
    <w:p w14:paraId="3697D32E" w14:textId="77777777" w:rsidR="0029093D" w:rsidRDefault="0029093D" w:rsidP="0029093D">
      <w:pPr>
        <w:pStyle w:val="Numbered111"/>
      </w:pPr>
      <w:r>
        <w:t>sufficient information concerning the steps it will take to ensure compliance with the requirements of this Schedule 5 (</w:t>
      </w:r>
      <w:r>
        <w:rPr>
          <w:i/>
        </w:rPr>
        <w:t>Security Management</w:t>
      </w:r>
      <w:r>
        <w:t>), including any requirements imposed on Sub-contractors;</w:t>
      </w:r>
    </w:p>
    <w:p w14:paraId="798D6C37" w14:textId="77777777" w:rsidR="0029093D" w:rsidRDefault="0029093D" w:rsidP="0029093D">
      <w:pPr>
        <w:pStyle w:val="Numbered111"/>
      </w:pPr>
      <w:r>
        <w:t>provision for sufficient time for the Authority to undertake any Authority-led Assurance activities;</w:t>
      </w:r>
    </w:p>
    <w:p w14:paraId="417D7862" w14:textId="77777777" w:rsidR="0029093D" w:rsidRDefault="0029093D" w:rsidP="0029093D">
      <w:pPr>
        <w:pStyle w:val="Numbered111"/>
      </w:pPr>
      <w:r>
        <w:t>provision for sufficient time for the Supplier to address any issued raised by the Authority should it issue a Risk Management Rejection Notice.</w:t>
      </w:r>
    </w:p>
    <w:p w14:paraId="058031EE" w14:textId="77777777" w:rsidR="0029093D" w:rsidRDefault="0029093D" w:rsidP="0029093D">
      <w:pPr>
        <w:pStyle w:val="Numbered11"/>
      </w:pPr>
      <w:r>
        <w:t>In particular, the Detailed Implementation Plan must include:</w:t>
      </w:r>
    </w:p>
    <w:p w14:paraId="22082146" w14:textId="77777777" w:rsidR="0029093D" w:rsidRDefault="0029093D" w:rsidP="0029093D">
      <w:pPr>
        <w:pStyle w:val="Numbered111"/>
      </w:pPr>
      <w:r>
        <w:t>the dates on which each subsequent iteration of the Security Management Plan will be delivered to the Authority for review and staged approval; and</w:t>
      </w:r>
    </w:p>
    <w:p w14:paraId="2CF13B8B" w14:textId="77777777" w:rsidR="0029093D" w:rsidRDefault="0029093D" w:rsidP="0029093D">
      <w:pPr>
        <w:pStyle w:val="Numbered111"/>
      </w:pPr>
      <w:r>
        <w:lastRenderedPageBreak/>
        <w:t>the date by which the Supplier is required to have received a Residual Risk Statement from the Authority together with details of each:</w:t>
      </w:r>
    </w:p>
    <w:p w14:paraId="3D86176B" w14:textId="77777777" w:rsidR="0029093D" w:rsidRDefault="0029093D" w:rsidP="0029093D">
      <w:pPr>
        <w:pStyle w:val="Numbered111a"/>
      </w:pPr>
      <w:r>
        <w:t>tasks the Supplier must complete, including any required Security Tests;</w:t>
      </w:r>
    </w:p>
    <w:p w14:paraId="5C3D2821" w14:textId="77777777" w:rsidR="0029093D" w:rsidRDefault="0029093D" w:rsidP="0029093D">
      <w:pPr>
        <w:pStyle w:val="Numbered111a"/>
      </w:pPr>
      <w:r>
        <w:t xml:space="preserve">Milestones which must be Achieved; and </w:t>
      </w:r>
    </w:p>
    <w:p w14:paraId="31396609" w14:textId="77777777" w:rsidR="0029093D" w:rsidRDefault="0029093D" w:rsidP="0029093D">
      <w:pPr>
        <w:pStyle w:val="Numbered111a"/>
      </w:pPr>
      <w:r>
        <w:t>Authority Responsibilities which must be completed</w:t>
      </w:r>
    </w:p>
    <w:p w14:paraId="020C3E44" w14:textId="4F64A4DF" w:rsidR="0029093D" w:rsidRPr="00D206E0" w:rsidRDefault="0029093D" w:rsidP="00D206E0">
      <w:pPr>
        <w:pStyle w:val="Normal1"/>
        <w:ind w:left="720"/>
        <w:rPr>
          <w:rFonts w:asciiTheme="minorHAnsi" w:hAnsiTheme="minorHAnsi" w:cstheme="minorHAnsi"/>
        </w:rPr>
      </w:pPr>
      <w:r w:rsidRPr="00D206E0">
        <w:rPr>
          <w:rFonts w:asciiTheme="minorHAnsi" w:hAnsiTheme="minorHAnsi" w:cstheme="minorHAnsi"/>
        </w:rPr>
        <w:t xml:space="preserve">for the Supplier to receive a Risk Management Approval Statement pursuant to </w:t>
      </w:r>
      <w:r w:rsidR="00D006F4">
        <w:rPr>
          <w:rFonts w:asciiTheme="minorHAnsi" w:hAnsiTheme="minorHAnsi" w:cstheme="minorHAnsi"/>
        </w:rPr>
        <w:t>Paragraph</w:t>
      </w:r>
      <w:r w:rsidRPr="00D206E0">
        <w:rPr>
          <w:rFonts w:asciiTheme="minorHAnsi" w:hAnsiTheme="minorHAnsi" w:cstheme="minorHAnsi"/>
        </w:rPr>
        <w:t> 14.7</w:t>
      </w:r>
      <w:r w:rsidR="00D206E0">
        <w:rPr>
          <w:rFonts w:asciiTheme="minorHAnsi" w:hAnsiTheme="minorHAnsi" w:cstheme="minorHAnsi"/>
        </w:rPr>
        <w:t>.1</w:t>
      </w:r>
      <w:r w:rsidRPr="00D206E0">
        <w:rPr>
          <w:rFonts w:asciiTheme="minorHAnsi" w:hAnsiTheme="minorHAnsi" w:cstheme="minorHAnsi"/>
        </w:rPr>
        <w:t xml:space="preserve">; </w:t>
      </w:r>
    </w:p>
    <w:p w14:paraId="2ABD65C2" w14:textId="77777777" w:rsidR="0029093D" w:rsidRDefault="0029093D" w:rsidP="0029093D">
      <w:pPr>
        <w:pStyle w:val="Numbered11"/>
      </w:pPr>
      <w:r>
        <w:t>To facilitate Authority-led Assurance of the Supplier Information Management System, the Supplier shall provide the Authority and its authorised representatives with:</w:t>
      </w:r>
    </w:p>
    <w:p w14:paraId="3EF5A004" w14:textId="77777777" w:rsidR="0029093D" w:rsidRDefault="0029093D" w:rsidP="0029093D">
      <w:pPr>
        <w:pStyle w:val="Numbered111"/>
      </w:pPr>
      <w:r>
        <w:t>such access as the Authority or its authorised representative requires to the Supplier Information Management System; and</w:t>
      </w:r>
    </w:p>
    <w:p w14:paraId="70089071" w14:textId="77777777" w:rsidR="0029093D" w:rsidRDefault="0029093D" w:rsidP="0029093D">
      <w:pPr>
        <w:pStyle w:val="Numbered111"/>
      </w:pPr>
      <w:r>
        <w:t>such other information and/or documentation that the Authority or its authorised representatives may require.</w:t>
      </w:r>
    </w:p>
    <w:p w14:paraId="139A3AD6" w14:textId="77777777" w:rsidR="0029093D" w:rsidRDefault="0029093D" w:rsidP="0029093D">
      <w:pPr>
        <w:pStyle w:val="Numbered11"/>
      </w:pPr>
      <w:bookmarkStart w:id="394" w:name="_heading=h.sqyw64" w:colFirst="0" w:colLast="0"/>
      <w:bookmarkEnd w:id="394"/>
      <w:r>
        <w:t>The Authority shall, by the relevant date set out in the Detailed Implementation Plan, review the Security Management Plan and undertake such further investigations as it considers necessary or desirable, and issue to the Supplier:</w:t>
      </w:r>
    </w:p>
    <w:p w14:paraId="1ECFD9EB" w14:textId="77777777" w:rsidR="0029093D" w:rsidRDefault="0029093D" w:rsidP="0029093D">
      <w:pPr>
        <w:pStyle w:val="Numbered111"/>
      </w:pPr>
      <w:bookmarkStart w:id="395" w:name="_heading=h.3cqmetx" w:colFirst="0" w:colLast="0"/>
      <w:bookmarkEnd w:id="395"/>
      <w:r>
        <w:t>where satisfied that the:</w:t>
      </w:r>
    </w:p>
    <w:p w14:paraId="26E7CC5D" w14:textId="77777777" w:rsidR="0029093D" w:rsidRDefault="0029093D" w:rsidP="0029093D">
      <w:pPr>
        <w:pStyle w:val="Numbered111a"/>
      </w:pPr>
      <w:r>
        <w:t xml:space="preserve">identified risks to the Supplier Information Management System are adequately and appropriately addressed; and </w:t>
      </w:r>
    </w:p>
    <w:p w14:paraId="2597C3E9" w14:textId="77777777" w:rsidR="0029093D" w:rsidRDefault="0029093D" w:rsidP="0029093D">
      <w:pPr>
        <w:pStyle w:val="Numbered111a"/>
      </w:pPr>
      <w:r>
        <w:t>that the residual risks are:</w:t>
      </w:r>
    </w:p>
    <w:p w14:paraId="4A4376FE" w14:textId="77777777" w:rsidR="0029093D" w:rsidRPr="009C01C2" w:rsidRDefault="0029093D" w:rsidP="0029093D">
      <w:pPr>
        <w:pStyle w:val="Numbered111ai"/>
        <w:tabs>
          <w:tab w:val="clear" w:pos="3240"/>
          <w:tab w:val="num" w:pos="360"/>
        </w:tabs>
        <w:rPr>
          <w:color w:val="000000" w:themeColor="text1"/>
        </w:rPr>
      </w:pPr>
      <w:r w:rsidRPr="009C01C2">
        <w:rPr>
          <w:color w:val="000000" w:themeColor="text1"/>
        </w:rPr>
        <w:t>either:</w:t>
      </w:r>
    </w:p>
    <w:p w14:paraId="1938D4B4" w14:textId="77777777" w:rsidR="0029093D" w:rsidRPr="009C01C2" w:rsidRDefault="0029093D" w:rsidP="00E1349E">
      <w:pPr>
        <w:pStyle w:val="Heading6"/>
        <w:keepNext w:val="0"/>
        <w:keepLines w:val="0"/>
        <w:numPr>
          <w:ilvl w:val="5"/>
          <w:numId w:val="198"/>
        </w:numPr>
        <w:spacing w:before="100" w:after="200"/>
        <w:ind w:left="3960"/>
        <w:rPr>
          <w:i w:val="0"/>
          <w:color w:val="000000" w:themeColor="text1"/>
        </w:rPr>
      </w:pPr>
      <w:r w:rsidRPr="009C01C2">
        <w:rPr>
          <w:i w:val="0"/>
          <w:color w:val="000000" w:themeColor="text1"/>
        </w:rPr>
        <w:t>where the Authority has provided a Statement of Information Risk Appetite, reduced to the level anticipated by that statement; or</w:t>
      </w:r>
    </w:p>
    <w:p w14:paraId="3444BC7B" w14:textId="77777777" w:rsidR="0029093D" w:rsidRPr="009C01C2" w:rsidRDefault="0029093D" w:rsidP="00E1349E">
      <w:pPr>
        <w:pStyle w:val="Heading6"/>
        <w:keepNext w:val="0"/>
        <w:keepLines w:val="0"/>
        <w:numPr>
          <w:ilvl w:val="5"/>
          <w:numId w:val="198"/>
        </w:numPr>
        <w:spacing w:before="100" w:after="200"/>
        <w:ind w:left="3960"/>
        <w:rPr>
          <w:i w:val="0"/>
          <w:color w:val="000000" w:themeColor="text1"/>
        </w:rPr>
      </w:pPr>
      <w:r w:rsidRPr="009C01C2">
        <w:rPr>
          <w:i w:val="0"/>
          <w:color w:val="000000" w:themeColor="text1"/>
        </w:rPr>
        <w:t>where the Authority has not provided a Statement of Information Risk Appetite, reduced to an acceptable level;</w:t>
      </w:r>
    </w:p>
    <w:p w14:paraId="4BFF9246" w14:textId="77777777" w:rsidR="0029093D" w:rsidRPr="009C01C2" w:rsidRDefault="0029093D" w:rsidP="0029093D">
      <w:pPr>
        <w:pStyle w:val="Numbered111ai"/>
        <w:tabs>
          <w:tab w:val="clear" w:pos="3240"/>
          <w:tab w:val="num" w:pos="360"/>
        </w:tabs>
        <w:rPr>
          <w:color w:val="000000" w:themeColor="text1"/>
        </w:rPr>
      </w:pPr>
      <w:r w:rsidRPr="009C01C2">
        <w:rPr>
          <w:color w:val="000000" w:themeColor="text1"/>
        </w:rPr>
        <w:t>understood and accepted by the Authority; and</w:t>
      </w:r>
    </w:p>
    <w:p w14:paraId="269B6E3C" w14:textId="77777777" w:rsidR="0029093D" w:rsidRDefault="0029093D" w:rsidP="0029093D">
      <w:pPr>
        <w:pStyle w:val="Numbered111ai"/>
        <w:tabs>
          <w:tab w:val="clear" w:pos="3240"/>
          <w:tab w:val="num" w:pos="360"/>
        </w:tabs>
      </w:pPr>
      <w:r>
        <w:t>recorded in the Residual Risk Statement;</w:t>
      </w:r>
    </w:p>
    <w:p w14:paraId="33E0AF5E" w14:textId="77777777" w:rsidR="0029093D" w:rsidRDefault="0029093D" w:rsidP="0029093D">
      <w:pPr>
        <w:pStyle w:val="Heading5"/>
        <w:ind w:left="3240"/>
      </w:pPr>
      <w:r>
        <w:t>a Risk Management Approval Statement; or</w:t>
      </w:r>
    </w:p>
    <w:p w14:paraId="4DB46C22" w14:textId="77777777" w:rsidR="0029093D" w:rsidRDefault="0029093D" w:rsidP="0029093D">
      <w:pPr>
        <w:pStyle w:val="Numbered111"/>
      </w:pPr>
      <w:r>
        <w:t>where the Authority considers that:</w:t>
      </w:r>
    </w:p>
    <w:p w14:paraId="1DA53D07" w14:textId="77777777" w:rsidR="0029093D" w:rsidRDefault="0029093D" w:rsidP="0029093D">
      <w:pPr>
        <w:pStyle w:val="Numbered111a"/>
      </w:pPr>
      <w:r>
        <w:lastRenderedPageBreak/>
        <w:t>the identified risks to the Supplier Information Management System have not been adequately or appropriately addressed; or</w:t>
      </w:r>
    </w:p>
    <w:p w14:paraId="672305DD" w14:textId="77777777" w:rsidR="0029093D" w:rsidRDefault="0029093D" w:rsidP="0029093D">
      <w:pPr>
        <w:pStyle w:val="Numbered111a"/>
      </w:pPr>
      <w:r>
        <w:t>the residual risks to the Supplier Information Management System have not been reduced:</w:t>
      </w:r>
    </w:p>
    <w:p w14:paraId="45A4E4B3" w14:textId="77777777" w:rsidR="0029093D" w:rsidRDefault="0029093D" w:rsidP="0029093D">
      <w:pPr>
        <w:pStyle w:val="Numbered111ai"/>
        <w:tabs>
          <w:tab w:val="clear" w:pos="3240"/>
          <w:tab w:val="num" w:pos="360"/>
        </w:tabs>
      </w:pPr>
      <w:r>
        <w:t>where the Authority has Provided a Statement of Information Risk Appetite, to the level anticipated by that statement; or</w:t>
      </w:r>
    </w:p>
    <w:p w14:paraId="61E672B4" w14:textId="77777777" w:rsidR="0029093D" w:rsidRDefault="0029093D" w:rsidP="0029093D">
      <w:pPr>
        <w:pStyle w:val="Numbered111ai"/>
        <w:tabs>
          <w:tab w:val="clear" w:pos="3240"/>
          <w:tab w:val="num" w:pos="360"/>
        </w:tabs>
      </w:pPr>
      <w:r>
        <w:t>where the Authority has not Provided a Statement of Information Risk Appetite, to an acceptable level,</w:t>
      </w:r>
    </w:p>
    <w:p w14:paraId="60CB4EC3" w14:textId="77777777" w:rsidR="0029093D" w:rsidRDefault="0029093D" w:rsidP="009C01C2">
      <w:pPr>
        <w:pStyle w:val="Heading4"/>
        <w:ind w:left="2160"/>
        <w:jc w:val="left"/>
      </w:pPr>
      <w:r>
        <w:t>a Risk Management Rejection Notice, with the reasons for its decision.</w:t>
      </w:r>
    </w:p>
    <w:p w14:paraId="729973D7" w14:textId="77777777" w:rsidR="0029093D" w:rsidRDefault="0029093D" w:rsidP="0029093D">
      <w:pPr>
        <w:pStyle w:val="Numbered11"/>
      </w:pPr>
      <w:r>
        <w:t xml:space="preserve">When issued, the Risk Management Approval Statement forms part of the Security Management Plan. </w:t>
      </w:r>
    </w:p>
    <w:p w14:paraId="03FDF99E" w14:textId="77777777" w:rsidR="0029093D" w:rsidRDefault="0029093D" w:rsidP="0029093D">
      <w:pPr>
        <w:pStyle w:val="Numbered11"/>
      </w:pPr>
      <w:bookmarkStart w:id="396" w:name="_heading=h.1rvwp1q" w:colFirst="0" w:colLast="0"/>
      <w:bookmarkEnd w:id="396"/>
      <w:r>
        <w:t>If the Authority issues a Risk Management Rejection Notice, the Supplier shall, within 20 Working Days of the date of the Risk Management Rejection Notice:</w:t>
      </w:r>
    </w:p>
    <w:p w14:paraId="415DD546" w14:textId="77777777" w:rsidR="0029093D" w:rsidRDefault="0029093D" w:rsidP="0029093D">
      <w:pPr>
        <w:pStyle w:val="Numbered111"/>
      </w:pPr>
      <w:r>
        <w:t>address all of the issues raised by the Authority;</w:t>
      </w:r>
    </w:p>
    <w:p w14:paraId="47CBC515" w14:textId="77777777" w:rsidR="0029093D" w:rsidRDefault="0029093D" w:rsidP="0029093D">
      <w:pPr>
        <w:pStyle w:val="Numbered111"/>
      </w:pPr>
      <w:r>
        <w:t xml:space="preserve">update the Security Management Plan, as appropriate; and </w:t>
      </w:r>
    </w:p>
    <w:p w14:paraId="6F548A9F" w14:textId="77777777" w:rsidR="0029093D" w:rsidRDefault="0029093D" w:rsidP="0029093D">
      <w:pPr>
        <w:pStyle w:val="Numbered111"/>
      </w:pPr>
      <w:r>
        <w:t>notify the Authority that the Core Information Management System is ready for an Assurance Decision.</w:t>
      </w:r>
    </w:p>
    <w:p w14:paraId="1956E75B" w14:textId="77777777" w:rsidR="0029093D" w:rsidRDefault="0029093D" w:rsidP="0029093D">
      <w:pPr>
        <w:pStyle w:val="Numbered11"/>
      </w:pPr>
      <w:bookmarkStart w:id="397" w:name="_heading=h.4bvk7pj" w:colFirst="0" w:colLast="0"/>
      <w:bookmarkEnd w:id="397"/>
      <w:r>
        <w:t>If the Authority issues a two or more Risk Management Rejection Notices, the failure to receive a Residual Risk Statement is a material Default by the Supplier.</w:t>
      </w:r>
    </w:p>
    <w:p w14:paraId="35F64F9F" w14:textId="412E2600" w:rsidR="0029093D" w:rsidRDefault="0029093D" w:rsidP="0029093D">
      <w:pPr>
        <w:pStyle w:val="Numbered11"/>
      </w:pPr>
      <w:bookmarkStart w:id="398" w:name="_heading=h.2r0uhxc" w:colFirst="0" w:colLast="0"/>
      <w:bookmarkEnd w:id="398"/>
      <w:r>
        <w:t xml:space="preserve">Where </w:t>
      </w:r>
      <w:r w:rsidR="00D006F4">
        <w:t>Paragraph</w:t>
      </w:r>
      <w:r>
        <w:t> 14.10 applies, the Authority may, in addition to any other remedies that it has under this Contract, require the Supplier appoint an Independent Security Adviser.</w:t>
      </w:r>
    </w:p>
    <w:p w14:paraId="45595E21" w14:textId="68FFFBAF" w:rsidR="0029093D" w:rsidRDefault="0029093D" w:rsidP="0029093D">
      <w:pPr>
        <w:pStyle w:val="Numbered11"/>
      </w:pPr>
      <w:r>
        <w:t xml:space="preserve">Subject to </w:t>
      </w:r>
      <w:r w:rsidR="00D006F4">
        <w:t>Paragraph</w:t>
      </w:r>
      <w:r>
        <w:t xml:space="preserve"> 14.10, the process set out in </w:t>
      </w:r>
      <w:r w:rsidR="00D006F4">
        <w:t>Paragraph</w:t>
      </w:r>
      <w:r>
        <w:t>s 14.7 to 14.9 shall be repeated until such time as the Authority issues a Risk Management Approval Statement to the Supplier or terminates this Contract.</w:t>
      </w:r>
    </w:p>
    <w:p w14:paraId="107CE9E3" w14:textId="77777777" w:rsidR="0029093D" w:rsidRDefault="0029093D" w:rsidP="0029093D">
      <w:pPr>
        <w:pStyle w:val="Numbered11"/>
      </w:pPr>
      <w:r w:rsidRPr="00F114B2">
        <w:t>The</w:t>
      </w:r>
      <w:r>
        <w:t xml:space="preserve"> Supplier shall not use the Supplier Information Management System to Process Authority Data before receiving a Risk Management Approval Statement.</w:t>
      </w:r>
    </w:p>
    <w:p w14:paraId="23257166" w14:textId="77777777" w:rsidR="0029093D" w:rsidRDefault="0029093D" w:rsidP="0029093D">
      <w:pPr>
        <w:pStyle w:val="Numbered11"/>
      </w:pPr>
      <w:r>
        <w:t>The Supplier is solely responsible for the costs of:</w:t>
      </w:r>
    </w:p>
    <w:p w14:paraId="6E7C17EA" w14:textId="77777777" w:rsidR="0029093D" w:rsidRDefault="0029093D" w:rsidP="0029093D">
      <w:pPr>
        <w:pStyle w:val="Numbered111"/>
      </w:pPr>
      <w:r>
        <w:t>developing and updating the Security Management Plan; and</w:t>
      </w:r>
    </w:p>
    <w:p w14:paraId="29AE5F40" w14:textId="77777777" w:rsidR="0029093D" w:rsidRDefault="0029093D" w:rsidP="0029093D">
      <w:pPr>
        <w:pStyle w:val="Numbered111"/>
      </w:pPr>
      <w:r>
        <w:t>implementing changes to the Supplier Information Management System required by the in any Risk Management Rejection Notice.</w:t>
      </w:r>
    </w:p>
    <w:p w14:paraId="2188DBD0" w14:textId="77777777" w:rsidR="0029093D" w:rsidRDefault="0029093D" w:rsidP="0029093D">
      <w:pPr>
        <w:pStyle w:val="Numbered1"/>
      </w:pPr>
      <w:bookmarkStart w:id="399" w:name="_heading=h.1664s55" w:colFirst="0" w:colLast="0"/>
      <w:bookmarkEnd w:id="399"/>
      <w:r>
        <w:lastRenderedPageBreak/>
        <w:t>Monitoring and updating Security Management Plan</w:t>
      </w:r>
    </w:p>
    <w:p w14:paraId="1A6591EE" w14:textId="77777777" w:rsidR="0029093D" w:rsidRDefault="0029093D" w:rsidP="0029093D">
      <w:pPr>
        <w:keepNext/>
        <w:pBdr>
          <w:top w:val="nil"/>
          <w:left w:val="nil"/>
          <w:bottom w:val="nil"/>
          <w:right w:val="nil"/>
          <w:between w:val="nil"/>
        </w:pBdr>
        <w:ind w:left="720"/>
        <w:rPr>
          <w:b/>
          <w:color w:val="000000"/>
        </w:rPr>
      </w:pPr>
      <w:r>
        <w:rPr>
          <w:b/>
          <w:color w:val="000000"/>
        </w:rPr>
        <w:t>Updating Security Management Plan</w:t>
      </w:r>
    </w:p>
    <w:p w14:paraId="459C295C" w14:textId="1573F296" w:rsidR="0029093D" w:rsidRDefault="0029093D" w:rsidP="0029093D">
      <w:pPr>
        <w:pStyle w:val="Numbered11"/>
      </w:pPr>
      <w:r>
        <w:t xml:space="preserve">The Supplier shall regularly review and update the Security Management Plan, and provide such to the Authority, at least once each year and as required by this </w:t>
      </w:r>
      <w:r w:rsidR="00D006F4">
        <w:t>Paragraph</w:t>
      </w:r>
      <w:r>
        <w:t>.</w:t>
      </w:r>
    </w:p>
    <w:p w14:paraId="12EB765B" w14:textId="77777777" w:rsidR="0029093D" w:rsidRDefault="0029093D" w:rsidP="0029093D">
      <w:pPr>
        <w:keepNext/>
        <w:pBdr>
          <w:top w:val="nil"/>
          <w:left w:val="nil"/>
          <w:bottom w:val="nil"/>
          <w:right w:val="nil"/>
          <w:between w:val="nil"/>
        </w:pBdr>
        <w:ind w:left="720"/>
        <w:rPr>
          <w:b/>
          <w:color w:val="000000"/>
        </w:rPr>
      </w:pPr>
      <w:r>
        <w:rPr>
          <w:b/>
          <w:color w:val="000000"/>
        </w:rPr>
        <w:t>Monitoring</w:t>
      </w:r>
    </w:p>
    <w:p w14:paraId="6E2842EB" w14:textId="77777777" w:rsidR="0029093D" w:rsidRDefault="0029093D" w:rsidP="0029093D">
      <w:pPr>
        <w:pStyle w:val="Numbered11"/>
      </w:pPr>
      <w:bookmarkStart w:id="400" w:name="_heading=h.3q5sasy" w:colFirst="0" w:colLast="0"/>
      <w:bookmarkEnd w:id="400"/>
      <w:r>
        <w:t>The Supplier, where it plans to undertake, or after becoming aware of, any of the following:</w:t>
      </w:r>
    </w:p>
    <w:p w14:paraId="199C249D" w14:textId="77777777" w:rsidR="0029093D" w:rsidRDefault="0029093D" w:rsidP="0029093D">
      <w:pPr>
        <w:pStyle w:val="Numbered111"/>
      </w:pPr>
      <w:bookmarkStart w:id="401" w:name="_heading=h.25b2l0r" w:colFirst="0" w:colLast="0"/>
      <w:bookmarkEnd w:id="401"/>
      <w:r>
        <w:t>a significant change to the components or architecture of the Supplier Information Management System;</w:t>
      </w:r>
    </w:p>
    <w:p w14:paraId="16355C9A" w14:textId="77777777" w:rsidR="0029093D" w:rsidRDefault="0029093D" w:rsidP="0029093D">
      <w:pPr>
        <w:pStyle w:val="Numbered111"/>
      </w:pPr>
      <w:bookmarkStart w:id="402" w:name="_heading=h.kgcv8k" w:colFirst="0" w:colLast="0"/>
      <w:bookmarkEnd w:id="402"/>
      <w:r>
        <w:t>a significant change in the boundary between the Supplier Information Management System and the Wider Information Management System</w:t>
      </w:r>
    </w:p>
    <w:p w14:paraId="182E30F4" w14:textId="77777777" w:rsidR="0029093D" w:rsidRDefault="0029093D" w:rsidP="0029093D">
      <w:pPr>
        <w:pStyle w:val="Numbered111"/>
      </w:pPr>
      <w:r>
        <w:t>a significant change in the operation of the Supplier Information Management System;</w:t>
      </w:r>
    </w:p>
    <w:p w14:paraId="3F18AC2D" w14:textId="77777777" w:rsidR="0029093D" w:rsidRDefault="0029093D" w:rsidP="0029093D">
      <w:pPr>
        <w:pStyle w:val="Numbered111"/>
      </w:pPr>
      <w:r>
        <w:t>the replacement of an existing, or the appointment of a new:</w:t>
      </w:r>
    </w:p>
    <w:p w14:paraId="30920248" w14:textId="77777777" w:rsidR="0029093D" w:rsidRDefault="0029093D" w:rsidP="0029093D">
      <w:pPr>
        <w:pStyle w:val="Numbered111a"/>
      </w:pPr>
      <w:r>
        <w:t>SIMS Sub-contractor; or</w:t>
      </w:r>
    </w:p>
    <w:p w14:paraId="6C6E4604" w14:textId="77777777" w:rsidR="0029093D" w:rsidRDefault="0029093D" w:rsidP="0029093D">
      <w:pPr>
        <w:pStyle w:val="Numbered111a"/>
      </w:pPr>
      <w:r>
        <w:t>Sub-contractor that Processes Authority Data;</w:t>
      </w:r>
    </w:p>
    <w:p w14:paraId="5D80FAB1" w14:textId="77777777" w:rsidR="0029093D" w:rsidRDefault="0029093D" w:rsidP="0029093D">
      <w:pPr>
        <w:pStyle w:val="Numbered111"/>
      </w:pPr>
      <w:r>
        <w:t>a significant change in the quantity of Personal Data held within the Service; and/or</w:t>
      </w:r>
    </w:p>
    <w:p w14:paraId="381E403A" w14:textId="77777777" w:rsidR="0029093D" w:rsidRDefault="0029093D" w:rsidP="0029093D">
      <w:pPr>
        <w:pStyle w:val="Numbered111"/>
      </w:pPr>
      <w:bookmarkStart w:id="403" w:name="_heading=h.34g0dwd" w:colFirst="0" w:colLast="0"/>
      <w:bookmarkEnd w:id="403"/>
      <w:r>
        <w:t>where the Supplier or a Sub-contractor has previously Processed Authority Data that is Personal Data, other than Special Category Personal Data, it proposes to start to Process Authority Data that is Special Category Personal Data under this Contract;</w:t>
      </w:r>
    </w:p>
    <w:p w14:paraId="7B92C86F" w14:textId="77777777" w:rsidR="0029093D" w:rsidRDefault="0029093D" w:rsidP="0029093D">
      <w:pPr>
        <w:pStyle w:val="Heading3"/>
        <w:ind w:left="720"/>
      </w:pPr>
      <w:r>
        <w:t>must:</w:t>
      </w:r>
    </w:p>
    <w:p w14:paraId="49204295" w14:textId="77777777" w:rsidR="0029093D" w:rsidRDefault="0029093D" w:rsidP="0029093D">
      <w:pPr>
        <w:pStyle w:val="Numbered111"/>
      </w:pPr>
      <w:r>
        <w:t xml:space="preserve">within two Working Days notify the Authority; and </w:t>
      </w:r>
    </w:p>
    <w:p w14:paraId="75A73C7F" w14:textId="77777777" w:rsidR="0029093D" w:rsidRDefault="0029093D" w:rsidP="0029093D">
      <w:pPr>
        <w:pStyle w:val="Numbered111"/>
      </w:pPr>
      <w:bookmarkStart w:id="404" w:name="_heading=h.1jlao46" w:colFirst="0" w:colLast="0"/>
      <w:bookmarkEnd w:id="404"/>
      <w:r>
        <w:t>within ten Working Days, or such other timescale as may be agreed with the Authority:</w:t>
      </w:r>
    </w:p>
    <w:p w14:paraId="2BC8C355" w14:textId="77777777" w:rsidR="0029093D" w:rsidRDefault="0029093D" w:rsidP="0029093D">
      <w:pPr>
        <w:pStyle w:val="Numbered111a"/>
      </w:pPr>
      <w:r>
        <w:t>update the Required Changes Register and any other affected parts of the Security Management Plan; and</w:t>
      </w:r>
    </w:p>
    <w:p w14:paraId="4FFA5CA2" w14:textId="77777777" w:rsidR="0029093D" w:rsidRDefault="0029093D" w:rsidP="0029093D">
      <w:pPr>
        <w:pStyle w:val="Numbered111a"/>
      </w:pPr>
      <w:r>
        <w:t>provide the Authority with a copy those documents for review and approval.</w:t>
      </w:r>
    </w:p>
    <w:p w14:paraId="52C09B00" w14:textId="77777777" w:rsidR="0029093D" w:rsidRDefault="0029093D" w:rsidP="0029093D">
      <w:pPr>
        <w:pStyle w:val="Numbered11"/>
      </w:pPr>
      <w:r>
        <w:t>Paragraph 15.2 applies in addition to, and not in substitution of, the Parties obligations to comply with the Change Control Procedure for any Contract Change or Operational Change.</w:t>
      </w:r>
    </w:p>
    <w:p w14:paraId="42073B46" w14:textId="0025FF2C" w:rsidR="0029093D" w:rsidRDefault="0029093D" w:rsidP="0029093D">
      <w:pPr>
        <w:pStyle w:val="Numbered11"/>
      </w:pPr>
      <w:r>
        <w:t xml:space="preserve">Any proposed change under </w:t>
      </w:r>
      <w:r w:rsidR="00D006F4">
        <w:t>Paragraph</w:t>
      </w:r>
      <w:r>
        <w:t> 15.2</w:t>
      </w:r>
      <w:r w:rsidR="009C01C2">
        <w:t>.1</w:t>
      </w:r>
      <w:r>
        <w:t>, 15.2</w:t>
      </w:r>
      <w:r w:rsidR="009C01C2">
        <w:t>.2</w:t>
      </w:r>
      <w:r>
        <w:t xml:space="preserve"> or 15.2</w:t>
      </w:r>
      <w:r w:rsidR="009C01C2">
        <w:t>.6</w:t>
      </w:r>
      <w:r>
        <w:t xml:space="preserve"> constitutes a </w:t>
      </w:r>
      <w:r>
        <w:lastRenderedPageBreak/>
        <w:t>Contract Change to which the Change Control Procedure applies.</w:t>
      </w:r>
    </w:p>
    <w:p w14:paraId="2A79B1F7" w14:textId="77777777" w:rsidR="0029093D" w:rsidRDefault="0029093D" w:rsidP="0029093D">
      <w:pPr>
        <w:pStyle w:val="Numbered1"/>
      </w:pPr>
      <w:bookmarkStart w:id="405" w:name="_heading=h.43ky6rz" w:colFirst="0" w:colLast="0"/>
      <w:bookmarkEnd w:id="405"/>
      <w:r>
        <w:t>Review and approval of updated Security Management Plan</w:t>
      </w:r>
    </w:p>
    <w:p w14:paraId="19AD19CA" w14:textId="2B894C55" w:rsidR="0029093D" w:rsidRDefault="0029093D" w:rsidP="0029093D">
      <w:pPr>
        <w:pStyle w:val="Numbered11"/>
      </w:pPr>
      <w:r>
        <w:t xml:space="preserve">Where the Supplier has updated the Security Management Plan under </w:t>
      </w:r>
      <w:r w:rsidR="00D006F4">
        <w:t>Paragraph</w:t>
      </w:r>
      <w:r>
        <w:t> 15, the Authority may review the updated plans, require the provision of such further information, and undertake such further investigations as the Authority considers necessary or desirable.</w:t>
      </w:r>
    </w:p>
    <w:p w14:paraId="20C311AF" w14:textId="77777777" w:rsidR="0029093D" w:rsidRDefault="0029093D" w:rsidP="0029093D">
      <w:pPr>
        <w:pStyle w:val="Numbered11"/>
      </w:pPr>
      <w:r>
        <w:t>At the conclusion of that review, it may issue to the Supplier:</w:t>
      </w:r>
    </w:p>
    <w:p w14:paraId="768A1BFF" w14:textId="77777777" w:rsidR="0029093D" w:rsidRDefault="0029093D" w:rsidP="0029093D">
      <w:pPr>
        <w:pStyle w:val="Numbered111"/>
      </w:pPr>
      <w:r>
        <w:t>where satisfied that the:</w:t>
      </w:r>
    </w:p>
    <w:p w14:paraId="2B60F309" w14:textId="77777777" w:rsidR="0029093D" w:rsidRDefault="0029093D" w:rsidP="0029093D">
      <w:pPr>
        <w:pStyle w:val="Numbered111a"/>
      </w:pPr>
      <w:r>
        <w:t xml:space="preserve">identified risks to the Supplier Information Management System are adequately and appropriately addressed; and </w:t>
      </w:r>
    </w:p>
    <w:p w14:paraId="41585B3D" w14:textId="77777777" w:rsidR="0029093D" w:rsidRDefault="0029093D" w:rsidP="0029093D">
      <w:pPr>
        <w:pStyle w:val="Numbered111a"/>
      </w:pPr>
      <w:r>
        <w:t>that the residual risks are:</w:t>
      </w:r>
    </w:p>
    <w:p w14:paraId="75B10B1F" w14:textId="77777777" w:rsidR="0029093D" w:rsidRDefault="0029093D" w:rsidP="0029093D">
      <w:pPr>
        <w:pStyle w:val="Numbered111ai"/>
        <w:tabs>
          <w:tab w:val="clear" w:pos="3240"/>
          <w:tab w:val="num" w:pos="360"/>
        </w:tabs>
      </w:pPr>
      <w:r>
        <w:t>either:</w:t>
      </w:r>
    </w:p>
    <w:p w14:paraId="2404ADE8" w14:textId="77777777" w:rsidR="0029093D" w:rsidRDefault="0029093D" w:rsidP="00E1349E">
      <w:pPr>
        <w:numPr>
          <w:ilvl w:val="5"/>
          <w:numId w:val="193"/>
        </w:numPr>
        <w:spacing w:before="100" w:after="200"/>
        <w:ind w:left="3960"/>
      </w:pPr>
      <w:r>
        <w:t>where the Authority has provided a Statement of Information Risk Appetite, reduced to the level anticipated by that statement; or</w:t>
      </w:r>
    </w:p>
    <w:p w14:paraId="62906AAE" w14:textId="77777777" w:rsidR="0029093D" w:rsidRDefault="0029093D" w:rsidP="00E1349E">
      <w:pPr>
        <w:numPr>
          <w:ilvl w:val="5"/>
          <w:numId w:val="193"/>
        </w:numPr>
        <w:spacing w:before="100" w:after="200"/>
        <w:ind w:left="3960"/>
      </w:pPr>
      <w:r>
        <w:t>where the Authority has not provided a Statement of Information Risk Appetite, reduced to an acceptable level;</w:t>
      </w:r>
    </w:p>
    <w:p w14:paraId="59598767" w14:textId="77777777" w:rsidR="0029093D" w:rsidRDefault="0029093D" w:rsidP="0029093D">
      <w:pPr>
        <w:pStyle w:val="Numbered111ai"/>
        <w:tabs>
          <w:tab w:val="clear" w:pos="3240"/>
          <w:tab w:val="num" w:pos="360"/>
        </w:tabs>
      </w:pPr>
      <w:r>
        <w:t>understood and accepted by the Authority; and</w:t>
      </w:r>
    </w:p>
    <w:p w14:paraId="5AAC4D5D" w14:textId="77777777" w:rsidR="0029093D" w:rsidRDefault="0029093D" w:rsidP="0029093D">
      <w:pPr>
        <w:pStyle w:val="Numbered111ai"/>
        <w:tabs>
          <w:tab w:val="clear" w:pos="3240"/>
          <w:tab w:val="num" w:pos="360"/>
        </w:tabs>
      </w:pPr>
      <w:r>
        <w:t>recorded in the Residual Risk Statement;</w:t>
      </w:r>
    </w:p>
    <w:p w14:paraId="1F20C58C" w14:textId="77777777" w:rsidR="0029093D" w:rsidRDefault="0029093D" w:rsidP="0029093D">
      <w:pPr>
        <w:ind w:left="1800"/>
      </w:pPr>
      <w:r>
        <w:t>a Risk Management Approval Statement; or</w:t>
      </w:r>
    </w:p>
    <w:p w14:paraId="474760C1" w14:textId="77777777" w:rsidR="0029093D" w:rsidRDefault="0029093D" w:rsidP="0029093D">
      <w:pPr>
        <w:pStyle w:val="Numbered111"/>
      </w:pPr>
      <w:r>
        <w:t>where the Authority considers that:</w:t>
      </w:r>
    </w:p>
    <w:p w14:paraId="18579E3D" w14:textId="77777777" w:rsidR="0029093D" w:rsidRDefault="0029093D" w:rsidP="0029093D">
      <w:pPr>
        <w:pStyle w:val="Numbered111a"/>
      </w:pPr>
      <w:r>
        <w:t>the identified risks to the Supplier Information Management System have not been adequately or appropriately addressed; or</w:t>
      </w:r>
    </w:p>
    <w:p w14:paraId="745E40A1" w14:textId="77777777" w:rsidR="0029093D" w:rsidRDefault="0029093D" w:rsidP="0029093D">
      <w:pPr>
        <w:pStyle w:val="Numbered111a"/>
      </w:pPr>
      <w:r>
        <w:t>the residual risks to the Supplier Information Management System have not been reduced:</w:t>
      </w:r>
    </w:p>
    <w:p w14:paraId="5EE262B6" w14:textId="77777777" w:rsidR="0029093D" w:rsidRDefault="0029093D" w:rsidP="0029093D">
      <w:pPr>
        <w:pStyle w:val="Numbered111ai"/>
        <w:tabs>
          <w:tab w:val="clear" w:pos="3240"/>
          <w:tab w:val="num" w:pos="360"/>
        </w:tabs>
      </w:pPr>
      <w:r>
        <w:t>where the Authority has Provided a Statement of Information Risk Appetite, to the level anticipated by that statement; or</w:t>
      </w:r>
    </w:p>
    <w:p w14:paraId="2DF1D4A2" w14:textId="77777777" w:rsidR="0029093D" w:rsidRDefault="0029093D" w:rsidP="0029093D">
      <w:pPr>
        <w:pStyle w:val="Numbered111ai"/>
        <w:tabs>
          <w:tab w:val="clear" w:pos="3240"/>
          <w:tab w:val="num" w:pos="360"/>
        </w:tabs>
      </w:pPr>
      <w:r>
        <w:t>where the Authority has not Provided a Statement of Information Risk Appetite, to an acceptable level,</w:t>
      </w:r>
    </w:p>
    <w:p w14:paraId="31770FA3" w14:textId="77777777" w:rsidR="0029093D" w:rsidRDefault="0029093D" w:rsidP="0029093D">
      <w:pPr>
        <w:ind w:left="2160"/>
      </w:pPr>
      <w:r>
        <w:t>a Risk Management Rejection Notice, with the reasons for its decision.</w:t>
      </w:r>
    </w:p>
    <w:p w14:paraId="3F9FB050" w14:textId="77777777" w:rsidR="0029093D" w:rsidRDefault="0029093D" w:rsidP="0029093D">
      <w:pPr>
        <w:pStyle w:val="Numbered1"/>
      </w:pPr>
      <w:bookmarkStart w:id="406" w:name="_heading=h.2iq8gzs" w:colFirst="0" w:colLast="0"/>
      <w:bookmarkEnd w:id="406"/>
      <w:r>
        <w:lastRenderedPageBreak/>
        <w:t>Changes to the Supplier Information Management System</w:t>
      </w:r>
    </w:p>
    <w:p w14:paraId="6C3BCD91" w14:textId="77777777" w:rsidR="0029093D" w:rsidRDefault="0029093D" w:rsidP="0029093D">
      <w:pPr>
        <w:pStyle w:val="Numbered11"/>
      </w:pPr>
      <w:bookmarkStart w:id="407" w:name="_heading=h.xvir7l" w:colFirst="0" w:colLast="0"/>
      <w:bookmarkEnd w:id="407"/>
      <w:r>
        <w:t>Notwithstanding anything in this Contract, the Supplier must obtain the approval of the Authority before making any of the following changes to the Supplier Information Management System:</w:t>
      </w:r>
    </w:p>
    <w:p w14:paraId="4D4A3214" w14:textId="77777777" w:rsidR="0029093D" w:rsidRDefault="0029093D" w:rsidP="0029093D">
      <w:pPr>
        <w:pStyle w:val="Numbered111"/>
      </w:pPr>
      <w:r>
        <w:t>a significant change in the systems or components making up the Supplier Information Management System;</w:t>
      </w:r>
    </w:p>
    <w:p w14:paraId="32701397" w14:textId="77777777" w:rsidR="0029093D" w:rsidRDefault="0029093D" w:rsidP="0029093D">
      <w:pPr>
        <w:pStyle w:val="Numbered111"/>
      </w:pPr>
      <w:r>
        <w:t>a significant change in the operation or management of the Supplier Information Management System; or</w:t>
      </w:r>
    </w:p>
    <w:p w14:paraId="10AC5808" w14:textId="77777777" w:rsidR="0029093D" w:rsidRDefault="0029093D" w:rsidP="0029093D">
      <w:pPr>
        <w:pStyle w:val="Numbered111"/>
      </w:pPr>
      <w:r>
        <w:t>the appointment of a new, or the replacement of an existing:</w:t>
      </w:r>
    </w:p>
    <w:p w14:paraId="3EB9EC05" w14:textId="77777777" w:rsidR="0029093D" w:rsidRDefault="0029093D" w:rsidP="0029093D">
      <w:pPr>
        <w:pStyle w:val="Numbered111a"/>
      </w:pPr>
      <w:r>
        <w:t>SIMS Sub-contractor; or</w:t>
      </w:r>
    </w:p>
    <w:p w14:paraId="7DA04FBC" w14:textId="77777777" w:rsidR="0029093D" w:rsidRDefault="0029093D" w:rsidP="0029093D">
      <w:pPr>
        <w:pStyle w:val="Numbered111a"/>
      </w:pPr>
      <w:r>
        <w:t>Sub-contractor that Processes Authority Data.</w:t>
      </w:r>
    </w:p>
    <w:p w14:paraId="0A1FC9EC" w14:textId="77777777" w:rsidR="0029093D" w:rsidRDefault="0029093D" w:rsidP="0029093D">
      <w:pPr>
        <w:pStyle w:val="Numbered11"/>
      </w:pPr>
      <w:r>
        <w:t>In seeking the Authority’s approval to a proposed changes to the Supplier Information Management System, the Supplier must:</w:t>
      </w:r>
    </w:p>
    <w:p w14:paraId="0092287F" w14:textId="77777777" w:rsidR="0029093D" w:rsidRDefault="0029093D" w:rsidP="0029093D">
      <w:pPr>
        <w:pStyle w:val="Numbered111"/>
      </w:pPr>
      <w:r>
        <w:t>update the Required Changes Register;</w:t>
      </w:r>
    </w:p>
    <w:p w14:paraId="022847BD" w14:textId="77777777" w:rsidR="0029093D" w:rsidRDefault="0029093D" w:rsidP="0029093D">
      <w:pPr>
        <w:pStyle w:val="Numbered111"/>
      </w:pPr>
      <w:r>
        <w:t>prepare a proposal for the Authority setting out:</w:t>
      </w:r>
    </w:p>
    <w:p w14:paraId="5E54C898" w14:textId="77777777" w:rsidR="0029093D" w:rsidRDefault="0029093D" w:rsidP="0029093D">
      <w:pPr>
        <w:pStyle w:val="Numbered111a"/>
      </w:pPr>
      <w:r>
        <w:t>details of the proposed changes to the Supplier Information Management System;</w:t>
      </w:r>
    </w:p>
    <w:p w14:paraId="75A057A0" w14:textId="77777777" w:rsidR="0029093D" w:rsidRDefault="0029093D" w:rsidP="0029093D">
      <w:pPr>
        <w:pStyle w:val="Numbered111a"/>
      </w:pPr>
      <w:r>
        <w:t>an assessment of the security implications of the proposed change;</w:t>
      </w:r>
    </w:p>
    <w:p w14:paraId="234E9601" w14:textId="77777777" w:rsidR="0029093D" w:rsidRDefault="0029093D" w:rsidP="0029093D">
      <w:pPr>
        <w:pStyle w:val="Numbered111a"/>
      </w:pPr>
      <w:r>
        <w:t>a risk assessment of the proposed change; and</w:t>
      </w:r>
    </w:p>
    <w:p w14:paraId="18DD6807" w14:textId="77777777" w:rsidR="0029093D" w:rsidRDefault="0029093D" w:rsidP="0029093D">
      <w:pPr>
        <w:pStyle w:val="Numbered111a"/>
      </w:pPr>
      <w:bookmarkStart w:id="408" w:name="_heading=h.3hv69ve" w:colFirst="0" w:colLast="0"/>
      <w:bookmarkEnd w:id="408"/>
      <w:r>
        <w:t>any proposed changes to the Security Management Plan; and</w:t>
      </w:r>
    </w:p>
    <w:p w14:paraId="00EC88D9" w14:textId="77777777" w:rsidR="0029093D" w:rsidRDefault="0029093D" w:rsidP="0029093D">
      <w:pPr>
        <w:pStyle w:val="Numbered111"/>
      </w:pPr>
      <w:r>
        <w:t>provide that paper to the Authority no later than 30 Working Days before the date on which it will consider the proposed changes.</w:t>
      </w:r>
    </w:p>
    <w:p w14:paraId="0D4A9812" w14:textId="77777777" w:rsidR="0029093D" w:rsidRDefault="0029093D" w:rsidP="0029093D">
      <w:pPr>
        <w:pStyle w:val="Numbered11"/>
      </w:pPr>
      <w:r>
        <w:t>The Authority:</w:t>
      </w:r>
    </w:p>
    <w:p w14:paraId="01B8969A" w14:textId="77777777" w:rsidR="0029093D" w:rsidRDefault="0029093D" w:rsidP="0029093D">
      <w:pPr>
        <w:pStyle w:val="Numbered111"/>
      </w:pPr>
      <w:r>
        <w:t>may request such further information as the Authority considers necessary or desirable;</w:t>
      </w:r>
    </w:p>
    <w:p w14:paraId="2176496F" w14:textId="77777777" w:rsidR="0029093D" w:rsidRDefault="0029093D" w:rsidP="0029093D">
      <w:pPr>
        <w:pStyle w:val="Numbered111"/>
      </w:pPr>
      <w:bookmarkStart w:id="409" w:name="_heading=h.1x0gk37" w:colFirst="0" w:colLast="0"/>
      <w:bookmarkEnd w:id="409"/>
      <w:r>
        <w:t>must provide its decision within 20 Working Days of the later of:</w:t>
      </w:r>
    </w:p>
    <w:p w14:paraId="51EBDAFD" w14:textId="77777777" w:rsidR="0029093D" w:rsidRDefault="0029093D" w:rsidP="0029093D">
      <w:pPr>
        <w:pStyle w:val="Numbered111a"/>
      </w:pPr>
      <w:r>
        <w:t>the date on which it receives the proposal; or</w:t>
      </w:r>
    </w:p>
    <w:p w14:paraId="603D02D3" w14:textId="77777777" w:rsidR="0029093D" w:rsidRDefault="0029093D" w:rsidP="0029093D">
      <w:pPr>
        <w:pStyle w:val="Numbered111a"/>
      </w:pPr>
      <w:r>
        <w:t>the date on which it receives any requested further information;</w:t>
      </w:r>
    </w:p>
    <w:p w14:paraId="1FA231D2" w14:textId="77777777" w:rsidR="0029093D" w:rsidRDefault="0029093D" w:rsidP="0029093D">
      <w:pPr>
        <w:pStyle w:val="Numbered111"/>
      </w:pPr>
      <w:r>
        <w:t>must not:</w:t>
      </w:r>
    </w:p>
    <w:p w14:paraId="2C5DFE9C" w14:textId="77777777" w:rsidR="0029093D" w:rsidRDefault="0029093D" w:rsidP="0029093D">
      <w:pPr>
        <w:pStyle w:val="Numbered111a"/>
      </w:pPr>
      <w:r>
        <w:t>unreasonably refuse any proposal by the Supplier; and</w:t>
      </w:r>
    </w:p>
    <w:p w14:paraId="2CFD7ECA" w14:textId="77777777" w:rsidR="0029093D" w:rsidRDefault="0029093D" w:rsidP="0029093D">
      <w:pPr>
        <w:pStyle w:val="Numbered111a"/>
      </w:pPr>
      <w:r>
        <w:lastRenderedPageBreak/>
        <w:t>must not make any approval subject to unreasonable conditions.</w:t>
      </w:r>
    </w:p>
    <w:p w14:paraId="13F5D63D" w14:textId="7DBBA13A" w:rsidR="0029093D" w:rsidRDefault="0029093D" w:rsidP="0029093D">
      <w:pPr>
        <w:pStyle w:val="Numbered11"/>
      </w:pPr>
      <w:r>
        <w:t xml:space="preserve">If the Authority does not provide a decision within the period specified in </w:t>
      </w:r>
      <w:r w:rsidR="00D006F4">
        <w:t>Paragraph</w:t>
      </w:r>
      <w:r>
        <w:t> 17.3</w:t>
      </w:r>
      <w:r w:rsidR="009C01C2">
        <w:t>.2</w:t>
      </w:r>
      <w:r>
        <w:t>, the proposal shall be deemed to have been accepted.</w:t>
      </w:r>
    </w:p>
    <w:p w14:paraId="5928A73E" w14:textId="77777777" w:rsidR="0029093D" w:rsidRDefault="0029093D" w:rsidP="0029093D">
      <w:pPr>
        <w:keepNext/>
        <w:pBdr>
          <w:top w:val="nil"/>
          <w:left w:val="nil"/>
          <w:bottom w:val="nil"/>
          <w:right w:val="nil"/>
          <w:between w:val="nil"/>
        </w:pBdr>
        <w:ind w:left="720"/>
        <w:rPr>
          <w:b/>
          <w:color w:val="000000"/>
        </w:rPr>
      </w:pPr>
      <w:r>
        <w:rPr>
          <w:b/>
          <w:color w:val="000000"/>
        </w:rPr>
        <w:t>Implementation of changes</w:t>
      </w:r>
    </w:p>
    <w:p w14:paraId="07A4E180" w14:textId="77777777" w:rsidR="0029093D" w:rsidRDefault="0029093D" w:rsidP="0029093D">
      <w:pPr>
        <w:pStyle w:val="Numbered11"/>
      </w:pPr>
      <w:r>
        <w:t xml:space="preserve">Where the Supplier implements a necessary change to the Supplier Information Management System to address a security related risk or vulnerability, the Supplier shall effect such change at its own cost and expense. </w:t>
      </w:r>
    </w:p>
    <w:p w14:paraId="5B6B9529" w14:textId="77777777" w:rsidR="0029093D" w:rsidRDefault="0029093D" w:rsidP="0029093D">
      <w:pPr>
        <w:pStyle w:val="Numbered11"/>
      </w:pPr>
      <w:r>
        <w:t>If the Supplier does not implement a necessary change to the Supplier Information Management System to address a security related risk or vulnerability by the date set out in the Required Changes Register:</w:t>
      </w:r>
    </w:p>
    <w:p w14:paraId="49461F6F" w14:textId="77777777" w:rsidR="0029093D" w:rsidRDefault="0029093D" w:rsidP="0029093D">
      <w:pPr>
        <w:pStyle w:val="Numbered111"/>
      </w:pPr>
      <w:r>
        <w:t>that failure is a material Default; and</w:t>
      </w:r>
    </w:p>
    <w:p w14:paraId="2230C17D" w14:textId="77777777" w:rsidR="0029093D" w:rsidRDefault="0029093D" w:rsidP="0029093D">
      <w:pPr>
        <w:pStyle w:val="Numbered111"/>
      </w:pPr>
      <w:r>
        <w:t xml:space="preserve">the Supplier shall: </w:t>
      </w:r>
    </w:p>
    <w:p w14:paraId="437B9BEC" w14:textId="77777777" w:rsidR="0029093D" w:rsidRDefault="0029093D" w:rsidP="0029093D">
      <w:pPr>
        <w:pStyle w:val="Numbered111a"/>
      </w:pPr>
      <w:r>
        <w:t>immediately cease using the Supplier Information Management System to Process Authority Data either:</w:t>
      </w:r>
    </w:p>
    <w:p w14:paraId="78197975" w14:textId="77777777" w:rsidR="0029093D" w:rsidRDefault="0029093D" w:rsidP="0029093D">
      <w:pPr>
        <w:pStyle w:val="Numbered111ai"/>
        <w:tabs>
          <w:tab w:val="clear" w:pos="3240"/>
          <w:tab w:val="num" w:pos="360"/>
        </w:tabs>
      </w:pPr>
      <w:r>
        <w:t>until the Default is remedied, or</w:t>
      </w:r>
    </w:p>
    <w:p w14:paraId="04557DB6" w14:textId="77777777" w:rsidR="0029093D" w:rsidRDefault="0029093D" w:rsidP="0029093D">
      <w:pPr>
        <w:pStyle w:val="Numbered111ai"/>
        <w:tabs>
          <w:tab w:val="clear" w:pos="3240"/>
          <w:tab w:val="num" w:pos="360"/>
        </w:tabs>
      </w:pPr>
      <w:r>
        <w:t>unless directed otherwise by the Authority in writing and then only in accordance with the Authority's written directions; and</w:t>
      </w:r>
    </w:p>
    <w:p w14:paraId="5EC45A80" w14:textId="77777777" w:rsidR="0029093D" w:rsidRDefault="0029093D" w:rsidP="0029093D">
      <w:pPr>
        <w:pStyle w:val="Numbered111a"/>
      </w:pPr>
      <w:bookmarkStart w:id="410" w:name="_heading=h.4h042r0" w:colFirst="0" w:colLast="0"/>
      <w:bookmarkEnd w:id="410"/>
      <w:r>
        <w:t>where such material Default is capable of remedy, remedy such material Default within the timescales set by the Authority (considering the security risks the material Default presents to the Services and/or the Supplier Information Management System).</w:t>
      </w:r>
    </w:p>
    <w:p w14:paraId="2DD0C0DC" w14:textId="77777777" w:rsidR="0029093D" w:rsidRDefault="0029093D" w:rsidP="0029093D">
      <w:pPr>
        <w:pStyle w:val="Numbered1"/>
      </w:pPr>
      <w:bookmarkStart w:id="411" w:name="_heading=h.2w5ecyt" w:colFirst="0" w:colLast="0"/>
      <w:bookmarkEnd w:id="411"/>
      <w:r>
        <w:t>Remediation Action Plan</w:t>
      </w:r>
    </w:p>
    <w:p w14:paraId="3C838207" w14:textId="77777777" w:rsidR="0029093D" w:rsidRDefault="0029093D" w:rsidP="0029093D">
      <w:pPr>
        <w:keepNext/>
        <w:pBdr>
          <w:top w:val="nil"/>
          <w:left w:val="nil"/>
          <w:bottom w:val="nil"/>
          <w:right w:val="nil"/>
          <w:between w:val="nil"/>
        </w:pBdr>
        <w:ind w:left="720"/>
        <w:rPr>
          <w:b/>
          <w:color w:val="000000"/>
        </w:rPr>
      </w:pPr>
      <w:r>
        <w:rPr>
          <w:b/>
          <w:color w:val="000000"/>
        </w:rPr>
        <w:t>Preparation of Remediation Action Plan</w:t>
      </w:r>
    </w:p>
    <w:p w14:paraId="1C2012AC" w14:textId="13CCF071" w:rsidR="0029093D" w:rsidRDefault="0029093D" w:rsidP="0029093D">
      <w:pPr>
        <w:pStyle w:val="Numbered11"/>
      </w:pPr>
      <w:bookmarkStart w:id="412" w:name="_heading=h.1baon6m" w:colFirst="0" w:colLast="0"/>
      <w:bookmarkEnd w:id="412"/>
      <w:r>
        <w:t xml:space="preserve">This </w:t>
      </w:r>
      <w:r w:rsidR="00D006F4">
        <w:t>Paragraph</w:t>
      </w:r>
      <w:r>
        <w:t> 18 applies when:</w:t>
      </w:r>
    </w:p>
    <w:p w14:paraId="157918F1" w14:textId="77777777" w:rsidR="0029093D" w:rsidRDefault="0029093D" w:rsidP="0029093D">
      <w:pPr>
        <w:pStyle w:val="Numbered111"/>
      </w:pPr>
      <w:r>
        <w:t xml:space="preserve">Key Sub-contractor Default occurs; </w:t>
      </w:r>
    </w:p>
    <w:p w14:paraId="61BEA1D3" w14:textId="77777777" w:rsidR="0029093D" w:rsidRDefault="0029093D" w:rsidP="0029093D">
      <w:pPr>
        <w:pStyle w:val="Numbered111"/>
      </w:pPr>
      <w:r>
        <w:t>the Authority issues a Risk Management Rejection Notice; or</w:t>
      </w:r>
    </w:p>
    <w:p w14:paraId="69531868" w14:textId="77777777" w:rsidR="0029093D" w:rsidRDefault="0029093D" w:rsidP="0029093D">
      <w:pPr>
        <w:pStyle w:val="Numbered111"/>
      </w:pPr>
      <w:r>
        <w:t>the Supplier receives a Security Test report that identifies vulnerabilities in, or makes findings in respect of, the Supplier Information Management System,</w:t>
      </w:r>
    </w:p>
    <w:p w14:paraId="33DC382E" w14:textId="77777777" w:rsidR="0029093D" w:rsidRDefault="0029093D" w:rsidP="0029093D">
      <w:pPr>
        <w:pStyle w:val="Heading3"/>
        <w:ind w:left="720"/>
      </w:pPr>
      <w:r>
        <w:t>(each a RAP Trigger).</w:t>
      </w:r>
    </w:p>
    <w:p w14:paraId="226413DB" w14:textId="77777777" w:rsidR="0029093D" w:rsidRDefault="0029093D" w:rsidP="0029093D">
      <w:pPr>
        <w:pStyle w:val="Numbered11"/>
      </w:pPr>
      <w:r>
        <w:t>The Supplier must within 20 Working Days of the occurrence of a RAP Trigger prepare and submit for approval to the Authority a draft plan (</w:t>
      </w:r>
      <w:r>
        <w:rPr>
          <w:b/>
        </w:rPr>
        <w:t>Remediation Action Plan</w:t>
      </w:r>
      <w:r>
        <w:t>).</w:t>
      </w:r>
    </w:p>
    <w:p w14:paraId="745A758C" w14:textId="77777777" w:rsidR="0029093D" w:rsidRDefault="0029093D" w:rsidP="0029093D">
      <w:pPr>
        <w:pStyle w:val="Numbered11"/>
      </w:pPr>
      <w:r>
        <w:lastRenderedPageBreak/>
        <w:t>The draft Remediation Action Plan must, in respect of each issue raised by the RAP Trigger, set out:</w:t>
      </w:r>
    </w:p>
    <w:p w14:paraId="4D5C7684" w14:textId="77777777" w:rsidR="0029093D" w:rsidRDefault="0029093D" w:rsidP="0029093D">
      <w:pPr>
        <w:pStyle w:val="Numbered111"/>
      </w:pPr>
      <w:r>
        <w:t>full details of that issue;</w:t>
      </w:r>
    </w:p>
    <w:p w14:paraId="6F3B8D20" w14:textId="77777777" w:rsidR="0029093D" w:rsidRDefault="0029093D" w:rsidP="0029093D">
      <w:pPr>
        <w:pStyle w:val="Numbered111"/>
      </w:pPr>
      <w:r>
        <w:t>the actual or anticipated effect of that issue;</w:t>
      </w:r>
    </w:p>
    <w:p w14:paraId="5AA20966" w14:textId="77777777" w:rsidR="0029093D" w:rsidRDefault="0029093D" w:rsidP="0029093D">
      <w:pPr>
        <w:pStyle w:val="Numbered111"/>
      </w:pPr>
      <w:r>
        <w:t>how the issue will be remedied;</w:t>
      </w:r>
    </w:p>
    <w:p w14:paraId="154F62CD" w14:textId="77777777" w:rsidR="0029093D" w:rsidRDefault="0029093D" w:rsidP="0029093D">
      <w:pPr>
        <w:pStyle w:val="Numbered111"/>
      </w:pPr>
      <w:r>
        <w:t>the date by which the issue will be remedied; and</w:t>
      </w:r>
    </w:p>
    <w:p w14:paraId="218E16A9" w14:textId="77777777" w:rsidR="0029093D" w:rsidRDefault="0029093D" w:rsidP="0029093D">
      <w:pPr>
        <w:pStyle w:val="Numbered111"/>
      </w:pPr>
      <w:r>
        <w:t>the tests that the Supplier proposes to perform to confirm that the issue has been remedied.</w:t>
      </w:r>
    </w:p>
    <w:p w14:paraId="6308101C" w14:textId="77777777" w:rsidR="0029093D" w:rsidRDefault="0029093D" w:rsidP="0029093D">
      <w:pPr>
        <w:keepNext/>
        <w:pBdr>
          <w:top w:val="nil"/>
          <w:left w:val="nil"/>
          <w:bottom w:val="nil"/>
          <w:right w:val="nil"/>
          <w:between w:val="nil"/>
        </w:pBdr>
        <w:ind w:left="720"/>
        <w:rPr>
          <w:b/>
          <w:color w:val="000000"/>
        </w:rPr>
      </w:pPr>
      <w:r>
        <w:rPr>
          <w:b/>
          <w:color w:val="000000"/>
        </w:rPr>
        <w:t>Consideration of Remediation Action Plan</w:t>
      </w:r>
    </w:p>
    <w:p w14:paraId="475EDD49" w14:textId="77777777" w:rsidR="0029093D" w:rsidRDefault="0029093D" w:rsidP="0029093D">
      <w:pPr>
        <w:pStyle w:val="Numbered11"/>
      </w:pPr>
      <w:r>
        <w:t>The Supplier shall promptly provide the Authority with such technical and other information relating to the Supplier Information Management System, Security Management Plan, the IT Health Check report (where applicable), the Key Sub-contractor (as applicable) or the draft Remediation Action Plan as the Authority requests.</w:t>
      </w:r>
    </w:p>
    <w:p w14:paraId="1D5C0E91" w14:textId="77777777" w:rsidR="0029093D" w:rsidRDefault="0029093D" w:rsidP="0029093D">
      <w:pPr>
        <w:pStyle w:val="Numbered11"/>
      </w:pPr>
      <w:r>
        <w:t>The Authority may:</w:t>
      </w:r>
    </w:p>
    <w:p w14:paraId="6FA78A5E" w14:textId="77777777" w:rsidR="0029093D" w:rsidRDefault="0029093D" w:rsidP="0029093D">
      <w:pPr>
        <w:pStyle w:val="Numbered111"/>
      </w:pPr>
      <w:r>
        <w:t>reject the draft Remediation Action Plan where it considers that the draft Remediation Action Plan is inadequate, providing its reasons for doing so, in which case:</w:t>
      </w:r>
    </w:p>
    <w:p w14:paraId="0974331C" w14:textId="77777777" w:rsidR="0029093D" w:rsidRDefault="0029093D" w:rsidP="0029093D">
      <w:pPr>
        <w:pStyle w:val="Numbered111a"/>
      </w:pPr>
      <w:r>
        <w:t>the Supplier shall within ten Working Days of the date on which the Authority rejected the draft Remediation Action Plan submit a revised draft Remediation Action Plan that takes into account the Authority’s reasons; and</w:t>
      </w:r>
    </w:p>
    <w:p w14:paraId="49D96F7F" w14:textId="09FB9447" w:rsidR="0029093D" w:rsidRDefault="00D006F4" w:rsidP="0029093D">
      <w:pPr>
        <w:pStyle w:val="Numbered111a"/>
      </w:pPr>
      <w:r>
        <w:t>Paragraph</w:t>
      </w:r>
      <w:r w:rsidR="0029093D">
        <w:t> 10.22 to 10.24 shall apply, with appropriate modifications, to the revised draft Remediation Action Plan;</w:t>
      </w:r>
    </w:p>
    <w:p w14:paraId="35972910" w14:textId="187560FA" w:rsidR="0029093D" w:rsidRDefault="0029093D" w:rsidP="0029093D">
      <w:pPr>
        <w:pStyle w:val="Numbered111"/>
      </w:pPr>
      <w:r>
        <w:t xml:space="preserve">accept the draft Remediation Action Plan, in which case the Supplier must immediately start work on implementing the Remediation Action Plan in accordance with </w:t>
      </w:r>
      <w:r w:rsidR="00D006F4">
        <w:t>Paragraph</w:t>
      </w:r>
      <w:r>
        <w:t> 10.26 and 10.27.</w:t>
      </w:r>
    </w:p>
    <w:p w14:paraId="030F210F" w14:textId="77777777" w:rsidR="0029093D" w:rsidRDefault="0029093D" w:rsidP="0029093D">
      <w:pPr>
        <w:pStyle w:val="Numbered11"/>
      </w:pPr>
      <w:r>
        <w:t>Where the Authority unreasonably:</w:t>
      </w:r>
    </w:p>
    <w:p w14:paraId="7673F28B" w14:textId="77777777" w:rsidR="0029093D" w:rsidRDefault="0029093D" w:rsidP="0029093D">
      <w:pPr>
        <w:pStyle w:val="Numbered111"/>
      </w:pPr>
      <w:r>
        <w:t>delays its approval; or</w:t>
      </w:r>
    </w:p>
    <w:p w14:paraId="592CC43F" w14:textId="77777777" w:rsidR="0029093D" w:rsidRDefault="0029093D" w:rsidP="0029093D">
      <w:pPr>
        <w:pStyle w:val="Numbered111"/>
      </w:pPr>
      <w:r>
        <w:t>rejects,</w:t>
      </w:r>
    </w:p>
    <w:p w14:paraId="25717822" w14:textId="77777777" w:rsidR="0029093D" w:rsidRDefault="0029093D" w:rsidP="0029093D">
      <w:pPr>
        <w:pStyle w:val="Numbered111"/>
      </w:pPr>
      <w:r>
        <w:t>the draft Remediation Action Plan, the Supplier will not be in breach of this Contract to the extent it demonstrates that any breach:</w:t>
      </w:r>
    </w:p>
    <w:p w14:paraId="0D1A82A0" w14:textId="77777777" w:rsidR="0029093D" w:rsidRDefault="0029093D" w:rsidP="0029093D">
      <w:pPr>
        <w:pStyle w:val="Numbered111"/>
      </w:pPr>
      <w:r>
        <w:t>arose directly from the Authority unreasonably withholding or delaying, as appropriate, its approval of the draft Remediation Action Plan; and</w:t>
      </w:r>
    </w:p>
    <w:p w14:paraId="4D11F889" w14:textId="77777777" w:rsidR="0029093D" w:rsidRDefault="0029093D" w:rsidP="0029093D">
      <w:pPr>
        <w:pStyle w:val="Numbered111"/>
      </w:pPr>
      <w:r>
        <w:lastRenderedPageBreak/>
        <w:t>would not have occurred had:</w:t>
      </w:r>
    </w:p>
    <w:p w14:paraId="45787364" w14:textId="77777777" w:rsidR="0029093D" w:rsidRDefault="0029093D" w:rsidP="0029093D">
      <w:pPr>
        <w:pStyle w:val="Numbered111a"/>
      </w:pPr>
      <w:r>
        <w:t>the Authority given its approval, or given its approval in a timely manner, to the draft Remediation Action Plan; and</w:t>
      </w:r>
    </w:p>
    <w:p w14:paraId="38EF9214" w14:textId="77777777" w:rsidR="0029093D" w:rsidRDefault="0029093D" w:rsidP="0029093D">
      <w:pPr>
        <w:pStyle w:val="Numbered111a"/>
      </w:pPr>
      <w:r>
        <w:t>the Supplier had implemented the draft Remediation Action Plan in accordance with its terms.</w:t>
      </w:r>
    </w:p>
    <w:p w14:paraId="59C3DF6F" w14:textId="77777777" w:rsidR="0029093D" w:rsidRDefault="0029093D" w:rsidP="0029093D">
      <w:pPr>
        <w:keepNext/>
        <w:pBdr>
          <w:top w:val="nil"/>
          <w:left w:val="nil"/>
          <w:bottom w:val="nil"/>
          <w:right w:val="nil"/>
          <w:between w:val="nil"/>
        </w:pBdr>
        <w:ind w:left="720"/>
        <w:rPr>
          <w:b/>
          <w:color w:val="000000"/>
        </w:rPr>
      </w:pPr>
      <w:r>
        <w:rPr>
          <w:b/>
          <w:color w:val="000000"/>
        </w:rPr>
        <w:t>Implementing an approved Remediation Action Plan</w:t>
      </w:r>
    </w:p>
    <w:p w14:paraId="4A5F7AD1" w14:textId="77777777" w:rsidR="0029093D" w:rsidRDefault="0029093D" w:rsidP="0029093D">
      <w:pPr>
        <w:pStyle w:val="Numbered11"/>
      </w:pPr>
      <w:r>
        <w:t>In implementing the Remediation Action Plan, the Supplier must conduct such further tests on the Supplier Information Management System as are required by the Remediation Action Plan to confirm that the Remediation Action Plan has been fully and correctly implemented.</w:t>
      </w:r>
    </w:p>
    <w:p w14:paraId="4BF7876E" w14:textId="77777777" w:rsidR="0029093D" w:rsidRDefault="0029093D" w:rsidP="0029093D">
      <w:pPr>
        <w:pStyle w:val="Numbered11"/>
      </w:pPr>
      <w:r>
        <w:t>If any such testing identifies a new risk, new threat, vulnerability or exploitation technique with the potential to affect the security of the Supplier Information Management System, the Supplier shall within two Working Days of becoming aware of such risk, threat, vulnerability or exploitation technique:</w:t>
      </w:r>
    </w:p>
    <w:p w14:paraId="72136930" w14:textId="77777777" w:rsidR="0029093D" w:rsidRDefault="0029093D" w:rsidP="0029093D">
      <w:pPr>
        <w:pStyle w:val="Numbered111"/>
      </w:pPr>
      <w:r>
        <w:t>provide the Authority with a full, unedited and unredacted copy of the test report;</w:t>
      </w:r>
    </w:p>
    <w:p w14:paraId="6DB75BA8" w14:textId="77777777" w:rsidR="0029093D" w:rsidRDefault="0029093D" w:rsidP="0029093D">
      <w:pPr>
        <w:pStyle w:val="Numbered111"/>
      </w:pPr>
      <w:r>
        <w:t>implement interim mitigation measures to vulnerabilities in the Information System known to be exploitable where a security patch is not immediately available;</w:t>
      </w:r>
    </w:p>
    <w:p w14:paraId="2E443ABD" w14:textId="77777777" w:rsidR="0029093D" w:rsidRDefault="0029093D" w:rsidP="0029093D">
      <w:pPr>
        <w:pStyle w:val="Numbered111"/>
      </w:pPr>
      <w:r>
        <w:t>as far as practicable, remove or disable any extraneous interfaces, services or capabilities not needed for the provision of the Services within the timescales set out in the test report or such other timescales as may be agreed with the Authority.</w:t>
      </w:r>
    </w:p>
    <w:p w14:paraId="0A8E1E22" w14:textId="77777777" w:rsidR="0029093D" w:rsidRDefault="0029093D" w:rsidP="0029093D">
      <w:pPr>
        <w:pStyle w:val="Numbered1"/>
      </w:pPr>
      <w:bookmarkStart w:id="413" w:name="_heading=h.3vac5uf" w:colFirst="0" w:colLast="0"/>
      <w:bookmarkEnd w:id="413"/>
      <w:r>
        <w:t>Independent Security Adviser</w:t>
      </w:r>
    </w:p>
    <w:p w14:paraId="0926BE0B" w14:textId="77777777" w:rsidR="0029093D" w:rsidRDefault="0029093D" w:rsidP="0029093D">
      <w:pPr>
        <w:pStyle w:val="Numbered11"/>
      </w:pPr>
      <w:r>
        <w:t>The Authority may require the appointment of an Independent Security Adviser where:</w:t>
      </w:r>
    </w:p>
    <w:p w14:paraId="2E556E9C" w14:textId="1E97AFF4" w:rsidR="0029093D" w:rsidRDefault="0029093D" w:rsidP="0029093D">
      <w:pPr>
        <w:pStyle w:val="Numbered111"/>
      </w:pPr>
      <w:r>
        <w:t xml:space="preserve">there is a proposed change to the Supplier Information Management System (see </w:t>
      </w:r>
      <w:r w:rsidR="00D006F4">
        <w:t>Paragraph</w:t>
      </w:r>
      <w:r>
        <w:t> 11.6);</w:t>
      </w:r>
    </w:p>
    <w:p w14:paraId="1E811C82" w14:textId="2D705D9A" w:rsidR="0029093D" w:rsidRDefault="0029093D" w:rsidP="0029093D">
      <w:pPr>
        <w:pStyle w:val="Numbered111"/>
      </w:pPr>
      <w:r>
        <w:t xml:space="preserve">the Authority issues two or more Risk Management Rejection Notices (see </w:t>
      </w:r>
      <w:r w:rsidR="00D006F4">
        <w:t>Paragraph</w:t>
      </w:r>
      <w:r>
        <w:t>s 14.10 and 14.11; or</w:t>
      </w:r>
    </w:p>
    <w:p w14:paraId="5A2F65CA" w14:textId="77777777" w:rsidR="0029093D" w:rsidRDefault="0029093D" w:rsidP="0029093D">
      <w:pPr>
        <w:pStyle w:val="Numbered111"/>
      </w:pPr>
      <w:r>
        <w:t>either:</w:t>
      </w:r>
    </w:p>
    <w:p w14:paraId="6760E9EC" w14:textId="77777777" w:rsidR="0029093D" w:rsidRDefault="0029093D" w:rsidP="0029093D">
      <w:pPr>
        <w:pStyle w:val="Numbered111a"/>
      </w:pPr>
      <w:r>
        <w:t>a Security a Security Test report identifies more than ten vulnerabilities classified as either critical or high; or</w:t>
      </w:r>
    </w:p>
    <w:p w14:paraId="0BFAE006" w14:textId="2C928290" w:rsidR="0029093D" w:rsidRDefault="0029093D" w:rsidP="0029093D">
      <w:pPr>
        <w:pStyle w:val="Numbered111a"/>
      </w:pPr>
      <w:r>
        <w:t xml:space="preserve">the Authority rejected a revised draft Remediation Action Plan (see </w:t>
      </w:r>
      <w:r w:rsidR="00D006F4">
        <w:t>Paragraph</w:t>
      </w:r>
      <w:r>
        <w:t> 10.28 of Appendix 1).</w:t>
      </w:r>
    </w:p>
    <w:p w14:paraId="3270FF20" w14:textId="77777777" w:rsidR="0029093D" w:rsidRDefault="0029093D" w:rsidP="0029093D">
      <w:pPr>
        <w:pStyle w:val="Numbered11"/>
      </w:pPr>
      <w:r>
        <w:t>Where the Authority requires the appointment of an Independent Security Adviser  the Independent Security Adviser shall be:</w:t>
      </w:r>
    </w:p>
    <w:p w14:paraId="33F84A43" w14:textId="77777777" w:rsidR="0029093D" w:rsidRDefault="0029093D" w:rsidP="0029093D">
      <w:pPr>
        <w:pStyle w:val="Numbered111"/>
      </w:pPr>
      <w:r>
        <w:lastRenderedPageBreak/>
        <w:t>a person selected by the Supplier and approved by the Authority; or</w:t>
      </w:r>
    </w:p>
    <w:p w14:paraId="5745CBCC" w14:textId="77777777" w:rsidR="0029093D" w:rsidRDefault="0029093D" w:rsidP="0029093D">
      <w:pPr>
        <w:pStyle w:val="Numbered111"/>
      </w:pPr>
      <w:r>
        <w:t>where</w:t>
      </w:r>
    </w:p>
    <w:p w14:paraId="2BA83AAF" w14:textId="77777777" w:rsidR="0029093D" w:rsidRDefault="0029093D" w:rsidP="0029093D">
      <w:pPr>
        <w:pStyle w:val="Numbered111a"/>
      </w:pPr>
      <w:r>
        <w:t>the Authority does not approve the persons selected by the Supplier; or</w:t>
      </w:r>
    </w:p>
    <w:p w14:paraId="6FE022CA" w14:textId="77777777" w:rsidR="0029093D" w:rsidRDefault="0029093D" w:rsidP="0029093D">
      <w:pPr>
        <w:pStyle w:val="Numbered111a"/>
      </w:pPr>
      <w:r>
        <w:t>the Supplier does not select any person within ten Working Days of the date of the notice requiring the Independent Security Adviser’s appointment,</w:t>
      </w:r>
    </w:p>
    <w:p w14:paraId="04A389B6" w14:textId="77777777" w:rsidR="0029093D" w:rsidRDefault="0029093D" w:rsidP="0029093D">
      <w:pPr>
        <w:pStyle w:val="Heading5"/>
        <w:ind w:left="1800"/>
      </w:pPr>
      <w:r>
        <w:t>a person selected by the Authority.</w:t>
      </w:r>
    </w:p>
    <w:p w14:paraId="10E6B501" w14:textId="77777777" w:rsidR="0029093D" w:rsidRDefault="0029093D" w:rsidP="0029093D">
      <w:pPr>
        <w:pStyle w:val="Numbered11"/>
      </w:pPr>
      <w:r>
        <w:t>The terms of the Independent Security Adviser’s appointment shall require that person to:</w:t>
      </w:r>
    </w:p>
    <w:p w14:paraId="7DBAAF71" w14:textId="77777777" w:rsidR="0029093D" w:rsidRDefault="0029093D" w:rsidP="0029093D">
      <w:pPr>
        <w:pStyle w:val="Numbered111"/>
      </w:pPr>
      <w:r>
        <w:t xml:space="preserve">undertake a detailed review, including a full root cause analysis where the Independent Security Adviser considers it appropriate to do so, of the circumstances that led to that person’s appointment; and </w:t>
      </w:r>
    </w:p>
    <w:p w14:paraId="7DE97836" w14:textId="77777777" w:rsidR="0029093D" w:rsidRDefault="0029093D" w:rsidP="0029093D">
      <w:pPr>
        <w:pStyle w:val="Numbered111"/>
      </w:pPr>
      <w:r>
        <w:t>provide advice and recommendations on:</w:t>
      </w:r>
    </w:p>
    <w:p w14:paraId="00B59AB2" w14:textId="77777777" w:rsidR="0029093D" w:rsidRDefault="0029093D" w:rsidP="0029093D">
      <w:pPr>
        <w:pStyle w:val="Numbered111a"/>
      </w:pPr>
      <w:r>
        <w:t>steps the Supplier can reasonably take to improvement the security of the Supplier Information Management System; and</w:t>
      </w:r>
    </w:p>
    <w:p w14:paraId="51FC4181" w14:textId="77777777" w:rsidR="0029093D" w:rsidRDefault="0029093D" w:rsidP="0029093D">
      <w:pPr>
        <w:pStyle w:val="Numbered111a"/>
      </w:pPr>
      <w:r>
        <w:t>where relevant, how the Supplier may mitigate the effects of, and remedy, those and to avoid the occurrence of similar circumstances to those leading to the appointment of the Independent Security Adviser in the future.</w:t>
      </w:r>
    </w:p>
    <w:p w14:paraId="5569DD76" w14:textId="77777777" w:rsidR="0029093D" w:rsidRDefault="0029093D" w:rsidP="0029093D">
      <w:pPr>
        <w:pStyle w:val="Numbered11"/>
      </w:pPr>
      <w:r>
        <w:t>The Supplier must permit, and must ensure that relevant Sub-contractors permit, the Independent Security Adviser to:</w:t>
      </w:r>
    </w:p>
    <w:p w14:paraId="5961D6E0" w14:textId="77777777" w:rsidR="0029093D" w:rsidRDefault="0029093D" w:rsidP="0029093D">
      <w:pPr>
        <w:pStyle w:val="Numbered111"/>
      </w:pPr>
      <w:r>
        <w:t xml:space="preserve">observe the conduct of and work alongside the Supplier Personnel to the extent that the Independent Security Adviser considers reasonable and proportionate having regard to reason for their appointment; </w:t>
      </w:r>
    </w:p>
    <w:p w14:paraId="197D3581" w14:textId="77777777" w:rsidR="0029093D" w:rsidRDefault="0029093D" w:rsidP="0029093D">
      <w:pPr>
        <w:pStyle w:val="Numbered111"/>
      </w:pPr>
      <w:r>
        <w:t xml:space="preserve">gather any information the Independent Security Adviser considers relevant in the furtherance of their appointment; </w:t>
      </w:r>
    </w:p>
    <w:p w14:paraId="737A5F71" w14:textId="77777777" w:rsidR="0029093D" w:rsidRDefault="0029093D" w:rsidP="0029093D">
      <w:pPr>
        <w:pStyle w:val="Numbered111"/>
      </w:pPr>
      <w:r>
        <w:t xml:space="preserve">write reports and provide information to the Authority in connection with the steps being taken by the Supplier to remedy the matters leading to the Independent Security Adviser’s appointment; </w:t>
      </w:r>
    </w:p>
    <w:p w14:paraId="38AC5A21" w14:textId="77777777" w:rsidR="0029093D" w:rsidRDefault="0029093D" w:rsidP="0029093D">
      <w:pPr>
        <w:pStyle w:val="Numbered111"/>
      </w:pPr>
      <w:r>
        <w:t>make recommendations to the Authority and/or the Supplier as to how the matters leading to their appointment might be mitigated or avoided in the future; and/or</w:t>
      </w:r>
    </w:p>
    <w:p w14:paraId="37EC161E" w14:textId="77777777" w:rsidR="00CD68D5" w:rsidRDefault="0029093D" w:rsidP="00CD68D5">
      <w:pPr>
        <w:pStyle w:val="Numbered111"/>
      </w:pPr>
      <w:r>
        <w:t xml:space="preserve">take any other steps that the Authority and/or the Independent Security Adviser reasonably considers necessary or expedient in </w:t>
      </w:r>
      <w:r>
        <w:lastRenderedPageBreak/>
        <w:t>order to mitigate or rectify matters leading to the Independent Security Adviser’s appointment.</w:t>
      </w:r>
    </w:p>
    <w:p w14:paraId="7484EDFC" w14:textId="00F0FB7A" w:rsidR="0029093D" w:rsidRDefault="0029093D" w:rsidP="00CD68D5">
      <w:pPr>
        <w:pStyle w:val="Numbered11"/>
      </w:pPr>
      <w:r>
        <w:t>The Supplier must, and ensure that relevant Sub-contractors:</w:t>
      </w:r>
    </w:p>
    <w:p w14:paraId="2AAAC779" w14:textId="77777777" w:rsidR="0029093D" w:rsidRDefault="0029093D" w:rsidP="0029093D">
      <w:pPr>
        <w:pStyle w:val="Numbered111"/>
      </w:pPr>
      <w:r>
        <w:t>where relevant, work alongside, provide information to, co-operate in good faith with and adopt any reasonable methodology in providing the Services recommended by the Independent Security Adviser in order to mitigate or rectify any of the vulnerabilities that led to the appointment of the Independent Security Adviser;</w:t>
      </w:r>
    </w:p>
    <w:p w14:paraId="74B32839" w14:textId="77777777" w:rsidR="0029093D" w:rsidRDefault="0029093D" w:rsidP="0029093D">
      <w:pPr>
        <w:pStyle w:val="Numbered111"/>
      </w:pPr>
      <w:r>
        <w:t xml:space="preserve">ensure that the Independent Security Adviser has all the access it may require in order to carry out its objective, including access to the Assets; </w:t>
      </w:r>
    </w:p>
    <w:p w14:paraId="181B068D" w14:textId="77777777" w:rsidR="0029093D" w:rsidRDefault="0029093D" w:rsidP="0029093D">
      <w:pPr>
        <w:pStyle w:val="Numbered111"/>
      </w:pPr>
      <w:r>
        <w:t>submit to such monitoring as the Authority and/or the Independent Security Adviser considers reasonable and proportionate in respect of the matters giving rise to their appointment;</w:t>
      </w:r>
    </w:p>
    <w:p w14:paraId="5FD6FBCE" w14:textId="77777777" w:rsidR="0029093D" w:rsidRDefault="0029093D" w:rsidP="0029093D">
      <w:pPr>
        <w:pStyle w:val="Numbered111"/>
      </w:pPr>
      <w:r>
        <w:t>implement any recommendations (including additional security measures and/or controls) made by the Independent Security Adviser that have been approved by the Authority within the timescales given by the Independent Security Adviser; and</w:t>
      </w:r>
    </w:p>
    <w:p w14:paraId="5586EA99" w14:textId="77777777" w:rsidR="0029093D" w:rsidRDefault="0029093D" w:rsidP="0029093D">
      <w:pPr>
        <w:pStyle w:val="Numbered111"/>
      </w:pPr>
      <w:r>
        <w:t xml:space="preserve">not terminate the appointment of the Independent Security Adviser without the prior consent of the Authority (unless such consent has been unreasonably withheld). </w:t>
      </w:r>
    </w:p>
    <w:p w14:paraId="33E2C47A" w14:textId="77777777" w:rsidR="0029093D" w:rsidRDefault="0029093D" w:rsidP="0029093D">
      <w:pPr>
        <w:pStyle w:val="Numbered11"/>
      </w:pPr>
      <w:r>
        <w:t>The Supplier shall be responsible for:</w:t>
      </w:r>
    </w:p>
    <w:p w14:paraId="1D984E72" w14:textId="77777777" w:rsidR="0029093D" w:rsidRDefault="0029093D" w:rsidP="0029093D">
      <w:pPr>
        <w:pStyle w:val="Numbered111"/>
      </w:pPr>
      <w:r>
        <w:t>the costs of appointing, and the fees charged by, the Independent Security Adviser; and</w:t>
      </w:r>
    </w:p>
    <w:p w14:paraId="770621E2" w14:textId="77777777" w:rsidR="0029093D" w:rsidRDefault="0029093D" w:rsidP="0029093D">
      <w:pPr>
        <w:pStyle w:val="Numbered111"/>
      </w:pPr>
      <w:r>
        <w:t>its own costs in connection with any action required by the Authority and/or the Independent Security Adviser.</w:t>
      </w:r>
    </w:p>
    <w:p w14:paraId="414EDD54" w14:textId="77777777" w:rsidR="0029093D" w:rsidRDefault="0029093D" w:rsidP="0029093D">
      <w:pPr>
        <w:pStyle w:val="Numbered11"/>
      </w:pPr>
      <w:r>
        <w:t>If the Supplier or any relevant Sub-contractor:</w:t>
      </w:r>
    </w:p>
    <w:p w14:paraId="098DADAB" w14:textId="77777777" w:rsidR="0029093D" w:rsidRDefault="0029093D" w:rsidP="0029093D">
      <w:pPr>
        <w:pStyle w:val="Numbered111"/>
      </w:pPr>
      <w:r>
        <w:t>fails to perform any of the steps required by the Authority in the notice appointing the Independent Security Adviser; and/or</w:t>
      </w:r>
    </w:p>
    <w:p w14:paraId="6CEFF03D" w14:textId="6E9D7643" w:rsidR="00CD68D5" w:rsidRDefault="0029093D" w:rsidP="00CD68D5">
      <w:pPr>
        <w:pStyle w:val="Numbered111"/>
      </w:pPr>
      <w:r>
        <w:t xml:space="preserve">is in Default of any of its obligations under this </w:t>
      </w:r>
      <w:r w:rsidR="00D006F4">
        <w:t>Paragraph</w:t>
      </w:r>
      <w:r>
        <w:t> 19,</w:t>
      </w:r>
    </w:p>
    <w:p w14:paraId="56EFBD61" w14:textId="7E325B92" w:rsidR="0029093D" w:rsidRDefault="0029093D" w:rsidP="00CD68D5">
      <w:pPr>
        <w:pStyle w:val="Numbered111"/>
        <w:numPr>
          <w:ilvl w:val="0"/>
          <w:numId w:val="0"/>
        </w:numPr>
        <w:ind w:left="720"/>
      </w:pPr>
      <w:r>
        <w:t>this is a material Default that is not capable of remedy.</w:t>
      </w:r>
    </w:p>
    <w:p w14:paraId="464112BF" w14:textId="77777777" w:rsidR="0029093D" w:rsidRDefault="0029093D" w:rsidP="0029093D">
      <w:pPr>
        <w:pStyle w:val="Numbered1"/>
      </w:pPr>
      <w:bookmarkStart w:id="414" w:name="_heading=h.2afmg28" w:colFirst="0" w:colLast="0"/>
      <w:bookmarkEnd w:id="414"/>
      <w:r>
        <w:t>Withholding of Charges</w:t>
      </w:r>
    </w:p>
    <w:p w14:paraId="4979016D" w14:textId="7DF6AA58" w:rsidR="0029093D" w:rsidRDefault="0029093D" w:rsidP="0029093D">
      <w:pPr>
        <w:pStyle w:val="Numbered11"/>
      </w:pPr>
      <w:bookmarkStart w:id="415" w:name="_heading=h.pkwqa1" w:colFirst="0" w:colLast="0"/>
      <w:bookmarkEnd w:id="415"/>
      <w:r>
        <w:t xml:space="preserve">The Authority may withhold some or all of the Charges in accordance with the provisions of this </w:t>
      </w:r>
      <w:r w:rsidR="00D006F4">
        <w:t>Paragraph</w:t>
      </w:r>
      <w:r>
        <w:t> 20 where:</w:t>
      </w:r>
    </w:p>
    <w:p w14:paraId="42389CD9" w14:textId="77777777" w:rsidR="0029093D" w:rsidRDefault="0029093D" w:rsidP="0029093D">
      <w:pPr>
        <w:pStyle w:val="Numbered111"/>
      </w:pPr>
      <w:r>
        <w:t>the Supplier in in material Default of any of its obligations under this Schedule 5 (Security Management); or</w:t>
      </w:r>
    </w:p>
    <w:p w14:paraId="10E5FA0A" w14:textId="77777777" w:rsidR="0029093D" w:rsidRDefault="0029093D" w:rsidP="0029093D">
      <w:pPr>
        <w:pStyle w:val="Numbered111"/>
      </w:pPr>
      <w:r>
        <w:lastRenderedPageBreak/>
        <w:t>any of the following matters occurs (where the those matters arise from a Default by the Supplier of its obligations under this this Schedule 5 (Security Management)):</w:t>
      </w:r>
    </w:p>
    <w:p w14:paraId="61B616DD" w14:textId="77777777" w:rsidR="0029093D" w:rsidRDefault="0029093D" w:rsidP="0029093D">
      <w:pPr>
        <w:pStyle w:val="Numbered111a"/>
      </w:pPr>
      <w:r>
        <w:t>a Notifiable Default;</w:t>
      </w:r>
    </w:p>
    <w:p w14:paraId="21981632" w14:textId="77777777" w:rsidR="0029093D" w:rsidRDefault="0029093D" w:rsidP="0029093D">
      <w:pPr>
        <w:pStyle w:val="Numbered111a"/>
      </w:pPr>
      <w:r>
        <w:t>an Intervention Cause; or</w:t>
      </w:r>
    </w:p>
    <w:p w14:paraId="629843F2" w14:textId="77777777" w:rsidR="0029093D" w:rsidRDefault="0029093D" w:rsidP="0029093D">
      <w:pPr>
        <w:pStyle w:val="Numbered111a"/>
      </w:pPr>
      <w:r>
        <w:t>a Step-in Trigger Event.</w:t>
      </w:r>
    </w:p>
    <w:p w14:paraId="06737535" w14:textId="77777777" w:rsidR="0029093D" w:rsidRDefault="0029093D" w:rsidP="0029093D">
      <w:pPr>
        <w:pStyle w:val="Numbered11"/>
      </w:pPr>
      <w:r>
        <w:t>The Authority may withhold a amount of the Charges that it considers sufficient, in its sole discretion, to incentivise the Supplier to perform the obligations it has Defaulted upon.</w:t>
      </w:r>
    </w:p>
    <w:p w14:paraId="16642103" w14:textId="7C50C564" w:rsidR="0029093D" w:rsidRDefault="0029093D" w:rsidP="0029093D">
      <w:pPr>
        <w:pStyle w:val="Numbered11"/>
      </w:pPr>
      <w:r>
        <w:t xml:space="preserve">Before withholding any Charges under </w:t>
      </w:r>
      <w:r w:rsidR="00D006F4">
        <w:t>Paragraph</w:t>
      </w:r>
      <w:r>
        <w:t> 20.1 the Authority must</w:t>
      </w:r>
    </w:p>
    <w:p w14:paraId="1A5330C1" w14:textId="77777777" w:rsidR="0029093D" w:rsidRDefault="0029093D" w:rsidP="0029093D">
      <w:pPr>
        <w:pStyle w:val="Numbered111"/>
      </w:pPr>
      <w:bookmarkStart w:id="416" w:name="_heading=h.39kk8xu" w:colFirst="0" w:colLast="0"/>
      <w:bookmarkEnd w:id="416"/>
      <w:r>
        <w:t>provide written notice to the Supplier setting out:</w:t>
      </w:r>
    </w:p>
    <w:p w14:paraId="04822C97" w14:textId="77777777" w:rsidR="0029093D" w:rsidRDefault="0029093D" w:rsidP="0029093D">
      <w:pPr>
        <w:pStyle w:val="Numbered111a"/>
      </w:pPr>
      <w:r>
        <w:t>the Default in respect of which the Authority has decided to withhold some or all of the Charges;</w:t>
      </w:r>
    </w:p>
    <w:p w14:paraId="10F5537B" w14:textId="77777777" w:rsidR="0029093D" w:rsidRDefault="0029093D" w:rsidP="0029093D">
      <w:pPr>
        <w:pStyle w:val="Numbered111a"/>
      </w:pPr>
      <w:r>
        <w:t>the amount of the Charges that the Authority will withhold;</w:t>
      </w:r>
    </w:p>
    <w:p w14:paraId="2E90591F" w14:textId="77777777" w:rsidR="0029093D" w:rsidRDefault="0029093D" w:rsidP="0029093D">
      <w:pPr>
        <w:pStyle w:val="Numbered111a"/>
      </w:pPr>
      <w:r>
        <w:t>the steps the Supplier must take to remedy the Default;</w:t>
      </w:r>
    </w:p>
    <w:p w14:paraId="72B7C004" w14:textId="77777777" w:rsidR="0029093D" w:rsidRDefault="0029093D" w:rsidP="0029093D">
      <w:pPr>
        <w:pStyle w:val="Numbered111a"/>
      </w:pPr>
      <w:r>
        <w:t>the date by which the Supplier must remedy the Default;</w:t>
      </w:r>
    </w:p>
    <w:p w14:paraId="0E4E5DC8" w14:textId="77777777" w:rsidR="0029093D" w:rsidRDefault="0029093D" w:rsidP="0029093D">
      <w:pPr>
        <w:pStyle w:val="Numbered111a"/>
      </w:pPr>
      <w:r>
        <w:t>the invoice in respect of which the Authority will withhold the Charges; and</w:t>
      </w:r>
    </w:p>
    <w:p w14:paraId="6F706CBD" w14:textId="77777777" w:rsidR="0029093D" w:rsidRDefault="0029093D" w:rsidP="0029093D">
      <w:pPr>
        <w:pStyle w:val="Numbered111"/>
      </w:pPr>
      <w:r>
        <w:t>consider any representations that the Supplier may make concerning the Authority’s decision.</w:t>
      </w:r>
    </w:p>
    <w:p w14:paraId="47087982" w14:textId="68008E6D" w:rsidR="0029093D" w:rsidRDefault="0029093D" w:rsidP="0029093D">
      <w:pPr>
        <w:pStyle w:val="Numbered11"/>
      </w:pPr>
      <w:r>
        <w:t xml:space="preserve">Where the Supplier does not remedy the Default by the date specified in the notice given under </w:t>
      </w:r>
      <w:r w:rsidR="00D006F4">
        <w:t>Paragraph</w:t>
      </w:r>
      <w:r>
        <w:t> 20.3</w:t>
      </w:r>
      <w:r w:rsidR="009C01C2">
        <w:t>.1</w:t>
      </w:r>
      <w:r>
        <w:t>, the Authority may retain the withheld amount.</w:t>
      </w:r>
    </w:p>
    <w:p w14:paraId="2B2A4AF7" w14:textId="77777777" w:rsidR="0029093D" w:rsidRDefault="0029093D" w:rsidP="0029093D">
      <w:pPr>
        <w:pStyle w:val="Numbered11"/>
      </w:pPr>
      <w:r>
        <w:t>The Supplier acknowledges:</w:t>
      </w:r>
    </w:p>
    <w:p w14:paraId="108ABE4D" w14:textId="77777777" w:rsidR="0029093D" w:rsidRDefault="0029093D" w:rsidP="0029093D">
      <w:pPr>
        <w:pStyle w:val="Numbered111"/>
      </w:pPr>
      <w:r>
        <w:t>the legitimate interest that the Authority has in ensuring the security of the Supplier Information Management System and the Authority Data and, as a consequence, the performance by the Supplier of its obligations under this Schedule 5 (</w:t>
      </w:r>
      <w:r>
        <w:rPr>
          <w:i/>
        </w:rPr>
        <w:t>Security Management</w:t>
      </w:r>
      <w:r>
        <w:t>); and</w:t>
      </w:r>
    </w:p>
    <w:p w14:paraId="35B337E9" w14:textId="77777777" w:rsidR="0029093D" w:rsidRDefault="0029093D" w:rsidP="0029093D">
      <w:pPr>
        <w:pStyle w:val="Numbered111"/>
      </w:pPr>
      <w:r>
        <w:t>that any Charges that are retained by the Authority are not out of all proportion to the Authority’s legitimate interest, even where:</w:t>
      </w:r>
    </w:p>
    <w:p w14:paraId="3774B85E" w14:textId="77777777" w:rsidR="0029093D" w:rsidRDefault="0029093D" w:rsidP="0029093D">
      <w:pPr>
        <w:pStyle w:val="Numbered111a"/>
      </w:pPr>
      <w:r>
        <w:t>the Authority has not suffered any Losses as a result of the Supplier’s Default; or</w:t>
      </w:r>
    </w:p>
    <w:p w14:paraId="13D1B602" w14:textId="77777777" w:rsidR="0029093D" w:rsidRDefault="0029093D" w:rsidP="0029093D">
      <w:pPr>
        <w:pStyle w:val="Numbered111a"/>
      </w:pPr>
      <w:r>
        <w:t>the value of the Losses suffered by the Authority as a result of the Supplier’s Default is lower than the amount of the Charges retained.</w:t>
      </w:r>
    </w:p>
    <w:p w14:paraId="6F40259E" w14:textId="056852D1" w:rsidR="0029093D" w:rsidRDefault="0029093D" w:rsidP="0029093D">
      <w:pPr>
        <w:pStyle w:val="Numbered11"/>
      </w:pPr>
      <w:r>
        <w:lastRenderedPageBreak/>
        <w:t xml:space="preserve">The Authority’s right to withhold or retain any amount under this </w:t>
      </w:r>
      <w:r w:rsidR="00D006F4">
        <w:t>Paragraph</w:t>
      </w:r>
      <w:r>
        <w:t> 20 are in addition to any other rights that the Authority may have under this Contract or in Law, including any right to claim damages for Losses it suffers arising from the Default.</w:t>
      </w:r>
    </w:p>
    <w:p w14:paraId="0AF015C3" w14:textId="77777777" w:rsidR="0029093D" w:rsidRDefault="0029093D" w:rsidP="0029093D">
      <w:pPr>
        <w:pStyle w:val="Numbered1"/>
      </w:pPr>
      <w:bookmarkStart w:id="417" w:name="_heading=h.1opuj5n" w:colFirst="0" w:colLast="0"/>
      <w:bookmarkEnd w:id="417"/>
      <w:r>
        <w:t>Access to Authority System</w:t>
      </w:r>
      <w:bookmarkStart w:id="418" w:name="bookmark=id.48pi1tg" w:colFirst="0" w:colLast="0"/>
      <w:bookmarkEnd w:id="418"/>
    </w:p>
    <w:p w14:paraId="377F9AF4" w14:textId="77777777" w:rsidR="0029093D" w:rsidRDefault="0029093D" w:rsidP="0029093D">
      <w:pPr>
        <w:pStyle w:val="Numbered11"/>
        <w:sectPr w:rsidR="0029093D" w:rsidSect="00D42BA3">
          <w:headerReference w:type="default" r:id="rId57"/>
          <w:footerReference w:type="default" r:id="rId58"/>
          <w:pgSz w:w="11906" w:h="16838"/>
          <w:pgMar w:top="1440" w:right="1440" w:bottom="1797" w:left="1440" w:header="720" w:footer="720" w:gutter="0"/>
          <w:cols w:space="720"/>
        </w:sectPr>
      </w:pPr>
      <w:r>
        <w:t>Where the Supplier, a Sub-contractor or any of the Supplier Personnel is granted access to the Authority System or to the Authority Equipment, it must comply with and ensure that all such Sub-contractors and Supplier Personnel comply with, all rules, policies and guidance provided to it and as updated from time to time concerning the Authority System or the Authority Equipment.</w:t>
      </w:r>
    </w:p>
    <w:p w14:paraId="474A8313" w14:textId="1ED4BB87" w:rsidR="00F67E9E" w:rsidRPr="0029093D" w:rsidRDefault="00F67E9E" w:rsidP="0029093D">
      <w:pPr>
        <w:pStyle w:val="Guidancenumbered"/>
        <w:tabs>
          <w:tab w:val="clear" w:pos="720"/>
        </w:tabs>
        <w:rPr>
          <w:i w:val="0"/>
          <w:highlight w:val="yellow"/>
        </w:rPr>
      </w:pPr>
    </w:p>
    <w:p w14:paraId="1093512A" w14:textId="77777777" w:rsidR="00F67E9E" w:rsidRDefault="00F67E9E" w:rsidP="00F67E9E">
      <w:pPr>
        <w:rPr>
          <w:highlight w:val="yellow"/>
        </w:rPr>
      </w:pPr>
    </w:p>
    <w:p w14:paraId="427D5895" w14:textId="436BC853" w:rsidR="00F67E9E" w:rsidRDefault="00CD68D5" w:rsidP="00F67E9E">
      <w:pPr>
        <w:pStyle w:val="Heading2"/>
        <w:pageBreakBefore/>
      </w:pPr>
      <w:bookmarkStart w:id="419" w:name="_Ref_ContractCompanion_9kb9Ur5DE"/>
      <w:bookmarkStart w:id="420" w:name="_Ref_ContractCompanion_9kb9Ur6BF"/>
      <w:bookmarkStart w:id="421" w:name="_Ref_ContractCompanion_9kb9Ur799"/>
      <w:bookmarkStart w:id="422" w:name="_Ref_ContractCompanion_9kb9Ur79B"/>
      <w:bookmarkStart w:id="423" w:name="_Toc145412745"/>
      <w:r>
        <w:lastRenderedPageBreak/>
        <w:t>Appendix</w:t>
      </w:r>
      <w:r w:rsidR="00F67E9E" w:rsidRPr="00B80662">
        <w:t xml:space="preserve"> </w:t>
      </w:r>
      <w:bookmarkStart w:id="424" w:name="ANNEX1_SCHEDULE5"/>
      <w:bookmarkStart w:id="425" w:name="ANNEX1_PARTA_SCHEDULE5"/>
      <w:r w:rsidR="00F67E9E" w:rsidRPr="00B80662">
        <w:t>1</w:t>
      </w:r>
      <w:bookmarkEnd w:id="424"/>
      <w:bookmarkEnd w:id="425"/>
      <w:r w:rsidR="00F67E9E" w:rsidRPr="00B80662">
        <w:t>: Security Requirements</w:t>
      </w:r>
      <w:bookmarkEnd w:id="419"/>
      <w:bookmarkEnd w:id="420"/>
      <w:bookmarkEnd w:id="421"/>
      <w:bookmarkEnd w:id="422"/>
      <w:bookmarkEnd w:id="423"/>
    </w:p>
    <w:p w14:paraId="7F7E6E7B" w14:textId="77777777" w:rsidR="00CD68D5" w:rsidRDefault="00CD68D5" w:rsidP="00CD68D5">
      <w:pPr>
        <w:pStyle w:val="AppendixText1"/>
        <w:numPr>
          <w:ilvl w:val="0"/>
          <w:numId w:val="0"/>
        </w:numPr>
        <w:ind w:left="720" w:hanging="720"/>
      </w:pPr>
    </w:p>
    <w:p w14:paraId="6ACCADDB" w14:textId="77777777" w:rsidR="00CD68D5" w:rsidRDefault="00CD68D5" w:rsidP="00E1349E">
      <w:pPr>
        <w:pStyle w:val="AppendixText1"/>
        <w:numPr>
          <w:ilvl w:val="0"/>
          <w:numId w:val="236"/>
        </w:numPr>
      </w:pPr>
      <w:r>
        <w:t>Location</w:t>
      </w:r>
    </w:p>
    <w:p w14:paraId="4936AB96" w14:textId="77777777" w:rsidR="00CD68D5" w:rsidRDefault="00CD68D5" w:rsidP="00CD68D5">
      <w:pPr>
        <w:keepNext/>
        <w:pBdr>
          <w:top w:val="nil"/>
          <w:left w:val="nil"/>
          <w:bottom w:val="nil"/>
          <w:right w:val="nil"/>
          <w:between w:val="nil"/>
        </w:pBdr>
        <w:ind w:left="720"/>
        <w:rPr>
          <w:b/>
          <w:color w:val="000000"/>
        </w:rPr>
      </w:pPr>
      <w:bookmarkStart w:id="426" w:name="_heading=h.2250f4o" w:colFirst="0" w:colLast="0"/>
      <w:bookmarkEnd w:id="426"/>
      <w:r>
        <w:rPr>
          <w:b/>
          <w:color w:val="000000"/>
        </w:rPr>
        <w:t>Location for Relevant Activities</w:t>
      </w:r>
    </w:p>
    <w:p w14:paraId="51616B3D" w14:textId="77777777" w:rsidR="00CD68D5" w:rsidRDefault="00CD68D5" w:rsidP="00CD68D5">
      <w:pPr>
        <w:pStyle w:val="AppendixText2"/>
      </w:pPr>
      <w:bookmarkStart w:id="427" w:name="_heading=h.haapch" w:colFirst="0" w:colLast="0"/>
      <w:bookmarkEnd w:id="427"/>
      <w:r>
        <w:t>Unless otherwise agreed with the Authority, the Supplier must, and ensure that its Sub-contractors, at all times:</w:t>
      </w:r>
    </w:p>
    <w:p w14:paraId="215BE385" w14:textId="77777777" w:rsidR="00CD68D5" w:rsidRDefault="00CD68D5" w:rsidP="00CD68D5">
      <w:pPr>
        <w:pStyle w:val="AppendixText3"/>
      </w:pPr>
      <w:r>
        <w:t>provide the Services;</w:t>
      </w:r>
    </w:p>
    <w:p w14:paraId="5D342F6B" w14:textId="77777777" w:rsidR="00CD68D5" w:rsidRDefault="00CD68D5" w:rsidP="00CD68D5">
      <w:pPr>
        <w:pStyle w:val="AppendixText3"/>
      </w:pPr>
      <w:r>
        <w:t>undertake any activity supporting or managing:</w:t>
      </w:r>
    </w:p>
    <w:p w14:paraId="360C0E5D" w14:textId="77777777" w:rsidR="00CD68D5" w:rsidRDefault="00CD68D5" w:rsidP="00CD68D5">
      <w:pPr>
        <w:pStyle w:val="AppendixText4"/>
      </w:pPr>
      <w:r>
        <w:t>the Services;</w:t>
      </w:r>
    </w:p>
    <w:p w14:paraId="078FCE3F" w14:textId="77777777" w:rsidR="00CD68D5" w:rsidRDefault="00CD68D5" w:rsidP="00CD68D5">
      <w:pPr>
        <w:pStyle w:val="AppendixText4"/>
      </w:pPr>
      <w:r>
        <w:t>the Supplier Information Management System; or</w:t>
      </w:r>
    </w:p>
    <w:p w14:paraId="32E7ECCD" w14:textId="77777777" w:rsidR="00CD68D5" w:rsidRDefault="00CD68D5" w:rsidP="00CD68D5">
      <w:pPr>
        <w:pStyle w:val="AppendixText4"/>
      </w:pPr>
      <w:r>
        <w:t xml:space="preserve">the Wider Information Management System; </w:t>
      </w:r>
    </w:p>
    <w:p w14:paraId="06744ADE" w14:textId="77777777" w:rsidR="00CD68D5" w:rsidRDefault="00CD68D5" w:rsidP="00CD68D5">
      <w:pPr>
        <w:pStyle w:val="AppendixText3"/>
      </w:pPr>
      <w:r>
        <w:t>store, access or process Authority Data;</w:t>
      </w:r>
    </w:p>
    <w:p w14:paraId="3668EAAF" w14:textId="77777777" w:rsidR="00CD68D5" w:rsidRDefault="00CD68D5" w:rsidP="00CD68D5">
      <w:pPr>
        <w:pStyle w:val="AppendixText3"/>
      </w:pPr>
      <w:r>
        <w:t>undertake the Development Activity; and</w:t>
      </w:r>
    </w:p>
    <w:p w14:paraId="720012B7" w14:textId="77777777" w:rsidR="00CD68D5" w:rsidRDefault="00CD68D5" w:rsidP="00CD68D5">
      <w:pPr>
        <w:pStyle w:val="AppendixText3"/>
      </w:pPr>
      <w:r>
        <w:t>host the Wider Information Management System, including any Sites</w:t>
      </w:r>
    </w:p>
    <w:p w14:paraId="07DAD9D7" w14:textId="77777777" w:rsidR="00CD68D5" w:rsidRDefault="00CD68D5" w:rsidP="00E1349E">
      <w:pPr>
        <w:numPr>
          <w:ilvl w:val="1"/>
          <w:numId w:val="199"/>
        </w:numPr>
        <w:pBdr>
          <w:top w:val="nil"/>
          <w:left w:val="nil"/>
          <w:bottom w:val="nil"/>
          <w:right w:val="nil"/>
          <w:between w:val="nil"/>
        </w:pBdr>
        <w:spacing w:before="100" w:after="200"/>
      </w:pPr>
      <w:r>
        <w:rPr>
          <w:color w:val="000000"/>
        </w:rPr>
        <w:t xml:space="preserve">(together, the </w:t>
      </w:r>
      <w:r>
        <w:rPr>
          <w:b/>
          <w:color w:val="000000"/>
        </w:rPr>
        <w:t>Relevant Activities</w:t>
      </w:r>
      <w:r>
        <w:rPr>
          <w:color w:val="000000"/>
        </w:rPr>
        <w:t>)</w:t>
      </w:r>
    </w:p>
    <w:p w14:paraId="71E3BB2F" w14:textId="51781182" w:rsidR="00CD68D5" w:rsidRDefault="00CD68D5" w:rsidP="00E1349E">
      <w:pPr>
        <w:numPr>
          <w:ilvl w:val="1"/>
          <w:numId w:val="199"/>
        </w:numPr>
        <w:pBdr>
          <w:top w:val="nil"/>
          <w:left w:val="nil"/>
          <w:bottom w:val="nil"/>
          <w:right w:val="nil"/>
          <w:between w:val="nil"/>
        </w:pBdr>
        <w:spacing w:before="100" w:after="200"/>
      </w:pPr>
      <w:r>
        <w:rPr>
          <w:color w:val="000000"/>
        </w:rPr>
        <w:t xml:space="preserve">only in or from the geographic areas permitted by the Authority in </w:t>
      </w:r>
      <w:r w:rsidR="00D006F4">
        <w:rPr>
          <w:color w:val="000000"/>
        </w:rPr>
        <w:t>Paragraph</w:t>
      </w:r>
      <w:r>
        <w:rPr>
          <w:color w:val="000000"/>
        </w:rPr>
        <w:t> 1</w:t>
      </w:r>
      <w:r w:rsidR="009C01C2">
        <w:rPr>
          <w:color w:val="000000"/>
        </w:rPr>
        <w:t xml:space="preserve"> of Schedule 5 </w:t>
      </w:r>
      <w:r w:rsidR="009C01C2" w:rsidRPr="009C01C2">
        <w:rPr>
          <w:i/>
          <w:color w:val="000000"/>
        </w:rPr>
        <w:t>(Security Management)</w:t>
      </w:r>
      <w:r>
        <w:rPr>
          <w:color w:val="000000"/>
        </w:rPr>
        <w:t>.</w:t>
      </w:r>
    </w:p>
    <w:p w14:paraId="4890EF1D" w14:textId="44F8DA58" w:rsidR="00CD68D5" w:rsidRDefault="00CD68D5" w:rsidP="00CD68D5">
      <w:pPr>
        <w:pStyle w:val="AppendixText2"/>
      </w:pPr>
      <w:r>
        <w:t xml:space="preserve">Where the Authority has not selected an option concerning location in </w:t>
      </w:r>
      <w:r w:rsidR="00D006F4">
        <w:t>Paragraph</w:t>
      </w:r>
      <w:r>
        <w:t> 1</w:t>
      </w:r>
      <w:r w:rsidR="009C01C2">
        <w:t xml:space="preserve"> </w:t>
      </w:r>
      <w:r w:rsidR="009C01C2">
        <w:rPr>
          <w:color w:val="000000"/>
        </w:rPr>
        <w:t xml:space="preserve">of Schedule 5 </w:t>
      </w:r>
      <w:r w:rsidR="009C01C2" w:rsidRPr="009C01C2">
        <w:rPr>
          <w:i/>
          <w:color w:val="000000"/>
        </w:rPr>
        <w:t>(Security Management)</w:t>
      </w:r>
      <w:r>
        <w:t>, the Supplier may only undertake the Relevant Activities in or from the United Kingdom.</w:t>
      </w:r>
    </w:p>
    <w:p w14:paraId="7B31FAE2" w14:textId="77777777" w:rsidR="00CD68D5" w:rsidRDefault="00CD68D5" w:rsidP="00CD68D5">
      <w:pPr>
        <w:pStyle w:val="AppendixText2"/>
      </w:pPr>
      <w:bookmarkStart w:id="428" w:name="_heading=h.319y80a" w:colFirst="0" w:colLast="0"/>
      <w:bookmarkEnd w:id="428"/>
      <w:r>
        <w:t>Where the Authority has permitted the Supplier and its Sub-contractors to perform the Relevant Activities outside the United Kingdom or European Economic Area, the Supplier must, and must ensure that its Sub-contractors undertake the Relevant Activities in a facility operated by an entity where:</w:t>
      </w:r>
    </w:p>
    <w:p w14:paraId="477297A7" w14:textId="77777777" w:rsidR="00CD68D5" w:rsidRDefault="00CD68D5" w:rsidP="00CD68D5">
      <w:pPr>
        <w:pStyle w:val="AppendixText3"/>
      </w:pPr>
      <w:r>
        <w:t>the entity has entered into a binding agreement with the Supplier or Sub-contractor (as applicable);</w:t>
      </w:r>
    </w:p>
    <w:p w14:paraId="1230BCB5" w14:textId="77777777" w:rsidR="00CD68D5" w:rsidRDefault="00CD68D5" w:rsidP="00CD68D5">
      <w:pPr>
        <w:pStyle w:val="AppendixText3"/>
      </w:pPr>
      <w:bookmarkStart w:id="429" w:name="_heading=h.1gf8i83" w:colFirst="0" w:colLast="0"/>
      <w:bookmarkEnd w:id="429"/>
      <w:r>
        <w:t>that binding agreement includes obligations on the entity in relation to security management equivalent to those imposed on Sub-contractors in this Schedule 5 (</w:t>
      </w:r>
      <w:r>
        <w:rPr>
          <w:i/>
        </w:rPr>
        <w:t>Security Management</w:t>
      </w:r>
      <w:r>
        <w:t>);</w:t>
      </w:r>
    </w:p>
    <w:p w14:paraId="72C439D4" w14:textId="77777777" w:rsidR="00CD68D5" w:rsidRDefault="00CD68D5" w:rsidP="00CD68D5">
      <w:pPr>
        <w:pStyle w:val="AppendixText3"/>
      </w:pPr>
      <w:r>
        <w:t>the Supplier or Sub-contractor has taken reasonable steps to assure itself that the entity complies with the binding agreement;</w:t>
      </w:r>
    </w:p>
    <w:p w14:paraId="6CEB5E31" w14:textId="77777777" w:rsidR="00CD68D5" w:rsidRDefault="00CD68D5" w:rsidP="00CD68D5">
      <w:pPr>
        <w:pStyle w:val="AppendixText3"/>
      </w:pPr>
      <w:r>
        <w:t>the Supplier has provided the Authority with such information as the Authority requires concerning:</w:t>
      </w:r>
    </w:p>
    <w:p w14:paraId="1C897876" w14:textId="77777777" w:rsidR="00CD68D5" w:rsidRDefault="00CD68D5" w:rsidP="00CD68D5">
      <w:pPr>
        <w:pStyle w:val="AppendixText4"/>
      </w:pPr>
      <w:r>
        <w:lastRenderedPageBreak/>
        <w:t>the entity;</w:t>
      </w:r>
    </w:p>
    <w:p w14:paraId="60DF07AE" w14:textId="77777777" w:rsidR="00CD68D5" w:rsidRDefault="00CD68D5" w:rsidP="00CD68D5">
      <w:pPr>
        <w:pStyle w:val="AppendixText4"/>
      </w:pPr>
      <w:r>
        <w:t>the arrangements with the entity; and</w:t>
      </w:r>
    </w:p>
    <w:p w14:paraId="67367C9E" w14:textId="77777777" w:rsidR="00CD68D5" w:rsidRDefault="00CD68D5" w:rsidP="00CD68D5">
      <w:pPr>
        <w:pStyle w:val="AppendixText4"/>
      </w:pPr>
      <w:r>
        <w:t>the entity’s compliance with the binding agreement; and</w:t>
      </w:r>
    </w:p>
    <w:p w14:paraId="3057B482" w14:textId="1FE928BA" w:rsidR="00CD68D5" w:rsidRDefault="00CD68D5" w:rsidP="00CD68D5">
      <w:pPr>
        <w:pStyle w:val="AppendixText3"/>
      </w:pPr>
      <w:r>
        <w:t>the Authority has not given the Supplier a Prohibition Notice under paragraph </w:t>
      </w:r>
      <w:r w:rsidR="009C01C2">
        <w:t>1.10 of this Appendix</w:t>
      </w:r>
      <w:r>
        <w:t>.</w:t>
      </w:r>
    </w:p>
    <w:p w14:paraId="2FB4A36A" w14:textId="7D35B6F4" w:rsidR="00CD68D5" w:rsidRDefault="00CD68D5" w:rsidP="00CD68D5">
      <w:pPr>
        <w:pStyle w:val="AppendixText2"/>
      </w:pPr>
      <w:r>
        <w:t>Where the Supplier cannot comply with one or more of the requirements of paragraph 1.3</w:t>
      </w:r>
      <w:r w:rsidR="009C01C2">
        <w:t xml:space="preserve"> of this Appendix</w:t>
      </w:r>
      <w:r>
        <w:t>:</w:t>
      </w:r>
    </w:p>
    <w:p w14:paraId="3FEDD839" w14:textId="77777777" w:rsidR="00CD68D5" w:rsidRDefault="00CD68D5" w:rsidP="00CD68D5">
      <w:pPr>
        <w:pStyle w:val="AppendixText3"/>
      </w:pPr>
      <w:r>
        <w:t>it must provide the Authority with such information as the Authority requests concerning:</w:t>
      </w:r>
    </w:p>
    <w:p w14:paraId="228CDDD2" w14:textId="77777777" w:rsidR="00CD68D5" w:rsidRDefault="00CD68D5" w:rsidP="00CD68D5">
      <w:pPr>
        <w:pStyle w:val="AppendixText4"/>
      </w:pPr>
      <w:r>
        <w:t>the security controls in places at the relevant location or locations; and</w:t>
      </w:r>
    </w:p>
    <w:p w14:paraId="11269656" w14:textId="77777777" w:rsidR="00CD68D5" w:rsidRDefault="00CD68D5" w:rsidP="00E1349E">
      <w:pPr>
        <w:numPr>
          <w:ilvl w:val="3"/>
          <w:numId w:val="197"/>
        </w:numPr>
        <w:pBdr>
          <w:top w:val="nil"/>
          <w:left w:val="nil"/>
          <w:bottom w:val="nil"/>
          <w:right w:val="nil"/>
          <w:between w:val="nil"/>
        </w:pBdr>
        <w:spacing w:before="100" w:after="200"/>
      </w:pPr>
      <w:r>
        <w:rPr>
          <w:color w:val="000000"/>
        </w:rPr>
        <w:t>where certain security controls are not, or only partially, implemented the reasons for this;</w:t>
      </w:r>
    </w:p>
    <w:p w14:paraId="10621AF1" w14:textId="77777777" w:rsidR="00CD68D5" w:rsidRDefault="00CD68D5" w:rsidP="00CD68D5">
      <w:pPr>
        <w:pStyle w:val="AppendixText3"/>
      </w:pPr>
      <w:r>
        <w:t>the Authority may grant approval to use that location or those locations, and that approval may include conditions; and</w:t>
      </w:r>
    </w:p>
    <w:p w14:paraId="1EB03DC9" w14:textId="77777777" w:rsidR="00CD68D5" w:rsidRDefault="00CD68D5" w:rsidP="00CD68D5">
      <w:pPr>
        <w:pStyle w:val="AppendixText3"/>
      </w:pPr>
      <w:r>
        <w:t>if the Authority does not grant permission to use that location or those locations, the Supplier must, within such period as the Authority may specify:</w:t>
      </w:r>
    </w:p>
    <w:p w14:paraId="6A3EFE44" w14:textId="77777777" w:rsidR="00CD68D5" w:rsidRDefault="00CD68D5" w:rsidP="00CD68D5">
      <w:pPr>
        <w:pStyle w:val="AppendixText4"/>
      </w:pPr>
      <w:r>
        <w:t>cease to store, access or process Authority Data at that location or those locations;</w:t>
      </w:r>
    </w:p>
    <w:p w14:paraId="0DAD6407" w14:textId="77777777" w:rsidR="00CD68D5" w:rsidRDefault="00CD68D5" w:rsidP="00CD68D5">
      <w:pPr>
        <w:pStyle w:val="AppendixText4"/>
      </w:pPr>
      <w:r>
        <w:t>sanitise, in accordance with instructions from the Authority, such equipment within the information and communications technology system used to store, access or process Authority Data at that location, or those locations, as the Authority may specify.</w:t>
      </w:r>
    </w:p>
    <w:p w14:paraId="4FE3148B" w14:textId="77777777" w:rsidR="00CD68D5" w:rsidRDefault="00CD68D5" w:rsidP="00CD68D5">
      <w:pPr>
        <w:keepNext/>
        <w:pBdr>
          <w:top w:val="nil"/>
          <w:left w:val="nil"/>
          <w:bottom w:val="nil"/>
          <w:right w:val="nil"/>
          <w:between w:val="nil"/>
        </w:pBdr>
        <w:ind w:left="720"/>
        <w:rPr>
          <w:b/>
          <w:color w:val="000000"/>
        </w:rPr>
      </w:pPr>
      <w:r>
        <w:rPr>
          <w:b/>
          <w:color w:val="000000"/>
        </w:rPr>
        <w:t>Support Locations</w:t>
      </w:r>
    </w:p>
    <w:p w14:paraId="5597F495" w14:textId="77777777" w:rsidR="00CD68D5" w:rsidRDefault="00CD68D5" w:rsidP="00CD68D5">
      <w:pPr>
        <w:pStyle w:val="AppendixText2"/>
      </w:pPr>
      <w:r>
        <w:t>The Supplier must ensure that all Support Locations are located only in the geographic areas permitted by the Authority.</w:t>
      </w:r>
    </w:p>
    <w:p w14:paraId="418EDB09" w14:textId="4E0D20EB" w:rsidR="00CD68D5" w:rsidRDefault="00CD68D5" w:rsidP="00CD68D5">
      <w:pPr>
        <w:pStyle w:val="AppendixText2"/>
      </w:pPr>
      <w:r>
        <w:t xml:space="preserve">Where the Authority has not selected an option concerning location in </w:t>
      </w:r>
      <w:r w:rsidR="00D006F4">
        <w:t>Paragraph</w:t>
      </w:r>
      <w:r>
        <w:t> 1</w:t>
      </w:r>
      <w:r w:rsidR="009C01C2">
        <w:t xml:space="preserve"> of </w:t>
      </w:r>
      <w:r w:rsidR="009C01C2">
        <w:rPr>
          <w:color w:val="000000"/>
        </w:rPr>
        <w:t xml:space="preserve">Schedule 5 </w:t>
      </w:r>
      <w:r w:rsidR="009C01C2" w:rsidRPr="009C01C2">
        <w:rPr>
          <w:i/>
          <w:color w:val="000000"/>
        </w:rPr>
        <w:t>(Security Management)</w:t>
      </w:r>
      <w:r>
        <w:t>, the Supplier may only locate Support Locations in the United Kingdom.</w:t>
      </w:r>
    </w:p>
    <w:p w14:paraId="2075B91F" w14:textId="77777777" w:rsidR="00CD68D5" w:rsidRDefault="00CD68D5" w:rsidP="00CD68D5">
      <w:pPr>
        <w:pStyle w:val="AppendixText2"/>
      </w:pPr>
      <w:r>
        <w:t>Where the Authority has permitted the Supplier and its Sub-contractors to operate Support Locations outside the United Kingdom or European Economic Area, the Supplier must, and must ensure that its Sub-contractors operate the Support Locations in a facility operated by an entity where</w:t>
      </w:r>
    </w:p>
    <w:p w14:paraId="5F4B8D5C" w14:textId="77777777" w:rsidR="00CD68D5" w:rsidRDefault="00CD68D5" w:rsidP="00CD68D5">
      <w:pPr>
        <w:pStyle w:val="AppendixText3"/>
      </w:pPr>
      <w:r>
        <w:t>the entity has entered into a binding agreement with the Supplier or Sub-contractor (as applicable);</w:t>
      </w:r>
    </w:p>
    <w:p w14:paraId="707AFDFA" w14:textId="197772FF" w:rsidR="00CD68D5" w:rsidRDefault="00CD68D5" w:rsidP="00CD68D5">
      <w:pPr>
        <w:pStyle w:val="AppendixText3"/>
      </w:pPr>
      <w:bookmarkStart w:id="430" w:name="_heading=h.40ew0vw" w:colFirst="0" w:colLast="0"/>
      <w:bookmarkEnd w:id="430"/>
      <w:r>
        <w:lastRenderedPageBreak/>
        <w:t>the binding agreement includes obligations on the entity in relation to security management equivalent to those relating to Sub-contractors in this Schedule </w:t>
      </w:r>
      <w:r w:rsidR="009C01C2">
        <w:t xml:space="preserve">5 </w:t>
      </w:r>
      <w:r w:rsidRPr="009C01C2">
        <w:rPr>
          <w:i/>
        </w:rPr>
        <w:t>(Security Management)</w:t>
      </w:r>
      <w:r>
        <w:t>;</w:t>
      </w:r>
    </w:p>
    <w:p w14:paraId="396E4DD1" w14:textId="77777777" w:rsidR="00CD68D5" w:rsidRDefault="00CD68D5" w:rsidP="00CD68D5">
      <w:pPr>
        <w:pStyle w:val="AppendixText3"/>
      </w:pPr>
      <w:r>
        <w:t>the Supplier or Sub-contractor has taken reasonable steps to assure itself that the entity complies with the binding agreement;</w:t>
      </w:r>
    </w:p>
    <w:p w14:paraId="57AC1747" w14:textId="77777777" w:rsidR="00CD68D5" w:rsidRDefault="00CD68D5" w:rsidP="00CD68D5">
      <w:pPr>
        <w:pStyle w:val="AppendixText3"/>
      </w:pPr>
      <w:r>
        <w:t>the Supplier has provided the Authority with such information as the Authority requires concerning:</w:t>
      </w:r>
    </w:p>
    <w:p w14:paraId="0005DC28" w14:textId="77777777" w:rsidR="00CD68D5" w:rsidRDefault="00CD68D5" w:rsidP="00CD68D5">
      <w:pPr>
        <w:pStyle w:val="AppendixText4"/>
      </w:pPr>
      <w:r>
        <w:t>the entity;</w:t>
      </w:r>
    </w:p>
    <w:p w14:paraId="7BDBAA71" w14:textId="77777777" w:rsidR="00CD68D5" w:rsidRDefault="00CD68D5" w:rsidP="00CD68D5">
      <w:pPr>
        <w:pStyle w:val="AppendixText4"/>
      </w:pPr>
      <w:r>
        <w:t>the arrangements with the entity; and</w:t>
      </w:r>
    </w:p>
    <w:p w14:paraId="3526AEEF" w14:textId="77777777" w:rsidR="00CD68D5" w:rsidRDefault="00CD68D5" w:rsidP="00CD68D5">
      <w:pPr>
        <w:pStyle w:val="AppendixText4"/>
      </w:pPr>
      <w:r>
        <w:t>the entity’s compliance with the binding agreement; and</w:t>
      </w:r>
    </w:p>
    <w:p w14:paraId="2811CE3C" w14:textId="2832618C" w:rsidR="00CD68D5" w:rsidRDefault="00CD68D5" w:rsidP="00CD68D5">
      <w:pPr>
        <w:pStyle w:val="AppendixText4"/>
      </w:pPr>
      <w:r>
        <w:t>the Authority has not given the Supplier a Prohibition Notice under paragraph 1.10</w:t>
      </w:r>
      <w:r w:rsidR="009C01C2">
        <w:t xml:space="preserve"> of this Appendix</w:t>
      </w:r>
      <w:r>
        <w:t>.</w:t>
      </w:r>
    </w:p>
    <w:p w14:paraId="4E218B3E" w14:textId="77777777" w:rsidR="00CD68D5" w:rsidRDefault="00CD68D5" w:rsidP="00CD68D5">
      <w:pPr>
        <w:keepNext/>
        <w:pBdr>
          <w:top w:val="nil"/>
          <w:left w:val="nil"/>
          <w:bottom w:val="nil"/>
          <w:right w:val="nil"/>
          <w:between w:val="nil"/>
        </w:pBdr>
        <w:ind w:left="720"/>
        <w:rPr>
          <w:b/>
          <w:color w:val="000000"/>
        </w:rPr>
      </w:pPr>
      <w:r>
        <w:rPr>
          <w:b/>
          <w:color w:val="000000"/>
        </w:rPr>
        <w:t>Third-party Tools</w:t>
      </w:r>
    </w:p>
    <w:p w14:paraId="77E7B33F" w14:textId="77777777" w:rsidR="00CD68D5" w:rsidRDefault="00CD68D5" w:rsidP="00CD68D5">
      <w:pPr>
        <w:pStyle w:val="AppendixText2"/>
      </w:pPr>
      <w:r>
        <w:t>The Supplier must use, and ensure that Sub-contractors use, only those Third-party Tools included in the Register of Sites, Support Locations and Third-party Tools.</w:t>
      </w:r>
    </w:p>
    <w:p w14:paraId="0ED45D0B" w14:textId="77777777" w:rsidR="00CD68D5" w:rsidRDefault="00CD68D5" w:rsidP="00CD68D5">
      <w:pPr>
        <w:pStyle w:val="AppendixText2"/>
      </w:pPr>
      <w:r>
        <w:t>The Supplier must not, and must not allow Sub-contractors to, use:</w:t>
      </w:r>
    </w:p>
    <w:p w14:paraId="04022ADE" w14:textId="77777777" w:rsidR="00CD68D5" w:rsidRDefault="00CD68D5" w:rsidP="00CD68D5">
      <w:pPr>
        <w:pStyle w:val="AppendixText3"/>
      </w:pPr>
      <w:r>
        <w:t>a Third-party Tool other than for the activity specified for that Third-party Tool in the Register of Sites, Support Locations and Third-party Tools; or</w:t>
      </w:r>
    </w:p>
    <w:p w14:paraId="62333F25" w14:textId="77777777" w:rsidR="00CD68D5" w:rsidRDefault="00CD68D5" w:rsidP="00CD68D5">
      <w:pPr>
        <w:pStyle w:val="AppendixText3"/>
      </w:pPr>
      <w:r>
        <w:t xml:space="preserve"> a new Third-party Tool, or replace an existing Third-party Tool, without the permission of the Authority.</w:t>
      </w:r>
    </w:p>
    <w:p w14:paraId="630A46A1" w14:textId="77777777" w:rsidR="00CD68D5" w:rsidRDefault="00CD68D5" w:rsidP="00CD68D5">
      <w:pPr>
        <w:keepNext/>
        <w:pBdr>
          <w:top w:val="nil"/>
          <w:left w:val="nil"/>
          <w:bottom w:val="nil"/>
          <w:right w:val="nil"/>
          <w:between w:val="nil"/>
        </w:pBdr>
        <w:ind w:left="720"/>
        <w:rPr>
          <w:b/>
          <w:color w:val="000000"/>
        </w:rPr>
      </w:pPr>
      <w:bookmarkStart w:id="431" w:name="_heading=h.2fk6b3p" w:colFirst="0" w:colLast="0"/>
      <w:bookmarkEnd w:id="431"/>
      <w:r>
        <w:rPr>
          <w:b/>
          <w:color w:val="000000"/>
        </w:rPr>
        <w:t>Prohibited Activities</w:t>
      </w:r>
    </w:p>
    <w:p w14:paraId="1C4486AD" w14:textId="77777777" w:rsidR="00CD68D5" w:rsidRDefault="00CD68D5" w:rsidP="00CD68D5">
      <w:pPr>
        <w:pStyle w:val="AppendixText2"/>
      </w:pPr>
      <w:bookmarkStart w:id="432" w:name="_heading=h.upglbi" w:colFirst="0" w:colLast="0"/>
      <w:bookmarkEnd w:id="432"/>
      <w:r>
        <w:t>The Authority may by notice in writing at any time give notice to the Supplier that it and its Sub-contractors must not undertake or permit to be undertaken some or all of the Relevant Activities or operate Support Locations (</w:t>
      </w:r>
      <w:r>
        <w:rPr>
          <w:b/>
        </w:rPr>
        <w:t>Prohibited Activity</w:t>
      </w:r>
      <w:r>
        <w:t>).</w:t>
      </w:r>
    </w:p>
    <w:p w14:paraId="0BEF5BD0" w14:textId="77777777" w:rsidR="00CD68D5" w:rsidRDefault="00CD68D5" w:rsidP="00CD68D5">
      <w:pPr>
        <w:pStyle w:val="AppendixText3"/>
      </w:pPr>
      <w:r>
        <w:t>in any particular country or group of countries;</w:t>
      </w:r>
    </w:p>
    <w:p w14:paraId="78A2008B" w14:textId="77777777" w:rsidR="00CD68D5" w:rsidRDefault="00CD68D5" w:rsidP="00CD68D5">
      <w:pPr>
        <w:pStyle w:val="AppendixText3"/>
      </w:pPr>
      <w:r>
        <w:t>in or using facilities operated by any particular entity or group of entities; or</w:t>
      </w:r>
    </w:p>
    <w:p w14:paraId="79FBC75C" w14:textId="77777777" w:rsidR="00CD68D5" w:rsidRDefault="00CD68D5" w:rsidP="00CD68D5">
      <w:pPr>
        <w:pStyle w:val="AppendixText3"/>
      </w:pPr>
      <w:r>
        <w:t>in or using any particular facility or group of facilities, whether operated by the Supplier, a Sub-contractor or a third-party entity (</w:t>
      </w:r>
      <w:r>
        <w:rPr>
          <w:b/>
        </w:rPr>
        <w:t>Prohibition Notice</w:t>
      </w:r>
      <w:r>
        <w:t>).</w:t>
      </w:r>
    </w:p>
    <w:p w14:paraId="4B1BFFCB" w14:textId="77777777" w:rsidR="00CD68D5" w:rsidRDefault="00CD68D5" w:rsidP="00CD68D5">
      <w:pPr>
        <w:pStyle w:val="AppendixText2"/>
      </w:pPr>
      <w:r>
        <w:t>Where the Supplier or Sub-contractor, on the date of the Prohibition Notice undertakes any Relevant Activities or operates any Support Locations  affected by the notice, the Supplier must, and must procure that Sub-</w:t>
      </w:r>
      <w:r>
        <w:lastRenderedPageBreak/>
        <w:t>contractors, cease to undertake that Prohibited Activity within 40 Working Days of the date of the Prohibition Notice.</w:t>
      </w:r>
    </w:p>
    <w:p w14:paraId="0C30F3D4" w14:textId="77777777" w:rsidR="00CD68D5" w:rsidRDefault="00CD68D5" w:rsidP="00CD68D5">
      <w:pPr>
        <w:pStyle w:val="AppendixText1"/>
      </w:pPr>
      <w:r>
        <w:t>Vetting, Training and Staff Access</w:t>
      </w:r>
    </w:p>
    <w:p w14:paraId="4D06C0C4" w14:textId="77777777" w:rsidR="00CD68D5" w:rsidRDefault="00CD68D5" w:rsidP="00CD68D5">
      <w:pPr>
        <w:keepNext/>
        <w:pBdr>
          <w:top w:val="nil"/>
          <w:left w:val="nil"/>
          <w:bottom w:val="nil"/>
          <w:right w:val="nil"/>
          <w:between w:val="nil"/>
        </w:pBdr>
        <w:ind w:left="720"/>
        <w:rPr>
          <w:b/>
          <w:color w:val="000000"/>
        </w:rPr>
      </w:pPr>
      <w:r>
        <w:rPr>
          <w:b/>
          <w:color w:val="000000"/>
        </w:rPr>
        <w:t>Vetting before performing or managing Services</w:t>
      </w:r>
    </w:p>
    <w:p w14:paraId="171DF440" w14:textId="77777777" w:rsidR="00CD68D5" w:rsidRDefault="00CD68D5" w:rsidP="00CD68D5">
      <w:pPr>
        <w:pStyle w:val="AppendixText2"/>
      </w:pPr>
      <w:bookmarkStart w:id="433" w:name="_heading=h.3ep43zb" w:colFirst="0" w:colLast="0"/>
      <w:bookmarkEnd w:id="433"/>
      <w:r>
        <w:t>The Supplier must not engage Supplier Personnel, and must ensure that Sub-contractors do not engage Sub-contractor Personnel in:</w:t>
      </w:r>
    </w:p>
    <w:p w14:paraId="732FF4F1" w14:textId="77777777" w:rsidR="00CD68D5" w:rsidRDefault="00CD68D5" w:rsidP="00CD68D5">
      <w:pPr>
        <w:pStyle w:val="AppendixText3"/>
      </w:pPr>
      <w:r>
        <w:t>Development Activity;</w:t>
      </w:r>
    </w:p>
    <w:p w14:paraId="11D4BC83" w14:textId="77777777" w:rsidR="00CD68D5" w:rsidRDefault="00CD68D5" w:rsidP="00CD68D5">
      <w:pPr>
        <w:pStyle w:val="AppendixText3"/>
      </w:pPr>
      <w:r>
        <w:t xml:space="preserve">any activity that provides access to the Development Environment; or </w:t>
      </w:r>
    </w:p>
    <w:p w14:paraId="2950A3EA" w14:textId="77777777" w:rsidR="00CD68D5" w:rsidRDefault="00CD68D5" w:rsidP="00CD68D5">
      <w:pPr>
        <w:pStyle w:val="AppendixText3"/>
      </w:pPr>
      <w:r>
        <w:t>any activity relating to the performance and management of the Services</w:t>
      </w:r>
    </w:p>
    <w:p w14:paraId="15AD15F0" w14:textId="77777777" w:rsidR="00CD68D5" w:rsidRDefault="00CD68D5" w:rsidP="00CD68D5">
      <w:pPr>
        <w:pStyle w:val="AppendixText3"/>
        <w:numPr>
          <w:ilvl w:val="0"/>
          <w:numId w:val="0"/>
        </w:numPr>
        <w:ind w:left="720"/>
      </w:pPr>
      <w:r>
        <w:t>unless:</w:t>
      </w:r>
    </w:p>
    <w:p w14:paraId="2C2F4811" w14:textId="2BB1D26B" w:rsidR="00CD68D5" w:rsidRDefault="00CD68D5" w:rsidP="00CD68D5">
      <w:pPr>
        <w:pStyle w:val="AppendixText3"/>
      </w:pPr>
      <w:r>
        <w:t>that individual has passed the security checks listed in paragraph 2.2</w:t>
      </w:r>
      <w:r w:rsidR="009C01C2">
        <w:t xml:space="preserve"> of this Appendix</w:t>
      </w:r>
      <w:r>
        <w:t>; or</w:t>
      </w:r>
    </w:p>
    <w:p w14:paraId="2CEC90A4" w14:textId="77777777" w:rsidR="00CD68D5" w:rsidRDefault="00CD68D5" w:rsidP="00CD68D5">
      <w:pPr>
        <w:pStyle w:val="AppendixText3"/>
      </w:pPr>
      <w:r>
        <w:t>the Authority has given prior written permission for a named individual to perform a specific role.</w:t>
      </w:r>
    </w:p>
    <w:p w14:paraId="0A759C9A" w14:textId="1149DF2D" w:rsidR="00CD68D5" w:rsidRDefault="00CD68D5" w:rsidP="00CD68D5">
      <w:pPr>
        <w:pStyle w:val="AppendixText2"/>
      </w:pPr>
      <w:bookmarkStart w:id="434" w:name="_heading=h.1tuee74" w:colFirst="0" w:colLast="0"/>
      <w:bookmarkEnd w:id="434"/>
      <w:r>
        <w:t>For the purposes of paragraph 2.1</w:t>
      </w:r>
      <w:r w:rsidR="009C01C2">
        <w:t xml:space="preserve"> of this Appendix</w:t>
      </w:r>
      <w:r>
        <w:t>, the security checks are:</w:t>
      </w:r>
    </w:p>
    <w:p w14:paraId="5D057C30" w14:textId="444DD7CB" w:rsidR="00CD68D5" w:rsidRDefault="00CD68D5" w:rsidP="00CD68D5">
      <w:pPr>
        <w:pStyle w:val="AppendixText3"/>
      </w:pPr>
      <w:r>
        <w:t xml:space="preserve">The checks required for the HMG Baseline Personnel Security Standard (BPSS) to verify: </w:t>
      </w:r>
    </w:p>
    <w:p w14:paraId="367A18C7" w14:textId="77777777" w:rsidR="00CD68D5" w:rsidRDefault="00CD68D5" w:rsidP="00CD68D5">
      <w:pPr>
        <w:pStyle w:val="AppendixText4"/>
      </w:pPr>
      <w:r>
        <w:t>the individual’s identity;</w:t>
      </w:r>
    </w:p>
    <w:p w14:paraId="05154DE2" w14:textId="77777777" w:rsidR="00CD68D5" w:rsidRDefault="00CD68D5" w:rsidP="00CD68D5">
      <w:pPr>
        <w:pStyle w:val="AppendixText4"/>
      </w:pPr>
      <w:r>
        <w:t>where that individual will work in the United Kingdom, the individual’s nationality and immigration status so as to demonstrate that they have a right to work in the United Kingdom;</w:t>
      </w:r>
    </w:p>
    <w:p w14:paraId="1D598470" w14:textId="77777777" w:rsidR="00CD68D5" w:rsidRDefault="00CD68D5" w:rsidP="00CD68D5">
      <w:pPr>
        <w:pStyle w:val="AppendixText4"/>
      </w:pPr>
      <w:r>
        <w:t>the individual’s previous employment history; and</w:t>
      </w:r>
    </w:p>
    <w:p w14:paraId="0E3A6C0C" w14:textId="77777777" w:rsidR="00CD68D5" w:rsidRDefault="00CD68D5" w:rsidP="00CD68D5">
      <w:pPr>
        <w:pStyle w:val="AppendixText4"/>
      </w:pPr>
      <w:r>
        <w:t>that the individual has no Relevant Convictions;</w:t>
      </w:r>
    </w:p>
    <w:p w14:paraId="724FB40A" w14:textId="206DD11B" w:rsidR="00CD68D5" w:rsidRPr="00F13933" w:rsidRDefault="00CD68D5" w:rsidP="00CD68D5">
      <w:pPr>
        <w:pStyle w:val="AppendixText3"/>
      </w:pPr>
      <w:r w:rsidRPr="00F13933">
        <w:t>national security vetting clearance to the level specified by the Authority for such individuals or such roles as the Authority may specify</w:t>
      </w:r>
      <w:r w:rsidR="00051DA5" w:rsidRPr="00F13933">
        <w:t>, including:</w:t>
      </w:r>
    </w:p>
    <w:p w14:paraId="76BADFDC" w14:textId="1782BD14" w:rsidR="00CD68D5" w:rsidRPr="00F13933" w:rsidRDefault="00CD68D5" w:rsidP="00CD68D5">
      <w:pPr>
        <w:pStyle w:val="AppendixText4"/>
      </w:pPr>
      <w:r w:rsidRPr="00F13933">
        <w:t xml:space="preserve">For the purposes of this </w:t>
      </w:r>
      <w:r w:rsidR="009C01C2" w:rsidRPr="00F13933">
        <w:t>C</w:t>
      </w:r>
      <w:r w:rsidRPr="00F13933">
        <w:t xml:space="preserve">ontract, any </w:t>
      </w:r>
      <w:r w:rsidR="009C01C2" w:rsidRPr="00F13933">
        <w:t xml:space="preserve">Supplier </w:t>
      </w:r>
      <w:r w:rsidR="00357D0F" w:rsidRPr="00F13933">
        <w:t>Personnel</w:t>
      </w:r>
      <w:r w:rsidRPr="00F13933">
        <w:t xml:space="preserve"> with access to either bulk </w:t>
      </w:r>
      <w:r w:rsidR="009C01C2" w:rsidRPr="00F13933">
        <w:t>P</w:t>
      </w:r>
      <w:r w:rsidRPr="00F13933">
        <w:t xml:space="preserve">ersonal </w:t>
      </w:r>
      <w:r w:rsidR="009C01C2" w:rsidRPr="00F13933">
        <w:t>D</w:t>
      </w:r>
      <w:r w:rsidRPr="00F13933">
        <w:t>ata, or technical information of the system architecture, shall have Security Clearance (SC)</w:t>
      </w:r>
      <w:r w:rsidR="00051DA5" w:rsidRPr="00F13933">
        <w:t xml:space="preserve"> to a level specified by the Authority</w:t>
      </w:r>
      <w:r w:rsidRPr="00F13933">
        <w:t xml:space="preserve">. This shall not prevent the Authority from mandating other </w:t>
      </w:r>
      <w:r w:rsidR="009C01C2" w:rsidRPr="00F13933">
        <w:t xml:space="preserve">Supplier </w:t>
      </w:r>
      <w:r w:rsidR="00357D0F" w:rsidRPr="00F13933">
        <w:t>Personnel</w:t>
      </w:r>
      <w:r w:rsidRPr="00F13933">
        <w:t xml:space="preserve"> get additional security clearances;</w:t>
      </w:r>
      <w:r w:rsidR="00051DA5" w:rsidRPr="00F13933">
        <w:t xml:space="preserve"> and</w:t>
      </w:r>
    </w:p>
    <w:p w14:paraId="7A2B016A" w14:textId="76FE8CA8" w:rsidR="00CD68D5" w:rsidRPr="00F13933" w:rsidRDefault="00CD68D5" w:rsidP="00CD68D5">
      <w:pPr>
        <w:pStyle w:val="AppendixText4"/>
      </w:pPr>
      <w:r w:rsidRPr="00F13933">
        <w:lastRenderedPageBreak/>
        <w:t>such other checks for the Supplier Personnel of Sub-contractors as the Authority may specify.</w:t>
      </w:r>
    </w:p>
    <w:p w14:paraId="5EE24182" w14:textId="77777777" w:rsidR="00CD68D5" w:rsidRDefault="00CD68D5" w:rsidP="00CD68D5">
      <w:pPr>
        <w:keepNext/>
        <w:pBdr>
          <w:top w:val="nil"/>
          <w:left w:val="nil"/>
          <w:bottom w:val="nil"/>
          <w:right w:val="nil"/>
          <w:between w:val="nil"/>
        </w:pBdr>
        <w:ind w:left="720"/>
        <w:rPr>
          <w:b/>
          <w:color w:val="000000"/>
        </w:rPr>
      </w:pPr>
      <w:r>
        <w:rPr>
          <w:b/>
          <w:color w:val="000000"/>
        </w:rPr>
        <w:t>Annual training</w:t>
      </w:r>
    </w:p>
    <w:p w14:paraId="28F7F7C3" w14:textId="77777777" w:rsidR="00CD68D5" w:rsidRDefault="00CD68D5" w:rsidP="00CD68D5">
      <w:pPr>
        <w:pStyle w:val="AppendixText2"/>
      </w:pPr>
      <w:r>
        <w:t>The Supplier must ensure, and ensure that Sub-contractors ensure, that all Supplier Personnel, complete and pass security training at least once every calendar year that covers:</w:t>
      </w:r>
    </w:p>
    <w:p w14:paraId="4BE8BE05" w14:textId="77777777" w:rsidR="00CD68D5" w:rsidRDefault="00CD68D5" w:rsidP="00CD68D5">
      <w:pPr>
        <w:pStyle w:val="AppendixText3"/>
      </w:pPr>
      <w:r>
        <w:t>General training concerning security and data handling; and</w:t>
      </w:r>
    </w:p>
    <w:p w14:paraId="3ACE98EA" w14:textId="77777777" w:rsidR="00CD68D5" w:rsidRDefault="00CD68D5" w:rsidP="00CD68D5">
      <w:pPr>
        <w:pStyle w:val="AppendixText3"/>
      </w:pPr>
      <w:r>
        <w:t>Phishing, including the dangers from ransomware and other malware.</w:t>
      </w:r>
    </w:p>
    <w:p w14:paraId="22CD0D58" w14:textId="77777777" w:rsidR="00CD68D5" w:rsidRDefault="00CD68D5" w:rsidP="00CD68D5">
      <w:pPr>
        <w:keepNext/>
        <w:pBdr>
          <w:top w:val="nil"/>
          <w:left w:val="nil"/>
          <w:bottom w:val="nil"/>
          <w:right w:val="nil"/>
          <w:between w:val="nil"/>
        </w:pBdr>
        <w:ind w:left="720"/>
        <w:rPr>
          <w:b/>
          <w:color w:val="000000"/>
        </w:rPr>
      </w:pPr>
      <w:r>
        <w:rPr>
          <w:b/>
          <w:color w:val="000000"/>
        </w:rPr>
        <w:t>Staff access</w:t>
      </w:r>
    </w:p>
    <w:p w14:paraId="2F85B59F" w14:textId="77777777" w:rsidR="00CD68D5" w:rsidRDefault="00CD68D5" w:rsidP="00CD68D5">
      <w:pPr>
        <w:pStyle w:val="AppendixText2"/>
      </w:pPr>
      <w:r>
        <w:t>The Supplier must ensure, and ensure that Sub-contractors ensure, that individual Supplier Personnel can access only the Authority Data necessary to allow individuals to perform their role and fulfil their responsibilities in the provision of the Services.</w:t>
      </w:r>
    </w:p>
    <w:p w14:paraId="379567A2" w14:textId="77777777" w:rsidR="00CD68D5" w:rsidRDefault="00CD68D5" w:rsidP="00CD68D5">
      <w:pPr>
        <w:pStyle w:val="AppendixText2"/>
      </w:pPr>
      <w:r>
        <w:t>The Supplier must ensure, and ensure that Sub-contractors ensure, that where individual Supplier Personnel no longer require access to the Authority Data or any part of the Authority Data, their access to the Authority Data or that part of the Authority Data is revoked immediately when their requirement to access Authority Data ceases.</w:t>
      </w:r>
    </w:p>
    <w:p w14:paraId="79B587A4" w14:textId="77777777" w:rsidR="00CD68D5" w:rsidRDefault="00CD68D5" w:rsidP="00CD68D5">
      <w:pPr>
        <w:pStyle w:val="AppendixText2"/>
      </w:pPr>
      <w:r>
        <w:t>Where requested by the Authority, the Supplier must remove, and must ensure that Sub-contractors remove, an individual Supplier Personnel’s access to the Authority Data, or part of that Authority Data specified by the Authority, as soon as practicable and in any event within 24 hours of the request.</w:t>
      </w:r>
    </w:p>
    <w:p w14:paraId="44219DF5" w14:textId="77777777" w:rsidR="00CD68D5" w:rsidRDefault="00CD68D5" w:rsidP="00CD68D5">
      <w:pPr>
        <w:keepNext/>
        <w:pBdr>
          <w:top w:val="nil"/>
          <w:left w:val="nil"/>
          <w:bottom w:val="nil"/>
          <w:right w:val="nil"/>
          <w:between w:val="nil"/>
        </w:pBdr>
        <w:ind w:left="720"/>
        <w:rPr>
          <w:b/>
          <w:color w:val="000000"/>
        </w:rPr>
      </w:pPr>
      <w:r>
        <w:rPr>
          <w:b/>
          <w:color w:val="000000"/>
        </w:rPr>
        <w:t>Exception for certain Sub-contractors</w:t>
      </w:r>
    </w:p>
    <w:p w14:paraId="58B591C0" w14:textId="77777777" w:rsidR="00CD68D5" w:rsidRDefault="00CD68D5" w:rsidP="00CD68D5">
      <w:pPr>
        <w:pStyle w:val="AppendixText2"/>
      </w:pPr>
      <w:r>
        <w:t>Where the Supplier considers it cannot ensure that a Sub-contractor will undertake the relevant security checks on any Sub-contractor Personnel, it must:</w:t>
      </w:r>
    </w:p>
    <w:p w14:paraId="48A5531C" w14:textId="77777777" w:rsidR="00CD68D5" w:rsidRDefault="00CD68D5" w:rsidP="00CD68D5">
      <w:pPr>
        <w:pStyle w:val="AppendixText3"/>
      </w:pPr>
      <w:r>
        <w:t>as soon as practicable, and in any event within 20 Working Days of becoming aware of the issue, notify the Authority;</w:t>
      </w:r>
    </w:p>
    <w:p w14:paraId="09722348" w14:textId="77777777" w:rsidR="00CD68D5" w:rsidRDefault="00CD68D5" w:rsidP="00CD68D5">
      <w:pPr>
        <w:pStyle w:val="AppendixText3"/>
      </w:pPr>
      <w:r>
        <w:t>provide such information relating to the Sub-contractor, its vetting processes and the roles the affected Sub-contractor Personnel will perform as the Authority reasonably requires; and</w:t>
      </w:r>
    </w:p>
    <w:p w14:paraId="7AC026EB" w14:textId="77777777" w:rsidR="00CD68D5" w:rsidRDefault="00CD68D5" w:rsidP="00CD68D5">
      <w:pPr>
        <w:pStyle w:val="AppendixText3"/>
      </w:pPr>
      <w:r>
        <w:t>comply, at the Supplier’s cost, with all directions the Authority may provide concerning the vetting of the affected Sub-contractor Personnel and the management of the Sub-contractor.</w:t>
      </w:r>
    </w:p>
    <w:p w14:paraId="38A1F431" w14:textId="77777777" w:rsidR="00CD68D5" w:rsidRDefault="00CD68D5" w:rsidP="00CD68D5">
      <w:pPr>
        <w:pStyle w:val="AppendixText1"/>
      </w:pPr>
      <w:bookmarkStart w:id="435" w:name="_heading=h.4du1wux" w:colFirst="0" w:colLast="0"/>
      <w:bookmarkEnd w:id="435"/>
      <w:r>
        <w:lastRenderedPageBreak/>
        <w:t>End-user Devices</w:t>
      </w:r>
    </w:p>
    <w:p w14:paraId="3821C827" w14:textId="77777777" w:rsidR="00CD68D5" w:rsidRDefault="00CD68D5" w:rsidP="00CD68D5">
      <w:pPr>
        <w:pStyle w:val="AppendixText2"/>
      </w:pPr>
      <w:r>
        <w:t>The Supplier must manage, and must ensure that all Sub-contractors manage, all End-user Devices on which Authority Data or Code is stored or processed in accordance the following requirements:</w:t>
      </w:r>
    </w:p>
    <w:p w14:paraId="03085D88" w14:textId="77777777" w:rsidR="00CD68D5" w:rsidRDefault="00CD68D5" w:rsidP="00CD68D5">
      <w:pPr>
        <w:pStyle w:val="AppendixText3"/>
      </w:pPr>
      <w:r>
        <w:t>the operating system and any applications that store, process or have access to Authority Data or Code must be in current support by the vendor, or the relevant community in the case of open source operating systems or applications;</w:t>
      </w:r>
    </w:p>
    <w:p w14:paraId="72F8EA51" w14:textId="77777777" w:rsidR="00CD68D5" w:rsidRDefault="00CD68D5" w:rsidP="00CD68D5">
      <w:pPr>
        <w:pStyle w:val="AppendixText3"/>
      </w:pPr>
      <w:r>
        <w:t>users must authenticate before gaining access;</w:t>
      </w:r>
    </w:p>
    <w:p w14:paraId="5242234F" w14:textId="77777777" w:rsidR="00CD68D5" w:rsidRDefault="00CD68D5" w:rsidP="00CD68D5">
      <w:pPr>
        <w:pStyle w:val="AppendixText3"/>
      </w:pPr>
      <w:r>
        <w:t>all Authority Data and Code must be encrypted using a encryption tool agreed to by the Authority;</w:t>
      </w:r>
    </w:p>
    <w:p w14:paraId="4E515E3F" w14:textId="77777777" w:rsidR="00CD68D5" w:rsidRDefault="00CD68D5" w:rsidP="00CD68D5">
      <w:pPr>
        <w:pStyle w:val="AppendixText3"/>
      </w:pPr>
      <w:r>
        <w:t>the End-user Device must lock and require any user to re-authenticate after a period of time that is proportionate to the risk environment, during which the End-user Device is inactive;</w:t>
      </w:r>
    </w:p>
    <w:p w14:paraId="22997AD8" w14:textId="77777777" w:rsidR="00CD68D5" w:rsidRDefault="00CD68D5" w:rsidP="00CD68D5">
      <w:pPr>
        <w:pStyle w:val="AppendixText3"/>
      </w:pPr>
      <w:r>
        <w:t>the End-User Device must be managed in a way that allows for the application of technical policies and controls over applications that have access to Authority Data and Code to ensure the security of that Authority Data and Code;</w:t>
      </w:r>
    </w:p>
    <w:p w14:paraId="750A6FC8" w14:textId="77777777" w:rsidR="00CD68D5" w:rsidRDefault="00CD68D5" w:rsidP="00CD68D5">
      <w:pPr>
        <w:pStyle w:val="AppendixText3"/>
      </w:pPr>
      <w:r>
        <w:t>the Suppler or Sub-contractor, as applicable, can, without physical access to the End-user Device, remove or make inaccessible all Authority Data or Code stored on the device and prevent any user or group of users from accessing the device;</w:t>
      </w:r>
    </w:p>
    <w:p w14:paraId="2C6F3827" w14:textId="77777777" w:rsidR="00CD68D5" w:rsidRDefault="00CD68D5" w:rsidP="00CD68D5">
      <w:pPr>
        <w:pStyle w:val="AppendixText3"/>
      </w:pPr>
      <w:r>
        <w:t>all End-user Devices are within the scope of any Relevant Certification.</w:t>
      </w:r>
    </w:p>
    <w:p w14:paraId="41CA0A9B" w14:textId="77777777" w:rsidR="00CD68D5" w:rsidRDefault="00CD68D5" w:rsidP="00CD68D5">
      <w:pPr>
        <w:pStyle w:val="AppendixText2"/>
      </w:pPr>
      <w:r>
        <w:t>The Supplier must comply, and ensure that all Sub-contractors comply, with the recommendations in NCSC Device Guidance as if those recommendations were incorporated as specific obligations under this Contract.</w:t>
      </w:r>
    </w:p>
    <w:p w14:paraId="7F05BF5C" w14:textId="77777777" w:rsidR="00CD68D5" w:rsidRDefault="00CD68D5" w:rsidP="00CD68D5">
      <w:pPr>
        <w:pStyle w:val="AppendixText2"/>
      </w:pPr>
      <w:r>
        <w:t>Where there is any conflict between the requirements of this Schedule 5 (</w:t>
      </w:r>
      <w:r>
        <w:rPr>
          <w:i/>
        </w:rPr>
        <w:t>Security Management</w:t>
      </w:r>
      <w:r>
        <w:t>) and the requirements of the NCSC Device Guidance, the requirements of this Schedule take precedence.</w:t>
      </w:r>
    </w:p>
    <w:p w14:paraId="1A8B3192" w14:textId="77777777" w:rsidR="00CD68D5" w:rsidRDefault="00CD68D5" w:rsidP="00CD68D5">
      <w:pPr>
        <w:pStyle w:val="AppendixText1"/>
      </w:pPr>
      <w:bookmarkStart w:id="436" w:name="_heading=h.2szc72q" w:colFirst="0" w:colLast="0"/>
      <w:bookmarkEnd w:id="436"/>
      <w:r>
        <w:t>Hardware and software support</w:t>
      </w:r>
    </w:p>
    <w:p w14:paraId="68F97F56" w14:textId="77777777" w:rsidR="00CD68D5" w:rsidRDefault="00CD68D5" w:rsidP="00CD68D5">
      <w:pPr>
        <w:pStyle w:val="AppendixText2"/>
      </w:pPr>
      <w:r>
        <w:t>The Supplier must ensure that all software used to provide the Services remains at all times in full security support, including any extended or bespoke security support.</w:t>
      </w:r>
    </w:p>
    <w:p w14:paraId="4696E327" w14:textId="77777777" w:rsidR="00CD68D5" w:rsidRDefault="00CD68D5" w:rsidP="00CD68D5">
      <w:pPr>
        <w:pStyle w:val="AppendixText2"/>
      </w:pPr>
      <w:r>
        <w:t>The Supplier must produce and maintain a register of all software that form the Supplier Information Management System (</w:t>
      </w:r>
      <w:r>
        <w:rPr>
          <w:b/>
        </w:rPr>
        <w:t>Support Register</w:t>
      </w:r>
      <w:r>
        <w:t>).</w:t>
      </w:r>
    </w:p>
    <w:p w14:paraId="25953200" w14:textId="77777777" w:rsidR="00CD68D5" w:rsidRDefault="00CD68D5" w:rsidP="00CD68D5">
      <w:pPr>
        <w:pStyle w:val="AppendixText2"/>
      </w:pPr>
      <w:r>
        <w:t>The Support Register must include in respect of each item of software:</w:t>
      </w:r>
    </w:p>
    <w:p w14:paraId="67ABF3E1" w14:textId="77777777" w:rsidR="00CD68D5" w:rsidRDefault="00CD68D5" w:rsidP="00CD68D5">
      <w:pPr>
        <w:pStyle w:val="AppendixText3"/>
      </w:pPr>
      <w:r>
        <w:lastRenderedPageBreak/>
        <w:t>the date, so far as it is known, that the item will cease to be in mainstream security support; and</w:t>
      </w:r>
    </w:p>
    <w:p w14:paraId="4AB7DC53" w14:textId="77777777" w:rsidR="00CD68D5" w:rsidRDefault="00CD68D5" w:rsidP="00CD68D5">
      <w:pPr>
        <w:pStyle w:val="AppendixText3"/>
      </w:pPr>
      <w:r>
        <w:t>the Supplier’s plans to upgrade the item before it ceases to be in mainstream security support.</w:t>
      </w:r>
    </w:p>
    <w:p w14:paraId="0A8C30FA" w14:textId="77777777" w:rsidR="00CD68D5" w:rsidRDefault="00CD68D5" w:rsidP="00CD68D5">
      <w:pPr>
        <w:pStyle w:val="AppendixText2"/>
      </w:pPr>
      <w:r>
        <w:t>The Supplier must:</w:t>
      </w:r>
    </w:p>
    <w:p w14:paraId="3F3F8B9C" w14:textId="77777777" w:rsidR="00CD68D5" w:rsidRDefault="00CD68D5" w:rsidP="00CD68D5">
      <w:pPr>
        <w:pStyle w:val="AppendixText3"/>
      </w:pPr>
      <w:r>
        <w:t>review and update the Support Register:</w:t>
      </w:r>
    </w:p>
    <w:p w14:paraId="03DBC0A2" w14:textId="77777777" w:rsidR="00CD68D5" w:rsidRDefault="00CD68D5" w:rsidP="00CD68D5">
      <w:pPr>
        <w:pStyle w:val="AppendixText4"/>
      </w:pPr>
      <w:r>
        <w:t>within ten Working Days of becoming aware of the date on which, or any change to the date on which, any item of software will cease to be in mainstream security report;</w:t>
      </w:r>
    </w:p>
    <w:p w14:paraId="2079BBFA" w14:textId="77777777" w:rsidR="00CD68D5" w:rsidRDefault="00CD68D5" w:rsidP="00CD68D5">
      <w:pPr>
        <w:pStyle w:val="AppendixText4"/>
      </w:pPr>
      <w:r>
        <w:t>within ten Working Days of introducing new software, or removing existing software, from the Supplier Information Management System; and</w:t>
      </w:r>
    </w:p>
    <w:p w14:paraId="792D3757" w14:textId="77777777" w:rsidR="00CD68D5" w:rsidRDefault="00CD68D5" w:rsidP="00CD68D5">
      <w:pPr>
        <w:pStyle w:val="AppendixText4"/>
      </w:pPr>
      <w:r>
        <w:t>at least once every 12 months;</w:t>
      </w:r>
    </w:p>
    <w:p w14:paraId="56B0F66C" w14:textId="77777777" w:rsidR="00CD68D5" w:rsidRDefault="00CD68D5" w:rsidP="00CD68D5">
      <w:pPr>
        <w:pStyle w:val="AppendixText3"/>
      </w:pPr>
      <w:r>
        <w:t>provide the Authority with a copy of the Support Register:</w:t>
      </w:r>
    </w:p>
    <w:p w14:paraId="5DEA63C6" w14:textId="77777777" w:rsidR="00CD68D5" w:rsidRDefault="00CD68D5" w:rsidP="00E1349E">
      <w:pPr>
        <w:numPr>
          <w:ilvl w:val="3"/>
          <w:numId w:val="197"/>
        </w:numPr>
        <w:pBdr>
          <w:top w:val="nil"/>
          <w:left w:val="nil"/>
          <w:bottom w:val="nil"/>
          <w:right w:val="nil"/>
          <w:between w:val="nil"/>
        </w:pBdr>
        <w:spacing w:before="100" w:after="200"/>
      </w:pPr>
      <w:r>
        <w:rPr>
          <w:color w:val="000000"/>
        </w:rPr>
        <w:t>whenever it updates the Support Register; and</w:t>
      </w:r>
    </w:p>
    <w:p w14:paraId="04029B45" w14:textId="77777777" w:rsidR="00CD68D5" w:rsidRDefault="00CD68D5" w:rsidP="00E1349E">
      <w:pPr>
        <w:numPr>
          <w:ilvl w:val="3"/>
          <w:numId w:val="197"/>
        </w:numPr>
        <w:pBdr>
          <w:top w:val="nil"/>
          <w:left w:val="nil"/>
          <w:bottom w:val="nil"/>
          <w:right w:val="nil"/>
          <w:between w:val="nil"/>
        </w:pBdr>
        <w:spacing w:before="100" w:after="200"/>
      </w:pPr>
      <w:r>
        <w:rPr>
          <w:color w:val="000000"/>
        </w:rPr>
        <w:t>otherwise when the Authority requests.</w:t>
      </w:r>
    </w:p>
    <w:p w14:paraId="730B4E9A" w14:textId="77777777" w:rsidR="00CD68D5" w:rsidRDefault="00CD68D5" w:rsidP="00CD68D5">
      <w:pPr>
        <w:pStyle w:val="AppendixText2"/>
      </w:pPr>
      <w:r>
        <w:t>Where any element of the Developed System consists of COTS Software, the Supplier shall ensure:</w:t>
      </w:r>
    </w:p>
    <w:p w14:paraId="13D34E0D" w14:textId="77777777" w:rsidR="00CD68D5" w:rsidRDefault="00CD68D5" w:rsidP="00CD68D5">
      <w:pPr>
        <w:pStyle w:val="AppendixText3"/>
      </w:pPr>
      <w:r>
        <w:t>those elements are always in mainstream or extended security support from the relevant vendor; and</w:t>
      </w:r>
    </w:p>
    <w:p w14:paraId="2C6615FA" w14:textId="77777777" w:rsidR="00CD68D5" w:rsidRDefault="00CD68D5" w:rsidP="00CD68D5">
      <w:pPr>
        <w:pStyle w:val="AppendixText3"/>
      </w:pPr>
      <w:r>
        <w:t>the COTS Software is not more than one version or major release behind the latest version of the software.</w:t>
      </w:r>
    </w:p>
    <w:p w14:paraId="6365D5B6" w14:textId="77777777" w:rsidR="00CD68D5" w:rsidRDefault="00CD68D5" w:rsidP="00CD68D5">
      <w:pPr>
        <w:pStyle w:val="AppendixText2"/>
      </w:pPr>
      <w:r>
        <w:t>The Supplier shall ensure that all hardware used to provide the Services, whether used by the Supplier or any Sub-contractor is, at all times, remains in mainstream vendor support, that is, that in respect of the hardware, the vendor continues to provide:</w:t>
      </w:r>
    </w:p>
    <w:p w14:paraId="54C4824E" w14:textId="77777777" w:rsidR="00CD68D5" w:rsidRDefault="00CD68D5" w:rsidP="00CD68D5">
      <w:pPr>
        <w:pStyle w:val="AppendixText3"/>
      </w:pPr>
      <w:r>
        <w:t>regular firmware updates to the hardware; and</w:t>
      </w:r>
    </w:p>
    <w:p w14:paraId="11C7C65A" w14:textId="77777777" w:rsidR="00CD68D5" w:rsidRDefault="00CD68D5" w:rsidP="00CD68D5">
      <w:pPr>
        <w:pStyle w:val="AppendixText3"/>
      </w:pPr>
      <w:r>
        <w:t>a physical repair or replacement service for the hardware.</w:t>
      </w:r>
    </w:p>
    <w:p w14:paraId="38112045" w14:textId="77777777" w:rsidR="00CD68D5" w:rsidRDefault="00CD68D5" w:rsidP="00CD68D5">
      <w:pPr>
        <w:pStyle w:val="AppendixText1"/>
      </w:pPr>
      <w:bookmarkStart w:id="437" w:name="_heading=h.184mhaj" w:colFirst="0" w:colLast="0"/>
      <w:bookmarkEnd w:id="437"/>
      <w:r>
        <w:t>Encryption</w:t>
      </w:r>
    </w:p>
    <w:p w14:paraId="040FCC0A" w14:textId="77777777" w:rsidR="00CD68D5" w:rsidRDefault="00CD68D5" w:rsidP="00CD68D5">
      <w:pPr>
        <w:pStyle w:val="AppendixText2"/>
        <w:rPr>
          <w:b/>
        </w:rPr>
      </w:pPr>
      <w:bookmarkStart w:id="438" w:name="_heading=h.3s49zyc" w:colFirst="0" w:colLast="0"/>
      <w:bookmarkEnd w:id="438"/>
      <w:r>
        <w:t>Before Processing any Authority Data, the Supplier must agree with the Authority the encryption methods that it and any Sub-contractors that Process Authority Data will use to comply with this paragraph 5.</w:t>
      </w:r>
    </w:p>
    <w:p w14:paraId="6D134E5B" w14:textId="3DB89F18" w:rsidR="00CD68D5" w:rsidRDefault="00CD68D5" w:rsidP="00CD68D5">
      <w:pPr>
        <w:pStyle w:val="AppendixText2"/>
        <w:rPr>
          <w:b/>
        </w:rPr>
      </w:pPr>
      <w:bookmarkStart w:id="439" w:name="_heading=h.279ka65" w:colFirst="0" w:colLast="0"/>
      <w:bookmarkEnd w:id="439"/>
      <w:r>
        <w:t>Where this paragraph 5 requires Authority Data to be encrypted, the Supplier must use, and ensure that Subcontractors use, the methods agreed by the Authority under paragraph 5.1</w:t>
      </w:r>
      <w:r w:rsidR="00051DA5">
        <w:t xml:space="preserve"> of this Appendix</w:t>
      </w:r>
      <w:r>
        <w:t>.</w:t>
      </w:r>
    </w:p>
    <w:p w14:paraId="18B1F824" w14:textId="11F24C6D" w:rsidR="00CD68D5" w:rsidRDefault="00CD68D5" w:rsidP="00CD68D5">
      <w:pPr>
        <w:pStyle w:val="AppendixText2"/>
      </w:pPr>
      <w:bookmarkStart w:id="440" w:name="_heading=h.meukdy" w:colFirst="0" w:colLast="0"/>
      <w:bookmarkEnd w:id="440"/>
      <w:r>
        <w:lastRenderedPageBreak/>
        <w:t xml:space="preserve">Unless paragraph 5.4 </w:t>
      </w:r>
      <w:r w:rsidR="00051DA5">
        <w:t xml:space="preserve">of this Appendix </w:t>
      </w:r>
      <w:r>
        <w:t>applies, the Supplier must ensure, and must ensure that all Sub-contractors ensure, that Authority Data is encrypted:</w:t>
      </w:r>
    </w:p>
    <w:p w14:paraId="7E8932F3" w14:textId="77777777" w:rsidR="00CD68D5" w:rsidRDefault="00CD68D5" w:rsidP="00CD68D5">
      <w:pPr>
        <w:pStyle w:val="AppendixText3"/>
      </w:pPr>
      <w:r>
        <w:t>when stored at any time when no operation is being performed on it, including when stored on any portable storage media; and</w:t>
      </w:r>
    </w:p>
    <w:p w14:paraId="7074851E" w14:textId="77777777" w:rsidR="00CD68D5" w:rsidRDefault="00CD68D5" w:rsidP="00CD68D5">
      <w:pPr>
        <w:pStyle w:val="AppendixText3"/>
      </w:pPr>
      <w:r>
        <w:t>when transmitted.</w:t>
      </w:r>
    </w:p>
    <w:p w14:paraId="4123BF04" w14:textId="29A97680" w:rsidR="00CD68D5" w:rsidRDefault="00CD68D5" w:rsidP="00CD68D5">
      <w:pPr>
        <w:pStyle w:val="AppendixText2"/>
      </w:pPr>
      <w:bookmarkStart w:id="441" w:name="_heading=h.36ei31r" w:colFirst="0" w:colLast="0"/>
      <w:bookmarkEnd w:id="441"/>
      <w:r>
        <w:t>Where the Supplier, or a Sub-contractor, cannot encrypt Authority Data as required by paragraph 5.2</w:t>
      </w:r>
      <w:r w:rsidR="00051DA5">
        <w:t xml:space="preserve"> of this Appendix</w:t>
      </w:r>
      <w:r>
        <w:t>, the Supplier must:</w:t>
      </w:r>
    </w:p>
    <w:p w14:paraId="1363E4AE" w14:textId="77777777" w:rsidR="00CD68D5" w:rsidRDefault="00CD68D5" w:rsidP="00CD68D5">
      <w:pPr>
        <w:pStyle w:val="AppendixText3"/>
      </w:pPr>
      <w:bookmarkStart w:id="442" w:name="_heading=h.1ljsd9k" w:colFirst="0" w:colLast="0"/>
      <w:bookmarkEnd w:id="442"/>
      <w:r>
        <w:t>immediately inform the Authority of the subset or subsets of Authority Data it cannot encrypt and the circumstances in which and the reasons why it cannot do so;</w:t>
      </w:r>
    </w:p>
    <w:p w14:paraId="7A48B416" w14:textId="77777777" w:rsidR="00CD68D5" w:rsidRDefault="00CD68D5" w:rsidP="00CD68D5">
      <w:pPr>
        <w:pStyle w:val="AppendixText3"/>
      </w:pPr>
      <w:bookmarkStart w:id="443" w:name="_heading=h.45jfvxd" w:colFirst="0" w:colLast="0"/>
      <w:bookmarkEnd w:id="443"/>
      <w:r>
        <w:t>provide details of the protective measures the Supplier or Sub-contractor (as applicable) proposes to take to provide equivalent protection to the Authority as encryption;</w:t>
      </w:r>
    </w:p>
    <w:p w14:paraId="523197C4" w14:textId="76598296" w:rsidR="00CD68D5" w:rsidRDefault="00CD68D5" w:rsidP="00CD68D5">
      <w:pPr>
        <w:pStyle w:val="AppendixText3"/>
      </w:pPr>
      <w:r>
        <w:t>provide the Authority with such additional information relating to the information provided under paragraphs </w:t>
      </w:r>
      <w:r w:rsidR="00051DA5">
        <w:t>5.4.1</w:t>
      </w:r>
      <w:r>
        <w:t xml:space="preserve"> and </w:t>
      </w:r>
      <w:r w:rsidR="00051DA5">
        <w:t>5.4.2</w:t>
      </w:r>
      <w:r w:rsidR="00F652F8">
        <w:t xml:space="preserve"> of this Appendix</w:t>
      </w:r>
      <w:r>
        <w:t xml:space="preserve"> as the Authority may require.</w:t>
      </w:r>
    </w:p>
    <w:p w14:paraId="53982A12" w14:textId="77777777" w:rsidR="00CD68D5" w:rsidRDefault="00CD68D5" w:rsidP="00CD68D5">
      <w:pPr>
        <w:pStyle w:val="AppendixText2"/>
      </w:pPr>
      <w:r>
        <w:t>The Authority, the Supplier and, where the Authority requires, any relevant Sub-contractor shall meet to agree appropriate protective measures for the unencrypted Authority Data.</w:t>
      </w:r>
    </w:p>
    <w:p w14:paraId="0F92D5A6" w14:textId="77777777" w:rsidR="00CD68D5" w:rsidRDefault="00CD68D5" w:rsidP="00CD68D5">
      <w:pPr>
        <w:pStyle w:val="AppendixText2"/>
      </w:pPr>
      <w:r>
        <w:t>Where the Authority and Supplier reach agreement, the Supplier must update the Security Management Plan to include:</w:t>
      </w:r>
    </w:p>
    <w:p w14:paraId="0F1B045E" w14:textId="77777777" w:rsidR="00CD68D5" w:rsidRDefault="00CD68D5" w:rsidP="00CD68D5">
      <w:pPr>
        <w:pStyle w:val="AppendixText3"/>
      </w:pPr>
      <w:r>
        <w:t>the subset or subsets of Authority Data not encrypted and the circumstances in which that will occur;</w:t>
      </w:r>
    </w:p>
    <w:p w14:paraId="1A83536E" w14:textId="77777777" w:rsidR="00CD68D5" w:rsidRDefault="00CD68D5" w:rsidP="00CD68D5">
      <w:pPr>
        <w:pStyle w:val="AppendixText3"/>
      </w:pPr>
      <w:r>
        <w:t>the protective measure that the Supplier and/or Sub-contractor will put in place in respect of the unencrypted Authority Data.</w:t>
      </w:r>
    </w:p>
    <w:p w14:paraId="3B246F2A" w14:textId="4C3F3653" w:rsidR="00CD68D5" w:rsidRDefault="00CD68D5" w:rsidP="00CD68D5">
      <w:pPr>
        <w:pStyle w:val="AppendixText2"/>
      </w:pPr>
      <w:r>
        <w:t xml:space="preserve">Where the Authority and Supplier do not reach agreement within 40 Working Days of the date on which the Supplier first notified the Authority that it could not encrypt certain Authority Data, either party may refer the matter to </w:t>
      </w:r>
      <w:r w:rsidRPr="00806E64">
        <w:t>be determined by an expert in accordance with the Dispute Resolution Procedure as outlined in Schedule 23 (Dispute Resolution Procedure).</w:t>
      </w:r>
    </w:p>
    <w:p w14:paraId="7FC96DAE" w14:textId="77777777" w:rsidR="00CD68D5" w:rsidRDefault="00CD68D5" w:rsidP="00CD68D5">
      <w:pPr>
        <w:pStyle w:val="AppendixText1"/>
      </w:pPr>
      <w:r>
        <w:t>Email</w:t>
      </w:r>
    </w:p>
    <w:p w14:paraId="6D819ABA" w14:textId="77777777" w:rsidR="00CD68D5" w:rsidRDefault="00CD68D5" w:rsidP="00CD68D5">
      <w:pPr>
        <w:pStyle w:val="AppendixText2"/>
      </w:pPr>
      <w:r>
        <w:t>Notwithstanding anything in the specification for the Developed System or this Contract, the Supplier must ensure that where the Developed System will provide an Email Service to the Authority, the Developed System:</w:t>
      </w:r>
    </w:p>
    <w:p w14:paraId="2019CEC7" w14:textId="77777777" w:rsidR="00CD68D5" w:rsidRDefault="00CD68D5" w:rsidP="00CD68D5">
      <w:pPr>
        <w:pStyle w:val="AppendixText3"/>
      </w:pPr>
      <w:r>
        <w:t>supports transport layer security (</w:t>
      </w:r>
      <w:r>
        <w:rPr>
          <w:b/>
        </w:rPr>
        <w:t>TLS</w:t>
      </w:r>
      <w:r>
        <w:t>) version 1.2, or higher, for sending and receiving emails;</w:t>
      </w:r>
    </w:p>
    <w:p w14:paraId="191E6FDA" w14:textId="77777777" w:rsidR="00CD68D5" w:rsidRDefault="00CD68D5" w:rsidP="00CD68D5">
      <w:pPr>
        <w:pStyle w:val="AppendixText3"/>
      </w:pPr>
      <w:r>
        <w:t>supports TLS Reporting (</w:t>
      </w:r>
      <w:r>
        <w:rPr>
          <w:b/>
        </w:rPr>
        <w:t>TLS-RPT</w:t>
      </w:r>
      <w:r>
        <w:t>);</w:t>
      </w:r>
    </w:p>
    <w:p w14:paraId="3FB5C394" w14:textId="77777777" w:rsidR="00CD68D5" w:rsidRDefault="00CD68D5" w:rsidP="00CD68D5">
      <w:pPr>
        <w:pStyle w:val="AppendixText3"/>
      </w:pPr>
      <w:r>
        <w:lastRenderedPageBreak/>
        <w:t>is capable of implementing:</w:t>
      </w:r>
    </w:p>
    <w:p w14:paraId="3B1CE63F" w14:textId="77777777" w:rsidR="00CD68D5" w:rsidRDefault="00CD68D5" w:rsidP="00CD68D5">
      <w:pPr>
        <w:pStyle w:val="AppendixText4"/>
      </w:pPr>
      <w:r>
        <w:t>domain-based message authentication, reporting and conformance (</w:t>
      </w:r>
      <w:r>
        <w:rPr>
          <w:b/>
        </w:rPr>
        <w:t>DMARC</w:t>
      </w:r>
      <w:r>
        <w:t>);</w:t>
      </w:r>
    </w:p>
    <w:p w14:paraId="5EB9E4CA" w14:textId="77777777" w:rsidR="00CD68D5" w:rsidRDefault="00CD68D5" w:rsidP="00CD68D5">
      <w:pPr>
        <w:pStyle w:val="AppendixText4"/>
      </w:pPr>
      <w:r>
        <w:t>sender policy framework (</w:t>
      </w:r>
      <w:r>
        <w:rPr>
          <w:b/>
        </w:rPr>
        <w:t>SPF</w:t>
      </w:r>
      <w:r>
        <w:t>); and</w:t>
      </w:r>
    </w:p>
    <w:p w14:paraId="1C8AF46C" w14:textId="77777777" w:rsidR="00CD68D5" w:rsidRDefault="00CD68D5" w:rsidP="00CD68D5">
      <w:pPr>
        <w:pStyle w:val="AppendixText4"/>
      </w:pPr>
      <w:r>
        <w:t>domain keys identified mail (</w:t>
      </w:r>
      <w:r>
        <w:rPr>
          <w:b/>
        </w:rPr>
        <w:t>DKIM</w:t>
      </w:r>
      <w:r>
        <w:t>); and</w:t>
      </w:r>
    </w:p>
    <w:p w14:paraId="19CFA150" w14:textId="77777777" w:rsidR="00CD68D5" w:rsidRDefault="00CD68D5" w:rsidP="00CD68D5">
      <w:pPr>
        <w:pStyle w:val="AppendixText3"/>
      </w:pPr>
      <w:r>
        <w:t>is capable of complying in all respects with any guidance concerning email security as issued or updated from time to time by:</w:t>
      </w:r>
    </w:p>
    <w:p w14:paraId="4D6C37E1" w14:textId="60509261" w:rsidR="00CD68D5" w:rsidRDefault="00CD68D5" w:rsidP="00CD68D5">
      <w:pPr>
        <w:pStyle w:val="AppendixText3"/>
      </w:pPr>
      <w:r>
        <w:rPr>
          <w:color w:val="000000"/>
        </w:rPr>
        <w:t xml:space="preserve">the UK Government (current version at </w:t>
      </w:r>
      <w:hyperlink r:id="rId59">
        <w:r>
          <w:rPr>
            <w:color w:val="0563C1"/>
            <w:u w:val="single"/>
          </w:rPr>
          <w:t>https://www.gov.uk/guidance/securing-government-email</w:t>
        </w:r>
      </w:hyperlink>
      <w:r>
        <w:rPr>
          <w:color w:val="000000"/>
        </w:rPr>
        <w:t>; or</w:t>
      </w:r>
    </w:p>
    <w:p w14:paraId="4BA886F5" w14:textId="0E0C7E8A" w:rsidR="00CD68D5" w:rsidRDefault="00CD68D5" w:rsidP="00CD68D5">
      <w:pPr>
        <w:pStyle w:val="AppendixText3"/>
      </w:pPr>
      <w:r>
        <w:rPr>
          <w:color w:val="000000"/>
        </w:rPr>
        <w:t xml:space="preserve">the NCSC (current version at </w:t>
      </w:r>
      <w:hyperlink r:id="rId60">
        <w:r>
          <w:rPr>
            <w:color w:val="0563C1"/>
            <w:u w:val="single"/>
          </w:rPr>
          <w:t>https://www.ncsc.gov.uk/collection/email-security-and-anti-spoofing</w:t>
        </w:r>
      </w:hyperlink>
      <w:r>
        <w:rPr>
          <w:color w:val="000000"/>
        </w:rPr>
        <w:t>).</w:t>
      </w:r>
    </w:p>
    <w:p w14:paraId="0554AE3C" w14:textId="77777777" w:rsidR="00CD68D5" w:rsidRDefault="00CD68D5" w:rsidP="00CD68D5">
      <w:pPr>
        <w:pStyle w:val="AppendixText1"/>
      </w:pPr>
      <w:r>
        <w:t>DNS</w:t>
      </w:r>
    </w:p>
    <w:p w14:paraId="24BF2B47" w14:textId="43288A76" w:rsidR="00CD68D5" w:rsidRPr="00CD68D5" w:rsidRDefault="00CD68D5" w:rsidP="00CD68D5">
      <w:pPr>
        <w:pStyle w:val="AppendixText1"/>
        <w:numPr>
          <w:ilvl w:val="0"/>
          <w:numId w:val="0"/>
        </w:numPr>
        <w:ind w:left="720"/>
        <w:rPr>
          <w:b w:val="0"/>
        </w:rPr>
      </w:pPr>
      <w:r w:rsidRPr="00CD68D5">
        <w:rPr>
          <w:b w:val="0"/>
        </w:rPr>
        <w:t>Unless otherwise agreed by the Authority, the Supplier must ensure that the Developed System uses the UK public sector Protective DNS (PDNS) service to resolve internet DNS queries.</w:t>
      </w:r>
    </w:p>
    <w:p w14:paraId="54EC1B48" w14:textId="77777777" w:rsidR="00CD68D5" w:rsidRDefault="00CD68D5" w:rsidP="00CD68D5">
      <w:pPr>
        <w:pStyle w:val="AppendixText1"/>
      </w:pPr>
      <w:bookmarkStart w:id="444" w:name="_heading=h.2koq656" w:colFirst="0" w:colLast="0"/>
      <w:bookmarkEnd w:id="444"/>
      <w:r>
        <w:t>Malicious Software</w:t>
      </w:r>
    </w:p>
    <w:p w14:paraId="00DF86DB" w14:textId="77777777" w:rsidR="00CD68D5" w:rsidRDefault="00CD68D5" w:rsidP="00CD68D5">
      <w:pPr>
        <w:pStyle w:val="AppendixText2"/>
      </w:pPr>
      <w:r>
        <w:t>The Supplier shall install and maintain Anti-virus Software or procure that Anti-virus Software is installed and maintained on the Supplier Information Management System.</w:t>
      </w:r>
    </w:p>
    <w:p w14:paraId="1A45300A" w14:textId="77777777" w:rsidR="00CD68D5" w:rsidRDefault="00CD68D5" w:rsidP="00CD68D5">
      <w:pPr>
        <w:pStyle w:val="AppendixText2"/>
      </w:pPr>
      <w:r>
        <w:t>The Supplier must ensure that such Anti-virus Software:</w:t>
      </w:r>
    </w:p>
    <w:p w14:paraId="6B50B71D" w14:textId="77777777" w:rsidR="00CD68D5" w:rsidRDefault="00CD68D5" w:rsidP="00CD68D5">
      <w:pPr>
        <w:pStyle w:val="AppendixText3"/>
      </w:pPr>
      <w:r>
        <w:t>prevents the installation of the most common forms of Malicious Software in the Supplier Information Management System and the Development Environment;</w:t>
      </w:r>
    </w:p>
    <w:p w14:paraId="128DC3D1" w14:textId="77777777" w:rsidR="00CD68D5" w:rsidRDefault="00CD68D5" w:rsidP="00CD68D5">
      <w:pPr>
        <w:pStyle w:val="AppendixText3"/>
      </w:pPr>
      <w:r>
        <w:t>is configured to perform automatic software and definition updates;</w:t>
      </w:r>
    </w:p>
    <w:p w14:paraId="639DF6ED" w14:textId="276B2EA9" w:rsidR="00CD68D5" w:rsidRDefault="00CD68D5" w:rsidP="00CD68D5">
      <w:pPr>
        <w:pStyle w:val="AppendixText3"/>
      </w:pPr>
      <w:r>
        <w:t>provides for all updates to be the Anti-virus Software to be deployed within ten Working Days of the update’s release by the vendor;</w:t>
      </w:r>
    </w:p>
    <w:p w14:paraId="3E16BF4F" w14:textId="77777777" w:rsidR="00CD68D5" w:rsidRDefault="00CD68D5" w:rsidP="00CD68D5">
      <w:pPr>
        <w:pStyle w:val="AppendixText3"/>
      </w:pPr>
      <w:r>
        <w:t>performs regular scans of the Supplier Information Management System to check for and prevent the introduction of Malicious Software; and</w:t>
      </w:r>
    </w:p>
    <w:p w14:paraId="09B6120B" w14:textId="77777777" w:rsidR="00CD68D5" w:rsidRDefault="00CD68D5" w:rsidP="00CD68D5">
      <w:pPr>
        <w:pStyle w:val="AppendixText3"/>
      </w:pPr>
      <w:r>
        <w:t>where Malicious Software has been introduced into the Supplier Information Management System, identifies, contains the spread of, and minimises the impact of Malicious Software.</w:t>
      </w:r>
    </w:p>
    <w:p w14:paraId="28DEE965" w14:textId="77777777" w:rsidR="00CD68D5" w:rsidRDefault="00CD68D5" w:rsidP="00CD68D5">
      <w:pPr>
        <w:pStyle w:val="AppendixText2"/>
      </w:pPr>
      <w:bookmarkStart w:id="445" w:name="_heading=h.zu0gcz" w:colFirst="0" w:colLast="0"/>
      <w:bookmarkEnd w:id="445"/>
      <w:r>
        <w:t xml:space="preserve">If Malicious Software is found, the Parties shall cooperate to reduce the effect of the Malicious Software and, particularly if Malicious Software causes loss of </w:t>
      </w:r>
      <w:r>
        <w:lastRenderedPageBreak/>
        <w:t>operational efficiency or loss or corruption of Authority Data, assist each other to mitigate any Losses and to restore the Services to their desired operating efficiency.</w:t>
      </w:r>
    </w:p>
    <w:p w14:paraId="0AAC806A" w14:textId="77777777" w:rsidR="00CD68D5" w:rsidRDefault="00CD68D5" w:rsidP="00CD68D5">
      <w:pPr>
        <w:pStyle w:val="AppendixText2"/>
      </w:pPr>
      <w:r>
        <w:t>The Supplier must at all times, during and after the Term, on written demand indemnify the Authority and keep the Authority indemnified, against all Losses incurred by, awarded against or agreed to be paid by the Authority arising from any Breach of Security caused by Malicious Software where the Breach of Security arose from a failure by the Supplier, or a Sub-contractor, to comply with this paragraph 8.</w:t>
      </w:r>
    </w:p>
    <w:p w14:paraId="16C7293E" w14:textId="77777777" w:rsidR="00CD68D5" w:rsidRDefault="00CD68D5" w:rsidP="00CD68D5">
      <w:pPr>
        <w:pStyle w:val="AppendixText1"/>
      </w:pPr>
      <w:bookmarkStart w:id="446" w:name="_heading=h.3jtnz0s" w:colFirst="0" w:colLast="0"/>
      <w:bookmarkEnd w:id="446"/>
      <w:r>
        <w:t>Vulnerabilities</w:t>
      </w:r>
    </w:p>
    <w:p w14:paraId="7185F4FB" w14:textId="77777777" w:rsidR="00CD68D5" w:rsidRDefault="00CD68D5" w:rsidP="00CD68D5">
      <w:pPr>
        <w:pStyle w:val="AppendixText2"/>
      </w:pPr>
      <w:bookmarkStart w:id="447" w:name="_heading=h.1yyy98l" w:colFirst="0" w:colLast="0"/>
      <w:bookmarkEnd w:id="447"/>
      <w:r>
        <w:t>Unless the Authority otherwise agrees, the Supplier must ensure that it or any relevant Sub-contractor applies security patches to any vulnerabilities in the Supplier Information Management System no later than:</w:t>
      </w:r>
    </w:p>
    <w:p w14:paraId="3B1429A2" w14:textId="77777777" w:rsidR="00CD68D5" w:rsidRDefault="00CD68D5" w:rsidP="00CD68D5">
      <w:pPr>
        <w:pStyle w:val="AppendixText3"/>
      </w:pPr>
      <w:r>
        <w:t>seven days after the public release of patches for vulnerabilities classified as "critical";</w:t>
      </w:r>
    </w:p>
    <w:p w14:paraId="0F8E0DC9" w14:textId="77777777" w:rsidR="00CD68D5" w:rsidRDefault="00CD68D5" w:rsidP="00CD68D5">
      <w:pPr>
        <w:pStyle w:val="AppendixText3"/>
      </w:pPr>
      <w:r>
        <w:t>30 days after the public release of patches for vulnerabilities classified as "important"; and</w:t>
      </w:r>
    </w:p>
    <w:p w14:paraId="57B39B01" w14:textId="77777777" w:rsidR="00CD68D5" w:rsidRDefault="00CD68D5" w:rsidP="00CD68D5">
      <w:pPr>
        <w:pStyle w:val="AppendixText3"/>
      </w:pPr>
      <w:r>
        <w:t>60 days after the public release of patches for vulnerabilities classified as "other".</w:t>
      </w:r>
    </w:p>
    <w:p w14:paraId="204E5E0A" w14:textId="77777777" w:rsidR="00CD68D5" w:rsidRDefault="00CD68D5" w:rsidP="00CD68D5">
      <w:pPr>
        <w:pStyle w:val="AppendixText2"/>
      </w:pPr>
      <w:r>
        <w:t>The Supplier must:</w:t>
      </w:r>
    </w:p>
    <w:p w14:paraId="797A75F4" w14:textId="77777777" w:rsidR="00CD68D5" w:rsidRDefault="00CD68D5" w:rsidP="00CD68D5">
      <w:pPr>
        <w:pStyle w:val="AppendixText3"/>
      </w:pPr>
      <w:r>
        <w:t>scan the Supplier Information Management System and the Development Environment at least once every month to identify any unpatched vulnerabilities; and</w:t>
      </w:r>
    </w:p>
    <w:p w14:paraId="6A0C070D" w14:textId="166A6BAC" w:rsidR="00CD68D5" w:rsidRDefault="00CD68D5" w:rsidP="00CD68D5">
      <w:pPr>
        <w:pStyle w:val="AppendixText3"/>
      </w:pPr>
      <w:r>
        <w:t>if the scan identifies any unpatched vulnerabilities ensure they are patched in accordance with paragraph 9.1</w:t>
      </w:r>
      <w:r w:rsidR="00F652F8">
        <w:t xml:space="preserve"> of this Appendix</w:t>
      </w:r>
      <w:r>
        <w:t>.</w:t>
      </w:r>
    </w:p>
    <w:p w14:paraId="6A776FD6" w14:textId="77777777" w:rsidR="00CD68D5" w:rsidRDefault="00CD68D5" w:rsidP="00CD68D5">
      <w:pPr>
        <w:pStyle w:val="AppendixText2"/>
      </w:pPr>
      <w:r>
        <w:t>For the purposes of this paragraph 9, the Supplier must implement a method for classifying vulnerabilities to the Supplier Information Management System as "critical", "important" or "other" that is aligned to recognised vulnerability assessment systems, such as:</w:t>
      </w:r>
    </w:p>
    <w:p w14:paraId="030A5716" w14:textId="77777777" w:rsidR="00CD68D5" w:rsidRDefault="00CD68D5" w:rsidP="00CD68D5">
      <w:pPr>
        <w:pStyle w:val="AppendixText3"/>
      </w:pPr>
      <w:r>
        <w:t>the National Vulnerability Database’s vulnerability security ratings; or</w:t>
      </w:r>
    </w:p>
    <w:p w14:paraId="3EBBA183" w14:textId="77777777" w:rsidR="00CD68D5" w:rsidRDefault="00CD68D5" w:rsidP="00CD68D5">
      <w:pPr>
        <w:pStyle w:val="AppendixText3"/>
      </w:pPr>
      <w:r>
        <w:t>Microsoft’s security bulletin severity rating system.</w:t>
      </w:r>
    </w:p>
    <w:p w14:paraId="3F2FF31D" w14:textId="77777777" w:rsidR="00CD68D5" w:rsidRDefault="00CD68D5" w:rsidP="00CD68D5">
      <w:pPr>
        <w:pStyle w:val="AppendixText1"/>
      </w:pPr>
      <w:bookmarkStart w:id="448" w:name="_heading=h.4iylrwe" w:colFirst="0" w:colLast="0"/>
      <w:bookmarkEnd w:id="448"/>
      <w:r>
        <w:t>Security testing</w:t>
      </w:r>
    </w:p>
    <w:p w14:paraId="2D8E65D2" w14:textId="77777777" w:rsidR="00CD68D5" w:rsidRDefault="00CD68D5" w:rsidP="00CD68D5">
      <w:pPr>
        <w:keepNext/>
        <w:pBdr>
          <w:top w:val="nil"/>
          <w:left w:val="nil"/>
          <w:bottom w:val="nil"/>
          <w:right w:val="nil"/>
          <w:between w:val="nil"/>
        </w:pBdr>
        <w:ind w:left="720"/>
        <w:rPr>
          <w:b/>
          <w:color w:val="000000"/>
        </w:rPr>
      </w:pPr>
      <w:r>
        <w:rPr>
          <w:b/>
          <w:color w:val="000000"/>
        </w:rPr>
        <w:t>Responsibility for security testing</w:t>
      </w:r>
    </w:p>
    <w:p w14:paraId="4AE4EB4D" w14:textId="77777777" w:rsidR="00CD68D5" w:rsidRDefault="00CD68D5" w:rsidP="00CD68D5">
      <w:pPr>
        <w:pStyle w:val="AppendixText2"/>
      </w:pPr>
      <w:r>
        <w:t>The Supplier is solely responsible for:</w:t>
      </w:r>
    </w:p>
    <w:p w14:paraId="4B23C3C9" w14:textId="77777777" w:rsidR="00CD68D5" w:rsidRDefault="00CD68D5" w:rsidP="00CD68D5">
      <w:pPr>
        <w:pStyle w:val="AppendixText3"/>
      </w:pPr>
      <w:r>
        <w:t>the costs of conducting any security testing required by this paragraph 10 (unless the Authority gives notice under paragraph 10.2); and</w:t>
      </w:r>
    </w:p>
    <w:p w14:paraId="361AD58E" w14:textId="77777777" w:rsidR="00CD68D5" w:rsidRDefault="00CD68D5" w:rsidP="00CD68D5">
      <w:pPr>
        <w:pStyle w:val="AppendixText3"/>
      </w:pPr>
      <w:r>
        <w:lastRenderedPageBreak/>
        <w:t>the costs of implementing any findings, or remedying any vulnerabilities, identified in that security testing.</w:t>
      </w:r>
    </w:p>
    <w:p w14:paraId="3E7F72C4" w14:textId="77777777" w:rsidR="00CD68D5" w:rsidRDefault="00CD68D5" w:rsidP="00CD68D5">
      <w:pPr>
        <w:keepNext/>
        <w:pBdr>
          <w:top w:val="nil"/>
          <w:left w:val="nil"/>
          <w:bottom w:val="nil"/>
          <w:right w:val="nil"/>
          <w:between w:val="nil"/>
        </w:pBdr>
        <w:ind w:left="720"/>
        <w:rPr>
          <w:b/>
          <w:color w:val="000000"/>
        </w:rPr>
      </w:pPr>
      <w:r>
        <w:rPr>
          <w:b/>
          <w:color w:val="000000"/>
        </w:rPr>
        <w:t>Security tests by Authority</w:t>
      </w:r>
    </w:p>
    <w:p w14:paraId="3A629C4D" w14:textId="6AABC088" w:rsidR="00CD68D5" w:rsidRDefault="00CD68D5" w:rsidP="00CD68D5">
      <w:pPr>
        <w:pStyle w:val="AppendixText2"/>
      </w:pPr>
      <w:bookmarkStart w:id="449" w:name="_heading=h.2y3w247" w:colFirst="0" w:colLast="0"/>
      <w:bookmarkEnd w:id="449"/>
      <w:r>
        <w:t>The Authority may, where it has significant concerns relating to the security of the Supplier Information Management System, give notice to the Supplier that the Authority will undertake the security testing required by paragraph 10.9</w:t>
      </w:r>
      <w:r w:rsidR="00F652F8">
        <w:t xml:space="preserve"> of this Appendix</w:t>
      </w:r>
      <w:r>
        <w:t>.</w:t>
      </w:r>
    </w:p>
    <w:p w14:paraId="7412FA4E" w14:textId="35816188" w:rsidR="00CD68D5" w:rsidRDefault="00CD68D5" w:rsidP="00CD68D5">
      <w:pPr>
        <w:pStyle w:val="AppendixText2"/>
      </w:pPr>
      <w:r>
        <w:t>Where the Authority gives notice under paragraph 10.2</w:t>
      </w:r>
      <w:r w:rsidR="00F652F8">
        <w:t xml:space="preserve"> of this Appendix</w:t>
      </w:r>
      <w:r>
        <w:t>:</w:t>
      </w:r>
    </w:p>
    <w:p w14:paraId="1719755B" w14:textId="77777777" w:rsidR="00CD68D5" w:rsidRDefault="00CD68D5" w:rsidP="00CD68D5">
      <w:pPr>
        <w:pStyle w:val="AppendixText3"/>
      </w:pPr>
      <w:r>
        <w:t>the Supplier shall provide such reasonable co-operation as the Authority requests, including:</w:t>
      </w:r>
    </w:p>
    <w:p w14:paraId="46B7D0A4" w14:textId="77777777" w:rsidR="00CD68D5" w:rsidRDefault="00CD68D5" w:rsidP="00CD68D5">
      <w:pPr>
        <w:pStyle w:val="AppendixText4"/>
      </w:pPr>
      <w:r>
        <w:t xml:space="preserve">such access to the Supplier Information Management System as the Authority may request; and </w:t>
      </w:r>
    </w:p>
    <w:p w14:paraId="14CC0058" w14:textId="77777777" w:rsidR="00CD68D5" w:rsidRDefault="00CD68D5" w:rsidP="00CD68D5">
      <w:pPr>
        <w:pStyle w:val="AppendixText4"/>
      </w:pPr>
      <w:r>
        <w:t>such technical and other information relating to the Information Management System as the Authority requests;</w:t>
      </w:r>
    </w:p>
    <w:p w14:paraId="7135DE7F" w14:textId="77777777" w:rsidR="00CD68D5" w:rsidRDefault="00CD68D5" w:rsidP="00CD68D5">
      <w:pPr>
        <w:pStyle w:val="AppendixText3"/>
      </w:pPr>
      <w:bookmarkStart w:id="450" w:name="_heading=h.1d96cc0" w:colFirst="0" w:colLast="0"/>
      <w:bookmarkEnd w:id="450"/>
      <w:r>
        <w:t>the Authority must provide a full, unedited and unredacted copy of the report relating to the IT Health Check as soon as reasonably practicable after the Authority receives a copy of the report; and</w:t>
      </w:r>
    </w:p>
    <w:p w14:paraId="3AA5A69F" w14:textId="51349BB2" w:rsidR="00CD68D5" w:rsidRDefault="00CD68D5" w:rsidP="00CD68D5">
      <w:pPr>
        <w:pStyle w:val="AppendixText3"/>
      </w:pPr>
      <w:r>
        <w:t>for the purposes of paragraphs 10.18 to 10.27</w:t>
      </w:r>
      <w:r w:rsidR="00F652F8">
        <w:t xml:space="preserve"> of this Appendix</w:t>
      </w:r>
      <w:r>
        <w:t>:</w:t>
      </w:r>
    </w:p>
    <w:p w14:paraId="7FF5FE98" w14:textId="77777777" w:rsidR="00CD68D5" w:rsidRDefault="00CD68D5" w:rsidP="00CD68D5">
      <w:pPr>
        <w:pStyle w:val="AppendixText4"/>
      </w:pPr>
      <w:r>
        <w:t>the Supplier must treat any IT Health Check commissioned by the Authority as if it were such a report commissioned by the Supplier; and</w:t>
      </w:r>
    </w:p>
    <w:p w14:paraId="1B350F72" w14:textId="4B59CA68" w:rsidR="00CD68D5" w:rsidRDefault="00CD68D5" w:rsidP="00CD68D5">
      <w:pPr>
        <w:pStyle w:val="AppendixText4"/>
      </w:pPr>
      <w:r>
        <w:t>the time limits in paragraphs 10.18 and 10.20 run from the date on which the Authority provides the Supplier with the copy of the report under paragraph </w:t>
      </w:r>
      <w:r w:rsidR="00F652F8">
        <w:t>10.3.2</w:t>
      </w:r>
      <w:r>
        <w:t>.</w:t>
      </w:r>
    </w:p>
    <w:p w14:paraId="5D9E5690" w14:textId="2963D087" w:rsidR="00CD68D5" w:rsidRDefault="00CD68D5" w:rsidP="00CD68D5">
      <w:pPr>
        <w:pStyle w:val="AppendixText2"/>
      </w:pPr>
      <w:r>
        <w:t>In addition to its rights under paragraph 10.2</w:t>
      </w:r>
      <w:r w:rsidR="00F652F8">
        <w:t xml:space="preserve"> of this Appendix</w:t>
      </w:r>
      <w:r>
        <w:t>, the Authority and/or its authorised representatives may, at any time and without giving notice to the Supplier, carry out such tests (including penetration tests) as it may deem necessary in relation to:</w:t>
      </w:r>
    </w:p>
    <w:p w14:paraId="1E6BBD76" w14:textId="77777777" w:rsidR="00CD68D5" w:rsidRDefault="00CD68D5" w:rsidP="00CD68D5">
      <w:pPr>
        <w:pStyle w:val="AppendixText3"/>
      </w:pPr>
      <w:r>
        <w:t>the Service;</w:t>
      </w:r>
    </w:p>
    <w:p w14:paraId="265027F8" w14:textId="77777777" w:rsidR="00CD68D5" w:rsidRDefault="00CD68D5" w:rsidP="00CD68D5">
      <w:pPr>
        <w:pStyle w:val="AppendixText3"/>
      </w:pPr>
      <w:r>
        <w:t>the Supplier Information Management System; and/or</w:t>
      </w:r>
    </w:p>
    <w:p w14:paraId="6C1A0F3C" w14:textId="77777777" w:rsidR="00CD68D5" w:rsidRDefault="00CD68D5" w:rsidP="00CD68D5">
      <w:pPr>
        <w:pStyle w:val="AppendixText3"/>
      </w:pPr>
      <w:r>
        <w:t>the Supplier's compliance with the Security Management Plan</w:t>
      </w:r>
    </w:p>
    <w:p w14:paraId="3EC76F34" w14:textId="77777777" w:rsidR="00CD68D5" w:rsidRDefault="00CD68D5" w:rsidP="00CD68D5">
      <w:pPr>
        <w:pStyle w:val="Heading3"/>
        <w:ind w:left="1440" w:hanging="720"/>
      </w:pPr>
      <w:r>
        <w:t>(Authority Security Tests).</w:t>
      </w:r>
    </w:p>
    <w:p w14:paraId="0401E1DB" w14:textId="77777777" w:rsidR="00CD68D5" w:rsidRDefault="00CD68D5" w:rsidP="00CD68D5">
      <w:pPr>
        <w:pStyle w:val="AppendixText2"/>
      </w:pPr>
      <w:r>
        <w:t>The Authority shall take reasonable steps to notify the Supplier prior to carrying out such Authority Security Tests to the extent that it is reasonably practicable for it to do so taking into account the nature of the Authority Security Tests.</w:t>
      </w:r>
    </w:p>
    <w:p w14:paraId="5742385E" w14:textId="77777777" w:rsidR="00CD68D5" w:rsidRDefault="00CD68D5" w:rsidP="00CD68D5">
      <w:pPr>
        <w:pStyle w:val="AppendixText2"/>
      </w:pPr>
      <w:r>
        <w:lastRenderedPageBreak/>
        <w:t>The Authority shall notify the Supplier of the results of such Authority Security Tests after completion of each Authority Security Test.</w:t>
      </w:r>
    </w:p>
    <w:p w14:paraId="227955A0" w14:textId="77777777" w:rsidR="00CD68D5" w:rsidRDefault="00CD68D5" w:rsidP="00CD68D5">
      <w:pPr>
        <w:pStyle w:val="AppendixText2"/>
      </w:pPr>
      <w:r>
        <w:t>The Authority shall design and implement the Authority Security Tests to minimise their impact on the delivery of the Services.</w:t>
      </w:r>
    </w:p>
    <w:p w14:paraId="23D6AF0C" w14:textId="77777777" w:rsidR="00CD68D5" w:rsidRDefault="00CD68D5" w:rsidP="00CD68D5">
      <w:pPr>
        <w:pStyle w:val="AppendixText2"/>
      </w:pPr>
      <w:r>
        <w:t>If an Authority Security Tests causes Supplier Non-Performance, the Authority Security Tests shall be treated as an Authority Cause, except where the root cause of the Supplier Non-Performance was a security-related weakness or vulnerability exposed by the Authority Security Tests.</w:t>
      </w:r>
    </w:p>
    <w:p w14:paraId="7E06239E" w14:textId="77777777" w:rsidR="00CD68D5" w:rsidRDefault="00CD68D5" w:rsidP="00CD68D5">
      <w:pPr>
        <w:keepNext/>
        <w:pBdr>
          <w:top w:val="nil"/>
          <w:left w:val="nil"/>
          <w:bottom w:val="nil"/>
          <w:right w:val="nil"/>
          <w:between w:val="nil"/>
        </w:pBdr>
        <w:ind w:left="720"/>
        <w:rPr>
          <w:b/>
          <w:color w:val="000000"/>
        </w:rPr>
      </w:pPr>
      <w:r>
        <w:rPr>
          <w:b/>
          <w:color w:val="000000"/>
        </w:rPr>
        <w:t>Security tests by Supplier</w:t>
      </w:r>
    </w:p>
    <w:p w14:paraId="4C915072" w14:textId="77777777" w:rsidR="00CD68D5" w:rsidRDefault="00CD68D5" w:rsidP="00CD68D5">
      <w:pPr>
        <w:pStyle w:val="AppendixText2"/>
      </w:pPr>
      <w:bookmarkStart w:id="451" w:name="_heading=h.3x8tuzt" w:colFirst="0" w:colLast="0"/>
      <w:bookmarkEnd w:id="451"/>
      <w:r>
        <w:t>The Supplier must:</w:t>
      </w:r>
    </w:p>
    <w:p w14:paraId="7DC7FC8D" w14:textId="77777777" w:rsidR="00CD68D5" w:rsidRDefault="00CD68D5" w:rsidP="00CD68D5">
      <w:pPr>
        <w:pStyle w:val="AppendixText3"/>
      </w:pPr>
      <w:r>
        <w:t>before submitting the draft Security Management Plan to the Authority for an Assurance Decision;</w:t>
      </w:r>
    </w:p>
    <w:p w14:paraId="7C30B6F0" w14:textId="77777777" w:rsidR="00CD68D5" w:rsidRDefault="00CD68D5" w:rsidP="00CD68D5">
      <w:pPr>
        <w:pStyle w:val="AppendixText3"/>
      </w:pPr>
      <w:r>
        <w:t>at least once during each Contract Year; and</w:t>
      </w:r>
    </w:p>
    <w:p w14:paraId="73E70FFE" w14:textId="77777777" w:rsidR="00CD68D5" w:rsidRDefault="00CD68D5" w:rsidP="00CD68D5">
      <w:pPr>
        <w:pStyle w:val="AppendixText3"/>
      </w:pPr>
      <w:r>
        <w:t>when required to do so by the Authority;</w:t>
      </w:r>
    </w:p>
    <w:p w14:paraId="025D7864" w14:textId="77777777" w:rsidR="00CD68D5" w:rsidRPr="00F652F8" w:rsidRDefault="00CD68D5" w:rsidP="00F652F8">
      <w:pPr>
        <w:pStyle w:val="Normal1"/>
        <w:ind w:firstLine="720"/>
        <w:rPr>
          <w:rFonts w:asciiTheme="minorHAnsi" w:hAnsiTheme="minorHAnsi" w:cstheme="minorHAnsi"/>
        </w:rPr>
      </w:pPr>
      <w:r w:rsidRPr="00F652F8">
        <w:rPr>
          <w:rFonts w:asciiTheme="minorHAnsi" w:hAnsiTheme="minorHAnsi" w:cstheme="minorHAnsi"/>
        </w:rPr>
        <w:t>undertake the following activities:</w:t>
      </w:r>
    </w:p>
    <w:p w14:paraId="56E04435" w14:textId="520F6B21" w:rsidR="00CD68D5" w:rsidRDefault="00CD68D5" w:rsidP="00CD68D5">
      <w:pPr>
        <w:pStyle w:val="AppendixText3"/>
      </w:pPr>
      <w:bookmarkStart w:id="452" w:name="_heading=h.2ce457m" w:colFirst="0" w:colLast="0"/>
      <w:bookmarkEnd w:id="452"/>
      <w:r>
        <w:t xml:space="preserve">conduct </w:t>
      </w:r>
      <w:r w:rsidR="00357D0F">
        <w:t xml:space="preserve">(at the Supplier's own cost) annual </w:t>
      </w:r>
      <w:r>
        <w:t>security testing of the Supplier Information Management System, insofar as it relates to the Developed System but excluding the Development Environment (</w:t>
      </w:r>
      <w:r>
        <w:rPr>
          <w:b/>
        </w:rPr>
        <w:t>IT Health Check</w:t>
      </w:r>
      <w:r>
        <w:t>) in accordance with paragraph 10.15 to 10.17</w:t>
      </w:r>
      <w:r w:rsidR="00357D0F">
        <w:t xml:space="preserve"> of this Appendix</w:t>
      </w:r>
      <w:r>
        <w:t>; and</w:t>
      </w:r>
    </w:p>
    <w:p w14:paraId="74A581B7" w14:textId="163A537B" w:rsidR="00CD68D5" w:rsidRDefault="00CD68D5" w:rsidP="00CD68D5">
      <w:pPr>
        <w:pStyle w:val="AppendixText3"/>
      </w:pPr>
      <w:r>
        <w:t>implement any findings, and remedy any vulnerabilities identified by the IT Health Check in accordance with paragraphs 10.18 to 10.27</w:t>
      </w:r>
      <w:r w:rsidR="00357D0F">
        <w:t xml:space="preserve"> at the Supplier's cost</w:t>
      </w:r>
      <w:r>
        <w:t>.</w:t>
      </w:r>
    </w:p>
    <w:p w14:paraId="0C6E3FDF" w14:textId="03732B13" w:rsidR="00CD68D5" w:rsidRDefault="00CD68D5" w:rsidP="00CD68D5">
      <w:pPr>
        <w:pStyle w:val="AppendixText2"/>
      </w:pPr>
      <w:r>
        <w:t>In addition to its obligations under paragraph 10.9</w:t>
      </w:r>
      <w:r w:rsidR="00357D0F">
        <w:t xml:space="preserve"> of this Appendix</w:t>
      </w:r>
      <w:r>
        <w:t>, the Supplier must undertake any tests required by:</w:t>
      </w:r>
    </w:p>
    <w:p w14:paraId="7C95012F" w14:textId="77777777" w:rsidR="00CD68D5" w:rsidRDefault="00CD68D5" w:rsidP="00CD68D5">
      <w:pPr>
        <w:pStyle w:val="AppendixText3"/>
      </w:pPr>
      <w:r>
        <w:t>any Remediation Action Plan;</w:t>
      </w:r>
    </w:p>
    <w:p w14:paraId="7B5B6A99" w14:textId="77777777" w:rsidR="00CD68D5" w:rsidRDefault="00CD68D5" w:rsidP="00CD68D5">
      <w:pPr>
        <w:pStyle w:val="AppendixText3"/>
      </w:pPr>
      <w:r>
        <w:t>the ISO27001 Certification Requirements;</w:t>
      </w:r>
    </w:p>
    <w:p w14:paraId="7D15599A" w14:textId="77777777" w:rsidR="00CD68D5" w:rsidRDefault="00CD68D5" w:rsidP="00CD68D5">
      <w:pPr>
        <w:pStyle w:val="AppendixText3"/>
      </w:pPr>
      <w:r>
        <w:t>the Security Management Plan; and</w:t>
      </w:r>
    </w:p>
    <w:p w14:paraId="371B6A0C" w14:textId="77777777" w:rsidR="00CD68D5" w:rsidRDefault="00CD68D5" w:rsidP="00CD68D5">
      <w:pPr>
        <w:pStyle w:val="AppendixText3"/>
      </w:pPr>
      <w:r>
        <w:t>the Authority, following a Breach of Security or a significant change, as assessed by the Authority, to the components or architecture of the Supplier Information Management System,</w:t>
      </w:r>
    </w:p>
    <w:p w14:paraId="31C02700" w14:textId="77777777" w:rsidR="00CD68D5" w:rsidRDefault="00CD68D5" w:rsidP="00CD68D5">
      <w:pPr>
        <w:pStyle w:val="Heading3"/>
        <w:ind w:left="720"/>
      </w:pPr>
      <w:r>
        <w:t>(each a Supplier Security Test).</w:t>
      </w:r>
    </w:p>
    <w:p w14:paraId="33A50045" w14:textId="77777777" w:rsidR="00CD68D5" w:rsidRDefault="00CD68D5" w:rsidP="00CD68D5">
      <w:pPr>
        <w:pStyle w:val="AppendixText2"/>
      </w:pPr>
      <w:bookmarkStart w:id="453" w:name="_heading=h.rjefff" w:colFirst="0" w:colLast="0"/>
      <w:bookmarkEnd w:id="453"/>
      <w:r>
        <w:t>The Supplier must:</w:t>
      </w:r>
    </w:p>
    <w:p w14:paraId="5C0825AA" w14:textId="77777777" w:rsidR="00CD68D5" w:rsidRDefault="00CD68D5" w:rsidP="00CD68D5">
      <w:pPr>
        <w:pStyle w:val="AppendixText3"/>
      </w:pPr>
      <w:r>
        <w:t>design and implement the Supplier Security Tests so as to minimise the impact on the delivery of the Services;</w:t>
      </w:r>
    </w:p>
    <w:p w14:paraId="3F99D95A" w14:textId="77777777" w:rsidR="00CD68D5" w:rsidRDefault="00CD68D5" w:rsidP="00CD68D5">
      <w:pPr>
        <w:pStyle w:val="AppendixText3"/>
      </w:pPr>
      <w:r>
        <w:lastRenderedPageBreak/>
        <w:t>agree the date, timing, content and conduct of such Supplier Security Tests in advance with the Authority.</w:t>
      </w:r>
    </w:p>
    <w:p w14:paraId="0C342F6F" w14:textId="09F53328" w:rsidR="00CD68D5" w:rsidRDefault="00CD68D5" w:rsidP="00CD68D5">
      <w:pPr>
        <w:pStyle w:val="AppendixText2"/>
      </w:pPr>
      <w:r>
        <w:t>Where the Supplier fully complies with paragraph 10.11</w:t>
      </w:r>
      <w:r w:rsidR="00357D0F">
        <w:t xml:space="preserve"> of this Appendix</w:t>
      </w:r>
      <w:r>
        <w:t>, if a Supplier Security Test causes a Performance Failure in a particular Measurement Period, the Supplier shall be entitled to relief in respect of such Performance Failure for that Measurement Period.</w:t>
      </w:r>
    </w:p>
    <w:p w14:paraId="490C71B7" w14:textId="77777777" w:rsidR="00CD68D5" w:rsidRDefault="00CD68D5" w:rsidP="00CD68D5">
      <w:pPr>
        <w:pStyle w:val="AppendixText2"/>
      </w:pPr>
      <w:r>
        <w:t xml:space="preserve">The Authority may send a representative to witness the conduct of the Supplier Security Tests. </w:t>
      </w:r>
    </w:p>
    <w:p w14:paraId="7D7362C0" w14:textId="77777777" w:rsidR="00CD68D5" w:rsidRDefault="00CD68D5" w:rsidP="00CD68D5">
      <w:pPr>
        <w:pStyle w:val="AppendixText2"/>
      </w:pPr>
      <w:r>
        <w:t>The Supplier shall provide the Authority with a full, unedited and unredacted copy of the results of such Security Tests (in a form approved by the Authority in advance) as soon as practicable, and in any case within ten Working Days, after completion of each Supplier Security Test</w:t>
      </w:r>
    </w:p>
    <w:p w14:paraId="4EA067D2" w14:textId="77777777" w:rsidR="00CD68D5" w:rsidRDefault="00CD68D5" w:rsidP="00CD68D5">
      <w:pPr>
        <w:keepNext/>
        <w:pBdr>
          <w:top w:val="nil"/>
          <w:left w:val="nil"/>
          <w:bottom w:val="nil"/>
          <w:right w:val="nil"/>
          <w:between w:val="nil"/>
        </w:pBdr>
        <w:ind w:left="720"/>
        <w:rPr>
          <w:b/>
          <w:color w:val="000000"/>
        </w:rPr>
      </w:pPr>
      <w:bookmarkStart w:id="454" w:name="_heading=h.3bj1y38" w:colFirst="0" w:colLast="0"/>
      <w:bookmarkEnd w:id="454"/>
      <w:r>
        <w:rPr>
          <w:b/>
          <w:color w:val="000000"/>
        </w:rPr>
        <w:t>IT Health Checks</w:t>
      </w:r>
    </w:p>
    <w:p w14:paraId="7ABBB7BB" w14:textId="20236AA1" w:rsidR="00CD68D5" w:rsidRDefault="00CD68D5" w:rsidP="00CD68D5">
      <w:pPr>
        <w:pStyle w:val="AppendixText2"/>
      </w:pPr>
      <w:bookmarkStart w:id="455" w:name="_heading=h.1qoc8b1" w:colFirst="0" w:colLast="0"/>
      <w:bookmarkEnd w:id="455"/>
      <w:r>
        <w:t>In arranging an</w:t>
      </w:r>
      <w:r w:rsidR="00357D0F">
        <w:t xml:space="preserve"> annual</w:t>
      </w:r>
      <w:r>
        <w:t xml:space="preserve"> IT Health Check, the Supplier must:</w:t>
      </w:r>
    </w:p>
    <w:p w14:paraId="0E8475FA" w14:textId="77777777" w:rsidR="00CD68D5" w:rsidRDefault="00CD68D5" w:rsidP="00CD68D5">
      <w:pPr>
        <w:pStyle w:val="AppendixText3"/>
      </w:pPr>
      <w:r>
        <w:t>use only a CHECK Service Provider to perform the IT Health Check;</w:t>
      </w:r>
    </w:p>
    <w:p w14:paraId="0AAEA0CF" w14:textId="77777777" w:rsidR="00CD68D5" w:rsidRDefault="00CD68D5" w:rsidP="00CD68D5">
      <w:pPr>
        <w:pStyle w:val="AppendixText3"/>
      </w:pPr>
      <w:r>
        <w:t>design and plan for the IT Health Check so as to minimise the impact of the IT Health Check on the Supplier Information Management System and the delivery of the Services.</w:t>
      </w:r>
    </w:p>
    <w:p w14:paraId="685BE662" w14:textId="77777777" w:rsidR="00CD68D5" w:rsidRDefault="00CD68D5" w:rsidP="00CD68D5">
      <w:pPr>
        <w:pStyle w:val="AppendixText3"/>
      </w:pPr>
      <w:r>
        <w:t>promptly provide the Authority with such technical and other information relating to the Information Management System as the Authority requests;</w:t>
      </w:r>
    </w:p>
    <w:p w14:paraId="28A23EDB" w14:textId="77777777" w:rsidR="00CD68D5" w:rsidRDefault="00CD68D5" w:rsidP="00CD68D5">
      <w:pPr>
        <w:pStyle w:val="AppendixText3"/>
      </w:pPr>
      <w:r>
        <w:t>include within the scope of the IT Health Check such tests as the Authority requires;</w:t>
      </w:r>
    </w:p>
    <w:p w14:paraId="735217B2" w14:textId="77777777" w:rsidR="00CD68D5" w:rsidRDefault="00CD68D5" w:rsidP="00CD68D5">
      <w:pPr>
        <w:pStyle w:val="AppendixText3"/>
      </w:pPr>
      <w:r>
        <w:t>agree with the Authority the scope, aim and timing of the IT Health Check.</w:t>
      </w:r>
    </w:p>
    <w:p w14:paraId="2F63F416" w14:textId="77777777" w:rsidR="00CD68D5" w:rsidRDefault="00CD68D5" w:rsidP="00CD68D5">
      <w:pPr>
        <w:pStyle w:val="AppendixText2"/>
      </w:pPr>
      <w:r>
        <w:t>The Supplier must commission the IT Health Check in accordance with the scope, aim and timing agreed by the Authority.</w:t>
      </w:r>
    </w:p>
    <w:p w14:paraId="2897C38A" w14:textId="77777777" w:rsidR="00CD68D5" w:rsidRDefault="00CD68D5" w:rsidP="00CD68D5">
      <w:pPr>
        <w:pStyle w:val="AppendixText2"/>
      </w:pPr>
      <w:bookmarkStart w:id="456" w:name="_heading=h.4anzqyu" w:colFirst="0" w:colLast="0"/>
      <w:bookmarkEnd w:id="456"/>
      <w:r>
        <w:t>Following completion of an IT Health Check, the Supplier must provide the Authority with a full, unedited and unredacted copy of the report relating to the IT Health Check without delay and in any event within ten Working Days of its receipt by the Supplier.</w:t>
      </w:r>
    </w:p>
    <w:p w14:paraId="61354CEA" w14:textId="77777777" w:rsidR="00CD68D5" w:rsidRDefault="00CD68D5" w:rsidP="00CD68D5">
      <w:pPr>
        <w:keepNext/>
        <w:pBdr>
          <w:top w:val="nil"/>
          <w:left w:val="nil"/>
          <w:bottom w:val="nil"/>
          <w:right w:val="nil"/>
          <w:between w:val="nil"/>
        </w:pBdr>
        <w:ind w:left="720"/>
        <w:rPr>
          <w:b/>
          <w:color w:val="000000"/>
        </w:rPr>
      </w:pPr>
      <w:bookmarkStart w:id="457" w:name="_heading=h.2pta16n" w:colFirst="0" w:colLast="0"/>
      <w:bookmarkEnd w:id="457"/>
      <w:r>
        <w:rPr>
          <w:b/>
          <w:color w:val="000000"/>
        </w:rPr>
        <w:t>Remedying vulnerabilities</w:t>
      </w:r>
    </w:p>
    <w:p w14:paraId="54D4874C" w14:textId="55B03158" w:rsidR="00CD68D5" w:rsidRDefault="00CD68D5" w:rsidP="00CD68D5">
      <w:pPr>
        <w:pStyle w:val="AppendixText2"/>
      </w:pPr>
      <w:bookmarkStart w:id="458" w:name="_heading=h.14ykbeg" w:colFirst="0" w:colLast="0"/>
      <w:bookmarkEnd w:id="458"/>
      <w:r>
        <w:t>In addition to complying with paragraphs 10.20 to 10.27</w:t>
      </w:r>
      <w:r w:rsidR="00357D0F">
        <w:t xml:space="preserve"> of this Appendix</w:t>
      </w:r>
      <w:r>
        <w:t xml:space="preserve">, the Supplier must </w:t>
      </w:r>
      <w:r w:rsidR="00357D0F">
        <w:t xml:space="preserve">(at its own cost) </w:t>
      </w:r>
      <w:r>
        <w:t>remedy:</w:t>
      </w:r>
    </w:p>
    <w:p w14:paraId="785743BA" w14:textId="77777777" w:rsidR="00CD68D5" w:rsidRDefault="00CD68D5" w:rsidP="00CD68D5">
      <w:pPr>
        <w:pStyle w:val="AppendixText3"/>
      </w:pPr>
      <w:r>
        <w:t>any vulnerabilities classified as critical in a Security Test report within five Working Days of becoming aware of the vulnerability and its classification;</w:t>
      </w:r>
    </w:p>
    <w:p w14:paraId="46CE1D99" w14:textId="77777777" w:rsidR="00CD68D5" w:rsidRDefault="00CD68D5" w:rsidP="00CD68D5">
      <w:pPr>
        <w:pStyle w:val="AppendixText3"/>
      </w:pPr>
      <w:r>
        <w:lastRenderedPageBreak/>
        <w:t>any vulnerabilities classified as high in a Security Test report within one month of becoming aware of the vulnerability and its classification; and</w:t>
      </w:r>
    </w:p>
    <w:p w14:paraId="6C524721" w14:textId="77777777" w:rsidR="00CD68D5" w:rsidRDefault="00CD68D5" w:rsidP="00CD68D5">
      <w:pPr>
        <w:pStyle w:val="AppendixText3"/>
      </w:pPr>
      <w:r>
        <w:t>any vulnerabilities classified as medium in a Security Test report within three months of becoming aware of the vulnerability and its classification.</w:t>
      </w:r>
    </w:p>
    <w:p w14:paraId="2B7FA0F2" w14:textId="4E8088F3" w:rsidR="00CD68D5" w:rsidRDefault="00CD68D5" w:rsidP="00CD68D5">
      <w:pPr>
        <w:pStyle w:val="AppendixText2"/>
      </w:pPr>
      <w:r>
        <w:t>The Supplier must notify the Authority immediately if it does not, or considers it will not be able to, remedy the vulnerabilities classified as critical, high or medium in a Security Test report within the time periods specified in paragraph 10.18</w:t>
      </w:r>
      <w:r w:rsidR="00357D0F">
        <w:t xml:space="preserve"> of this Appendix</w:t>
      </w:r>
      <w:r>
        <w:t>.</w:t>
      </w:r>
    </w:p>
    <w:p w14:paraId="5A4E2361" w14:textId="77777777" w:rsidR="00CD68D5" w:rsidRDefault="00CD68D5" w:rsidP="00CD68D5">
      <w:pPr>
        <w:keepNext/>
        <w:pBdr>
          <w:top w:val="nil"/>
          <w:left w:val="nil"/>
          <w:bottom w:val="nil"/>
          <w:right w:val="nil"/>
          <w:between w:val="nil"/>
        </w:pBdr>
        <w:ind w:left="720"/>
        <w:rPr>
          <w:b/>
          <w:color w:val="000000"/>
        </w:rPr>
      </w:pPr>
      <w:bookmarkStart w:id="459" w:name="_heading=h.3oy7u29" w:colFirst="0" w:colLast="0"/>
      <w:bookmarkEnd w:id="459"/>
      <w:r>
        <w:rPr>
          <w:b/>
          <w:color w:val="000000"/>
        </w:rPr>
        <w:t>Responding to a Security Test report</w:t>
      </w:r>
    </w:p>
    <w:p w14:paraId="02B01450" w14:textId="77777777" w:rsidR="00CD68D5" w:rsidRDefault="00CD68D5" w:rsidP="00CD68D5">
      <w:pPr>
        <w:pStyle w:val="AppendixText2"/>
      </w:pPr>
      <w:bookmarkStart w:id="460" w:name="_heading=h.243i4a2" w:colFirst="0" w:colLast="0"/>
      <w:bookmarkEnd w:id="460"/>
      <w:r>
        <w:t>Where the Security Test report identifies vulnerabilities in, or makes findings in respect of, the Supplier Information Management System, the Supplier must within 20 Working Days of receiving the Security Test report, prepare and submit for approval to the Authority a draft plan addressing the vulnerabilities and findings (</w:t>
      </w:r>
      <w:r>
        <w:rPr>
          <w:b/>
        </w:rPr>
        <w:t>Remediation Action Plan</w:t>
      </w:r>
      <w:r>
        <w:t>).</w:t>
      </w:r>
    </w:p>
    <w:p w14:paraId="3807ECE5" w14:textId="4704DC39" w:rsidR="00CD68D5" w:rsidRDefault="00CD68D5" w:rsidP="00CD68D5">
      <w:pPr>
        <w:pStyle w:val="AppendixText2"/>
      </w:pPr>
      <w:bookmarkStart w:id="461" w:name="_heading=h.j8sehv" w:colFirst="0" w:colLast="0"/>
      <w:bookmarkEnd w:id="461"/>
      <w:r>
        <w:t>Where the Authority has commissioned a root cause analysis under paragraph 10.28</w:t>
      </w:r>
      <w:r w:rsidR="00357D0F">
        <w:t xml:space="preserve"> of this Appendix</w:t>
      </w:r>
      <w:r>
        <w:t>, the Supplier shall ensure that the draft Remediation Action Plan addresses that analysis.</w:t>
      </w:r>
    </w:p>
    <w:p w14:paraId="2317F100" w14:textId="77777777" w:rsidR="00CD68D5" w:rsidRDefault="00CD68D5" w:rsidP="00CD68D5">
      <w:pPr>
        <w:pStyle w:val="AppendixText2"/>
      </w:pPr>
      <w:bookmarkStart w:id="462" w:name="_heading=h.338fx5o" w:colFirst="0" w:colLast="0"/>
      <w:bookmarkEnd w:id="462"/>
      <w:r>
        <w:t>The draft Remediation Action Plan must, in respect of each vulnerability identified or finding made by the Security Test report:</w:t>
      </w:r>
    </w:p>
    <w:p w14:paraId="68855561" w14:textId="77777777" w:rsidR="00CD68D5" w:rsidRDefault="00CD68D5" w:rsidP="00CD68D5">
      <w:pPr>
        <w:pStyle w:val="AppendixText3"/>
      </w:pPr>
      <w:r>
        <w:t>how the vulnerability or finding will be remedied;</w:t>
      </w:r>
    </w:p>
    <w:p w14:paraId="5E2955E9" w14:textId="77777777" w:rsidR="00CD68D5" w:rsidRDefault="00CD68D5" w:rsidP="00CD68D5">
      <w:pPr>
        <w:pStyle w:val="AppendixText3"/>
      </w:pPr>
      <w:r>
        <w:t>the date by which the vulnerability or finding will be remedied; and</w:t>
      </w:r>
    </w:p>
    <w:p w14:paraId="72D1A628" w14:textId="77777777" w:rsidR="00CD68D5" w:rsidRDefault="00CD68D5" w:rsidP="00CD68D5">
      <w:pPr>
        <w:pStyle w:val="AppendixText3"/>
      </w:pPr>
      <w:r>
        <w:t>the tests that the Supplier proposes to perform to confirm that the vulnerability has been remedied or the finding addressed.</w:t>
      </w:r>
    </w:p>
    <w:p w14:paraId="6FE0368D" w14:textId="77777777" w:rsidR="00CD68D5" w:rsidRDefault="00CD68D5" w:rsidP="00CD68D5">
      <w:pPr>
        <w:pStyle w:val="AppendixText2"/>
      </w:pPr>
      <w:bookmarkStart w:id="463" w:name="_heading=h.1idq7dh" w:colFirst="0" w:colLast="0"/>
      <w:bookmarkEnd w:id="463"/>
      <w:r>
        <w:t>The Supplier shall promptly provide the Authority with such technical and other information relating to the Supplier Information Management System, the IT Health Check report or the draft Remediation Action Plan as the Authority requests.</w:t>
      </w:r>
    </w:p>
    <w:p w14:paraId="0799C054" w14:textId="77777777" w:rsidR="00CD68D5" w:rsidRDefault="00CD68D5" w:rsidP="00CD68D5">
      <w:pPr>
        <w:pStyle w:val="AppendixText2"/>
      </w:pPr>
      <w:bookmarkStart w:id="464" w:name="_heading=h.42ddq1a" w:colFirst="0" w:colLast="0"/>
      <w:bookmarkEnd w:id="464"/>
      <w:r>
        <w:t>The Authority may:</w:t>
      </w:r>
    </w:p>
    <w:p w14:paraId="307408CB" w14:textId="77777777" w:rsidR="00CD68D5" w:rsidRDefault="00CD68D5" w:rsidP="00CD68D5">
      <w:pPr>
        <w:pStyle w:val="AppendixText3"/>
      </w:pPr>
      <w:r>
        <w:t>reject the draft Remediation Action Plan where it considers that the draft Remediation Action Plan is inadequate, providing its reasons for doing so, in which case:</w:t>
      </w:r>
    </w:p>
    <w:p w14:paraId="6E822903" w14:textId="77777777" w:rsidR="00CD68D5" w:rsidRDefault="00CD68D5" w:rsidP="00CD68D5">
      <w:pPr>
        <w:pStyle w:val="AppendixText4"/>
      </w:pPr>
      <w:r>
        <w:t>the Supplier shall within ten Working Days of the date on which the Authority rejected the draft Remediation Action Plan submit a revised draft Remediation Action Plan that takes into account the Authority’s reasons; and</w:t>
      </w:r>
    </w:p>
    <w:p w14:paraId="126C4D0E" w14:textId="680AA25C" w:rsidR="00CD68D5" w:rsidRDefault="00CD68D5" w:rsidP="00CD68D5">
      <w:pPr>
        <w:pStyle w:val="AppendixText4"/>
      </w:pPr>
      <w:r>
        <w:lastRenderedPageBreak/>
        <w:t>paragraph 10.22 to 10.24</w:t>
      </w:r>
      <w:r w:rsidR="00357D0F">
        <w:t xml:space="preserve"> of this Appendix</w:t>
      </w:r>
      <w:r>
        <w:t xml:space="preserve"> shall apply, with appropriate modifications, to the revised draft Remediation Action Plan;</w:t>
      </w:r>
    </w:p>
    <w:p w14:paraId="5FD4DA64" w14:textId="5D4C7CC1" w:rsidR="00CD68D5" w:rsidRDefault="00CD68D5" w:rsidP="00CD68D5">
      <w:pPr>
        <w:pStyle w:val="AppendixText3"/>
      </w:pPr>
      <w:r>
        <w:t>accept the draft Remediation Action Plan, in which case the Supplier must immediately start work on implementing the Remediation Action Plan in accordance with paragraph 10.26 and 10.27</w:t>
      </w:r>
      <w:r w:rsidR="00357D0F">
        <w:t xml:space="preserve"> of this Appendix</w:t>
      </w:r>
      <w:r>
        <w:t>.</w:t>
      </w:r>
    </w:p>
    <w:p w14:paraId="03CB1309" w14:textId="77777777" w:rsidR="00CD68D5" w:rsidRDefault="00CD68D5" w:rsidP="00CD68D5">
      <w:pPr>
        <w:pStyle w:val="AppendixText2"/>
      </w:pPr>
      <w:r>
        <w:t>Where the Authority unreasonably:</w:t>
      </w:r>
    </w:p>
    <w:p w14:paraId="20A5F88B" w14:textId="77777777" w:rsidR="00CD68D5" w:rsidRDefault="00CD68D5" w:rsidP="00CD68D5">
      <w:pPr>
        <w:pStyle w:val="AppendixText3"/>
      </w:pPr>
      <w:r>
        <w:t>delays its approval; or</w:t>
      </w:r>
    </w:p>
    <w:p w14:paraId="1A3CAFC9" w14:textId="77777777" w:rsidR="00CD68D5" w:rsidRDefault="00CD68D5" w:rsidP="00CD68D5">
      <w:pPr>
        <w:pStyle w:val="AppendixText3"/>
      </w:pPr>
      <w:r>
        <w:t>rejects,</w:t>
      </w:r>
    </w:p>
    <w:p w14:paraId="253069D8" w14:textId="77777777" w:rsidR="00CD68D5" w:rsidRPr="00357D0F" w:rsidRDefault="00CD68D5" w:rsidP="00357D0F">
      <w:pPr>
        <w:pStyle w:val="Normal1"/>
        <w:ind w:left="720"/>
        <w:rPr>
          <w:rFonts w:asciiTheme="minorHAnsi" w:hAnsiTheme="minorHAnsi" w:cstheme="minorHAnsi"/>
        </w:rPr>
      </w:pPr>
      <w:r w:rsidRPr="00357D0F">
        <w:rPr>
          <w:rFonts w:asciiTheme="minorHAnsi" w:hAnsiTheme="minorHAnsi" w:cstheme="minorHAnsi"/>
        </w:rPr>
        <w:t>the draft Remediation Action Plan, the Supplier will not be in breach of this Contract to the extent it demonstrates that any breach:</w:t>
      </w:r>
    </w:p>
    <w:p w14:paraId="4D59434F" w14:textId="77777777" w:rsidR="00CD68D5" w:rsidRDefault="00CD68D5" w:rsidP="00CD68D5">
      <w:pPr>
        <w:pStyle w:val="AppendixText3"/>
      </w:pPr>
      <w:r>
        <w:t>arose directly from the Authority unreasonably withholding or delaying, as appropriate, its approval of the draft Remediation Action Plan; and</w:t>
      </w:r>
    </w:p>
    <w:p w14:paraId="7477FE3F" w14:textId="77777777" w:rsidR="00CD68D5" w:rsidRDefault="00CD68D5" w:rsidP="00CD68D5">
      <w:pPr>
        <w:pStyle w:val="AppendixText3"/>
      </w:pPr>
      <w:r>
        <w:t>would not have occurred had:</w:t>
      </w:r>
    </w:p>
    <w:p w14:paraId="3A619AD7" w14:textId="77777777" w:rsidR="00CD68D5" w:rsidRDefault="00CD68D5" w:rsidP="00CD68D5">
      <w:pPr>
        <w:pStyle w:val="AppendixText4"/>
      </w:pPr>
      <w:r>
        <w:t>the Authority given its approval, or given its approval in a timely manner, to the draft Remediation Action Plan; and</w:t>
      </w:r>
    </w:p>
    <w:p w14:paraId="4D7E0FEF" w14:textId="77777777" w:rsidR="00CD68D5" w:rsidRDefault="00CD68D5" w:rsidP="00CD68D5">
      <w:pPr>
        <w:pStyle w:val="AppendixText4"/>
      </w:pPr>
      <w:r>
        <w:t>the Supplier had implemented the draft Remediation Action Plan in accordance with its terms.</w:t>
      </w:r>
    </w:p>
    <w:p w14:paraId="783617E4" w14:textId="77777777" w:rsidR="00CD68D5" w:rsidRDefault="00CD68D5" w:rsidP="00CD68D5">
      <w:pPr>
        <w:keepNext/>
        <w:pBdr>
          <w:top w:val="nil"/>
          <w:left w:val="nil"/>
          <w:bottom w:val="nil"/>
          <w:right w:val="nil"/>
          <w:between w:val="nil"/>
        </w:pBdr>
        <w:ind w:left="720"/>
        <w:rPr>
          <w:b/>
          <w:color w:val="000000"/>
        </w:rPr>
      </w:pPr>
      <w:bookmarkStart w:id="465" w:name="_heading=h.2hio093" w:colFirst="0" w:colLast="0"/>
      <w:bookmarkEnd w:id="465"/>
      <w:r>
        <w:rPr>
          <w:b/>
          <w:color w:val="000000"/>
        </w:rPr>
        <w:t>Implementing an approved Remediation Action Plan</w:t>
      </w:r>
    </w:p>
    <w:p w14:paraId="4E3F7E63" w14:textId="77777777" w:rsidR="00CD68D5" w:rsidRDefault="00CD68D5" w:rsidP="00CD68D5">
      <w:pPr>
        <w:pStyle w:val="AppendixText2"/>
      </w:pPr>
      <w:bookmarkStart w:id="466" w:name="_heading=h.wnyagw" w:colFirst="0" w:colLast="0"/>
      <w:bookmarkEnd w:id="466"/>
      <w:r>
        <w:t>In implementing the Remediation Action Plan, the Supplier must conduct such further tests on the Supplier Information Management System as are required by the Remediation Action Plan to confirm that the Remediation Action Plan has fully and correctly implemented.</w:t>
      </w:r>
    </w:p>
    <w:p w14:paraId="74E07FD7" w14:textId="77777777" w:rsidR="00CD68D5" w:rsidRDefault="00CD68D5" w:rsidP="00CD68D5">
      <w:pPr>
        <w:pStyle w:val="AppendixText2"/>
      </w:pPr>
      <w:bookmarkStart w:id="467" w:name="_heading=h.3gnlt4p" w:colFirst="0" w:colLast="0"/>
      <w:bookmarkEnd w:id="467"/>
      <w:r>
        <w:t>If any such testing identifies a new risk, new threat, vulnerability or exploitation technique with the potential to affect the security of the Supplier Information Management System, the Supplier shall within two Working Days of becoming aware of such risk, threat, vulnerability or exploitation technique:</w:t>
      </w:r>
    </w:p>
    <w:p w14:paraId="6395602D" w14:textId="77777777" w:rsidR="00CD68D5" w:rsidRDefault="00CD68D5" w:rsidP="00CD68D5">
      <w:pPr>
        <w:pStyle w:val="AppendixText3"/>
      </w:pPr>
      <w:r>
        <w:t>provide the Authority with a full, unedited and unredacted copy of the test report;</w:t>
      </w:r>
    </w:p>
    <w:p w14:paraId="74978EF6" w14:textId="77777777" w:rsidR="00CD68D5" w:rsidRDefault="00CD68D5" w:rsidP="00CD68D5">
      <w:pPr>
        <w:pStyle w:val="AppendixText3"/>
      </w:pPr>
      <w:r>
        <w:t>implement interim mitigation measures to vulnerabilities in the Information System known to be exploitable where a security patch is not immediately available;</w:t>
      </w:r>
    </w:p>
    <w:p w14:paraId="755473CB" w14:textId="77777777" w:rsidR="00CD68D5" w:rsidRDefault="00CD68D5" w:rsidP="00CD68D5">
      <w:pPr>
        <w:pStyle w:val="AppendixText3"/>
      </w:pPr>
      <w:r>
        <w:t>as far as practicable, remove or disable any extraneous interfaces, services or capabilities not needed for the provision of the Services within the timescales set out in the test report or such other timescales as may be agreed with the Authority.</w:t>
      </w:r>
    </w:p>
    <w:p w14:paraId="43EB1979" w14:textId="77777777" w:rsidR="00CD68D5" w:rsidRDefault="00CD68D5" w:rsidP="00CD68D5">
      <w:pPr>
        <w:keepNext/>
        <w:pBdr>
          <w:top w:val="nil"/>
          <w:left w:val="nil"/>
          <w:bottom w:val="nil"/>
          <w:right w:val="nil"/>
          <w:between w:val="nil"/>
        </w:pBdr>
        <w:ind w:left="720"/>
        <w:rPr>
          <w:b/>
          <w:color w:val="000000"/>
        </w:rPr>
      </w:pPr>
      <w:bookmarkStart w:id="468" w:name="_heading=h.1vsw3ci" w:colFirst="0" w:colLast="0"/>
      <w:bookmarkEnd w:id="468"/>
      <w:r>
        <w:rPr>
          <w:b/>
          <w:color w:val="000000"/>
        </w:rPr>
        <w:lastRenderedPageBreak/>
        <w:t>Significant vulnerabilities</w:t>
      </w:r>
    </w:p>
    <w:p w14:paraId="2D3D11FF" w14:textId="77777777" w:rsidR="00CD68D5" w:rsidRDefault="00CD68D5" w:rsidP="00CD68D5">
      <w:pPr>
        <w:pStyle w:val="AppendixText2"/>
      </w:pPr>
      <w:bookmarkStart w:id="469" w:name="_heading=h.4fsjm0b" w:colFirst="0" w:colLast="0"/>
      <w:bookmarkEnd w:id="469"/>
      <w:r w:rsidRPr="000B654E">
        <w:t>Where</w:t>
      </w:r>
      <w:r>
        <w:rPr>
          <w:color w:val="000000"/>
        </w:rPr>
        <w:t>:</w:t>
      </w:r>
    </w:p>
    <w:p w14:paraId="1AE831B7" w14:textId="77777777" w:rsidR="00CD68D5" w:rsidRDefault="00CD68D5" w:rsidP="00CD68D5">
      <w:pPr>
        <w:pStyle w:val="AppendixText3"/>
      </w:pPr>
      <w:r>
        <w:rPr>
          <w:color w:val="000000"/>
        </w:rPr>
        <w:t xml:space="preserve">a Security Test report identifies more than 10 vulnerabilities classified </w:t>
      </w:r>
      <w:r w:rsidRPr="000B654E">
        <w:t>as either critical or high; or</w:t>
      </w:r>
    </w:p>
    <w:p w14:paraId="58C7F74C" w14:textId="77777777" w:rsidR="00CD68D5" w:rsidRDefault="00CD68D5" w:rsidP="00CD68D5">
      <w:pPr>
        <w:pStyle w:val="AppendixText3"/>
      </w:pPr>
      <w:r w:rsidRPr="000B654E">
        <w:t>the Authority rejected a revised draft Remediation Action Plan,</w:t>
      </w:r>
    </w:p>
    <w:p w14:paraId="0A66F2D5" w14:textId="77777777" w:rsidR="00CD68D5" w:rsidRDefault="00CD68D5" w:rsidP="00CD68D5">
      <w:pPr>
        <w:pStyle w:val="AppendixText3"/>
      </w:pPr>
      <w:r>
        <w:t>the Authority may, at the Supplier’s cost, either:</w:t>
      </w:r>
    </w:p>
    <w:p w14:paraId="2A7E8F26" w14:textId="77777777" w:rsidR="00CD68D5" w:rsidRDefault="00CD68D5" w:rsidP="00CD68D5">
      <w:pPr>
        <w:pStyle w:val="AppendixText3"/>
      </w:pPr>
      <w:r w:rsidRPr="000B654E">
        <w:t>appoint an independent and appropriately qualified and experienced security architect and adviser to perform a root cause analysis of the identified vulnerabilities; or</w:t>
      </w:r>
    </w:p>
    <w:p w14:paraId="5446805E" w14:textId="77777777" w:rsidR="00CD68D5" w:rsidRDefault="00CD68D5" w:rsidP="00CD68D5">
      <w:pPr>
        <w:pStyle w:val="AppendixText3"/>
      </w:pPr>
      <w:r w:rsidRPr="000B654E">
        <w:t>give</w:t>
      </w:r>
      <w:r>
        <w:rPr>
          <w:color w:val="000000"/>
        </w:rPr>
        <w:t xml:space="preserve"> notice to the Supplier requiring the appointment as soon as reasonably practicable, and in any event within ten Working Days, of an Independent Security Adviser.</w:t>
      </w:r>
    </w:p>
    <w:p w14:paraId="2FB76EA4" w14:textId="77777777" w:rsidR="00CD68D5" w:rsidRDefault="00CD68D5" w:rsidP="00CD68D5">
      <w:pPr>
        <w:pStyle w:val="AppendixText1"/>
      </w:pPr>
      <w:r>
        <w:t>Access Control</w:t>
      </w:r>
    </w:p>
    <w:p w14:paraId="2B1C50E9" w14:textId="77777777" w:rsidR="00CD68D5" w:rsidRDefault="00CD68D5" w:rsidP="00CD68D5">
      <w:pPr>
        <w:pStyle w:val="AppendixText2"/>
      </w:pPr>
      <w:bookmarkStart w:id="470" w:name="_heading=h.2uxtw84" w:colFirst="0" w:colLast="0"/>
      <w:bookmarkEnd w:id="470"/>
      <w:r>
        <w:t xml:space="preserve">The Supplier must, and must ensure that all Sub-contractors: </w:t>
      </w:r>
    </w:p>
    <w:p w14:paraId="7858D17C" w14:textId="77777777" w:rsidR="00CD68D5" w:rsidRDefault="00CD68D5" w:rsidP="00CD68D5">
      <w:pPr>
        <w:pStyle w:val="AppendixText3"/>
      </w:pPr>
      <w:r>
        <w:t>identify and authenticate all persons who access the Supplier Information Management System and Sites before they do so;</w:t>
      </w:r>
    </w:p>
    <w:p w14:paraId="02696FE5" w14:textId="77777777" w:rsidR="00CD68D5" w:rsidRDefault="00CD68D5" w:rsidP="00CD68D5">
      <w:pPr>
        <w:pStyle w:val="AppendixText3"/>
      </w:pPr>
      <w:r>
        <w:t>require multi-factor authentication for all user accounts that have access to Authority Data or that are Privileged Users;</w:t>
      </w:r>
    </w:p>
    <w:p w14:paraId="21F662C2" w14:textId="77777777" w:rsidR="00CD68D5" w:rsidRDefault="00CD68D5" w:rsidP="00CD68D5">
      <w:pPr>
        <w:pStyle w:val="AppendixText3"/>
      </w:pPr>
      <w:r>
        <w:t>allow access only to those parts of the Supplier Information Management System and Sites that those persons require;</w:t>
      </w:r>
    </w:p>
    <w:p w14:paraId="043779A9" w14:textId="77777777" w:rsidR="00CD68D5" w:rsidRDefault="00CD68D5" w:rsidP="00CD68D5">
      <w:pPr>
        <w:pStyle w:val="AppendixText3"/>
      </w:pPr>
      <w:r>
        <w:t>maintain records detailing each person’s access to the Supplier Information Management System and Sites, and make those records available to the Authority on request.</w:t>
      </w:r>
    </w:p>
    <w:p w14:paraId="5F42EFF5" w14:textId="77777777" w:rsidR="00CD68D5" w:rsidRDefault="00CD68D5" w:rsidP="00CD68D5">
      <w:pPr>
        <w:pStyle w:val="AppendixText2"/>
      </w:pPr>
      <w:r>
        <w:t>The Supplier must ensure, and must ensure that all Sub-contractors ensure, that the user accounts for Privileged Users of the Supplier Information Management System:</w:t>
      </w:r>
    </w:p>
    <w:p w14:paraId="25FC6040" w14:textId="77777777" w:rsidR="00CD68D5" w:rsidRDefault="00CD68D5" w:rsidP="00CD68D5">
      <w:pPr>
        <w:pStyle w:val="AppendixText3"/>
      </w:pPr>
      <w:r>
        <w:t>are allocated to a single, individual user;</w:t>
      </w:r>
    </w:p>
    <w:p w14:paraId="5E052D59" w14:textId="77777777" w:rsidR="00CD68D5" w:rsidRDefault="00CD68D5" w:rsidP="00CD68D5">
      <w:pPr>
        <w:pStyle w:val="AppendixText3"/>
      </w:pPr>
      <w:r>
        <w:t>are accessible only from dedicated End-user Devices;</w:t>
      </w:r>
    </w:p>
    <w:p w14:paraId="07A98EB8" w14:textId="77777777" w:rsidR="00CD68D5" w:rsidRDefault="00CD68D5" w:rsidP="00CD68D5">
      <w:pPr>
        <w:pStyle w:val="AppendixText3"/>
      </w:pPr>
      <w:r>
        <w:t>are configured so that those accounts can only be used for system administration tasks;</w:t>
      </w:r>
    </w:p>
    <w:p w14:paraId="0ED4E517" w14:textId="77777777" w:rsidR="00CD68D5" w:rsidRDefault="00CD68D5" w:rsidP="00CD68D5">
      <w:pPr>
        <w:pStyle w:val="AppendixText3"/>
      </w:pPr>
      <w:r>
        <w:t>require passwords with high complexity that are changed regularly;</w:t>
      </w:r>
    </w:p>
    <w:p w14:paraId="18655855" w14:textId="77777777" w:rsidR="00CD68D5" w:rsidRDefault="00CD68D5" w:rsidP="00CD68D5">
      <w:pPr>
        <w:pStyle w:val="AppendixText3"/>
      </w:pPr>
      <w:r>
        <w:t>automatically log the user out of the Supplier Information Management System after a period of time that is proportionate to the risk environment during which the account is inactive; and</w:t>
      </w:r>
    </w:p>
    <w:p w14:paraId="02FA7878" w14:textId="77777777" w:rsidR="00CD68D5" w:rsidRDefault="00CD68D5" w:rsidP="00CD68D5">
      <w:pPr>
        <w:pStyle w:val="AppendixText3"/>
      </w:pPr>
      <w:r>
        <w:t>are:</w:t>
      </w:r>
    </w:p>
    <w:p w14:paraId="5DEC40ED" w14:textId="77777777" w:rsidR="00CD68D5" w:rsidRDefault="00CD68D5" w:rsidP="00CD68D5">
      <w:pPr>
        <w:pStyle w:val="AppendixText4"/>
      </w:pPr>
      <w:r>
        <w:lastRenderedPageBreak/>
        <w:t>restricted to a single role or small number of roles;</w:t>
      </w:r>
    </w:p>
    <w:p w14:paraId="4B8399D1" w14:textId="77777777" w:rsidR="00CD68D5" w:rsidRDefault="00CD68D5" w:rsidP="00CD68D5">
      <w:pPr>
        <w:pStyle w:val="AppendixText4"/>
      </w:pPr>
      <w:r>
        <w:t>time limited; and</w:t>
      </w:r>
    </w:p>
    <w:p w14:paraId="12B0CFFA" w14:textId="77777777" w:rsidR="00CD68D5" w:rsidRDefault="00CD68D5" w:rsidP="00CD68D5">
      <w:pPr>
        <w:pStyle w:val="AppendixText4"/>
      </w:pPr>
      <w:r>
        <w:t>restrict the Privileged User’s access to the internet.</w:t>
      </w:r>
    </w:p>
    <w:p w14:paraId="242776A0" w14:textId="77777777" w:rsidR="00CD68D5" w:rsidRDefault="00CD68D5" w:rsidP="00CD68D5">
      <w:pPr>
        <w:pStyle w:val="AppendixText2"/>
      </w:pPr>
      <w:r>
        <w:t>The Supplier must ensure, and must ensure that all Sub-contractors ensure, that it logs all activity of the Privileged Users while those users access those accounts and keeps the activity logs for 20 Working Days before deletion.</w:t>
      </w:r>
    </w:p>
    <w:p w14:paraId="18FE9292" w14:textId="77777777" w:rsidR="00CD68D5" w:rsidRDefault="00CD68D5" w:rsidP="00CD68D5">
      <w:pPr>
        <w:pStyle w:val="AppendixText2"/>
      </w:pPr>
      <w:bookmarkStart w:id="471" w:name="_heading=h.1a346fx" w:colFirst="0" w:colLast="0"/>
      <w:bookmarkEnd w:id="471"/>
      <w:r>
        <w:t>The Supplier must require, and must ensure that all Sub-contractors require, that Privileged Users use unique and substantially different high-complexity passwords for their different accounts on the Supplier Information Management System.</w:t>
      </w:r>
    </w:p>
    <w:p w14:paraId="7949B896" w14:textId="77777777" w:rsidR="00CD68D5" w:rsidRDefault="00CD68D5" w:rsidP="00CD68D5">
      <w:pPr>
        <w:pStyle w:val="AppendixText2"/>
      </w:pPr>
      <w:r>
        <w:t>The Supplier must, and must ensure that all Sub-contractors:</w:t>
      </w:r>
    </w:p>
    <w:p w14:paraId="1C3B529F" w14:textId="77777777" w:rsidR="00CD68D5" w:rsidRDefault="00CD68D5" w:rsidP="00CD68D5">
      <w:pPr>
        <w:pStyle w:val="AppendixText3"/>
      </w:pPr>
      <w:r>
        <w:t>configure any hardware that forms part of the Supplier Information Management System that is capable of requiring a password before it is accessed to require a password; and</w:t>
      </w:r>
    </w:p>
    <w:p w14:paraId="2ADD689E" w14:textId="77777777" w:rsidR="00CD68D5" w:rsidRDefault="00CD68D5" w:rsidP="00CD68D5">
      <w:pPr>
        <w:pStyle w:val="AppendixText3"/>
      </w:pPr>
      <w:r>
        <w:t>change the default password of that hardware to a password of high complexity that is substantially different from the password required to access similar hardware.</w:t>
      </w:r>
    </w:p>
    <w:p w14:paraId="0B033A7C" w14:textId="77777777" w:rsidR="00CD68D5" w:rsidRDefault="00CD68D5" w:rsidP="00CD68D5">
      <w:pPr>
        <w:pStyle w:val="AppendixText1"/>
      </w:pPr>
      <w:bookmarkStart w:id="472" w:name="_heading=h.3u2rp3q" w:colFirst="0" w:colLast="0"/>
      <w:bookmarkEnd w:id="472"/>
      <w:r>
        <w:t>Event logging and protective monitoring</w:t>
      </w:r>
    </w:p>
    <w:p w14:paraId="15E76CA8" w14:textId="77777777" w:rsidR="00CD68D5" w:rsidRDefault="00CD68D5" w:rsidP="00CD68D5">
      <w:pPr>
        <w:keepNext/>
        <w:pBdr>
          <w:top w:val="nil"/>
          <w:left w:val="nil"/>
          <w:bottom w:val="nil"/>
          <w:right w:val="nil"/>
          <w:between w:val="nil"/>
        </w:pBdr>
        <w:ind w:left="720"/>
        <w:rPr>
          <w:b/>
          <w:color w:val="000000"/>
        </w:rPr>
      </w:pPr>
      <w:r>
        <w:rPr>
          <w:b/>
          <w:color w:val="000000"/>
        </w:rPr>
        <w:t>Protective Monitoring System</w:t>
      </w:r>
    </w:p>
    <w:p w14:paraId="6A40390D" w14:textId="77777777" w:rsidR="00CD68D5" w:rsidRDefault="00CD68D5" w:rsidP="00CD68D5">
      <w:pPr>
        <w:pStyle w:val="AppendixText2"/>
      </w:pPr>
      <w:bookmarkStart w:id="473" w:name="_heading=h.2981zbj" w:colFirst="0" w:colLast="0"/>
      <w:bookmarkEnd w:id="473"/>
      <w:r>
        <w:t>The Supplier must, and must ensure that Sub-contractors, implement an effective system of monitoring and reports, analysing access to and use of the Supplier Information Management System, the Development Environment, the Authority Data and the Code to:</w:t>
      </w:r>
    </w:p>
    <w:p w14:paraId="3CD9A7A0" w14:textId="77777777" w:rsidR="00CD68D5" w:rsidRDefault="00CD68D5" w:rsidP="00CD68D5">
      <w:pPr>
        <w:pStyle w:val="AppendixText3"/>
      </w:pPr>
      <w:r>
        <w:t>identify and prevent potential Breaches of Security;</w:t>
      </w:r>
    </w:p>
    <w:p w14:paraId="0500814A" w14:textId="77777777" w:rsidR="00CD68D5" w:rsidRDefault="00CD68D5" w:rsidP="00CD68D5">
      <w:pPr>
        <w:pStyle w:val="AppendixText3"/>
      </w:pPr>
      <w:r>
        <w:t>respond effectively and in a timely manner to Breaches of Security that do occur;</w:t>
      </w:r>
    </w:p>
    <w:p w14:paraId="7F6CB764" w14:textId="77777777" w:rsidR="00CD68D5" w:rsidRDefault="00CD68D5" w:rsidP="00CD68D5">
      <w:pPr>
        <w:pStyle w:val="AppendixText3"/>
      </w:pPr>
      <w:r>
        <w:t>identify and implement changes to the Supplier Information Management System to prevent future Breaches of Security; and</w:t>
      </w:r>
    </w:p>
    <w:p w14:paraId="08C46A6C" w14:textId="77777777" w:rsidR="00CD68D5" w:rsidRDefault="00CD68D5" w:rsidP="00CD68D5">
      <w:pPr>
        <w:pStyle w:val="AppendixText3"/>
      </w:pPr>
      <w:r>
        <w:t>help detect and prevent any potential criminal offence relating to fraud, bribery or corruption using the Supplier Information Management System or the Developed System</w:t>
      </w:r>
    </w:p>
    <w:p w14:paraId="723364B5" w14:textId="77777777" w:rsidR="00CD68D5" w:rsidRDefault="00CD68D5" w:rsidP="00CD68D5">
      <w:pPr>
        <w:pStyle w:val="Heading3"/>
        <w:ind w:left="720"/>
      </w:pPr>
      <w:r>
        <w:t>(Protective Monitoring System).</w:t>
      </w:r>
    </w:p>
    <w:p w14:paraId="38AB6BCA" w14:textId="77777777" w:rsidR="00CD68D5" w:rsidRDefault="00CD68D5" w:rsidP="00CD68D5">
      <w:pPr>
        <w:pStyle w:val="AppendixText2"/>
      </w:pPr>
      <w:r>
        <w:t>The Protective Monitoring System must provide for:</w:t>
      </w:r>
    </w:p>
    <w:p w14:paraId="2352FDED" w14:textId="77777777" w:rsidR="00CD68D5" w:rsidRDefault="00CD68D5" w:rsidP="00CD68D5">
      <w:pPr>
        <w:pStyle w:val="AppendixText3"/>
      </w:pPr>
      <w:r>
        <w:t>event logs and audit records of access to the Supplier Information Management system; and</w:t>
      </w:r>
    </w:p>
    <w:p w14:paraId="41E422E5" w14:textId="77777777" w:rsidR="00CD68D5" w:rsidRDefault="00CD68D5" w:rsidP="00CD68D5">
      <w:pPr>
        <w:pStyle w:val="AppendixText3"/>
      </w:pPr>
      <w:r>
        <w:t>regular reports and alerts to identify:</w:t>
      </w:r>
    </w:p>
    <w:p w14:paraId="681B9510" w14:textId="77777777" w:rsidR="00CD68D5" w:rsidRDefault="00CD68D5" w:rsidP="00CD68D5">
      <w:pPr>
        <w:pStyle w:val="AppendixText4"/>
      </w:pPr>
      <w:r>
        <w:lastRenderedPageBreak/>
        <w:t>changing access trends;</w:t>
      </w:r>
    </w:p>
    <w:p w14:paraId="053279E8" w14:textId="77777777" w:rsidR="00CD68D5" w:rsidRDefault="00CD68D5" w:rsidP="00CD68D5">
      <w:pPr>
        <w:pStyle w:val="AppendixText4"/>
      </w:pPr>
      <w:r>
        <w:t>unusual usage patterns; or</w:t>
      </w:r>
    </w:p>
    <w:p w14:paraId="7C7B6CC1" w14:textId="77777777" w:rsidR="00CD68D5" w:rsidRDefault="00CD68D5" w:rsidP="00CD68D5">
      <w:pPr>
        <w:pStyle w:val="AppendixText4"/>
      </w:pPr>
      <w:r>
        <w:t>the access of greater than usual volumes of Authority Data;</w:t>
      </w:r>
    </w:p>
    <w:p w14:paraId="26082026" w14:textId="77777777" w:rsidR="00CD68D5" w:rsidRDefault="00CD68D5" w:rsidP="00CD68D5">
      <w:pPr>
        <w:pStyle w:val="AppendixText3"/>
      </w:pPr>
      <w:r>
        <w:t>the detection and prevention of any attack on the Supplier Information Management System or the Development Environment using common cyber-attack techniques;</w:t>
      </w:r>
    </w:p>
    <w:p w14:paraId="20C62B59" w14:textId="77777777" w:rsidR="00CD68D5" w:rsidRDefault="00CD68D5" w:rsidP="00CD68D5">
      <w:pPr>
        <w:pStyle w:val="AppendixText3"/>
      </w:pPr>
      <w:r>
        <w:t>any other matters required by the Security Management Plan.</w:t>
      </w:r>
    </w:p>
    <w:p w14:paraId="6D79AB21" w14:textId="77777777" w:rsidR="00CD68D5" w:rsidRDefault="00CD68D5" w:rsidP="00CD68D5">
      <w:pPr>
        <w:keepNext/>
        <w:pBdr>
          <w:top w:val="nil"/>
          <w:left w:val="nil"/>
          <w:bottom w:val="nil"/>
          <w:right w:val="nil"/>
          <w:between w:val="nil"/>
        </w:pBdr>
        <w:ind w:left="720"/>
        <w:rPr>
          <w:b/>
          <w:color w:val="000000"/>
        </w:rPr>
      </w:pPr>
      <w:r>
        <w:rPr>
          <w:b/>
          <w:color w:val="000000"/>
        </w:rPr>
        <w:t>Event logs</w:t>
      </w:r>
    </w:p>
    <w:p w14:paraId="6FA6FADC" w14:textId="77777777" w:rsidR="00CD68D5" w:rsidRDefault="00CD68D5" w:rsidP="00CD68D5">
      <w:pPr>
        <w:pStyle w:val="AppendixText2"/>
      </w:pPr>
      <w:r>
        <w:t>The Supplier must ensure that, unless the Authority otherwise agrees, any event logs do not log:</w:t>
      </w:r>
    </w:p>
    <w:p w14:paraId="73F2BD15" w14:textId="77777777" w:rsidR="00CD68D5" w:rsidRDefault="00CD68D5" w:rsidP="00CD68D5">
      <w:pPr>
        <w:pStyle w:val="AppendixText3"/>
      </w:pPr>
      <w:r>
        <w:t>personal data, other than identifiers relating to users; or</w:t>
      </w:r>
    </w:p>
    <w:p w14:paraId="424CD5E0" w14:textId="77777777" w:rsidR="00CD68D5" w:rsidRDefault="00CD68D5" w:rsidP="00CD68D5">
      <w:pPr>
        <w:pStyle w:val="AppendixText3"/>
      </w:pPr>
      <w:r>
        <w:t>sensitive data, such as credentials or security keys.</w:t>
      </w:r>
    </w:p>
    <w:p w14:paraId="18B5C6F9" w14:textId="77777777" w:rsidR="00CD68D5" w:rsidRDefault="00CD68D5" w:rsidP="00CD68D5">
      <w:pPr>
        <w:keepNext/>
        <w:pBdr>
          <w:top w:val="nil"/>
          <w:left w:val="nil"/>
          <w:bottom w:val="nil"/>
          <w:right w:val="nil"/>
          <w:between w:val="nil"/>
        </w:pBdr>
        <w:ind w:left="720"/>
        <w:rPr>
          <w:b/>
          <w:color w:val="000000"/>
        </w:rPr>
      </w:pPr>
      <w:r>
        <w:rPr>
          <w:b/>
          <w:color w:val="000000"/>
        </w:rPr>
        <w:t>Provision of information to Authority</w:t>
      </w:r>
    </w:p>
    <w:p w14:paraId="109EF4B5" w14:textId="77777777" w:rsidR="00CD68D5" w:rsidRDefault="00CD68D5" w:rsidP="00CD68D5">
      <w:pPr>
        <w:pStyle w:val="AppendixText2"/>
      </w:pPr>
      <w:r>
        <w:t>The Supplier must provide the Authority on request with:</w:t>
      </w:r>
    </w:p>
    <w:p w14:paraId="3D1E8AB6" w14:textId="77777777" w:rsidR="00CD68D5" w:rsidRDefault="00CD68D5" w:rsidP="00CD68D5">
      <w:pPr>
        <w:pStyle w:val="AppendixText3"/>
      </w:pPr>
      <w:r>
        <w:t>full details of the Protective Monitoring System it has implemented; and</w:t>
      </w:r>
    </w:p>
    <w:p w14:paraId="57BC427B" w14:textId="77777777" w:rsidR="00CD68D5" w:rsidRDefault="00CD68D5" w:rsidP="00CD68D5">
      <w:pPr>
        <w:pStyle w:val="AppendixText3"/>
      </w:pPr>
      <w:r>
        <w:t>copies of monitoring logs and reports prepared as part of the Protective Monitoring System.</w:t>
      </w:r>
    </w:p>
    <w:p w14:paraId="6C4F44C5" w14:textId="77777777" w:rsidR="00CD68D5" w:rsidRDefault="00CD68D5" w:rsidP="00CD68D5">
      <w:pPr>
        <w:keepNext/>
        <w:pBdr>
          <w:top w:val="nil"/>
          <w:left w:val="nil"/>
          <w:bottom w:val="nil"/>
          <w:right w:val="nil"/>
          <w:between w:val="nil"/>
        </w:pBdr>
        <w:ind w:left="720"/>
        <w:rPr>
          <w:b/>
          <w:color w:val="000000"/>
        </w:rPr>
      </w:pPr>
      <w:r>
        <w:rPr>
          <w:b/>
          <w:color w:val="000000"/>
        </w:rPr>
        <w:t>Changes to Protective Monitoring System</w:t>
      </w:r>
    </w:p>
    <w:p w14:paraId="380E1C79" w14:textId="77777777" w:rsidR="00CD68D5" w:rsidRDefault="00CD68D5" w:rsidP="00CD68D5">
      <w:pPr>
        <w:pStyle w:val="AppendixText2"/>
      </w:pPr>
      <w:r>
        <w:t>The Authority may at any time require the Supplier to update the Protective Monitoring System to:</w:t>
      </w:r>
    </w:p>
    <w:p w14:paraId="10671ECF" w14:textId="77777777" w:rsidR="00CD68D5" w:rsidRDefault="00CD68D5" w:rsidP="00CD68D5">
      <w:pPr>
        <w:pStyle w:val="AppendixText3"/>
      </w:pPr>
      <w:r>
        <w:t>respond to a specific threat identified by the Authority;</w:t>
      </w:r>
    </w:p>
    <w:p w14:paraId="5F159E4C" w14:textId="77777777" w:rsidR="00CD68D5" w:rsidRDefault="00CD68D5" w:rsidP="00CD68D5">
      <w:pPr>
        <w:pStyle w:val="AppendixText3"/>
      </w:pPr>
      <w:r>
        <w:t xml:space="preserve">implement additional audit and monitoring requirements; and </w:t>
      </w:r>
    </w:p>
    <w:p w14:paraId="5B66C52A" w14:textId="77777777" w:rsidR="00CD68D5" w:rsidRDefault="00CD68D5" w:rsidP="00CD68D5">
      <w:pPr>
        <w:pStyle w:val="AppendixText3"/>
      </w:pPr>
      <w:r>
        <w:t>stream any specified event logs to the Authority’s security information and event management system.</w:t>
      </w:r>
    </w:p>
    <w:p w14:paraId="10A6CA41" w14:textId="77777777" w:rsidR="00CD68D5" w:rsidRDefault="00CD68D5" w:rsidP="00CD68D5">
      <w:pPr>
        <w:pStyle w:val="AppendixText1"/>
      </w:pPr>
      <w:bookmarkStart w:id="474" w:name="_heading=h.odc9jc" w:colFirst="0" w:colLast="0"/>
      <w:bookmarkEnd w:id="474"/>
      <w:r>
        <w:t>Audit rights</w:t>
      </w:r>
    </w:p>
    <w:p w14:paraId="69A9EBF7" w14:textId="77777777" w:rsidR="00CD68D5" w:rsidRDefault="00CD68D5" w:rsidP="00CD68D5">
      <w:pPr>
        <w:keepNext/>
        <w:pBdr>
          <w:top w:val="nil"/>
          <w:left w:val="nil"/>
          <w:bottom w:val="nil"/>
          <w:right w:val="nil"/>
          <w:between w:val="nil"/>
        </w:pBdr>
        <w:ind w:left="720"/>
        <w:rPr>
          <w:b/>
          <w:color w:val="000000"/>
        </w:rPr>
      </w:pPr>
      <w:r>
        <w:rPr>
          <w:b/>
          <w:color w:val="000000"/>
        </w:rPr>
        <w:t>Right of audit</w:t>
      </w:r>
    </w:p>
    <w:p w14:paraId="36CE4018" w14:textId="77777777" w:rsidR="00CD68D5" w:rsidRDefault="00CD68D5" w:rsidP="00CD68D5">
      <w:pPr>
        <w:pStyle w:val="AppendixText2"/>
      </w:pPr>
      <w:bookmarkStart w:id="475" w:name="_heading=h.38czs75" w:colFirst="0" w:colLast="0"/>
      <w:bookmarkEnd w:id="475"/>
      <w:r>
        <w:t>The Authority may undertake an audit of the Supplier or any Sub-contractor to:</w:t>
      </w:r>
    </w:p>
    <w:p w14:paraId="217D98A3" w14:textId="77777777" w:rsidR="00CD68D5" w:rsidRDefault="00CD68D5" w:rsidP="00CD68D5">
      <w:pPr>
        <w:pStyle w:val="AppendixText3"/>
      </w:pPr>
      <w:r>
        <w:t>verify the Supplier’s or Sub-contractor’s (as applicable) compliance with the requirements of this Schedule 5 (</w:t>
      </w:r>
      <w:r>
        <w:rPr>
          <w:i/>
        </w:rPr>
        <w:t>Security Management</w:t>
      </w:r>
      <w:r>
        <w:t>) and the Data Protection Laws as they apply to Authority Data;</w:t>
      </w:r>
    </w:p>
    <w:p w14:paraId="6A55565E" w14:textId="77777777" w:rsidR="00CD68D5" w:rsidRDefault="00CD68D5" w:rsidP="00CD68D5">
      <w:pPr>
        <w:pStyle w:val="AppendixText3"/>
      </w:pPr>
      <w:r>
        <w:t>inspect the Supplier Information Management System (or any part of it);</w:t>
      </w:r>
    </w:p>
    <w:p w14:paraId="66DF33FB" w14:textId="77777777" w:rsidR="00CD68D5" w:rsidRDefault="00CD68D5" w:rsidP="00CD68D5">
      <w:pPr>
        <w:pStyle w:val="AppendixText3"/>
      </w:pPr>
      <w:r>
        <w:lastRenderedPageBreak/>
        <w:t>review the integrity, confidentiality and security of the Authority Data; and/or</w:t>
      </w:r>
    </w:p>
    <w:p w14:paraId="1BDA0A3D" w14:textId="77777777" w:rsidR="00CD68D5" w:rsidRDefault="00CD68D5" w:rsidP="00CD68D5">
      <w:pPr>
        <w:pStyle w:val="AppendixText3"/>
      </w:pPr>
      <w:r>
        <w:t>review the integrity and security of the Code.</w:t>
      </w:r>
    </w:p>
    <w:p w14:paraId="16C788C6" w14:textId="77777777" w:rsidR="00CD68D5" w:rsidRDefault="00CD68D5" w:rsidP="00CD68D5">
      <w:pPr>
        <w:pStyle w:val="AppendixText2"/>
      </w:pPr>
      <w:r>
        <w:t>Any audit undertaken under this paragraph 13.1:</w:t>
      </w:r>
    </w:p>
    <w:p w14:paraId="7FD6D9C2" w14:textId="77777777" w:rsidR="00CD68D5" w:rsidRDefault="00CD68D5" w:rsidP="00CD68D5">
      <w:pPr>
        <w:pStyle w:val="AppendixText3"/>
      </w:pPr>
      <w:r>
        <w:t>may only take place during the Term and for a period of 18 months afterwards; and</w:t>
      </w:r>
    </w:p>
    <w:p w14:paraId="706CF2C4" w14:textId="77777777" w:rsidR="00CD68D5" w:rsidRDefault="00CD68D5" w:rsidP="00CD68D5">
      <w:pPr>
        <w:pStyle w:val="AppendixText3"/>
      </w:pPr>
      <w:r>
        <w:t>is in addition to any other rights of audit the Authority has under this Contract.</w:t>
      </w:r>
    </w:p>
    <w:p w14:paraId="1EAA3CD2" w14:textId="26147292" w:rsidR="00CD68D5" w:rsidRDefault="00CD68D5" w:rsidP="00CD68D5">
      <w:pPr>
        <w:pStyle w:val="AppendixText2"/>
      </w:pPr>
      <w:r>
        <w:t xml:space="preserve">The Authority may not undertake more than one audit under paragraph 13.1 </w:t>
      </w:r>
      <w:r w:rsidR="00357D0F">
        <w:t xml:space="preserve">of this Appendix </w:t>
      </w:r>
      <w:r>
        <w:t>in each calendar year unless the Authority has reasonable grounds for believing:</w:t>
      </w:r>
    </w:p>
    <w:p w14:paraId="03EC0242" w14:textId="77777777" w:rsidR="00CD68D5" w:rsidRDefault="00CD68D5" w:rsidP="00CD68D5">
      <w:pPr>
        <w:pStyle w:val="AppendixText3"/>
      </w:pPr>
      <w:r>
        <w:t>the Supplier or any Sub-contractor has not complied with its obligations under this Contract or the Data Protection Laws as they apply to the Authority Data;</w:t>
      </w:r>
    </w:p>
    <w:p w14:paraId="101F59C6" w14:textId="77777777" w:rsidR="00CD68D5" w:rsidRDefault="00CD68D5" w:rsidP="00CD68D5">
      <w:pPr>
        <w:pStyle w:val="AppendixText3"/>
      </w:pPr>
      <w:r>
        <w:t>there has been or is likely to be a Security Breach affecting the Authority Data or the Code; or</w:t>
      </w:r>
    </w:p>
    <w:p w14:paraId="1DC3B276" w14:textId="77777777" w:rsidR="00CD68D5" w:rsidRDefault="00CD68D5" w:rsidP="00CD68D5">
      <w:pPr>
        <w:pStyle w:val="AppendixText3"/>
      </w:pPr>
      <w:r>
        <w:t>where vulnerabilities, or potential vulnerabilities, in the Code have been identified by:</w:t>
      </w:r>
    </w:p>
    <w:p w14:paraId="77A20ED0" w14:textId="77777777" w:rsidR="00CD68D5" w:rsidRDefault="00CD68D5" w:rsidP="00CD68D5">
      <w:pPr>
        <w:pStyle w:val="AppendixText4"/>
      </w:pPr>
      <w:r>
        <w:t>an IT Health Check; or</w:t>
      </w:r>
    </w:p>
    <w:p w14:paraId="1F1F3960" w14:textId="77777777" w:rsidR="00CD68D5" w:rsidRDefault="00CD68D5" w:rsidP="00CD68D5">
      <w:pPr>
        <w:pStyle w:val="AppendixText4"/>
      </w:pPr>
      <w:r>
        <w:t>a Breach of Security.</w:t>
      </w:r>
    </w:p>
    <w:p w14:paraId="0BE8DC70" w14:textId="77777777" w:rsidR="00CD68D5" w:rsidRDefault="00CD68D5" w:rsidP="00CD68D5">
      <w:pPr>
        <w:keepNext/>
        <w:pBdr>
          <w:top w:val="nil"/>
          <w:left w:val="nil"/>
          <w:bottom w:val="nil"/>
          <w:right w:val="nil"/>
          <w:between w:val="nil"/>
        </w:pBdr>
        <w:ind w:left="720"/>
        <w:rPr>
          <w:b/>
          <w:color w:val="000000"/>
        </w:rPr>
      </w:pPr>
      <w:r>
        <w:rPr>
          <w:b/>
          <w:color w:val="000000"/>
        </w:rPr>
        <w:t>Conduct of audits</w:t>
      </w:r>
    </w:p>
    <w:p w14:paraId="7F5D6FE1" w14:textId="77777777" w:rsidR="00CD68D5" w:rsidRDefault="00CD68D5" w:rsidP="00CD68D5">
      <w:pPr>
        <w:pStyle w:val="AppendixText2"/>
      </w:pPr>
      <w:r>
        <w:t>The Authority must use reasonable endeavours to provide 15 Working Days’ notice of an audit.</w:t>
      </w:r>
    </w:p>
    <w:p w14:paraId="3E99F79C" w14:textId="77777777" w:rsidR="00CD68D5" w:rsidRDefault="00CD68D5" w:rsidP="00CD68D5">
      <w:pPr>
        <w:pStyle w:val="AppendixText2"/>
      </w:pPr>
      <w:r>
        <w:t>The Authority must when conducting an audit:</w:t>
      </w:r>
    </w:p>
    <w:p w14:paraId="33BCF2AA" w14:textId="77777777" w:rsidR="00CD68D5" w:rsidRDefault="00CD68D5" w:rsidP="00CD68D5">
      <w:pPr>
        <w:pStyle w:val="AppendixText3"/>
      </w:pPr>
      <w:r>
        <w:t>comply with all relevant policies and guidelines of the Supplier or Sub-contractor (as applicable) concerning access to the Suppler Information Management System the Authority considers reasonable having regard to the purpose of the audit; and</w:t>
      </w:r>
    </w:p>
    <w:p w14:paraId="72B6392C" w14:textId="77777777" w:rsidR="00CD68D5" w:rsidRDefault="00CD68D5" w:rsidP="00CD68D5">
      <w:pPr>
        <w:pStyle w:val="AppendixText3"/>
      </w:pPr>
      <w:r>
        <w:t>use reasonable endeavours to ensure that the conduct of the audit does not unreasonably disrupt the Supplier or Sub-contractor (as applicable) or delay the provision of the Services.</w:t>
      </w:r>
    </w:p>
    <w:p w14:paraId="53BC4FE2" w14:textId="77777777" w:rsidR="00CD68D5" w:rsidRDefault="00CD68D5" w:rsidP="00CD68D5">
      <w:pPr>
        <w:pStyle w:val="AppendixText2"/>
      </w:pPr>
      <w:r>
        <w:t>The Supplier must, and must ensure that Sub-contractors, on demand provide the Authority with all co-operation and assistance the Authority may reasonably require, including:</w:t>
      </w:r>
    </w:p>
    <w:p w14:paraId="7A517786" w14:textId="77777777" w:rsidR="00CD68D5" w:rsidRDefault="00CD68D5" w:rsidP="00CD68D5">
      <w:pPr>
        <w:pStyle w:val="AppendixText3"/>
      </w:pPr>
      <w:r>
        <w:t>all information requested by the Authority within the scope of the audit;</w:t>
      </w:r>
    </w:p>
    <w:p w14:paraId="22635B7F" w14:textId="77777777" w:rsidR="00CD68D5" w:rsidRDefault="00CD68D5" w:rsidP="00CD68D5">
      <w:pPr>
        <w:pStyle w:val="AppendixText3"/>
      </w:pPr>
      <w:r>
        <w:lastRenderedPageBreak/>
        <w:t>access to the Supplier Information Management System; and</w:t>
      </w:r>
    </w:p>
    <w:p w14:paraId="58B9EEE0" w14:textId="5234C2E0" w:rsidR="00CD68D5" w:rsidRDefault="00CD68D5" w:rsidP="00CD68D5">
      <w:pPr>
        <w:pStyle w:val="AppendixText3"/>
      </w:pPr>
      <w:r>
        <w:t xml:space="preserve">access to the Supplier </w:t>
      </w:r>
      <w:r w:rsidR="00357D0F">
        <w:t>Personnel</w:t>
      </w:r>
      <w:r>
        <w:t>.</w:t>
      </w:r>
    </w:p>
    <w:p w14:paraId="700DFC1C" w14:textId="77777777" w:rsidR="00CD68D5" w:rsidRDefault="00CD68D5" w:rsidP="00CD68D5">
      <w:pPr>
        <w:keepNext/>
        <w:pBdr>
          <w:top w:val="nil"/>
          <w:left w:val="nil"/>
          <w:bottom w:val="nil"/>
          <w:right w:val="nil"/>
          <w:between w:val="nil"/>
        </w:pBdr>
        <w:ind w:left="720"/>
        <w:rPr>
          <w:b/>
          <w:color w:val="000000"/>
        </w:rPr>
      </w:pPr>
      <w:r>
        <w:rPr>
          <w:b/>
          <w:color w:val="000000"/>
        </w:rPr>
        <w:t>Response to audit findings</w:t>
      </w:r>
    </w:p>
    <w:p w14:paraId="638DBE39" w14:textId="77777777" w:rsidR="00CD68D5" w:rsidRDefault="00CD68D5" w:rsidP="00CD68D5">
      <w:pPr>
        <w:pStyle w:val="AppendixText2"/>
      </w:pPr>
      <w:r>
        <w:t>Where an audit finds that:</w:t>
      </w:r>
    </w:p>
    <w:p w14:paraId="4FC77AE1" w14:textId="77777777" w:rsidR="00CD68D5" w:rsidRDefault="00CD68D5" w:rsidP="00CD68D5">
      <w:pPr>
        <w:pStyle w:val="AppendixText3"/>
      </w:pPr>
      <w:r>
        <w:t>the Supplier or a Sub-contractor has not complied with this Contract or the Data Protection Laws as they apply to the Authority Data; or</w:t>
      </w:r>
    </w:p>
    <w:p w14:paraId="32C1F257" w14:textId="77777777" w:rsidR="00CD68D5" w:rsidRDefault="00CD68D5" w:rsidP="00CD68D5">
      <w:pPr>
        <w:pStyle w:val="AppendixText3"/>
      </w:pPr>
      <w:r>
        <w:t>there has been or is likely to be a Security Breach affecting the Authority Data</w:t>
      </w:r>
    </w:p>
    <w:p w14:paraId="557ABCF6" w14:textId="77777777" w:rsidR="00CD68D5" w:rsidRDefault="00CD68D5" w:rsidP="00E1349E">
      <w:pPr>
        <w:numPr>
          <w:ilvl w:val="1"/>
          <w:numId w:val="199"/>
        </w:numPr>
        <w:pBdr>
          <w:top w:val="nil"/>
          <w:left w:val="nil"/>
          <w:bottom w:val="nil"/>
          <w:right w:val="nil"/>
          <w:between w:val="nil"/>
        </w:pBdr>
        <w:spacing w:before="100" w:after="200"/>
      </w:pPr>
      <w:r>
        <w:rPr>
          <w:color w:val="000000"/>
        </w:rPr>
        <w:t>the Authority may require the Supplier to remedy those defaults at its own cost and expense and within the time reasonably specified by the Authority.</w:t>
      </w:r>
    </w:p>
    <w:p w14:paraId="60AFFC89" w14:textId="77777777" w:rsidR="00CD68D5" w:rsidRDefault="00CD68D5" w:rsidP="00CD68D5">
      <w:pPr>
        <w:pStyle w:val="AppendixText2"/>
      </w:pPr>
      <w:r>
        <w:t>The exercise by the Authority of any rights it may have under this paragraph 13 does not affect the exercise by it of any other or equivalent rights it may have under this Contract in respect of the audit findings.</w:t>
      </w:r>
    </w:p>
    <w:p w14:paraId="5A78056F" w14:textId="77777777" w:rsidR="00CD68D5" w:rsidRDefault="00CD68D5" w:rsidP="00CD68D5">
      <w:pPr>
        <w:pStyle w:val="AppendixText1"/>
      </w:pPr>
      <w:r>
        <w:t>Breach of Security</w:t>
      </w:r>
    </w:p>
    <w:p w14:paraId="49756238" w14:textId="77777777" w:rsidR="00CD68D5" w:rsidRDefault="00CD68D5" w:rsidP="00CD68D5">
      <w:pPr>
        <w:keepNext/>
        <w:pBdr>
          <w:top w:val="nil"/>
          <w:left w:val="nil"/>
          <w:bottom w:val="nil"/>
          <w:right w:val="nil"/>
          <w:between w:val="nil"/>
        </w:pBdr>
        <w:ind w:left="720"/>
        <w:rPr>
          <w:b/>
          <w:color w:val="000000"/>
        </w:rPr>
      </w:pPr>
      <w:r>
        <w:rPr>
          <w:b/>
          <w:color w:val="000000"/>
        </w:rPr>
        <w:t>Reporting Breach of Security</w:t>
      </w:r>
    </w:p>
    <w:p w14:paraId="3745D197" w14:textId="77777777" w:rsidR="00CD68D5" w:rsidRDefault="00CD68D5" w:rsidP="00CD68D5">
      <w:pPr>
        <w:pStyle w:val="AppendixText2"/>
      </w:pPr>
      <w:r>
        <w:t>If either party becomes aware of a Breach of Security it shall notify the other as soon as reasonably practicable after becoming  aware of the breach, and in any event within 24 hours.</w:t>
      </w:r>
    </w:p>
    <w:p w14:paraId="0C866021" w14:textId="77777777" w:rsidR="00CD68D5" w:rsidRDefault="00CD68D5" w:rsidP="00CD68D5">
      <w:pPr>
        <w:keepNext/>
        <w:pBdr>
          <w:top w:val="nil"/>
          <w:left w:val="nil"/>
          <w:bottom w:val="nil"/>
          <w:right w:val="nil"/>
          <w:between w:val="nil"/>
        </w:pBdr>
        <w:ind w:left="720"/>
        <w:rPr>
          <w:b/>
          <w:color w:val="000000"/>
        </w:rPr>
      </w:pPr>
      <w:r>
        <w:rPr>
          <w:b/>
          <w:color w:val="000000"/>
        </w:rPr>
        <w:t>Immediate steps</w:t>
      </w:r>
    </w:p>
    <w:p w14:paraId="1A229667" w14:textId="77777777" w:rsidR="00CD68D5" w:rsidRDefault="00CD68D5" w:rsidP="00CD68D5">
      <w:pPr>
        <w:pStyle w:val="AppendixText2"/>
      </w:pPr>
      <w:bookmarkStart w:id="476" w:name="_heading=h.1nia2ey" w:colFirst="0" w:colLast="0"/>
      <w:bookmarkEnd w:id="476"/>
      <w:r>
        <w:t>The Supplier must, upon becoming aware of a Breach of Security immediately take those steps identified in the Security Management Plan (if applicable) and all other steps reasonably  necessary to:</w:t>
      </w:r>
    </w:p>
    <w:p w14:paraId="3BF09AAD" w14:textId="77777777" w:rsidR="00CD68D5" w:rsidRDefault="00CD68D5" w:rsidP="00CD68D5">
      <w:pPr>
        <w:pStyle w:val="AppendixText3"/>
      </w:pPr>
      <w:r>
        <w:t>minimise the extent of actual or potential harm caused by such Breach of Security;</w:t>
      </w:r>
    </w:p>
    <w:p w14:paraId="186AAD9A" w14:textId="77777777" w:rsidR="00CD68D5" w:rsidRDefault="00CD68D5" w:rsidP="00CD68D5">
      <w:pPr>
        <w:pStyle w:val="AppendixText3"/>
      </w:pPr>
      <w:r>
        <w:t xml:space="preserve">remedy such Breach of Security to the extent possible; </w:t>
      </w:r>
    </w:p>
    <w:p w14:paraId="4F929CC0" w14:textId="77777777" w:rsidR="00CD68D5" w:rsidRDefault="00CD68D5" w:rsidP="00CD68D5">
      <w:pPr>
        <w:pStyle w:val="AppendixText3"/>
      </w:pPr>
      <w:r>
        <w:t>apply a tested mitigation against any such Breach of Security; and</w:t>
      </w:r>
    </w:p>
    <w:p w14:paraId="4694473E" w14:textId="77777777" w:rsidR="00CD68D5" w:rsidRDefault="00CD68D5" w:rsidP="00CD68D5">
      <w:pPr>
        <w:pStyle w:val="AppendixText3"/>
      </w:pPr>
      <w:r>
        <w:t>prevent a further Breach of Security in the future which exploits the same root cause failure;</w:t>
      </w:r>
    </w:p>
    <w:p w14:paraId="417DF907" w14:textId="77777777" w:rsidR="00CD68D5" w:rsidRDefault="00CD68D5" w:rsidP="00CD68D5">
      <w:pPr>
        <w:keepNext/>
        <w:pBdr>
          <w:top w:val="nil"/>
          <w:left w:val="nil"/>
          <w:bottom w:val="nil"/>
          <w:right w:val="nil"/>
          <w:between w:val="nil"/>
        </w:pBdr>
        <w:ind w:left="720"/>
        <w:rPr>
          <w:b/>
          <w:color w:val="000000"/>
        </w:rPr>
      </w:pPr>
      <w:r>
        <w:rPr>
          <w:b/>
          <w:color w:val="000000"/>
        </w:rPr>
        <w:t>Subsequent action</w:t>
      </w:r>
    </w:p>
    <w:p w14:paraId="18C763C7" w14:textId="77777777" w:rsidR="00CD68D5" w:rsidRDefault="00CD68D5" w:rsidP="00CD68D5">
      <w:pPr>
        <w:pStyle w:val="AppendixText2"/>
      </w:pPr>
      <w:bookmarkStart w:id="477" w:name="_heading=h.47hxl2r" w:colFirst="0" w:colLast="0"/>
      <w:bookmarkEnd w:id="477"/>
      <w:r>
        <w:t>As soon as reasonably practicable and, in any event, within five Working Days, or such other period agreed with the Authority, following the Breach of Security, provide to the Authority:</w:t>
      </w:r>
    </w:p>
    <w:p w14:paraId="344B81CA" w14:textId="77777777" w:rsidR="00CD68D5" w:rsidRDefault="00CD68D5" w:rsidP="00CD68D5">
      <w:pPr>
        <w:pStyle w:val="AppendixText3"/>
      </w:pPr>
      <w:r>
        <w:t>full details of the Breach of Security; and</w:t>
      </w:r>
    </w:p>
    <w:p w14:paraId="4FBEFA93" w14:textId="77777777" w:rsidR="00CD68D5" w:rsidRDefault="00CD68D5" w:rsidP="00CD68D5">
      <w:pPr>
        <w:pStyle w:val="AppendixText3"/>
      </w:pPr>
      <w:r>
        <w:t>if required by the Authority:</w:t>
      </w:r>
    </w:p>
    <w:p w14:paraId="6C9FAB39" w14:textId="77777777" w:rsidR="00CD68D5" w:rsidRDefault="00CD68D5" w:rsidP="00CD68D5">
      <w:pPr>
        <w:pStyle w:val="AppendixText4"/>
      </w:pPr>
      <w:r>
        <w:t>a root cause analysis; and</w:t>
      </w:r>
    </w:p>
    <w:p w14:paraId="44789109" w14:textId="77777777" w:rsidR="00CD68D5" w:rsidRDefault="00CD68D5" w:rsidP="00CD68D5">
      <w:pPr>
        <w:pStyle w:val="AppendixText4"/>
      </w:pPr>
      <w:r>
        <w:lastRenderedPageBreak/>
        <w:t>a draft plan addressing the root cause of the Breach of Security (</w:t>
      </w:r>
      <w:r>
        <w:rPr>
          <w:b/>
        </w:rPr>
        <w:t>Breach Action Plan</w:t>
      </w:r>
      <w:r>
        <w:t>).</w:t>
      </w:r>
    </w:p>
    <w:p w14:paraId="6060CC53" w14:textId="77777777" w:rsidR="00CD68D5" w:rsidRDefault="00CD68D5" w:rsidP="00CD68D5">
      <w:pPr>
        <w:pStyle w:val="AppendixText2"/>
      </w:pPr>
      <w:r>
        <w:t>The draft Breach Action Plan must, in respect of each issue identified in the root cause analysis:</w:t>
      </w:r>
    </w:p>
    <w:p w14:paraId="7C8B85FB" w14:textId="77777777" w:rsidR="00CD68D5" w:rsidRDefault="00CD68D5" w:rsidP="00CD68D5">
      <w:pPr>
        <w:pStyle w:val="AppendixText3"/>
      </w:pPr>
      <w:r>
        <w:t>how the issue will be remedied;</w:t>
      </w:r>
    </w:p>
    <w:p w14:paraId="0F9FFBBA" w14:textId="77777777" w:rsidR="00CD68D5" w:rsidRDefault="00CD68D5" w:rsidP="00CD68D5">
      <w:pPr>
        <w:pStyle w:val="AppendixText3"/>
      </w:pPr>
      <w:r>
        <w:t>the date by which the issue will be remedied; and</w:t>
      </w:r>
    </w:p>
    <w:p w14:paraId="0788C6B2" w14:textId="77777777" w:rsidR="00CD68D5" w:rsidRDefault="00CD68D5" w:rsidP="00CD68D5">
      <w:pPr>
        <w:pStyle w:val="AppendixText3"/>
      </w:pPr>
      <w:r>
        <w:t>the tests that the Supplier proposes to perform to confirm that the issue has been remedied or the finding addressed.</w:t>
      </w:r>
    </w:p>
    <w:p w14:paraId="253B5004" w14:textId="77777777" w:rsidR="00CD68D5" w:rsidRDefault="00CD68D5" w:rsidP="00CD68D5">
      <w:pPr>
        <w:pStyle w:val="AppendixText2"/>
      </w:pPr>
      <w:bookmarkStart w:id="478" w:name="_heading=h.2mn7vak" w:colFirst="0" w:colLast="0"/>
      <w:bookmarkEnd w:id="478"/>
      <w:r>
        <w:t>The Supplier shall promptly provide the Authority with such technical and other information relating to the draft Breach Action Plan as the Authority requests.</w:t>
      </w:r>
    </w:p>
    <w:p w14:paraId="6F796984" w14:textId="77777777" w:rsidR="00CD68D5" w:rsidRDefault="00CD68D5" w:rsidP="00CD68D5">
      <w:pPr>
        <w:pStyle w:val="AppendixText2"/>
      </w:pPr>
      <w:bookmarkStart w:id="479" w:name="_heading=h.11si5id" w:colFirst="0" w:colLast="0"/>
      <w:bookmarkEnd w:id="479"/>
      <w:r>
        <w:t>The Authority may:</w:t>
      </w:r>
    </w:p>
    <w:p w14:paraId="1FD1D269" w14:textId="77777777" w:rsidR="00CD68D5" w:rsidRDefault="00CD68D5" w:rsidP="00CD68D5">
      <w:pPr>
        <w:pStyle w:val="AppendixText3"/>
      </w:pPr>
      <w:r>
        <w:t>reject the draft Breach Action Plan where it considers that the draft Breach Action Plan is inadequate, providing its reasons for doing so, in which case:</w:t>
      </w:r>
    </w:p>
    <w:p w14:paraId="4F81B786" w14:textId="77777777" w:rsidR="00CD68D5" w:rsidRDefault="00CD68D5" w:rsidP="00CD68D5">
      <w:pPr>
        <w:pStyle w:val="AppendixText4"/>
      </w:pPr>
      <w:r>
        <w:t>the Supplier shall within ten Working Days of the date on which the Authority rejected the draft Breach Action Plan submit a revised draft Breach Action Plan that takes into account the Authority’s reasons; and</w:t>
      </w:r>
    </w:p>
    <w:p w14:paraId="3E6A5E0E" w14:textId="782B1C67" w:rsidR="00CD68D5" w:rsidRDefault="00CD68D5" w:rsidP="00CD68D5">
      <w:pPr>
        <w:pStyle w:val="AppendixText4"/>
      </w:pPr>
      <w:r>
        <w:t xml:space="preserve">paragraph 14.5 and 14.6 </w:t>
      </w:r>
      <w:r w:rsidR="002C5FAA">
        <w:t xml:space="preserve">of this Appendix </w:t>
      </w:r>
      <w:r>
        <w:t>shall apply to the revised draft Breach Action Plan;</w:t>
      </w:r>
    </w:p>
    <w:p w14:paraId="11A718C7" w14:textId="77777777" w:rsidR="00CD68D5" w:rsidRDefault="00CD68D5" w:rsidP="00CD68D5">
      <w:pPr>
        <w:pStyle w:val="AppendixText3"/>
      </w:pPr>
      <w:r>
        <w:t>accept the draft Breach Action Plan, in which case the Supplier must immediately start work on implementing the Breach Action Plan.</w:t>
      </w:r>
    </w:p>
    <w:p w14:paraId="526E4E07" w14:textId="77777777" w:rsidR="00CD68D5" w:rsidRDefault="00CD68D5" w:rsidP="00CD68D5">
      <w:pPr>
        <w:keepNext/>
        <w:pBdr>
          <w:top w:val="nil"/>
          <w:left w:val="nil"/>
          <w:bottom w:val="nil"/>
          <w:right w:val="nil"/>
          <w:between w:val="nil"/>
        </w:pBdr>
        <w:ind w:left="720"/>
        <w:rPr>
          <w:b/>
          <w:color w:val="000000"/>
        </w:rPr>
      </w:pPr>
      <w:r>
        <w:rPr>
          <w:b/>
          <w:color w:val="000000"/>
        </w:rPr>
        <w:t>Assistance to Authority</w:t>
      </w:r>
    </w:p>
    <w:p w14:paraId="6CB4442C" w14:textId="77777777" w:rsidR="00CD68D5" w:rsidRDefault="00CD68D5" w:rsidP="00CD68D5">
      <w:pPr>
        <w:pStyle w:val="AppendixText2"/>
      </w:pPr>
      <w:bookmarkStart w:id="480" w:name="_heading=h.3ls5o66" w:colFirst="0" w:colLast="0"/>
      <w:bookmarkEnd w:id="480"/>
      <w:r>
        <w:t>Where the Breach of Security concerns or is connected with the Authority Data or the Code, the Supplier must provide such assistance to the Authority as the Authority requires until the Breach of Security and any impacts or potential impacts on the Authority are resolved to the Authority’s satisfaction.</w:t>
      </w:r>
    </w:p>
    <w:p w14:paraId="5AA83FD2" w14:textId="073ABB33" w:rsidR="00CD68D5" w:rsidRDefault="00CD68D5" w:rsidP="00CD68D5">
      <w:pPr>
        <w:pStyle w:val="AppendixText2"/>
      </w:pPr>
      <w:r>
        <w:t xml:space="preserve">The obligation to provide assistance under paragraph 14.7 </w:t>
      </w:r>
      <w:r w:rsidR="002C5FAA">
        <w:t xml:space="preserve">of this Appendix </w:t>
      </w:r>
      <w:r>
        <w:t>continues notwithstanding the expiry or termination of this Contract.</w:t>
      </w:r>
    </w:p>
    <w:p w14:paraId="03A5549A" w14:textId="77777777" w:rsidR="00CD68D5" w:rsidRDefault="00CD68D5" w:rsidP="00CD68D5">
      <w:pPr>
        <w:keepNext/>
        <w:pBdr>
          <w:top w:val="nil"/>
          <w:left w:val="nil"/>
          <w:bottom w:val="nil"/>
          <w:right w:val="nil"/>
          <w:between w:val="nil"/>
        </w:pBdr>
        <w:ind w:left="720"/>
        <w:rPr>
          <w:b/>
          <w:color w:val="000000"/>
        </w:rPr>
      </w:pPr>
      <w:r>
        <w:rPr>
          <w:b/>
          <w:color w:val="000000"/>
        </w:rPr>
        <w:t>Reporting of Breach of Security to regulator</w:t>
      </w:r>
    </w:p>
    <w:p w14:paraId="78AB4E57" w14:textId="77777777" w:rsidR="00CD68D5" w:rsidRDefault="00CD68D5" w:rsidP="00CD68D5">
      <w:pPr>
        <w:pStyle w:val="AppendixText2"/>
      </w:pPr>
      <w:r>
        <w:t>Where the Law requires the Supplier report a Breach of Security to the appropriate regulator, the Supplier must:</w:t>
      </w:r>
    </w:p>
    <w:p w14:paraId="5EE95ADC" w14:textId="77777777" w:rsidR="00CD68D5" w:rsidRDefault="00CD68D5" w:rsidP="00CD68D5">
      <w:pPr>
        <w:pStyle w:val="AppendixText3"/>
      </w:pPr>
      <w:r>
        <w:t>make that report within the time limits:</w:t>
      </w:r>
    </w:p>
    <w:p w14:paraId="394FA27B" w14:textId="77777777" w:rsidR="00CD68D5" w:rsidRDefault="00CD68D5" w:rsidP="00CD68D5">
      <w:pPr>
        <w:pStyle w:val="AppendixText4"/>
      </w:pPr>
      <w:r>
        <w:t>specified by the relevant regulator; or</w:t>
      </w:r>
    </w:p>
    <w:p w14:paraId="3F192C7D" w14:textId="77777777" w:rsidR="00CD68D5" w:rsidRDefault="00CD68D5" w:rsidP="00CD68D5">
      <w:pPr>
        <w:pStyle w:val="AppendixText4"/>
      </w:pPr>
      <w:r>
        <w:lastRenderedPageBreak/>
        <w:t>otherwise required by Law;</w:t>
      </w:r>
    </w:p>
    <w:p w14:paraId="43CC8F27" w14:textId="77777777" w:rsidR="00CD68D5" w:rsidRDefault="00CD68D5" w:rsidP="00CD68D5">
      <w:pPr>
        <w:pStyle w:val="AppendixText3"/>
      </w:pPr>
      <w:r>
        <w:t>to the extent that the relevant regulator or the Law permits, provide the Authority with a full, unredacted and unedited copy of that report at the same time it is sent to the relevant regulator.</w:t>
      </w:r>
    </w:p>
    <w:p w14:paraId="199C998C" w14:textId="77777777" w:rsidR="00CD68D5" w:rsidRDefault="00CD68D5" w:rsidP="00CD68D5">
      <w:pPr>
        <w:pStyle w:val="AppendixText2"/>
      </w:pPr>
      <w:r>
        <w:t>Where the Law requires the Authority to report a Breach of Security to the appropriate regulator, the Supplier must:</w:t>
      </w:r>
    </w:p>
    <w:p w14:paraId="27BB4330" w14:textId="77777777" w:rsidR="00CD68D5" w:rsidRDefault="00CD68D5" w:rsidP="00CD68D5">
      <w:pPr>
        <w:pStyle w:val="AppendixText3"/>
      </w:pPr>
      <w:r>
        <w:t>provide such information and other input as the Authority requires within the timescales specified by the Authority;</w:t>
      </w:r>
    </w:p>
    <w:p w14:paraId="560D4C2C" w14:textId="77777777" w:rsidR="00CD68D5" w:rsidRDefault="00CD68D5" w:rsidP="00CD68D5">
      <w:pPr>
        <w:pStyle w:val="AppendixText3"/>
      </w:pPr>
      <w:r>
        <w:t>ensure so far as practicable the report it sends to the relevant regulator is consistent with the report provided by the Authority.</w:t>
      </w:r>
    </w:p>
    <w:p w14:paraId="5730159D" w14:textId="77777777" w:rsidR="00CD68D5" w:rsidRDefault="00CD68D5" w:rsidP="00CD68D5">
      <w:pPr>
        <w:pStyle w:val="AppendixText1"/>
      </w:pPr>
      <w:bookmarkStart w:id="481" w:name="_heading=h.20xfydz" w:colFirst="0" w:colLast="0"/>
      <w:bookmarkEnd w:id="481"/>
      <w:r>
        <w:t>Exit management</w:t>
      </w:r>
    </w:p>
    <w:p w14:paraId="6ABA1BDF" w14:textId="77777777" w:rsidR="00CD68D5" w:rsidRDefault="00CD68D5" w:rsidP="00CD68D5">
      <w:pPr>
        <w:pStyle w:val="AppendixText2"/>
      </w:pPr>
      <w:r>
        <w:t>In addition to any obligations on the Supplier under Schedule 25 (</w:t>
      </w:r>
      <w:r>
        <w:rPr>
          <w:i/>
        </w:rPr>
        <w:t>Exit Management</w:t>
      </w:r>
      <w:r>
        <w:t>) the Supplier must:</w:t>
      </w:r>
    </w:p>
    <w:p w14:paraId="00CC332D" w14:textId="77777777" w:rsidR="00CD68D5" w:rsidRDefault="00CD68D5" w:rsidP="00CD68D5">
      <w:pPr>
        <w:pStyle w:val="AppendixText3"/>
      </w:pPr>
      <w:r>
        <w:t>agree with the Authority and, where required by the Supplier, the Replacement Supplier; and</w:t>
      </w:r>
    </w:p>
    <w:p w14:paraId="541166F6" w14:textId="77777777" w:rsidR="00CD68D5" w:rsidRDefault="00CD68D5" w:rsidP="00CD68D5">
      <w:pPr>
        <w:pStyle w:val="AppendixText3"/>
      </w:pPr>
      <w:r>
        <w:t>document as part of the Exit Plan,</w:t>
      </w:r>
    </w:p>
    <w:p w14:paraId="4156FB56" w14:textId="1F8BDFB2" w:rsidR="00CD68D5" w:rsidRDefault="00CD68D5" w:rsidP="00CD68D5">
      <w:pPr>
        <w:pStyle w:val="AppendixText3"/>
        <w:numPr>
          <w:ilvl w:val="0"/>
          <w:numId w:val="0"/>
        </w:numPr>
        <w:ind w:left="720"/>
      </w:pPr>
      <w:r>
        <w:t>a plan for the migration of the Authority Data to the Authority and/or the Replacement Supplier (as required by the Authority) (</w:t>
      </w:r>
      <w:r>
        <w:rPr>
          <w:b/>
        </w:rPr>
        <w:t>Data Migration Plan</w:t>
      </w:r>
      <w:r>
        <w:t>).</w:t>
      </w:r>
    </w:p>
    <w:p w14:paraId="40F4EF1E" w14:textId="77777777" w:rsidR="00CD68D5" w:rsidRDefault="00CD68D5" w:rsidP="00CD68D5">
      <w:pPr>
        <w:pStyle w:val="AppendixText2"/>
      </w:pPr>
      <w:r>
        <w:t>The Data Migration Plan must, at a minimum, include:</w:t>
      </w:r>
    </w:p>
    <w:p w14:paraId="0F861E07" w14:textId="77777777" w:rsidR="00CD68D5" w:rsidRDefault="00CD68D5" w:rsidP="00CD68D5">
      <w:pPr>
        <w:pStyle w:val="AppendixText3"/>
      </w:pPr>
      <w:r>
        <w:t>the data formats of the Authority Data;</w:t>
      </w:r>
    </w:p>
    <w:p w14:paraId="273ABB00" w14:textId="77777777" w:rsidR="00CD68D5" w:rsidRDefault="00CD68D5" w:rsidP="00CD68D5">
      <w:pPr>
        <w:pStyle w:val="AppendixText3"/>
      </w:pPr>
      <w:r>
        <w:t>the roles and responsibilities of the Supplier, the Authority and (where applicable) the Replacement Supplier;</w:t>
      </w:r>
    </w:p>
    <w:p w14:paraId="1324BB48" w14:textId="77777777" w:rsidR="00CD68D5" w:rsidRDefault="00CD68D5" w:rsidP="00CD68D5">
      <w:pPr>
        <w:pStyle w:val="AppendixText3"/>
      </w:pPr>
      <w:r>
        <w:t>the methods to be used to securely transfer the data;</w:t>
      </w:r>
    </w:p>
    <w:p w14:paraId="03316930" w14:textId="77777777" w:rsidR="00CD68D5" w:rsidRDefault="00CD68D5" w:rsidP="00CD68D5">
      <w:pPr>
        <w:pStyle w:val="AppendixText3"/>
      </w:pPr>
      <w:r>
        <w:t>the timescales for the completion of all tasks and activities set out in the Data Migration Plan; and</w:t>
      </w:r>
    </w:p>
    <w:p w14:paraId="199D1A7A" w14:textId="77777777" w:rsidR="00CD68D5" w:rsidRDefault="00CD68D5" w:rsidP="00CD68D5">
      <w:pPr>
        <w:pStyle w:val="AppendixText3"/>
      </w:pPr>
      <w:r>
        <w:t>how data migration will be managed to ensure continuity of Services and the integrity, confidentiality and accessibility of the Authority Data during that process.</w:t>
      </w:r>
    </w:p>
    <w:p w14:paraId="3B0D6B1A" w14:textId="77777777" w:rsidR="00CD68D5" w:rsidRDefault="00CD68D5" w:rsidP="00CD68D5">
      <w:pPr>
        <w:pStyle w:val="AppendixText2"/>
      </w:pPr>
      <w:r>
        <w:t xml:space="preserve">The Supplier shall comply with the provisions of the Data Migration Plan during Exit Management. </w:t>
      </w:r>
    </w:p>
    <w:p w14:paraId="0CD29872" w14:textId="77777777" w:rsidR="00CD68D5" w:rsidRDefault="00CD68D5" w:rsidP="00CD68D5">
      <w:pPr>
        <w:pStyle w:val="AppendixText1"/>
      </w:pPr>
      <w:bookmarkStart w:id="482" w:name="_heading=h.4kx3h1s" w:colFirst="0" w:colLast="0"/>
      <w:bookmarkEnd w:id="482"/>
      <w:r>
        <w:t>Return and deletion of Authority Data</w:t>
      </w:r>
    </w:p>
    <w:p w14:paraId="062EF248" w14:textId="77777777" w:rsidR="00CD68D5" w:rsidRDefault="00CD68D5" w:rsidP="00CD68D5">
      <w:pPr>
        <w:pStyle w:val="AppendixText2"/>
      </w:pPr>
      <w:r>
        <w:t>The Supplier must create and maintain a register of:</w:t>
      </w:r>
    </w:p>
    <w:p w14:paraId="521175B8" w14:textId="77777777" w:rsidR="00CD68D5" w:rsidRDefault="00CD68D5" w:rsidP="00CD68D5">
      <w:pPr>
        <w:pStyle w:val="AppendixText3"/>
      </w:pPr>
      <w:r>
        <w:t>all Authority Data the Supplier, or any Sub-contractor, receives from or creates for the Authority; and</w:t>
      </w:r>
    </w:p>
    <w:p w14:paraId="02DDEB37" w14:textId="77777777" w:rsidR="00CD68D5" w:rsidRDefault="00CD68D5" w:rsidP="00CD68D5">
      <w:pPr>
        <w:pStyle w:val="AppendixText3"/>
      </w:pPr>
      <w:r>
        <w:lastRenderedPageBreak/>
        <w:t>those parts of the Supplier Information Management System, including those parts of the Supplier Information Management System that are operated or controlled by any Sub-contractor, on which the Authority Data is stored,</w:t>
      </w:r>
    </w:p>
    <w:p w14:paraId="16954884" w14:textId="77777777" w:rsidR="00CD68D5" w:rsidRDefault="00CD68D5" w:rsidP="00CD68D5">
      <w:pPr>
        <w:pStyle w:val="Heading3"/>
        <w:ind w:left="720"/>
        <w:jc w:val="both"/>
      </w:pPr>
      <w:r>
        <w:t>(Authority Data Register).</w:t>
      </w:r>
    </w:p>
    <w:p w14:paraId="780BB7E2" w14:textId="77777777" w:rsidR="00CD68D5" w:rsidRDefault="00CD68D5" w:rsidP="00CD68D5">
      <w:pPr>
        <w:pStyle w:val="AppendixText2"/>
      </w:pPr>
      <w:r>
        <w:t>The Supplier must:</w:t>
      </w:r>
    </w:p>
    <w:p w14:paraId="749A5854" w14:textId="77777777" w:rsidR="00CD68D5" w:rsidRDefault="00CD68D5" w:rsidP="00CD68D5">
      <w:pPr>
        <w:pStyle w:val="AppendixText3"/>
      </w:pPr>
      <w:r>
        <w:t>review and update the Authority Data Register:</w:t>
      </w:r>
    </w:p>
    <w:p w14:paraId="603B78D6" w14:textId="77777777" w:rsidR="00CD68D5" w:rsidRDefault="00CD68D5" w:rsidP="00CD68D5">
      <w:pPr>
        <w:pStyle w:val="AppendixText4"/>
      </w:pPr>
      <w:r>
        <w:t>within ten Working Days of the Supplier or any Sub-contractor changes those parts of the Supplier Information Management System on which the Authority Data is stored;</w:t>
      </w:r>
    </w:p>
    <w:p w14:paraId="6497A05A" w14:textId="77777777" w:rsidR="00CD68D5" w:rsidRDefault="00CD68D5" w:rsidP="00CD68D5">
      <w:pPr>
        <w:pStyle w:val="AppendixText4"/>
      </w:pPr>
      <w:r>
        <w:t>within ten Working Days of a significant change in the volume, nature or overall sensitivity of the Authority Data stored on the Supplier Information Management System;</w:t>
      </w:r>
    </w:p>
    <w:p w14:paraId="27EF8B24" w14:textId="77777777" w:rsidR="00CD68D5" w:rsidRDefault="00CD68D5" w:rsidP="00CD68D5">
      <w:pPr>
        <w:pStyle w:val="AppendixText4"/>
      </w:pPr>
      <w:r>
        <w:t>at least once every 12 months; and</w:t>
      </w:r>
    </w:p>
    <w:p w14:paraId="2BB9B3E1" w14:textId="77777777" w:rsidR="00CD68D5" w:rsidRDefault="00CD68D5" w:rsidP="00CD68D5">
      <w:pPr>
        <w:pStyle w:val="AppendixText3"/>
      </w:pPr>
      <w:r>
        <w:t>provide the Authority with a copy of the Authority Data Register:</w:t>
      </w:r>
    </w:p>
    <w:p w14:paraId="0E368360" w14:textId="77777777" w:rsidR="00CD68D5" w:rsidRDefault="00CD68D5" w:rsidP="00CD68D5">
      <w:pPr>
        <w:pStyle w:val="AppendixText4"/>
      </w:pPr>
      <w:r>
        <w:t>whenever it updates the Authority Data Register; and</w:t>
      </w:r>
    </w:p>
    <w:p w14:paraId="5C5ABC09" w14:textId="77777777" w:rsidR="00CD68D5" w:rsidRDefault="00CD68D5" w:rsidP="00CD68D5">
      <w:pPr>
        <w:pStyle w:val="AppendixText4"/>
      </w:pPr>
      <w:r>
        <w:t>otherwise when the Authority requests.</w:t>
      </w:r>
    </w:p>
    <w:p w14:paraId="1FEC8E06" w14:textId="77777777" w:rsidR="00CD68D5" w:rsidRDefault="00CD68D5" w:rsidP="00CD68D5">
      <w:pPr>
        <w:pStyle w:val="AppendixText2"/>
      </w:pPr>
      <w:r>
        <w:t>The Supplier must, and must ensure that all Sub-contractors, securely erase any or all Authority Data held by the Supplier or Sub-contractor, including any or all Code:</w:t>
      </w:r>
    </w:p>
    <w:p w14:paraId="51112D1B" w14:textId="77777777" w:rsidR="00CD68D5" w:rsidRDefault="00CD68D5" w:rsidP="00CD68D5">
      <w:pPr>
        <w:pStyle w:val="AppendixText3"/>
      </w:pPr>
      <w:r>
        <w:t>when requested to do so by the Authority; and</w:t>
      </w:r>
    </w:p>
    <w:p w14:paraId="1AFC561A" w14:textId="77777777" w:rsidR="00CD68D5" w:rsidRDefault="00CD68D5" w:rsidP="00CD68D5">
      <w:pPr>
        <w:pStyle w:val="AppendixText3"/>
      </w:pPr>
      <w:r>
        <w:t>using a deletion method agreed with the Authority that ensures that even a determined expert using specialist techniques can recover only a small fraction of the data deleted.</w:t>
      </w:r>
    </w:p>
    <w:p w14:paraId="5D7FEF7F" w14:textId="77777777" w:rsidR="00CD68D5" w:rsidRDefault="00CD68D5" w:rsidP="00CD68D5">
      <w:pPr>
        <w:pStyle w:val="AppendixText2"/>
      </w:pPr>
      <w:r>
        <w:t>The Supplier must, and must ensure that all Sub-contractors, provide the Authority with copies of any or all Authority Data held by the Supplier or Sub-contractor, including any or all Code:</w:t>
      </w:r>
    </w:p>
    <w:p w14:paraId="1013C2FE" w14:textId="77777777" w:rsidR="00CD68D5" w:rsidRDefault="00CD68D5" w:rsidP="00CD68D5">
      <w:pPr>
        <w:pStyle w:val="AppendixText3"/>
      </w:pPr>
      <w:r>
        <w:t>when requested to do so by the Authority; and</w:t>
      </w:r>
    </w:p>
    <w:p w14:paraId="4985C596" w14:textId="612C344E" w:rsidR="00CD68D5" w:rsidRPr="002C5FAA" w:rsidRDefault="00CD68D5" w:rsidP="002C5FAA">
      <w:pPr>
        <w:pStyle w:val="Normal1"/>
        <w:ind w:firstLine="720"/>
        <w:rPr>
          <w:rFonts w:asciiTheme="minorHAnsi" w:hAnsiTheme="minorHAnsi" w:cstheme="minorHAnsi"/>
        </w:rPr>
      </w:pPr>
      <w:r w:rsidRPr="002C5FAA">
        <w:rPr>
          <w:rFonts w:asciiTheme="minorHAnsi" w:hAnsiTheme="minorHAnsi" w:cstheme="minorHAnsi"/>
        </w:rPr>
        <w:t>using the method specified by the Authority.</w:t>
      </w:r>
    </w:p>
    <w:p w14:paraId="5C5AE530" w14:textId="77777777" w:rsidR="00F67E9E" w:rsidRDefault="00F67E9E" w:rsidP="00F67E9E"/>
    <w:p w14:paraId="2617480B" w14:textId="02187C2D" w:rsidR="00F67E9E" w:rsidRDefault="00CD68D5" w:rsidP="00F67E9E">
      <w:pPr>
        <w:pStyle w:val="Heading2"/>
        <w:pageBreakBefore/>
      </w:pPr>
      <w:bookmarkStart w:id="483" w:name="_Ref_ContractCompanion_9kb9Ur5FB"/>
      <w:bookmarkStart w:id="484" w:name="_Ref_ContractCompanion_9kb9Ur5FD"/>
      <w:bookmarkStart w:id="485" w:name="_Ref_ContractCompanion_9kb9Ur5FF"/>
      <w:bookmarkStart w:id="486" w:name="_Toc145412746"/>
      <w:r>
        <w:lastRenderedPageBreak/>
        <w:t>Appendix</w:t>
      </w:r>
      <w:r w:rsidR="00F67E9E" w:rsidRPr="00024F2F">
        <w:t xml:space="preserve"> </w:t>
      </w:r>
      <w:bookmarkStart w:id="487" w:name="ANNEX2_SCHEDULE5"/>
      <w:bookmarkStart w:id="488" w:name="ANNEX2_PARTA_SCHEDULE5"/>
      <w:r w:rsidR="00F67E9E" w:rsidRPr="00024F2F">
        <w:t>2</w:t>
      </w:r>
      <w:bookmarkEnd w:id="487"/>
      <w:bookmarkEnd w:id="488"/>
      <w:r w:rsidR="00F67E9E" w:rsidRPr="00024F2F">
        <w:t xml:space="preserve">: Security Requirements </w:t>
      </w:r>
      <w:r w:rsidR="00F67E9E">
        <w:t>f</w:t>
      </w:r>
      <w:r w:rsidR="00F67E9E" w:rsidRPr="00024F2F">
        <w:t xml:space="preserve">or </w:t>
      </w:r>
      <w:bookmarkEnd w:id="483"/>
      <w:bookmarkEnd w:id="484"/>
      <w:bookmarkEnd w:id="485"/>
      <w:r>
        <w:t>Development</w:t>
      </w:r>
      <w:bookmarkEnd w:id="486"/>
    </w:p>
    <w:p w14:paraId="32B056D2" w14:textId="3A4C2A66" w:rsidR="00CD68D5" w:rsidRPr="00CD68D5" w:rsidRDefault="00CD68D5" w:rsidP="00CD68D5">
      <w:pPr>
        <w:pStyle w:val="StdBodyText1"/>
        <w:ind w:left="0"/>
      </w:pPr>
    </w:p>
    <w:p w14:paraId="4E9053E1" w14:textId="77777777" w:rsidR="00CD68D5" w:rsidRDefault="00CD68D5" w:rsidP="00E1349E">
      <w:pPr>
        <w:pStyle w:val="AppendixText1"/>
        <w:numPr>
          <w:ilvl w:val="0"/>
          <w:numId w:val="237"/>
        </w:numPr>
      </w:pPr>
      <w:r>
        <w:t>Secure Software Development by Design</w:t>
      </w:r>
    </w:p>
    <w:p w14:paraId="11EEB73B" w14:textId="77777777" w:rsidR="00CD68D5" w:rsidRDefault="00CD68D5" w:rsidP="00CD68D5">
      <w:pPr>
        <w:pStyle w:val="AppendixText2"/>
      </w:pPr>
      <w:r>
        <w:t>The Supplier must, and must ensure that all Sub-contractors engaged in Development Activity, implement secure development and deployment practices to ensure that:</w:t>
      </w:r>
    </w:p>
    <w:p w14:paraId="0DF819C5" w14:textId="77777777" w:rsidR="00CD68D5" w:rsidRDefault="00CD68D5" w:rsidP="00CD68D5">
      <w:pPr>
        <w:pStyle w:val="AppendixText3"/>
      </w:pPr>
      <w:r>
        <w:t>no malicious code is introduced into the Developed System or the Supplier Information Management System.</w:t>
      </w:r>
    </w:p>
    <w:p w14:paraId="02014B0D" w14:textId="77777777" w:rsidR="00CD68D5" w:rsidRDefault="00CD68D5" w:rsidP="00CD68D5">
      <w:pPr>
        <w:pStyle w:val="AppendixText3"/>
      </w:pPr>
      <w:r>
        <w:t>the Developed System can continue to function in accordance with the Specification:</w:t>
      </w:r>
    </w:p>
    <w:p w14:paraId="06A8D2D8" w14:textId="77777777" w:rsidR="00CD68D5" w:rsidRDefault="00CD68D5" w:rsidP="00CD68D5">
      <w:pPr>
        <w:pStyle w:val="AppendixText4"/>
      </w:pPr>
      <w:r>
        <w:t>in unforeseen circumstances; and</w:t>
      </w:r>
    </w:p>
    <w:p w14:paraId="15AD66E4" w14:textId="77777777" w:rsidR="00CD68D5" w:rsidRDefault="00CD68D5" w:rsidP="00CD68D5">
      <w:pPr>
        <w:pStyle w:val="AppendixText4"/>
      </w:pPr>
      <w:r>
        <w:t>notwithstanding any attack on the Developed System using common cyber-attack techniques, including attacks using those vulnerabilities identified at any time in the OWASP Top Ten.</w:t>
      </w:r>
    </w:p>
    <w:p w14:paraId="3850E8B3" w14:textId="77777777" w:rsidR="00CD68D5" w:rsidRDefault="00CD68D5" w:rsidP="00CD68D5">
      <w:pPr>
        <w:pStyle w:val="AppendixText2"/>
      </w:pPr>
      <w:r>
        <w:t>To those ends, the Supplier must, and ensure that all Sub-contractors engaged in Development Activity:</w:t>
      </w:r>
    </w:p>
    <w:p w14:paraId="12FBE83E" w14:textId="77777777" w:rsidR="00CD68D5" w:rsidRDefault="00CD68D5" w:rsidP="00CD68D5">
      <w:pPr>
        <w:pStyle w:val="AppendixText3"/>
      </w:pPr>
      <w:r>
        <w:t>comply with the Secure Development Guidance as if its requirements were terms of this Contract; and</w:t>
      </w:r>
    </w:p>
    <w:p w14:paraId="65096026" w14:textId="77777777" w:rsidR="00CD68D5" w:rsidRDefault="00CD68D5" w:rsidP="00CD68D5">
      <w:pPr>
        <w:pStyle w:val="AppendixText3"/>
      </w:pPr>
      <w:r>
        <w:t>document the steps taken to comply with that guidance as part of the Security Management Plan.</w:t>
      </w:r>
    </w:p>
    <w:p w14:paraId="33BA728A" w14:textId="77777777" w:rsidR="00CD68D5" w:rsidRDefault="00CD68D5" w:rsidP="00CD68D5">
      <w:pPr>
        <w:pStyle w:val="AppendixText2"/>
      </w:pPr>
      <w:r>
        <w:t>In particular, the Supplier must, and ensure that all Sub-contractors engaged in Development Activity:</w:t>
      </w:r>
    </w:p>
    <w:p w14:paraId="12C8DEB8" w14:textId="20E2A243" w:rsidR="00CD68D5" w:rsidRDefault="00CD68D5" w:rsidP="00CD68D5">
      <w:pPr>
        <w:pStyle w:val="AppendixText3"/>
      </w:pPr>
      <w:r>
        <w:t xml:space="preserve">ensure that all Supplier </w:t>
      </w:r>
      <w:r w:rsidR="002C5FAA">
        <w:t xml:space="preserve">Personnel </w:t>
      </w:r>
      <w:r>
        <w:t>engaged in Development Activity are:</w:t>
      </w:r>
    </w:p>
    <w:p w14:paraId="3F14F05E" w14:textId="77777777" w:rsidR="00CD68D5" w:rsidRDefault="00CD68D5" w:rsidP="00CD68D5">
      <w:pPr>
        <w:pStyle w:val="AppendixText4"/>
      </w:pPr>
      <w:r>
        <w:t>trained and experienced in secure by design code development;</w:t>
      </w:r>
    </w:p>
    <w:p w14:paraId="2156107B" w14:textId="77777777" w:rsidR="00CD68D5" w:rsidRDefault="00CD68D5" w:rsidP="00CD68D5">
      <w:pPr>
        <w:pStyle w:val="AppendixText4"/>
      </w:pPr>
      <w:r>
        <w:t>provided with regular training in secure software development and deployment;</w:t>
      </w:r>
    </w:p>
    <w:p w14:paraId="7DC2F959" w14:textId="77777777" w:rsidR="00CD68D5" w:rsidRDefault="00CD68D5" w:rsidP="00CD68D5">
      <w:pPr>
        <w:pStyle w:val="AppendixText3"/>
      </w:pPr>
      <w:r>
        <w:t>ensure that all Code:</w:t>
      </w:r>
    </w:p>
    <w:p w14:paraId="3BE4D427" w14:textId="77777777" w:rsidR="00CD68D5" w:rsidRDefault="00CD68D5" w:rsidP="00CD68D5">
      <w:pPr>
        <w:pStyle w:val="AppendixText4"/>
      </w:pPr>
      <w:r>
        <w:t>is subject to a clear, well-organised, logical and documented architecture;</w:t>
      </w:r>
    </w:p>
    <w:p w14:paraId="54ABA9B8" w14:textId="77777777" w:rsidR="00CD68D5" w:rsidRDefault="00CD68D5" w:rsidP="00CD68D5">
      <w:pPr>
        <w:pStyle w:val="AppendixText4"/>
      </w:pPr>
      <w:r>
        <w:t>follows OWASP Secure Coding Practice</w:t>
      </w:r>
    </w:p>
    <w:p w14:paraId="589AD19B" w14:textId="77777777" w:rsidR="00CD68D5" w:rsidRDefault="00CD68D5" w:rsidP="00CD68D5">
      <w:pPr>
        <w:pStyle w:val="AppendixText4"/>
      </w:pPr>
      <w:r>
        <w:t>follows recognised secure coding standard, where one is available;</w:t>
      </w:r>
    </w:p>
    <w:p w14:paraId="46681860" w14:textId="77777777" w:rsidR="00CD68D5" w:rsidRDefault="00CD68D5" w:rsidP="00CD68D5">
      <w:pPr>
        <w:pStyle w:val="AppendixText4"/>
      </w:pPr>
      <w:r>
        <w:lastRenderedPageBreak/>
        <w:t>employs consistent naming conventions;</w:t>
      </w:r>
    </w:p>
    <w:p w14:paraId="227BF863" w14:textId="77777777" w:rsidR="00CD68D5" w:rsidRDefault="00CD68D5" w:rsidP="00CD68D5">
      <w:pPr>
        <w:pStyle w:val="AppendixText4"/>
      </w:pPr>
      <w:r>
        <w:t>is coded in a consistent manner and style;</w:t>
      </w:r>
    </w:p>
    <w:p w14:paraId="08F4BBD2" w14:textId="77777777" w:rsidR="00CD68D5" w:rsidRDefault="00CD68D5" w:rsidP="00CD68D5">
      <w:pPr>
        <w:pStyle w:val="AppendixText4"/>
      </w:pPr>
      <w:r>
        <w:t>is clearly and adequately documented to set out the function of each section of code;</w:t>
      </w:r>
    </w:p>
    <w:p w14:paraId="2FD61034" w14:textId="77777777" w:rsidR="00CD68D5" w:rsidRDefault="00CD68D5" w:rsidP="00CD68D5">
      <w:pPr>
        <w:pStyle w:val="AppendixText4"/>
      </w:pPr>
      <w:r>
        <w:t>is subject to appropriate levels of review through automated and non-automated methods both as part of:</w:t>
      </w:r>
    </w:p>
    <w:p w14:paraId="4238551C" w14:textId="77777777" w:rsidR="00CD68D5" w:rsidRDefault="00CD68D5" w:rsidP="00CD68D5">
      <w:pPr>
        <w:pStyle w:val="AppendixText5"/>
      </w:pPr>
      <w:r>
        <w:t>any original coding; and</w:t>
      </w:r>
    </w:p>
    <w:p w14:paraId="0625F22F" w14:textId="77777777" w:rsidR="00CD68D5" w:rsidRDefault="00CD68D5" w:rsidP="00CD68D5">
      <w:pPr>
        <w:pStyle w:val="AppendixText5"/>
      </w:pPr>
      <w:r>
        <w:t>at any time the Code is  changed;</w:t>
      </w:r>
    </w:p>
    <w:p w14:paraId="78C8B4D6" w14:textId="77777777" w:rsidR="00CD68D5" w:rsidRDefault="00CD68D5" w:rsidP="00CD68D5">
      <w:pPr>
        <w:pStyle w:val="AppendixText3"/>
      </w:pPr>
      <w:r>
        <w:t>ensure that all Development Environments:</w:t>
      </w:r>
    </w:p>
    <w:p w14:paraId="46CE65AF" w14:textId="77777777" w:rsidR="00CD68D5" w:rsidRDefault="00CD68D5" w:rsidP="00CD68D5">
      <w:pPr>
        <w:pStyle w:val="AppendixText4"/>
      </w:pPr>
      <w:r>
        <w:t>protect access credentials and secret keys;</w:t>
      </w:r>
    </w:p>
    <w:p w14:paraId="771FD2CC" w14:textId="77777777" w:rsidR="00CD68D5" w:rsidRDefault="00CD68D5" w:rsidP="00CD68D5">
      <w:pPr>
        <w:pStyle w:val="AppendixText4"/>
      </w:pPr>
      <w:r>
        <w:t>is logically separate from all other environments, including production systems, operated by the Supplier or Sub-contractor;</w:t>
      </w:r>
    </w:p>
    <w:p w14:paraId="1AE6CF5A" w14:textId="77777777" w:rsidR="00CD68D5" w:rsidRDefault="00CD68D5" w:rsidP="00CD68D5">
      <w:pPr>
        <w:pStyle w:val="AppendixText4"/>
      </w:pPr>
      <w:r>
        <w:t>requires multi-factor authentication to access;</w:t>
      </w:r>
    </w:p>
    <w:p w14:paraId="23AD7142" w14:textId="77777777" w:rsidR="00CD68D5" w:rsidRDefault="00CD68D5" w:rsidP="00CD68D5">
      <w:pPr>
        <w:pStyle w:val="AppendixText4"/>
      </w:pPr>
      <w:r>
        <w:t>have onward technical controls to protect the Developed System or the Supplier Information Management System in the event a Development Environment is compromised;</w:t>
      </w:r>
    </w:p>
    <w:p w14:paraId="4FDEC858" w14:textId="77777777" w:rsidR="00CD68D5" w:rsidRDefault="00CD68D5" w:rsidP="00CD68D5">
      <w:pPr>
        <w:pStyle w:val="AppendixText4"/>
      </w:pPr>
      <w:r>
        <w:t>use network architecture controls to constrain access from the Development Environment to the Developed System or the Supplier Information Management System;</w:t>
      </w:r>
    </w:p>
    <w:p w14:paraId="30B8A9DE" w14:textId="77777777" w:rsidR="00CD68D5" w:rsidRDefault="00CD68D5" w:rsidP="00CD68D5">
      <w:pPr>
        <w:pStyle w:val="AppendixText1"/>
      </w:pPr>
      <w:r>
        <w:t>Secure Architecture</w:t>
      </w:r>
    </w:p>
    <w:p w14:paraId="37597195" w14:textId="77777777" w:rsidR="00CD68D5" w:rsidRDefault="00CD68D5" w:rsidP="00CD68D5">
      <w:pPr>
        <w:pStyle w:val="AppendixText2"/>
      </w:pPr>
      <w:bookmarkStart w:id="489" w:name="_heading=h.3z7bk57" w:colFirst="0" w:colLast="0"/>
      <w:bookmarkEnd w:id="489"/>
      <w:r>
        <w:t>The Supplier shall design and build the Developed System in a manner consistent with:</w:t>
      </w:r>
    </w:p>
    <w:p w14:paraId="7D6722FD" w14:textId="77777777" w:rsidR="00CD68D5" w:rsidRDefault="00CD68D5" w:rsidP="00CD68D5">
      <w:pPr>
        <w:pStyle w:val="AppendixText3"/>
      </w:pPr>
      <w:r>
        <w:t>the NCSC’s guidance on "Security Design Principles for Digital Services";</w:t>
      </w:r>
    </w:p>
    <w:p w14:paraId="78B63726" w14:textId="77777777" w:rsidR="00CD68D5" w:rsidRDefault="00CD68D5" w:rsidP="00CD68D5">
      <w:pPr>
        <w:pStyle w:val="AppendixText3"/>
      </w:pPr>
      <w:r>
        <w:t>where the Developed System will Process bulk data, the NCSC’s guidance on "Bulk Data Principles"; and</w:t>
      </w:r>
    </w:p>
    <w:p w14:paraId="016E94BC" w14:textId="77777777" w:rsidR="00CD68D5" w:rsidRDefault="00CD68D5" w:rsidP="00CD68D5">
      <w:pPr>
        <w:pStyle w:val="AppendixText3"/>
      </w:pPr>
      <w:r>
        <w:t>the NCSC’s guidance on "Cloud Security Principles".</w:t>
      </w:r>
    </w:p>
    <w:p w14:paraId="0A4CA161" w14:textId="77777777" w:rsidR="00CD68D5" w:rsidRDefault="00CD68D5" w:rsidP="00CD68D5">
      <w:pPr>
        <w:pStyle w:val="AppendixText3"/>
      </w:pPr>
      <w:r>
        <w:t>The NCSC’s Cyber Assessment Framework (CAF)</w:t>
      </w:r>
    </w:p>
    <w:p w14:paraId="38D7B8BE" w14:textId="77777777" w:rsidR="00CD68D5" w:rsidRDefault="00CD68D5" w:rsidP="00CD68D5">
      <w:pPr>
        <w:pStyle w:val="AppendixText2"/>
      </w:pPr>
      <w:r>
        <w:t>Where any of the documents referred to in paragraph 2.1 of this Appendix 2 provides for various options, the Supplier must document the option it has chosen to implement and its reasons for doing so.</w:t>
      </w:r>
    </w:p>
    <w:p w14:paraId="46D72056" w14:textId="77777777" w:rsidR="00CD68D5" w:rsidRDefault="00CD68D5" w:rsidP="00CD68D5">
      <w:pPr>
        <w:pStyle w:val="AppendixText2"/>
      </w:pPr>
      <w:r>
        <w:t>Notwithstanding anything in the specification for the Developed System or this Contract, the Supplier must ensure that the Developed System encrypts Authority Data:</w:t>
      </w:r>
    </w:p>
    <w:p w14:paraId="4600542A" w14:textId="77777777" w:rsidR="00CD68D5" w:rsidRDefault="00CD68D5" w:rsidP="00CD68D5">
      <w:pPr>
        <w:pStyle w:val="AppendixText3"/>
      </w:pPr>
      <w:r>
        <w:lastRenderedPageBreak/>
        <w:t>when the Authority Data is stored at any time when no operation is being performed on it; and</w:t>
      </w:r>
    </w:p>
    <w:p w14:paraId="15A9AFB2" w14:textId="77777777" w:rsidR="00CD68D5" w:rsidRDefault="00CD68D5" w:rsidP="00CD68D5">
      <w:pPr>
        <w:pStyle w:val="AppendixText3"/>
      </w:pPr>
      <w:r>
        <w:t>when the Authority Data is transmitted.</w:t>
      </w:r>
    </w:p>
    <w:p w14:paraId="29C5EA60" w14:textId="77777777" w:rsidR="00CD68D5" w:rsidRDefault="00CD68D5" w:rsidP="00CD68D5">
      <w:pPr>
        <w:pStyle w:val="AppendixText2"/>
      </w:pPr>
      <w:r>
        <w:t>The Supplier must ensure that the Developed System is developed and configured so as to provide for the matters set out in paragraphs 11.1 to 11.4 of the Security Requirements.</w:t>
      </w:r>
    </w:p>
    <w:p w14:paraId="28BD2CE2" w14:textId="77777777" w:rsidR="00CD68D5" w:rsidRDefault="00CD68D5" w:rsidP="00CD68D5">
      <w:pPr>
        <w:pStyle w:val="AppendixText1"/>
      </w:pPr>
      <w:r>
        <w:t>Code Repository and Deployment Pipeline</w:t>
      </w:r>
    </w:p>
    <w:p w14:paraId="7C6FA2EE" w14:textId="77777777" w:rsidR="00CD68D5" w:rsidRDefault="00CD68D5" w:rsidP="00E1349E">
      <w:pPr>
        <w:keepNext/>
        <w:numPr>
          <w:ilvl w:val="0"/>
          <w:numId w:val="199"/>
        </w:numPr>
        <w:pBdr>
          <w:top w:val="nil"/>
          <w:left w:val="nil"/>
          <w:bottom w:val="nil"/>
          <w:right w:val="nil"/>
          <w:between w:val="nil"/>
        </w:pBdr>
        <w:spacing w:before="100" w:after="200"/>
      </w:pPr>
      <w:r>
        <w:rPr>
          <w:color w:val="000000"/>
        </w:rPr>
        <w:t>The Supplier must, and must ensure that all Sub-contractors engaged in Development Activity:</w:t>
      </w:r>
    </w:p>
    <w:p w14:paraId="61CA7394" w14:textId="77777777" w:rsidR="00CD68D5" w:rsidRDefault="00CD68D5" w:rsidP="00CD68D5">
      <w:pPr>
        <w:pStyle w:val="AppendixText2"/>
      </w:pPr>
      <w:r>
        <w:t>when using a cloud-based code depository for the deployment pipeline, use only a cloud-based code depository that has been assessed against the NCSC Cloud Security Principles;</w:t>
      </w:r>
    </w:p>
    <w:p w14:paraId="2EC0DCFE" w14:textId="77777777" w:rsidR="00CD68D5" w:rsidRDefault="00CD68D5" w:rsidP="00CD68D5">
      <w:pPr>
        <w:pStyle w:val="AppendixText2"/>
      </w:pPr>
      <w:r>
        <w:t xml:space="preserve">ensure user access to code repositories is authenticated using credentials, with passwords or private keys; </w:t>
      </w:r>
    </w:p>
    <w:p w14:paraId="37EAC927" w14:textId="77777777" w:rsidR="00CD68D5" w:rsidRDefault="00CD68D5" w:rsidP="00CD68D5">
      <w:pPr>
        <w:pStyle w:val="AppendixText2"/>
      </w:pPr>
      <w:r>
        <w:t>ensure secret credentials are separated from source code.</w:t>
      </w:r>
    </w:p>
    <w:p w14:paraId="45339E95" w14:textId="77777777" w:rsidR="00CD68D5" w:rsidRDefault="00CD68D5" w:rsidP="00CD68D5">
      <w:pPr>
        <w:pStyle w:val="AppendixText2"/>
      </w:pPr>
      <w:r>
        <w:t>run automatic security testing as part of any deployment of the Developed System.</w:t>
      </w:r>
    </w:p>
    <w:p w14:paraId="6857838E" w14:textId="77777777" w:rsidR="00CD68D5" w:rsidRDefault="00CD68D5" w:rsidP="00CD68D5">
      <w:pPr>
        <w:pStyle w:val="AppendixText1"/>
      </w:pPr>
      <w:r>
        <w:t>Development and Testing Data</w:t>
      </w:r>
    </w:p>
    <w:p w14:paraId="005EDF18" w14:textId="77777777" w:rsidR="00CD68D5" w:rsidRDefault="00CD68D5" w:rsidP="00E1349E">
      <w:pPr>
        <w:keepNext/>
        <w:numPr>
          <w:ilvl w:val="0"/>
          <w:numId w:val="199"/>
        </w:numPr>
        <w:pBdr>
          <w:top w:val="nil"/>
          <w:left w:val="nil"/>
          <w:bottom w:val="nil"/>
          <w:right w:val="nil"/>
          <w:between w:val="nil"/>
        </w:pBdr>
        <w:spacing w:before="100" w:after="200"/>
      </w:pPr>
      <w:r>
        <w:rPr>
          <w:color w:val="000000"/>
        </w:rPr>
        <w:t>The Supplier must, and must ensure that all Sub-contractors engaged in Development Activity, use only anonymised, dummy or synthetic data when using data within the Development Environment for the purposes of development and testing.</w:t>
      </w:r>
    </w:p>
    <w:p w14:paraId="52A13C89" w14:textId="77777777" w:rsidR="00CD68D5" w:rsidRDefault="00CD68D5" w:rsidP="00CD68D5">
      <w:pPr>
        <w:pStyle w:val="AppendixText1"/>
      </w:pPr>
      <w:bookmarkStart w:id="490" w:name="_heading=h.2eclud0" w:colFirst="0" w:colLast="0"/>
      <w:bookmarkEnd w:id="490"/>
      <w:r>
        <w:t>Code Reviews</w:t>
      </w:r>
    </w:p>
    <w:p w14:paraId="0E9C430B" w14:textId="77777777" w:rsidR="00CD68D5" w:rsidRDefault="00CD68D5" w:rsidP="00CD68D5">
      <w:pPr>
        <w:pStyle w:val="AppendixText2"/>
      </w:pPr>
      <w:r>
        <w:t>The Supplier must:</w:t>
      </w:r>
    </w:p>
    <w:p w14:paraId="1BC4B4BF" w14:textId="77777777" w:rsidR="00CD68D5" w:rsidRDefault="00CD68D5" w:rsidP="00CD68D5">
      <w:pPr>
        <w:pStyle w:val="AppendixText3"/>
      </w:pPr>
      <w:r>
        <w:t>regularly; or</w:t>
      </w:r>
    </w:p>
    <w:p w14:paraId="6456BC41" w14:textId="77777777" w:rsidR="00CD68D5" w:rsidRDefault="00CD68D5" w:rsidP="00CD68D5">
      <w:pPr>
        <w:pStyle w:val="AppendixText3"/>
      </w:pPr>
      <w:r>
        <w:t>as required by the Authority</w:t>
      </w:r>
    </w:p>
    <w:p w14:paraId="6E8104A5" w14:textId="77777777" w:rsidR="00CD68D5" w:rsidRDefault="00CD68D5" w:rsidP="00E1349E">
      <w:pPr>
        <w:numPr>
          <w:ilvl w:val="0"/>
          <w:numId w:val="199"/>
        </w:numPr>
        <w:pBdr>
          <w:top w:val="nil"/>
          <w:left w:val="nil"/>
          <w:bottom w:val="nil"/>
          <w:right w:val="nil"/>
          <w:between w:val="nil"/>
        </w:pBdr>
        <w:spacing w:before="100" w:after="200"/>
      </w:pPr>
      <w:r>
        <w:rPr>
          <w:color w:val="000000"/>
        </w:rPr>
        <w:t>review the Code in accordance with the requirements of this paragraph 5 (</w:t>
      </w:r>
      <w:r>
        <w:rPr>
          <w:b/>
          <w:color w:val="000000"/>
        </w:rPr>
        <w:t>Code Review</w:t>
      </w:r>
      <w:r>
        <w:rPr>
          <w:color w:val="000000"/>
        </w:rPr>
        <w:t>).</w:t>
      </w:r>
    </w:p>
    <w:p w14:paraId="669C1185" w14:textId="77777777" w:rsidR="00CD68D5" w:rsidRDefault="00CD68D5" w:rsidP="00CD68D5">
      <w:pPr>
        <w:pStyle w:val="AppendixText2"/>
      </w:pPr>
      <w:bookmarkStart w:id="491" w:name="_heading=h.thw4kt" w:colFirst="0" w:colLast="0"/>
      <w:bookmarkEnd w:id="491"/>
      <w:r>
        <w:t>Before conducting any Code Review, the Supplier must agree with the Authority:</w:t>
      </w:r>
    </w:p>
    <w:p w14:paraId="0C590498" w14:textId="77777777" w:rsidR="00CD68D5" w:rsidRDefault="00CD68D5" w:rsidP="00CD68D5">
      <w:pPr>
        <w:pStyle w:val="AppendixText3"/>
      </w:pPr>
      <w:r>
        <w:t>the modules or elements of the Code subject to the Code Review;</w:t>
      </w:r>
    </w:p>
    <w:p w14:paraId="4E11F690" w14:textId="77777777" w:rsidR="00CD68D5" w:rsidRDefault="00CD68D5" w:rsidP="00CD68D5">
      <w:pPr>
        <w:pStyle w:val="AppendixText3"/>
      </w:pPr>
      <w:r>
        <w:t>the development state at which the Code Review will take place;</w:t>
      </w:r>
    </w:p>
    <w:p w14:paraId="222CC6C2" w14:textId="77777777" w:rsidR="00CD68D5" w:rsidRDefault="00CD68D5" w:rsidP="00CD68D5">
      <w:pPr>
        <w:pStyle w:val="AppendixText3"/>
      </w:pPr>
      <w:r>
        <w:t>any specific security vulnerabilities the Code Review will assess; and</w:t>
      </w:r>
    </w:p>
    <w:p w14:paraId="2AD1CF27" w14:textId="77777777" w:rsidR="00CD68D5" w:rsidRDefault="00CD68D5" w:rsidP="00CD68D5">
      <w:pPr>
        <w:pStyle w:val="AppendixText3"/>
      </w:pPr>
      <w:r>
        <w:lastRenderedPageBreak/>
        <w:t>the frequency of any Code Reviews (</w:t>
      </w:r>
      <w:r>
        <w:rPr>
          <w:b/>
        </w:rPr>
        <w:t>Code Review Plan</w:t>
      </w:r>
      <w:r>
        <w:t>).</w:t>
      </w:r>
    </w:p>
    <w:p w14:paraId="4E04DA5E" w14:textId="77777777" w:rsidR="00CD68D5" w:rsidRDefault="00CD68D5" w:rsidP="00CD68D5">
      <w:pPr>
        <w:pStyle w:val="AppendixText2"/>
      </w:pPr>
      <w:r>
        <w:t>For the avoidance of doubt the Code Review Plan may specify different modules or elements of the Code are reviewed at a different development state, for different security vulnerabilities and at different frequencies.</w:t>
      </w:r>
    </w:p>
    <w:p w14:paraId="2B3A21C4" w14:textId="77777777" w:rsidR="00CD68D5" w:rsidRDefault="00CD68D5" w:rsidP="00CD68D5">
      <w:pPr>
        <w:pStyle w:val="AppendixText2"/>
      </w:pPr>
      <w:r>
        <w:t>The Supplier:</w:t>
      </w:r>
    </w:p>
    <w:p w14:paraId="702E18F8" w14:textId="77777777" w:rsidR="00CD68D5" w:rsidRDefault="00CD68D5" w:rsidP="00CD68D5">
      <w:pPr>
        <w:pStyle w:val="AppendixText3"/>
      </w:pPr>
      <w:r>
        <w:t>must undertake Code Reviews in accordance with the Code Review Plan; and</w:t>
      </w:r>
    </w:p>
    <w:p w14:paraId="3380C7D9" w14:textId="77777777" w:rsidR="00CD68D5" w:rsidRDefault="00CD68D5" w:rsidP="00CD68D5">
      <w:pPr>
        <w:pStyle w:val="AppendixText3"/>
      </w:pPr>
      <w:r>
        <w:t>may undertake Code Reviews by automated means if this is consistent with the approach specified in the Code review Plan.</w:t>
      </w:r>
    </w:p>
    <w:p w14:paraId="6E7F9D15" w14:textId="77777777" w:rsidR="00CD68D5" w:rsidRDefault="00CD68D5" w:rsidP="00CD68D5">
      <w:pPr>
        <w:pStyle w:val="AppendixText2"/>
      </w:pPr>
      <w:r>
        <w:t xml:space="preserve">No later than ten Working Days or each Code Review, the Supplier must provide the Authority will a full, unedited and unredacted copy of the Code Review Report. </w:t>
      </w:r>
    </w:p>
    <w:p w14:paraId="30BA12E2" w14:textId="77777777" w:rsidR="00CD68D5" w:rsidRDefault="00CD68D5" w:rsidP="00CD68D5">
      <w:pPr>
        <w:pStyle w:val="AppendixText2"/>
      </w:pPr>
      <w:bookmarkStart w:id="492" w:name="_heading=h.3dhjn8m" w:colFirst="0" w:colLast="0"/>
      <w:bookmarkEnd w:id="492"/>
      <w:r>
        <w:t>Where the Code Review identifies any security vulnerabilities, the Supplier must:</w:t>
      </w:r>
    </w:p>
    <w:p w14:paraId="6D734370" w14:textId="77777777" w:rsidR="00CD68D5" w:rsidRDefault="00CD68D5" w:rsidP="00CD68D5">
      <w:pPr>
        <w:pStyle w:val="AppendixText3"/>
      </w:pPr>
      <w:r>
        <w:t>remedy these at its own cost and expense;</w:t>
      </w:r>
    </w:p>
    <w:p w14:paraId="79EF09A2" w14:textId="77777777" w:rsidR="00CD68D5" w:rsidRDefault="00CD68D5" w:rsidP="00CD68D5">
      <w:pPr>
        <w:pStyle w:val="AppendixText3"/>
      </w:pPr>
      <w:r>
        <w:t>ensure, so far as reasonably practicable, that the identified security vulnerabilities are not present in any other modules or code elements; and</w:t>
      </w:r>
    </w:p>
    <w:p w14:paraId="6251860F" w14:textId="77777777" w:rsidR="00CD68D5" w:rsidRDefault="00CD68D5" w:rsidP="00CD68D5">
      <w:pPr>
        <w:pStyle w:val="AppendixText3"/>
      </w:pPr>
      <w:r>
        <w:t>modify its approach to undertaking the Development Activities to ensure, so far as is practicable, the identified security vulnerabilities will not re-occur; and</w:t>
      </w:r>
    </w:p>
    <w:p w14:paraId="6C90D12D" w14:textId="77777777" w:rsidR="00CD68D5" w:rsidRDefault="00CD68D5" w:rsidP="00CD68D5">
      <w:pPr>
        <w:pStyle w:val="AppendixText3"/>
      </w:pPr>
      <w:bookmarkStart w:id="493" w:name="_heading=h.1smtxgf" w:colFirst="0" w:colLast="0"/>
      <w:bookmarkEnd w:id="493"/>
      <w:r>
        <w:t>provide the Authority with such information as it requests about the steps the Supplier takes under this paragraph 5.6.</w:t>
      </w:r>
    </w:p>
    <w:p w14:paraId="0AB5A27D" w14:textId="77777777" w:rsidR="00CD68D5" w:rsidRDefault="00CD68D5" w:rsidP="00CD68D5">
      <w:pPr>
        <w:pStyle w:val="AppendixText1"/>
      </w:pPr>
      <w:r>
        <w:t>Third-party Software</w:t>
      </w:r>
    </w:p>
    <w:p w14:paraId="752741B1" w14:textId="77777777" w:rsidR="00CD68D5" w:rsidRDefault="00CD68D5" w:rsidP="00E1349E">
      <w:pPr>
        <w:keepNext/>
        <w:numPr>
          <w:ilvl w:val="0"/>
          <w:numId w:val="199"/>
        </w:numPr>
        <w:pBdr>
          <w:top w:val="nil"/>
          <w:left w:val="nil"/>
          <w:bottom w:val="nil"/>
          <w:right w:val="nil"/>
          <w:between w:val="nil"/>
        </w:pBdr>
        <w:spacing w:before="100" w:after="200"/>
      </w:pPr>
      <w:r>
        <w:rPr>
          <w:color w:val="000000"/>
        </w:rPr>
        <w:t>The Supplier must not, and must ensure that Sub-contractors do not, use any software to Process Authority Data where the licence terms of that software purport to grant the licensor rights to Process the Authority Data greater than those rights strictly necessary for the use of the software.</w:t>
      </w:r>
    </w:p>
    <w:p w14:paraId="7E100A8C" w14:textId="77777777" w:rsidR="00CD68D5" w:rsidRDefault="00CD68D5" w:rsidP="00CD68D5">
      <w:pPr>
        <w:pStyle w:val="AppendixText1"/>
      </w:pPr>
      <w:r>
        <w:t>Third-party Software Modules</w:t>
      </w:r>
    </w:p>
    <w:p w14:paraId="4871A8C0" w14:textId="77777777" w:rsidR="00CD68D5" w:rsidRDefault="00CD68D5" w:rsidP="00CD68D5">
      <w:pPr>
        <w:pStyle w:val="AppendixText2"/>
      </w:pPr>
      <w:r>
        <w:t>Where the Supplier or a Sub-contractor incorporates a Third-party Software Module  into the Code, the Supplier must:</w:t>
      </w:r>
    </w:p>
    <w:p w14:paraId="4B63AC62" w14:textId="77777777" w:rsidR="00CD68D5" w:rsidRDefault="00CD68D5" w:rsidP="00CD68D5">
      <w:pPr>
        <w:pStyle w:val="AppendixText3"/>
      </w:pPr>
      <w:r>
        <w:t>verify the source and integrity of the Third-party Software Module by cryptographic signing or such other measure that provides the same level of assurance;</w:t>
      </w:r>
    </w:p>
    <w:p w14:paraId="49D91540" w14:textId="77777777" w:rsidR="00CD68D5" w:rsidRDefault="00CD68D5" w:rsidP="00CD68D5">
      <w:pPr>
        <w:pStyle w:val="AppendixText3"/>
      </w:pPr>
      <w:r>
        <w:t>perform adequate due diligence to determine whether there are any recognised security vulnerabilities with that Third-party Software Module;</w:t>
      </w:r>
    </w:p>
    <w:p w14:paraId="28111670" w14:textId="77777777" w:rsidR="00CD68D5" w:rsidRDefault="00CD68D5" w:rsidP="00CD68D5">
      <w:pPr>
        <w:pStyle w:val="AppendixText3"/>
      </w:pPr>
      <w:r>
        <w:lastRenderedPageBreak/>
        <w:t>continue to monitor any such Third-party Software Module so as to ensure it promptly becomes aware of any newly-discovered security vulnerabilities;</w:t>
      </w:r>
    </w:p>
    <w:p w14:paraId="32968687" w14:textId="77777777" w:rsidR="00CD68D5" w:rsidRDefault="00CD68D5" w:rsidP="00CD68D5">
      <w:pPr>
        <w:pStyle w:val="AppendixText3"/>
      </w:pPr>
      <w:r>
        <w:t>take appropriate steps to minimise the effect of any such security vulnerability on the Developed System.</w:t>
      </w:r>
    </w:p>
    <w:p w14:paraId="53B3B997" w14:textId="77777777" w:rsidR="00CD68D5" w:rsidRDefault="00CD68D5" w:rsidP="00CD68D5">
      <w:pPr>
        <w:pStyle w:val="AppendixText2"/>
      </w:pPr>
      <w:bookmarkStart w:id="494" w:name="_heading=h.4cmhg48" w:colFirst="0" w:colLast="0"/>
      <w:bookmarkEnd w:id="494"/>
      <w:r>
        <w:t>The Supplier must produce and maintain a register of all Third-party Software Modules that form part of the Code (</w:t>
      </w:r>
      <w:r>
        <w:rPr>
          <w:b/>
        </w:rPr>
        <w:t>Modules Register</w:t>
      </w:r>
      <w:r>
        <w:t>).</w:t>
      </w:r>
    </w:p>
    <w:p w14:paraId="30E3B9D0" w14:textId="77777777" w:rsidR="00CD68D5" w:rsidRDefault="00CD68D5" w:rsidP="00CD68D5">
      <w:pPr>
        <w:pStyle w:val="AppendixText2"/>
      </w:pPr>
      <w:r>
        <w:t>The Modules Register must include, in respect of each Third-party Software Module:</w:t>
      </w:r>
    </w:p>
    <w:p w14:paraId="2B5C1FE1" w14:textId="77777777" w:rsidR="00CD68D5" w:rsidRDefault="00CD68D5" w:rsidP="00CD68D5">
      <w:pPr>
        <w:pStyle w:val="AppendixText3"/>
      </w:pPr>
      <w:r>
        <w:t>full details of the developer of the module;</w:t>
      </w:r>
    </w:p>
    <w:p w14:paraId="083FC0E0" w14:textId="77777777" w:rsidR="00CD68D5" w:rsidRDefault="00CD68D5" w:rsidP="00CD68D5">
      <w:pPr>
        <w:pStyle w:val="AppendixText3"/>
      </w:pPr>
      <w:r>
        <w:t>the due diligence the Supplier undertook on the Third-party Software Module before deciding to use it;</w:t>
      </w:r>
    </w:p>
    <w:p w14:paraId="10D70574" w14:textId="77777777" w:rsidR="00CD68D5" w:rsidRDefault="00CD68D5" w:rsidP="00CD68D5">
      <w:pPr>
        <w:pStyle w:val="AppendixText3"/>
      </w:pPr>
      <w:r>
        <w:t>any recognised security vulnerabilities in the Third-party Software Module; and</w:t>
      </w:r>
    </w:p>
    <w:p w14:paraId="23F8EFD6" w14:textId="77777777" w:rsidR="00CD68D5" w:rsidRDefault="00CD68D5" w:rsidP="00CD68D5">
      <w:pPr>
        <w:pStyle w:val="AppendixText3"/>
      </w:pPr>
      <w:r>
        <w:t>how the Supplier will minimise the effect of any such security vulnerability on the Developed System.</w:t>
      </w:r>
    </w:p>
    <w:p w14:paraId="20159D2A" w14:textId="77777777" w:rsidR="00CD68D5" w:rsidRDefault="00CD68D5" w:rsidP="00CD68D5">
      <w:pPr>
        <w:pStyle w:val="AppendixText2"/>
      </w:pPr>
      <w:r>
        <w:t>The Supplier must:</w:t>
      </w:r>
    </w:p>
    <w:p w14:paraId="783B257A" w14:textId="77777777" w:rsidR="00CD68D5" w:rsidRDefault="00CD68D5" w:rsidP="00CD68D5">
      <w:pPr>
        <w:pStyle w:val="AppendixText3"/>
      </w:pPr>
      <w:r>
        <w:t>review and update the Modules Register:</w:t>
      </w:r>
    </w:p>
    <w:p w14:paraId="1019B5A1" w14:textId="77777777" w:rsidR="00CD68D5" w:rsidRDefault="00CD68D5" w:rsidP="00CD68D5">
      <w:pPr>
        <w:pStyle w:val="AppendixText4"/>
      </w:pPr>
      <w:r>
        <w:t>within 10 Working Days of becoming aware of a security vulnerability in any Third-party Software Module; and</w:t>
      </w:r>
    </w:p>
    <w:p w14:paraId="4559A227" w14:textId="77777777" w:rsidR="00CD68D5" w:rsidRDefault="00CD68D5" w:rsidP="00CD68D5">
      <w:pPr>
        <w:pStyle w:val="AppendixText4"/>
      </w:pPr>
      <w:r>
        <w:t>at least once every six months;</w:t>
      </w:r>
    </w:p>
    <w:p w14:paraId="1AAE82A5" w14:textId="77777777" w:rsidR="00CD68D5" w:rsidRDefault="00CD68D5" w:rsidP="00CD68D5">
      <w:pPr>
        <w:pStyle w:val="AppendixText3"/>
      </w:pPr>
      <w:r>
        <w:t>provide the Authority with a copy of the Modules Register:</w:t>
      </w:r>
    </w:p>
    <w:p w14:paraId="33D6AA91" w14:textId="77777777" w:rsidR="00CD68D5" w:rsidRDefault="00CD68D5" w:rsidP="00CD68D5">
      <w:pPr>
        <w:pStyle w:val="AppendixText4"/>
      </w:pPr>
      <w:r>
        <w:t>whenever it updates the Modules Register; and</w:t>
      </w:r>
    </w:p>
    <w:p w14:paraId="4D5A401C" w14:textId="397ED203" w:rsidR="00CD68D5" w:rsidRDefault="00CD68D5" w:rsidP="00CD68D5">
      <w:pPr>
        <w:pStyle w:val="AppendixText4"/>
        <w:sectPr w:rsidR="00CD68D5">
          <w:headerReference w:type="even" r:id="rId61"/>
          <w:headerReference w:type="default" r:id="rId62"/>
          <w:footerReference w:type="even" r:id="rId63"/>
          <w:headerReference w:type="first" r:id="rId64"/>
          <w:footerReference w:type="first" r:id="rId65"/>
          <w:pgSz w:w="11906" w:h="16838"/>
          <w:pgMar w:top="1440" w:right="1440" w:bottom="1800" w:left="1440" w:header="706" w:footer="706" w:gutter="0"/>
          <w:cols w:space="720"/>
        </w:sectPr>
      </w:pPr>
      <w:r>
        <w:t>other</w:t>
      </w:r>
      <w:r w:rsidR="00892E34">
        <w:t>wise when the Authority req</w:t>
      </w:r>
    </w:p>
    <w:p w14:paraId="655D428C" w14:textId="77777777" w:rsidR="00F67E9E" w:rsidRDefault="00F67E9E" w:rsidP="00F67E9E"/>
    <w:p w14:paraId="45CECEB3" w14:textId="533EF2B9" w:rsidR="00F67E9E" w:rsidRPr="00147F02" w:rsidRDefault="00CD68D5" w:rsidP="00F67E9E">
      <w:pPr>
        <w:pStyle w:val="Heading2"/>
        <w:pageBreakBefore/>
      </w:pPr>
      <w:bookmarkStart w:id="497" w:name="_Ref92205260"/>
      <w:bookmarkStart w:id="498" w:name="_Toc145412747"/>
      <w:r>
        <w:lastRenderedPageBreak/>
        <w:t>Appendix</w:t>
      </w:r>
      <w:r w:rsidR="00F67E9E" w:rsidRPr="00147F02">
        <w:t xml:space="preserve"> </w:t>
      </w:r>
      <w:bookmarkStart w:id="499" w:name="ANNEX3_SCHEDULE5"/>
      <w:bookmarkStart w:id="500" w:name="ANNEX3_PARTA_SCHEDULE5"/>
      <w:r w:rsidR="00F67E9E" w:rsidRPr="00147F02">
        <w:t>3</w:t>
      </w:r>
      <w:bookmarkEnd w:id="499"/>
      <w:bookmarkEnd w:id="500"/>
      <w:r w:rsidR="00F67E9E" w:rsidRPr="00147F02">
        <w:t xml:space="preserve">: Security </w:t>
      </w:r>
      <w:r>
        <w:t>Working Group</w:t>
      </w:r>
      <w:bookmarkEnd w:id="497"/>
      <w:bookmarkEnd w:id="498"/>
      <w:r w:rsidRPr="00147F02">
        <w:t xml:space="preserve"> </w:t>
      </w:r>
    </w:p>
    <w:p w14:paraId="282ACB43" w14:textId="13DB9C1D" w:rsidR="00CD68D5" w:rsidRPr="00EC33A0" w:rsidRDefault="00826477" w:rsidP="00F67E9E">
      <w:pPr>
        <w:pStyle w:val="StdBodyTextBold"/>
        <w:rPr>
          <w:rFonts w:cs="Arial"/>
          <w:b w:val="0"/>
        </w:rPr>
      </w:pPr>
      <w:r w:rsidRPr="00EC33A0">
        <w:rPr>
          <w:rFonts w:cs="Arial"/>
          <w:b w:val="0"/>
        </w:rPr>
        <w:t>T</w:t>
      </w:r>
      <w:r w:rsidR="00503EB0" w:rsidRPr="00EC33A0">
        <w:rPr>
          <w:rFonts w:cs="Arial"/>
          <w:b w:val="0"/>
        </w:rPr>
        <w:t>his Appendix will be completed and agreed by the Parties within 30 days of the Effective Date as part of the process for agreeing the Security Management Plan)</w:t>
      </w:r>
    </w:p>
    <w:p w14:paraId="063AD617" w14:textId="77777777" w:rsidR="00CD68D5" w:rsidRDefault="00CD68D5" w:rsidP="00E1349E">
      <w:pPr>
        <w:pStyle w:val="AppendixText1"/>
        <w:numPr>
          <w:ilvl w:val="0"/>
          <w:numId w:val="238"/>
        </w:numPr>
      </w:pPr>
      <w:r>
        <w:t>Role of the Security Working Group</w:t>
      </w:r>
    </w:p>
    <w:p w14:paraId="1A33DFF0" w14:textId="77777777" w:rsidR="00CD68D5" w:rsidRDefault="00CD68D5" w:rsidP="00CD68D5">
      <w:pPr>
        <w:pStyle w:val="AppendixText2"/>
      </w:pPr>
      <w:r>
        <w:t>The Security Working Group shall be responsible for the [</w:t>
      </w:r>
      <w:r>
        <w:rPr>
          <w:highlight w:val="yellow"/>
        </w:rPr>
        <w:t>insert remit of Security Working Group</w:t>
      </w:r>
      <w:r>
        <w:t>].</w:t>
      </w:r>
    </w:p>
    <w:p w14:paraId="5322BAC6" w14:textId="77777777" w:rsidR="00CD68D5" w:rsidRDefault="00CD68D5" w:rsidP="00CD68D5">
      <w:pPr>
        <w:pStyle w:val="AppendixText2"/>
      </w:pPr>
      <w:r>
        <w:t>The Security Working Group:</w:t>
      </w:r>
    </w:p>
    <w:p w14:paraId="76642DCB" w14:textId="77777777" w:rsidR="00CD68D5" w:rsidRDefault="00CD68D5" w:rsidP="00CD68D5">
      <w:pPr>
        <w:pStyle w:val="AppendixText3"/>
      </w:pPr>
      <w:r>
        <w:t>monitors and provides recommendations to the Supplier on the [Authority-led Assurance] of the Supplier Information Management System;</w:t>
      </w:r>
    </w:p>
    <w:p w14:paraId="7C3DCC37" w14:textId="77777777" w:rsidR="00CD68D5" w:rsidRDefault="00CD68D5" w:rsidP="00CD68D5">
      <w:pPr>
        <w:pStyle w:val="AppendixText3"/>
      </w:pPr>
      <w:r>
        <w:t>[</w:t>
      </w:r>
      <w:r>
        <w:rPr>
          <w:highlight w:val="yellow"/>
        </w:rPr>
        <w:t>insert remainder of terms of reference for Security Working Group</w:t>
      </w:r>
      <w:r>
        <w:t>].</w:t>
      </w:r>
    </w:p>
    <w:p w14:paraId="69D04367" w14:textId="77777777" w:rsidR="00CD68D5" w:rsidRDefault="00CD68D5" w:rsidP="00CD68D5">
      <w:pPr>
        <w:pStyle w:val="AppendixText1"/>
      </w:pPr>
      <w:r>
        <w:t>Meetings of the Security Working Group</w:t>
      </w:r>
    </w:p>
    <w:p w14:paraId="75B6B622" w14:textId="77777777" w:rsidR="00CD68D5" w:rsidRDefault="00CD68D5" w:rsidP="00E1349E">
      <w:pPr>
        <w:numPr>
          <w:ilvl w:val="0"/>
          <w:numId w:val="199"/>
        </w:numPr>
        <w:pBdr>
          <w:top w:val="nil"/>
          <w:left w:val="nil"/>
          <w:bottom w:val="nil"/>
          <w:right w:val="nil"/>
          <w:between w:val="nil"/>
        </w:pBdr>
        <w:spacing w:before="100" w:after="200"/>
      </w:pPr>
      <w:r>
        <w:rPr>
          <w:color w:val="000000"/>
        </w:rPr>
        <w:t>Paragraphs 3.4 to 3.7 of Schedule 21 (Governance) shall apply to the Security Working Group as if it were a Board established under that Schedule.</w:t>
      </w:r>
    </w:p>
    <w:p w14:paraId="7D762FE2" w14:textId="77777777" w:rsidR="00CD68D5" w:rsidRDefault="00CD68D5" w:rsidP="00CD68D5">
      <w:pPr>
        <w:pStyle w:val="AppendixText1"/>
      </w:pPr>
      <w:r>
        <w:t>Reports to the Security Working Group</w:t>
      </w:r>
    </w:p>
    <w:p w14:paraId="3A17E2EB" w14:textId="77777777" w:rsidR="00CD68D5" w:rsidRDefault="00CD68D5" w:rsidP="00CD68D5">
      <w:pPr>
        <w:pStyle w:val="AppendixText2"/>
      </w:pPr>
      <w:r>
        <w:t>The Supplier must provide the following reports no late than [five] Working Days before each meeting of the Security Woking Group:</w:t>
      </w:r>
    </w:p>
    <w:p w14:paraId="416927EA" w14:textId="77777777" w:rsidR="00CD68D5" w:rsidRDefault="00CD68D5" w:rsidP="00CD68D5">
      <w:pPr>
        <w:pStyle w:val="AppendixText3"/>
      </w:pPr>
      <w:r>
        <w:t>[</w:t>
      </w:r>
      <w:r>
        <w:rPr>
          <w:highlight w:val="yellow"/>
        </w:rPr>
        <w:t>insert list of required reports</w:t>
      </w:r>
      <w:r>
        <w:t>].</w:t>
      </w:r>
    </w:p>
    <w:p w14:paraId="7A2D0DFA" w14:textId="77777777" w:rsidR="00CD68D5" w:rsidRDefault="00CD68D5" w:rsidP="00CD68D5">
      <w:pPr>
        <w:pStyle w:val="AppendixText1"/>
      </w:pPr>
      <w:r>
        <w:t>Administration</w:t>
      </w:r>
    </w:p>
    <w:p w14:paraId="2D7E2516" w14:textId="74B3A52A" w:rsidR="00CD68D5" w:rsidRPr="00CD68D5" w:rsidRDefault="00CD68D5" w:rsidP="00E1349E">
      <w:pPr>
        <w:numPr>
          <w:ilvl w:val="0"/>
          <w:numId w:val="199"/>
        </w:numPr>
        <w:pBdr>
          <w:top w:val="nil"/>
          <w:left w:val="nil"/>
          <w:bottom w:val="nil"/>
          <w:right w:val="nil"/>
          <w:between w:val="nil"/>
        </w:pBdr>
        <w:spacing w:before="100" w:after="200"/>
      </w:pPr>
      <w:r>
        <w:rPr>
          <w:color w:val="000000"/>
        </w:rPr>
        <w:t>[</w:t>
      </w:r>
      <w:r>
        <w:rPr>
          <w:color w:val="000000"/>
          <w:highlight w:val="yellow"/>
        </w:rPr>
        <w:t>The Supplier is responsible for the secretarial functions of the SWG.</w:t>
      </w:r>
      <w:r>
        <w:rPr>
          <w:color w:val="000000"/>
        </w:rPr>
        <w:t>]</w:t>
      </w:r>
    </w:p>
    <w:p w14:paraId="2AD428E8" w14:textId="33714668" w:rsidR="00CD68D5" w:rsidRDefault="00CD68D5">
      <w:pPr>
        <w:rPr>
          <w:color w:val="000000"/>
        </w:rPr>
      </w:pPr>
      <w:r>
        <w:rPr>
          <w:color w:val="000000"/>
        </w:rPr>
        <w:br w:type="page"/>
      </w:r>
    </w:p>
    <w:p w14:paraId="21C6718D" w14:textId="1B48F196" w:rsidR="00CD68D5" w:rsidRPr="00147F02" w:rsidRDefault="00CD68D5" w:rsidP="00CD68D5">
      <w:pPr>
        <w:pStyle w:val="Heading2"/>
        <w:pageBreakBefore/>
      </w:pPr>
      <w:bookmarkStart w:id="501" w:name="_Toc145412748"/>
      <w:r>
        <w:lastRenderedPageBreak/>
        <w:t>Appendix 4</w:t>
      </w:r>
      <w:r w:rsidRPr="00147F02">
        <w:t>: S</w:t>
      </w:r>
      <w:r>
        <w:t>ub-contractor Security Requirements and Security Requirements for Development</w:t>
      </w:r>
      <w:bookmarkEnd w:id="501"/>
      <w:r w:rsidRPr="00147F02">
        <w:t xml:space="preserve"> </w:t>
      </w:r>
    </w:p>
    <w:p w14:paraId="1C1BFEFC" w14:textId="5B61EE48" w:rsidR="00F67E9E" w:rsidRDefault="00F67E9E" w:rsidP="00F67E9E">
      <w:pPr>
        <w:rPr>
          <w:rFonts w:eastAsia="Times New Roman" w:cs="Arial"/>
          <w:b/>
          <w:szCs w:val="24"/>
          <w:lang w:eastAsia="en-GB"/>
        </w:rPr>
      </w:pPr>
    </w:p>
    <w:p w14:paraId="0FA4A8F3" w14:textId="683B36A6" w:rsidR="00CD68D5" w:rsidRDefault="00CD68D5" w:rsidP="00CD68D5">
      <w:pPr>
        <w:keepNext/>
        <w:pBdr>
          <w:top w:val="nil"/>
          <w:left w:val="nil"/>
          <w:bottom w:val="nil"/>
          <w:right w:val="nil"/>
          <w:between w:val="nil"/>
        </w:pBdr>
        <w:rPr>
          <w:color w:val="000000"/>
        </w:rPr>
      </w:pPr>
      <w:r>
        <w:rPr>
          <w:color w:val="000000"/>
        </w:rPr>
        <w:t xml:space="preserve">The table below sets out the Security Requirements and Development Requirements that do </w:t>
      </w:r>
      <w:r>
        <w:rPr>
          <w:b/>
          <w:color w:val="000000"/>
        </w:rPr>
        <w:t>not</w:t>
      </w:r>
      <w:r>
        <w:rPr>
          <w:color w:val="000000"/>
        </w:rPr>
        <w:t xml:space="preserve"> apply to particular categories of Sub-contractors.</w:t>
      </w:r>
    </w:p>
    <w:p w14:paraId="42AC7A3C" w14:textId="224CA257" w:rsidR="00826477" w:rsidRDefault="00826477" w:rsidP="00CD68D5">
      <w:pPr>
        <w:keepNext/>
        <w:pBdr>
          <w:top w:val="nil"/>
          <w:left w:val="nil"/>
          <w:bottom w:val="nil"/>
          <w:right w:val="nil"/>
          <w:between w:val="nil"/>
        </w:pBdr>
        <w:rPr>
          <w:color w:val="000000"/>
        </w:rPr>
      </w:pPr>
    </w:p>
    <w:p w14:paraId="70FCB114" w14:textId="34B66217" w:rsidR="00826477" w:rsidRPr="00EC33A0" w:rsidRDefault="00826477" w:rsidP="00CD68D5">
      <w:pPr>
        <w:keepNext/>
        <w:pBdr>
          <w:top w:val="nil"/>
          <w:left w:val="nil"/>
          <w:bottom w:val="nil"/>
          <w:right w:val="nil"/>
          <w:between w:val="nil"/>
        </w:pBdr>
        <w:rPr>
          <w:color w:val="000000"/>
        </w:rPr>
      </w:pPr>
      <w:r w:rsidRPr="00EC33A0">
        <w:rPr>
          <w:rFonts w:cs="Arial"/>
        </w:rPr>
        <w:t>This table will be completed and agreed by the Parties within 30 days of the Effective Date as part of the process for agreeing the Security Management Plan</w:t>
      </w:r>
      <w:r w:rsidR="00EC33A0" w:rsidRPr="00EC33A0">
        <w:rPr>
          <w:rFonts w:cs="Arial"/>
        </w:rPr>
        <w:t>.</w:t>
      </w:r>
    </w:p>
    <w:p w14:paraId="6578C703" w14:textId="77777777" w:rsidR="00DE59DD" w:rsidRDefault="00DE59DD" w:rsidP="00CD68D5">
      <w:pPr>
        <w:keepNext/>
        <w:pBdr>
          <w:top w:val="nil"/>
          <w:left w:val="nil"/>
          <w:bottom w:val="nil"/>
          <w:right w:val="nil"/>
          <w:between w:val="nil"/>
        </w:pBdr>
        <w:rPr>
          <w:color w:val="00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CD68D5" w14:paraId="687F6B93" w14:textId="77777777" w:rsidTr="00CD68D5">
        <w:tc>
          <w:tcPr>
            <w:tcW w:w="1803" w:type="dxa"/>
            <w:shd w:val="clear" w:color="auto" w:fill="D9D9D9"/>
          </w:tcPr>
          <w:p w14:paraId="3AF22827" w14:textId="77777777" w:rsidR="00CD68D5" w:rsidRDefault="00CD68D5" w:rsidP="00CD68D5">
            <w:pPr>
              <w:pBdr>
                <w:top w:val="nil"/>
                <w:left w:val="nil"/>
                <w:bottom w:val="nil"/>
                <w:right w:val="nil"/>
                <w:between w:val="nil"/>
              </w:pBdr>
              <w:spacing w:before="120" w:after="120"/>
              <w:rPr>
                <w:rFonts w:eastAsia="Arial" w:cs="Arial"/>
                <w:b/>
                <w:color w:val="000000"/>
              </w:rPr>
            </w:pPr>
          </w:p>
        </w:tc>
        <w:tc>
          <w:tcPr>
            <w:tcW w:w="1803" w:type="dxa"/>
            <w:shd w:val="clear" w:color="auto" w:fill="D9D9D9"/>
          </w:tcPr>
          <w:p w14:paraId="76FB2AA5" w14:textId="77777777" w:rsidR="00CD68D5" w:rsidRDefault="00CD68D5" w:rsidP="00CD68D5">
            <w:pPr>
              <w:keepNext/>
              <w:pBdr>
                <w:top w:val="nil"/>
                <w:left w:val="nil"/>
                <w:bottom w:val="nil"/>
                <w:right w:val="nil"/>
                <w:between w:val="nil"/>
              </w:pBdr>
              <w:spacing w:before="120" w:after="120"/>
              <w:rPr>
                <w:rFonts w:eastAsia="Arial" w:cs="Arial"/>
                <w:b/>
                <w:color w:val="000000"/>
              </w:rPr>
            </w:pPr>
            <w:r>
              <w:rPr>
                <w:rFonts w:eastAsia="Arial" w:cs="Arial"/>
                <w:color w:val="000000"/>
              </w:rPr>
              <w:t>SIMS Sub-contractors</w:t>
            </w:r>
          </w:p>
        </w:tc>
        <w:tc>
          <w:tcPr>
            <w:tcW w:w="1803" w:type="dxa"/>
            <w:shd w:val="clear" w:color="auto" w:fill="D9D9D9"/>
          </w:tcPr>
          <w:p w14:paraId="1C9FEAEA" w14:textId="77777777" w:rsidR="00CD68D5" w:rsidRDefault="00CD68D5" w:rsidP="00CD68D5">
            <w:pPr>
              <w:keepNext/>
              <w:pBdr>
                <w:top w:val="nil"/>
                <w:left w:val="nil"/>
                <w:bottom w:val="nil"/>
                <w:right w:val="nil"/>
                <w:between w:val="nil"/>
              </w:pBdr>
              <w:spacing w:before="120" w:after="120"/>
              <w:rPr>
                <w:rFonts w:eastAsia="Arial" w:cs="Arial"/>
                <w:b/>
                <w:color w:val="000000"/>
              </w:rPr>
            </w:pPr>
            <w:r>
              <w:rPr>
                <w:rFonts w:eastAsia="Arial" w:cs="Arial"/>
                <w:color w:val="000000"/>
              </w:rPr>
              <w:t>Higher Risk Sub-contractors</w:t>
            </w:r>
          </w:p>
        </w:tc>
        <w:tc>
          <w:tcPr>
            <w:tcW w:w="1803" w:type="dxa"/>
            <w:shd w:val="clear" w:color="auto" w:fill="D9D9D9"/>
          </w:tcPr>
          <w:p w14:paraId="3E03C6EF" w14:textId="77777777" w:rsidR="00CD68D5" w:rsidRDefault="00CD68D5" w:rsidP="00CD68D5">
            <w:pPr>
              <w:keepNext/>
              <w:pBdr>
                <w:top w:val="nil"/>
                <w:left w:val="nil"/>
                <w:bottom w:val="nil"/>
                <w:right w:val="nil"/>
                <w:between w:val="nil"/>
              </w:pBdr>
              <w:spacing w:before="120" w:after="120"/>
              <w:rPr>
                <w:rFonts w:eastAsia="Arial" w:cs="Arial"/>
                <w:b/>
                <w:color w:val="000000"/>
              </w:rPr>
            </w:pPr>
            <w:r>
              <w:rPr>
                <w:rFonts w:eastAsia="Arial" w:cs="Arial"/>
                <w:color w:val="000000"/>
              </w:rPr>
              <w:t>Medium Risk Sub-contractors</w:t>
            </w:r>
          </w:p>
        </w:tc>
        <w:tc>
          <w:tcPr>
            <w:tcW w:w="1804" w:type="dxa"/>
            <w:shd w:val="clear" w:color="auto" w:fill="D9D9D9"/>
          </w:tcPr>
          <w:p w14:paraId="31F393F2" w14:textId="77777777" w:rsidR="00CD68D5" w:rsidRDefault="00CD68D5" w:rsidP="00CD68D5">
            <w:pPr>
              <w:keepNext/>
              <w:pBdr>
                <w:top w:val="nil"/>
                <w:left w:val="nil"/>
                <w:bottom w:val="nil"/>
                <w:right w:val="nil"/>
                <w:between w:val="nil"/>
              </w:pBdr>
              <w:spacing w:before="120" w:after="120"/>
              <w:rPr>
                <w:rFonts w:eastAsia="Arial" w:cs="Arial"/>
                <w:b/>
                <w:color w:val="000000"/>
              </w:rPr>
            </w:pPr>
            <w:r>
              <w:rPr>
                <w:rFonts w:eastAsia="Arial" w:cs="Arial"/>
                <w:color w:val="000000"/>
              </w:rPr>
              <w:t>Sub-contractors</w:t>
            </w:r>
          </w:p>
        </w:tc>
      </w:tr>
      <w:tr w:rsidR="00CD68D5" w14:paraId="3878EB66" w14:textId="77777777" w:rsidTr="00CD68D5">
        <w:tc>
          <w:tcPr>
            <w:tcW w:w="1803" w:type="dxa"/>
          </w:tcPr>
          <w:p w14:paraId="7B4EDD3C" w14:textId="77777777" w:rsidR="00CD68D5" w:rsidRDefault="00CD68D5" w:rsidP="00CD68D5">
            <w:pPr>
              <w:pBdr>
                <w:top w:val="nil"/>
                <w:left w:val="nil"/>
                <w:bottom w:val="nil"/>
                <w:right w:val="nil"/>
                <w:between w:val="nil"/>
              </w:pBdr>
              <w:spacing w:before="120" w:after="120"/>
              <w:rPr>
                <w:rFonts w:eastAsia="Arial" w:cs="Arial"/>
                <w:b/>
                <w:color w:val="000000"/>
              </w:rPr>
            </w:pPr>
            <w:r>
              <w:rPr>
                <w:rFonts w:eastAsia="Arial" w:cs="Arial"/>
                <w:color w:val="000000"/>
              </w:rPr>
              <w:t>Security Requirements that do not apply</w:t>
            </w:r>
          </w:p>
        </w:tc>
        <w:tc>
          <w:tcPr>
            <w:tcW w:w="1803" w:type="dxa"/>
          </w:tcPr>
          <w:p w14:paraId="1B8A4A26" w14:textId="77777777" w:rsidR="00CD68D5" w:rsidRDefault="00CD68D5" w:rsidP="00CD68D5">
            <w:pPr>
              <w:pBdr>
                <w:top w:val="nil"/>
                <w:left w:val="nil"/>
                <w:bottom w:val="nil"/>
                <w:right w:val="nil"/>
                <w:between w:val="nil"/>
              </w:pBdr>
              <w:spacing w:before="120" w:after="120"/>
              <w:rPr>
                <w:rFonts w:eastAsia="Arial" w:cs="Arial"/>
                <w:b/>
                <w:color w:val="000000"/>
              </w:rPr>
            </w:pPr>
          </w:p>
        </w:tc>
        <w:tc>
          <w:tcPr>
            <w:tcW w:w="1803" w:type="dxa"/>
          </w:tcPr>
          <w:p w14:paraId="234B5751" w14:textId="77777777" w:rsidR="00CD68D5" w:rsidRDefault="00CD68D5" w:rsidP="00CD68D5">
            <w:pPr>
              <w:pBdr>
                <w:top w:val="nil"/>
                <w:left w:val="nil"/>
                <w:bottom w:val="nil"/>
                <w:right w:val="nil"/>
                <w:between w:val="nil"/>
              </w:pBdr>
              <w:spacing w:before="120" w:after="120"/>
              <w:rPr>
                <w:rFonts w:eastAsia="Arial" w:cs="Arial"/>
                <w:b/>
                <w:color w:val="000000"/>
              </w:rPr>
            </w:pPr>
          </w:p>
        </w:tc>
        <w:tc>
          <w:tcPr>
            <w:tcW w:w="1803" w:type="dxa"/>
          </w:tcPr>
          <w:p w14:paraId="1C618B28" w14:textId="77777777" w:rsidR="00CD68D5" w:rsidRDefault="00CD68D5" w:rsidP="00CD68D5">
            <w:pPr>
              <w:pBdr>
                <w:top w:val="nil"/>
                <w:left w:val="nil"/>
                <w:bottom w:val="nil"/>
                <w:right w:val="nil"/>
                <w:between w:val="nil"/>
              </w:pBdr>
              <w:spacing w:before="120" w:after="120"/>
              <w:rPr>
                <w:rFonts w:eastAsia="Arial" w:cs="Arial"/>
                <w:b/>
                <w:color w:val="000000"/>
              </w:rPr>
            </w:pPr>
          </w:p>
        </w:tc>
        <w:tc>
          <w:tcPr>
            <w:tcW w:w="1804" w:type="dxa"/>
          </w:tcPr>
          <w:p w14:paraId="65243101" w14:textId="77777777" w:rsidR="00CD68D5" w:rsidRDefault="00CD68D5" w:rsidP="00CD68D5">
            <w:pPr>
              <w:pBdr>
                <w:top w:val="nil"/>
                <w:left w:val="nil"/>
                <w:bottom w:val="nil"/>
                <w:right w:val="nil"/>
                <w:between w:val="nil"/>
              </w:pBdr>
              <w:spacing w:before="120" w:after="120"/>
              <w:rPr>
                <w:rFonts w:eastAsia="Arial" w:cs="Arial"/>
                <w:b/>
                <w:color w:val="000000"/>
              </w:rPr>
            </w:pPr>
          </w:p>
        </w:tc>
      </w:tr>
      <w:tr w:rsidR="00CD68D5" w14:paraId="2407D092" w14:textId="77777777" w:rsidTr="00CD68D5">
        <w:tc>
          <w:tcPr>
            <w:tcW w:w="1803" w:type="dxa"/>
          </w:tcPr>
          <w:p w14:paraId="11EB8173" w14:textId="77777777" w:rsidR="00CD68D5" w:rsidRDefault="00CD68D5" w:rsidP="00CD68D5">
            <w:pPr>
              <w:pBdr>
                <w:top w:val="nil"/>
                <w:left w:val="nil"/>
                <w:bottom w:val="nil"/>
                <w:right w:val="nil"/>
                <w:between w:val="nil"/>
              </w:pBdr>
              <w:spacing w:before="120" w:after="120"/>
              <w:rPr>
                <w:rFonts w:eastAsia="Arial" w:cs="Arial"/>
                <w:b/>
                <w:color w:val="000000"/>
              </w:rPr>
            </w:pPr>
            <w:r>
              <w:rPr>
                <w:rFonts w:eastAsia="Arial" w:cs="Arial"/>
                <w:color w:val="000000"/>
              </w:rPr>
              <w:t>Development Requirements that do not apply</w:t>
            </w:r>
          </w:p>
        </w:tc>
        <w:tc>
          <w:tcPr>
            <w:tcW w:w="1803" w:type="dxa"/>
          </w:tcPr>
          <w:p w14:paraId="12D1C0A4" w14:textId="77777777" w:rsidR="00CD68D5" w:rsidRDefault="00CD68D5" w:rsidP="00CD68D5">
            <w:pPr>
              <w:pBdr>
                <w:top w:val="nil"/>
                <w:left w:val="nil"/>
                <w:bottom w:val="nil"/>
                <w:right w:val="nil"/>
                <w:between w:val="nil"/>
              </w:pBdr>
              <w:spacing w:before="120" w:after="120"/>
              <w:rPr>
                <w:rFonts w:eastAsia="Arial" w:cs="Arial"/>
                <w:b/>
                <w:color w:val="000000"/>
              </w:rPr>
            </w:pPr>
          </w:p>
        </w:tc>
        <w:tc>
          <w:tcPr>
            <w:tcW w:w="1803" w:type="dxa"/>
          </w:tcPr>
          <w:p w14:paraId="13D81F55" w14:textId="77777777" w:rsidR="00CD68D5" w:rsidRDefault="00CD68D5" w:rsidP="00CD68D5">
            <w:pPr>
              <w:pBdr>
                <w:top w:val="nil"/>
                <w:left w:val="nil"/>
                <w:bottom w:val="nil"/>
                <w:right w:val="nil"/>
                <w:between w:val="nil"/>
              </w:pBdr>
              <w:spacing w:before="120" w:after="120"/>
              <w:rPr>
                <w:rFonts w:eastAsia="Arial" w:cs="Arial"/>
                <w:b/>
                <w:color w:val="000000"/>
              </w:rPr>
            </w:pPr>
          </w:p>
        </w:tc>
        <w:tc>
          <w:tcPr>
            <w:tcW w:w="1803" w:type="dxa"/>
          </w:tcPr>
          <w:p w14:paraId="6536CBDB" w14:textId="77777777" w:rsidR="00CD68D5" w:rsidRDefault="00CD68D5" w:rsidP="00CD68D5">
            <w:pPr>
              <w:pBdr>
                <w:top w:val="nil"/>
                <w:left w:val="nil"/>
                <w:bottom w:val="nil"/>
                <w:right w:val="nil"/>
                <w:between w:val="nil"/>
              </w:pBdr>
              <w:spacing w:before="120" w:after="120"/>
              <w:rPr>
                <w:rFonts w:eastAsia="Arial" w:cs="Arial"/>
                <w:b/>
                <w:color w:val="000000"/>
              </w:rPr>
            </w:pPr>
          </w:p>
        </w:tc>
        <w:tc>
          <w:tcPr>
            <w:tcW w:w="1804" w:type="dxa"/>
          </w:tcPr>
          <w:p w14:paraId="02377172" w14:textId="77777777" w:rsidR="00CD68D5" w:rsidRDefault="00CD68D5" w:rsidP="00CD68D5">
            <w:pPr>
              <w:pBdr>
                <w:top w:val="nil"/>
                <w:left w:val="nil"/>
                <w:bottom w:val="nil"/>
                <w:right w:val="nil"/>
                <w:between w:val="nil"/>
              </w:pBdr>
              <w:spacing w:before="120" w:after="120"/>
              <w:rPr>
                <w:rFonts w:eastAsia="Arial" w:cs="Arial"/>
                <w:b/>
                <w:color w:val="000000"/>
              </w:rPr>
            </w:pPr>
          </w:p>
        </w:tc>
      </w:tr>
    </w:tbl>
    <w:p w14:paraId="5AD946AF" w14:textId="268B767E" w:rsidR="00CD68D5" w:rsidRDefault="00CD68D5" w:rsidP="00CD68D5">
      <w:pPr>
        <w:pBdr>
          <w:top w:val="nil"/>
          <w:left w:val="nil"/>
          <w:bottom w:val="nil"/>
          <w:right w:val="nil"/>
          <w:between w:val="nil"/>
        </w:pBdr>
        <w:rPr>
          <w:color w:val="000000"/>
        </w:rPr>
      </w:pPr>
    </w:p>
    <w:p w14:paraId="4F4D7A38" w14:textId="264B8F0C" w:rsidR="00CD68D5" w:rsidRDefault="00CD68D5" w:rsidP="00CD68D5">
      <w:pPr>
        <w:pBdr>
          <w:top w:val="nil"/>
          <w:left w:val="nil"/>
          <w:bottom w:val="nil"/>
          <w:right w:val="nil"/>
          <w:between w:val="nil"/>
        </w:pBdr>
        <w:rPr>
          <w:color w:val="000000"/>
        </w:rPr>
      </w:pPr>
    </w:p>
    <w:p w14:paraId="3BBB7B3A" w14:textId="0DA4BA81" w:rsidR="00CD68D5" w:rsidRDefault="00CD68D5" w:rsidP="00CD68D5">
      <w:pPr>
        <w:pBdr>
          <w:top w:val="nil"/>
          <w:left w:val="nil"/>
          <w:bottom w:val="nil"/>
          <w:right w:val="nil"/>
          <w:between w:val="nil"/>
        </w:pBdr>
        <w:rPr>
          <w:color w:val="000000"/>
        </w:rPr>
      </w:pPr>
    </w:p>
    <w:p w14:paraId="5BAC43B9" w14:textId="20D77F50" w:rsidR="00CD68D5" w:rsidRDefault="00CD68D5">
      <w:pPr>
        <w:rPr>
          <w:color w:val="000000"/>
        </w:rPr>
      </w:pPr>
      <w:r>
        <w:rPr>
          <w:color w:val="000000"/>
        </w:rPr>
        <w:br w:type="page"/>
      </w:r>
    </w:p>
    <w:p w14:paraId="5CE2F325" w14:textId="52E09A59" w:rsidR="00CD68D5" w:rsidRPr="00147F02" w:rsidRDefault="00CD68D5" w:rsidP="00CD68D5">
      <w:pPr>
        <w:pStyle w:val="Heading2"/>
        <w:pageBreakBefore/>
      </w:pPr>
      <w:bookmarkStart w:id="502" w:name="_Toc145412749"/>
      <w:r>
        <w:lastRenderedPageBreak/>
        <w:t>Appendix 5</w:t>
      </w:r>
      <w:r w:rsidRPr="00147F02">
        <w:t xml:space="preserve">: </w:t>
      </w:r>
      <w:r>
        <w:t>Security Management Plan Template</w:t>
      </w:r>
      <w:bookmarkEnd w:id="502"/>
    </w:p>
    <w:p w14:paraId="0996C34A" w14:textId="77777777" w:rsidR="00CD68D5" w:rsidRDefault="00CD68D5" w:rsidP="00CD68D5">
      <w:pPr>
        <w:rPr>
          <w:rFonts w:eastAsia="Times New Roman" w:cs="Arial"/>
          <w:b/>
          <w:szCs w:val="24"/>
          <w:lang w:eastAsia="en-GB"/>
        </w:rPr>
      </w:pPr>
    </w:p>
    <w:tbl>
      <w:tblPr>
        <w:tblW w:w="8931" w:type="dxa"/>
        <w:tblBorders>
          <w:top w:val="nil"/>
          <w:left w:val="nil"/>
          <w:bottom w:val="nil"/>
          <w:right w:val="nil"/>
          <w:insideH w:val="nil"/>
          <w:insideV w:val="nil"/>
        </w:tblBorders>
        <w:tblLayout w:type="fixed"/>
        <w:tblLook w:val="0400" w:firstRow="0" w:lastRow="0" w:firstColumn="0" w:lastColumn="0" w:noHBand="0" w:noVBand="1"/>
      </w:tblPr>
      <w:tblGrid>
        <w:gridCol w:w="8931"/>
      </w:tblGrid>
      <w:tr w:rsidR="00CD68D5" w14:paraId="23635260" w14:textId="77777777" w:rsidTr="00CD68D5">
        <w:trPr>
          <w:trHeight w:val="4712"/>
        </w:trPr>
        <w:tc>
          <w:tcPr>
            <w:tcW w:w="8931" w:type="dxa"/>
          </w:tcPr>
          <w:p w14:paraId="528D33FE" w14:textId="77777777" w:rsidR="00CD68D5" w:rsidRPr="002F1C8B" w:rsidRDefault="00CD68D5" w:rsidP="00CD68D5">
            <w:pPr>
              <w:pStyle w:val="Subtitle"/>
              <w:rPr>
                <w:i w:val="0"/>
              </w:rPr>
            </w:pPr>
            <w:r w:rsidRPr="002F1C8B">
              <w:rPr>
                <w:i w:val="0"/>
              </w:rPr>
              <w:t>Commercial Information Assurance Team</w:t>
            </w:r>
          </w:p>
          <w:p w14:paraId="0E10711E" w14:textId="77777777" w:rsidR="00CD68D5" w:rsidRDefault="00CD68D5" w:rsidP="00CD68D5">
            <w:pPr>
              <w:pStyle w:val="Title"/>
            </w:pPr>
            <w:bookmarkStart w:id="503" w:name="bookmark=id.l7a3n9" w:colFirst="0" w:colLast="0"/>
            <w:bookmarkEnd w:id="503"/>
            <w:r>
              <w:t>Commercial Information Assurance Team</w:t>
            </w:r>
          </w:p>
          <w:p w14:paraId="27D03735" w14:textId="77777777" w:rsidR="00CD68D5" w:rsidRDefault="00CD68D5" w:rsidP="00CD68D5">
            <w:pPr>
              <w:rPr>
                <w:color w:val="7D7D7D"/>
                <w:sz w:val="32"/>
                <w:szCs w:val="32"/>
              </w:rPr>
            </w:pPr>
            <w:r>
              <w:rPr>
                <w:color w:val="7D7D7D"/>
                <w:sz w:val="32"/>
                <w:szCs w:val="32"/>
              </w:rPr>
              <w:t xml:space="preserve">Security Management Plan Template </w:t>
            </w:r>
          </w:p>
          <w:p w14:paraId="79E2C5A4" w14:textId="77777777" w:rsidR="00CD68D5" w:rsidRDefault="00CD68D5" w:rsidP="00CD68D5">
            <w:pPr>
              <w:rPr>
                <w:color w:val="7D7D7D"/>
                <w:sz w:val="32"/>
                <w:szCs w:val="32"/>
              </w:rPr>
            </w:pPr>
            <w:r>
              <w:rPr>
                <w:color w:val="7D7D7D"/>
                <w:sz w:val="32"/>
                <w:szCs w:val="32"/>
              </w:rPr>
              <w:t>[Project/Service and Supplier Name]</w:t>
            </w:r>
          </w:p>
          <w:p w14:paraId="0BC5192C" w14:textId="77777777" w:rsidR="00CD68D5" w:rsidRDefault="00CD68D5" w:rsidP="00CD68D5">
            <w:pPr>
              <w:tabs>
                <w:tab w:val="left" w:pos="4320"/>
              </w:tabs>
              <w:spacing w:before="360"/>
            </w:pPr>
            <w:bookmarkStart w:id="504" w:name="bookmark=id.356xmb2" w:colFirst="0" w:colLast="0"/>
            <w:bookmarkEnd w:id="504"/>
            <w:r>
              <w:rPr>
                <w:color w:val="7D7D7D"/>
                <w:sz w:val="32"/>
                <w:szCs w:val="32"/>
              </w:rPr>
              <w:t>Dated</w:t>
            </w:r>
            <w:r>
              <w:rPr>
                <w:color w:val="7D7D7D"/>
                <w:sz w:val="32"/>
                <w:szCs w:val="32"/>
              </w:rPr>
              <w:tab/>
            </w:r>
            <w:bookmarkStart w:id="505" w:name="bookmark=id.1kc7wiv" w:colFirst="0" w:colLast="0"/>
            <w:bookmarkEnd w:id="505"/>
            <w:r>
              <w:rPr>
                <w:color w:val="7D7D7D"/>
                <w:sz w:val="32"/>
                <w:szCs w:val="32"/>
              </w:rPr>
              <w:t>2023</w:t>
            </w:r>
          </w:p>
        </w:tc>
      </w:tr>
      <w:tr w:rsidR="00CD68D5" w14:paraId="4766A414" w14:textId="77777777" w:rsidTr="00CD68D5">
        <w:trPr>
          <w:trHeight w:val="989"/>
        </w:trPr>
        <w:tc>
          <w:tcPr>
            <w:tcW w:w="8931" w:type="dxa"/>
          </w:tcPr>
          <w:p w14:paraId="345BF8DA" w14:textId="77777777" w:rsidR="00CD68D5" w:rsidRDefault="00CD68D5" w:rsidP="00CD68D5">
            <w:pPr>
              <w:ind w:left="-108"/>
              <w:rPr>
                <w:color w:val="7D7D7D"/>
              </w:rPr>
            </w:pPr>
          </w:p>
        </w:tc>
      </w:tr>
    </w:tbl>
    <w:p w14:paraId="47B167C9" w14:textId="77777777" w:rsidR="00CD68D5" w:rsidRDefault="00CD68D5" w:rsidP="00CD68D5">
      <w:pPr>
        <w:sectPr w:rsidR="00CD68D5">
          <w:headerReference w:type="default" r:id="rId66"/>
          <w:pgSz w:w="11906" w:h="16838"/>
          <w:pgMar w:top="851" w:right="851" w:bottom="851" w:left="851" w:header="851" w:footer="851" w:gutter="0"/>
          <w:cols w:space="720"/>
        </w:sectPr>
      </w:pPr>
      <w:r>
        <w:rPr>
          <w:rFonts w:ascii="Calibri" w:eastAsia="Calibri" w:hAnsi="Calibri" w:cs="Calibri"/>
          <w:b/>
          <w:noProof/>
          <w:color w:val="000000"/>
          <w:lang w:eastAsia="en-GB"/>
        </w:rPr>
        <w:drawing>
          <wp:inline distT="0" distB="0" distL="0" distR="0" wp14:anchorId="764DC7D5" wp14:editId="20F836E2">
            <wp:extent cx="2202180" cy="792480"/>
            <wp:effectExtent l="0" t="0" r="0" b="0"/>
            <wp:docPr id="26" name="image1.png" descr="https://lh5.googleusercontent.com/UUAtmDa8sU9djT42OydS7NfdzmRlNnXt39TlBsOyz-yvTCNHwaUeK8AK6tUgp9vm7YKCUh5zZ3r37_KoiUKQL3n23pLQ5NwVxKvt4Qkjvhrakbd198lEb5P-RF39L54YVpqPyQsN9kQdjdDd0KFG9w"/>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UUAtmDa8sU9djT42OydS7NfdzmRlNnXt39TlBsOyz-yvTCNHwaUeK8AK6tUgp9vm7YKCUh5zZ3r37_KoiUKQL3n23pLQ5NwVxKvt4Qkjvhrakbd198lEb5P-RF39L54YVpqPyQsN9kQdjdDd0KFG9w"/>
                    <pic:cNvPicPr preferRelativeResize="0"/>
                  </pic:nvPicPr>
                  <pic:blipFill>
                    <a:blip r:embed="rId67"/>
                    <a:srcRect/>
                    <a:stretch>
                      <a:fillRect/>
                    </a:stretch>
                  </pic:blipFill>
                  <pic:spPr>
                    <a:xfrm>
                      <a:off x="0" y="0"/>
                      <a:ext cx="2202180" cy="792480"/>
                    </a:xfrm>
                    <a:prstGeom prst="rect">
                      <a:avLst/>
                    </a:prstGeom>
                    <a:ln/>
                  </pic:spPr>
                </pic:pic>
              </a:graphicData>
            </a:graphic>
          </wp:inline>
        </w:drawing>
      </w:r>
    </w:p>
    <w:p w14:paraId="3A1AE733"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lastRenderedPageBreak/>
        <w:t>Contents</w:t>
      </w:r>
    </w:p>
    <w:p w14:paraId="352474AE"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1</w:t>
      </w:r>
      <w:r w:rsidRPr="00CD68D5">
        <w:rPr>
          <w:rFonts w:ascii="Cambria" w:eastAsia="Cambria" w:hAnsi="Cambria" w:cs="Cambria"/>
          <w:color w:val="000000"/>
          <w:sz w:val="44"/>
          <w:szCs w:val="44"/>
        </w:rPr>
        <w:tab/>
        <w:t>Executive summary</w:t>
      </w:r>
    </w:p>
    <w:p w14:paraId="529D194B"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2</w:t>
      </w:r>
      <w:r w:rsidRPr="00CD68D5">
        <w:rPr>
          <w:rFonts w:ascii="Cambria" w:eastAsia="Cambria" w:hAnsi="Cambria" w:cs="Cambria"/>
          <w:color w:val="000000"/>
          <w:sz w:val="44"/>
          <w:szCs w:val="44"/>
        </w:rPr>
        <w:tab/>
        <w:t>System description</w:t>
      </w:r>
    </w:p>
    <w:p w14:paraId="6FE0232B"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3</w:t>
      </w:r>
      <w:r w:rsidRPr="00CD68D5">
        <w:rPr>
          <w:rFonts w:ascii="Cambria" w:eastAsia="Cambria" w:hAnsi="Cambria" w:cs="Cambria"/>
          <w:color w:val="000000"/>
          <w:sz w:val="44"/>
          <w:szCs w:val="44"/>
        </w:rPr>
        <w:tab/>
        <w:t>Risk assessment</w:t>
      </w:r>
    </w:p>
    <w:p w14:paraId="04B2090F"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4</w:t>
      </w:r>
      <w:r w:rsidRPr="00CD68D5">
        <w:rPr>
          <w:rFonts w:ascii="Cambria" w:eastAsia="Cambria" w:hAnsi="Cambria" w:cs="Cambria"/>
          <w:color w:val="000000"/>
          <w:sz w:val="44"/>
          <w:szCs w:val="44"/>
        </w:rPr>
        <w:tab/>
        <w:t>In-service controls</w:t>
      </w:r>
    </w:p>
    <w:p w14:paraId="3D122F3C"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5</w:t>
      </w:r>
      <w:r w:rsidRPr="00CD68D5">
        <w:rPr>
          <w:rFonts w:ascii="Cambria" w:eastAsia="Cambria" w:hAnsi="Cambria" w:cs="Cambria"/>
          <w:color w:val="000000"/>
          <w:sz w:val="44"/>
          <w:szCs w:val="44"/>
        </w:rPr>
        <w:tab/>
        <w:t>Security requirements on participating departments, customers and users</w:t>
      </w:r>
    </w:p>
    <w:p w14:paraId="7DAADFC5"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6</w:t>
      </w:r>
      <w:r w:rsidRPr="00CD68D5">
        <w:rPr>
          <w:rFonts w:ascii="Cambria" w:eastAsia="Cambria" w:hAnsi="Cambria" w:cs="Cambria"/>
          <w:color w:val="000000"/>
          <w:sz w:val="44"/>
          <w:szCs w:val="44"/>
        </w:rPr>
        <w:tab/>
        <w:t>Personnel security</w:t>
      </w:r>
    </w:p>
    <w:p w14:paraId="1F5773A4"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7</w:t>
      </w:r>
      <w:r w:rsidRPr="00CD68D5">
        <w:rPr>
          <w:rFonts w:ascii="Cambria" w:eastAsia="Cambria" w:hAnsi="Cambria" w:cs="Cambria"/>
          <w:color w:val="000000"/>
          <w:sz w:val="44"/>
          <w:szCs w:val="44"/>
        </w:rPr>
        <w:tab/>
        <w:t>Business continuity</w:t>
      </w:r>
    </w:p>
    <w:p w14:paraId="78FC23C8"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8</w:t>
      </w:r>
      <w:r w:rsidRPr="00CD68D5">
        <w:rPr>
          <w:rFonts w:ascii="Cambria" w:eastAsia="Cambria" w:hAnsi="Cambria" w:cs="Cambria"/>
          <w:color w:val="000000"/>
          <w:sz w:val="44"/>
          <w:szCs w:val="44"/>
        </w:rPr>
        <w:tab/>
        <w:t>Physical security</w:t>
      </w:r>
    </w:p>
    <w:p w14:paraId="7BF59B40"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9</w:t>
      </w:r>
      <w:r w:rsidRPr="00CD68D5">
        <w:rPr>
          <w:rFonts w:ascii="Cambria" w:eastAsia="Cambria" w:hAnsi="Cambria" w:cs="Cambria"/>
          <w:color w:val="000000"/>
          <w:sz w:val="44"/>
          <w:szCs w:val="44"/>
        </w:rPr>
        <w:tab/>
        <w:t>Major hardware and software and end of support dates</w:t>
      </w:r>
    </w:p>
    <w:p w14:paraId="1851E029"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10</w:t>
      </w:r>
      <w:r w:rsidRPr="00CD68D5">
        <w:rPr>
          <w:rFonts w:ascii="Cambria" w:eastAsia="Cambria" w:hAnsi="Cambria" w:cs="Cambria"/>
          <w:color w:val="000000"/>
          <w:sz w:val="44"/>
          <w:szCs w:val="44"/>
        </w:rPr>
        <w:tab/>
        <w:t>Incident management process11Required changes register</w:t>
      </w:r>
    </w:p>
    <w:p w14:paraId="18114CC1"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p>
    <w:p w14:paraId="6ABA4301"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APPENDICES</w:t>
      </w:r>
    </w:p>
    <w:p w14:paraId="06A974BA"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APPENDIX 1 ISO27001 AND/OR CYBER ESSENTIAL PLUS CERTIFICATES</w:t>
      </w:r>
    </w:p>
    <w:p w14:paraId="2DEFC49C"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APPENDIX 2 CLOUD SECURITY PRINCIPLES ASSESSMENT</w:t>
      </w:r>
    </w:p>
    <w:p w14:paraId="6256619F"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APPENDIX 3 PROTECTING BULK DATA ASSESSMENT IF REQUIRED BY THE AUTHORITY/CUSTOMER</w:t>
      </w:r>
    </w:p>
    <w:p w14:paraId="26EBFF82" w14:textId="77777777" w:rsidR="00CD68D5" w:rsidRP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APPENDIX 4 LATEST ITHC REPORT AND VULNERABILITY CORRECTION PLAN</w:t>
      </w:r>
    </w:p>
    <w:p w14:paraId="7BE75FA9" w14:textId="573E9912" w:rsidR="00CD68D5" w:rsidRDefault="00CD68D5" w:rsidP="00CD68D5">
      <w:pPr>
        <w:keepNext/>
        <w:pBdr>
          <w:top w:val="nil"/>
          <w:left w:val="nil"/>
          <w:bottom w:val="nil"/>
          <w:right w:val="nil"/>
          <w:between w:val="nil"/>
        </w:pBdr>
        <w:rPr>
          <w:rFonts w:ascii="Cambria" w:eastAsia="Cambria" w:hAnsi="Cambria" w:cs="Cambria"/>
          <w:color w:val="000000"/>
          <w:sz w:val="44"/>
          <w:szCs w:val="44"/>
        </w:rPr>
      </w:pPr>
      <w:r w:rsidRPr="00CD68D5">
        <w:rPr>
          <w:rFonts w:ascii="Cambria" w:eastAsia="Cambria" w:hAnsi="Cambria" w:cs="Cambria"/>
          <w:color w:val="000000"/>
          <w:sz w:val="44"/>
          <w:szCs w:val="44"/>
        </w:rPr>
        <w:t>APPENDIX 5 STATEMENT OF APPLICABILITY</w:t>
      </w:r>
    </w:p>
    <w:p w14:paraId="1783207B" w14:textId="77777777" w:rsidR="00CD68D5" w:rsidRDefault="00CD68D5">
      <w:pPr>
        <w:rPr>
          <w:rFonts w:ascii="Cambria" w:eastAsia="Cambria" w:hAnsi="Cambria" w:cs="Cambria"/>
          <w:color w:val="000000"/>
          <w:sz w:val="44"/>
          <w:szCs w:val="44"/>
        </w:rPr>
      </w:pPr>
      <w:r>
        <w:rPr>
          <w:rFonts w:ascii="Cambria" w:eastAsia="Cambria" w:hAnsi="Cambria" w:cs="Cambria"/>
          <w:color w:val="000000"/>
          <w:sz w:val="44"/>
          <w:szCs w:val="44"/>
        </w:rPr>
        <w:lastRenderedPageBreak/>
        <w:br w:type="page"/>
      </w:r>
    </w:p>
    <w:p w14:paraId="77B0E39A" w14:textId="77777777" w:rsidR="00CD68D5" w:rsidRDefault="00CD68D5" w:rsidP="00E1349E">
      <w:pPr>
        <w:keepNext/>
        <w:numPr>
          <w:ilvl w:val="0"/>
          <w:numId w:val="194"/>
        </w:numPr>
        <w:pBdr>
          <w:top w:val="nil"/>
          <w:left w:val="nil"/>
          <w:bottom w:val="nil"/>
          <w:right w:val="nil"/>
          <w:between w:val="nil"/>
        </w:pBdr>
        <w:spacing w:before="360" w:after="200"/>
      </w:pPr>
      <w:bookmarkStart w:id="506" w:name="_Ref144385843"/>
      <w:r w:rsidRPr="002F1C8B">
        <w:rPr>
          <w:rStyle w:val="Level1asHeadingtext"/>
        </w:rPr>
        <w:lastRenderedPageBreak/>
        <w:t>Executive</w:t>
      </w:r>
      <w:r>
        <w:rPr>
          <w:b/>
          <w:color w:val="000000"/>
          <w:szCs w:val="24"/>
        </w:rPr>
        <w:t xml:space="preserve"> summary</w:t>
      </w:r>
      <w:bookmarkEnd w:id="506"/>
    </w:p>
    <w:p w14:paraId="581892DD" w14:textId="77777777" w:rsidR="00CD68D5" w:rsidRDefault="00CD68D5" w:rsidP="00E1349E">
      <w:pPr>
        <w:keepNext/>
        <w:numPr>
          <w:ilvl w:val="0"/>
          <w:numId w:val="199"/>
        </w:numPr>
        <w:pBdr>
          <w:top w:val="nil"/>
          <w:left w:val="nil"/>
          <w:bottom w:val="nil"/>
          <w:right w:val="nil"/>
          <w:between w:val="nil"/>
        </w:pBdr>
        <w:spacing w:before="100" w:after="200"/>
      </w:pPr>
      <w:r>
        <w:rPr>
          <w:color w:val="000000"/>
        </w:rPr>
        <w:t>[</w:t>
      </w:r>
      <w:r>
        <w:rPr>
          <w:i/>
          <w:color w:val="000000"/>
        </w:rPr>
        <w:t>This section should contain a brief summary of the business context of the system, the assurance work done, any off-shoring considerations and any significant residual risks that need acceptance</w:t>
      </w:r>
      <w:r>
        <w:rPr>
          <w:color w:val="000000"/>
        </w:rPr>
        <w:t>.]</w:t>
      </w:r>
    </w:p>
    <w:p w14:paraId="41C7154E" w14:textId="77777777" w:rsidR="00CD68D5" w:rsidRDefault="00CD68D5" w:rsidP="00E1349E">
      <w:pPr>
        <w:numPr>
          <w:ilvl w:val="1"/>
          <w:numId w:val="194"/>
        </w:numPr>
        <w:pBdr>
          <w:top w:val="nil"/>
          <w:left w:val="nil"/>
          <w:bottom w:val="nil"/>
          <w:right w:val="nil"/>
          <w:between w:val="nil"/>
        </w:pBdr>
        <w:spacing w:before="100" w:after="200"/>
        <w:rPr>
          <w:b/>
          <w:color w:val="000000"/>
        </w:rPr>
      </w:pPr>
      <w:r w:rsidRPr="00B23EF3">
        <w:rPr>
          <w:rStyle w:val="Level2asHeadingtext"/>
        </w:rPr>
        <w:t>Change</w:t>
      </w:r>
      <w:r>
        <w:rPr>
          <w:b/>
          <w:color w:val="000000"/>
        </w:rPr>
        <w:t xml:space="preserve"> history</w:t>
      </w:r>
    </w:p>
    <w:tbl>
      <w:tblPr>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1620"/>
        <w:gridCol w:w="1275"/>
        <w:gridCol w:w="4323"/>
      </w:tblGrid>
      <w:tr w:rsidR="00CD68D5" w14:paraId="602B54AD" w14:textId="77777777" w:rsidTr="00CD68D5">
        <w:tc>
          <w:tcPr>
            <w:tcW w:w="1062" w:type="dxa"/>
            <w:shd w:val="clear" w:color="auto" w:fill="D9D9D9"/>
          </w:tcPr>
          <w:p w14:paraId="0D893631" w14:textId="77777777" w:rsidR="00CD68D5" w:rsidRDefault="00CD68D5" w:rsidP="00CD68D5">
            <w:pPr>
              <w:pBdr>
                <w:top w:val="nil"/>
                <w:left w:val="nil"/>
                <w:bottom w:val="nil"/>
                <w:right w:val="nil"/>
                <w:between w:val="nil"/>
              </w:pBdr>
              <w:spacing w:before="120" w:after="120"/>
            </w:pPr>
            <w:r>
              <w:t>Version Number</w:t>
            </w:r>
          </w:p>
        </w:tc>
        <w:tc>
          <w:tcPr>
            <w:tcW w:w="1620" w:type="dxa"/>
            <w:shd w:val="clear" w:color="auto" w:fill="D9D9D9"/>
          </w:tcPr>
          <w:p w14:paraId="63F0BC02" w14:textId="77777777" w:rsidR="00CD68D5" w:rsidRDefault="00CD68D5" w:rsidP="00CD68D5">
            <w:pPr>
              <w:pBdr>
                <w:top w:val="nil"/>
                <w:left w:val="nil"/>
                <w:bottom w:val="nil"/>
                <w:right w:val="nil"/>
                <w:between w:val="nil"/>
              </w:pBdr>
              <w:spacing w:before="120" w:after="120"/>
            </w:pPr>
            <w:r>
              <w:t>Date of Change</w:t>
            </w:r>
          </w:p>
        </w:tc>
        <w:tc>
          <w:tcPr>
            <w:tcW w:w="1275" w:type="dxa"/>
            <w:shd w:val="clear" w:color="auto" w:fill="D9D9D9"/>
          </w:tcPr>
          <w:p w14:paraId="25697A23" w14:textId="77777777" w:rsidR="00CD68D5" w:rsidRDefault="00CD68D5" w:rsidP="00CD68D5">
            <w:pPr>
              <w:pBdr>
                <w:top w:val="nil"/>
                <w:left w:val="nil"/>
                <w:bottom w:val="nil"/>
                <w:right w:val="nil"/>
                <w:between w:val="nil"/>
              </w:pBdr>
              <w:spacing w:before="120" w:after="120"/>
            </w:pPr>
            <w:r>
              <w:t>Change made by</w:t>
            </w:r>
          </w:p>
        </w:tc>
        <w:tc>
          <w:tcPr>
            <w:tcW w:w="4323" w:type="dxa"/>
            <w:shd w:val="clear" w:color="auto" w:fill="D9D9D9"/>
          </w:tcPr>
          <w:p w14:paraId="5A7F4949" w14:textId="77777777" w:rsidR="00CD68D5" w:rsidRDefault="00CD68D5" w:rsidP="00CD68D5">
            <w:pPr>
              <w:pBdr>
                <w:top w:val="nil"/>
                <w:left w:val="nil"/>
                <w:bottom w:val="nil"/>
                <w:right w:val="nil"/>
                <w:between w:val="nil"/>
              </w:pBdr>
              <w:spacing w:before="120" w:after="120"/>
            </w:pPr>
            <w:r>
              <w:t>Nature and reason for change</w:t>
            </w:r>
          </w:p>
        </w:tc>
      </w:tr>
      <w:tr w:rsidR="00CD68D5" w14:paraId="14A08B89" w14:textId="77777777" w:rsidTr="00CD68D5">
        <w:tc>
          <w:tcPr>
            <w:tcW w:w="1062" w:type="dxa"/>
          </w:tcPr>
          <w:p w14:paraId="795C64E9" w14:textId="77777777" w:rsidR="00CD68D5" w:rsidRDefault="00CD68D5" w:rsidP="00CD68D5">
            <w:pPr>
              <w:pBdr>
                <w:top w:val="nil"/>
                <w:left w:val="nil"/>
                <w:bottom w:val="nil"/>
                <w:right w:val="nil"/>
                <w:between w:val="nil"/>
              </w:pBdr>
              <w:spacing w:before="120" w:after="120"/>
            </w:pPr>
          </w:p>
        </w:tc>
        <w:tc>
          <w:tcPr>
            <w:tcW w:w="1620" w:type="dxa"/>
          </w:tcPr>
          <w:p w14:paraId="68982658" w14:textId="77777777" w:rsidR="00CD68D5" w:rsidRDefault="00CD68D5" w:rsidP="00CD68D5">
            <w:pPr>
              <w:pBdr>
                <w:top w:val="nil"/>
                <w:left w:val="nil"/>
                <w:bottom w:val="nil"/>
                <w:right w:val="nil"/>
                <w:between w:val="nil"/>
              </w:pBdr>
              <w:spacing w:before="120" w:after="120"/>
            </w:pPr>
          </w:p>
        </w:tc>
        <w:tc>
          <w:tcPr>
            <w:tcW w:w="1275" w:type="dxa"/>
          </w:tcPr>
          <w:p w14:paraId="3003E6CB" w14:textId="77777777" w:rsidR="00CD68D5" w:rsidRDefault="00CD68D5" w:rsidP="00CD68D5">
            <w:pPr>
              <w:pBdr>
                <w:top w:val="nil"/>
                <w:left w:val="nil"/>
                <w:bottom w:val="nil"/>
                <w:right w:val="nil"/>
                <w:between w:val="nil"/>
              </w:pBdr>
              <w:spacing w:before="120" w:after="120"/>
            </w:pPr>
          </w:p>
        </w:tc>
        <w:tc>
          <w:tcPr>
            <w:tcW w:w="4323" w:type="dxa"/>
          </w:tcPr>
          <w:p w14:paraId="20B9D802" w14:textId="77777777" w:rsidR="00CD68D5" w:rsidRDefault="00CD68D5" w:rsidP="00CD68D5">
            <w:pPr>
              <w:pBdr>
                <w:top w:val="nil"/>
                <w:left w:val="nil"/>
                <w:bottom w:val="nil"/>
                <w:right w:val="nil"/>
                <w:between w:val="nil"/>
              </w:pBdr>
              <w:spacing w:before="120" w:after="120"/>
            </w:pPr>
          </w:p>
        </w:tc>
      </w:tr>
      <w:tr w:rsidR="00CD68D5" w14:paraId="1ADF450D" w14:textId="77777777" w:rsidTr="00CD68D5">
        <w:tc>
          <w:tcPr>
            <w:tcW w:w="1062" w:type="dxa"/>
          </w:tcPr>
          <w:p w14:paraId="6E15D332" w14:textId="77777777" w:rsidR="00CD68D5" w:rsidRDefault="00CD68D5" w:rsidP="00CD68D5">
            <w:pPr>
              <w:pBdr>
                <w:top w:val="nil"/>
                <w:left w:val="nil"/>
                <w:bottom w:val="nil"/>
                <w:right w:val="nil"/>
                <w:between w:val="nil"/>
              </w:pBdr>
              <w:spacing w:before="120" w:after="120"/>
            </w:pPr>
          </w:p>
        </w:tc>
        <w:tc>
          <w:tcPr>
            <w:tcW w:w="1620" w:type="dxa"/>
          </w:tcPr>
          <w:p w14:paraId="5654097E" w14:textId="77777777" w:rsidR="00CD68D5" w:rsidRDefault="00CD68D5" w:rsidP="00CD68D5">
            <w:pPr>
              <w:pBdr>
                <w:top w:val="nil"/>
                <w:left w:val="nil"/>
                <w:bottom w:val="nil"/>
                <w:right w:val="nil"/>
                <w:between w:val="nil"/>
              </w:pBdr>
              <w:spacing w:before="120" w:after="120"/>
            </w:pPr>
          </w:p>
        </w:tc>
        <w:tc>
          <w:tcPr>
            <w:tcW w:w="1275" w:type="dxa"/>
          </w:tcPr>
          <w:p w14:paraId="70FD0900" w14:textId="77777777" w:rsidR="00CD68D5" w:rsidRDefault="00CD68D5" w:rsidP="00CD68D5">
            <w:pPr>
              <w:pBdr>
                <w:top w:val="nil"/>
                <w:left w:val="nil"/>
                <w:bottom w:val="nil"/>
                <w:right w:val="nil"/>
                <w:between w:val="nil"/>
              </w:pBdr>
              <w:spacing w:before="120" w:after="120"/>
            </w:pPr>
          </w:p>
        </w:tc>
        <w:tc>
          <w:tcPr>
            <w:tcW w:w="4323" w:type="dxa"/>
          </w:tcPr>
          <w:p w14:paraId="364F4A39" w14:textId="77777777" w:rsidR="00CD68D5" w:rsidRDefault="00CD68D5" w:rsidP="00CD68D5">
            <w:pPr>
              <w:pBdr>
                <w:top w:val="nil"/>
                <w:left w:val="nil"/>
                <w:bottom w:val="nil"/>
                <w:right w:val="nil"/>
                <w:between w:val="nil"/>
              </w:pBdr>
              <w:spacing w:before="120" w:after="120"/>
            </w:pPr>
          </w:p>
        </w:tc>
      </w:tr>
      <w:tr w:rsidR="00CD68D5" w14:paraId="107BF6C6" w14:textId="77777777" w:rsidTr="00CD68D5">
        <w:tc>
          <w:tcPr>
            <w:tcW w:w="1062" w:type="dxa"/>
          </w:tcPr>
          <w:p w14:paraId="0268BD1F" w14:textId="77777777" w:rsidR="00CD68D5" w:rsidRDefault="00CD68D5" w:rsidP="00CD68D5">
            <w:pPr>
              <w:pBdr>
                <w:top w:val="nil"/>
                <w:left w:val="nil"/>
                <w:bottom w:val="nil"/>
                <w:right w:val="nil"/>
                <w:between w:val="nil"/>
              </w:pBdr>
              <w:spacing w:before="120" w:after="120"/>
            </w:pPr>
          </w:p>
        </w:tc>
        <w:tc>
          <w:tcPr>
            <w:tcW w:w="1620" w:type="dxa"/>
          </w:tcPr>
          <w:p w14:paraId="072C06FC" w14:textId="77777777" w:rsidR="00CD68D5" w:rsidRDefault="00CD68D5" w:rsidP="00CD68D5">
            <w:pPr>
              <w:pBdr>
                <w:top w:val="nil"/>
                <w:left w:val="nil"/>
                <w:bottom w:val="nil"/>
                <w:right w:val="nil"/>
                <w:between w:val="nil"/>
              </w:pBdr>
              <w:spacing w:before="120" w:after="120"/>
            </w:pPr>
          </w:p>
        </w:tc>
        <w:tc>
          <w:tcPr>
            <w:tcW w:w="1275" w:type="dxa"/>
          </w:tcPr>
          <w:p w14:paraId="3F14B848" w14:textId="77777777" w:rsidR="00CD68D5" w:rsidRDefault="00CD68D5" w:rsidP="00CD68D5">
            <w:pPr>
              <w:pBdr>
                <w:top w:val="nil"/>
                <w:left w:val="nil"/>
                <w:bottom w:val="nil"/>
                <w:right w:val="nil"/>
                <w:between w:val="nil"/>
              </w:pBdr>
              <w:spacing w:before="120" w:after="120"/>
            </w:pPr>
          </w:p>
        </w:tc>
        <w:tc>
          <w:tcPr>
            <w:tcW w:w="4323" w:type="dxa"/>
          </w:tcPr>
          <w:p w14:paraId="18EE7E9C" w14:textId="77777777" w:rsidR="00CD68D5" w:rsidRDefault="00CD68D5" w:rsidP="00CD68D5">
            <w:pPr>
              <w:pBdr>
                <w:top w:val="nil"/>
                <w:left w:val="nil"/>
                <w:bottom w:val="nil"/>
                <w:right w:val="nil"/>
                <w:between w:val="nil"/>
              </w:pBdr>
              <w:spacing w:before="120" w:after="120"/>
            </w:pPr>
          </w:p>
        </w:tc>
      </w:tr>
    </w:tbl>
    <w:p w14:paraId="7EB6C412" w14:textId="77777777" w:rsidR="00CD68D5" w:rsidRDefault="00CD68D5" w:rsidP="00CD68D5">
      <w:pPr>
        <w:pBdr>
          <w:top w:val="nil"/>
          <w:left w:val="nil"/>
          <w:bottom w:val="nil"/>
          <w:right w:val="nil"/>
          <w:between w:val="nil"/>
        </w:pBdr>
        <w:rPr>
          <w:color w:val="000000"/>
        </w:rPr>
      </w:pPr>
    </w:p>
    <w:p w14:paraId="448CE4F1" w14:textId="77777777" w:rsidR="00CD68D5" w:rsidRDefault="00CD68D5" w:rsidP="00E1349E">
      <w:pPr>
        <w:numPr>
          <w:ilvl w:val="1"/>
          <w:numId w:val="194"/>
        </w:numPr>
        <w:pBdr>
          <w:top w:val="nil"/>
          <w:left w:val="nil"/>
          <w:bottom w:val="nil"/>
          <w:right w:val="nil"/>
          <w:between w:val="nil"/>
        </w:pBdr>
        <w:spacing w:before="100" w:after="200"/>
        <w:rPr>
          <w:b/>
          <w:color w:val="000000"/>
        </w:rPr>
      </w:pPr>
      <w:r w:rsidRPr="00B23EF3">
        <w:rPr>
          <w:rStyle w:val="Level2asHeadingtext"/>
        </w:rPr>
        <w:t>References</w:t>
      </w:r>
      <w:r>
        <w:rPr>
          <w:b/>
          <w:color w:val="000000"/>
        </w:rPr>
        <w:t>, links and dependencies</w:t>
      </w:r>
    </w:p>
    <w:tbl>
      <w:tblPr>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240"/>
        <w:gridCol w:w="2610"/>
        <w:gridCol w:w="1620"/>
      </w:tblGrid>
      <w:tr w:rsidR="00CD68D5" w14:paraId="79FC8072" w14:textId="77777777" w:rsidTr="00CD68D5">
        <w:trPr>
          <w:cantSplit/>
          <w:tblHeader/>
        </w:trPr>
        <w:tc>
          <w:tcPr>
            <w:tcW w:w="810" w:type="dxa"/>
            <w:shd w:val="clear" w:color="auto" w:fill="D9D9D9"/>
          </w:tcPr>
          <w:p w14:paraId="6C37DBDF" w14:textId="77777777" w:rsidR="00CD68D5" w:rsidRDefault="00CD68D5" w:rsidP="00CD68D5">
            <w:pPr>
              <w:pBdr>
                <w:top w:val="nil"/>
                <w:left w:val="nil"/>
                <w:bottom w:val="nil"/>
                <w:right w:val="nil"/>
                <w:between w:val="nil"/>
              </w:pBdr>
              <w:spacing w:before="120" w:after="120"/>
            </w:pPr>
            <w:r>
              <w:t>ID</w:t>
            </w:r>
          </w:p>
        </w:tc>
        <w:tc>
          <w:tcPr>
            <w:tcW w:w="3240" w:type="dxa"/>
            <w:shd w:val="clear" w:color="auto" w:fill="D9D9D9"/>
          </w:tcPr>
          <w:p w14:paraId="35FAF08D" w14:textId="77777777" w:rsidR="00CD68D5" w:rsidRDefault="00CD68D5" w:rsidP="00CD68D5">
            <w:pPr>
              <w:pBdr>
                <w:top w:val="nil"/>
                <w:left w:val="nil"/>
                <w:bottom w:val="nil"/>
                <w:right w:val="nil"/>
                <w:between w:val="nil"/>
              </w:pBdr>
              <w:spacing w:before="120" w:after="120"/>
            </w:pPr>
            <w:r>
              <w:t>Document Title</w:t>
            </w:r>
          </w:p>
        </w:tc>
        <w:tc>
          <w:tcPr>
            <w:tcW w:w="2610" w:type="dxa"/>
            <w:shd w:val="clear" w:color="auto" w:fill="D9D9D9"/>
          </w:tcPr>
          <w:p w14:paraId="76EB127B" w14:textId="77777777" w:rsidR="00CD68D5" w:rsidRDefault="00CD68D5" w:rsidP="00CD68D5">
            <w:pPr>
              <w:pBdr>
                <w:top w:val="nil"/>
                <w:left w:val="nil"/>
                <w:bottom w:val="nil"/>
                <w:right w:val="nil"/>
                <w:between w:val="nil"/>
              </w:pBdr>
              <w:spacing w:before="120" w:after="120"/>
            </w:pPr>
            <w:r>
              <w:t>Reference</w:t>
            </w:r>
          </w:p>
        </w:tc>
        <w:tc>
          <w:tcPr>
            <w:tcW w:w="1620" w:type="dxa"/>
            <w:shd w:val="clear" w:color="auto" w:fill="D9D9D9"/>
          </w:tcPr>
          <w:p w14:paraId="333100E8" w14:textId="77777777" w:rsidR="00CD68D5" w:rsidRDefault="00CD68D5" w:rsidP="00CD68D5">
            <w:pPr>
              <w:pBdr>
                <w:top w:val="nil"/>
                <w:left w:val="nil"/>
                <w:bottom w:val="nil"/>
                <w:right w:val="nil"/>
                <w:between w:val="nil"/>
              </w:pBdr>
              <w:spacing w:before="120" w:after="120"/>
            </w:pPr>
            <w:r>
              <w:t>Date</w:t>
            </w:r>
          </w:p>
        </w:tc>
      </w:tr>
      <w:tr w:rsidR="00CD68D5" w14:paraId="30D43D29" w14:textId="77777777" w:rsidTr="00CD68D5">
        <w:tc>
          <w:tcPr>
            <w:tcW w:w="810" w:type="dxa"/>
          </w:tcPr>
          <w:p w14:paraId="66D89025" w14:textId="77777777" w:rsidR="00CD68D5" w:rsidRDefault="00CD68D5" w:rsidP="00CD68D5">
            <w:pPr>
              <w:pBdr>
                <w:top w:val="nil"/>
                <w:left w:val="nil"/>
                <w:bottom w:val="nil"/>
                <w:right w:val="nil"/>
                <w:between w:val="nil"/>
              </w:pBdr>
              <w:spacing w:before="120" w:after="120"/>
            </w:pPr>
            <w:bookmarkStart w:id="507" w:name="_heading=h.2wwbldi" w:colFirst="0" w:colLast="0"/>
            <w:bookmarkEnd w:id="507"/>
          </w:p>
        </w:tc>
        <w:tc>
          <w:tcPr>
            <w:tcW w:w="3240" w:type="dxa"/>
          </w:tcPr>
          <w:p w14:paraId="1D1EC9AA" w14:textId="77777777" w:rsidR="00CD68D5" w:rsidRDefault="00CD68D5" w:rsidP="00CD68D5">
            <w:pPr>
              <w:pBdr>
                <w:top w:val="nil"/>
                <w:left w:val="nil"/>
                <w:bottom w:val="nil"/>
                <w:right w:val="nil"/>
                <w:between w:val="nil"/>
              </w:pBdr>
              <w:spacing w:before="120" w:after="120"/>
            </w:pPr>
          </w:p>
        </w:tc>
        <w:tc>
          <w:tcPr>
            <w:tcW w:w="2610" w:type="dxa"/>
          </w:tcPr>
          <w:p w14:paraId="412B39A7" w14:textId="77777777" w:rsidR="00CD68D5" w:rsidRDefault="00CD68D5" w:rsidP="00CD68D5">
            <w:pPr>
              <w:pBdr>
                <w:top w:val="nil"/>
                <w:left w:val="nil"/>
                <w:bottom w:val="nil"/>
                <w:right w:val="nil"/>
                <w:between w:val="nil"/>
              </w:pBdr>
              <w:spacing w:before="120" w:after="120"/>
            </w:pPr>
          </w:p>
        </w:tc>
        <w:tc>
          <w:tcPr>
            <w:tcW w:w="1620" w:type="dxa"/>
          </w:tcPr>
          <w:p w14:paraId="324F8CAB" w14:textId="77777777" w:rsidR="00CD68D5" w:rsidRDefault="00CD68D5" w:rsidP="00CD68D5">
            <w:pPr>
              <w:pBdr>
                <w:top w:val="nil"/>
                <w:left w:val="nil"/>
                <w:bottom w:val="nil"/>
                <w:right w:val="nil"/>
                <w:between w:val="nil"/>
              </w:pBdr>
              <w:spacing w:before="120" w:after="120"/>
            </w:pPr>
          </w:p>
        </w:tc>
      </w:tr>
      <w:tr w:rsidR="00CD68D5" w14:paraId="480BAFB7" w14:textId="77777777" w:rsidTr="00CD68D5">
        <w:tc>
          <w:tcPr>
            <w:tcW w:w="810" w:type="dxa"/>
          </w:tcPr>
          <w:p w14:paraId="593B1AD8" w14:textId="77777777" w:rsidR="00CD68D5" w:rsidRDefault="00CD68D5" w:rsidP="00CD68D5">
            <w:pPr>
              <w:pBdr>
                <w:top w:val="nil"/>
                <w:left w:val="nil"/>
                <w:bottom w:val="nil"/>
                <w:right w:val="nil"/>
                <w:between w:val="nil"/>
              </w:pBdr>
              <w:spacing w:before="120" w:after="120"/>
            </w:pPr>
            <w:bookmarkStart w:id="508" w:name="_heading=h.1c1lvlb" w:colFirst="0" w:colLast="0"/>
            <w:bookmarkEnd w:id="508"/>
          </w:p>
        </w:tc>
        <w:tc>
          <w:tcPr>
            <w:tcW w:w="3240" w:type="dxa"/>
          </w:tcPr>
          <w:p w14:paraId="4B81BF36" w14:textId="77777777" w:rsidR="00CD68D5" w:rsidRDefault="00CD68D5" w:rsidP="00CD68D5">
            <w:pPr>
              <w:pBdr>
                <w:top w:val="nil"/>
                <w:left w:val="nil"/>
                <w:bottom w:val="nil"/>
                <w:right w:val="nil"/>
                <w:between w:val="nil"/>
              </w:pBdr>
              <w:spacing w:before="120" w:after="120"/>
            </w:pPr>
          </w:p>
        </w:tc>
        <w:tc>
          <w:tcPr>
            <w:tcW w:w="2610" w:type="dxa"/>
          </w:tcPr>
          <w:p w14:paraId="4B91664A" w14:textId="77777777" w:rsidR="00CD68D5" w:rsidRDefault="00CD68D5" w:rsidP="00CD68D5">
            <w:pPr>
              <w:pBdr>
                <w:top w:val="nil"/>
                <w:left w:val="nil"/>
                <w:bottom w:val="nil"/>
                <w:right w:val="nil"/>
                <w:between w:val="nil"/>
              </w:pBdr>
              <w:spacing w:before="120" w:after="120"/>
            </w:pPr>
          </w:p>
        </w:tc>
        <w:tc>
          <w:tcPr>
            <w:tcW w:w="1620" w:type="dxa"/>
          </w:tcPr>
          <w:p w14:paraId="240DFF66" w14:textId="77777777" w:rsidR="00CD68D5" w:rsidRDefault="00CD68D5" w:rsidP="00CD68D5">
            <w:pPr>
              <w:pBdr>
                <w:top w:val="nil"/>
                <w:left w:val="nil"/>
                <w:bottom w:val="nil"/>
                <w:right w:val="nil"/>
                <w:between w:val="nil"/>
              </w:pBdr>
              <w:spacing w:before="120" w:after="120"/>
            </w:pPr>
          </w:p>
        </w:tc>
      </w:tr>
      <w:tr w:rsidR="00CD68D5" w14:paraId="25FEF9C7" w14:textId="77777777" w:rsidTr="00CD68D5">
        <w:tc>
          <w:tcPr>
            <w:tcW w:w="810" w:type="dxa"/>
          </w:tcPr>
          <w:p w14:paraId="0360DA26" w14:textId="77777777" w:rsidR="00CD68D5" w:rsidRDefault="00CD68D5" w:rsidP="00CD68D5">
            <w:pPr>
              <w:pBdr>
                <w:top w:val="nil"/>
                <w:left w:val="nil"/>
                <w:bottom w:val="nil"/>
                <w:right w:val="nil"/>
                <w:between w:val="nil"/>
              </w:pBdr>
              <w:spacing w:before="120" w:after="120"/>
            </w:pPr>
            <w:bookmarkStart w:id="509" w:name="_heading=h.3w19e94" w:colFirst="0" w:colLast="0"/>
            <w:bookmarkEnd w:id="509"/>
          </w:p>
        </w:tc>
        <w:tc>
          <w:tcPr>
            <w:tcW w:w="3240" w:type="dxa"/>
          </w:tcPr>
          <w:p w14:paraId="359D8F0A" w14:textId="77777777" w:rsidR="00CD68D5" w:rsidRDefault="00CD68D5" w:rsidP="00CD68D5">
            <w:pPr>
              <w:pBdr>
                <w:top w:val="nil"/>
                <w:left w:val="nil"/>
                <w:bottom w:val="nil"/>
                <w:right w:val="nil"/>
                <w:between w:val="nil"/>
              </w:pBdr>
              <w:spacing w:before="120" w:after="120"/>
            </w:pPr>
          </w:p>
        </w:tc>
        <w:tc>
          <w:tcPr>
            <w:tcW w:w="2610" w:type="dxa"/>
          </w:tcPr>
          <w:p w14:paraId="7885450D" w14:textId="77777777" w:rsidR="00CD68D5" w:rsidRDefault="00CD68D5" w:rsidP="00CD68D5">
            <w:pPr>
              <w:pBdr>
                <w:top w:val="nil"/>
                <w:left w:val="nil"/>
                <w:bottom w:val="nil"/>
                <w:right w:val="nil"/>
                <w:between w:val="nil"/>
              </w:pBdr>
              <w:spacing w:before="120" w:after="120"/>
            </w:pPr>
          </w:p>
        </w:tc>
        <w:tc>
          <w:tcPr>
            <w:tcW w:w="1620" w:type="dxa"/>
          </w:tcPr>
          <w:p w14:paraId="2BB6FC6F" w14:textId="77777777" w:rsidR="00CD68D5" w:rsidRDefault="00CD68D5" w:rsidP="00CD68D5">
            <w:pPr>
              <w:pBdr>
                <w:top w:val="nil"/>
                <w:left w:val="nil"/>
                <w:bottom w:val="nil"/>
                <w:right w:val="nil"/>
                <w:between w:val="nil"/>
              </w:pBdr>
              <w:spacing w:before="120" w:after="120"/>
            </w:pPr>
          </w:p>
        </w:tc>
      </w:tr>
    </w:tbl>
    <w:p w14:paraId="41C11DC3" w14:textId="77777777" w:rsidR="00CD68D5" w:rsidRDefault="00CD68D5" w:rsidP="00CD68D5">
      <w:pPr>
        <w:pBdr>
          <w:top w:val="nil"/>
          <w:left w:val="nil"/>
          <w:bottom w:val="nil"/>
          <w:right w:val="nil"/>
          <w:between w:val="nil"/>
        </w:pBdr>
        <w:rPr>
          <w:color w:val="000000"/>
        </w:rPr>
      </w:pPr>
    </w:p>
    <w:p w14:paraId="289F8CD8"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Supplier personnel</w:t>
      </w:r>
    </w:p>
    <w:tbl>
      <w:tblPr>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2250"/>
        <w:gridCol w:w="3330"/>
      </w:tblGrid>
      <w:tr w:rsidR="00CD68D5" w14:paraId="7E9ED6B0" w14:textId="77777777" w:rsidTr="00CD68D5">
        <w:trPr>
          <w:cantSplit/>
          <w:tblHeader/>
        </w:trPr>
        <w:tc>
          <w:tcPr>
            <w:tcW w:w="2700" w:type="dxa"/>
            <w:shd w:val="clear" w:color="auto" w:fill="D9D9D9"/>
          </w:tcPr>
          <w:p w14:paraId="0BEB0D7E" w14:textId="77777777" w:rsidR="00CD68D5" w:rsidRDefault="00CD68D5" w:rsidP="00CD68D5">
            <w:pPr>
              <w:spacing w:before="120" w:after="120"/>
            </w:pPr>
            <w:r>
              <w:t>Key Personnel Names</w:t>
            </w:r>
          </w:p>
        </w:tc>
        <w:tc>
          <w:tcPr>
            <w:tcW w:w="2250" w:type="dxa"/>
            <w:shd w:val="clear" w:color="auto" w:fill="D9D9D9"/>
          </w:tcPr>
          <w:p w14:paraId="53715824" w14:textId="77777777" w:rsidR="00CD68D5" w:rsidRDefault="00CD68D5" w:rsidP="00CD68D5">
            <w:pPr>
              <w:spacing w:before="120" w:after="120"/>
            </w:pPr>
            <w:r>
              <w:t>Title</w:t>
            </w:r>
          </w:p>
        </w:tc>
        <w:tc>
          <w:tcPr>
            <w:tcW w:w="3330" w:type="dxa"/>
            <w:shd w:val="clear" w:color="auto" w:fill="D9D9D9"/>
          </w:tcPr>
          <w:p w14:paraId="3E4F2DDA" w14:textId="77777777" w:rsidR="00CD68D5" w:rsidRDefault="00CD68D5" w:rsidP="00CD68D5">
            <w:pPr>
              <w:spacing w:before="120" w:after="120"/>
            </w:pPr>
            <w:r>
              <w:t>Contact Details incl. Mobile Number and Email Address</w:t>
            </w:r>
          </w:p>
        </w:tc>
      </w:tr>
      <w:tr w:rsidR="00CD68D5" w14:paraId="7F6AC0E1" w14:textId="77777777" w:rsidTr="00CD68D5">
        <w:tc>
          <w:tcPr>
            <w:tcW w:w="2700" w:type="dxa"/>
          </w:tcPr>
          <w:p w14:paraId="2E9F1D9E" w14:textId="77777777" w:rsidR="00CD68D5" w:rsidRDefault="00CD68D5" w:rsidP="00CD68D5">
            <w:pPr>
              <w:spacing w:before="120" w:after="120"/>
            </w:pPr>
          </w:p>
        </w:tc>
        <w:tc>
          <w:tcPr>
            <w:tcW w:w="2250" w:type="dxa"/>
          </w:tcPr>
          <w:p w14:paraId="293FFDA8" w14:textId="77777777" w:rsidR="00CD68D5" w:rsidRDefault="00CD68D5" w:rsidP="00CD68D5">
            <w:pPr>
              <w:spacing w:before="120" w:after="120"/>
            </w:pPr>
          </w:p>
        </w:tc>
        <w:tc>
          <w:tcPr>
            <w:tcW w:w="3330" w:type="dxa"/>
          </w:tcPr>
          <w:p w14:paraId="16F2E5E8" w14:textId="77777777" w:rsidR="00CD68D5" w:rsidRDefault="00CD68D5" w:rsidP="00CD68D5">
            <w:pPr>
              <w:spacing w:before="120" w:after="120"/>
            </w:pPr>
          </w:p>
        </w:tc>
      </w:tr>
      <w:tr w:rsidR="00CD68D5" w14:paraId="0FDD07E7" w14:textId="77777777" w:rsidTr="00CD68D5">
        <w:tc>
          <w:tcPr>
            <w:tcW w:w="2700" w:type="dxa"/>
          </w:tcPr>
          <w:p w14:paraId="3D768282" w14:textId="77777777" w:rsidR="00CD68D5" w:rsidRDefault="00CD68D5" w:rsidP="00CD68D5">
            <w:pPr>
              <w:spacing w:before="120" w:after="120"/>
            </w:pPr>
          </w:p>
        </w:tc>
        <w:tc>
          <w:tcPr>
            <w:tcW w:w="2250" w:type="dxa"/>
          </w:tcPr>
          <w:p w14:paraId="067977FE" w14:textId="77777777" w:rsidR="00CD68D5" w:rsidRDefault="00CD68D5" w:rsidP="00CD68D5">
            <w:pPr>
              <w:spacing w:before="120" w:after="120"/>
            </w:pPr>
          </w:p>
        </w:tc>
        <w:tc>
          <w:tcPr>
            <w:tcW w:w="3330" w:type="dxa"/>
          </w:tcPr>
          <w:p w14:paraId="7CFCF8AD" w14:textId="77777777" w:rsidR="00CD68D5" w:rsidRDefault="00CD68D5" w:rsidP="00CD68D5">
            <w:pPr>
              <w:spacing w:before="120" w:after="120"/>
            </w:pPr>
          </w:p>
        </w:tc>
      </w:tr>
      <w:tr w:rsidR="00CD68D5" w14:paraId="6019F189" w14:textId="77777777" w:rsidTr="00CD68D5">
        <w:tc>
          <w:tcPr>
            <w:tcW w:w="2700" w:type="dxa"/>
          </w:tcPr>
          <w:p w14:paraId="2D84D08E" w14:textId="77777777" w:rsidR="00CD68D5" w:rsidRDefault="00CD68D5" w:rsidP="00CD68D5">
            <w:pPr>
              <w:spacing w:before="120" w:after="120"/>
            </w:pPr>
          </w:p>
        </w:tc>
        <w:tc>
          <w:tcPr>
            <w:tcW w:w="2250" w:type="dxa"/>
          </w:tcPr>
          <w:p w14:paraId="5B41B4CC" w14:textId="77777777" w:rsidR="00CD68D5" w:rsidRDefault="00CD68D5" w:rsidP="00CD68D5">
            <w:pPr>
              <w:spacing w:before="120" w:after="120"/>
            </w:pPr>
          </w:p>
        </w:tc>
        <w:tc>
          <w:tcPr>
            <w:tcW w:w="3330" w:type="dxa"/>
          </w:tcPr>
          <w:p w14:paraId="02C1CE74" w14:textId="77777777" w:rsidR="00CD68D5" w:rsidRDefault="00CD68D5" w:rsidP="00CD68D5">
            <w:pPr>
              <w:spacing w:before="120" w:after="120"/>
            </w:pPr>
          </w:p>
        </w:tc>
      </w:tr>
    </w:tbl>
    <w:p w14:paraId="5E53F3DB" w14:textId="77777777" w:rsidR="00CD68D5" w:rsidRDefault="00CD68D5" w:rsidP="00E1349E">
      <w:pPr>
        <w:keepNext/>
        <w:numPr>
          <w:ilvl w:val="0"/>
          <w:numId w:val="194"/>
        </w:numPr>
        <w:pBdr>
          <w:top w:val="nil"/>
          <w:left w:val="nil"/>
          <w:bottom w:val="nil"/>
          <w:right w:val="nil"/>
          <w:between w:val="nil"/>
        </w:pBdr>
        <w:spacing w:before="360" w:after="200"/>
      </w:pPr>
      <w:bookmarkStart w:id="510" w:name="_Ref144385861"/>
      <w:r w:rsidRPr="00B23EF3">
        <w:rPr>
          <w:rStyle w:val="Level1asHeadingtext"/>
        </w:rPr>
        <w:t>System</w:t>
      </w:r>
      <w:r>
        <w:rPr>
          <w:b/>
          <w:color w:val="000000"/>
          <w:szCs w:val="24"/>
        </w:rPr>
        <w:t xml:space="preserve"> description</w:t>
      </w:r>
      <w:bookmarkEnd w:id="510"/>
    </w:p>
    <w:p w14:paraId="55BEF64B" w14:textId="77777777" w:rsidR="00CD68D5" w:rsidRDefault="00CD68D5" w:rsidP="00E1349E">
      <w:pPr>
        <w:numPr>
          <w:ilvl w:val="1"/>
          <w:numId w:val="194"/>
        </w:numPr>
        <w:pBdr>
          <w:top w:val="nil"/>
          <w:left w:val="nil"/>
          <w:bottom w:val="nil"/>
          <w:right w:val="nil"/>
          <w:between w:val="nil"/>
        </w:pBdr>
        <w:spacing w:before="100" w:after="200"/>
        <w:rPr>
          <w:b/>
          <w:color w:val="000000"/>
        </w:rPr>
      </w:pPr>
      <w:r w:rsidRPr="00B23EF3">
        <w:rPr>
          <w:rStyle w:val="Level2asHeadingtext"/>
        </w:rPr>
        <w:t>Background</w:t>
      </w:r>
    </w:p>
    <w:p w14:paraId="19FB7E01"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A short description of the project/product/system. Describe its purpose, functionality, aim and scope</w:t>
      </w:r>
      <w:r>
        <w:rPr>
          <w:color w:val="000000"/>
        </w:rPr>
        <w:t>.]</w:t>
      </w:r>
    </w:p>
    <w:p w14:paraId="601DAF46" w14:textId="77777777" w:rsidR="00CD68D5" w:rsidRDefault="00CD68D5" w:rsidP="00E1349E">
      <w:pPr>
        <w:numPr>
          <w:ilvl w:val="1"/>
          <w:numId w:val="194"/>
        </w:numPr>
        <w:pBdr>
          <w:top w:val="nil"/>
          <w:left w:val="nil"/>
          <w:bottom w:val="nil"/>
          <w:right w:val="nil"/>
          <w:between w:val="nil"/>
        </w:pBdr>
        <w:spacing w:before="100" w:after="200"/>
        <w:rPr>
          <w:b/>
          <w:color w:val="000000"/>
        </w:rPr>
      </w:pPr>
      <w:r w:rsidRPr="00B23EF3">
        <w:rPr>
          <w:rStyle w:val="Level2asHeadingtext"/>
        </w:rPr>
        <w:t>Organisational</w:t>
      </w:r>
      <w:r>
        <w:rPr>
          <w:b/>
          <w:color w:val="000000"/>
        </w:rPr>
        <w:t xml:space="preserve"> Ownership/Structure</w:t>
      </w:r>
    </w:p>
    <w:p w14:paraId="6DD9F222" w14:textId="77777777" w:rsidR="00CD68D5" w:rsidRDefault="00CD68D5" w:rsidP="00E1349E">
      <w:pPr>
        <w:numPr>
          <w:ilvl w:val="0"/>
          <w:numId w:val="199"/>
        </w:numPr>
        <w:pBdr>
          <w:top w:val="nil"/>
          <w:left w:val="nil"/>
          <w:bottom w:val="nil"/>
          <w:right w:val="nil"/>
          <w:between w:val="nil"/>
        </w:pBdr>
        <w:spacing w:before="100" w:after="200"/>
      </w:pPr>
      <w:r>
        <w:rPr>
          <w:color w:val="000000"/>
        </w:rPr>
        <w:lastRenderedPageBreak/>
        <w:t>[</w:t>
      </w:r>
      <w:r>
        <w:rPr>
          <w:i/>
          <w:color w:val="000000"/>
        </w:rPr>
        <w:t>Who owns the system and operates the system and the organisational governance structure. This should include how any ongoing security management is integrated into the project governance eg how a Security Working Group reports to the project board.</w:t>
      </w:r>
      <w:r>
        <w:rPr>
          <w:color w:val="000000"/>
        </w:rPr>
        <w:t>]</w:t>
      </w:r>
    </w:p>
    <w:p w14:paraId="5D2AFD28" w14:textId="77777777" w:rsidR="00CD68D5" w:rsidRDefault="00CD68D5" w:rsidP="00E1349E">
      <w:pPr>
        <w:keepNext/>
        <w:numPr>
          <w:ilvl w:val="1"/>
          <w:numId w:val="194"/>
        </w:numPr>
        <w:pBdr>
          <w:top w:val="nil"/>
          <w:left w:val="nil"/>
          <w:bottom w:val="nil"/>
          <w:right w:val="nil"/>
          <w:between w:val="nil"/>
        </w:pBdr>
        <w:spacing w:before="100" w:after="200"/>
        <w:rPr>
          <w:b/>
          <w:color w:val="000000"/>
        </w:rPr>
      </w:pPr>
      <w:r w:rsidRPr="00B23EF3">
        <w:rPr>
          <w:rStyle w:val="Level2asHeadingtext"/>
        </w:rPr>
        <w:t>Information</w:t>
      </w:r>
      <w:r>
        <w:rPr>
          <w:b/>
          <w:color w:val="000000"/>
        </w:rPr>
        <w:t xml:space="preserve"> assets and flows</w:t>
      </w:r>
    </w:p>
    <w:p w14:paraId="553EDCA5" w14:textId="77777777" w:rsidR="00CD68D5" w:rsidRDefault="00CD68D5" w:rsidP="00E1349E">
      <w:pPr>
        <w:numPr>
          <w:ilvl w:val="2"/>
          <w:numId w:val="194"/>
        </w:numPr>
        <w:pBdr>
          <w:top w:val="nil"/>
          <w:left w:val="nil"/>
          <w:bottom w:val="nil"/>
          <w:right w:val="nil"/>
          <w:between w:val="nil"/>
        </w:pBdr>
        <w:spacing w:before="100" w:after="200"/>
      </w:pPr>
      <w:r>
        <w:rPr>
          <w:color w:val="000000"/>
        </w:rPr>
        <w:t>Logical data flow diagram</w:t>
      </w:r>
    </w:p>
    <w:p w14:paraId="67A37C1B" w14:textId="77777777" w:rsidR="00CD68D5" w:rsidRDefault="00CD68D5" w:rsidP="00E1349E">
      <w:pPr>
        <w:numPr>
          <w:ilvl w:val="0"/>
          <w:numId w:val="199"/>
        </w:numPr>
        <w:pBdr>
          <w:top w:val="nil"/>
          <w:left w:val="nil"/>
          <w:bottom w:val="nil"/>
          <w:right w:val="nil"/>
          <w:between w:val="nil"/>
        </w:pBdr>
        <w:spacing w:before="100" w:after="200"/>
        <w:ind w:left="1440"/>
      </w:pPr>
      <w:r>
        <w:rPr>
          <w:color w:val="000000"/>
        </w:rPr>
        <w:t>[</w:t>
      </w:r>
      <w:r>
        <w:rPr>
          <w:i/>
          <w:color w:val="000000"/>
        </w:rPr>
        <w:t>This should include a simple high level logical diagram on one page. The diagram must include any third party suppliers and the data flows to/from them.</w:t>
      </w:r>
      <w:r>
        <w:rPr>
          <w:color w:val="000000"/>
        </w:rPr>
        <w:t>]</w:t>
      </w:r>
    </w:p>
    <w:p w14:paraId="05DD13AB" w14:textId="77777777" w:rsidR="00CD68D5" w:rsidRDefault="00CD68D5" w:rsidP="00E1349E">
      <w:pPr>
        <w:numPr>
          <w:ilvl w:val="2"/>
          <w:numId w:val="194"/>
        </w:numPr>
        <w:pBdr>
          <w:top w:val="nil"/>
          <w:left w:val="nil"/>
          <w:bottom w:val="nil"/>
          <w:right w:val="nil"/>
          <w:between w:val="nil"/>
        </w:pBdr>
        <w:spacing w:before="100" w:after="200"/>
      </w:pPr>
      <w:r>
        <w:rPr>
          <w:color w:val="000000"/>
        </w:rPr>
        <w:t>Data assets</w:t>
      </w:r>
    </w:p>
    <w:p w14:paraId="0D484444" w14:textId="77777777" w:rsidR="00CD68D5" w:rsidRDefault="00CD68D5" w:rsidP="00E1349E">
      <w:pPr>
        <w:numPr>
          <w:ilvl w:val="0"/>
          <w:numId w:val="199"/>
        </w:numPr>
        <w:pBdr>
          <w:top w:val="nil"/>
          <w:left w:val="nil"/>
          <w:bottom w:val="nil"/>
          <w:right w:val="nil"/>
          <w:between w:val="nil"/>
        </w:pBdr>
        <w:spacing w:before="100" w:after="200"/>
        <w:ind w:left="1440"/>
      </w:pPr>
      <w:r>
        <w:rPr>
          <w:color w:val="000000"/>
        </w:rPr>
        <w:t>[</w:t>
      </w:r>
      <w:r>
        <w:rPr>
          <w:i/>
          <w:color w:val="000000"/>
        </w:rPr>
        <w:t>Include a table of the type and volumes of data that will be processed, managed and stored within the supplier system. If personal data, please include the fields used such as name, address, department DOB, NI number etc. Data processed by third party suppliers must be included here</w:t>
      </w:r>
      <w:r>
        <w:rPr>
          <w:color w:val="000000"/>
        </w:rPr>
        <w:t>]</w:t>
      </w:r>
    </w:p>
    <w:p w14:paraId="286FA093" w14:textId="77777777" w:rsidR="00CD68D5" w:rsidRDefault="00CD68D5" w:rsidP="00E1349E">
      <w:pPr>
        <w:numPr>
          <w:ilvl w:val="1"/>
          <w:numId w:val="194"/>
        </w:numPr>
        <w:pBdr>
          <w:top w:val="nil"/>
          <w:left w:val="nil"/>
          <w:bottom w:val="nil"/>
          <w:right w:val="nil"/>
          <w:between w:val="nil"/>
        </w:pBdr>
        <w:spacing w:before="100" w:after="200"/>
        <w:rPr>
          <w:b/>
          <w:color w:val="000000"/>
        </w:rPr>
      </w:pPr>
      <w:r w:rsidRPr="00B23EF3">
        <w:rPr>
          <w:rStyle w:val="Level2asHeadingtext"/>
        </w:rPr>
        <w:t>System</w:t>
      </w:r>
      <w:r>
        <w:rPr>
          <w:b/>
          <w:color w:val="000000"/>
        </w:rPr>
        <w:t xml:space="preserve"> architecture</w:t>
      </w:r>
    </w:p>
    <w:p w14:paraId="5D6FDFE6"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A description of the physical system architecture, to include the system management. Please provide a diagram</w:t>
      </w:r>
      <w:r>
        <w:rPr>
          <w:color w:val="000000"/>
        </w:rPr>
        <w:t>.]</w:t>
      </w:r>
    </w:p>
    <w:p w14:paraId="27ED52BF"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Users</w:t>
      </w:r>
    </w:p>
    <w:p w14:paraId="568C3B35"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Please provide a table of the system users, this should include all users including HMG users as well as any service provider users and system managers. If relevant, security clearance level requirements should be included</w:t>
      </w:r>
      <w:r>
        <w:rPr>
          <w:color w:val="000000"/>
        </w:rPr>
        <w:t>.]</w:t>
      </w:r>
    </w:p>
    <w:p w14:paraId="5CC84794"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Locations</w:t>
      </w:r>
    </w:p>
    <w:p w14:paraId="0A6EE51E" w14:textId="77777777" w:rsidR="00CD68D5" w:rsidRDefault="00CD68D5" w:rsidP="00E1349E">
      <w:pPr>
        <w:keepNext/>
        <w:numPr>
          <w:ilvl w:val="0"/>
          <w:numId w:val="199"/>
        </w:numPr>
        <w:pBdr>
          <w:top w:val="nil"/>
          <w:left w:val="nil"/>
          <w:bottom w:val="nil"/>
          <w:right w:val="nil"/>
          <w:between w:val="nil"/>
        </w:pBdr>
        <w:spacing w:before="100" w:after="200"/>
      </w:pPr>
      <w:r>
        <w:rPr>
          <w:color w:val="000000"/>
        </w:rPr>
        <w:t>[</w:t>
      </w:r>
      <w:r>
        <w:rPr>
          <w:i/>
          <w:color w:val="000000"/>
        </w:rPr>
        <w:t>Please provide a table of where the Authorities data assets are stored, processed and any locations they are managed from. This must include the locations of any help desks or call centres if relevant. All third party suppliers and subcontractors must be included in this section. Any off-shoring considerations should be detailed with the legal basis for the data transfer included eg Standard Contractual Clauses, equivalency etc.</w:t>
      </w:r>
      <w:r>
        <w:rPr>
          <w:color w:val="000000"/>
        </w:rPr>
        <w:t>]</w:t>
      </w:r>
    </w:p>
    <w:p w14:paraId="5B585609"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Certifications</w:t>
      </w:r>
    </w:p>
    <w:p w14:paraId="66E98291"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Please include a table of any independent security certifications (eg ISO 27001:2013, Cyber Essentials Plus and Cyber Essentials) held as required by the contract. The table should include any relevant third party suppliers or subcontractors and must include the expiry date of the certification. Copies of the certificates should be included in Appendix 1.</w:t>
      </w:r>
      <w:r>
        <w:rPr>
          <w:color w:val="000000"/>
        </w:rPr>
        <w:t>]</w:t>
      </w:r>
    </w:p>
    <w:p w14:paraId="2742D2B6" w14:textId="77777777" w:rsidR="00CD68D5" w:rsidRDefault="00CD68D5" w:rsidP="00E1349E">
      <w:pPr>
        <w:numPr>
          <w:ilvl w:val="1"/>
          <w:numId w:val="194"/>
        </w:numPr>
        <w:pBdr>
          <w:top w:val="nil"/>
          <w:left w:val="nil"/>
          <w:bottom w:val="nil"/>
          <w:right w:val="nil"/>
          <w:between w:val="nil"/>
        </w:pBdr>
        <w:spacing w:before="100" w:after="200"/>
        <w:rPr>
          <w:b/>
          <w:color w:val="000000"/>
        </w:rPr>
      </w:pPr>
      <w:r w:rsidRPr="00B23EF3">
        <w:rPr>
          <w:rStyle w:val="Level2asHeadingtext"/>
        </w:rPr>
        <w:t>Test</w:t>
      </w:r>
      <w:r>
        <w:rPr>
          <w:b/>
          <w:color w:val="000000"/>
        </w:rPr>
        <w:t xml:space="preserve"> and development systems</w:t>
      </w:r>
    </w:p>
    <w:p w14:paraId="499A6862" w14:textId="77777777" w:rsidR="00CD68D5" w:rsidRDefault="00CD68D5" w:rsidP="00E1349E">
      <w:pPr>
        <w:numPr>
          <w:ilvl w:val="0"/>
          <w:numId w:val="199"/>
        </w:numPr>
        <w:pBdr>
          <w:top w:val="nil"/>
          <w:left w:val="nil"/>
          <w:bottom w:val="nil"/>
          <w:right w:val="nil"/>
          <w:between w:val="nil"/>
        </w:pBdr>
        <w:spacing w:before="100" w:after="200"/>
      </w:pPr>
      <w:r>
        <w:rPr>
          <w:color w:val="000000"/>
        </w:rPr>
        <w:lastRenderedPageBreak/>
        <w:t>[</w:t>
      </w:r>
      <w:r>
        <w:rPr>
          <w:i/>
          <w:color w:val="000000"/>
        </w:rPr>
        <w:t>Include information about any test, development and User Acceptance testing systems, their locations and whether they contain live system data.</w:t>
      </w:r>
      <w:r>
        <w:rPr>
          <w:color w:val="000000"/>
        </w:rPr>
        <w:t>]</w:t>
      </w:r>
    </w:p>
    <w:p w14:paraId="43A35064" w14:textId="77777777" w:rsidR="00CD68D5" w:rsidRDefault="00CD68D5" w:rsidP="00E1349E">
      <w:pPr>
        <w:numPr>
          <w:ilvl w:val="1"/>
          <w:numId w:val="194"/>
        </w:numPr>
        <w:pBdr>
          <w:top w:val="nil"/>
          <w:left w:val="nil"/>
          <w:bottom w:val="nil"/>
          <w:right w:val="nil"/>
          <w:between w:val="nil"/>
        </w:pBdr>
        <w:spacing w:before="100" w:after="200"/>
        <w:rPr>
          <w:b/>
          <w:color w:val="000000"/>
        </w:rPr>
      </w:pPr>
      <w:r w:rsidRPr="00B23EF3">
        <w:rPr>
          <w:rStyle w:val="Level2asHeadingtext"/>
        </w:rPr>
        <w:t>Modules</w:t>
      </w:r>
      <w:r>
        <w:rPr>
          <w:b/>
          <w:color w:val="000000"/>
        </w:rPr>
        <w:t xml:space="preserve"> Register</w:t>
      </w:r>
    </w:p>
    <w:p w14:paraId="6B4FEF88" w14:textId="77777777" w:rsidR="00CD68D5" w:rsidRDefault="00CD68D5" w:rsidP="00E1349E">
      <w:pPr>
        <w:keepNext/>
        <w:numPr>
          <w:ilvl w:val="0"/>
          <w:numId w:val="199"/>
        </w:numPr>
        <w:pBdr>
          <w:top w:val="nil"/>
          <w:left w:val="nil"/>
          <w:bottom w:val="nil"/>
          <w:right w:val="nil"/>
          <w:between w:val="nil"/>
        </w:pBdr>
        <w:spacing w:before="100" w:after="200"/>
      </w:pPr>
      <w:bookmarkStart w:id="511" w:name="_heading=h.qbtyoq" w:colFirst="0" w:colLast="0"/>
      <w:bookmarkEnd w:id="511"/>
      <w:r>
        <w:rPr>
          <w:color w:val="000000"/>
        </w:rPr>
        <w:t>[</w:t>
      </w:r>
      <w:r>
        <w:rPr>
          <w:i/>
          <w:color w:val="000000"/>
        </w:rPr>
        <w:t>If code development is being undertaken, include a table of all Third-party Software Modules that form part of the Code. This must include the name of the developer, the due diligence undertaken by the supplier, any recognised security vulnerabilities and how the supplier will minimise the effect of those.</w:t>
      </w:r>
      <w:r>
        <w:rPr>
          <w:color w:val="000000"/>
        </w:rPr>
        <w:t>]</w:t>
      </w:r>
    </w:p>
    <w:p w14:paraId="74A52120"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Support Register</w:t>
      </w:r>
    </w:p>
    <w:p w14:paraId="7DF4B80A"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A table should be included of all software used in any development activity, including the date it will cease to be in mainstream support.</w:t>
      </w:r>
      <w:r>
        <w:rPr>
          <w:color w:val="000000"/>
        </w:rPr>
        <w:t>]</w:t>
      </w:r>
    </w:p>
    <w:p w14:paraId="30455BBC" w14:textId="77777777" w:rsidR="00CD68D5" w:rsidRDefault="00CD68D5" w:rsidP="00E1349E">
      <w:pPr>
        <w:keepNext/>
        <w:numPr>
          <w:ilvl w:val="0"/>
          <w:numId w:val="194"/>
        </w:numPr>
        <w:pBdr>
          <w:top w:val="nil"/>
          <w:left w:val="nil"/>
          <w:bottom w:val="nil"/>
          <w:right w:val="nil"/>
          <w:between w:val="nil"/>
        </w:pBdr>
        <w:spacing w:before="360" w:after="200"/>
      </w:pPr>
      <w:bookmarkStart w:id="512" w:name="_Ref144385874"/>
      <w:r>
        <w:rPr>
          <w:b/>
          <w:color w:val="000000"/>
          <w:szCs w:val="24"/>
        </w:rPr>
        <w:t>Risk assessment</w:t>
      </w:r>
      <w:bookmarkEnd w:id="512"/>
    </w:p>
    <w:p w14:paraId="6FDCF7C3"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Accreditation/assurance scope</w:t>
      </w:r>
    </w:p>
    <w:p w14:paraId="0B19E416"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This section should describe the scope of the Risk Assessment and should indicate the components of the architecture upon which reliance is placed but assurance will not be done eg a cloud hosting service or a SAAS product/tool. A logical diagram should be used along with a brief description of the components. This scope must be agreed by the Authority.</w:t>
      </w:r>
      <w:r>
        <w:rPr>
          <w:color w:val="000000"/>
        </w:rPr>
        <w:t>]</w:t>
      </w:r>
    </w:p>
    <w:p w14:paraId="7B4FD75C"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Risk appetite</w:t>
      </w:r>
    </w:p>
    <w:p w14:paraId="4105ED8A"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A risk appetite should be provided by the Authority and included here.</w:t>
      </w:r>
      <w:r>
        <w:rPr>
          <w:color w:val="000000"/>
        </w:rPr>
        <w:t>]</w:t>
      </w:r>
    </w:p>
    <w:p w14:paraId="1B76B08F"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Business impact assessment</w:t>
      </w:r>
    </w:p>
    <w:p w14:paraId="3360273B"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A description of the information assets and the impact of their loss or corruption (eg large amounts of Official Sensitive personal data the loss of which would be severely damaging to individuals, embarrassing to HMG, and make HMG liable to ICO investigations) in business terms should be included. This section should cover the impact on loss of confidentiality, integrity and availability of the assets and should be agreed with the Authority. The format of this assessment may be dependent on the risk assessment method chosen.</w:t>
      </w:r>
      <w:r>
        <w:rPr>
          <w:color w:val="000000"/>
        </w:rPr>
        <w:t>]</w:t>
      </w:r>
    </w:p>
    <w:p w14:paraId="0ACDCEA4"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Risk assessment</w:t>
      </w:r>
    </w:p>
    <w:p w14:paraId="147D12A4"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The content of this section will depend on the risk assessment methodology chosen, but should contain the output of the formal information risk assessment in a prioritised list using business language. Experts on the system and business process should have been involved in the risk assessment to ensure the formal risk methodology used has not missed out any risks. The example table below should be used as the format to identify the risks and document the controls used to mitigate those risks.</w:t>
      </w:r>
      <w:r>
        <w:rPr>
          <w:color w:val="000000"/>
        </w:rPr>
        <w:t>]</w:t>
      </w:r>
    </w:p>
    <w:tbl>
      <w:tblPr>
        <w:tblW w:w="83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1800"/>
        <w:gridCol w:w="990"/>
        <w:gridCol w:w="1507"/>
        <w:gridCol w:w="2273"/>
        <w:gridCol w:w="1080"/>
      </w:tblGrid>
      <w:tr w:rsidR="00CD68D5" w14:paraId="27A7FD3F" w14:textId="77777777" w:rsidTr="00CD68D5">
        <w:trPr>
          <w:cantSplit/>
          <w:tblHeader/>
        </w:trPr>
        <w:tc>
          <w:tcPr>
            <w:tcW w:w="720" w:type="dxa"/>
            <w:shd w:val="clear" w:color="auto" w:fill="D9D9D9"/>
          </w:tcPr>
          <w:p w14:paraId="1D40E5BD" w14:textId="77777777" w:rsidR="00CD68D5" w:rsidRDefault="00CD68D5" w:rsidP="00CD68D5">
            <w:pPr>
              <w:pBdr>
                <w:top w:val="nil"/>
                <w:left w:val="nil"/>
                <w:bottom w:val="nil"/>
                <w:right w:val="nil"/>
                <w:between w:val="nil"/>
              </w:pBdr>
              <w:spacing w:before="120" w:after="120"/>
              <w:rPr>
                <w:sz w:val="18"/>
                <w:szCs w:val="18"/>
              </w:rPr>
            </w:pPr>
            <w:r>
              <w:rPr>
                <w:sz w:val="18"/>
                <w:szCs w:val="18"/>
              </w:rPr>
              <w:lastRenderedPageBreak/>
              <w:t>Risk ID</w:t>
            </w:r>
          </w:p>
        </w:tc>
        <w:tc>
          <w:tcPr>
            <w:tcW w:w="1800" w:type="dxa"/>
            <w:shd w:val="clear" w:color="auto" w:fill="D9D9D9"/>
          </w:tcPr>
          <w:p w14:paraId="5DBA3410" w14:textId="77777777" w:rsidR="00CD68D5" w:rsidRDefault="00CD68D5" w:rsidP="00CD68D5">
            <w:pPr>
              <w:pBdr>
                <w:top w:val="nil"/>
                <w:left w:val="nil"/>
                <w:bottom w:val="nil"/>
                <w:right w:val="nil"/>
                <w:between w:val="nil"/>
              </w:pBdr>
              <w:spacing w:before="120" w:after="120"/>
              <w:rPr>
                <w:sz w:val="18"/>
                <w:szCs w:val="18"/>
              </w:rPr>
            </w:pPr>
            <w:r>
              <w:rPr>
                <w:sz w:val="18"/>
                <w:szCs w:val="18"/>
              </w:rPr>
              <w:t>Inherent risk</w:t>
            </w:r>
          </w:p>
        </w:tc>
        <w:tc>
          <w:tcPr>
            <w:tcW w:w="990" w:type="dxa"/>
            <w:shd w:val="clear" w:color="auto" w:fill="D9D9D9"/>
          </w:tcPr>
          <w:p w14:paraId="4B6C30B0" w14:textId="77777777" w:rsidR="00CD68D5" w:rsidRDefault="00CD68D5" w:rsidP="00CD68D5">
            <w:pPr>
              <w:pBdr>
                <w:top w:val="nil"/>
                <w:left w:val="nil"/>
                <w:bottom w:val="nil"/>
                <w:right w:val="nil"/>
                <w:between w:val="nil"/>
              </w:pBdr>
              <w:spacing w:before="120" w:after="120"/>
              <w:rPr>
                <w:sz w:val="18"/>
                <w:szCs w:val="18"/>
              </w:rPr>
            </w:pPr>
            <w:r>
              <w:rPr>
                <w:sz w:val="18"/>
                <w:szCs w:val="18"/>
              </w:rPr>
              <w:t>Inherent risk level</w:t>
            </w:r>
          </w:p>
        </w:tc>
        <w:tc>
          <w:tcPr>
            <w:tcW w:w="1507" w:type="dxa"/>
            <w:shd w:val="clear" w:color="auto" w:fill="D9D9D9"/>
          </w:tcPr>
          <w:p w14:paraId="1094B8D7" w14:textId="77777777" w:rsidR="00CD68D5" w:rsidRDefault="00CD68D5" w:rsidP="00CD68D5">
            <w:pPr>
              <w:pBdr>
                <w:top w:val="nil"/>
                <w:left w:val="nil"/>
                <w:bottom w:val="nil"/>
                <w:right w:val="nil"/>
                <w:between w:val="nil"/>
              </w:pBdr>
              <w:spacing w:before="120" w:after="120"/>
              <w:rPr>
                <w:sz w:val="18"/>
                <w:szCs w:val="18"/>
              </w:rPr>
            </w:pPr>
            <w:r>
              <w:rPr>
                <w:sz w:val="18"/>
                <w:szCs w:val="18"/>
              </w:rPr>
              <w:t>Vulnerability</w:t>
            </w:r>
          </w:p>
        </w:tc>
        <w:tc>
          <w:tcPr>
            <w:tcW w:w="2273" w:type="dxa"/>
            <w:shd w:val="clear" w:color="auto" w:fill="D9D9D9"/>
          </w:tcPr>
          <w:p w14:paraId="3483CEF9" w14:textId="77777777" w:rsidR="00CD68D5" w:rsidRDefault="00CD68D5" w:rsidP="00CD68D5">
            <w:pPr>
              <w:pBdr>
                <w:top w:val="nil"/>
                <w:left w:val="nil"/>
                <w:bottom w:val="nil"/>
                <w:right w:val="nil"/>
                <w:between w:val="nil"/>
              </w:pBdr>
              <w:spacing w:before="120" w:after="120"/>
              <w:rPr>
                <w:sz w:val="18"/>
                <w:szCs w:val="18"/>
              </w:rPr>
            </w:pPr>
            <w:r>
              <w:rPr>
                <w:sz w:val="18"/>
                <w:szCs w:val="18"/>
              </w:rPr>
              <w:t>Controls</w:t>
            </w:r>
          </w:p>
        </w:tc>
        <w:tc>
          <w:tcPr>
            <w:tcW w:w="1080" w:type="dxa"/>
            <w:shd w:val="clear" w:color="auto" w:fill="D9D9D9"/>
          </w:tcPr>
          <w:p w14:paraId="3FA7E925" w14:textId="77777777" w:rsidR="00CD68D5" w:rsidRDefault="00CD68D5" w:rsidP="00CD68D5">
            <w:pPr>
              <w:pBdr>
                <w:top w:val="nil"/>
                <w:left w:val="nil"/>
                <w:bottom w:val="nil"/>
                <w:right w:val="nil"/>
                <w:between w:val="nil"/>
              </w:pBdr>
              <w:spacing w:before="120" w:after="120"/>
              <w:rPr>
                <w:sz w:val="18"/>
                <w:szCs w:val="18"/>
              </w:rPr>
            </w:pPr>
            <w:r>
              <w:rPr>
                <w:sz w:val="18"/>
                <w:szCs w:val="18"/>
              </w:rPr>
              <w:t>Residual risk level</w:t>
            </w:r>
          </w:p>
        </w:tc>
      </w:tr>
      <w:tr w:rsidR="00CD68D5" w14:paraId="12633635" w14:textId="77777777" w:rsidTr="00CD68D5">
        <w:trPr>
          <w:cantSplit/>
        </w:trPr>
        <w:tc>
          <w:tcPr>
            <w:tcW w:w="720" w:type="dxa"/>
          </w:tcPr>
          <w:p w14:paraId="72AB1454"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R1</w:t>
            </w:r>
          </w:p>
          <w:p w14:paraId="2837CE6E" w14:textId="77777777" w:rsidR="00CD68D5" w:rsidRDefault="00CD68D5" w:rsidP="00CD68D5">
            <w:pPr>
              <w:pBdr>
                <w:top w:val="nil"/>
                <w:left w:val="nil"/>
                <w:bottom w:val="nil"/>
                <w:right w:val="nil"/>
                <w:between w:val="nil"/>
              </w:pBdr>
              <w:spacing w:before="120" w:after="120"/>
              <w:rPr>
                <w:color w:val="000000"/>
                <w:sz w:val="18"/>
                <w:szCs w:val="18"/>
              </w:rPr>
            </w:pPr>
          </w:p>
        </w:tc>
        <w:tc>
          <w:tcPr>
            <w:tcW w:w="1800" w:type="dxa"/>
          </w:tcPr>
          <w:p w14:paraId="7FF72BCC"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Internet attackers could hack the system.</w:t>
            </w:r>
          </w:p>
        </w:tc>
        <w:tc>
          <w:tcPr>
            <w:tcW w:w="990" w:type="dxa"/>
          </w:tcPr>
          <w:p w14:paraId="48582925"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Medium</w:t>
            </w:r>
          </w:p>
          <w:p w14:paraId="792F49FA" w14:textId="77777777" w:rsidR="00CD68D5" w:rsidRDefault="00CD68D5" w:rsidP="00CD68D5">
            <w:pPr>
              <w:pBdr>
                <w:top w:val="nil"/>
                <w:left w:val="nil"/>
                <w:bottom w:val="nil"/>
                <w:right w:val="nil"/>
                <w:between w:val="nil"/>
              </w:pBdr>
              <w:spacing w:before="120" w:after="120"/>
              <w:rPr>
                <w:color w:val="000000"/>
                <w:sz w:val="18"/>
                <w:szCs w:val="18"/>
              </w:rPr>
            </w:pPr>
          </w:p>
        </w:tc>
        <w:tc>
          <w:tcPr>
            <w:tcW w:w="1507" w:type="dxa"/>
          </w:tcPr>
          <w:p w14:paraId="2635FE59"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The service systems are exposed to the internet via the web portal.</w:t>
            </w:r>
          </w:p>
        </w:tc>
        <w:tc>
          <w:tcPr>
            <w:tcW w:w="2273" w:type="dxa"/>
          </w:tcPr>
          <w:p w14:paraId="006B5FFF" w14:textId="77777777" w:rsidR="00CD68D5" w:rsidRDefault="00CD68D5" w:rsidP="00CD68D5">
            <w:pPr>
              <w:keepNext/>
              <w:pBdr>
                <w:top w:val="nil"/>
                <w:left w:val="nil"/>
                <w:bottom w:val="nil"/>
                <w:right w:val="nil"/>
                <w:between w:val="nil"/>
              </w:pBdr>
              <w:spacing w:before="120" w:after="120"/>
              <w:rPr>
                <w:color w:val="000000"/>
                <w:sz w:val="18"/>
                <w:szCs w:val="18"/>
              </w:rPr>
            </w:pPr>
            <w:r>
              <w:rPr>
                <w:color w:val="000000"/>
                <w:sz w:val="18"/>
                <w:szCs w:val="18"/>
              </w:rPr>
              <w:t xml:space="preserve">C1: Internet-facing firewalls </w:t>
            </w:r>
          </w:p>
          <w:p w14:paraId="324E6DF0" w14:textId="77777777" w:rsidR="00CD68D5" w:rsidRDefault="00CD68D5" w:rsidP="00CD68D5">
            <w:pPr>
              <w:keepNext/>
              <w:pBdr>
                <w:top w:val="nil"/>
                <w:left w:val="nil"/>
                <w:bottom w:val="nil"/>
                <w:right w:val="nil"/>
                <w:between w:val="nil"/>
              </w:pBdr>
              <w:spacing w:before="120" w:after="120"/>
              <w:rPr>
                <w:color w:val="000000"/>
                <w:sz w:val="18"/>
                <w:szCs w:val="18"/>
              </w:rPr>
            </w:pPr>
            <w:r>
              <w:rPr>
                <w:color w:val="000000"/>
                <w:sz w:val="18"/>
                <w:szCs w:val="18"/>
              </w:rPr>
              <w:t>C2: Internet-facing IP whitelist</w:t>
            </w:r>
          </w:p>
          <w:p w14:paraId="05DC61CA"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C3: System hardening</w:t>
            </w:r>
          </w:p>
          <w:p w14:paraId="72A039F0"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C4: Protective monitoring</w:t>
            </w:r>
          </w:p>
          <w:p w14:paraId="07DBB38D"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C5: Application access control</w:t>
            </w:r>
          </w:p>
          <w:p w14:paraId="1283CDC4" w14:textId="77777777" w:rsidR="00CD68D5" w:rsidRDefault="00CD68D5" w:rsidP="00CD68D5">
            <w:pPr>
              <w:keepNext/>
              <w:pBdr>
                <w:top w:val="nil"/>
                <w:left w:val="nil"/>
                <w:bottom w:val="nil"/>
                <w:right w:val="nil"/>
                <w:between w:val="nil"/>
              </w:pBdr>
              <w:spacing w:before="120" w:after="120"/>
              <w:rPr>
                <w:color w:val="000000"/>
                <w:sz w:val="18"/>
                <w:szCs w:val="18"/>
              </w:rPr>
            </w:pPr>
            <w:r>
              <w:rPr>
                <w:color w:val="000000"/>
                <w:sz w:val="18"/>
                <w:szCs w:val="18"/>
              </w:rPr>
              <w:t>C16: Anti-virus for incoming files</w:t>
            </w:r>
          </w:p>
          <w:p w14:paraId="65798BC0"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C54: Files deleted when processed</w:t>
            </w:r>
          </w:p>
          <w:p w14:paraId="02F343C2"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C59: Removal of departmental identifier</w:t>
            </w:r>
          </w:p>
        </w:tc>
        <w:tc>
          <w:tcPr>
            <w:tcW w:w="1080" w:type="dxa"/>
          </w:tcPr>
          <w:p w14:paraId="497B1862"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Very low</w:t>
            </w:r>
          </w:p>
        </w:tc>
      </w:tr>
      <w:tr w:rsidR="00CD68D5" w14:paraId="1A91CBA5" w14:textId="77777777" w:rsidTr="00CD68D5">
        <w:trPr>
          <w:cantSplit/>
        </w:trPr>
        <w:tc>
          <w:tcPr>
            <w:tcW w:w="720" w:type="dxa"/>
          </w:tcPr>
          <w:p w14:paraId="03234821"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R2</w:t>
            </w:r>
          </w:p>
        </w:tc>
        <w:tc>
          <w:tcPr>
            <w:tcW w:w="1800" w:type="dxa"/>
          </w:tcPr>
          <w:p w14:paraId="7B92C84A"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Remote attackers could intercept or disrupt information crossing the internet.</w:t>
            </w:r>
          </w:p>
        </w:tc>
        <w:tc>
          <w:tcPr>
            <w:tcW w:w="990" w:type="dxa"/>
          </w:tcPr>
          <w:p w14:paraId="491AC8D4"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Medium</w:t>
            </w:r>
          </w:p>
          <w:p w14:paraId="239746DB" w14:textId="77777777" w:rsidR="00CD68D5" w:rsidRDefault="00CD68D5" w:rsidP="00CD68D5">
            <w:pPr>
              <w:pBdr>
                <w:top w:val="nil"/>
                <w:left w:val="nil"/>
                <w:bottom w:val="nil"/>
                <w:right w:val="nil"/>
                <w:between w:val="nil"/>
              </w:pBdr>
              <w:spacing w:before="120" w:after="120"/>
              <w:rPr>
                <w:color w:val="000000"/>
                <w:sz w:val="18"/>
                <w:szCs w:val="18"/>
              </w:rPr>
            </w:pPr>
          </w:p>
        </w:tc>
        <w:tc>
          <w:tcPr>
            <w:tcW w:w="1507" w:type="dxa"/>
          </w:tcPr>
          <w:p w14:paraId="7D86113A"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File sharing with organisations across the internet.</w:t>
            </w:r>
          </w:p>
        </w:tc>
        <w:tc>
          <w:tcPr>
            <w:tcW w:w="2273" w:type="dxa"/>
          </w:tcPr>
          <w:p w14:paraId="1B4FDDD3"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C9: TLS communications</w:t>
            </w:r>
          </w:p>
          <w:p w14:paraId="61FDB5F3" w14:textId="77777777" w:rsidR="00CD68D5" w:rsidRDefault="00CD68D5" w:rsidP="00CD68D5">
            <w:pPr>
              <w:keepNext/>
              <w:pBdr>
                <w:top w:val="nil"/>
                <w:left w:val="nil"/>
                <w:bottom w:val="nil"/>
                <w:right w:val="nil"/>
                <w:between w:val="nil"/>
              </w:pBdr>
              <w:spacing w:before="120" w:after="120"/>
              <w:rPr>
                <w:color w:val="000000"/>
                <w:sz w:val="18"/>
                <w:szCs w:val="18"/>
              </w:rPr>
            </w:pPr>
            <w:r>
              <w:rPr>
                <w:color w:val="000000"/>
                <w:sz w:val="18"/>
                <w:szCs w:val="18"/>
              </w:rPr>
              <w:t>C10: PGP file-sharing</w:t>
            </w:r>
          </w:p>
        </w:tc>
        <w:tc>
          <w:tcPr>
            <w:tcW w:w="1080" w:type="dxa"/>
          </w:tcPr>
          <w:p w14:paraId="5D3A245C"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Very low</w:t>
            </w:r>
          </w:p>
        </w:tc>
      </w:tr>
      <w:tr w:rsidR="00CD68D5" w14:paraId="71FEF030" w14:textId="77777777" w:rsidTr="00CD68D5">
        <w:trPr>
          <w:cantSplit/>
        </w:trPr>
        <w:tc>
          <w:tcPr>
            <w:tcW w:w="720" w:type="dxa"/>
          </w:tcPr>
          <w:p w14:paraId="663E33D5"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R3</w:t>
            </w:r>
          </w:p>
        </w:tc>
        <w:tc>
          <w:tcPr>
            <w:tcW w:w="1800" w:type="dxa"/>
          </w:tcPr>
          <w:p w14:paraId="7B5769BD"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Internal users could maliciously or accidentally alter bank details.</w:t>
            </w:r>
          </w:p>
        </w:tc>
        <w:tc>
          <w:tcPr>
            <w:tcW w:w="990" w:type="dxa"/>
          </w:tcPr>
          <w:p w14:paraId="63805F0F" w14:textId="77777777" w:rsidR="00CD68D5" w:rsidRDefault="00CD68D5" w:rsidP="00CD68D5">
            <w:pPr>
              <w:keepNext/>
              <w:pBdr>
                <w:top w:val="nil"/>
                <w:left w:val="nil"/>
                <w:bottom w:val="nil"/>
                <w:right w:val="nil"/>
                <w:between w:val="nil"/>
              </w:pBdr>
              <w:spacing w:before="120" w:after="120"/>
              <w:rPr>
                <w:color w:val="000000"/>
                <w:sz w:val="18"/>
                <w:szCs w:val="18"/>
              </w:rPr>
            </w:pPr>
            <w:r>
              <w:rPr>
                <w:color w:val="000000"/>
                <w:sz w:val="18"/>
                <w:szCs w:val="18"/>
              </w:rPr>
              <w:t>Medium-High</w:t>
            </w:r>
          </w:p>
        </w:tc>
        <w:tc>
          <w:tcPr>
            <w:tcW w:w="1507" w:type="dxa"/>
          </w:tcPr>
          <w:p w14:paraId="4ECBB5C3"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Users bank details can be altered as part of the normal business function.</w:t>
            </w:r>
          </w:p>
        </w:tc>
        <w:tc>
          <w:tcPr>
            <w:tcW w:w="2273" w:type="dxa"/>
          </w:tcPr>
          <w:p w14:paraId="7808E895"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C12. System administrators hold SC clearance.</w:t>
            </w:r>
          </w:p>
          <w:p w14:paraId="08CF87CE"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C13. All changes to user information are logged and audited.</w:t>
            </w:r>
          </w:p>
          <w:p w14:paraId="1C999E10"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C14. Letters are automatically sent to users home addresses when bank details are altered.</w:t>
            </w:r>
          </w:p>
          <w:p w14:paraId="4C519671"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C15. Staff awareness training</w:t>
            </w:r>
          </w:p>
        </w:tc>
        <w:tc>
          <w:tcPr>
            <w:tcW w:w="1080" w:type="dxa"/>
          </w:tcPr>
          <w:p w14:paraId="71054397"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Low</w:t>
            </w:r>
          </w:p>
        </w:tc>
      </w:tr>
    </w:tbl>
    <w:p w14:paraId="5C5156D9" w14:textId="77777777" w:rsidR="00CD68D5" w:rsidRDefault="00CD68D5" w:rsidP="00CD68D5">
      <w:pPr>
        <w:pBdr>
          <w:top w:val="nil"/>
          <w:left w:val="nil"/>
          <w:bottom w:val="nil"/>
          <w:right w:val="nil"/>
          <w:between w:val="nil"/>
        </w:pBdr>
        <w:rPr>
          <w:color w:val="000000"/>
        </w:rPr>
      </w:pPr>
    </w:p>
    <w:p w14:paraId="377DB4F3"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Controls</w:t>
      </w:r>
    </w:p>
    <w:p w14:paraId="6C939A41"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The controls listed above to mitigate the risks identified should be detailed. There should be a description of each control, further information and configuration details where relevant, and an assessment of the implementation status of, and assurance in, the control. A sample layout is included below</w:t>
      </w:r>
      <w:r>
        <w:rPr>
          <w:color w:val="000000"/>
        </w:rPr>
        <w:t>.]</w:t>
      </w:r>
    </w:p>
    <w:tbl>
      <w:tblPr>
        <w:tblW w:w="8388" w:type="dxa"/>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1710"/>
        <w:gridCol w:w="2970"/>
        <w:gridCol w:w="2970"/>
      </w:tblGrid>
      <w:tr w:rsidR="00CD68D5" w14:paraId="5397E10D" w14:textId="77777777" w:rsidTr="00CD68D5">
        <w:trPr>
          <w:cantSplit/>
          <w:tblHeader/>
        </w:trPr>
        <w:tc>
          <w:tcPr>
            <w:tcW w:w="738" w:type="dxa"/>
            <w:shd w:val="clear" w:color="auto" w:fill="D9D9D9"/>
          </w:tcPr>
          <w:p w14:paraId="7591907E" w14:textId="77777777" w:rsidR="00CD68D5" w:rsidRDefault="00CD68D5" w:rsidP="00CD68D5">
            <w:pPr>
              <w:pBdr>
                <w:top w:val="nil"/>
                <w:left w:val="nil"/>
                <w:bottom w:val="nil"/>
                <w:right w:val="nil"/>
                <w:between w:val="nil"/>
              </w:pBdr>
              <w:spacing w:before="120" w:after="120"/>
              <w:rPr>
                <w:sz w:val="18"/>
                <w:szCs w:val="18"/>
              </w:rPr>
            </w:pPr>
            <w:r>
              <w:rPr>
                <w:sz w:val="18"/>
                <w:szCs w:val="18"/>
              </w:rPr>
              <w:lastRenderedPageBreak/>
              <w:t>ID</w:t>
            </w:r>
          </w:p>
        </w:tc>
        <w:tc>
          <w:tcPr>
            <w:tcW w:w="1710" w:type="dxa"/>
            <w:shd w:val="clear" w:color="auto" w:fill="D9D9D9"/>
          </w:tcPr>
          <w:p w14:paraId="6C612CBA" w14:textId="77777777" w:rsidR="00CD68D5" w:rsidRDefault="00CD68D5" w:rsidP="00CD68D5">
            <w:pPr>
              <w:pBdr>
                <w:top w:val="nil"/>
                <w:left w:val="nil"/>
                <w:bottom w:val="nil"/>
                <w:right w:val="nil"/>
                <w:between w:val="nil"/>
              </w:pBdr>
              <w:spacing w:before="120" w:after="120"/>
              <w:rPr>
                <w:sz w:val="18"/>
                <w:szCs w:val="18"/>
              </w:rPr>
            </w:pPr>
            <w:r>
              <w:rPr>
                <w:sz w:val="18"/>
                <w:szCs w:val="18"/>
              </w:rPr>
              <w:t>Control title</w:t>
            </w:r>
          </w:p>
        </w:tc>
        <w:tc>
          <w:tcPr>
            <w:tcW w:w="2970" w:type="dxa"/>
            <w:shd w:val="clear" w:color="auto" w:fill="D9D9D9"/>
          </w:tcPr>
          <w:p w14:paraId="66FDDE9E" w14:textId="77777777" w:rsidR="00CD68D5" w:rsidRDefault="00CD68D5" w:rsidP="00CD68D5">
            <w:pPr>
              <w:pBdr>
                <w:top w:val="nil"/>
                <w:left w:val="nil"/>
                <w:bottom w:val="nil"/>
                <w:right w:val="nil"/>
                <w:between w:val="nil"/>
              </w:pBdr>
              <w:spacing w:before="120" w:after="120"/>
              <w:rPr>
                <w:sz w:val="18"/>
                <w:szCs w:val="18"/>
              </w:rPr>
            </w:pPr>
            <w:r>
              <w:rPr>
                <w:sz w:val="18"/>
                <w:szCs w:val="18"/>
              </w:rPr>
              <w:t>Control description</w:t>
            </w:r>
          </w:p>
        </w:tc>
        <w:tc>
          <w:tcPr>
            <w:tcW w:w="2970" w:type="dxa"/>
            <w:shd w:val="clear" w:color="auto" w:fill="D9D9D9"/>
          </w:tcPr>
          <w:p w14:paraId="345247C3" w14:textId="77777777" w:rsidR="00CD68D5" w:rsidRDefault="00CD68D5" w:rsidP="00CD68D5">
            <w:pPr>
              <w:pBdr>
                <w:top w:val="nil"/>
                <w:left w:val="nil"/>
                <w:bottom w:val="nil"/>
                <w:right w:val="nil"/>
                <w:between w:val="nil"/>
              </w:pBdr>
              <w:spacing w:before="120" w:after="120"/>
              <w:rPr>
                <w:sz w:val="18"/>
                <w:szCs w:val="18"/>
              </w:rPr>
            </w:pPr>
            <w:r>
              <w:rPr>
                <w:sz w:val="18"/>
                <w:szCs w:val="18"/>
              </w:rPr>
              <w:t>Further information and assurance status</w:t>
            </w:r>
          </w:p>
        </w:tc>
      </w:tr>
      <w:tr w:rsidR="00CD68D5" w14:paraId="5BFDB9E1" w14:textId="77777777" w:rsidTr="00CD68D5">
        <w:trPr>
          <w:cantSplit/>
        </w:trPr>
        <w:tc>
          <w:tcPr>
            <w:tcW w:w="738" w:type="dxa"/>
          </w:tcPr>
          <w:p w14:paraId="04A18811"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C1</w:t>
            </w:r>
          </w:p>
        </w:tc>
        <w:tc>
          <w:tcPr>
            <w:tcW w:w="1710" w:type="dxa"/>
          </w:tcPr>
          <w:p w14:paraId="43EDAD92" w14:textId="77777777" w:rsidR="00CD68D5" w:rsidRDefault="00CD68D5" w:rsidP="00CD68D5">
            <w:pPr>
              <w:keepNext/>
              <w:pBdr>
                <w:top w:val="nil"/>
                <w:left w:val="nil"/>
                <w:bottom w:val="nil"/>
                <w:right w:val="nil"/>
                <w:between w:val="nil"/>
              </w:pBdr>
              <w:spacing w:before="120" w:after="120"/>
              <w:rPr>
                <w:color w:val="000000"/>
                <w:sz w:val="18"/>
                <w:szCs w:val="18"/>
              </w:rPr>
            </w:pPr>
            <w:r>
              <w:rPr>
                <w:color w:val="000000"/>
                <w:sz w:val="18"/>
                <w:szCs w:val="18"/>
              </w:rPr>
              <w:t>Internet-facing firewalls</w:t>
            </w:r>
          </w:p>
        </w:tc>
        <w:tc>
          <w:tcPr>
            <w:tcW w:w="2970" w:type="dxa"/>
          </w:tcPr>
          <w:p w14:paraId="10289920" w14:textId="77777777" w:rsidR="00CD68D5" w:rsidRDefault="00CD68D5" w:rsidP="00CD68D5">
            <w:pPr>
              <w:keepNext/>
              <w:pBdr>
                <w:top w:val="nil"/>
                <w:left w:val="nil"/>
                <w:bottom w:val="nil"/>
                <w:right w:val="nil"/>
                <w:between w:val="nil"/>
              </w:pBdr>
              <w:spacing w:before="120" w:after="120"/>
              <w:rPr>
                <w:color w:val="000000"/>
                <w:sz w:val="18"/>
                <w:szCs w:val="18"/>
              </w:rPr>
            </w:pPr>
            <w:r>
              <w:rPr>
                <w:color w:val="000000"/>
                <w:sz w:val="18"/>
                <w:szCs w:val="18"/>
              </w:rPr>
              <w:t>Internet-facing firewalls are in place between the internet and the system’, which restrict access from the internet to the required ports only.</w:t>
            </w:r>
          </w:p>
        </w:tc>
        <w:tc>
          <w:tcPr>
            <w:tcW w:w="2970" w:type="dxa"/>
          </w:tcPr>
          <w:p w14:paraId="0087275D"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Assured via ITHC firewall rule check</w:t>
            </w:r>
          </w:p>
        </w:tc>
      </w:tr>
      <w:tr w:rsidR="00CD68D5" w14:paraId="2B4ED560" w14:textId="77777777" w:rsidTr="00CD68D5">
        <w:trPr>
          <w:cantSplit/>
        </w:trPr>
        <w:tc>
          <w:tcPr>
            <w:tcW w:w="738" w:type="dxa"/>
          </w:tcPr>
          <w:p w14:paraId="2FD0D531"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C2</w:t>
            </w:r>
          </w:p>
        </w:tc>
        <w:tc>
          <w:tcPr>
            <w:tcW w:w="1710" w:type="dxa"/>
          </w:tcPr>
          <w:p w14:paraId="798F7FAE" w14:textId="77777777" w:rsidR="00CD68D5" w:rsidRDefault="00CD68D5" w:rsidP="00CD68D5">
            <w:pPr>
              <w:keepNext/>
              <w:pBdr>
                <w:top w:val="nil"/>
                <w:left w:val="nil"/>
                <w:bottom w:val="nil"/>
                <w:right w:val="nil"/>
                <w:between w:val="nil"/>
              </w:pBdr>
              <w:spacing w:before="120" w:after="120"/>
              <w:rPr>
                <w:color w:val="000000"/>
                <w:sz w:val="18"/>
                <w:szCs w:val="18"/>
              </w:rPr>
            </w:pPr>
            <w:r>
              <w:rPr>
                <w:color w:val="000000"/>
                <w:sz w:val="18"/>
                <w:szCs w:val="18"/>
              </w:rPr>
              <w:t>Internet-facing IP whitelist</w:t>
            </w:r>
          </w:p>
        </w:tc>
        <w:tc>
          <w:tcPr>
            <w:tcW w:w="2970" w:type="dxa"/>
          </w:tcPr>
          <w:p w14:paraId="11222FF9"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 xml:space="preserve">An IP whitelist is in place for all access from the internet. </w:t>
            </w:r>
          </w:p>
        </w:tc>
        <w:tc>
          <w:tcPr>
            <w:tcW w:w="2970" w:type="dxa"/>
          </w:tcPr>
          <w:p w14:paraId="67971D60"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Assured via ITHC</w:t>
            </w:r>
          </w:p>
        </w:tc>
      </w:tr>
      <w:tr w:rsidR="00CD68D5" w14:paraId="435A02DE" w14:textId="77777777" w:rsidTr="00CD68D5">
        <w:trPr>
          <w:cantSplit/>
        </w:trPr>
        <w:tc>
          <w:tcPr>
            <w:tcW w:w="738" w:type="dxa"/>
          </w:tcPr>
          <w:p w14:paraId="0A5C9420"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C15</w:t>
            </w:r>
          </w:p>
        </w:tc>
        <w:tc>
          <w:tcPr>
            <w:tcW w:w="1710" w:type="dxa"/>
          </w:tcPr>
          <w:p w14:paraId="1CAB57B5"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Staff awareness training</w:t>
            </w:r>
          </w:p>
        </w:tc>
        <w:tc>
          <w:tcPr>
            <w:tcW w:w="2970" w:type="dxa"/>
          </w:tcPr>
          <w:p w14:paraId="74508A8D"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All staff must undertake annual security awareness training and this process is audited and monitored by line managers.</w:t>
            </w:r>
          </w:p>
        </w:tc>
        <w:tc>
          <w:tcPr>
            <w:tcW w:w="2970" w:type="dxa"/>
          </w:tcPr>
          <w:p w14:paraId="50E02E38" w14:textId="77777777" w:rsidR="00CD68D5" w:rsidRDefault="00CD68D5" w:rsidP="00CD68D5">
            <w:pPr>
              <w:pBdr>
                <w:top w:val="nil"/>
                <w:left w:val="nil"/>
                <w:bottom w:val="nil"/>
                <w:right w:val="nil"/>
                <w:between w:val="nil"/>
              </w:pBdr>
              <w:spacing w:before="120" w:after="120"/>
              <w:rPr>
                <w:color w:val="000000"/>
                <w:sz w:val="18"/>
                <w:szCs w:val="18"/>
              </w:rPr>
            </w:pPr>
            <w:r>
              <w:rPr>
                <w:color w:val="000000"/>
                <w:sz w:val="18"/>
                <w:szCs w:val="18"/>
              </w:rPr>
              <w:t>Assured as part of ISO27001 certification</w:t>
            </w:r>
          </w:p>
        </w:tc>
      </w:tr>
    </w:tbl>
    <w:p w14:paraId="6F2CE765" w14:textId="77777777" w:rsidR="00CD68D5" w:rsidRDefault="00CD68D5" w:rsidP="00CD68D5">
      <w:pPr>
        <w:pBdr>
          <w:top w:val="nil"/>
          <w:left w:val="nil"/>
          <w:bottom w:val="nil"/>
          <w:right w:val="nil"/>
          <w:between w:val="nil"/>
        </w:pBdr>
        <w:rPr>
          <w:color w:val="000000"/>
        </w:rPr>
      </w:pPr>
    </w:p>
    <w:p w14:paraId="28B60B59"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Residual risks and actions</w:t>
      </w:r>
    </w:p>
    <w:p w14:paraId="6ADE2055"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A summary of the residual risks which are likely to be above the risk appetite stated after all controls have been applied and verified should be listed with actions and timescales included</w:t>
      </w:r>
      <w:r>
        <w:rPr>
          <w:color w:val="000000"/>
        </w:rPr>
        <w:t>.]</w:t>
      </w:r>
    </w:p>
    <w:p w14:paraId="668B5643" w14:textId="77777777" w:rsidR="00CD68D5" w:rsidRDefault="00CD68D5" w:rsidP="00E1349E">
      <w:pPr>
        <w:keepNext/>
        <w:numPr>
          <w:ilvl w:val="0"/>
          <w:numId w:val="194"/>
        </w:numPr>
        <w:pBdr>
          <w:top w:val="nil"/>
          <w:left w:val="nil"/>
          <w:bottom w:val="nil"/>
          <w:right w:val="nil"/>
          <w:between w:val="nil"/>
        </w:pBdr>
        <w:spacing w:before="360" w:after="200"/>
      </w:pPr>
      <w:bookmarkStart w:id="513" w:name="_Ref144385883"/>
      <w:r>
        <w:rPr>
          <w:b/>
          <w:color w:val="000000"/>
          <w:szCs w:val="24"/>
        </w:rPr>
        <w:t>In-service controls</w:t>
      </w:r>
      <w:bookmarkEnd w:id="513"/>
    </w:p>
    <w:p w14:paraId="0A792C13"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This section should describe how the main security requirements as specified in the contract (security schedule) are met.</w:t>
      </w:r>
      <w:r>
        <w:rPr>
          <w:color w:val="000000"/>
        </w:rPr>
        <w:t>]</w:t>
      </w:r>
    </w:p>
    <w:p w14:paraId="659C7F4F"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 xml:space="preserve">Protective monitoring </w:t>
      </w:r>
    </w:p>
    <w:p w14:paraId="3FCCF28F"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This section should describe how your protective monitoring arrangements identify anomalous behaviour and how this is then acted upon as well as how logging and auditing of user activity is done.</w:t>
      </w:r>
      <w:r>
        <w:rPr>
          <w:color w:val="000000"/>
        </w:rPr>
        <w:t>]</w:t>
      </w:r>
    </w:p>
    <w:p w14:paraId="34823144"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Malware prevention</w:t>
      </w:r>
    </w:p>
    <w:p w14:paraId="01A8C4F7" w14:textId="77777777" w:rsidR="00CD68D5" w:rsidRDefault="00CD68D5" w:rsidP="00E1349E">
      <w:pPr>
        <w:keepNext/>
        <w:numPr>
          <w:ilvl w:val="0"/>
          <w:numId w:val="199"/>
        </w:numPr>
        <w:pBdr>
          <w:top w:val="nil"/>
          <w:left w:val="nil"/>
          <w:bottom w:val="nil"/>
          <w:right w:val="nil"/>
          <w:between w:val="nil"/>
        </w:pBdr>
        <w:spacing w:before="100" w:after="200"/>
      </w:pPr>
      <w:r>
        <w:rPr>
          <w:color w:val="000000"/>
        </w:rPr>
        <w:t>[</w:t>
      </w:r>
      <w:r>
        <w:rPr>
          <w:i/>
          <w:color w:val="000000"/>
        </w:rPr>
        <w:t>This should describe how your anti-virus solution is implemented with respect to protecting Authority assets</w:t>
      </w:r>
      <w:r>
        <w:rPr>
          <w:color w:val="000000"/>
        </w:rPr>
        <w:t>.]</w:t>
      </w:r>
    </w:p>
    <w:p w14:paraId="4298E13E"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End user devices</w:t>
      </w:r>
    </w:p>
    <w:p w14:paraId="7E05D320" w14:textId="77777777" w:rsidR="00CD68D5" w:rsidRDefault="00CD68D5" w:rsidP="00E1349E">
      <w:pPr>
        <w:keepNext/>
        <w:numPr>
          <w:ilvl w:val="0"/>
          <w:numId w:val="199"/>
        </w:numPr>
        <w:pBdr>
          <w:top w:val="nil"/>
          <w:left w:val="nil"/>
          <w:bottom w:val="nil"/>
          <w:right w:val="nil"/>
          <w:between w:val="nil"/>
        </w:pBdr>
        <w:spacing w:before="100" w:after="200"/>
      </w:pPr>
      <w:r>
        <w:rPr>
          <w:color w:val="000000"/>
        </w:rPr>
        <w:t>[</w:t>
      </w:r>
      <w:r>
        <w:rPr>
          <w:i/>
          <w:color w:val="000000"/>
        </w:rPr>
        <w:t>This section should detail the security controls which are implemented on all fixed and removable end user devices used to process, store or manage Authority data against the end-user device requirements in this contract.</w:t>
      </w:r>
      <w:r>
        <w:rPr>
          <w:color w:val="000000"/>
        </w:rPr>
        <w:t>]</w:t>
      </w:r>
    </w:p>
    <w:p w14:paraId="4081627E"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Encryption</w:t>
      </w:r>
    </w:p>
    <w:p w14:paraId="3EAC5CF5"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This section should detail the encryption measures you employ to protect Authority data both in transit and at rest</w:t>
      </w:r>
      <w:r>
        <w:rPr>
          <w:color w:val="000000"/>
        </w:rPr>
        <w:t>.]</w:t>
      </w:r>
    </w:p>
    <w:p w14:paraId="7576ED08"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Vulnerability management</w:t>
      </w:r>
    </w:p>
    <w:p w14:paraId="6E70376D" w14:textId="77777777" w:rsidR="00CD68D5" w:rsidRDefault="00CD68D5" w:rsidP="00E1349E">
      <w:pPr>
        <w:keepNext/>
        <w:numPr>
          <w:ilvl w:val="0"/>
          <w:numId w:val="199"/>
        </w:numPr>
        <w:pBdr>
          <w:top w:val="nil"/>
          <w:left w:val="nil"/>
          <w:bottom w:val="nil"/>
          <w:right w:val="nil"/>
          <w:between w:val="nil"/>
        </w:pBdr>
        <w:spacing w:before="100" w:after="200"/>
      </w:pPr>
      <w:r>
        <w:rPr>
          <w:color w:val="000000"/>
        </w:rPr>
        <w:lastRenderedPageBreak/>
        <w:t>[</w:t>
      </w:r>
      <w:r>
        <w:rPr>
          <w:i/>
          <w:color w:val="000000"/>
        </w:rPr>
        <w:t>This section should detail your process for identifying, classifying, prioritising, remediating, and mitigating" software vulnerabilities within your IT environment.</w:t>
      </w:r>
      <w:r>
        <w:rPr>
          <w:color w:val="000000"/>
        </w:rPr>
        <w:t>]</w:t>
      </w:r>
    </w:p>
    <w:p w14:paraId="620B439C"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 xml:space="preserve">Identity, verification and access controls </w:t>
      </w:r>
    </w:p>
    <w:p w14:paraId="652DB0FB" w14:textId="77777777" w:rsidR="00CD68D5" w:rsidRDefault="00CD68D5" w:rsidP="00E1349E">
      <w:pPr>
        <w:keepNext/>
        <w:numPr>
          <w:ilvl w:val="0"/>
          <w:numId w:val="199"/>
        </w:numPr>
        <w:pBdr>
          <w:top w:val="nil"/>
          <w:left w:val="nil"/>
          <w:bottom w:val="nil"/>
          <w:right w:val="nil"/>
          <w:between w:val="nil"/>
        </w:pBdr>
        <w:spacing w:before="100" w:after="200"/>
      </w:pPr>
      <w:r>
        <w:rPr>
          <w:color w:val="000000"/>
        </w:rPr>
        <w:t>[</w:t>
      </w:r>
      <w:r>
        <w:rPr>
          <w:i/>
          <w:color w:val="000000"/>
        </w:rPr>
        <w:t>This section should detail your password policy, your approach to ensuring that privileged accounts  are accessible only from end-user devices dedicated to that use and by authenticated named users. This should include your use of multi-factor authentication for all accounts that have access to Authority data as well as privileged accounts.</w:t>
      </w:r>
      <w:r>
        <w:rPr>
          <w:color w:val="000000"/>
        </w:rPr>
        <w:t>]</w:t>
      </w:r>
    </w:p>
    <w:p w14:paraId="24EB69F2" w14:textId="77777777" w:rsidR="00CD68D5" w:rsidRDefault="00CD68D5" w:rsidP="00E1349E">
      <w:pPr>
        <w:numPr>
          <w:ilvl w:val="1"/>
          <w:numId w:val="194"/>
        </w:numPr>
        <w:pBdr>
          <w:top w:val="nil"/>
          <w:left w:val="nil"/>
          <w:bottom w:val="nil"/>
          <w:right w:val="nil"/>
          <w:between w:val="nil"/>
        </w:pBdr>
        <w:spacing w:before="100" w:after="200"/>
        <w:rPr>
          <w:b/>
          <w:color w:val="000000"/>
        </w:rPr>
      </w:pPr>
      <w:r>
        <w:rPr>
          <w:b/>
          <w:color w:val="000000"/>
        </w:rPr>
        <w:t>Data Deletion</w:t>
      </w:r>
    </w:p>
    <w:p w14:paraId="764C3DCE"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This section should include the agreed process for securely deleting Authority data when required.</w:t>
      </w:r>
      <w:r>
        <w:rPr>
          <w:color w:val="000000"/>
        </w:rPr>
        <w:t>]</w:t>
      </w:r>
    </w:p>
    <w:p w14:paraId="65EC0052" w14:textId="77777777" w:rsidR="00CD68D5" w:rsidRDefault="00CD68D5" w:rsidP="00E1349E">
      <w:pPr>
        <w:keepNext/>
        <w:numPr>
          <w:ilvl w:val="0"/>
          <w:numId w:val="194"/>
        </w:numPr>
        <w:pBdr>
          <w:top w:val="nil"/>
          <w:left w:val="nil"/>
          <w:bottom w:val="nil"/>
          <w:right w:val="nil"/>
          <w:between w:val="nil"/>
        </w:pBdr>
        <w:spacing w:before="360" w:after="200"/>
      </w:pPr>
      <w:r w:rsidRPr="00B23EF3">
        <w:rPr>
          <w:b/>
          <w:color w:val="000000"/>
        </w:rPr>
        <w:t>Supply</w:t>
      </w:r>
      <w:r>
        <w:rPr>
          <w:b/>
          <w:color w:val="000000"/>
          <w:szCs w:val="24"/>
        </w:rPr>
        <w:t xml:space="preserve"> chain security and third party subcontractors/tools</w:t>
      </w:r>
    </w:p>
    <w:p w14:paraId="29D526A0"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This section should detail the assurance process for managing any security risks from Subcontractors and Third Parties authorised by the Authority with access to Authority data.</w:t>
      </w:r>
      <w:r>
        <w:rPr>
          <w:color w:val="000000"/>
        </w:rPr>
        <w:t>]</w:t>
      </w:r>
    </w:p>
    <w:p w14:paraId="7137A3FC" w14:textId="77777777" w:rsidR="00CD68D5" w:rsidRDefault="00CD68D5" w:rsidP="00E1349E">
      <w:pPr>
        <w:keepNext/>
        <w:numPr>
          <w:ilvl w:val="0"/>
          <w:numId w:val="194"/>
        </w:numPr>
        <w:pBdr>
          <w:top w:val="nil"/>
          <w:left w:val="nil"/>
          <w:bottom w:val="nil"/>
          <w:right w:val="nil"/>
          <w:between w:val="nil"/>
        </w:pBdr>
        <w:spacing w:before="360" w:after="200"/>
      </w:pPr>
      <w:bookmarkStart w:id="514" w:name="_Ref144385898"/>
      <w:r>
        <w:rPr>
          <w:b/>
          <w:color w:val="000000"/>
          <w:szCs w:val="24"/>
        </w:rPr>
        <w:t>Security requirements on participating departments, customers and users</w:t>
      </w:r>
      <w:bookmarkEnd w:id="514"/>
    </w:p>
    <w:p w14:paraId="7E9AEEE8"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Please detail any security requirements or codes of connection required by participating departments/agencies/third parties</w:t>
      </w:r>
      <w:r>
        <w:rPr>
          <w:color w:val="000000"/>
        </w:rPr>
        <w:t>.]</w:t>
      </w:r>
    </w:p>
    <w:p w14:paraId="18CC3DEF" w14:textId="77777777" w:rsidR="00CD68D5" w:rsidRDefault="00CD68D5" w:rsidP="00E1349E">
      <w:pPr>
        <w:keepNext/>
        <w:numPr>
          <w:ilvl w:val="0"/>
          <w:numId w:val="194"/>
        </w:numPr>
        <w:pBdr>
          <w:top w:val="nil"/>
          <w:left w:val="nil"/>
          <w:bottom w:val="nil"/>
          <w:right w:val="nil"/>
          <w:between w:val="nil"/>
        </w:pBdr>
        <w:spacing w:before="360" w:after="200"/>
      </w:pPr>
      <w:bookmarkStart w:id="515" w:name="_Ref144385904"/>
      <w:r>
        <w:rPr>
          <w:b/>
          <w:color w:val="000000"/>
          <w:szCs w:val="24"/>
        </w:rPr>
        <w:t>Personnel security</w:t>
      </w:r>
      <w:bookmarkEnd w:id="515"/>
      <w:r>
        <w:rPr>
          <w:b/>
          <w:color w:val="000000"/>
          <w:szCs w:val="24"/>
        </w:rPr>
        <w:t xml:space="preserve"> </w:t>
      </w:r>
    </w:p>
    <w:p w14:paraId="6E70B2D8" w14:textId="77777777" w:rsidR="00CD68D5" w:rsidRDefault="00CD68D5" w:rsidP="00E1349E">
      <w:pPr>
        <w:numPr>
          <w:ilvl w:val="0"/>
          <w:numId w:val="199"/>
        </w:numPr>
        <w:pBdr>
          <w:top w:val="nil"/>
          <w:left w:val="nil"/>
          <w:bottom w:val="nil"/>
          <w:right w:val="nil"/>
          <w:between w:val="nil"/>
        </w:pBdr>
        <w:spacing w:before="100" w:after="200"/>
        <w:rPr>
          <w:i/>
          <w:color w:val="000000"/>
        </w:rPr>
      </w:pPr>
      <w:r>
        <w:rPr>
          <w:color w:val="000000"/>
        </w:rPr>
        <w:t>[</w:t>
      </w:r>
      <w:r>
        <w:rPr>
          <w:i/>
          <w:color w:val="000000"/>
        </w:rPr>
        <w:t>Please provide details of your Personnel Security Vetting Policy for those staff who will have access to, or come into contact with Buyer data or assets.</w:t>
      </w:r>
    </w:p>
    <w:p w14:paraId="7489EB12" w14:textId="77777777" w:rsidR="00CD68D5" w:rsidRDefault="00CD68D5" w:rsidP="00E1349E">
      <w:pPr>
        <w:numPr>
          <w:ilvl w:val="0"/>
          <w:numId w:val="199"/>
        </w:numPr>
        <w:pBdr>
          <w:top w:val="nil"/>
          <w:left w:val="nil"/>
          <w:bottom w:val="nil"/>
          <w:right w:val="nil"/>
          <w:between w:val="nil"/>
        </w:pBdr>
        <w:spacing w:before="100" w:after="200"/>
      </w:pPr>
      <w:r>
        <w:rPr>
          <w:i/>
          <w:color w:val="000000"/>
        </w:rPr>
        <w:t>Please provide details of how you will ensure that all staff accessing Buyer data are aware of the confidential nature of the data and comply with their legal and specific obligations under the Contract</w:t>
      </w:r>
      <w:r>
        <w:rPr>
          <w:color w:val="000000"/>
        </w:rPr>
        <w:t>.]</w:t>
      </w:r>
    </w:p>
    <w:p w14:paraId="6A0C133D" w14:textId="77777777" w:rsidR="00CD68D5" w:rsidRDefault="00CD68D5" w:rsidP="00E1349E">
      <w:pPr>
        <w:keepNext/>
        <w:numPr>
          <w:ilvl w:val="0"/>
          <w:numId w:val="194"/>
        </w:numPr>
        <w:pBdr>
          <w:top w:val="nil"/>
          <w:left w:val="nil"/>
          <w:bottom w:val="nil"/>
          <w:right w:val="nil"/>
          <w:between w:val="nil"/>
        </w:pBdr>
        <w:spacing w:before="360" w:after="200"/>
      </w:pPr>
      <w:bookmarkStart w:id="516" w:name="_Ref144385911"/>
      <w:r>
        <w:rPr>
          <w:b/>
          <w:color w:val="000000"/>
          <w:szCs w:val="24"/>
        </w:rPr>
        <w:t>Business continuity</w:t>
      </w:r>
      <w:bookmarkEnd w:id="516"/>
    </w:p>
    <w:p w14:paraId="6C4AF52E"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Please provide an overview of your organisation’s business continuity and disaster recovery plans in terms of the Buyer data under the Contract, or attach a copy of your Business Continuity Plan.</w:t>
      </w:r>
      <w:r>
        <w:rPr>
          <w:color w:val="000000"/>
        </w:rPr>
        <w:t>]</w:t>
      </w:r>
    </w:p>
    <w:p w14:paraId="12ACE6BE" w14:textId="77777777" w:rsidR="00CD68D5" w:rsidRDefault="00CD68D5" w:rsidP="00E1349E">
      <w:pPr>
        <w:keepNext/>
        <w:numPr>
          <w:ilvl w:val="0"/>
          <w:numId w:val="194"/>
        </w:numPr>
        <w:pBdr>
          <w:top w:val="nil"/>
          <w:left w:val="nil"/>
          <w:bottom w:val="nil"/>
          <w:right w:val="nil"/>
          <w:between w:val="nil"/>
        </w:pBdr>
        <w:spacing w:before="360" w:after="200"/>
      </w:pPr>
      <w:bookmarkStart w:id="517" w:name="_Ref144385918"/>
      <w:r w:rsidRPr="00B23EF3">
        <w:rPr>
          <w:rStyle w:val="Level1asHeadingtext"/>
        </w:rPr>
        <w:t>Physical</w:t>
      </w:r>
      <w:r>
        <w:rPr>
          <w:b/>
          <w:color w:val="000000"/>
          <w:szCs w:val="24"/>
        </w:rPr>
        <w:t xml:space="preserve"> security</w:t>
      </w:r>
      <w:bookmarkEnd w:id="517"/>
    </w:p>
    <w:p w14:paraId="0E1CB269" w14:textId="77777777" w:rsidR="00CD68D5" w:rsidRDefault="00CD68D5" w:rsidP="00E1349E">
      <w:pPr>
        <w:numPr>
          <w:ilvl w:val="0"/>
          <w:numId w:val="199"/>
        </w:numPr>
        <w:pBdr>
          <w:top w:val="nil"/>
          <w:left w:val="nil"/>
          <w:bottom w:val="nil"/>
          <w:right w:val="nil"/>
          <w:between w:val="nil"/>
        </w:pBdr>
        <w:spacing w:before="100" w:after="200"/>
        <w:rPr>
          <w:i/>
          <w:color w:val="000000"/>
        </w:rPr>
      </w:pPr>
      <w:r>
        <w:rPr>
          <w:color w:val="000000"/>
        </w:rPr>
        <w:t>[</w:t>
      </w:r>
      <w:r>
        <w:rPr>
          <w:i/>
          <w:color w:val="000000"/>
        </w:rPr>
        <w:t xml:space="preserve">Please provide details of the building where the service will operate from and describe the procedures and security in place to control access to premises and any areas holding Buyer assets. Detail measures such as construction of buildings used for handling Buyer assets, availability of lockable storage, </w:t>
      </w:r>
      <w:r>
        <w:rPr>
          <w:i/>
          <w:color w:val="000000"/>
        </w:rPr>
        <w:lastRenderedPageBreak/>
        <w:t>procedures covering end of day/silent hours, key management, visitor controls.</w:t>
      </w:r>
    </w:p>
    <w:p w14:paraId="7DF52023" w14:textId="77777777" w:rsidR="00CD68D5" w:rsidRDefault="00CD68D5" w:rsidP="00E1349E">
      <w:pPr>
        <w:numPr>
          <w:ilvl w:val="0"/>
          <w:numId w:val="199"/>
        </w:numPr>
        <w:pBdr>
          <w:top w:val="nil"/>
          <w:left w:val="nil"/>
          <w:bottom w:val="nil"/>
          <w:right w:val="nil"/>
          <w:between w:val="nil"/>
        </w:pBdr>
        <w:spacing w:before="100" w:after="200"/>
      </w:pPr>
      <w:r>
        <w:rPr>
          <w:i/>
          <w:color w:val="000000"/>
        </w:rPr>
        <w:t>Please also include details of any automated access controls, alarms and CCTV coverage. Please also provide details of the maintenance schedule of these security controls.&gt; For the locations where Authority assets are held please provide details of any procedures and security in place designed to control access to the site perimeter. Please detail the measures in place such as fencing, CCTV, guarding, and procedures and controls to handle staff and visitors requesting access to the site. Please also provide details of the maintenance schedule of your security controls</w:t>
      </w:r>
      <w:r>
        <w:rPr>
          <w:color w:val="000000"/>
        </w:rPr>
        <w:t>.]</w:t>
      </w:r>
    </w:p>
    <w:p w14:paraId="3FDECF2F" w14:textId="77777777" w:rsidR="00CD68D5" w:rsidRDefault="00CD68D5" w:rsidP="00E1349E">
      <w:pPr>
        <w:keepNext/>
        <w:numPr>
          <w:ilvl w:val="0"/>
          <w:numId w:val="194"/>
        </w:numPr>
        <w:pBdr>
          <w:top w:val="nil"/>
          <w:left w:val="nil"/>
          <w:bottom w:val="nil"/>
          <w:right w:val="nil"/>
          <w:between w:val="nil"/>
        </w:pBdr>
        <w:spacing w:before="360" w:after="200"/>
      </w:pPr>
      <w:bookmarkStart w:id="518" w:name="_Ref144385923"/>
      <w:r>
        <w:rPr>
          <w:b/>
          <w:color w:val="000000"/>
          <w:szCs w:val="24"/>
        </w:rPr>
        <w:t>Major hardware and software and end of support dates</w:t>
      </w:r>
      <w:bookmarkEnd w:id="518"/>
      <w:r>
        <w:rPr>
          <w:b/>
          <w:color w:val="000000"/>
          <w:szCs w:val="24"/>
        </w:rPr>
        <w:t xml:space="preserve"> </w:t>
      </w:r>
    </w:p>
    <w:p w14:paraId="61BF0A46"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This should be a table which lists the end of support dates for hardware and software products and components. An example table is shown below.</w:t>
      </w:r>
      <w:r>
        <w:rPr>
          <w:color w:val="000000"/>
        </w:rPr>
        <w:t xml:space="preserve">] </w:t>
      </w:r>
    </w:p>
    <w:tbl>
      <w:tblPr>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1890"/>
        <w:gridCol w:w="2520"/>
        <w:gridCol w:w="2700"/>
      </w:tblGrid>
      <w:tr w:rsidR="00CD68D5" w14:paraId="5173C98E" w14:textId="77777777" w:rsidTr="00CD68D5">
        <w:trPr>
          <w:cantSplit/>
        </w:trPr>
        <w:tc>
          <w:tcPr>
            <w:tcW w:w="1170" w:type="dxa"/>
            <w:shd w:val="clear" w:color="auto" w:fill="E7E6E6"/>
          </w:tcPr>
          <w:p w14:paraId="78FA1537" w14:textId="77777777" w:rsidR="00CD68D5" w:rsidRDefault="00CD68D5" w:rsidP="00CD68D5">
            <w:pPr>
              <w:spacing w:before="120" w:after="120"/>
              <w:jc w:val="center"/>
              <w:rPr>
                <w:sz w:val="18"/>
                <w:szCs w:val="18"/>
              </w:rPr>
            </w:pPr>
            <w:r>
              <w:rPr>
                <w:sz w:val="18"/>
                <w:szCs w:val="18"/>
              </w:rPr>
              <w:t>Name</w:t>
            </w:r>
          </w:p>
        </w:tc>
        <w:tc>
          <w:tcPr>
            <w:tcW w:w="1890" w:type="dxa"/>
            <w:shd w:val="clear" w:color="auto" w:fill="E7E6E6"/>
          </w:tcPr>
          <w:p w14:paraId="2D0CCD80" w14:textId="77777777" w:rsidR="00CD68D5" w:rsidRDefault="00CD68D5" w:rsidP="00CD68D5">
            <w:pPr>
              <w:spacing w:before="120" w:after="120"/>
              <w:jc w:val="center"/>
              <w:rPr>
                <w:sz w:val="18"/>
                <w:szCs w:val="18"/>
              </w:rPr>
            </w:pPr>
            <w:r>
              <w:rPr>
                <w:sz w:val="18"/>
                <w:szCs w:val="18"/>
              </w:rPr>
              <w:t>Version</w:t>
            </w:r>
          </w:p>
        </w:tc>
        <w:tc>
          <w:tcPr>
            <w:tcW w:w="2520" w:type="dxa"/>
            <w:shd w:val="clear" w:color="auto" w:fill="E7E6E6"/>
          </w:tcPr>
          <w:p w14:paraId="5F347E57" w14:textId="77777777" w:rsidR="00CD68D5" w:rsidRDefault="00CD68D5" w:rsidP="00CD68D5">
            <w:pPr>
              <w:spacing w:before="120" w:after="120"/>
              <w:jc w:val="center"/>
              <w:rPr>
                <w:sz w:val="18"/>
                <w:szCs w:val="18"/>
              </w:rPr>
            </w:pPr>
            <w:r>
              <w:rPr>
                <w:sz w:val="18"/>
                <w:szCs w:val="18"/>
              </w:rPr>
              <w:t>End of mainstream Support/Extended Support</w:t>
            </w:r>
          </w:p>
        </w:tc>
        <w:tc>
          <w:tcPr>
            <w:tcW w:w="2700" w:type="dxa"/>
            <w:shd w:val="clear" w:color="auto" w:fill="E7E6E6"/>
          </w:tcPr>
          <w:p w14:paraId="7BDFBD72" w14:textId="77777777" w:rsidR="00CD68D5" w:rsidRDefault="00CD68D5" w:rsidP="00CD68D5">
            <w:pPr>
              <w:spacing w:before="120" w:after="120"/>
              <w:jc w:val="center"/>
              <w:rPr>
                <w:sz w:val="18"/>
                <w:szCs w:val="18"/>
              </w:rPr>
            </w:pPr>
            <w:r>
              <w:rPr>
                <w:sz w:val="18"/>
                <w:szCs w:val="18"/>
              </w:rPr>
              <w:t>Notes/RAG Status</w:t>
            </w:r>
          </w:p>
        </w:tc>
      </w:tr>
      <w:tr w:rsidR="00CD68D5" w14:paraId="43D954DC" w14:textId="77777777" w:rsidTr="00CD68D5">
        <w:trPr>
          <w:cantSplit/>
        </w:trPr>
        <w:tc>
          <w:tcPr>
            <w:tcW w:w="1170" w:type="dxa"/>
          </w:tcPr>
          <w:p w14:paraId="62083243" w14:textId="77777777" w:rsidR="00CD68D5" w:rsidRDefault="00CD68D5" w:rsidP="00CD68D5">
            <w:pPr>
              <w:spacing w:before="120" w:after="120"/>
              <w:rPr>
                <w:sz w:val="18"/>
                <w:szCs w:val="18"/>
              </w:rPr>
            </w:pPr>
            <w:r>
              <w:rPr>
                <w:sz w:val="18"/>
                <w:szCs w:val="18"/>
              </w:rPr>
              <w:t>Server Host</w:t>
            </w:r>
          </w:p>
        </w:tc>
        <w:tc>
          <w:tcPr>
            <w:tcW w:w="1890" w:type="dxa"/>
          </w:tcPr>
          <w:p w14:paraId="6F7D20D5" w14:textId="77777777" w:rsidR="00CD68D5" w:rsidRDefault="00CD68D5" w:rsidP="00CD68D5">
            <w:pPr>
              <w:spacing w:before="120" w:after="120"/>
              <w:rPr>
                <w:sz w:val="18"/>
                <w:szCs w:val="18"/>
              </w:rPr>
            </w:pPr>
            <w:r>
              <w:rPr>
                <w:sz w:val="18"/>
                <w:szCs w:val="18"/>
              </w:rPr>
              <w:t>Supplier name XXXX</w:t>
            </w:r>
          </w:p>
        </w:tc>
        <w:tc>
          <w:tcPr>
            <w:tcW w:w="2520" w:type="dxa"/>
          </w:tcPr>
          <w:p w14:paraId="2E618C2F" w14:textId="77777777" w:rsidR="00CD68D5" w:rsidRDefault="00CD68D5" w:rsidP="00CD68D5">
            <w:pPr>
              <w:spacing w:before="120" w:after="120"/>
              <w:rPr>
                <w:sz w:val="18"/>
                <w:szCs w:val="18"/>
              </w:rPr>
            </w:pPr>
            <w:r>
              <w:rPr>
                <w:sz w:val="18"/>
                <w:szCs w:val="18"/>
              </w:rPr>
              <w:t>Feb 2020/March 2022</w:t>
            </w:r>
          </w:p>
        </w:tc>
        <w:tc>
          <w:tcPr>
            <w:tcW w:w="2700" w:type="dxa"/>
            <w:shd w:val="clear" w:color="auto" w:fill="70AD47"/>
          </w:tcPr>
          <w:p w14:paraId="6F4BA3D7" w14:textId="77777777" w:rsidR="00CD68D5" w:rsidRDefault="00CD68D5" w:rsidP="00CD68D5">
            <w:pPr>
              <w:spacing w:before="120" w:after="120"/>
              <w:rPr>
                <w:sz w:val="18"/>
                <w:szCs w:val="18"/>
              </w:rPr>
            </w:pPr>
          </w:p>
        </w:tc>
      </w:tr>
    </w:tbl>
    <w:p w14:paraId="0399492D" w14:textId="77777777" w:rsidR="00CD68D5" w:rsidRDefault="00CD68D5" w:rsidP="00CD68D5">
      <w:pPr>
        <w:pBdr>
          <w:top w:val="nil"/>
          <w:left w:val="nil"/>
          <w:bottom w:val="nil"/>
          <w:right w:val="nil"/>
          <w:between w:val="nil"/>
        </w:pBdr>
        <w:rPr>
          <w:color w:val="000000"/>
        </w:rPr>
      </w:pPr>
      <w:bookmarkStart w:id="519" w:name="_heading=h.320vgez" w:colFirst="0" w:colLast="0"/>
      <w:bookmarkEnd w:id="519"/>
    </w:p>
    <w:p w14:paraId="2A99013D" w14:textId="77777777" w:rsidR="00CD68D5" w:rsidRDefault="00CD68D5" w:rsidP="00E1349E">
      <w:pPr>
        <w:keepNext/>
        <w:numPr>
          <w:ilvl w:val="0"/>
          <w:numId w:val="194"/>
        </w:numPr>
        <w:pBdr>
          <w:top w:val="nil"/>
          <w:left w:val="nil"/>
          <w:bottom w:val="nil"/>
          <w:right w:val="nil"/>
          <w:between w:val="nil"/>
        </w:pBdr>
        <w:spacing w:before="360" w:after="200"/>
      </w:pPr>
      <w:bookmarkStart w:id="520" w:name="_Ref144385931"/>
      <w:r w:rsidRPr="00B23EF3">
        <w:rPr>
          <w:rStyle w:val="Level1asHeadingtext"/>
        </w:rPr>
        <w:t>Incident</w:t>
      </w:r>
      <w:r>
        <w:rPr>
          <w:b/>
          <w:color w:val="000000"/>
          <w:szCs w:val="24"/>
        </w:rPr>
        <w:t xml:space="preserve"> management process</w:t>
      </w:r>
      <w:bookmarkEnd w:id="520"/>
      <w:r>
        <w:rPr>
          <w:b/>
          <w:color w:val="000000"/>
          <w:szCs w:val="24"/>
        </w:rPr>
        <w:t xml:space="preserve"> </w:t>
      </w:r>
    </w:p>
    <w:p w14:paraId="4AD15C59" w14:textId="77777777" w:rsidR="00CD68D5" w:rsidRDefault="00CD68D5" w:rsidP="00E1349E">
      <w:pPr>
        <w:numPr>
          <w:ilvl w:val="0"/>
          <w:numId w:val="199"/>
        </w:numPr>
        <w:pBdr>
          <w:top w:val="nil"/>
          <w:left w:val="nil"/>
          <w:bottom w:val="nil"/>
          <w:right w:val="nil"/>
          <w:between w:val="nil"/>
        </w:pBdr>
        <w:spacing w:before="100" w:after="200"/>
      </w:pPr>
      <w:r>
        <w:rPr>
          <w:color w:val="000000"/>
        </w:rPr>
        <w:t>[</w:t>
      </w:r>
      <w:r>
        <w:rPr>
          <w:i/>
          <w:color w:val="000000"/>
        </w:rPr>
        <w:t>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w:t>
      </w:r>
      <w:r>
        <w:rPr>
          <w:color w:val="000000"/>
        </w:rPr>
        <w:t>.]</w:t>
      </w:r>
    </w:p>
    <w:p w14:paraId="5CD09E58" w14:textId="77777777" w:rsidR="00CD68D5" w:rsidRDefault="00CD68D5" w:rsidP="00E1349E">
      <w:pPr>
        <w:keepNext/>
        <w:numPr>
          <w:ilvl w:val="0"/>
          <w:numId w:val="194"/>
        </w:numPr>
        <w:pBdr>
          <w:top w:val="nil"/>
          <w:left w:val="nil"/>
          <w:bottom w:val="nil"/>
          <w:right w:val="nil"/>
          <w:between w:val="nil"/>
        </w:pBdr>
        <w:spacing w:before="360" w:after="200"/>
      </w:pPr>
      <w:bookmarkStart w:id="521" w:name="_Ref144385938"/>
      <w:r>
        <w:rPr>
          <w:b/>
          <w:color w:val="000000"/>
          <w:szCs w:val="24"/>
        </w:rPr>
        <w:t>Required changes register</w:t>
      </w:r>
      <w:bookmarkEnd w:id="521"/>
    </w:p>
    <w:p w14:paraId="4A5771E8" w14:textId="77777777" w:rsidR="00CD68D5" w:rsidRDefault="00CD68D5" w:rsidP="00E1349E">
      <w:pPr>
        <w:keepNext/>
        <w:numPr>
          <w:ilvl w:val="0"/>
          <w:numId w:val="199"/>
        </w:numPr>
        <w:pBdr>
          <w:top w:val="nil"/>
          <w:left w:val="nil"/>
          <w:bottom w:val="nil"/>
          <w:right w:val="nil"/>
          <w:between w:val="nil"/>
        </w:pBdr>
        <w:spacing w:before="100" w:after="200"/>
      </w:pPr>
      <w:r>
        <w:rPr>
          <w:color w:val="000000"/>
        </w:rPr>
        <w:t>[</w:t>
      </w:r>
      <w:r>
        <w:rPr>
          <w:i/>
          <w:color w:val="000000"/>
        </w:rPr>
        <w:t>The table below shows the headings for the Required Changes Register which should be maintained and used to update the contents of this document at least annually</w:t>
      </w:r>
      <w:r>
        <w:rPr>
          <w:color w:val="000000"/>
        </w:rPr>
        <w:t>.]</w:t>
      </w:r>
    </w:p>
    <w:tbl>
      <w:tblPr>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990"/>
        <w:gridCol w:w="1980"/>
        <w:gridCol w:w="990"/>
        <w:gridCol w:w="1170"/>
        <w:gridCol w:w="1530"/>
        <w:gridCol w:w="810"/>
      </w:tblGrid>
      <w:tr w:rsidR="00CD68D5" w14:paraId="12F15852" w14:textId="77777777" w:rsidTr="00CD68D5">
        <w:trPr>
          <w:cantSplit/>
          <w:trHeight w:val="493"/>
        </w:trPr>
        <w:tc>
          <w:tcPr>
            <w:tcW w:w="810" w:type="dxa"/>
            <w:shd w:val="clear" w:color="auto" w:fill="E7E6E6"/>
          </w:tcPr>
          <w:p w14:paraId="17B9A641" w14:textId="77777777" w:rsidR="00CD68D5" w:rsidRDefault="00CD68D5" w:rsidP="00CD68D5">
            <w:pPr>
              <w:keepNext/>
              <w:spacing w:before="120" w:after="120"/>
              <w:rPr>
                <w:sz w:val="18"/>
                <w:szCs w:val="18"/>
              </w:rPr>
            </w:pPr>
            <w:r>
              <w:rPr>
                <w:sz w:val="18"/>
                <w:szCs w:val="18"/>
              </w:rPr>
              <w:t>Ref</w:t>
            </w:r>
          </w:p>
        </w:tc>
        <w:tc>
          <w:tcPr>
            <w:tcW w:w="990" w:type="dxa"/>
            <w:shd w:val="clear" w:color="auto" w:fill="E7E6E6"/>
          </w:tcPr>
          <w:p w14:paraId="482BBE57" w14:textId="77777777" w:rsidR="00CD68D5" w:rsidRDefault="00CD68D5" w:rsidP="00CD68D5">
            <w:pPr>
              <w:keepNext/>
              <w:spacing w:before="120" w:after="120"/>
              <w:rPr>
                <w:sz w:val="18"/>
                <w:szCs w:val="18"/>
              </w:rPr>
            </w:pPr>
            <w:r>
              <w:rPr>
                <w:sz w:val="18"/>
                <w:szCs w:val="18"/>
              </w:rPr>
              <w:t>Section</w:t>
            </w:r>
          </w:p>
        </w:tc>
        <w:tc>
          <w:tcPr>
            <w:tcW w:w="1980" w:type="dxa"/>
            <w:shd w:val="clear" w:color="auto" w:fill="E7E6E6"/>
          </w:tcPr>
          <w:p w14:paraId="5131E852" w14:textId="77777777" w:rsidR="00CD68D5" w:rsidRDefault="00CD68D5" w:rsidP="00CD68D5">
            <w:pPr>
              <w:keepNext/>
              <w:spacing w:before="120" w:after="120"/>
              <w:rPr>
                <w:sz w:val="18"/>
                <w:szCs w:val="18"/>
              </w:rPr>
            </w:pPr>
            <w:r>
              <w:rPr>
                <w:sz w:val="18"/>
                <w:szCs w:val="18"/>
              </w:rPr>
              <w:t>Change</w:t>
            </w:r>
          </w:p>
        </w:tc>
        <w:tc>
          <w:tcPr>
            <w:tcW w:w="990" w:type="dxa"/>
            <w:shd w:val="clear" w:color="auto" w:fill="E7E6E6"/>
          </w:tcPr>
          <w:p w14:paraId="02AA6E08" w14:textId="77777777" w:rsidR="00CD68D5" w:rsidRDefault="00CD68D5" w:rsidP="00CD68D5">
            <w:pPr>
              <w:keepNext/>
              <w:spacing w:before="120" w:after="120"/>
              <w:rPr>
                <w:sz w:val="18"/>
                <w:szCs w:val="18"/>
              </w:rPr>
            </w:pPr>
            <w:r>
              <w:rPr>
                <w:sz w:val="18"/>
                <w:szCs w:val="18"/>
              </w:rPr>
              <w:t>Agreed With</w:t>
            </w:r>
          </w:p>
        </w:tc>
        <w:tc>
          <w:tcPr>
            <w:tcW w:w="1170" w:type="dxa"/>
            <w:shd w:val="clear" w:color="auto" w:fill="E7E6E6"/>
          </w:tcPr>
          <w:p w14:paraId="5F4BCD05" w14:textId="77777777" w:rsidR="00CD68D5" w:rsidRDefault="00CD68D5" w:rsidP="00CD68D5">
            <w:pPr>
              <w:keepNext/>
              <w:spacing w:before="120" w:after="120"/>
              <w:rPr>
                <w:sz w:val="18"/>
                <w:szCs w:val="18"/>
              </w:rPr>
            </w:pPr>
            <w:r>
              <w:rPr>
                <w:sz w:val="18"/>
                <w:szCs w:val="18"/>
              </w:rPr>
              <w:t>Date agreed</w:t>
            </w:r>
          </w:p>
        </w:tc>
        <w:tc>
          <w:tcPr>
            <w:tcW w:w="1530" w:type="dxa"/>
            <w:shd w:val="clear" w:color="auto" w:fill="E7E6E6"/>
          </w:tcPr>
          <w:p w14:paraId="7A0527C9" w14:textId="77777777" w:rsidR="00CD68D5" w:rsidRDefault="00CD68D5" w:rsidP="00CD68D5">
            <w:pPr>
              <w:keepNext/>
              <w:spacing w:before="120" w:after="120"/>
              <w:rPr>
                <w:sz w:val="18"/>
                <w:szCs w:val="18"/>
              </w:rPr>
            </w:pPr>
            <w:r>
              <w:rPr>
                <w:sz w:val="18"/>
                <w:szCs w:val="18"/>
              </w:rPr>
              <w:t>Documentation update</w:t>
            </w:r>
          </w:p>
        </w:tc>
        <w:tc>
          <w:tcPr>
            <w:tcW w:w="810" w:type="dxa"/>
            <w:shd w:val="clear" w:color="auto" w:fill="E7E6E6"/>
          </w:tcPr>
          <w:p w14:paraId="32D43B3D" w14:textId="77777777" w:rsidR="00CD68D5" w:rsidRDefault="00CD68D5" w:rsidP="00CD68D5">
            <w:pPr>
              <w:keepNext/>
              <w:spacing w:before="120" w:after="120"/>
              <w:rPr>
                <w:sz w:val="18"/>
                <w:szCs w:val="18"/>
              </w:rPr>
            </w:pPr>
            <w:r>
              <w:rPr>
                <w:sz w:val="18"/>
                <w:szCs w:val="18"/>
              </w:rPr>
              <w:t>Status</w:t>
            </w:r>
          </w:p>
        </w:tc>
      </w:tr>
      <w:tr w:rsidR="00CD68D5" w14:paraId="2CB0913A" w14:textId="77777777" w:rsidTr="00CD68D5">
        <w:trPr>
          <w:cantSplit/>
          <w:trHeight w:val="580"/>
        </w:trPr>
        <w:tc>
          <w:tcPr>
            <w:tcW w:w="810" w:type="dxa"/>
          </w:tcPr>
          <w:p w14:paraId="4FD60E5D" w14:textId="77777777" w:rsidR="00CD68D5" w:rsidRDefault="00CD68D5" w:rsidP="00CD68D5">
            <w:pPr>
              <w:spacing w:before="120" w:after="120"/>
              <w:rPr>
                <w:sz w:val="18"/>
                <w:szCs w:val="18"/>
              </w:rPr>
            </w:pPr>
            <w:r>
              <w:rPr>
                <w:sz w:val="18"/>
                <w:szCs w:val="18"/>
              </w:rPr>
              <w:t>1</w:t>
            </w:r>
          </w:p>
        </w:tc>
        <w:tc>
          <w:tcPr>
            <w:tcW w:w="990" w:type="dxa"/>
          </w:tcPr>
          <w:p w14:paraId="61F1F80D" w14:textId="77777777" w:rsidR="00CD68D5" w:rsidRDefault="00CD68D5" w:rsidP="00CD68D5">
            <w:pPr>
              <w:spacing w:before="120" w:after="120"/>
              <w:rPr>
                <w:sz w:val="18"/>
                <w:szCs w:val="18"/>
              </w:rPr>
            </w:pPr>
            <w:r>
              <w:rPr>
                <w:sz w:val="18"/>
                <w:szCs w:val="18"/>
              </w:rPr>
              <w:t>6.4</w:t>
            </w:r>
          </w:p>
        </w:tc>
        <w:tc>
          <w:tcPr>
            <w:tcW w:w="1980" w:type="dxa"/>
          </w:tcPr>
          <w:p w14:paraId="1AC5E4A4" w14:textId="77777777" w:rsidR="00CD68D5" w:rsidRDefault="00CD68D5" w:rsidP="00CD68D5">
            <w:pPr>
              <w:spacing w:before="120" w:after="120"/>
              <w:rPr>
                <w:sz w:val="18"/>
                <w:szCs w:val="18"/>
              </w:rPr>
            </w:pPr>
            <w:r>
              <w:rPr>
                <w:sz w:val="18"/>
                <w:szCs w:val="18"/>
              </w:rPr>
              <w:t>A new Third Party supplier XXXX will be performing the print capability.</w:t>
            </w:r>
          </w:p>
        </w:tc>
        <w:tc>
          <w:tcPr>
            <w:tcW w:w="990" w:type="dxa"/>
          </w:tcPr>
          <w:p w14:paraId="34E119DB" w14:textId="77777777" w:rsidR="00CD68D5" w:rsidRDefault="00CD68D5" w:rsidP="00CD68D5">
            <w:pPr>
              <w:spacing w:before="120" w:after="120"/>
              <w:rPr>
                <w:sz w:val="18"/>
                <w:szCs w:val="18"/>
              </w:rPr>
            </w:pPr>
            <w:r>
              <w:rPr>
                <w:sz w:val="18"/>
                <w:szCs w:val="18"/>
              </w:rPr>
              <w:t>Authority name</w:t>
            </w:r>
          </w:p>
        </w:tc>
        <w:tc>
          <w:tcPr>
            <w:tcW w:w="1170" w:type="dxa"/>
          </w:tcPr>
          <w:p w14:paraId="3AA9BBD4" w14:textId="77777777" w:rsidR="00CD68D5" w:rsidRDefault="00CD68D5" w:rsidP="00CD68D5">
            <w:pPr>
              <w:spacing w:before="120" w:after="120"/>
              <w:rPr>
                <w:sz w:val="18"/>
                <w:szCs w:val="18"/>
              </w:rPr>
            </w:pPr>
            <w:r>
              <w:rPr>
                <w:sz w:val="18"/>
                <w:szCs w:val="18"/>
              </w:rPr>
              <w:t>11/11/2021</w:t>
            </w:r>
          </w:p>
        </w:tc>
        <w:tc>
          <w:tcPr>
            <w:tcW w:w="1530" w:type="dxa"/>
          </w:tcPr>
          <w:p w14:paraId="1C97829E" w14:textId="77777777" w:rsidR="00CD68D5" w:rsidRDefault="00CD68D5" w:rsidP="00CD68D5">
            <w:pPr>
              <w:keepNext/>
              <w:spacing w:before="120" w:after="120"/>
              <w:rPr>
                <w:sz w:val="18"/>
                <w:szCs w:val="18"/>
              </w:rPr>
            </w:pPr>
            <w:r>
              <w:rPr>
                <w:sz w:val="18"/>
                <w:szCs w:val="18"/>
              </w:rPr>
              <w:t>Jul-2022</w:t>
            </w:r>
          </w:p>
        </w:tc>
        <w:tc>
          <w:tcPr>
            <w:tcW w:w="810" w:type="dxa"/>
          </w:tcPr>
          <w:p w14:paraId="7B7AAFA0" w14:textId="77777777" w:rsidR="00CD68D5" w:rsidRDefault="00CD68D5" w:rsidP="00CD68D5">
            <w:pPr>
              <w:spacing w:before="120" w:after="120"/>
              <w:rPr>
                <w:sz w:val="18"/>
                <w:szCs w:val="18"/>
              </w:rPr>
            </w:pPr>
            <w:r>
              <w:rPr>
                <w:sz w:val="18"/>
                <w:szCs w:val="18"/>
              </w:rPr>
              <w:t>Open</w:t>
            </w:r>
          </w:p>
        </w:tc>
      </w:tr>
    </w:tbl>
    <w:p w14:paraId="0CC01A8A" w14:textId="77777777" w:rsidR="00CD68D5" w:rsidRDefault="00CD68D5" w:rsidP="00CD68D5">
      <w:pPr>
        <w:pBdr>
          <w:top w:val="nil"/>
          <w:left w:val="nil"/>
          <w:bottom w:val="nil"/>
          <w:right w:val="nil"/>
          <w:between w:val="nil"/>
        </w:pBdr>
        <w:ind w:left="720"/>
        <w:rPr>
          <w:color w:val="000000"/>
        </w:rPr>
        <w:sectPr w:rsidR="00CD68D5" w:rsidSect="00892E34">
          <w:headerReference w:type="default" r:id="rId68"/>
          <w:pgSz w:w="11906" w:h="16838"/>
          <w:pgMar w:top="1440" w:right="1440" w:bottom="1797" w:left="1440" w:header="720" w:footer="720" w:gutter="0"/>
          <w:cols w:space="720"/>
        </w:sectPr>
      </w:pPr>
    </w:p>
    <w:p w14:paraId="40C6EA03" w14:textId="77777777" w:rsidR="00CD68D5" w:rsidRPr="00AA0FBE" w:rsidRDefault="00CD68D5" w:rsidP="00E1349E">
      <w:pPr>
        <w:keepNext/>
        <w:numPr>
          <w:ilvl w:val="0"/>
          <w:numId w:val="196"/>
        </w:numPr>
        <w:pBdr>
          <w:top w:val="nil"/>
          <w:left w:val="nil"/>
          <w:bottom w:val="nil"/>
          <w:right w:val="nil"/>
          <w:between w:val="nil"/>
        </w:pBdr>
        <w:spacing w:before="100" w:after="200"/>
        <w:rPr>
          <w:b/>
        </w:rPr>
      </w:pPr>
      <w:bookmarkStart w:id="522" w:name="_heading=h.2gb3jie" w:colFirst="0" w:colLast="0"/>
      <w:bookmarkEnd w:id="522"/>
      <w:r w:rsidRPr="00AA0FBE">
        <w:rPr>
          <w:b/>
          <w:color w:val="000000"/>
          <w:sz w:val="28"/>
          <w:szCs w:val="28"/>
        </w:rPr>
        <w:lastRenderedPageBreak/>
        <w:t>ISO27001 and/or cyber essential plus certificates</w:t>
      </w:r>
    </w:p>
    <w:p w14:paraId="2A0C52AD" w14:textId="77777777" w:rsidR="00CD68D5" w:rsidRDefault="00CD68D5" w:rsidP="00CD68D5">
      <w:pPr>
        <w:pBdr>
          <w:top w:val="nil"/>
          <w:left w:val="nil"/>
          <w:bottom w:val="nil"/>
          <w:right w:val="nil"/>
          <w:between w:val="nil"/>
        </w:pBdr>
        <w:rPr>
          <w:color w:val="000000"/>
        </w:rPr>
        <w:sectPr w:rsidR="00CD68D5" w:rsidSect="00892E34">
          <w:headerReference w:type="even" r:id="rId69"/>
          <w:footerReference w:type="even" r:id="rId70"/>
          <w:headerReference w:type="first" r:id="rId71"/>
          <w:footerReference w:type="first" r:id="rId72"/>
          <w:pgSz w:w="11906" w:h="16838"/>
          <w:pgMar w:top="1440" w:right="1440" w:bottom="1797" w:left="1440" w:header="720" w:footer="720" w:gutter="0"/>
          <w:cols w:space="720"/>
        </w:sectPr>
      </w:pPr>
      <w:r>
        <w:rPr>
          <w:color w:val="000000"/>
        </w:rPr>
        <w:t>[</w:t>
      </w:r>
      <w:r>
        <w:rPr>
          <w:i/>
          <w:color w:val="000000"/>
        </w:rPr>
        <w:t>Please include copies of the certificates here</w:t>
      </w:r>
      <w:r>
        <w:rPr>
          <w:color w:val="000000"/>
        </w:rPr>
        <w:t>]</w:t>
      </w:r>
    </w:p>
    <w:p w14:paraId="35CC8BAB" w14:textId="77777777" w:rsidR="00CD68D5" w:rsidRPr="00AA0FBE" w:rsidRDefault="00CD68D5" w:rsidP="00E1349E">
      <w:pPr>
        <w:keepNext/>
        <w:numPr>
          <w:ilvl w:val="0"/>
          <w:numId w:val="196"/>
        </w:numPr>
        <w:pBdr>
          <w:top w:val="nil"/>
          <w:left w:val="nil"/>
          <w:bottom w:val="nil"/>
          <w:right w:val="nil"/>
          <w:between w:val="nil"/>
        </w:pBdr>
        <w:spacing w:before="100" w:after="200"/>
        <w:rPr>
          <w:b/>
        </w:rPr>
      </w:pPr>
      <w:bookmarkStart w:id="523" w:name="_heading=h.vgdtq7" w:colFirst="0" w:colLast="0"/>
      <w:bookmarkEnd w:id="523"/>
      <w:r w:rsidRPr="00AA0FBE">
        <w:rPr>
          <w:b/>
          <w:color w:val="000000"/>
          <w:sz w:val="28"/>
          <w:szCs w:val="28"/>
        </w:rPr>
        <w:lastRenderedPageBreak/>
        <w:t xml:space="preserve">Cloud security principles assessment </w:t>
      </w:r>
    </w:p>
    <w:p w14:paraId="0316EA47" w14:textId="77777777" w:rsidR="00CD68D5" w:rsidRDefault="00CD68D5" w:rsidP="00CD68D5">
      <w:pPr>
        <w:pBdr>
          <w:top w:val="nil"/>
          <w:left w:val="nil"/>
          <w:bottom w:val="nil"/>
          <w:right w:val="nil"/>
          <w:between w:val="nil"/>
        </w:pBdr>
        <w:rPr>
          <w:color w:val="000000"/>
        </w:rPr>
      </w:pPr>
      <w:r>
        <w:rPr>
          <w:color w:val="000000"/>
        </w:rPr>
        <w:t>[</w:t>
      </w:r>
      <w:r>
        <w:rPr>
          <w:i/>
          <w:color w:val="000000"/>
        </w:rPr>
        <w:t>Please add your controls in the attached table.</w:t>
      </w:r>
      <w:r>
        <w:rPr>
          <w:color w:val="000000"/>
        </w:rPr>
        <w:t>]</w:t>
      </w:r>
    </w:p>
    <w:tbl>
      <w:tblPr>
        <w:tblW w:w="9636" w:type="dxa"/>
        <w:tblBorders>
          <w:top w:val="nil"/>
          <w:left w:val="nil"/>
          <w:bottom w:val="nil"/>
          <w:right w:val="nil"/>
          <w:insideH w:val="nil"/>
          <w:insideV w:val="nil"/>
        </w:tblBorders>
        <w:tblLayout w:type="fixed"/>
        <w:tblLook w:val="0600" w:firstRow="0" w:lastRow="0" w:firstColumn="0" w:lastColumn="0" w:noHBand="1" w:noVBand="1"/>
      </w:tblPr>
      <w:tblGrid>
        <w:gridCol w:w="2544"/>
        <w:gridCol w:w="2814"/>
        <w:gridCol w:w="4278"/>
      </w:tblGrid>
      <w:tr w:rsidR="00CD68D5" w14:paraId="7E4E1D81" w14:textId="77777777" w:rsidTr="00CD68D5">
        <w:trPr>
          <w:tblHeader/>
        </w:trPr>
        <w:tc>
          <w:tcPr>
            <w:tcW w:w="254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1266064" w14:textId="77777777" w:rsidR="00CD68D5" w:rsidRDefault="00CD68D5" w:rsidP="00CD68D5">
            <w:pPr>
              <w:spacing w:after="120"/>
            </w:pPr>
            <w:r>
              <w:t>Principle</w:t>
            </w:r>
          </w:p>
        </w:tc>
        <w:tc>
          <w:tcPr>
            <w:tcW w:w="2814"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84C9174" w14:textId="77777777" w:rsidR="00CD68D5" w:rsidRDefault="00CD68D5" w:rsidP="00CD68D5">
            <w:pPr>
              <w:spacing w:after="120"/>
            </w:pPr>
            <w:r>
              <w:t>Goals of the Principle</w:t>
            </w:r>
          </w:p>
        </w:tc>
        <w:tc>
          <w:tcPr>
            <w:tcW w:w="427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C74F7AB" w14:textId="77777777" w:rsidR="00CD68D5" w:rsidRDefault="00CD68D5" w:rsidP="00CD68D5">
            <w:pPr>
              <w:spacing w:after="120"/>
            </w:pPr>
            <w:r>
              <w:t>Controls</w:t>
            </w:r>
          </w:p>
        </w:tc>
      </w:tr>
      <w:tr w:rsidR="00CD68D5" w14:paraId="3BEE4590"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CEDB85" w14:textId="77777777" w:rsidR="00CD68D5" w:rsidRDefault="00CD68D5" w:rsidP="00CD68D5">
            <w:pPr>
              <w:spacing w:after="120"/>
            </w:pPr>
            <w:r>
              <w:t>Principle 1 – Data in transit protection</w:t>
            </w:r>
          </w:p>
          <w:p w14:paraId="3BC84852" w14:textId="77777777" w:rsidR="00CD68D5" w:rsidRDefault="00CD68D5" w:rsidP="00CD68D5">
            <w:pPr>
              <w:keepNext/>
              <w:spacing w:after="120"/>
            </w:pPr>
            <w:r>
              <w:t>"User data transiting networks should be adequately protected against tampering and eavesdropping."</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0D8B44D0"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Data in transit is protected between end user device(s) and the service</w:t>
            </w:r>
          </w:p>
          <w:p w14:paraId="32DB9CEE"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Data in transit is protected internally within the service</w:t>
            </w:r>
          </w:p>
          <w:p w14:paraId="2E20273C"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Data in transit is protected between the service and other services (eg where APIs are exposed)</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228DFB4C" w14:textId="77777777" w:rsidR="00CD68D5" w:rsidRDefault="00CD68D5" w:rsidP="00CD68D5">
            <w:pPr>
              <w:spacing w:after="120"/>
            </w:pPr>
            <w:r>
              <w:t xml:space="preserve"> </w:t>
            </w:r>
          </w:p>
        </w:tc>
      </w:tr>
      <w:tr w:rsidR="00CD68D5" w14:paraId="0E1FF930"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EF6C92" w14:textId="77777777" w:rsidR="00CD68D5" w:rsidRDefault="00CD68D5" w:rsidP="00CD68D5">
            <w:pPr>
              <w:spacing w:after="120"/>
            </w:pPr>
            <w:r>
              <w:t>Principle 2 – Asset protection and resilience</w:t>
            </w:r>
          </w:p>
          <w:p w14:paraId="0224ECEB" w14:textId="77777777" w:rsidR="00CD68D5" w:rsidRDefault="00CD68D5" w:rsidP="00CD68D5">
            <w:pPr>
              <w:keepNext/>
              <w:spacing w:after="120"/>
            </w:pPr>
            <w:r>
              <w:t>"User data, and the assets storing or processing it, should be protected against physical tampering, loss, damage or seizure."</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5DA1989C" w14:textId="77777777" w:rsidR="00CD68D5" w:rsidRDefault="00CD68D5" w:rsidP="00CD68D5">
            <w:pPr>
              <w:keepNext/>
              <w:spacing w:after="120"/>
            </w:pPr>
            <w:r>
              <w:t>Cloud s understand:</w:t>
            </w:r>
          </w:p>
          <w:p w14:paraId="1B687D15"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In which countries their data will be stored, processed and managed. They should also consider how this affects compliance with relevant legislation eg Data Protection Act (DPA), GDPR etc.</w:t>
            </w:r>
          </w:p>
          <w:p w14:paraId="12934208"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Whether the legal jurisdiction(s) within which the service provider operates are acceptable to them</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3658F79C" w14:textId="77777777" w:rsidR="00CD68D5" w:rsidRDefault="00CD68D5" w:rsidP="00CD68D5">
            <w:pPr>
              <w:spacing w:after="120"/>
            </w:pPr>
            <w:r>
              <w:t xml:space="preserve"> </w:t>
            </w:r>
          </w:p>
        </w:tc>
      </w:tr>
      <w:tr w:rsidR="00CD68D5" w14:paraId="3CDCAE04"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A74DEC" w14:textId="77777777" w:rsidR="00CD68D5" w:rsidRDefault="00CD68D5" w:rsidP="00CD68D5">
            <w:pPr>
              <w:spacing w:after="120"/>
            </w:pPr>
            <w:r>
              <w:t>Principle 3 – Separation between users</w:t>
            </w:r>
          </w:p>
          <w:p w14:paraId="5C654C5F" w14:textId="77777777" w:rsidR="00CD68D5" w:rsidRDefault="00CD68D5" w:rsidP="00CD68D5">
            <w:pPr>
              <w:keepNext/>
              <w:spacing w:after="120"/>
            </w:pPr>
            <w:r>
              <w:t>"A malicious or compromised user of the service should not be able to affect the service or data of another."</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352FB93F" w14:textId="77777777" w:rsidR="00CD68D5" w:rsidRDefault="00CD68D5" w:rsidP="00CD68D5">
            <w:pPr>
              <w:keepNext/>
              <w:spacing w:after="120"/>
            </w:pPr>
            <w:r>
              <w:t xml:space="preserve">Cloud </w:t>
            </w:r>
          </w:p>
          <w:p w14:paraId="02E26C79"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Understand the types of user they share the service or platform with</w:t>
            </w:r>
          </w:p>
          <w:p w14:paraId="4368157B"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 xml:space="preserve">Have confidence that the service provides sufficient separation of their data and </w:t>
            </w:r>
            <w:r>
              <w:rPr>
                <w:rFonts w:eastAsia="Arial" w:cs="Arial"/>
                <w:color w:val="000000"/>
              </w:rPr>
              <w:lastRenderedPageBreak/>
              <w:t>service from other users of the service</w:t>
            </w:r>
          </w:p>
          <w:p w14:paraId="0B0CDA05"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Have confidence that management of their service is kept separate from other users (covered separately as part of Principle 9)</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07149D21" w14:textId="77777777" w:rsidR="00CD68D5" w:rsidRDefault="00CD68D5" w:rsidP="00CD68D5">
            <w:pPr>
              <w:spacing w:after="120"/>
            </w:pPr>
            <w:r>
              <w:lastRenderedPageBreak/>
              <w:t xml:space="preserve"> </w:t>
            </w:r>
          </w:p>
        </w:tc>
      </w:tr>
      <w:tr w:rsidR="00CD68D5" w14:paraId="312764FE"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0C9DAD" w14:textId="77777777" w:rsidR="00CD68D5" w:rsidRDefault="00CD68D5" w:rsidP="00CD68D5">
            <w:pPr>
              <w:spacing w:after="120"/>
            </w:pPr>
            <w:r>
              <w:t>Principle 4 – Governance framework</w:t>
            </w:r>
          </w:p>
          <w:p w14:paraId="7409E7F6" w14:textId="77777777" w:rsidR="00CD68D5" w:rsidRDefault="00CD68D5" w:rsidP="00CD68D5">
            <w:pPr>
              <w:spacing w:after="120"/>
            </w:pPr>
            <w:r>
              <w:t>"The service provider should have a security governance framework which coordinates and directs its management of the service and information within it. Any technical controls deployed outside of this framework will be fundamentally undermined."</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3B14BAC9" w14:textId="77777777" w:rsidR="00CD68D5" w:rsidRDefault="00CD68D5" w:rsidP="00CD68D5">
            <w:pPr>
              <w:spacing w:after="120"/>
            </w:pPr>
            <w:r>
              <w:t>Cloud should ensure that:</w:t>
            </w:r>
          </w:p>
          <w:p w14:paraId="254E7295"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A clearly identified, and named, board representative (or a person with the direct delegated authority) is responsible for the security of the cloud service. This is typically someone with the title ‘Chief Security Officer’, ‘Chief Information Officer’ or ‘Chief Technical Officer’</w:t>
            </w:r>
          </w:p>
          <w:p w14:paraId="4D8E957F"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A documented framework exists for security governance, with policies governing key aspects of information security relevant to the service</w:t>
            </w:r>
          </w:p>
          <w:p w14:paraId="7209FB08"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 xml:space="preserve">Security and information security are part of the service provider’s financial and operational risk reporting mechanisms, ensuring that the board would be kept </w:t>
            </w:r>
            <w:r>
              <w:rPr>
                <w:rFonts w:eastAsia="Arial" w:cs="Arial"/>
                <w:color w:val="000000"/>
              </w:rPr>
              <w:lastRenderedPageBreak/>
              <w:t>informed of security and information risk</w:t>
            </w:r>
          </w:p>
          <w:p w14:paraId="03F05034"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Processes to identify and ensure compliance with applicable legal and regulatory requirements have been established</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35419CC1" w14:textId="77777777" w:rsidR="00CD68D5" w:rsidRDefault="00CD68D5" w:rsidP="00CD68D5">
            <w:pPr>
              <w:spacing w:after="120"/>
            </w:pPr>
            <w:r>
              <w:lastRenderedPageBreak/>
              <w:t xml:space="preserve"> </w:t>
            </w:r>
          </w:p>
        </w:tc>
      </w:tr>
      <w:tr w:rsidR="00CD68D5" w14:paraId="62BEF6B9"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5A25AF" w14:textId="77777777" w:rsidR="00CD68D5" w:rsidRDefault="00CD68D5" w:rsidP="00CD68D5">
            <w:pPr>
              <w:spacing w:after="120"/>
            </w:pPr>
            <w:r>
              <w:t>Principle 5 – Operational security</w:t>
            </w:r>
          </w:p>
          <w:p w14:paraId="50649A5E" w14:textId="77777777" w:rsidR="00CD68D5" w:rsidRDefault="00CD68D5" w:rsidP="00CD68D5">
            <w:pPr>
              <w:keepNext/>
              <w:spacing w:after="120"/>
            </w:pPr>
            <w:r>
              <w:t>"The service needs to be operated and managed securely in order to impede, detect or prevent attacks. Good operational security should not require complex, bureaucratic, time consuming or expensive processes."</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3E82E24A" w14:textId="77777777" w:rsidR="00CD68D5" w:rsidRDefault="00CD68D5" w:rsidP="00CD68D5">
            <w:pPr>
              <w:keepNext/>
              <w:spacing w:after="120"/>
            </w:pPr>
            <w:r>
              <w:t>Cloud be confident that:</w:t>
            </w:r>
          </w:p>
          <w:p w14:paraId="3E2FF811"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The status, location and configuration of service components (both hardware and software) are tracked throughout their lifetime</w:t>
            </w:r>
          </w:p>
          <w:p w14:paraId="514C6D15"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Changes to the service are assessed for potential security impact. Then managed and tracked through to completion</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7C018E59" w14:textId="77777777" w:rsidR="00CD68D5" w:rsidRDefault="00CD68D5" w:rsidP="00CD68D5">
            <w:pPr>
              <w:spacing w:after="120"/>
            </w:pPr>
            <w:r>
              <w:t xml:space="preserve"> </w:t>
            </w:r>
          </w:p>
        </w:tc>
      </w:tr>
      <w:tr w:rsidR="00CD68D5" w14:paraId="6F807957"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0C03ED" w14:textId="77777777" w:rsidR="00CD68D5" w:rsidRDefault="00CD68D5" w:rsidP="00CD68D5">
            <w:pPr>
              <w:spacing w:after="120"/>
            </w:pPr>
            <w:r>
              <w:t>Principle 6 – Personnel security</w:t>
            </w:r>
          </w:p>
          <w:p w14:paraId="0EFF8A72" w14:textId="77777777" w:rsidR="00CD68D5" w:rsidRDefault="00CD68D5" w:rsidP="00CD68D5">
            <w:pPr>
              <w:keepNext/>
              <w:spacing w:after="120"/>
            </w:pPr>
            <w:r>
              <w:t>"Where service provider personnel have access to your data and systems you need a high degree of confidence in their trustworthiness. Thorough screening, supported by adequate training, reduces the likelihood of accidental or malicious compromise by service provider personnel."</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7C6EE7BD" w14:textId="77777777" w:rsidR="00CD68D5" w:rsidRDefault="00CD68D5" w:rsidP="00CD68D5">
            <w:pPr>
              <w:keepNext/>
              <w:spacing w:after="120"/>
            </w:pPr>
            <w:r>
              <w:t>Cloud be confident that:</w:t>
            </w:r>
          </w:p>
          <w:p w14:paraId="45BD43EE"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The level of security screening conducted on service provider staff with access to the consumers information, or with ability to affect the service, is appropriate</w:t>
            </w:r>
          </w:p>
          <w:p w14:paraId="08E3EE7C"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The minimum number of people necessary have access to the consumers information or could affect the service</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2B40C98A" w14:textId="77777777" w:rsidR="00CD68D5" w:rsidRDefault="00CD68D5" w:rsidP="00CD68D5">
            <w:pPr>
              <w:spacing w:after="120"/>
            </w:pPr>
            <w:r>
              <w:t xml:space="preserve"> </w:t>
            </w:r>
          </w:p>
        </w:tc>
      </w:tr>
      <w:tr w:rsidR="00CD68D5" w14:paraId="6F10EEA9"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BBE003" w14:textId="77777777" w:rsidR="00CD68D5" w:rsidRDefault="00CD68D5" w:rsidP="00CD68D5">
            <w:pPr>
              <w:spacing w:after="120"/>
            </w:pPr>
            <w:r>
              <w:lastRenderedPageBreak/>
              <w:t>Principle 7 – Secure development</w:t>
            </w:r>
          </w:p>
          <w:p w14:paraId="788DB205" w14:textId="77777777" w:rsidR="00CD68D5" w:rsidRDefault="00CD68D5" w:rsidP="00CD68D5">
            <w:pPr>
              <w:keepNext/>
              <w:spacing w:after="120"/>
            </w:pPr>
            <w:r>
              <w:t>"Services should be designed and developed to identify and mitigate threats to their security.</w:t>
            </w:r>
          </w:p>
          <w:p w14:paraId="6EF36F56" w14:textId="77777777" w:rsidR="00CD68D5" w:rsidRDefault="00CD68D5" w:rsidP="00CD68D5">
            <w:pPr>
              <w:keepNext/>
              <w:spacing w:after="120"/>
            </w:pPr>
            <w:r>
              <w:t>Those which aren’t may be vulnerable to security issues which could compromise your data, cause loss of service or enable other malicious activity."</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0C032A76" w14:textId="77777777" w:rsidR="00CD68D5" w:rsidRDefault="00CD68D5" w:rsidP="00CD68D5">
            <w:pPr>
              <w:keepNext/>
              <w:spacing w:after="120"/>
            </w:pPr>
            <w:r>
              <w:t>service be confident that:</w:t>
            </w:r>
          </w:p>
          <w:p w14:paraId="708099DA"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New and evolving threats are reviewed, and the service improved in line with them</w:t>
            </w:r>
          </w:p>
          <w:p w14:paraId="109B27C0"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Development is carried out in line with industry good practice regarding secure design, coding, testing and deployment</w:t>
            </w:r>
          </w:p>
          <w:p w14:paraId="2B50A56D"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Configuration management processes are in place to ensure the integrity of the solution through development, testing and deployment</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4FE714AC" w14:textId="77777777" w:rsidR="00CD68D5" w:rsidRDefault="00CD68D5" w:rsidP="00CD68D5">
            <w:pPr>
              <w:spacing w:after="120"/>
            </w:pPr>
            <w:r>
              <w:t xml:space="preserve"> </w:t>
            </w:r>
          </w:p>
        </w:tc>
      </w:tr>
      <w:tr w:rsidR="00CD68D5" w14:paraId="416621CE" w14:textId="77777777" w:rsidTr="00CD68D5">
        <w:tc>
          <w:tcPr>
            <w:tcW w:w="2544"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77A0C3F9" w14:textId="77777777" w:rsidR="00CD68D5" w:rsidRDefault="00CD68D5" w:rsidP="00CD68D5">
            <w:pPr>
              <w:spacing w:after="120"/>
            </w:pPr>
            <w:r>
              <w:t>Principle 8 – Supply chain security</w:t>
            </w:r>
          </w:p>
          <w:p w14:paraId="6D8B2DF3" w14:textId="77777777" w:rsidR="00CD68D5" w:rsidRDefault="00CD68D5" w:rsidP="00CD68D5">
            <w:pPr>
              <w:keepNext/>
              <w:spacing w:after="120"/>
            </w:pPr>
            <w:r>
              <w:t>"The service provider should ensure that its supply chain satisfactorily supports all of the security principles which the service claims to implement."</w:t>
            </w:r>
          </w:p>
        </w:tc>
        <w:tc>
          <w:tcPr>
            <w:tcW w:w="2814" w:type="dxa"/>
            <w:tcBorders>
              <w:top w:val="nil"/>
              <w:left w:val="nil"/>
              <w:bottom w:val="single" w:sz="4" w:space="0" w:color="000000"/>
              <w:right w:val="single" w:sz="8" w:space="0" w:color="000000"/>
            </w:tcBorders>
            <w:tcMar>
              <w:top w:w="100" w:type="dxa"/>
              <w:left w:w="100" w:type="dxa"/>
              <w:bottom w:w="100" w:type="dxa"/>
              <w:right w:w="100" w:type="dxa"/>
            </w:tcMar>
          </w:tcPr>
          <w:p w14:paraId="0F6EC548" w14:textId="77777777" w:rsidR="00CD68D5" w:rsidRDefault="00CD68D5" w:rsidP="00CD68D5">
            <w:pPr>
              <w:keepNext/>
              <w:spacing w:after="120"/>
            </w:pPr>
            <w:r>
              <w:t>Cloud and accept:</w:t>
            </w:r>
          </w:p>
          <w:p w14:paraId="27931454"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How their information is shared with, or accessible to, third party suppliers and their supply chains</w:t>
            </w:r>
          </w:p>
          <w:p w14:paraId="507FA4B2"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How the service provider’s procurement processes place security requirements on third party suppliers</w:t>
            </w:r>
          </w:p>
          <w:p w14:paraId="4BDE13C2"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How the service provider manages security risks from third party suppliers</w:t>
            </w:r>
          </w:p>
          <w:p w14:paraId="21A8E42D"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 xml:space="preserve">How the service provider manages the conformance of their </w:t>
            </w:r>
            <w:r>
              <w:rPr>
                <w:rFonts w:eastAsia="Arial" w:cs="Arial"/>
                <w:color w:val="000000"/>
              </w:rPr>
              <w:lastRenderedPageBreak/>
              <w:t>suppliers with security requirements</w:t>
            </w:r>
          </w:p>
          <w:p w14:paraId="67465EFF"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How the service provider verifies that hardware and software used in the service is genuine and has not been tampered with</w:t>
            </w:r>
          </w:p>
        </w:tc>
        <w:tc>
          <w:tcPr>
            <w:tcW w:w="4278" w:type="dxa"/>
            <w:tcBorders>
              <w:top w:val="nil"/>
              <w:left w:val="nil"/>
              <w:bottom w:val="single" w:sz="4" w:space="0" w:color="000000"/>
              <w:right w:val="single" w:sz="8" w:space="0" w:color="000000"/>
            </w:tcBorders>
            <w:tcMar>
              <w:top w:w="100" w:type="dxa"/>
              <w:left w:w="100" w:type="dxa"/>
              <w:bottom w:w="100" w:type="dxa"/>
              <w:right w:w="100" w:type="dxa"/>
            </w:tcMar>
          </w:tcPr>
          <w:p w14:paraId="11B755E0" w14:textId="77777777" w:rsidR="00CD68D5" w:rsidRDefault="00CD68D5" w:rsidP="00CD68D5">
            <w:pPr>
              <w:spacing w:after="120"/>
            </w:pPr>
            <w:r>
              <w:lastRenderedPageBreak/>
              <w:t xml:space="preserve"> </w:t>
            </w:r>
          </w:p>
        </w:tc>
      </w:tr>
      <w:tr w:rsidR="00CD68D5" w14:paraId="3EB11471" w14:textId="77777777" w:rsidTr="00CD68D5">
        <w:tc>
          <w:tcPr>
            <w:tcW w:w="254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BB4DB" w14:textId="77777777" w:rsidR="00CD68D5" w:rsidRDefault="00CD68D5" w:rsidP="00CD68D5">
            <w:pPr>
              <w:spacing w:after="120"/>
            </w:pPr>
            <w:r>
              <w:t>Principle 9 – Secure user management</w:t>
            </w:r>
          </w:p>
          <w:p w14:paraId="55C5E0F1" w14:textId="77777777" w:rsidR="00CD68D5" w:rsidRDefault="00CD68D5" w:rsidP="00CD68D5">
            <w:pPr>
              <w:keepNext/>
              <w:spacing w:after="120"/>
            </w:pPr>
            <w:r>
              <w:t>"Your provider should make the tools available for you to securely manage your use of their service. Management interfaces and procedures are a vital part of the security barrier, preventing unauthorised access and alteration of your resources, applications and data."</w:t>
            </w:r>
          </w:p>
        </w:tc>
        <w:tc>
          <w:tcPr>
            <w:tcW w:w="2814"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23535DE9" w14:textId="77777777" w:rsidR="00CD68D5" w:rsidRDefault="00CD68D5" w:rsidP="00CD68D5">
            <w:pPr>
              <w:keepNext/>
              <w:spacing w:after="120"/>
            </w:pPr>
            <w:r>
              <w:t>consumers should:</w:t>
            </w:r>
          </w:p>
          <w:p w14:paraId="50467DBF"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Be aware of all of the mechanisms by which the service provider would accept management or support requests from you (telephone, web portal, email etc.)</w:t>
            </w:r>
          </w:p>
          <w:p w14:paraId="3B52FAE1"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Ensure that only authorised individuals from their organisation can use those mechanisms to affect their use of the service (Principle 10 can help consumers consider the strength of user identification and authentication in each of these mechanisms)</w:t>
            </w:r>
          </w:p>
        </w:tc>
        <w:tc>
          <w:tcPr>
            <w:tcW w:w="4278"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796F5231" w14:textId="77777777" w:rsidR="00CD68D5" w:rsidRDefault="00CD68D5" w:rsidP="00CD68D5">
            <w:pPr>
              <w:spacing w:after="120"/>
            </w:pPr>
            <w:r>
              <w:t xml:space="preserve"> </w:t>
            </w:r>
          </w:p>
        </w:tc>
      </w:tr>
      <w:tr w:rsidR="00CD68D5" w14:paraId="3865D433"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6A0998" w14:textId="77777777" w:rsidR="00CD68D5" w:rsidRDefault="00CD68D5" w:rsidP="00CD68D5">
            <w:pPr>
              <w:spacing w:after="120"/>
            </w:pPr>
            <w:r>
              <w:t>Principle 10 – Identity and authentication</w:t>
            </w:r>
          </w:p>
          <w:p w14:paraId="40FEDE31" w14:textId="77777777" w:rsidR="00CD68D5" w:rsidRDefault="00CD68D5" w:rsidP="00CD68D5">
            <w:pPr>
              <w:keepNext/>
              <w:spacing w:after="120"/>
            </w:pPr>
            <w:r>
              <w:t>"All access to service interfaces should be constrained to authenticated and authorised individuals."</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0C9ECCB4" w14:textId="77777777" w:rsidR="00CD68D5" w:rsidRDefault="00CD68D5" w:rsidP="00CD68D5">
            <w:pPr>
              <w:keepNext/>
              <w:spacing w:after="120"/>
            </w:pPr>
            <w:r>
              <w:t>Cloud should:</w:t>
            </w:r>
          </w:p>
          <w:p w14:paraId="431FD322"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Have confidence that identity and authentication controls ensure users are authorised to access specific interfaces</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36F38C9A" w14:textId="77777777" w:rsidR="00CD68D5" w:rsidRDefault="00CD68D5" w:rsidP="00CD68D5">
            <w:pPr>
              <w:spacing w:after="120"/>
            </w:pPr>
            <w:r>
              <w:t xml:space="preserve"> </w:t>
            </w:r>
          </w:p>
        </w:tc>
      </w:tr>
      <w:tr w:rsidR="00CD68D5" w14:paraId="171E79FD"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8A83B7" w14:textId="77777777" w:rsidR="00CD68D5" w:rsidRDefault="00CD68D5" w:rsidP="00CD68D5">
            <w:pPr>
              <w:spacing w:after="120"/>
            </w:pPr>
            <w:r>
              <w:lastRenderedPageBreak/>
              <w:t>Principle 11 – External interface protection</w:t>
            </w:r>
          </w:p>
          <w:p w14:paraId="1DEBDF7F" w14:textId="77777777" w:rsidR="00CD68D5" w:rsidRDefault="00CD68D5" w:rsidP="00CD68D5">
            <w:pPr>
              <w:keepNext/>
              <w:spacing w:after="120"/>
            </w:pPr>
            <w:r>
              <w:t>"All external or less trusted interfaces of the service should be identified and appropriately defended."</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7CE9C0B5" w14:textId="77777777" w:rsidR="00CD68D5" w:rsidRDefault="00CD68D5" w:rsidP="00CD68D5">
            <w:pPr>
              <w:keepNext/>
              <w:spacing w:after="120"/>
            </w:pPr>
            <w:r>
              <w:t>should:</w:t>
            </w:r>
          </w:p>
          <w:p w14:paraId="2E92DB16"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Understand what physical and logical interfaces their information is available from, and how access to their data is controlled</w:t>
            </w:r>
          </w:p>
          <w:p w14:paraId="52EBB43B"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Have sufficient confidence that the service identifies and authenticates users to an appropriate level over those interfaces (see Principle 10)</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376E2216" w14:textId="77777777" w:rsidR="00CD68D5" w:rsidRDefault="00CD68D5" w:rsidP="00CD68D5">
            <w:pPr>
              <w:spacing w:after="120"/>
            </w:pPr>
            <w:r>
              <w:t xml:space="preserve"> </w:t>
            </w:r>
          </w:p>
        </w:tc>
      </w:tr>
      <w:tr w:rsidR="00CD68D5" w14:paraId="467BBF2C"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3AAA24" w14:textId="77777777" w:rsidR="00CD68D5" w:rsidRDefault="00CD68D5" w:rsidP="00CD68D5">
            <w:pPr>
              <w:keepNext/>
              <w:spacing w:after="120"/>
            </w:pPr>
            <w:r>
              <w:t>Principle 12 – Secure service administration</w:t>
            </w:r>
          </w:p>
          <w:p w14:paraId="709DE8A3" w14:textId="77777777" w:rsidR="00CD68D5" w:rsidRDefault="00CD68D5" w:rsidP="00CD68D5">
            <w:pPr>
              <w:keepNext/>
              <w:spacing w:after="120"/>
            </w:pPr>
            <w:r>
              <w:t>"Systems used for administration of a cloud service will have highly privileged access to that service. Their compromise would have significant impact, including the means to bypass security controls and steal or manipulate large volumes of data."</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74F2B2F1" w14:textId="77777777" w:rsidR="00CD68D5" w:rsidRDefault="00CD68D5" w:rsidP="00CD68D5">
            <w:pPr>
              <w:keepNext/>
              <w:spacing w:after="120"/>
            </w:pPr>
            <w:r>
              <w:t>Cloud consumers should:</w:t>
            </w:r>
          </w:p>
          <w:p w14:paraId="1DC7BFF7"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Understand which service administration model is being used by the service provider to manage the service</w:t>
            </w:r>
          </w:p>
          <w:p w14:paraId="131C1650"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Be content with any risks the service administration model in use brings to the consumers data or use of the service</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3790BBA7" w14:textId="77777777" w:rsidR="00CD68D5" w:rsidRDefault="00CD68D5" w:rsidP="00CD68D5">
            <w:pPr>
              <w:keepNext/>
              <w:spacing w:after="120"/>
            </w:pPr>
            <w:r>
              <w:t xml:space="preserve"> </w:t>
            </w:r>
          </w:p>
        </w:tc>
      </w:tr>
      <w:tr w:rsidR="00CD68D5" w14:paraId="5C172520"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61DC18" w14:textId="77777777" w:rsidR="00CD68D5" w:rsidRDefault="00CD68D5" w:rsidP="00CD68D5">
            <w:pPr>
              <w:spacing w:after="120"/>
            </w:pPr>
            <w:r>
              <w:t>Principle 13 – Audit information for users</w:t>
            </w:r>
          </w:p>
          <w:p w14:paraId="094547C9" w14:textId="77777777" w:rsidR="00CD68D5" w:rsidRDefault="00CD68D5" w:rsidP="00CD68D5">
            <w:pPr>
              <w:keepNext/>
              <w:spacing w:after="120"/>
            </w:pPr>
            <w:r>
              <w:t xml:space="preserve">"You should be provided with the audit records needed to monitor access to your service and the data held within it. The type of audit information available </w:t>
            </w:r>
            <w:r>
              <w:lastRenderedPageBreak/>
              <w:t>to you will have a direct impact on your ability to detect and respond to inappropriate or malicious activity within reasonable timescales."</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41DF8CF0" w14:textId="77777777" w:rsidR="00CD68D5" w:rsidRDefault="00CD68D5" w:rsidP="00CD68D5">
            <w:pPr>
              <w:keepNext/>
              <w:spacing w:after="120"/>
            </w:pPr>
            <w:r>
              <w:lastRenderedPageBreak/>
              <w:t>Cloud consumers should:</w:t>
            </w:r>
          </w:p>
          <w:p w14:paraId="382E9F64"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 xml:space="preserve">Be aware of the audit information that will be provided, how and when it will be made available, the format of the data, and the </w:t>
            </w:r>
            <w:r>
              <w:rPr>
                <w:rFonts w:eastAsia="Arial" w:cs="Arial"/>
                <w:color w:val="000000"/>
              </w:rPr>
              <w:lastRenderedPageBreak/>
              <w:t>retention period associated with it</w:t>
            </w:r>
          </w:p>
          <w:p w14:paraId="6FA58EC0"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Be confident that the audit information available will meet their needs for investigating misuse or incidents</w:t>
            </w:r>
          </w:p>
          <w:p w14:paraId="3D624A45" w14:textId="77777777" w:rsidR="00CD68D5" w:rsidRPr="00AA0FBE" w:rsidRDefault="00CD68D5" w:rsidP="00CD68D5">
            <w:pPr>
              <w:ind w:firstLine="720"/>
            </w:pP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7EC80FE8" w14:textId="77777777" w:rsidR="00CD68D5" w:rsidRDefault="00CD68D5" w:rsidP="00CD68D5">
            <w:pPr>
              <w:spacing w:after="120"/>
            </w:pPr>
            <w:r>
              <w:lastRenderedPageBreak/>
              <w:t xml:space="preserve"> </w:t>
            </w:r>
          </w:p>
        </w:tc>
      </w:tr>
      <w:tr w:rsidR="00CD68D5" w14:paraId="13953CAD" w14:textId="77777777" w:rsidTr="00CD68D5">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F8218D" w14:textId="77777777" w:rsidR="00CD68D5" w:rsidRDefault="00CD68D5" w:rsidP="00CD68D5">
            <w:pPr>
              <w:spacing w:after="120"/>
            </w:pPr>
            <w:r>
              <w:t>Principle 14 – Secure use of the service</w:t>
            </w:r>
          </w:p>
          <w:p w14:paraId="102C11C4" w14:textId="77777777" w:rsidR="00CD68D5" w:rsidRDefault="00CD68D5" w:rsidP="00CD68D5">
            <w:pPr>
              <w:keepNext/>
              <w:spacing w:after="120"/>
            </w:pPr>
            <w:r>
              <w:t>"The security of cloud services and the data held within them can be undermined if you use the service poorly. Consequently, you will have certain responsibilities when using the service in order for your data to be adequately protected."</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05B24348" w14:textId="77777777" w:rsidR="00CD68D5" w:rsidRDefault="00CD68D5" w:rsidP="00CD68D5">
            <w:pPr>
              <w:keepNext/>
              <w:spacing w:after="120"/>
            </w:pPr>
            <w:r>
              <w:t>Cloud consumers should:</w:t>
            </w:r>
          </w:p>
          <w:p w14:paraId="22CBC1AD"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Understand any service configuration options available to them and the security implications of their choices</w:t>
            </w:r>
          </w:p>
          <w:p w14:paraId="7DD1DD3D"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Understand the security requirements of their use of the service</w:t>
            </w:r>
          </w:p>
          <w:p w14:paraId="772173BA" w14:textId="77777777" w:rsidR="00CD68D5" w:rsidRDefault="00CD68D5" w:rsidP="00E1349E">
            <w:pPr>
              <w:numPr>
                <w:ilvl w:val="0"/>
                <w:numId w:val="195"/>
              </w:numPr>
              <w:pBdr>
                <w:top w:val="nil"/>
                <w:left w:val="nil"/>
                <w:bottom w:val="nil"/>
                <w:right w:val="nil"/>
                <w:between w:val="nil"/>
              </w:pBdr>
              <w:tabs>
                <w:tab w:val="left" w:pos="288"/>
              </w:tabs>
              <w:spacing w:after="120"/>
              <w:ind w:left="288" w:hanging="288"/>
            </w:pPr>
            <w:r>
              <w:rPr>
                <w:rFonts w:eastAsia="Arial" w:cs="Arial"/>
                <w:color w:val="000000"/>
              </w:rPr>
              <w:t>Educate their staff using and managing the service in how to do so safely and securely</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5961AF77" w14:textId="77777777" w:rsidR="00CD68D5" w:rsidRDefault="00CD68D5" w:rsidP="00CD68D5">
            <w:pPr>
              <w:spacing w:after="120"/>
            </w:pPr>
            <w:r>
              <w:t xml:space="preserve"> </w:t>
            </w:r>
          </w:p>
        </w:tc>
      </w:tr>
    </w:tbl>
    <w:p w14:paraId="5F458785" w14:textId="77777777" w:rsidR="00CD68D5" w:rsidRDefault="00CD68D5" w:rsidP="00CD68D5">
      <w:pPr>
        <w:pBdr>
          <w:top w:val="nil"/>
          <w:left w:val="nil"/>
          <w:bottom w:val="nil"/>
          <w:right w:val="nil"/>
          <w:between w:val="nil"/>
        </w:pBdr>
        <w:rPr>
          <w:color w:val="000000"/>
        </w:rPr>
        <w:sectPr w:rsidR="00CD68D5" w:rsidSect="00892E34">
          <w:headerReference w:type="even" r:id="rId73"/>
          <w:headerReference w:type="default" r:id="rId74"/>
          <w:footerReference w:type="even" r:id="rId75"/>
          <w:headerReference w:type="first" r:id="rId76"/>
          <w:footerReference w:type="first" r:id="rId77"/>
          <w:pgSz w:w="11906" w:h="16838"/>
          <w:pgMar w:top="1440" w:right="1440" w:bottom="1797" w:left="1440" w:header="720" w:footer="720" w:gutter="0"/>
          <w:cols w:space="720"/>
        </w:sectPr>
      </w:pPr>
    </w:p>
    <w:p w14:paraId="096CEEE2" w14:textId="77777777" w:rsidR="00CD68D5" w:rsidRPr="00AA0FBE" w:rsidRDefault="00CD68D5" w:rsidP="00E1349E">
      <w:pPr>
        <w:keepNext/>
        <w:numPr>
          <w:ilvl w:val="0"/>
          <w:numId w:val="196"/>
        </w:numPr>
        <w:pBdr>
          <w:top w:val="nil"/>
          <w:left w:val="nil"/>
          <w:bottom w:val="nil"/>
          <w:right w:val="nil"/>
          <w:between w:val="nil"/>
        </w:pBdr>
        <w:spacing w:before="100" w:after="200"/>
        <w:rPr>
          <w:b/>
        </w:rPr>
      </w:pPr>
      <w:bookmarkStart w:id="524" w:name="_heading=h.3fg1ce0" w:colFirst="0" w:colLast="0"/>
      <w:bookmarkEnd w:id="524"/>
      <w:r w:rsidRPr="00AA0FBE">
        <w:rPr>
          <w:b/>
          <w:color w:val="000000"/>
          <w:sz w:val="28"/>
          <w:szCs w:val="28"/>
        </w:rPr>
        <w:lastRenderedPageBreak/>
        <w:t xml:space="preserve">Protecting bulk data assessment if required by the authority/customer </w:t>
      </w:r>
    </w:p>
    <w:p w14:paraId="3315075B" w14:textId="77777777" w:rsidR="00CD68D5" w:rsidRDefault="00CD68D5" w:rsidP="00CD68D5">
      <w:pPr>
        <w:pBdr>
          <w:top w:val="nil"/>
          <w:left w:val="nil"/>
          <w:bottom w:val="nil"/>
          <w:right w:val="nil"/>
          <w:between w:val="nil"/>
        </w:pBdr>
        <w:rPr>
          <w:color w:val="000000"/>
        </w:rPr>
        <w:sectPr w:rsidR="00CD68D5" w:rsidSect="005C06CF">
          <w:headerReference w:type="even" r:id="rId78"/>
          <w:headerReference w:type="default" r:id="rId79"/>
          <w:footerReference w:type="even" r:id="rId80"/>
          <w:headerReference w:type="first" r:id="rId81"/>
          <w:footerReference w:type="first" r:id="rId82"/>
          <w:pgSz w:w="11906" w:h="16838"/>
          <w:pgMar w:top="1440" w:right="1440" w:bottom="1797" w:left="1440" w:header="720" w:footer="720" w:gutter="0"/>
          <w:cols w:space="720"/>
        </w:sectPr>
      </w:pPr>
      <w:r>
        <w:rPr>
          <w:color w:val="000000"/>
        </w:rPr>
        <w:t>[</w:t>
      </w:r>
      <w:r>
        <w:rPr>
          <w:i/>
          <w:color w:val="000000"/>
        </w:rPr>
        <w:t>A spreadsheet may be attached</w:t>
      </w:r>
      <w:r>
        <w:rPr>
          <w:color w:val="000000"/>
        </w:rPr>
        <w:t>]</w:t>
      </w:r>
    </w:p>
    <w:p w14:paraId="48C7EAD3" w14:textId="77777777" w:rsidR="00CD68D5" w:rsidRPr="00AA0FBE" w:rsidRDefault="00CD68D5" w:rsidP="00E1349E">
      <w:pPr>
        <w:keepNext/>
        <w:numPr>
          <w:ilvl w:val="0"/>
          <w:numId w:val="196"/>
        </w:numPr>
        <w:pBdr>
          <w:top w:val="nil"/>
          <w:left w:val="nil"/>
          <w:bottom w:val="nil"/>
          <w:right w:val="nil"/>
          <w:between w:val="nil"/>
        </w:pBdr>
        <w:spacing w:before="100" w:after="200"/>
        <w:rPr>
          <w:b/>
        </w:rPr>
        <w:sectPr w:rsidR="00CD68D5" w:rsidRPr="00AA0FBE" w:rsidSect="005C06CF">
          <w:headerReference w:type="even" r:id="rId83"/>
          <w:headerReference w:type="default" r:id="rId84"/>
          <w:footerReference w:type="even" r:id="rId85"/>
          <w:headerReference w:type="first" r:id="rId86"/>
          <w:footerReference w:type="first" r:id="rId87"/>
          <w:pgSz w:w="11906" w:h="16838"/>
          <w:pgMar w:top="1440" w:right="1440" w:bottom="1797" w:left="1440" w:header="720" w:footer="720" w:gutter="0"/>
          <w:cols w:space="720"/>
        </w:sectPr>
      </w:pPr>
      <w:bookmarkStart w:id="525" w:name="_heading=h.1ulbmlt" w:colFirst="0" w:colLast="0"/>
      <w:bookmarkEnd w:id="525"/>
      <w:r w:rsidRPr="00AA0FBE">
        <w:rPr>
          <w:b/>
          <w:color w:val="000000"/>
          <w:sz w:val="28"/>
          <w:szCs w:val="28"/>
        </w:rPr>
        <w:lastRenderedPageBreak/>
        <w:t>Latest ITHC report and vulnerability correction plan</w:t>
      </w:r>
    </w:p>
    <w:p w14:paraId="38888668" w14:textId="77777777" w:rsidR="00CD68D5" w:rsidRPr="00AA0FBE" w:rsidRDefault="00CD68D5" w:rsidP="00E1349E">
      <w:pPr>
        <w:keepNext/>
        <w:numPr>
          <w:ilvl w:val="0"/>
          <w:numId w:val="196"/>
        </w:numPr>
        <w:pBdr>
          <w:top w:val="nil"/>
          <w:left w:val="nil"/>
          <w:bottom w:val="nil"/>
          <w:right w:val="nil"/>
          <w:between w:val="nil"/>
        </w:pBdr>
        <w:spacing w:before="100" w:after="200"/>
        <w:rPr>
          <w:b/>
        </w:rPr>
      </w:pPr>
      <w:bookmarkStart w:id="526" w:name="_heading=h.4ekz59m" w:colFirst="0" w:colLast="0"/>
      <w:bookmarkEnd w:id="526"/>
      <w:r w:rsidRPr="00AA0FBE">
        <w:rPr>
          <w:b/>
          <w:color w:val="000000"/>
          <w:sz w:val="28"/>
          <w:szCs w:val="28"/>
        </w:rPr>
        <w:lastRenderedPageBreak/>
        <w:t>Statement of applicability</w:t>
      </w:r>
      <w:bookmarkStart w:id="527" w:name="bookmark=id.2tq9fhf" w:colFirst="0" w:colLast="0"/>
      <w:bookmarkEnd w:id="527"/>
    </w:p>
    <w:p w14:paraId="689910E1" w14:textId="77777777" w:rsidR="00CD68D5" w:rsidRDefault="00CD68D5" w:rsidP="00CD68D5">
      <w:pPr>
        <w:pBdr>
          <w:top w:val="nil"/>
          <w:left w:val="nil"/>
          <w:bottom w:val="nil"/>
          <w:right w:val="nil"/>
          <w:between w:val="nil"/>
        </w:pBdr>
        <w:rPr>
          <w:color w:val="000000"/>
        </w:rPr>
      </w:pPr>
      <w:r>
        <w:rPr>
          <w:color w:val="000000"/>
        </w:rPr>
        <w:t>[</w:t>
      </w:r>
      <w:r>
        <w:rPr>
          <w:i/>
          <w:color w:val="000000"/>
        </w:rPr>
        <w:t>This should be a completed ISO 27001:2013 Statement of Applicability for the Information Management System if ISO27001 certification is required by the contract.</w:t>
      </w:r>
      <w:r>
        <w:rPr>
          <w:color w:val="000000"/>
        </w:rPr>
        <w:t xml:space="preserve">] </w:t>
      </w:r>
    </w:p>
    <w:p w14:paraId="5329846B" w14:textId="77777777" w:rsidR="00CD68D5" w:rsidRDefault="00CD68D5" w:rsidP="00CD68D5">
      <w:pPr>
        <w:pBdr>
          <w:top w:val="nil"/>
          <w:left w:val="nil"/>
          <w:bottom w:val="nil"/>
          <w:right w:val="nil"/>
          <w:between w:val="nil"/>
        </w:pBdr>
        <w:rPr>
          <w:color w:val="000000"/>
        </w:rPr>
      </w:pPr>
    </w:p>
    <w:p w14:paraId="7AC9E04C" w14:textId="77777777" w:rsidR="00CD68D5" w:rsidRDefault="00CD68D5" w:rsidP="00CD68D5">
      <w:pPr>
        <w:pBdr>
          <w:top w:val="nil"/>
          <w:left w:val="nil"/>
          <w:bottom w:val="nil"/>
          <w:right w:val="nil"/>
          <w:between w:val="nil"/>
        </w:pBdr>
        <w:rPr>
          <w:color w:val="000000"/>
        </w:rPr>
      </w:pPr>
    </w:p>
    <w:p w14:paraId="2DAEC53D" w14:textId="77777777" w:rsidR="00CD68D5" w:rsidRDefault="00CD68D5" w:rsidP="00CD68D5">
      <w:pPr>
        <w:pBdr>
          <w:top w:val="nil"/>
          <w:left w:val="nil"/>
          <w:bottom w:val="nil"/>
          <w:right w:val="nil"/>
          <w:between w:val="nil"/>
        </w:pBdr>
        <w:rPr>
          <w:color w:val="000000"/>
        </w:rPr>
      </w:pPr>
    </w:p>
    <w:p w14:paraId="71474C14" w14:textId="77777777" w:rsidR="00CD68D5" w:rsidRDefault="00CD68D5" w:rsidP="00CD68D5">
      <w:pPr>
        <w:keepNext/>
        <w:pBdr>
          <w:top w:val="nil"/>
          <w:left w:val="nil"/>
          <w:bottom w:val="nil"/>
          <w:right w:val="nil"/>
          <w:between w:val="nil"/>
        </w:pBdr>
        <w:rPr>
          <w:rFonts w:ascii="Cambria" w:eastAsia="Cambria" w:hAnsi="Cambria" w:cs="Cambria"/>
          <w:color w:val="000000"/>
          <w:sz w:val="44"/>
          <w:szCs w:val="44"/>
        </w:rPr>
      </w:pPr>
    </w:p>
    <w:p w14:paraId="7911D871" w14:textId="77777777" w:rsidR="00F67E9E" w:rsidRDefault="00F67E9E" w:rsidP="00F67E9E">
      <w:pPr>
        <w:sectPr w:rsidR="00F67E9E" w:rsidSect="00240D26">
          <w:headerReference w:type="default" r:id="rId88"/>
          <w:footerReference w:type="default" r:id="rId89"/>
          <w:headerReference w:type="first" r:id="rId90"/>
          <w:footerReference w:type="first" r:id="rId91"/>
          <w:pgSz w:w="11900" w:h="16840" w:code="9"/>
          <w:pgMar w:top="1701" w:right="851" w:bottom="1134" w:left="851" w:header="567" w:footer="567" w:gutter="0"/>
          <w:cols w:space="720"/>
          <w:docGrid w:linePitch="360"/>
        </w:sectPr>
      </w:pPr>
    </w:p>
    <w:p w14:paraId="3CA97185" w14:textId="77777777" w:rsidR="00F67E9E" w:rsidRPr="007C55B2" w:rsidRDefault="00F67E9E" w:rsidP="00F67E9E">
      <w:pPr>
        <w:pStyle w:val="Dividername"/>
      </w:pPr>
      <w:r w:rsidRPr="007C55B2">
        <w:lastRenderedPageBreak/>
        <w:t>Schedule 6</w:t>
      </w:r>
    </w:p>
    <w:p w14:paraId="4B74C891" w14:textId="77777777" w:rsidR="00F67E9E" w:rsidRPr="007C55B2" w:rsidRDefault="00F67E9E" w:rsidP="00F67E9E">
      <w:pPr>
        <w:pStyle w:val="Dividername"/>
      </w:pPr>
      <w:r w:rsidRPr="007C55B2">
        <w:t>Insurance Requirements</w:t>
      </w:r>
    </w:p>
    <w:p w14:paraId="5A3F46EE" w14:textId="77777777" w:rsidR="00F67E9E" w:rsidRDefault="00F67E9E" w:rsidP="00F67E9E"/>
    <w:p w14:paraId="4890F3A6" w14:textId="77777777" w:rsidR="00F67E9E" w:rsidRPr="005D0525" w:rsidRDefault="00F67E9E" w:rsidP="00F67E9E">
      <w:pPr>
        <w:pStyle w:val="Heading1"/>
      </w:pPr>
      <w:bookmarkStart w:id="528" w:name="Schedule6"/>
      <w:bookmarkStart w:id="529" w:name="_Ref92199868"/>
      <w:bookmarkStart w:id="530" w:name="_Toc145412750"/>
      <w:r w:rsidRPr="005D0525">
        <w:lastRenderedPageBreak/>
        <w:t>Schedule</w:t>
      </w:r>
      <w:r>
        <w:t> </w:t>
      </w:r>
      <w:r w:rsidRPr="005D0525">
        <w:t>6</w:t>
      </w:r>
      <w:bookmarkEnd w:id="528"/>
      <w:r>
        <w:t xml:space="preserve">: </w:t>
      </w:r>
      <w:bookmarkStart w:id="531" w:name="Schedule6Heading"/>
      <w:r w:rsidRPr="00F97284">
        <w:t>Insurance Requirements</w:t>
      </w:r>
      <w:bookmarkEnd w:id="529"/>
      <w:bookmarkEnd w:id="530"/>
      <w:bookmarkEnd w:id="531"/>
    </w:p>
    <w:p w14:paraId="7BE00350" w14:textId="77777777" w:rsidR="00F67E9E" w:rsidRPr="00755CD1" w:rsidRDefault="00F67E9E" w:rsidP="00F13933">
      <w:pPr>
        <w:pStyle w:val="Numbered1"/>
        <w:numPr>
          <w:ilvl w:val="0"/>
          <w:numId w:val="116"/>
        </w:numPr>
        <w:tabs>
          <w:tab w:val="clear" w:pos="720"/>
          <w:tab w:val="num" w:pos="1080"/>
        </w:tabs>
      </w:pPr>
      <w:r w:rsidRPr="00755CD1">
        <w:t>Obligation to Maintain Insurances</w:t>
      </w:r>
    </w:p>
    <w:p w14:paraId="5BEC165D" w14:textId="2BABDDB0" w:rsidR="00F67E9E" w:rsidRPr="0077466E" w:rsidRDefault="00F67E9E" w:rsidP="00F67E9E">
      <w:pPr>
        <w:pStyle w:val="Numbered11"/>
        <w:tabs>
          <w:tab w:val="clear" w:pos="720"/>
          <w:tab w:val="num" w:pos="1080"/>
        </w:tabs>
      </w:pPr>
      <w:r w:rsidRPr="0077466E">
        <w:t xml:space="preserve">Without prejudice to its obligations to the Authority under this Contract, including its indemnity and liability obligations, the Supplier shall for the periods specified in this Schedule take out and maintain, or procure the taking out and maintenance of the insurances as set out in Annex </w:t>
      </w:r>
      <w:r w:rsidRPr="0077466E">
        <w:fldChar w:fldCharType="begin"/>
      </w:r>
      <w:r w:rsidRPr="0077466E">
        <w:instrText xml:space="preserve"> REF ANNEX1_PARTA_SCHEDULE6 \h </w:instrText>
      </w:r>
      <w:r>
        <w:instrText xml:space="preserve"> \* MERGEFORMAT </w:instrText>
      </w:r>
      <w:r w:rsidRPr="0077466E">
        <w:fldChar w:fldCharType="separate"/>
      </w:r>
      <w:r w:rsidR="007A1473" w:rsidRPr="0077466E">
        <w:t>1</w:t>
      </w:r>
      <w:r w:rsidRPr="0077466E">
        <w:fldChar w:fldCharType="end"/>
      </w:r>
      <w:r w:rsidRPr="0077466E">
        <w:t xml:space="preserve"> and any other insurances as may be required by applicable Law (together the </w:t>
      </w:r>
      <w:r>
        <w:t>“</w:t>
      </w:r>
      <w:r w:rsidRPr="0077466E">
        <w:rPr>
          <w:rStyle w:val="StdBodyTextBoldChar"/>
          <w:rFonts w:eastAsia="Arial" w:cs="Arial"/>
        </w:rPr>
        <w:t>Insurances</w:t>
      </w:r>
      <w:r>
        <w:t>”</w:t>
      </w:r>
      <w:r w:rsidRPr="0077466E">
        <w:t>).</w:t>
      </w:r>
      <w:r>
        <w:t xml:space="preserve"> </w:t>
      </w:r>
      <w:r w:rsidRPr="0077466E">
        <w:t>The Supplier shall ensure that each of the Insurances is effective no later than the date on which the relevant risk commences.</w:t>
      </w:r>
    </w:p>
    <w:p w14:paraId="0B22C2D5" w14:textId="77777777" w:rsidR="00F67E9E" w:rsidRPr="0077466E" w:rsidRDefault="00F67E9E" w:rsidP="00F67E9E">
      <w:pPr>
        <w:pStyle w:val="Numbered11"/>
        <w:tabs>
          <w:tab w:val="clear" w:pos="720"/>
          <w:tab w:val="num" w:pos="1080"/>
        </w:tabs>
      </w:pPr>
      <w:r w:rsidRPr="0077466E">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4F991F13" w14:textId="77777777" w:rsidR="00F67E9E" w:rsidRPr="0077466E" w:rsidRDefault="00F67E9E" w:rsidP="00F67E9E">
      <w:pPr>
        <w:pStyle w:val="Numbered11"/>
        <w:tabs>
          <w:tab w:val="clear" w:pos="720"/>
          <w:tab w:val="num" w:pos="1080"/>
        </w:tabs>
      </w:pPr>
      <w:r w:rsidRPr="0077466E">
        <w:t>The Insurances shall be taken out and maintained with insurers who are:</w:t>
      </w:r>
    </w:p>
    <w:p w14:paraId="4049F07F" w14:textId="77777777" w:rsidR="00F67E9E" w:rsidRPr="0077466E" w:rsidRDefault="00F67E9E" w:rsidP="00F67E9E">
      <w:pPr>
        <w:pStyle w:val="Numbered111"/>
        <w:tabs>
          <w:tab w:val="clear" w:pos="1800"/>
          <w:tab w:val="num" w:pos="2160"/>
        </w:tabs>
      </w:pPr>
      <w:r w:rsidRPr="0077466E">
        <w:t>of good financial standing;</w:t>
      </w:r>
    </w:p>
    <w:p w14:paraId="6F9C14BF" w14:textId="77777777" w:rsidR="00F67E9E" w:rsidRPr="0077466E" w:rsidRDefault="00F67E9E" w:rsidP="00F67E9E">
      <w:pPr>
        <w:pStyle w:val="Numbered111"/>
        <w:tabs>
          <w:tab w:val="clear" w:pos="1800"/>
          <w:tab w:val="num" w:pos="2160"/>
        </w:tabs>
      </w:pPr>
      <w:r w:rsidRPr="0077466E">
        <w:t>appropriately regulated;</w:t>
      </w:r>
    </w:p>
    <w:p w14:paraId="51D4D0B5" w14:textId="77777777" w:rsidR="00F67E9E" w:rsidRPr="0077466E" w:rsidRDefault="00F67E9E" w:rsidP="00F67E9E">
      <w:pPr>
        <w:pStyle w:val="Numbered111"/>
        <w:tabs>
          <w:tab w:val="clear" w:pos="1800"/>
          <w:tab w:val="num" w:pos="2160"/>
        </w:tabs>
      </w:pPr>
      <w:r w:rsidRPr="0077466E">
        <w:t>regulated by the applicable regulatory body and is in good standing with that regulator; and</w:t>
      </w:r>
    </w:p>
    <w:p w14:paraId="6C578A31" w14:textId="77777777" w:rsidR="00F67E9E" w:rsidRPr="0077466E" w:rsidRDefault="00F67E9E" w:rsidP="00F67E9E">
      <w:pPr>
        <w:pStyle w:val="Numbered111"/>
        <w:tabs>
          <w:tab w:val="clear" w:pos="1800"/>
          <w:tab w:val="num" w:pos="2160"/>
        </w:tabs>
      </w:pPr>
      <w:r w:rsidRPr="0077466E">
        <w:t>except in the case of any Insurances provided by an Affiliate of the Supplier, of good repute in the international insurance market.</w:t>
      </w:r>
    </w:p>
    <w:p w14:paraId="755D5CDA" w14:textId="77777777" w:rsidR="00F67E9E" w:rsidRPr="0077466E" w:rsidRDefault="00F67E9E" w:rsidP="00F67E9E">
      <w:pPr>
        <w:pStyle w:val="Numbered11"/>
      </w:pPr>
      <w:r w:rsidRPr="0077466E">
        <w:t xml:space="preserve">The Supplier shall ensure that the public and products liability policy shall contain an indemnity to principals clause under which the Authority shall be indemnified in respect of </w:t>
      </w:r>
      <w:r w:rsidRPr="009B0154">
        <w:t>claims</w:t>
      </w:r>
      <w:r w:rsidRPr="0077466E">
        <w:t xml:space="preserve"> made against the Authority in respect of death or bodily injury or third party property damage arising out of or in connection with the Contract and for which the Supplier is legally liable.</w:t>
      </w:r>
    </w:p>
    <w:p w14:paraId="19C01C7F" w14:textId="77777777" w:rsidR="00F67E9E" w:rsidRPr="0077466E" w:rsidRDefault="00F67E9E" w:rsidP="00F67E9E">
      <w:pPr>
        <w:pStyle w:val="Numbered1"/>
      </w:pPr>
      <w:r w:rsidRPr="009B0154">
        <w:t>General</w:t>
      </w:r>
      <w:r w:rsidRPr="0077466E">
        <w:t xml:space="preserve"> Obligations</w:t>
      </w:r>
    </w:p>
    <w:p w14:paraId="7A11ED01" w14:textId="77777777" w:rsidR="00F67E9E" w:rsidRPr="0077466E" w:rsidRDefault="00F67E9E" w:rsidP="00F67E9E">
      <w:pPr>
        <w:pStyle w:val="Numbered11"/>
      </w:pPr>
      <w:r w:rsidRPr="0077466E">
        <w:t xml:space="preserve">Without limiting the </w:t>
      </w:r>
      <w:r w:rsidRPr="009B0154">
        <w:t>other</w:t>
      </w:r>
      <w:r w:rsidRPr="0077466E">
        <w:t xml:space="preserve"> provisions of this Contract, the Supplier shall:</w:t>
      </w:r>
    </w:p>
    <w:p w14:paraId="1CBE3A66" w14:textId="77777777" w:rsidR="00F67E9E" w:rsidRPr="0077466E" w:rsidRDefault="00F67E9E" w:rsidP="00F67E9E">
      <w:pPr>
        <w:pStyle w:val="Numbered111"/>
        <w:tabs>
          <w:tab w:val="clear" w:pos="1800"/>
          <w:tab w:val="num" w:pos="2160"/>
        </w:tabs>
      </w:pPr>
      <w:r w:rsidRPr="0077466E">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48D3186C" w14:textId="77777777" w:rsidR="00F67E9E" w:rsidRPr="0077466E" w:rsidRDefault="00F67E9E" w:rsidP="00F67E9E">
      <w:pPr>
        <w:pStyle w:val="Numbered111"/>
        <w:tabs>
          <w:tab w:val="clear" w:pos="1800"/>
          <w:tab w:val="num" w:pos="2160"/>
        </w:tabs>
      </w:pPr>
      <w:r w:rsidRPr="0077466E">
        <w:t>promptly notify the insurers in writing of any relevant material fact under any Insurances of which the Supplier is or becomes aware; and</w:t>
      </w:r>
    </w:p>
    <w:p w14:paraId="655CB801" w14:textId="77777777" w:rsidR="00F67E9E" w:rsidRPr="0077466E" w:rsidRDefault="00F67E9E" w:rsidP="00F67E9E">
      <w:pPr>
        <w:pStyle w:val="Numbered111"/>
        <w:tabs>
          <w:tab w:val="clear" w:pos="1800"/>
          <w:tab w:val="num" w:pos="2160"/>
        </w:tabs>
      </w:pPr>
      <w:r w:rsidRPr="0077466E">
        <w:t>hold all policies in respect of the Insurances and cause any insurance broker effecting the Insurances to hold any insurance slips and other evidence of placing cover representing any of the Insurances to which it is a party.</w:t>
      </w:r>
    </w:p>
    <w:p w14:paraId="310BF739" w14:textId="77777777" w:rsidR="00F67E9E" w:rsidRPr="0077466E" w:rsidRDefault="00F67E9E" w:rsidP="00F67E9E">
      <w:pPr>
        <w:pStyle w:val="Numbered1"/>
        <w:tabs>
          <w:tab w:val="clear" w:pos="720"/>
          <w:tab w:val="num" w:pos="1440"/>
        </w:tabs>
        <w:ind w:left="1080"/>
      </w:pPr>
      <w:r w:rsidRPr="0077466E">
        <w:t xml:space="preserve">Failure </w:t>
      </w:r>
      <w:r>
        <w:t>t</w:t>
      </w:r>
      <w:r w:rsidRPr="0077466E">
        <w:t>o Insure</w:t>
      </w:r>
    </w:p>
    <w:p w14:paraId="33181F06" w14:textId="77777777" w:rsidR="00F67E9E" w:rsidRPr="0077466E" w:rsidRDefault="00F67E9E" w:rsidP="00F67E9E">
      <w:pPr>
        <w:pStyle w:val="Numbered11"/>
        <w:tabs>
          <w:tab w:val="clear" w:pos="720"/>
          <w:tab w:val="num" w:pos="1440"/>
        </w:tabs>
        <w:ind w:left="1080"/>
      </w:pPr>
      <w:r w:rsidRPr="0077466E">
        <w:t xml:space="preserve">The Supplier shall not take any action or fail to take any action or (insofar as is </w:t>
      </w:r>
      <w:r w:rsidRPr="0077466E">
        <w:lastRenderedPageBreak/>
        <w:t>reasonably within its power) permit anything to occur in relation to it which would entitle any insurer to refuse to pay any claim under any of the Insurances.</w:t>
      </w:r>
    </w:p>
    <w:p w14:paraId="3F6AF070" w14:textId="77777777" w:rsidR="00F67E9E" w:rsidRPr="0077466E" w:rsidRDefault="00F67E9E" w:rsidP="00F67E9E">
      <w:pPr>
        <w:pStyle w:val="Numbered11"/>
      </w:pPr>
      <w:r w:rsidRPr="0077466E">
        <w:t xml:space="preserve">Where the Supplier has failed to purchase any of the Insurances or maintain any of the Insurances in full force and effect, the Authority may elect (but shall not be obliged) following written notice to the Supplier to purchase the </w:t>
      </w:r>
      <w:r w:rsidRPr="009B0154">
        <w:t>relevant</w:t>
      </w:r>
      <w:r w:rsidRPr="0077466E">
        <w:t xml:space="preserve"> Insurances, and the Authority shall be entitled to recover the reasonable premium and other reasonable costs incurred in connection therewith as a debt due from the Supplier.</w:t>
      </w:r>
    </w:p>
    <w:p w14:paraId="0496C891" w14:textId="77777777" w:rsidR="00F67E9E" w:rsidRPr="0077466E" w:rsidRDefault="00F67E9E" w:rsidP="00F67E9E">
      <w:pPr>
        <w:pStyle w:val="Numbered1"/>
      </w:pPr>
      <w:bookmarkStart w:id="532" w:name="_Ref_ContractCompanion_9kb9Ur6FH"/>
      <w:bookmarkStart w:id="533" w:name="_Ref_ContractCompanion_9kb9Us794"/>
      <w:r w:rsidRPr="0077466E">
        <w:t xml:space="preserve">Evidence </w:t>
      </w:r>
      <w:r>
        <w:t>o</w:t>
      </w:r>
      <w:r w:rsidRPr="0077466E">
        <w:t>f Insurances</w:t>
      </w:r>
      <w:bookmarkEnd w:id="532"/>
      <w:bookmarkEnd w:id="533"/>
    </w:p>
    <w:p w14:paraId="279907EB" w14:textId="77777777" w:rsidR="00F67E9E" w:rsidRPr="0077466E" w:rsidRDefault="00F67E9E" w:rsidP="00F67E9E">
      <w:pPr>
        <w:pStyle w:val="Numbered11"/>
      </w:pPr>
      <w:r w:rsidRPr="0077466E">
        <w:t>The Supplier shall upon the Effective Date and within 15 Working Days after the renewal or replacement of each of the Insurances, provide evidence, in a form satisfactory to the Authority, that the Insurances are in force and effect and meet in full the requirements of this Schedule.</w:t>
      </w:r>
      <w:r>
        <w:t xml:space="preserve"> </w:t>
      </w:r>
      <w:r w:rsidRPr="0077466E">
        <w:t>Receipt of such evidence by the Authority shall not in itself constitute acceptance by the Authority or relieve the Supplier of any of its liabilities and obligations under this Contract.</w:t>
      </w:r>
    </w:p>
    <w:p w14:paraId="34D1806A" w14:textId="77777777" w:rsidR="00F67E9E" w:rsidRDefault="00F67E9E" w:rsidP="00F67E9E">
      <w:pPr>
        <w:pStyle w:val="Numbered1"/>
      </w:pPr>
      <w:r>
        <w:t>Insurance for the Required Amount</w:t>
      </w:r>
    </w:p>
    <w:p w14:paraId="64382544" w14:textId="77777777" w:rsidR="00F67E9E" w:rsidRDefault="00F67E9E" w:rsidP="00F67E9E">
      <w:pPr>
        <w:pStyle w:val="Numbered11"/>
      </w:pPr>
      <w:r>
        <w:t>The Supplier shall ensure that any Insurances which are stated to have a minimum limit "in the aggregate" are maintained for the minimum limit of indemnity for the periods specified in this Schedule.</w:t>
      </w:r>
    </w:p>
    <w:p w14:paraId="58FA9BD6" w14:textId="77777777" w:rsidR="00F67E9E" w:rsidRDefault="00F67E9E" w:rsidP="00F67E9E">
      <w:pPr>
        <w:pStyle w:val="Numbered11"/>
      </w:pPr>
      <w:r>
        <w:t>Where the Supplier intends to claim under any of the Insurances for an amount or amounts that are significant in the opinion of the Authority for any matters that are not related to the Services and/or the Contract, where such claim is likely to result in the level of cover available under any of the Insurances being reduced below the minimum limit of indemnity specified in this Schedule, the Supplier shall promptly notify the Authority and provide details of its proposed solution for maintaining the minimum limit of indemnity specified in this Schedule.</w:t>
      </w:r>
    </w:p>
    <w:p w14:paraId="21393D6E" w14:textId="77777777" w:rsidR="00F67E9E" w:rsidRPr="0077466E" w:rsidRDefault="00F67E9E" w:rsidP="00F67E9E">
      <w:pPr>
        <w:pStyle w:val="Numbered1"/>
        <w:tabs>
          <w:tab w:val="clear" w:pos="720"/>
          <w:tab w:val="num" w:pos="1080"/>
        </w:tabs>
      </w:pPr>
      <w:r w:rsidRPr="0077466E">
        <w:t>Cancellation</w:t>
      </w:r>
    </w:p>
    <w:p w14:paraId="2BF672E3" w14:textId="5A391B1E" w:rsidR="00F67E9E" w:rsidRPr="0077466E" w:rsidRDefault="00F67E9E" w:rsidP="00F67E9E">
      <w:pPr>
        <w:pStyle w:val="Numbered11"/>
        <w:tabs>
          <w:tab w:val="clear" w:pos="720"/>
          <w:tab w:val="num" w:pos="1080"/>
        </w:tabs>
      </w:pPr>
      <w:r w:rsidRPr="0077466E">
        <w:t xml:space="preserve">Subject to </w:t>
      </w:r>
      <w:bookmarkStart w:id="534" w:name="_9kR3WTr2BBDFFeEnoewrqyGP"/>
      <w:r w:rsidRPr="0077466E">
        <w:t xml:space="preserve">Paragraph </w:t>
      </w:r>
      <w:r w:rsidRPr="0077466E">
        <w:fldChar w:fldCharType="begin"/>
      </w:r>
      <w:r w:rsidRPr="0077466E">
        <w:instrText xml:space="preserve"> REF _Ref_ContractCompanion_9kb9Ur9B9 \n \h \t \* MERGEFORMAT </w:instrText>
      </w:r>
      <w:r w:rsidRPr="0077466E">
        <w:fldChar w:fldCharType="separate"/>
      </w:r>
      <w:r w:rsidR="007A1473">
        <w:t>7.2</w:t>
      </w:r>
      <w:r w:rsidRPr="0077466E">
        <w:fldChar w:fldCharType="end"/>
      </w:r>
      <w:bookmarkEnd w:id="534"/>
      <w:r w:rsidRPr="0077466E">
        <w:t>, the Supplier shall notify the Authority in writing at least 5 Working Days prior to the cancellation, suspension, termination or non-renewal of any of the Insurances.</w:t>
      </w:r>
    </w:p>
    <w:p w14:paraId="28A244B6" w14:textId="0C7EEB2E" w:rsidR="00F67E9E" w:rsidRPr="0077466E" w:rsidRDefault="00F67E9E" w:rsidP="00F67E9E">
      <w:pPr>
        <w:pStyle w:val="Numbered11"/>
        <w:tabs>
          <w:tab w:val="clear" w:pos="720"/>
          <w:tab w:val="num" w:pos="1080"/>
        </w:tabs>
      </w:pPr>
      <w:r w:rsidRPr="0077466E">
        <w:t>Without prejudice to the Supplier</w:t>
      </w:r>
      <w:r>
        <w:t>’</w:t>
      </w:r>
      <w:r w:rsidRPr="0077466E">
        <w:t xml:space="preserve">s obligations under </w:t>
      </w:r>
      <w:bookmarkStart w:id="535" w:name="_9kMKJ5YVt4DDCMKbGpqgyts0G"/>
      <w:r w:rsidRPr="0077466E">
        <w:t xml:space="preserve">Paragraph </w:t>
      </w:r>
      <w:r w:rsidRPr="0077466E">
        <w:fldChar w:fldCharType="begin"/>
      </w:r>
      <w:r w:rsidRPr="0077466E">
        <w:instrText xml:space="preserve"> REF _Ref_ContractCompanion_9kb9Ur6FH \w \n \h \t \* MERGEFORMAT </w:instrText>
      </w:r>
      <w:r w:rsidRPr="0077466E">
        <w:fldChar w:fldCharType="separate"/>
      </w:r>
      <w:r w:rsidR="007A1473">
        <w:t>4</w:t>
      </w:r>
      <w:r w:rsidRPr="0077466E">
        <w:fldChar w:fldCharType="end"/>
      </w:r>
      <w:bookmarkEnd w:id="535"/>
      <w:r w:rsidRPr="0077466E">
        <w:t xml:space="preserve">, </w:t>
      </w:r>
      <w:bookmarkStart w:id="536" w:name="_9kR3WTr2BBDG9XEnoewrqyGO"/>
      <w:r w:rsidRPr="0077466E">
        <w:t xml:space="preserve">Paragraph </w:t>
      </w:r>
      <w:r w:rsidRPr="0077466E">
        <w:fldChar w:fldCharType="begin"/>
      </w:r>
      <w:r w:rsidRPr="0077466E">
        <w:instrText xml:space="preserve"> REF _Ref_ContractCompanion_9kb9Ur9BC \n \h \t \* MERGEFORMAT </w:instrText>
      </w:r>
      <w:r w:rsidRPr="0077466E">
        <w:fldChar w:fldCharType="separate"/>
      </w:r>
      <w:r w:rsidR="007A1473">
        <w:t>7.1</w:t>
      </w:r>
      <w:r w:rsidRPr="0077466E">
        <w:fldChar w:fldCharType="end"/>
      </w:r>
      <w:bookmarkEnd w:id="536"/>
      <w:r w:rsidRPr="0077466E">
        <w:t xml:space="preserve"> shall not apply where the termination of any Insurances occurs purely as a result of a change of insurer in respect of any of the Insurances required to be taken out and maintained in accordance with this Schedule.</w:t>
      </w:r>
    </w:p>
    <w:p w14:paraId="7432B036" w14:textId="77777777" w:rsidR="00F67E9E" w:rsidRPr="0077466E" w:rsidRDefault="00F67E9E" w:rsidP="00F67E9E">
      <w:pPr>
        <w:pStyle w:val="Numbered1"/>
        <w:tabs>
          <w:tab w:val="clear" w:pos="720"/>
          <w:tab w:val="num" w:pos="1080"/>
        </w:tabs>
      </w:pPr>
      <w:r w:rsidRPr="0077466E">
        <w:t xml:space="preserve">Insurance Claims, Premiums </w:t>
      </w:r>
      <w:r>
        <w:t>a</w:t>
      </w:r>
      <w:r w:rsidRPr="0077466E">
        <w:t>nd Deductibles</w:t>
      </w:r>
    </w:p>
    <w:p w14:paraId="579F0D5D" w14:textId="77777777" w:rsidR="00F67E9E" w:rsidRPr="0077466E" w:rsidRDefault="00F67E9E" w:rsidP="00F67E9E">
      <w:pPr>
        <w:pStyle w:val="Numbered11"/>
      </w:pPr>
      <w:bookmarkStart w:id="537" w:name="_Ref_ContractCompanion_9kb9Ur9BC"/>
      <w:r w:rsidRPr="0077466E">
        <w:t>The Supplier shall promptly notify to insurers any matter arising from, or in relation to, the Services and/or this Contract for which it may be entitled to claim under any of the Insurances.</w:t>
      </w:r>
      <w:r>
        <w:t xml:space="preserve"> </w:t>
      </w:r>
      <w:r w:rsidRPr="0077466E">
        <w:t>In the event that the Authority receives a claim relating to or arising out of the Services and/or this Contract, the Supplier shall co-operate with the Authority and assist it in dealing with such claims at its own expense including without limitation providing information and documentation in a timely manner.</w:t>
      </w:r>
      <w:bookmarkEnd w:id="537"/>
    </w:p>
    <w:p w14:paraId="0BD08B78" w14:textId="77777777" w:rsidR="00F67E9E" w:rsidRPr="0077466E" w:rsidRDefault="00F67E9E" w:rsidP="00F67E9E">
      <w:pPr>
        <w:pStyle w:val="Numbered11"/>
      </w:pPr>
      <w:bookmarkStart w:id="538" w:name="_Ref_ContractCompanion_9kb9Ur9B9"/>
      <w:r w:rsidRPr="0077466E">
        <w:t xml:space="preserve">The Supplier shall maintain a register of all claims under the Insurances in connection with this Contract and shall allow the Authority to review such register at any time. </w:t>
      </w:r>
      <w:bookmarkEnd w:id="538"/>
    </w:p>
    <w:p w14:paraId="5A833689" w14:textId="77777777" w:rsidR="00F67E9E" w:rsidRPr="0077466E" w:rsidRDefault="00F67E9E" w:rsidP="00F67E9E">
      <w:pPr>
        <w:pStyle w:val="Numbered11"/>
      </w:pPr>
      <w:r w:rsidRPr="0077466E">
        <w:lastRenderedPageBreak/>
        <w:t>Where any Insurance requires payment of a premium, the Supplier shall be liable for and shall promptly pay such premium.</w:t>
      </w:r>
    </w:p>
    <w:p w14:paraId="76D00B98" w14:textId="77777777" w:rsidR="00F67E9E" w:rsidRDefault="00F67E9E" w:rsidP="00F67E9E">
      <w:pPr>
        <w:pStyle w:val="Numbered11"/>
      </w:pPr>
      <w:r w:rsidRPr="0077466E">
        <w:t>Where any Insurance is subject to an excess or deductible below which the indemnity from insurers is excluded, the Supplier shall be liable for such excess or deductible.</w:t>
      </w:r>
      <w:r>
        <w:t xml:space="preserve"> </w:t>
      </w:r>
      <w:r w:rsidRPr="0077466E">
        <w:t>The Supplier shall not be entitled to recover from the Authority any sum paid by way of excess or deductible under the Insurances whether under the terms of this Contract or otherwise.</w:t>
      </w:r>
    </w:p>
    <w:p w14:paraId="2659C0A7" w14:textId="77777777" w:rsidR="00F67E9E" w:rsidRPr="00B80662" w:rsidRDefault="00F67E9E" w:rsidP="00F67E9E">
      <w:pPr>
        <w:pStyle w:val="Heading2"/>
        <w:pageBreakBefore/>
      </w:pPr>
      <w:bookmarkStart w:id="539" w:name="_Ref_ContractCompanion_9kb9Ur5EC"/>
      <w:bookmarkStart w:id="540" w:name="_Ref_ContractCompanion_9kb9Ur5EE"/>
      <w:bookmarkStart w:id="541" w:name="_Toc145412751"/>
      <w:r w:rsidRPr="0077466E">
        <w:lastRenderedPageBreak/>
        <w:t xml:space="preserve">Annex </w:t>
      </w:r>
      <w:bookmarkStart w:id="542" w:name="ANNEX1_PARTA_SCHEDULE6"/>
      <w:r w:rsidRPr="0077466E">
        <w:t>1</w:t>
      </w:r>
      <w:bookmarkEnd w:id="542"/>
      <w:r w:rsidRPr="0077466E">
        <w:t>: Required Insurances</w:t>
      </w:r>
      <w:bookmarkEnd w:id="539"/>
      <w:bookmarkEnd w:id="540"/>
      <w:bookmarkEnd w:id="541"/>
    </w:p>
    <w:p w14:paraId="5C409903" w14:textId="77777777" w:rsidR="00F67E9E" w:rsidRPr="000038E2" w:rsidRDefault="00F67E9E" w:rsidP="00F67E9E">
      <w:pPr>
        <w:pStyle w:val="Heading2"/>
      </w:pPr>
      <w:bookmarkStart w:id="543" w:name="Sch6PartA"/>
      <w:bookmarkStart w:id="544" w:name="_Ref92205550"/>
      <w:bookmarkStart w:id="545" w:name="_Toc145412752"/>
      <w:r w:rsidRPr="000038E2">
        <w:t>Part A</w:t>
      </w:r>
      <w:bookmarkEnd w:id="543"/>
      <w:r w:rsidRPr="000038E2">
        <w:t>: Insurance Claim Notification</w:t>
      </w:r>
      <w:bookmarkEnd w:id="544"/>
      <w:bookmarkEnd w:id="545"/>
    </w:p>
    <w:p w14:paraId="353AF9D5" w14:textId="1813A967" w:rsidR="00F67E9E" w:rsidRPr="006158F0" w:rsidRDefault="00F67E9E" w:rsidP="00F67E9E">
      <w:pPr>
        <w:pStyle w:val="StdBodyText"/>
        <w:rPr>
          <w:rFonts w:cs="Arial"/>
        </w:rPr>
      </w:pPr>
      <w:r w:rsidRPr="006158F0">
        <w:rPr>
          <w:rFonts w:cs="Arial"/>
        </w:rPr>
        <w:t xml:space="preserve">Except where the Authority is the claimant party, the Supplier shall give the Authority notice within 20 Working Days after any insurance claim in excess of </w:t>
      </w:r>
      <w:r w:rsidRPr="006158F0">
        <w:rPr>
          <w:rStyle w:val="StdBodyTextBoldChar"/>
          <w:rFonts w:cs="Arial"/>
          <w:b w:val="0"/>
          <w:bCs/>
          <w:iCs/>
        </w:rPr>
        <w:t>£100,000</w:t>
      </w:r>
      <w:r w:rsidRPr="006158F0">
        <w:rPr>
          <w:rFonts w:cs="Arial"/>
        </w:rPr>
        <w:t xml:space="preserve"> relating to or arising out of the provision of the Services or this Contract on any of the Insurances or which, but for the application of the applicable policy excess, would be made on any of the Insurances and (if required by the Authority) full details of the incident giving rise to the claim. </w:t>
      </w:r>
    </w:p>
    <w:p w14:paraId="3A2C99DD" w14:textId="77777777" w:rsidR="00F67E9E" w:rsidRDefault="00F67E9E" w:rsidP="00F67E9E">
      <w:pPr>
        <w:pStyle w:val="StdBodyText"/>
        <w:rPr>
          <w:rStyle w:val="Heading3Char"/>
        </w:rPr>
      </w:pPr>
    </w:p>
    <w:p w14:paraId="5C1785EE" w14:textId="77777777" w:rsidR="00F67E9E" w:rsidRPr="004472FD" w:rsidRDefault="00F67E9E" w:rsidP="00F67E9E">
      <w:pPr>
        <w:pStyle w:val="Heading2"/>
        <w:pageBreakBefore/>
      </w:pPr>
      <w:bookmarkStart w:id="546" w:name="Sch6PartB"/>
      <w:bookmarkStart w:id="547" w:name="_Ref92205558"/>
      <w:bookmarkStart w:id="548" w:name="_Toc145412753"/>
      <w:r w:rsidRPr="004472FD">
        <w:lastRenderedPageBreak/>
        <w:t>Part B</w:t>
      </w:r>
      <w:bookmarkEnd w:id="546"/>
      <w:r w:rsidRPr="004472FD">
        <w:t xml:space="preserve">: Third Party Public </w:t>
      </w:r>
      <w:r>
        <w:t>a</w:t>
      </w:r>
      <w:r w:rsidRPr="004472FD">
        <w:t>nd Products Liability Insurance</w:t>
      </w:r>
      <w:bookmarkEnd w:id="547"/>
      <w:bookmarkEnd w:id="548"/>
    </w:p>
    <w:p w14:paraId="0D79E2B7" w14:textId="77777777" w:rsidR="00F67E9E" w:rsidRPr="000950FC" w:rsidRDefault="00F67E9E" w:rsidP="00F13933">
      <w:pPr>
        <w:pStyle w:val="Numbered1"/>
        <w:numPr>
          <w:ilvl w:val="0"/>
          <w:numId w:val="117"/>
        </w:numPr>
        <w:tabs>
          <w:tab w:val="clear" w:pos="720"/>
          <w:tab w:val="num" w:pos="1080"/>
        </w:tabs>
      </w:pPr>
      <w:r w:rsidRPr="000950FC">
        <w:t>Insured</w:t>
      </w:r>
    </w:p>
    <w:p w14:paraId="17FB457F" w14:textId="77777777" w:rsidR="00F67E9E" w:rsidRPr="000C1DA3" w:rsidRDefault="00F67E9E" w:rsidP="00F67E9E">
      <w:pPr>
        <w:pStyle w:val="Numbered11"/>
        <w:tabs>
          <w:tab w:val="clear" w:pos="720"/>
          <w:tab w:val="num" w:pos="1080"/>
        </w:tabs>
      </w:pPr>
      <w:r w:rsidRPr="000C1DA3">
        <w:t>The Supplier</w:t>
      </w:r>
    </w:p>
    <w:p w14:paraId="1DA5E9C3" w14:textId="77777777" w:rsidR="00F67E9E" w:rsidRPr="000C1DA3" w:rsidRDefault="00F67E9E" w:rsidP="00F67E9E">
      <w:pPr>
        <w:pStyle w:val="Numbered1"/>
        <w:tabs>
          <w:tab w:val="clear" w:pos="720"/>
          <w:tab w:val="num" w:pos="1080"/>
        </w:tabs>
      </w:pPr>
      <w:r w:rsidRPr="000C1DA3">
        <w:t>Interest</w:t>
      </w:r>
    </w:p>
    <w:p w14:paraId="0105A267" w14:textId="77777777" w:rsidR="00F67E9E" w:rsidRPr="000C1DA3" w:rsidRDefault="00F67E9E" w:rsidP="00F67E9E">
      <w:pPr>
        <w:pStyle w:val="Numbered11"/>
        <w:tabs>
          <w:tab w:val="clear" w:pos="720"/>
          <w:tab w:val="num" w:pos="1080"/>
        </w:tabs>
      </w:pPr>
      <w:r w:rsidRPr="000C1DA3">
        <w:t>To indemnify the Insured in respect of all sums which the Insured shall become legally liable to pay as damages, including claimant</w:t>
      </w:r>
      <w:r>
        <w:t>’</w:t>
      </w:r>
      <w:r w:rsidRPr="000C1DA3">
        <w:t>s costs and expenses, in respect of accidental:</w:t>
      </w:r>
    </w:p>
    <w:p w14:paraId="5034049C" w14:textId="77777777" w:rsidR="00F67E9E" w:rsidRPr="0077466E" w:rsidRDefault="00F67E9E" w:rsidP="00F67E9E">
      <w:pPr>
        <w:pStyle w:val="Numbered111"/>
        <w:tabs>
          <w:tab w:val="clear" w:pos="1800"/>
          <w:tab w:val="num" w:pos="2160"/>
        </w:tabs>
      </w:pPr>
      <w:r w:rsidRPr="0077466E">
        <w:t>death or bodily injury to or sickness, illness or disease contracted by any person; and</w:t>
      </w:r>
    </w:p>
    <w:p w14:paraId="76A1C18A" w14:textId="77777777" w:rsidR="00F67E9E" w:rsidRPr="0077466E" w:rsidRDefault="00F67E9E" w:rsidP="00F67E9E">
      <w:pPr>
        <w:pStyle w:val="Numbered111"/>
        <w:tabs>
          <w:tab w:val="clear" w:pos="1800"/>
          <w:tab w:val="num" w:pos="2160"/>
        </w:tabs>
      </w:pPr>
      <w:r w:rsidRPr="0077466E">
        <w:t>loss of or damage to physical property;</w:t>
      </w:r>
    </w:p>
    <w:p w14:paraId="368AD3E1" w14:textId="33632D0A" w:rsidR="00F67E9E" w:rsidRPr="000C1DA3" w:rsidRDefault="00F67E9E" w:rsidP="00F67E9E">
      <w:pPr>
        <w:pStyle w:val="StdBodyText1"/>
        <w:rPr>
          <w:rFonts w:cs="Arial"/>
        </w:rPr>
      </w:pPr>
      <w:r w:rsidRPr="0077466E">
        <w:rPr>
          <w:rFonts w:cs="Arial"/>
        </w:rPr>
        <w:t xml:space="preserve">happening during the period of insurance (as specified in </w:t>
      </w:r>
      <w:bookmarkStart w:id="549" w:name="_9kMHG5YVtCIAFIENEyq1PfMvFahpW5A84583CNV"/>
      <w:r w:rsidRPr="0077466E">
        <w:rPr>
          <w:rFonts w:cs="Arial"/>
        </w:rPr>
        <w:t xml:space="preserve">Paragraph </w:t>
      </w:r>
      <w:r w:rsidRPr="0077466E">
        <w:rPr>
          <w:rFonts w:cs="Arial"/>
        </w:rPr>
        <w:fldChar w:fldCharType="begin"/>
      </w:r>
      <w:r w:rsidRPr="0077466E">
        <w:rPr>
          <w:rFonts w:cs="Arial"/>
        </w:rPr>
        <w:instrText xml:space="preserve"> REF _Ref_ContractCompanion_9kb9Ur9C6 \w \n \h \t \* MERGEFORMAT </w:instrText>
      </w:r>
      <w:r w:rsidRPr="0077466E">
        <w:rPr>
          <w:rFonts w:cs="Arial"/>
        </w:rPr>
      </w:r>
      <w:r w:rsidRPr="0077466E">
        <w:rPr>
          <w:rFonts w:cs="Arial"/>
        </w:rPr>
        <w:fldChar w:fldCharType="separate"/>
      </w:r>
      <w:r w:rsidR="007A1473">
        <w:rPr>
          <w:rFonts w:cs="Arial"/>
        </w:rPr>
        <w:t>5</w:t>
      </w:r>
      <w:r w:rsidRPr="0077466E">
        <w:rPr>
          <w:rFonts w:cs="Arial"/>
        </w:rPr>
        <w:fldChar w:fldCharType="end"/>
      </w:r>
      <w:bookmarkEnd w:id="549"/>
      <w:r w:rsidRPr="0077466E">
        <w:rPr>
          <w:rFonts w:cs="Arial"/>
        </w:rPr>
        <w:t>) and arising out of or in connection with the provision of the Services and in connection with this Contract.</w:t>
      </w:r>
    </w:p>
    <w:p w14:paraId="06EF2540" w14:textId="77777777" w:rsidR="00F67E9E" w:rsidRPr="006158F0" w:rsidRDefault="00F67E9E" w:rsidP="00F67E9E">
      <w:pPr>
        <w:pStyle w:val="Numbered1"/>
      </w:pPr>
      <w:r w:rsidRPr="000C1DA3">
        <w:t xml:space="preserve">Limit of </w:t>
      </w:r>
      <w:r w:rsidRPr="006158F0">
        <w:t>indemnity</w:t>
      </w:r>
    </w:p>
    <w:p w14:paraId="1F74B8CE" w14:textId="45CC0693" w:rsidR="00F67E9E" w:rsidRPr="006158F0" w:rsidRDefault="00F67E9E" w:rsidP="00F67E9E">
      <w:pPr>
        <w:pStyle w:val="Numbered11"/>
      </w:pPr>
      <w:r w:rsidRPr="006158F0">
        <w:t xml:space="preserve">Not less than </w:t>
      </w:r>
      <w:r w:rsidRPr="006158F0">
        <w:rPr>
          <w:rStyle w:val="StdBodyTextBoldChar"/>
          <w:rFonts w:eastAsia="Verdana" w:cs="Arial"/>
          <w:b w:val="0"/>
          <w:bCs/>
          <w:iCs/>
        </w:rPr>
        <w:t>£</w:t>
      </w:r>
      <w:r w:rsidR="009670A0" w:rsidRPr="006158F0">
        <w:rPr>
          <w:rStyle w:val="StdBodyTextBoldChar"/>
          <w:rFonts w:eastAsia="Verdana" w:cs="Arial"/>
          <w:b w:val="0"/>
          <w:bCs/>
          <w:iCs/>
        </w:rPr>
        <w:t>10,000,000</w:t>
      </w:r>
      <w:r w:rsidRPr="006158F0">
        <w:t xml:space="preserve"> in respect of any one occurrence, the number of occurrences being unlimited in any annual policy period, but </w:t>
      </w:r>
      <w:r w:rsidRPr="006158F0">
        <w:rPr>
          <w:rStyle w:val="StdBodyTextBoldChar"/>
          <w:rFonts w:eastAsia="Verdana" w:cs="Arial"/>
          <w:b w:val="0"/>
          <w:bCs/>
          <w:iCs/>
        </w:rPr>
        <w:t>£</w:t>
      </w:r>
      <w:r w:rsidR="009670A0" w:rsidRPr="006158F0">
        <w:rPr>
          <w:rStyle w:val="StdBodyTextBoldChar"/>
          <w:rFonts w:eastAsia="Verdana" w:cs="Arial"/>
          <w:b w:val="0"/>
          <w:bCs/>
          <w:iCs/>
        </w:rPr>
        <w:t>10,000,000</w:t>
      </w:r>
      <w:r w:rsidRPr="006158F0">
        <w:t xml:space="preserve"> in the aggregate per annum in respect of products and pollution liability.</w:t>
      </w:r>
    </w:p>
    <w:p w14:paraId="16393764" w14:textId="77777777" w:rsidR="00F67E9E" w:rsidRPr="006158F0" w:rsidRDefault="00F67E9E" w:rsidP="00F67E9E">
      <w:pPr>
        <w:pStyle w:val="Numbered1"/>
      </w:pPr>
      <w:r w:rsidRPr="006158F0">
        <w:t>Territorial limits</w:t>
      </w:r>
    </w:p>
    <w:p w14:paraId="2C0EA1AA" w14:textId="0B35F540" w:rsidR="00F67E9E" w:rsidRPr="006158F0" w:rsidRDefault="00F67E9E" w:rsidP="00F67E9E">
      <w:pPr>
        <w:pStyle w:val="StdBodyText1"/>
        <w:rPr>
          <w:rFonts w:cs="Arial"/>
          <w:iCs/>
        </w:rPr>
      </w:pPr>
      <w:r w:rsidRPr="006158F0">
        <w:rPr>
          <w:rStyle w:val="StdBodyTextBoldChar"/>
          <w:rFonts w:cs="Arial"/>
          <w:iCs/>
        </w:rPr>
        <w:t>United</w:t>
      </w:r>
      <w:r w:rsidRPr="006158F0">
        <w:rPr>
          <w:rFonts w:cs="Arial"/>
          <w:iCs/>
        </w:rPr>
        <w:t xml:space="preserve"> </w:t>
      </w:r>
      <w:r w:rsidRPr="006158F0">
        <w:rPr>
          <w:rStyle w:val="StdBodyTextBoldChar"/>
          <w:rFonts w:cs="Arial"/>
          <w:iCs/>
        </w:rPr>
        <w:t>Kingdom</w:t>
      </w:r>
    </w:p>
    <w:p w14:paraId="2B4F841B" w14:textId="77777777" w:rsidR="00F67E9E" w:rsidRPr="006158F0" w:rsidRDefault="00F67E9E" w:rsidP="00F67E9E">
      <w:pPr>
        <w:pStyle w:val="Numbered1"/>
      </w:pPr>
      <w:bookmarkStart w:id="550" w:name="_Ref_ContractCompanion_9kb9Ur9C6"/>
      <w:bookmarkStart w:id="551" w:name="_9kR3WTrAG8DGCLCwozNdKtDYfnU3862361ALTTA"/>
      <w:r w:rsidRPr="006158F0">
        <w:t>Period of insurance</w:t>
      </w:r>
      <w:bookmarkEnd w:id="550"/>
      <w:bookmarkEnd w:id="551"/>
    </w:p>
    <w:p w14:paraId="248BC724" w14:textId="77777777" w:rsidR="00F67E9E" w:rsidRPr="006158F0" w:rsidRDefault="00F67E9E" w:rsidP="00F67E9E">
      <w:pPr>
        <w:pStyle w:val="Numbered11"/>
        <w:tabs>
          <w:tab w:val="clear" w:pos="720"/>
          <w:tab w:val="num" w:pos="1080"/>
        </w:tabs>
      </w:pPr>
      <w:r w:rsidRPr="006158F0">
        <w:t>From the date of this Contract for the Term and renewable on an annual basis unless agreed otherwise by the Authority in writing.</w:t>
      </w:r>
    </w:p>
    <w:p w14:paraId="023BD338" w14:textId="77777777" w:rsidR="00F67E9E" w:rsidRPr="006158F0" w:rsidRDefault="00F67E9E" w:rsidP="00F67E9E">
      <w:pPr>
        <w:pStyle w:val="Numbered1"/>
      </w:pPr>
      <w:r w:rsidRPr="006158F0">
        <w:t>Cover features and extensions</w:t>
      </w:r>
    </w:p>
    <w:p w14:paraId="4C22C9C2" w14:textId="77777777" w:rsidR="00F67E9E" w:rsidRPr="006158F0" w:rsidRDefault="00F67E9E" w:rsidP="00F67E9E">
      <w:pPr>
        <w:pStyle w:val="Numbered11"/>
        <w:tabs>
          <w:tab w:val="clear" w:pos="720"/>
          <w:tab w:val="num" w:pos="1080"/>
        </w:tabs>
        <w:rPr>
          <w:bCs/>
        </w:rPr>
      </w:pPr>
      <w:r w:rsidRPr="006158F0">
        <w:t xml:space="preserve">Indemnity to principals clause under which the Authority shall be indemnified in respect of claims made against the Authority in respect of death or bodily injury or third party property damage arising out of or in connection with the </w:t>
      </w:r>
      <w:r w:rsidRPr="006158F0">
        <w:rPr>
          <w:b/>
        </w:rPr>
        <w:t>Contract and for which the Supplier is legally liable</w:t>
      </w:r>
      <w:r w:rsidRPr="006158F0">
        <w:rPr>
          <w:bCs/>
        </w:rPr>
        <w:t>.</w:t>
      </w:r>
    </w:p>
    <w:p w14:paraId="20D3E4CC" w14:textId="77777777" w:rsidR="00F67E9E" w:rsidRPr="006158F0" w:rsidRDefault="00F67E9E" w:rsidP="00F67E9E">
      <w:pPr>
        <w:pStyle w:val="Numbered1"/>
      </w:pPr>
      <w:r w:rsidRPr="006158F0">
        <w:t>Principal exclusions</w:t>
      </w:r>
    </w:p>
    <w:p w14:paraId="7BFD3BC0" w14:textId="77777777" w:rsidR="00F67E9E" w:rsidRPr="000C1DA3" w:rsidRDefault="00F67E9E" w:rsidP="00F67E9E">
      <w:pPr>
        <w:pStyle w:val="Numbered11"/>
        <w:tabs>
          <w:tab w:val="clear" w:pos="720"/>
          <w:tab w:val="num" w:pos="1080"/>
        </w:tabs>
      </w:pPr>
      <w:r w:rsidRPr="000C1DA3">
        <w:t>War and related perils.</w:t>
      </w:r>
    </w:p>
    <w:p w14:paraId="3CEA2631" w14:textId="77777777" w:rsidR="00F67E9E" w:rsidRPr="000C1DA3" w:rsidRDefault="00F67E9E" w:rsidP="00F67E9E">
      <w:pPr>
        <w:pStyle w:val="Numbered11"/>
        <w:tabs>
          <w:tab w:val="clear" w:pos="720"/>
          <w:tab w:val="num" w:pos="1080"/>
        </w:tabs>
      </w:pPr>
      <w:r w:rsidRPr="000C1DA3">
        <w:t>Nuclear and radioactive risks.</w:t>
      </w:r>
    </w:p>
    <w:p w14:paraId="7DC7FFF0" w14:textId="77777777" w:rsidR="00F67E9E" w:rsidRPr="000C1DA3" w:rsidRDefault="00F67E9E" w:rsidP="00F67E9E">
      <w:pPr>
        <w:pStyle w:val="Numbered11"/>
        <w:tabs>
          <w:tab w:val="clear" w:pos="720"/>
          <w:tab w:val="num" w:pos="1080"/>
        </w:tabs>
      </w:pPr>
      <w:r w:rsidRPr="000C1DA3">
        <w:t>Liability for death, illness, disease or bodily injury sustained by employees of the Insured arising out of the course of their employment.</w:t>
      </w:r>
    </w:p>
    <w:p w14:paraId="7CB287BB" w14:textId="77777777" w:rsidR="00F67E9E" w:rsidRPr="000C1DA3" w:rsidRDefault="00F67E9E" w:rsidP="00F67E9E">
      <w:pPr>
        <w:pStyle w:val="Numbered11"/>
        <w:tabs>
          <w:tab w:val="clear" w:pos="720"/>
          <w:tab w:val="num" w:pos="1080"/>
        </w:tabs>
      </w:pPr>
      <w:r w:rsidRPr="000C1DA3">
        <w:t>Liability arising out of the use of mechanically propelled vehicles whilst required to be compulsorily insured by applicable Law in respect of such vehicles.</w:t>
      </w:r>
    </w:p>
    <w:p w14:paraId="680E005A" w14:textId="77777777" w:rsidR="00F67E9E" w:rsidRPr="000C1DA3" w:rsidRDefault="00F67E9E" w:rsidP="00F67E9E">
      <w:pPr>
        <w:pStyle w:val="Numbered11"/>
        <w:tabs>
          <w:tab w:val="clear" w:pos="720"/>
          <w:tab w:val="num" w:pos="1080"/>
        </w:tabs>
      </w:pPr>
      <w:r w:rsidRPr="00560BA2">
        <w:t xml:space="preserve">Liability in respect of predetermined penalties or liquidated damages imposed under any </w:t>
      </w:r>
      <w:r w:rsidRPr="00560BA2">
        <w:lastRenderedPageBreak/>
        <w:t>contract entered</w:t>
      </w:r>
      <w:r w:rsidRPr="000C1DA3">
        <w:t xml:space="preserve"> into by the Insured.</w:t>
      </w:r>
    </w:p>
    <w:p w14:paraId="7C305A6D" w14:textId="77777777" w:rsidR="00F67E9E" w:rsidRPr="000C1DA3" w:rsidRDefault="00F67E9E" w:rsidP="00F67E9E">
      <w:pPr>
        <w:pStyle w:val="Numbered11"/>
        <w:tabs>
          <w:tab w:val="clear" w:pos="720"/>
          <w:tab w:val="num" w:pos="1080"/>
        </w:tabs>
      </w:pPr>
      <w:r w:rsidRPr="000C1DA3">
        <w:t>Liability arising out of technical or professional advice other than in respect of death or bodily injury to persons or damage to third party property.</w:t>
      </w:r>
    </w:p>
    <w:p w14:paraId="660A10B7" w14:textId="77777777" w:rsidR="00F67E9E" w:rsidRPr="006158F0" w:rsidRDefault="00F67E9E" w:rsidP="00F67E9E">
      <w:pPr>
        <w:pStyle w:val="Numbered11"/>
        <w:tabs>
          <w:tab w:val="clear" w:pos="720"/>
          <w:tab w:val="num" w:pos="1080"/>
        </w:tabs>
      </w:pPr>
      <w:r w:rsidRPr="000C1DA3">
        <w:t xml:space="preserve">Liability arising from </w:t>
      </w:r>
      <w:r w:rsidRPr="006158F0">
        <w:t>the ownership, possession or use of any aircraft or marine vessel.</w:t>
      </w:r>
    </w:p>
    <w:p w14:paraId="2B3025E8" w14:textId="77777777" w:rsidR="00F67E9E" w:rsidRPr="006158F0" w:rsidRDefault="00F67E9E" w:rsidP="00F67E9E">
      <w:pPr>
        <w:pStyle w:val="Numbered11"/>
        <w:tabs>
          <w:tab w:val="clear" w:pos="720"/>
          <w:tab w:val="num" w:pos="1080"/>
        </w:tabs>
      </w:pPr>
      <w:r w:rsidRPr="006158F0">
        <w:t>Liability arising from seepage and pollution unless caused by a sudden, unintended and unexpected occurrence.</w:t>
      </w:r>
    </w:p>
    <w:p w14:paraId="41836244" w14:textId="77777777" w:rsidR="00F67E9E" w:rsidRPr="004472FD" w:rsidRDefault="00F67E9E" w:rsidP="00F67E9E">
      <w:pPr>
        <w:pStyle w:val="Heading2"/>
        <w:pageBreakBefore/>
      </w:pPr>
      <w:bookmarkStart w:id="552" w:name="Sch6PartC"/>
      <w:bookmarkStart w:id="553" w:name="_Ref92205567"/>
      <w:bookmarkStart w:id="554" w:name="_Toc145412754"/>
      <w:r w:rsidRPr="004472FD">
        <w:lastRenderedPageBreak/>
        <w:t>Part C</w:t>
      </w:r>
      <w:bookmarkEnd w:id="552"/>
      <w:r w:rsidRPr="004472FD">
        <w:t>: United Kingdom Compulsory Insurances</w:t>
      </w:r>
      <w:bookmarkEnd w:id="553"/>
      <w:bookmarkEnd w:id="554"/>
    </w:p>
    <w:p w14:paraId="685D9D59" w14:textId="5DE20E9D" w:rsidR="00F67E9E" w:rsidRDefault="00F67E9E" w:rsidP="00F67E9E">
      <w:pPr>
        <w:pStyle w:val="StdBodyText"/>
        <w:rPr>
          <w:rFonts w:cs="Arial"/>
        </w:rPr>
      </w:pPr>
      <w:r w:rsidRPr="000C1DA3">
        <w:rPr>
          <w:rFonts w:cs="Arial"/>
        </w:rPr>
        <w:t>The Supplier shall meet its insurance obligations under applicable Law in full, including, UK employers</w:t>
      </w:r>
      <w:r>
        <w:rPr>
          <w:rFonts w:cs="Arial"/>
        </w:rPr>
        <w:t>’</w:t>
      </w:r>
      <w:r w:rsidRPr="000C1DA3">
        <w:rPr>
          <w:rFonts w:cs="Arial"/>
        </w:rPr>
        <w:t xml:space="preserve"> liability insurance </w:t>
      </w:r>
      <w:r w:rsidR="009670A0">
        <w:rPr>
          <w:rFonts w:cs="Arial"/>
        </w:rPr>
        <w:t xml:space="preserve">(as a minimum in accordance with the requirements stated below) </w:t>
      </w:r>
      <w:r w:rsidRPr="000C1DA3">
        <w:rPr>
          <w:rFonts w:cs="Arial"/>
        </w:rPr>
        <w:t>and motor t</w:t>
      </w:r>
      <w:r>
        <w:rPr>
          <w:rFonts w:cs="Arial"/>
        </w:rPr>
        <w:t>hird party liability insurance.</w:t>
      </w:r>
    </w:p>
    <w:p w14:paraId="796F0412" w14:textId="5BE1ADC3" w:rsidR="009670A0" w:rsidRDefault="009670A0" w:rsidP="00F67E9E">
      <w:pPr>
        <w:pStyle w:val="StdBodyText"/>
        <w:rPr>
          <w:rFonts w:cs="Arial"/>
        </w:rPr>
      </w:pPr>
    </w:p>
    <w:p w14:paraId="7BD3F318" w14:textId="4813D525" w:rsidR="009670A0" w:rsidRPr="009670A0" w:rsidRDefault="009670A0" w:rsidP="00F67E9E">
      <w:pPr>
        <w:pStyle w:val="StdBodyText"/>
        <w:rPr>
          <w:rFonts w:cs="Arial"/>
          <w:b/>
        </w:rPr>
      </w:pPr>
      <w:r w:rsidRPr="009670A0">
        <w:rPr>
          <w:rFonts w:cs="Arial"/>
          <w:b/>
        </w:rPr>
        <w:t>Employers' Liability Insurance</w:t>
      </w:r>
    </w:p>
    <w:p w14:paraId="20D94A95" w14:textId="00FA13B7" w:rsidR="009670A0" w:rsidRPr="009670A0" w:rsidRDefault="009670A0" w:rsidP="009670A0">
      <w:pPr>
        <w:pStyle w:val="StdBodyText"/>
        <w:tabs>
          <w:tab w:val="left" w:pos="709"/>
        </w:tabs>
        <w:rPr>
          <w:rFonts w:cs="Arial"/>
          <w:b/>
        </w:rPr>
      </w:pPr>
      <w:r w:rsidRPr="009670A0">
        <w:rPr>
          <w:rFonts w:cs="Arial"/>
          <w:b/>
        </w:rPr>
        <w:t>1.        Insured</w:t>
      </w:r>
    </w:p>
    <w:p w14:paraId="4B0EE99B" w14:textId="5C5548C3" w:rsidR="009670A0" w:rsidRPr="009670A0" w:rsidRDefault="009670A0" w:rsidP="009670A0">
      <w:pPr>
        <w:pStyle w:val="StdBodyText"/>
        <w:tabs>
          <w:tab w:val="left" w:pos="709"/>
        </w:tabs>
        <w:rPr>
          <w:rFonts w:cs="Arial"/>
        </w:rPr>
      </w:pPr>
      <w:r w:rsidRPr="009670A0">
        <w:rPr>
          <w:rFonts w:cs="Arial"/>
        </w:rPr>
        <w:t xml:space="preserve">      </w:t>
      </w:r>
      <w:r w:rsidRPr="009670A0">
        <w:rPr>
          <w:rFonts w:cs="Arial"/>
        </w:rPr>
        <w:tab/>
      </w:r>
      <w:r>
        <w:rPr>
          <w:rFonts w:cs="Arial"/>
        </w:rPr>
        <w:tab/>
      </w:r>
      <w:r w:rsidRPr="009670A0">
        <w:rPr>
          <w:rFonts w:cs="Arial"/>
        </w:rPr>
        <w:t>The Supplier</w:t>
      </w:r>
    </w:p>
    <w:p w14:paraId="1624B0FC" w14:textId="57DFB4CD" w:rsidR="009670A0" w:rsidRPr="009670A0" w:rsidRDefault="009670A0" w:rsidP="009670A0">
      <w:pPr>
        <w:pStyle w:val="StdBodyText"/>
        <w:tabs>
          <w:tab w:val="left" w:pos="709"/>
        </w:tabs>
        <w:rPr>
          <w:rFonts w:cs="Arial"/>
          <w:b/>
        </w:rPr>
      </w:pPr>
      <w:r w:rsidRPr="009670A0">
        <w:rPr>
          <w:rFonts w:cs="Arial"/>
          <w:b/>
        </w:rPr>
        <w:t>2.        Interest</w:t>
      </w:r>
    </w:p>
    <w:p w14:paraId="18A66693" w14:textId="77777777" w:rsidR="009670A0" w:rsidRPr="009670A0" w:rsidRDefault="009670A0" w:rsidP="009670A0">
      <w:pPr>
        <w:pStyle w:val="StdBodyText"/>
        <w:tabs>
          <w:tab w:val="left" w:pos="709"/>
        </w:tabs>
        <w:ind w:left="709"/>
        <w:rPr>
          <w:rFonts w:cs="Arial"/>
        </w:rPr>
      </w:pPr>
      <w:r w:rsidRPr="009670A0">
        <w:rPr>
          <w:rFonts w:cs="Arial"/>
        </w:rPr>
        <w:t>To indemnify the Insured in respect of all sums which the Insured shall become legally liable to pay in respect of UK employers' liability.</w:t>
      </w:r>
    </w:p>
    <w:p w14:paraId="42B9E3A1" w14:textId="5819C60D" w:rsidR="009670A0" w:rsidRPr="009670A0" w:rsidRDefault="009670A0" w:rsidP="009670A0">
      <w:pPr>
        <w:pStyle w:val="StdBodyText"/>
        <w:tabs>
          <w:tab w:val="left" w:pos="709"/>
        </w:tabs>
        <w:rPr>
          <w:rFonts w:cs="Arial"/>
          <w:b/>
        </w:rPr>
      </w:pPr>
      <w:r w:rsidRPr="009670A0">
        <w:rPr>
          <w:rFonts w:cs="Arial"/>
          <w:b/>
        </w:rPr>
        <w:t xml:space="preserve">3.        Limit of indemnity  </w:t>
      </w:r>
    </w:p>
    <w:p w14:paraId="705E633D" w14:textId="73817B84" w:rsidR="009670A0" w:rsidRPr="009670A0" w:rsidRDefault="009670A0" w:rsidP="009670A0">
      <w:pPr>
        <w:pStyle w:val="StdBodyText"/>
        <w:tabs>
          <w:tab w:val="left" w:pos="709"/>
        </w:tabs>
        <w:ind w:left="709"/>
        <w:rPr>
          <w:rFonts w:cs="Arial"/>
        </w:rPr>
      </w:pPr>
      <w:r w:rsidRPr="009670A0">
        <w:rPr>
          <w:rFonts w:cs="Arial"/>
        </w:rPr>
        <w:t>Not less than five million pounds (£5,000,000) in respect of any one (1) occurrence, the number of occurrences being unlimited, but te</w:t>
      </w:r>
      <w:r>
        <w:rPr>
          <w:rFonts w:cs="Arial"/>
        </w:rPr>
        <w:t xml:space="preserve">n million pounds (£10,000,000) </w:t>
      </w:r>
      <w:r w:rsidRPr="009670A0">
        <w:rPr>
          <w:rFonts w:cs="Arial"/>
        </w:rPr>
        <w:t>in the aggregate per annum in respect of UK employers’ liability.</w:t>
      </w:r>
    </w:p>
    <w:p w14:paraId="70120D80" w14:textId="6AC3257B" w:rsidR="009670A0" w:rsidRPr="009670A0" w:rsidRDefault="009670A0" w:rsidP="009670A0">
      <w:pPr>
        <w:pStyle w:val="StdBodyText"/>
        <w:tabs>
          <w:tab w:val="left" w:pos="709"/>
        </w:tabs>
        <w:rPr>
          <w:rFonts w:cs="Arial"/>
          <w:b/>
        </w:rPr>
      </w:pPr>
      <w:r w:rsidRPr="009670A0">
        <w:rPr>
          <w:rFonts w:cs="Arial"/>
          <w:b/>
        </w:rPr>
        <w:t>4.        Territorial limits</w:t>
      </w:r>
    </w:p>
    <w:p w14:paraId="7F9CC887" w14:textId="369F7A09" w:rsidR="009670A0" w:rsidRPr="009670A0" w:rsidRDefault="009670A0" w:rsidP="009670A0">
      <w:pPr>
        <w:pStyle w:val="StdBodyText"/>
        <w:tabs>
          <w:tab w:val="left" w:pos="709"/>
        </w:tabs>
        <w:rPr>
          <w:rFonts w:cs="Arial"/>
        </w:rPr>
      </w:pPr>
      <w:r>
        <w:rPr>
          <w:rFonts w:cs="Arial"/>
        </w:rPr>
        <w:tab/>
      </w:r>
      <w:r w:rsidRPr="009670A0">
        <w:rPr>
          <w:rFonts w:cs="Arial"/>
        </w:rPr>
        <w:t>United Kingdom</w:t>
      </w:r>
    </w:p>
    <w:p w14:paraId="3CC5EBF0" w14:textId="1A24D736" w:rsidR="009670A0" w:rsidRPr="009670A0" w:rsidRDefault="009670A0" w:rsidP="009670A0">
      <w:pPr>
        <w:pStyle w:val="StdBodyText"/>
        <w:tabs>
          <w:tab w:val="left" w:pos="709"/>
        </w:tabs>
        <w:rPr>
          <w:rFonts w:cs="Arial"/>
          <w:b/>
        </w:rPr>
      </w:pPr>
      <w:r w:rsidRPr="009670A0">
        <w:rPr>
          <w:rFonts w:cs="Arial"/>
          <w:b/>
        </w:rPr>
        <w:t>5.        Period of insurance</w:t>
      </w:r>
    </w:p>
    <w:p w14:paraId="0FF92AA3" w14:textId="77777777" w:rsidR="009670A0" w:rsidRPr="009670A0" w:rsidRDefault="009670A0" w:rsidP="009670A0">
      <w:pPr>
        <w:pStyle w:val="StdBodyText"/>
        <w:tabs>
          <w:tab w:val="left" w:pos="709"/>
        </w:tabs>
        <w:ind w:left="709"/>
        <w:rPr>
          <w:rFonts w:cs="Arial"/>
        </w:rPr>
      </w:pPr>
      <w:r w:rsidRPr="009670A0">
        <w:rPr>
          <w:rFonts w:cs="Arial"/>
        </w:rPr>
        <w:t>From the date of this Agreement for the Term and during any Termination Assistance Period and renewable on an annual basis unless agreed otherwise by the Authority in writing.</w:t>
      </w:r>
    </w:p>
    <w:p w14:paraId="6A6A4695" w14:textId="77777777" w:rsidR="00F67E9E" w:rsidRPr="00E9524D" w:rsidRDefault="00F67E9E" w:rsidP="00F67E9E"/>
    <w:p w14:paraId="0A22A783" w14:textId="77777777" w:rsidR="00F67E9E" w:rsidRPr="004472FD" w:rsidRDefault="00F67E9E" w:rsidP="00F67E9E">
      <w:pPr>
        <w:pStyle w:val="Heading2"/>
        <w:pageBreakBefore/>
      </w:pPr>
      <w:bookmarkStart w:id="555" w:name="Sch6PartD"/>
      <w:bookmarkStart w:id="556" w:name="_Ref_ContractCompanion_9kb9Ur49B"/>
      <w:bookmarkStart w:id="557" w:name="_Toc145412755"/>
      <w:r w:rsidRPr="004472FD">
        <w:lastRenderedPageBreak/>
        <w:t>Part D</w:t>
      </w:r>
      <w:bookmarkEnd w:id="555"/>
      <w:r w:rsidRPr="004472FD">
        <w:t>: Additional Insurances</w:t>
      </w:r>
      <w:bookmarkEnd w:id="556"/>
      <w:bookmarkEnd w:id="557"/>
    </w:p>
    <w:p w14:paraId="6E80F6D9" w14:textId="106AC953" w:rsidR="00F67E9E" w:rsidRPr="00C20547" w:rsidRDefault="00F67E9E" w:rsidP="00F67E9E">
      <w:pPr>
        <w:pStyle w:val="StdBodyText"/>
        <w:rPr>
          <w:rFonts w:cs="Arial"/>
          <w:b/>
          <w:iCs/>
          <w:highlight w:val="yellow"/>
        </w:rPr>
      </w:pPr>
    </w:p>
    <w:tbl>
      <w:tblPr>
        <w:tblStyle w:val="TableGrid"/>
        <w:tblW w:w="10205" w:type="dxa"/>
        <w:tblCellMar>
          <w:top w:w="57" w:type="dxa"/>
          <w:left w:w="57" w:type="dxa"/>
          <w:bottom w:w="57" w:type="dxa"/>
          <w:right w:w="57" w:type="dxa"/>
        </w:tblCellMar>
        <w:tblLook w:val="04A0" w:firstRow="1" w:lastRow="0" w:firstColumn="1" w:lastColumn="0" w:noHBand="0" w:noVBand="1"/>
      </w:tblPr>
      <w:tblGrid>
        <w:gridCol w:w="3969"/>
        <w:gridCol w:w="6236"/>
      </w:tblGrid>
      <w:tr w:rsidR="00F67E9E" w:rsidRPr="00C20547" w14:paraId="0B1ADADE" w14:textId="77777777" w:rsidTr="0052486C">
        <w:tc>
          <w:tcPr>
            <w:tcW w:w="3969" w:type="dxa"/>
          </w:tcPr>
          <w:p w14:paraId="648ACDC1" w14:textId="77777777" w:rsidR="00F67E9E" w:rsidRPr="009670A0" w:rsidRDefault="00F67E9E" w:rsidP="0052486C">
            <w:pPr>
              <w:pStyle w:val="StdBodyText"/>
              <w:spacing w:before="0" w:after="0"/>
              <w:rPr>
                <w:rFonts w:cs="Arial"/>
                <w:b/>
                <w:iCs/>
                <w:sz w:val="24"/>
              </w:rPr>
            </w:pPr>
            <w:r w:rsidRPr="009670A0">
              <w:rPr>
                <w:rFonts w:cs="Arial"/>
                <w:b/>
                <w:iCs/>
                <w:sz w:val="24"/>
              </w:rPr>
              <w:t>Professional Indemnity Insurance</w:t>
            </w:r>
          </w:p>
        </w:tc>
        <w:tc>
          <w:tcPr>
            <w:tcW w:w="6236" w:type="dxa"/>
          </w:tcPr>
          <w:p w14:paraId="64C3E4CE" w14:textId="77777777" w:rsidR="009670A0" w:rsidRPr="00EC633D" w:rsidRDefault="009670A0" w:rsidP="009670A0">
            <w:pPr>
              <w:tabs>
                <w:tab w:val="left" w:pos="931"/>
              </w:tabs>
              <w:spacing w:before="240" w:after="240"/>
              <w:ind w:left="931" w:hanging="931"/>
              <w:rPr>
                <w:b/>
                <w:color w:val="000000" w:themeColor="text1"/>
                <w:sz w:val="24"/>
                <w:szCs w:val="24"/>
              </w:rPr>
            </w:pPr>
            <w:bookmarkStart w:id="558" w:name="_cp_change_300"/>
            <w:r w:rsidRPr="00EC633D">
              <w:rPr>
                <w:b/>
                <w:color w:val="000000" w:themeColor="text1"/>
                <w:sz w:val="24"/>
                <w:szCs w:val="24"/>
                <w:u w:color="0000FF"/>
              </w:rPr>
              <w:t>1.</w:t>
            </w:r>
            <w:r w:rsidRPr="00EC633D">
              <w:rPr>
                <w:color w:val="000000" w:themeColor="text1"/>
                <w:sz w:val="24"/>
                <w:szCs w:val="24"/>
                <w:u w:color="0000FF"/>
              </w:rPr>
              <w:t xml:space="preserve">             </w:t>
            </w:r>
            <w:r w:rsidRPr="00EC633D">
              <w:rPr>
                <w:b/>
                <w:color w:val="000000" w:themeColor="text1"/>
                <w:sz w:val="24"/>
                <w:szCs w:val="24"/>
                <w:u w:color="0000FF"/>
              </w:rPr>
              <w:t>Insured</w:t>
            </w:r>
            <w:bookmarkStart w:id="559" w:name="_cp_change_299"/>
            <w:bookmarkEnd w:id="558"/>
          </w:p>
          <w:p w14:paraId="4A2D966A" w14:textId="77777777" w:rsidR="009670A0" w:rsidRPr="00EC633D" w:rsidRDefault="009670A0" w:rsidP="009670A0">
            <w:pPr>
              <w:tabs>
                <w:tab w:val="left" w:pos="931"/>
              </w:tabs>
              <w:spacing w:before="240" w:after="240"/>
              <w:ind w:left="2371" w:hanging="1299"/>
              <w:rPr>
                <w:color w:val="000000" w:themeColor="text1"/>
                <w:sz w:val="24"/>
                <w:szCs w:val="24"/>
              </w:rPr>
            </w:pPr>
            <w:bookmarkStart w:id="560" w:name="_cp_change_302"/>
            <w:bookmarkEnd w:id="559"/>
            <w:r w:rsidRPr="00EC633D">
              <w:rPr>
                <w:color w:val="000000" w:themeColor="text1"/>
                <w:sz w:val="24"/>
                <w:szCs w:val="24"/>
                <w:u w:color="0000FF"/>
              </w:rPr>
              <w:t>The Supplier.</w:t>
            </w:r>
            <w:bookmarkStart w:id="561" w:name="_cp_change_301"/>
            <w:bookmarkEnd w:id="560"/>
          </w:p>
          <w:p w14:paraId="51F049B5" w14:textId="77777777" w:rsidR="009670A0" w:rsidRPr="00EC633D" w:rsidRDefault="009670A0" w:rsidP="009670A0">
            <w:pPr>
              <w:tabs>
                <w:tab w:val="left" w:pos="931"/>
              </w:tabs>
              <w:spacing w:before="240" w:after="240" w:line="360" w:lineRule="auto"/>
              <w:ind w:left="931" w:hanging="931"/>
              <w:rPr>
                <w:b/>
                <w:color w:val="000000" w:themeColor="text1"/>
                <w:sz w:val="24"/>
                <w:szCs w:val="24"/>
              </w:rPr>
            </w:pPr>
            <w:bookmarkStart w:id="562" w:name="_cp_change_304"/>
            <w:bookmarkEnd w:id="561"/>
            <w:r w:rsidRPr="00EC633D">
              <w:rPr>
                <w:b/>
                <w:color w:val="000000" w:themeColor="text1"/>
                <w:sz w:val="24"/>
                <w:szCs w:val="24"/>
                <w:u w:color="0000FF"/>
              </w:rPr>
              <w:t>2.</w:t>
            </w:r>
            <w:r w:rsidRPr="00EC633D">
              <w:rPr>
                <w:color w:val="000000" w:themeColor="text1"/>
                <w:sz w:val="24"/>
                <w:szCs w:val="24"/>
                <w:u w:color="0000FF"/>
              </w:rPr>
              <w:t xml:space="preserve">             </w:t>
            </w:r>
            <w:r w:rsidRPr="00EC633D">
              <w:rPr>
                <w:b/>
                <w:color w:val="000000" w:themeColor="text1"/>
                <w:sz w:val="24"/>
                <w:szCs w:val="24"/>
                <w:u w:color="0000FF"/>
              </w:rPr>
              <w:t>Interest</w:t>
            </w:r>
            <w:bookmarkStart w:id="563" w:name="_cp_change_303"/>
            <w:bookmarkEnd w:id="562"/>
          </w:p>
          <w:p w14:paraId="0A487F7F" w14:textId="1C08631D" w:rsidR="009670A0" w:rsidRPr="00EC633D" w:rsidRDefault="009670A0" w:rsidP="009670A0">
            <w:pPr>
              <w:tabs>
                <w:tab w:val="left" w:pos="1072"/>
              </w:tabs>
              <w:spacing w:before="240" w:after="240"/>
              <w:ind w:left="1072"/>
              <w:rPr>
                <w:color w:val="000000" w:themeColor="text1"/>
                <w:sz w:val="24"/>
                <w:szCs w:val="24"/>
              </w:rPr>
            </w:pPr>
            <w:bookmarkStart w:id="564" w:name="_cp_change_306"/>
            <w:bookmarkEnd w:id="563"/>
            <w:r w:rsidRPr="00EC633D">
              <w:rPr>
                <w:color w:val="000000" w:themeColor="text1"/>
                <w:sz w:val="24"/>
                <w:szCs w:val="24"/>
                <w:u w:color="0000FF"/>
              </w:rPr>
              <w:t>To indemnify the Insured for all sums which the Insured shall become legally liable to pay (including claimants' costs and expenses) as a result of claims first made against the Insured during the period of insurance (as specified in paragraph 5 below) by reason of any negligent act, error and/or omission arising from or in connection with the provision of the Services.</w:t>
            </w:r>
            <w:bookmarkStart w:id="565" w:name="_cp_change_305"/>
            <w:bookmarkEnd w:id="564"/>
          </w:p>
          <w:p w14:paraId="1A4FDD57" w14:textId="77777777" w:rsidR="009670A0" w:rsidRPr="00EC633D" w:rsidRDefault="009670A0" w:rsidP="009670A0">
            <w:pPr>
              <w:tabs>
                <w:tab w:val="left" w:pos="931"/>
              </w:tabs>
              <w:spacing w:before="240" w:after="240" w:line="360" w:lineRule="auto"/>
              <w:ind w:left="931" w:hanging="931"/>
              <w:rPr>
                <w:b/>
                <w:color w:val="000000" w:themeColor="text1"/>
                <w:sz w:val="24"/>
                <w:szCs w:val="24"/>
              </w:rPr>
            </w:pPr>
            <w:bookmarkStart w:id="566" w:name="_cp_change_308"/>
            <w:bookmarkEnd w:id="565"/>
            <w:r w:rsidRPr="00EC633D">
              <w:rPr>
                <w:b/>
                <w:color w:val="000000" w:themeColor="text1"/>
                <w:sz w:val="24"/>
                <w:szCs w:val="24"/>
                <w:u w:color="0000FF"/>
              </w:rPr>
              <w:t>3.</w:t>
            </w:r>
            <w:r w:rsidRPr="00EC633D">
              <w:rPr>
                <w:color w:val="000000" w:themeColor="text1"/>
                <w:sz w:val="24"/>
                <w:szCs w:val="24"/>
                <w:u w:color="0000FF"/>
              </w:rPr>
              <w:t xml:space="preserve">             </w:t>
            </w:r>
            <w:r w:rsidRPr="00EC633D">
              <w:rPr>
                <w:b/>
                <w:color w:val="000000" w:themeColor="text1"/>
                <w:sz w:val="24"/>
                <w:szCs w:val="24"/>
                <w:u w:color="0000FF"/>
              </w:rPr>
              <w:t>Limit of indemnity</w:t>
            </w:r>
            <w:bookmarkStart w:id="567" w:name="_cp_change_307"/>
            <w:bookmarkEnd w:id="566"/>
          </w:p>
          <w:p w14:paraId="04EB20E9" w14:textId="77777777" w:rsidR="009670A0" w:rsidRPr="00EC633D" w:rsidRDefault="009670A0" w:rsidP="009670A0">
            <w:pPr>
              <w:tabs>
                <w:tab w:val="left" w:pos="1923"/>
              </w:tabs>
              <w:spacing w:before="240" w:after="240"/>
              <w:ind w:left="1072"/>
              <w:rPr>
                <w:color w:val="000000" w:themeColor="text1"/>
                <w:sz w:val="24"/>
                <w:szCs w:val="24"/>
              </w:rPr>
            </w:pPr>
            <w:bookmarkStart w:id="568" w:name="_cp_change_310"/>
            <w:bookmarkEnd w:id="567"/>
            <w:r w:rsidRPr="00EC633D">
              <w:rPr>
                <w:color w:val="000000" w:themeColor="text1"/>
                <w:sz w:val="24"/>
                <w:szCs w:val="24"/>
                <w:u w:color="0000FF"/>
              </w:rPr>
              <w:t>Not less than two million pounds (£2,000,000) in respect of any one (1) claim and in the aggregate per annum, exclusive of defence costs which are payable in addition.</w:t>
            </w:r>
            <w:bookmarkStart w:id="569" w:name="_cp_change_309"/>
            <w:bookmarkEnd w:id="568"/>
          </w:p>
          <w:p w14:paraId="4B5A3700" w14:textId="77777777" w:rsidR="009670A0" w:rsidRPr="00EC633D" w:rsidRDefault="009670A0" w:rsidP="009670A0">
            <w:pPr>
              <w:tabs>
                <w:tab w:val="left" w:pos="931"/>
              </w:tabs>
              <w:spacing w:before="240" w:after="240" w:line="360" w:lineRule="auto"/>
              <w:ind w:left="931" w:hanging="931"/>
              <w:rPr>
                <w:b/>
                <w:color w:val="000000" w:themeColor="text1"/>
                <w:sz w:val="24"/>
                <w:szCs w:val="24"/>
              </w:rPr>
            </w:pPr>
            <w:bookmarkStart w:id="570" w:name="_cp_change_312"/>
            <w:bookmarkEnd w:id="569"/>
            <w:r w:rsidRPr="00EC633D">
              <w:rPr>
                <w:b/>
                <w:color w:val="000000" w:themeColor="text1"/>
                <w:sz w:val="24"/>
                <w:szCs w:val="24"/>
                <w:u w:color="0000FF"/>
              </w:rPr>
              <w:t>4.</w:t>
            </w:r>
            <w:r w:rsidRPr="00EC633D">
              <w:rPr>
                <w:color w:val="000000" w:themeColor="text1"/>
                <w:sz w:val="24"/>
                <w:szCs w:val="24"/>
                <w:u w:color="0000FF"/>
              </w:rPr>
              <w:t xml:space="preserve">             </w:t>
            </w:r>
            <w:r w:rsidRPr="00EC633D">
              <w:rPr>
                <w:b/>
                <w:color w:val="000000" w:themeColor="text1"/>
                <w:sz w:val="24"/>
                <w:szCs w:val="24"/>
                <w:u w:color="0000FF"/>
              </w:rPr>
              <w:t>Territorial Limits</w:t>
            </w:r>
            <w:bookmarkStart w:id="571" w:name="_cp_change_311"/>
            <w:bookmarkEnd w:id="570"/>
          </w:p>
          <w:p w14:paraId="5EFCE938" w14:textId="77777777" w:rsidR="009670A0" w:rsidRPr="00EC633D" w:rsidRDefault="009670A0" w:rsidP="009670A0">
            <w:pPr>
              <w:tabs>
                <w:tab w:val="left" w:pos="931"/>
              </w:tabs>
              <w:spacing w:before="240" w:after="240"/>
              <w:ind w:left="931" w:firstLine="141"/>
              <w:rPr>
                <w:color w:val="000000" w:themeColor="text1"/>
                <w:sz w:val="24"/>
                <w:szCs w:val="24"/>
              </w:rPr>
            </w:pPr>
            <w:bookmarkStart w:id="572" w:name="_cp_change_314"/>
            <w:bookmarkEnd w:id="571"/>
            <w:r w:rsidRPr="00EC633D">
              <w:rPr>
                <w:color w:val="000000" w:themeColor="text1"/>
                <w:sz w:val="24"/>
                <w:szCs w:val="24"/>
                <w:u w:color="0000FF"/>
              </w:rPr>
              <w:t>United Kingdom</w:t>
            </w:r>
            <w:bookmarkStart w:id="573" w:name="_cp_change_313"/>
            <w:bookmarkEnd w:id="572"/>
          </w:p>
          <w:p w14:paraId="278BEA9A" w14:textId="77777777" w:rsidR="009670A0" w:rsidRPr="00EC633D" w:rsidRDefault="009670A0" w:rsidP="009670A0">
            <w:pPr>
              <w:tabs>
                <w:tab w:val="left" w:pos="931"/>
              </w:tabs>
              <w:spacing w:before="240" w:after="240" w:line="360" w:lineRule="auto"/>
              <w:ind w:left="931" w:hanging="931"/>
              <w:rPr>
                <w:b/>
                <w:color w:val="000000" w:themeColor="text1"/>
                <w:sz w:val="24"/>
                <w:szCs w:val="24"/>
              </w:rPr>
            </w:pPr>
            <w:bookmarkStart w:id="574" w:name="_cp_change_316"/>
            <w:bookmarkEnd w:id="573"/>
            <w:r w:rsidRPr="00EC633D">
              <w:rPr>
                <w:b/>
                <w:color w:val="000000" w:themeColor="text1"/>
                <w:sz w:val="24"/>
                <w:szCs w:val="24"/>
                <w:u w:color="0000FF"/>
              </w:rPr>
              <w:t>5.</w:t>
            </w:r>
            <w:r w:rsidRPr="00EC633D">
              <w:rPr>
                <w:color w:val="000000" w:themeColor="text1"/>
                <w:sz w:val="24"/>
                <w:szCs w:val="24"/>
                <w:u w:color="0000FF"/>
              </w:rPr>
              <w:t xml:space="preserve">             </w:t>
            </w:r>
            <w:r w:rsidRPr="00EC633D">
              <w:rPr>
                <w:b/>
                <w:color w:val="000000" w:themeColor="text1"/>
                <w:sz w:val="24"/>
                <w:szCs w:val="24"/>
                <w:u w:color="0000FF"/>
              </w:rPr>
              <w:t>Period of insurance</w:t>
            </w:r>
            <w:bookmarkStart w:id="575" w:name="_cp_change_315"/>
            <w:bookmarkEnd w:id="574"/>
          </w:p>
          <w:p w14:paraId="3DB3E6F1" w14:textId="77777777" w:rsidR="009670A0" w:rsidRPr="00EC633D" w:rsidRDefault="009670A0" w:rsidP="009670A0">
            <w:pPr>
              <w:tabs>
                <w:tab w:val="left" w:pos="1214"/>
              </w:tabs>
              <w:spacing w:before="240" w:after="240"/>
              <w:ind w:left="1072"/>
              <w:rPr>
                <w:color w:val="000000" w:themeColor="text1"/>
                <w:sz w:val="24"/>
                <w:szCs w:val="24"/>
              </w:rPr>
            </w:pPr>
            <w:bookmarkStart w:id="576" w:name="_cp_change_318"/>
            <w:bookmarkEnd w:id="575"/>
            <w:r w:rsidRPr="00EC633D">
              <w:rPr>
                <w:color w:val="000000" w:themeColor="text1"/>
                <w:sz w:val="24"/>
                <w:szCs w:val="24"/>
                <w:u w:color="0000FF"/>
              </w:rPr>
              <w:t>From the date of this Agreement and renewable on an annual basis unless agreed otherwise by the Authority in writing (a) throughout the Term or until earlier termination of this Agreement and during any Termination Assistance Period (b) for a period of six (6) years thereafter.</w:t>
            </w:r>
            <w:bookmarkStart w:id="577" w:name="_cp_change_317"/>
            <w:bookmarkEnd w:id="576"/>
          </w:p>
          <w:p w14:paraId="39AF92F4" w14:textId="77777777" w:rsidR="009670A0" w:rsidRPr="00EC633D" w:rsidRDefault="009670A0" w:rsidP="009670A0">
            <w:pPr>
              <w:tabs>
                <w:tab w:val="left" w:pos="931"/>
              </w:tabs>
              <w:spacing w:before="240" w:after="240" w:line="360" w:lineRule="auto"/>
              <w:ind w:left="931" w:hanging="931"/>
              <w:rPr>
                <w:b/>
                <w:color w:val="000000" w:themeColor="text1"/>
                <w:sz w:val="24"/>
                <w:szCs w:val="24"/>
              </w:rPr>
            </w:pPr>
            <w:bookmarkStart w:id="578" w:name="_cp_change_320"/>
            <w:bookmarkEnd w:id="577"/>
            <w:r w:rsidRPr="00EC633D">
              <w:rPr>
                <w:b/>
                <w:color w:val="000000" w:themeColor="text1"/>
                <w:sz w:val="24"/>
                <w:szCs w:val="24"/>
                <w:u w:color="0000FF"/>
              </w:rPr>
              <w:t>6.</w:t>
            </w:r>
            <w:r w:rsidRPr="00EC633D">
              <w:rPr>
                <w:color w:val="000000" w:themeColor="text1"/>
                <w:sz w:val="24"/>
                <w:szCs w:val="24"/>
                <w:u w:color="0000FF"/>
              </w:rPr>
              <w:t xml:space="preserve">             </w:t>
            </w:r>
            <w:r w:rsidRPr="00EC633D">
              <w:rPr>
                <w:b/>
                <w:color w:val="000000" w:themeColor="text1"/>
                <w:sz w:val="24"/>
                <w:szCs w:val="24"/>
                <w:u w:color="0000FF"/>
              </w:rPr>
              <w:t>Cover features and extensions</w:t>
            </w:r>
            <w:bookmarkStart w:id="579" w:name="_cp_change_319"/>
            <w:bookmarkEnd w:id="578"/>
          </w:p>
          <w:p w14:paraId="1FA56798" w14:textId="77777777" w:rsidR="009670A0" w:rsidRPr="00EC633D" w:rsidRDefault="009670A0" w:rsidP="009670A0">
            <w:pPr>
              <w:tabs>
                <w:tab w:val="left" w:pos="1356"/>
              </w:tabs>
              <w:spacing w:before="240" w:after="240"/>
              <w:ind w:left="1072"/>
              <w:rPr>
                <w:color w:val="000000" w:themeColor="text1"/>
                <w:sz w:val="24"/>
                <w:szCs w:val="24"/>
              </w:rPr>
            </w:pPr>
            <w:bookmarkStart w:id="580" w:name="_cp_change_322"/>
            <w:bookmarkEnd w:id="579"/>
            <w:r w:rsidRPr="00EC633D">
              <w:rPr>
                <w:color w:val="000000" w:themeColor="text1"/>
                <w:sz w:val="24"/>
                <w:szCs w:val="24"/>
                <w:u w:color="0000FF"/>
              </w:rPr>
              <w:t>Retroactive cover to apply to any "claims made policy wording" in respect of this Agreement or retroactive date to be no later than the Effective Date.</w:t>
            </w:r>
            <w:bookmarkStart w:id="581" w:name="_cp_change_321"/>
            <w:bookmarkEnd w:id="580"/>
          </w:p>
          <w:p w14:paraId="2783FA9A" w14:textId="77777777" w:rsidR="009670A0" w:rsidRPr="00EC633D" w:rsidRDefault="009670A0" w:rsidP="009670A0">
            <w:pPr>
              <w:tabs>
                <w:tab w:val="left" w:pos="1072"/>
              </w:tabs>
              <w:spacing w:before="240" w:after="240" w:line="360" w:lineRule="auto"/>
              <w:ind w:left="1072" w:hanging="1072"/>
              <w:rPr>
                <w:b/>
                <w:color w:val="000000" w:themeColor="text1"/>
                <w:sz w:val="24"/>
                <w:szCs w:val="24"/>
              </w:rPr>
            </w:pPr>
            <w:bookmarkStart w:id="582" w:name="_cp_change_324"/>
            <w:bookmarkEnd w:id="581"/>
            <w:r w:rsidRPr="00EC633D">
              <w:rPr>
                <w:b/>
                <w:color w:val="000000" w:themeColor="text1"/>
                <w:sz w:val="24"/>
                <w:szCs w:val="24"/>
                <w:u w:color="0000FF"/>
              </w:rPr>
              <w:lastRenderedPageBreak/>
              <w:t>7.</w:t>
            </w:r>
            <w:r w:rsidRPr="00EC633D">
              <w:rPr>
                <w:color w:val="000000" w:themeColor="text1"/>
                <w:sz w:val="24"/>
                <w:szCs w:val="24"/>
                <w:u w:color="0000FF"/>
              </w:rPr>
              <w:t xml:space="preserve">             </w:t>
            </w:r>
            <w:r w:rsidRPr="00EC633D">
              <w:rPr>
                <w:b/>
                <w:color w:val="000000" w:themeColor="text1"/>
                <w:sz w:val="24"/>
                <w:szCs w:val="24"/>
                <w:u w:color="0000FF"/>
              </w:rPr>
              <w:t>Principal exclusions</w:t>
            </w:r>
            <w:bookmarkStart w:id="583" w:name="_cp_change_323"/>
            <w:bookmarkEnd w:id="582"/>
          </w:p>
          <w:p w14:paraId="0D31AB42" w14:textId="77777777" w:rsidR="009670A0" w:rsidRPr="00EC633D" w:rsidRDefault="009670A0" w:rsidP="009670A0">
            <w:pPr>
              <w:tabs>
                <w:tab w:val="left" w:pos="1072"/>
              </w:tabs>
              <w:spacing w:before="120" w:after="120"/>
              <w:ind w:left="1072" w:hanging="1072"/>
              <w:rPr>
                <w:color w:val="000000" w:themeColor="text1"/>
                <w:sz w:val="24"/>
                <w:szCs w:val="24"/>
              </w:rPr>
            </w:pPr>
            <w:bookmarkStart w:id="584" w:name="_cp_change_326"/>
            <w:bookmarkEnd w:id="583"/>
            <w:r w:rsidRPr="00EC633D">
              <w:rPr>
                <w:color w:val="000000" w:themeColor="text1"/>
                <w:sz w:val="24"/>
                <w:szCs w:val="24"/>
                <w:u w:color="0000FF"/>
              </w:rPr>
              <w:t xml:space="preserve">7.1  </w:t>
            </w:r>
            <w:r w:rsidRPr="00EC633D">
              <w:rPr>
                <w:color w:val="000000" w:themeColor="text1"/>
                <w:sz w:val="24"/>
                <w:szCs w:val="24"/>
              </w:rPr>
              <w:tab/>
            </w:r>
            <w:r w:rsidRPr="00EC633D">
              <w:rPr>
                <w:color w:val="000000" w:themeColor="text1"/>
                <w:sz w:val="24"/>
                <w:szCs w:val="24"/>
                <w:u w:color="0000FF"/>
              </w:rPr>
              <w:t>War and related perils</w:t>
            </w:r>
            <w:bookmarkStart w:id="585" w:name="_cp_change_325"/>
            <w:bookmarkEnd w:id="584"/>
          </w:p>
          <w:p w14:paraId="4583B720" w14:textId="77777777" w:rsidR="009670A0" w:rsidRPr="00EC633D" w:rsidRDefault="009670A0" w:rsidP="009670A0">
            <w:pPr>
              <w:tabs>
                <w:tab w:val="left" w:pos="1072"/>
              </w:tabs>
              <w:spacing w:before="120" w:after="120"/>
              <w:ind w:left="1072" w:hanging="1072"/>
              <w:rPr>
                <w:color w:val="000000" w:themeColor="text1"/>
                <w:sz w:val="24"/>
                <w:szCs w:val="24"/>
              </w:rPr>
            </w:pPr>
            <w:bookmarkStart w:id="586" w:name="_cp_change_328"/>
            <w:bookmarkEnd w:id="585"/>
            <w:r w:rsidRPr="00EC633D">
              <w:rPr>
                <w:color w:val="000000" w:themeColor="text1"/>
                <w:sz w:val="24"/>
                <w:szCs w:val="24"/>
                <w:u w:color="0000FF"/>
              </w:rPr>
              <w:t xml:space="preserve">7.2  </w:t>
            </w:r>
            <w:r w:rsidRPr="00EC633D">
              <w:rPr>
                <w:color w:val="000000" w:themeColor="text1"/>
                <w:sz w:val="24"/>
                <w:szCs w:val="24"/>
              </w:rPr>
              <w:tab/>
            </w:r>
            <w:r w:rsidRPr="00EC633D">
              <w:rPr>
                <w:color w:val="000000" w:themeColor="text1"/>
                <w:sz w:val="24"/>
                <w:szCs w:val="24"/>
                <w:u w:color="0000FF"/>
              </w:rPr>
              <w:t>Nuclear and radioactive risks</w:t>
            </w:r>
            <w:bookmarkStart w:id="587" w:name="_cp_change_327"/>
            <w:bookmarkEnd w:id="586"/>
          </w:p>
          <w:bookmarkEnd w:id="587"/>
          <w:p w14:paraId="3C0446BF" w14:textId="3B8962BC" w:rsidR="00F67E9E" w:rsidRPr="00EC633D" w:rsidRDefault="00F67E9E" w:rsidP="00532E54">
            <w:pPr>
              <w:tabs>
                <w:tab w:val="left" w:pos="1072"/>
              </w:tabs>
              <w:spacing w:before="240" w:after="240" w:line="360" w:lineRule="auto"/>
              <w:ind w:left="1072"/>
              <w:rPr>
                <w:rFonts w:cs="Arial"/>
                <w:b/>
                <w:i/>
                <w:iCs/>
                <w:color w:val="000000" w:themeColor="text1"/>
                <w:sz w:val="24"/>
                <w:highlight w:val="yellow"/>
              </w:rPr>
            </w:pPr>
          </w:p>
        </w:tc>
      </w:tr>
      <w:tr w:rsidR="00F67E9E" w:rsidRPr="00C20547" w14:paraId="105B4D51" w14:textId="77777777" w:rsidTr="0052486C">
        <w:tc>
          <w:tcPr>
            <w:tcW w:w="3969" w:type="dxa"/>
          </w:tcPr>
          <w:p w14:paraId="32E89B3E" w14:textId="77777777" w:rsidR="00F67E9E" w:rsidRPr="009670A0" w:rsidRDefault="00F67E9E" w:rsidP="0052486C">
            <w:pPr>
              <w:pStyle w:val="StdBodyText"/>
              <w:spacing w:before="0" w:after="0"/>
              <w:rPr>
                <w:rFonts w:cs="Arial"/>
                <w:b/>
                <w:iCs/>
                <w:sz w:val="24"/>
                <w:highlight w:val="yellow"/>
              </w:rPr>
            </w:pPr>
            <w:r w:rsidRPr="009670A0">
              <w:rPr>
                <w:rFonts w:cs="Arial"/>
                <w:b/>
                <w:iCs/>
                <w:sz w:val="24"/>
              </w:rPr>
              <w:lastRenderedPageBreak/>
              <w:t>Cyber Liability Insurance</w:t>
            </w:r>
          </w:p>
        </w:tc>
        <w:tc>
          <w:tcPr>
            <w:tcW w:w="6236" w:type="dxa"/>
          </w:tcPr>
          <w:p w14:paraId="4E9FD4ED" w14:textId="3AF0AFB6" w:rsidR="009670A0" w:rsidRPr="00EC633D" w:rsidRDefault="009670A0" w:rsidP="009670A0">
            <w:pPr>
              <w:spacing w:before="240" w:after="120"/>
              <w:rPr>
                <w:b/>
                <w:color w:val="000000" w:themeColor="text1"/>
                <w:sz w:val="24"/>
                <w:szCs w:val="24"/>
              </w:rPr>
            </w:pPr>
            <w:bookmarkStart w:id="588" w:name="_cp_change_338"/>
            <w:r w:rsidRPr="00EC633D">
              <w:rPr>
                <w:b/>
                <w:color w:val="000000" w:themeColor="text1"/>
                <w:sz w:val="24"/>
                <w:szCs w:val="24"/>
                <w:u w:color="0000FF"/>
              </w:rPr>
              <w:t>1.</w:t>
            </w:r>
            <w:r w:rsidRPr="00EC633D">
              <w:rPr>
                <w:color w:val="000000" w:themeColor="text1"/>
                <w:sz w:val="24"/>
                <w:szCs w:val="24"/>
                <w:u w:color="0000FF"/>
              </w:rPr>
              <w:t xml:space="preserve">        </w:t>
            </w:r>
            <w:r w:rsidRPr="00EC633D">
              <w:rPr>
                <w:b/>
                <w:color w:val="000000" w:themeColor="text1"/>
                <w:sz w:val="24"/>
                <w:szCs w:val="24"/>
                <w:u w:color="0000FF"/>
              </w:rPr>
              <w:t>Insured</w:t>
            </w:r>
            <w:bookmarkStart w:id="589" w:name="_cp_change_337"/>
            <w:bookmarkEnd w:id="588"/>
          </w:p>
          <w:p w14:paraId="64B86708" w14:textId="77777777" w:rsidR="009670A0" w:rsidRPr="00EC633D" w:rsidRDefault="009670A0" w:rsidP="009670A0">
            <w:pPr>
              <w:spacing w:before="240" w:after="240"/>
              <w:rPr>
                <w:color w:val="000000" w:themeColor="text1"/>
                <w:sz w:val="24"/>
                <w:szCs w:val="24"/>
              </w:rPr>
            </w:pPr>
            <w:bookmarkStart w:id="590" w:name="_cp_change_340"/>
            <w:bookmarkEnd w:id="589"/>
            <w:r w:rsidRPr="00EC633D">
              <w:rPr>
                <w:color w:val="000000" w:themeColor="text1"/>
                <w:sz w:val="24"/>
                <w:szCs w:val="24"/>
                <w:u w:color="0000FF"/>
              </w:rPr>
              <w:t xml:space="preserve">      </w:t>
            </w:r>
            <w:r w:rsidRPr="00EC633D">
              <w:rPr>
                <w:color w:val="000000" w:themeColor="text1"/>
                <w:sz w:val="24"/>
                <w:szCs w:val="24"/>
              </w:rPr>
              <w:tab/>
            </w:r>
            <w:r w:rsidRPr="00EC633D">
              <w:rPr>
                <w:color w:val="000000" w:themeColor="text1"/>
                <w:sz w:val="24"/>
                <w:szCs w:val="24"/>
                <w:u w:color="0000FF"/>
              </w:rPr>
              <w:t>The Supplier.</w:t>
            </w:r>
            <w:bookmarkStart w:id="591" w:name="_cp_change_339"/>
            <w:bookmarkEnd w:id="590"/>
          </w:p>
          <w:p w14:paraId="11557D11" w14:textId="7E800F35" w:rsidR="009670A0" w:rsidRPr="00EC633D" w:rsidRDefault="009670A0" w:rsidP="009670A0">
            <w:pPr>
              <w:spacing w:before="240" w:after="120"/>
              <w:rPr>
                <w:b/>
                <w:color w:val="000000" w:themeColor="text1"/>
                <w:sz w:val="24"/>
                <w:szCs w:val="24"/>
              </w:rPr>
            </w:pPr>
            <w:bookmarkStart w:id="592" w:name="_cp_change_342"/>
            <w:bookmarkEnd w:id="591"/>
            <w:r w:rsidRPr="00EC633D">
              <w:rPr>
                <w:b/>
                <w:color w:val="000000" w:themeColor="text1"/>
                <w:sz w:val="24"/>
                <w:szCs w:val="24"/>
                <w:u w:color="0000FF"/>
              </w:rPr>
              <w:t>2.</w:t>
            </w:r>
            <w:r w:rsidRPr="00EC633D">
              <w:rPr>
                <w:color w:val="000000" w:themeColor="text1"/>
                <w:sz w:val="24"/>
                <w:szCs w:val="24"/>
                <w:u w:color="0000FF"/>
              </w:rPr>
              <w:t xml:space="preserve">        </w:t>
            </w:r>
            <w:r w:rsidRPr="00EC633D">
              <w:rPr>
                <w:b/>
                <w:color w:val="000000" w:themeColor="text1"/>
                <w:sz w:val="24"/>
                <w:szCs w:val="24"/>
                <w:u w:color="0000FF"/>
              </w:rPr>
              <w:t>Interest</w:t>
            </w:r>
            <w:bookmarkStart w:id="593" w:name="_cp_change_341"/>
            <w:bookmarkEnd w:id="592"/>
          </w:p>
          <w:p w14:paraId="17ABC2E1" w14:textId="77777777" w:rsidR="009670A0" w:rsidRPr="00EC633D" w:rsidRDefault="009670A0" w:rsidP="009670A0">
            <w:pPr>
              <w:spacing w:before="240" w:after="240"/>
              <w:ind w:left="720"/>
              <w:rPr>
                <w:color w:val="000000" w:themeColor="text1"/>
                <w:sz w:val="24"/>
                <w:szCs w:val="24"/>
              </w:rPr>
            </w:pPr>
            <w:bookmarkStart w:id="594" w:name="_cp_change_344"/>
            <w:bookmarkEnd w:id="593"/>
            <w:r w:rsidRPr="00EC633D">
              <w:rPr>
                <w:color w:val="000000" w:themeColor="text1"/>
                <w:sz w:val="24"/>
                <w:szCs w:val="24"/>
                <w:u w:color="0000FF"/>
              </w:rPr>
              <w:t>To indemnify the Insured in respect of all sums which the Insured shall become legally liable to pay in respect of cyber risk exposures.</w:t>
            </w:r>
            <w:bookmarkStart w:id="595" w:name="_cp_change_343"/>
            <w:bookmarkEnd w:id="594"/>
          </w:p>
          <w:p w14:paraId="335FF314" w14:textId="22E97F7E" w:rsidR="009670A0" w:rsidRPr="00EC633D" w:rsidRDefault="009670A0" w:rsidP="009670A0">
            <w:pPr>
              <w:spacing w:before="240" w:after="120"/>
              <w:rPr>
                <w:b/>
                <w:color w:val="000000" w:themeColor="text1"/>
                <w:sz w:val="24"/>
                <w:szCs w:val="24"/>
              </w:rPr>
            </w:pPr>
            <w:bookmarkStart w:id="596" w:name="_cp_change_346"/>
            <w:bookmarkEnd w:id="595"/>
            <w:r w:rsidRPr="00EC633D">
              <w:rPr>
                <w:b/>
                <w:color w:val="000000" w:themeColor="text1"/>
                <w:sz w:val="24"/>
                <w:szCs w:val="24"/>
                <w:u w:color="0000FF"/>
              </w:rPr>
              <w:t>3.</w:t>
            </w:r>
            <w:r w:rsidRPr="00EC633D">
              <w:rPr>
                <w:color w:val="000000" w:themeColor="text1"/>
                <w:sz w:val="24"/>
                <w:szCs w:val="24"/>
                <w:u w:color="0000FF"/>
              </w:rPr>
              <w:t xml:space="preserve">        </w:t>
            </w:r>
            <w:r w:rsidRPr="00EC633D">
              <w:rPr>
                <w:b/>
                <w:color w:val="000000" w:themeColor="text1"/>
                <w:sz w:val="24"/>
                <w:szCs w:val="24"/>
                <w:u w:color="0000FF"/>
              </w:rPr>
              <w:t>Limit of indemnity</w:t>
            </w:r>
            <w:bookmarkStart w:id="597" w:name="_cp_change_345"/>
            <w:bookmarkEnd w:id="596"/>
          </w:p>
          <w:p w14:paraId="02FD08BB" w14:textId="77777777" w:rsidR="009670A0" w:rsidRPr="00EC633D" w:rsidRDefault="009670A0" w:rsidP="009670A0">
            <w:pPr>
              <w:spacing w:before="240" w:after="240"/>
              <w:ind w:left="720"/>
              <w:rPr>
                <w:color w:val="000000" w:themeColor="text1"/>
                <w:sz w:val="24"/>
                <w:szCs w:val="24"/>
              </w:rPr>
            </w:pPr>
            <w:bookmarkStart w:id="598" w:name="_cp_change_348"/>
            <w:bookmarkEnd w:id="597"/>
            <w:r w:rsidRPr="00EC633D">
              <w:rPr>
                <w:color w:val="000000" w:themeColor="text1"/>
                <w:sz w:val="24"/>
                <w:szCs w:val="24"/>
                <w:u w:color="0000FF"/>
              </w:rPr>
              <w:t>Not less than ten million pounds (£10,000,000) in respect of any one occurrence, the number of occurrences being unlimited, but ten million pounds (£10,000,000) in the aggregate per annum in respect of cyber risk exposures.</w:t>
            </w:r>
            <w:bookmarkStart w:id="599" w:name="_cp_change_347"/>
            <w:bookmarkEnd w:id="598"/>
          </w:p>
          <w:p w14:paraId="4044A5D5" w14:textId="6024D22C" w:rsidR="009670A0" w:rsidRPr="00EC633D" w:rsidRDefault="009670A0" w:rsidP="009670A0">
            <w:pPr>
              <w:spacing w:before="240" w:after="120"/>
              <w:rPr>
                <w:b/>
                <w:color w:val="000000" w:themeColor="text1"/>
                <w:sz w:val="24"/>
                <w:szCs w:val="24"/>
              </w:rPr>
            </w:pPr>
            <w:bookmarkStart w:id="600" w:name="_cp_change_350"/>
            <w:bookmarkEnd w:id="599"/>
            <w:r w:rsidRPr="00EC633D">
              <w:rPr>
                <w:b/>
                <w:color w:val="000000" w:themeColor="text1"/>
                <w:sz w:val="24"/>
                <w:szCs w:val="24"/>
                <w:u w:color="0000FF"/>
              </w:rPr>
              <w:t>4.</w:t>
            </w:r>
            <w:r w:rsidRPr="00EC633D">
              <w:rPr>
                <w:color w:val="000000" w:themeColor="text1"/>
                <w:sz w:val="24"/>
                <w:szCs w:val="24"/>
                <w:u w:color="0000FF"/>
              </w:rPr>
              <w:t xml:space="preserve">        </w:t>
            </w:r>
            <w:r w:rsidRPr="00EC633D">
              <w:rPr>
                <w:b/>
                <w:color w:val="000000" w:themeColor="text1"/>
                <w:sz w:val="24"/>
                <w:szCs w:val="24"/>
                <w:u w:color="0000FF"/>
              </w:rPr>
              <w:t>Territorial limits</w:t>
            </w:r>
            <w:bookmarkStart w:id="601" w:name="_cp_change_349"/>
            <w:bookmarkEnd w:id="600"/>
          </w:p>
          <w:p w14:paraId="249AA331" w14:textId="77777777" w:rsidR="009670A0" w:rsidRPr="00EC633D" w:rsidRDefault="009670A0" w:rsidP="009670A0">
            <w:pPr>
              <w:spacing w:before="240" w:after="240"/>
              <w:ind w:left="700"/>
              <w:rPr>
                <w:color w:val="000000" w:themeColor="text1"/>
                <w:sz w:val="24"/>
                <w:szCs w:val="24"/>
              </w:rPr>
            </w:pPr>
            <w:bookmarkStart w:id="602" w:name="_cp_change_352"/>
            <w:bookmarkEnd w:id="601"/>
            <w:r w:rsidRPr="00EC633D">
              <w:rPr>
                <w:color w:val="000000" w:themeColor="text1"/>
                <w:sz w:val="24"/>
                <w:szCs w:val="24"/>
                <w:u w:color="0000FF"/>
              </w:rPr>
              <w:t>United Kingdom.</w:t>
            </w:r>
            <w:bookmarkStart w:id="603" w:name="_cp_change_351"/>
            <w:bookmarkEnd w:id="602"/>
          </w:p>
          <w:p w14:paraId="5B734BDE" w14:textId="6A456171" w:rsidR="009670A0" w:rsidRPr="00EC633D" w:rsidRDefault="009670A0" w:rsidP="009670A0">
            <w:pPr>
              <w:spacing w:before="240" w:after="120"/>
              <w:rPr>
                <w:b/>
                <w:color w:val="000000" w:themeColor="text1"/>
                <w:sz w:val="24"/>
                <w:szCs w:val="24"/>
              </w:rPr>
            </w:pPr>
            <w:bookmarkStart w:id="604" w:name="_cp_change_354"/>
            <w:bookmarkEnd w:id="603"/>
            <w:r w:rsidRPr="00EC633D">
              <w:rPr>
                <w:b/>
                <w:color w:val="000000" w:themeColor="text1"/>
                <w:sz w:val="24"/>
                <w:szCs w:val="24"/>
                <w:u w:color="0000FF"/>
              </w:rPr>
              <w:t>5.</w:t>
            </w:r>
            <w:r w:rsidRPr="00EC633D">
              <w:rPr>
                <w:color w:val="000000" w:themeColor="text1"/>
                <w:sz w:val="24"/>
                <w:szCs w:val="24"/>
                <w:u w:color="0000FF"/>
              </w:rPr>
              <w:t xml:space="preserve">        </w:t>
            </w:r>
            <w:r w:rsidRPr="00EC633D">
              <w:rPr>
                <w:b/>
                <w:color w:val="000000" w:themeColor="text1"/>
                <w:sz w:val="24"/>
                <w:szCs w:val="24"/>
                <w:u w:color="0000FF"/>
              </w:rPr>
              <w:t>Period of insurance</w:t>
            </w:r>
            <w:bookmarkStart w:id="605" w:name="_cp_change_353"/>
            <w:bookmarkEnd w:id="604"/>
          </w:p>
          <w:p w14:paraId="71325EE9" w14:textId="77777777" w:rsidR="009670A0" w:rsidRPr="00EC633D" w:rsidRDefault="009670A0" w:rsidP="009670A0">
            <w:pPr>
              <w:spacing w:before="240" w:after="240"/>
              <w:ind w:left="720"/>
              <w:rPr>
                <w:color w:val="000000" w:themeColor="text1"/>
                <w:sz w:val="24"/>
                <w:szCs w:val="24"/>
              </w:rPr>
            </w:pPr>
            <w:bookmarkStart w:id="606" w:name="_cp_change_356"/>
            <w:bookmarkEnd w:id="605"/>
            <w:r w:rsidRPr="00EC633D">
              <w:rPr>
                <w:color w:val="000000" w:themeColor="text1"/>
                <w:sz w:val="24"/>
                <w:szCs w:val="24"/>
                <w:u w:color="0000FF"/>
              </w:rPr>
              <w:t>From the date of this Agreement for the Term and during any Termination Assistance Period and renewable on an annual basis unless agreed otherwise by the Authority in writing.</w:t>
            </w:r>
            <w:bookmarkStart w:id="607" w:name="_cp_change_355"/>
            <w:bookmarkEnd w:id="606"/>
          </w:p>
          <w:bookmarkEnd w:id="607"/>
          <w:p w14:paraId="20985E03" w14:textId="0CA57449" w:rsidR="00F67E9E" w:rsidRPr="00EC633D" w:rsidRDefault="00F67E9E" w:rsidP="00532E54">
            <w:pPr>
              <w:spacing w:before="240" w:after="240" w:line="360" w:lineRule="auto"/>
              <w:ind w:left="720"/>
              <w:rPr>
                <w:rFonts w:cs="Arial"/>
                <w:b/>
                <w:i/>
                <w:iCs/>
                <w:color w:val="000000" w:themeColor="text1"/>
                <w:sz w:val="24"/>
                <w:highlight w:val="yellow"/>
              </w:rPr>
            </w:pPr>
          </w:p>
        </w:tc>
      </w:tr>
    </w:tbl>
    <w:p w14:paraId="6748B830" w14:textId="77777777" w:rsidR="00F67E9E" w:rsidRDefault="00F67E9E" w:rsidP="00F67E9E"/>
    <w:p w14:paraId="6BCEF867" w14:textId="77777777" w:rsidR="00F67E9E" w:rsidRPr="000C1DA3" w:rsidRDefault="00F67E9E" w:rsidP="00F67E9E"/>
    <w:p w14:paraId="7E1C87FE" w14:textId="77777777" w:rsidR="00F67E9E" w:rsidRDefault="00F67E9E" w:rsidP="00F67E9E">
      <w:pPr>
        <w:rPr>
          <w:szCs w:val="24"/>
        </w:rPr>
        <w:sectPr w:rsidR="00F67E9E" w:rsidSect="00240D26">
          <w:headerReference w:type="default" r:id="rId92"/>
          <w:footerReference w:type="default" r:id="rId93"/>
          <w:headerReference w:type="first" r:id="rId94"/>
          <w:footerReference w:type="first" r:id="rId95"/>
          <w:pgSz w:w="11900" w:h="16840" w:code="9"/>
          <w:pgMar w:top="1701" w:right="851" w:bottom="1134" w:left="851" w:header="567" w:footer="567" w:gutter="0"/>
          <w:cols w:space="720"/>
          <w:docGrid w:linePitch="360"/>
        </w:sectPr>
      </w:pPr>
    </w:p>
    <w:p w14:paraId="279A0FCA" w14:textId="77777777" w:rsidR="00F67E9E" w:rsidRPr="007C55B2" w:rsidRDefault="00F67E9E" w:rsidP="00F67E9E">
      <w:pPr>
        <w:pStyle w:val="Dividername"/>
      </w:pPr>
      <w:r w:rsidRPr="007C55B2">
        <w:lastRenderedPageBreak/>
        <w:t>Schedule 7</w:t>
      </w:r>
    </w:p>
    <w:p w14:paraId="5C5C7D3E" w14:textId="77777777" w:rsidR="00F67E9E" w:rsidRPr="007C55B2" w:rsidRDefault="00F67E9E" w:rsidP="00F67E9E">
      <w:pPr>
        <w:pStyle w:val="Dividername"/>
      </w:pPr>
      <w:r w:rsidRPr="007C55B2">
        <w:t>Authority Responsibilities</w:t>
      </w:r>
    </w:p>
    <w:p w14:paraId="633D8A97" w14:textId="77777777" w:rsidR="00F67E9E" w:rsidRDefault="00F67E9E" w:rsidP="00F67E9E"/>
    <w:p w14:paraId="4AFA9F3E" w14:textId="77777777" w:rsidR="00F67E9E" w:rsidRPr="005D0525" w:rsidRDefault="00F67E9E" w:rsidP="00F67E9E">
      <w:pPr>
        <w:pStyle w:val="Heading1"/>
      </w:pPr>
      <w:bookmarkStart w:id="608" w:name="Schedule7"/>
      <w:bookmarkStart w:id="609" w:name="_Ref92199878"/>
      <w:bookmarkStart w:id="610" w:name="_Toc145412756"/>
      <w:r w:rsidRPr="005D0525">
        <w:lastRenderedPageBreak/>
        <w:t>Schedule</w:t>
      </w:r>
      <w:r>
        <w:t> </w:t>
      </w:r>
      <w:r w:rsidRPr="005D0525">
        <w:t>7</w:t>
      </w:r>
      <w:bookmarkEnd w:id="608"/>
      <w:r>
        <w:t xml:space="preserve">: </w:t>
      </w:r>
      <w:bookmarkStart w:id="611" w:name="Schedule7Heading"/>
      <w:r w:rsidRPr="00F97284">
        <w:t>Authority Responsibilities</w:t>
      </w:r>
      <w:bookmarkEnd w:id="609"/>
      <w:bookmarkEnd w:id="610"/>
      <w:bookmarkEnd w:id="611"/>
    </w:p>
    <w:p w14:paraId="0BBBE5F1" w14:textId="77777777" w:rsidR="00F67E9E" w:rsidRPr="00560BA2" w:rsidRDefault="00F67E9E" w:rsidP="00F13933">
      <w:pPr>
        <w:pStyle w:val="Numbered1"/>
        <w:numPr>
          <w:ilvl w:val="0"/>
          <w:numId w:val="118"/>
        </w:numPr>
      </w:pPr>
      <w:r w:rsidRPr="009B0154">
        <w:t>Introduction</w:t>
      </w:r>
    </w:p>
    <w:p w14:paraId="42710EEA" w14:textId="51B1B596" w:rsidR="00F67E9E" w:rsidRPr="00560BA2" w:rsidRDefault="00F67E9E" w:rsidP="00F67E9E">
      <w:pPr>
        <w:pStyle w:val="Numbered11"/>
        <w:tabs>
          <w:tab w:val="clear" w:pos="720"/>
          <w:tab w:val="num" w:pos="1080"/>
        </w:tabs>
      </w:pPr>
      <w:r w:rsidRPr="00560BA2">
        <w:t>The responsibilities of the Authority set out in this Schedule shall constitute the Authority Responsibilities under this Contract.</w:t>
      </w:r>
      <w:r>
        <w:t xml:space="preserve"> </w:t>
      </w:r>
      <w:r w:rsidRPr="00560BA2">
        <w:t xml:space="preserve">Any obligations of the Authority in </w:t>
      </w:r>
      <w:r>
        <w:rPr>
          <w:rFonts w:cs="Arial"/>
        </w:rPr>
        <w:fldChar w:fldCharType="begin"/>
      </w:r>
      <w:r>
        <w:rPr>
          <w:rFonts w:cs="Arial"/>
        </w:rPr>
        <w:instrText xml:space="preserve"> REF Schedule2 \h </w:instrText>
      </w:r>
      <w:r>
        <w:rPr>
          <w:rFonts w:cs="Arial"/>
        </w:rPr>
      </w:r>
      <w:r>
        <w:rPr>
          <w:rFonts w:cs="Arial"/>
        </w:rPr>
        <w:fldChar w:fldCharType="separate"/>
      </w:r>
      <w:r w:rsidR="007A1473" w:rsidRPr="005D0525">
        <w:t>Schedule</w:t>
      </w:r>
      <w:r w:rsidR="007A1473">
        <w:t> </w:t>
      </w:r>
      <w:r w:rsidR="007A1473" w:rsidRPr="005D0525">
        <w:t>2</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Services Description</w:t>
      </w:r>
      <w:r w:rsidRPr="00A22335">
        <w:rPr>
          <w:rFonts w:cs="Arial"/>
          <w:i/>
          <w:iCs/>
        </w:rPr>
        <w:fldChar w:fldCharType="end"/>
      </w:r>
      <w:r>
        <w:rPr>
          <w:rFonts w:cs="Arial"/>
        </w:rPr>
        <w:t>)</w:t>
      </w:r>
      <w:r w:rsidRPr="00560BA2">
        <w:t xml:space="preserve"> and </w:t>
      </w:r>
      <w:r>
        <w:rPr>
          <w:rFonts w:cs="Arial"/>
        </w:rPr>
        <w:fldChar w:fldCharType="begin"/>
      </w:r>
      <w:r>
        <w:rPr>
          <w:rFonts w:cs="Arial"/>
        </w:rPr>
        <w:instrText xml:space="preserve"> REF Schedule8 \h </w:instrText>
      </w:r>
      <w:r>
        <w:rPr>
          <w:rFonts w:cs="Arial"/>
        </w:rPr>
      </w:r>
      <w:r>
        <w:rPr>
          <w:rFonts w:cs="Arial"/>
        </w:rPr>
        <w:fldChar w:fldCharType="separate"/>
      </w:r>
      <w:r w:rsidR="007A1473" w:rsidRPr="005D0525">
        <w:t>Schedule</w:t>
      </w:r>
      <w:r w:rsidR="007A1473">
        <w:t> </w:t>
      </w:r>
      <w:r w:rsidR="007A1473" w:rsidRPr="005D0525">
        <w:t>8</w:t>
      </w:r>
      <w:r>
        <w:rPr>
          <w:rFonts w:cs="Arial"/>
        </w:rPr>
        <w:fldChar w:fldCharType="end"/>
      </w:r>
      <w:r>
        <w:rPr>
          <w:rFonts w:cs="Arial"/>
        </w:rPr>
        <w:t xml:space="preserve"> (</w:t>
      </w:r>
      <w:r w:rsidRPr="00910061">
        <w:rPr>
          <w:rFonts w:cs="Arial"/>
          <w:i/>
          <w:iCs/>
        </w:rPr>
        <w:fldChar w:fldCharType="begin"/>
      </w:r>
      <w:r w:rsidRPr="00910061">
        <w:rPr>
          <w:rFonts w:cs="Arial"/>
          <w:i/>
          <w:iCs/>
        </w:rPr>
        <w:instrText xml:space="preserve"> REF Schedule8Heading \h </w:instrText>
      </w:r>
      <w:r>
        <w:rPr>
          <w:rFonts w:cs="Arial"/>
          <w:i/>
          <w:iCs/>
        </w:rPr>
        <w:instrText xml:space="preserve"> \* MERGEFORMAT </w:instrText>
      </w:r>
      <w:r w:rsidRPr="00910061">
        <w:rPr>
          <w:rFonts w:cs="Arial"/>
          <w:i/>
          <w:iCs/>
        </w:rPr>
      </w:r>
      <w:r w:rsidRPr="00910061">
        <w:rPr>
          <w:rFonts w:cs="Arial"/>
          <w:i/>
          <w:iCs/>
        </w:rPr>
        <w:fldChar w:fldCharType="separate"/>
      </w:r>
      <w:r w:rsidR="007A1473" w:rsidRPr="007A1473">
        <w:rPr>
          <w:i/>
          <w:iCs/>
        </w:rPr>
        <w:t>Supplier Solution</w:t>
      </w:r>
      <w:r w:rsidRPr="00910061">
        <w:rPr>
          <w:rFonts w:cs="Arial"/>
          <w:i/>
          <w:iCs/>
        </w:rPr>
        <w:fldChar w:fldCharType="end"/>
      </w:r>
      <w:r>
        <w:rPr>
          <w:rFonts w:cs="Arial"/>
        </w:rPr>
        <w:t>)</w:t>
      </w:r>
      <w:r w:rsidRPr="00560BA2">
        <w:t xml:space="preserve"> shall not be Authority Responsibilities and the Authority shall have no obligation to perform any such obligations unless they are specifically stated to be </w:t>
      </w:r>
      <w:r>
        <w:t>“</w:t>
      </w:r>
      <w:r w:rsidRPr="00560BA2">
        <w:t>Authority Responsibilities</w:t>
      </w:r>
      <w:r>
        <w:t>”</w:t>
      </w:r>
      <w:r w:rsidRPr="00560BA2">
        <w:t xml:space="preserve"> and cross referenced in the table in </w:t>
      </w:r>
      <w:bookmarkStart w:id="612" w:name="_9kMHG5YVtCIAFJBbLhkhy7sBOoI5ty231886EA3"/>
      <w:r w:rsidRPr="00560BA2">
        <w:t xml:space="preserve">Paragraph </w:t>
      </w:r>
      <w:r w:rsidRPr="00560BA2">
        <w:fldChar w:fldCharType="begin"/>
      </w:r>
      <w:r w:rsidRPr="00560BA2">
        <w:instrText xml:space="preserve"> REF _Ref_ContractCompanion_9kb9Ur9CC \w \n \h \t \* MERGEFORMAT </w:instrText>
      </w:r>
      <w:r w:rsidRPr="00560BA2">
        <w:fldChar w:fldCharType="separate"/>
      </w:r>
      <w:r w:rsidR="007A1473">
        <w:t>3</w:t>
      </w:r>
      <w:r w:rsidRPr="00560BA2">
        <w:fldChar w:fldCharType="end"/>
      </w:r>
      <w:bookmarkEnd w:id="612"/>
      <w:r w:rsidRPr="00560BA2">
        <w:t>.</w:t>
      </w:r>
    </w:p>
    <w:p w14:paraId="065601F9" w14:textId="77777777" w:rsidR="00F67E9E" w:rsidRPr="00560BA2" w:rsidRDefault="00F67E9E" w:rsidP="00F67E9E">
      <w:pPr>
        <w:pStyle w:val="Numbered11"/>
        <w:tabs>
          <w:tab w:val="clear" w:pos="720"/>
          <w:tab w:val="num" w:pos="1080"/>
        </w:tabs>
      </w:pPr>
      <w:r w:rsidRPr="00560BA2">
        <w:t>The responsibilities specified within this Schedule shall be provided to the Supplier free of charge, unless otherwise agreed between the Parties.</w:t>
      </w:r>
    </w:p>
    <w:p w14:paraId="2C967491" w14:textId="77777777" w:rsidR="00F67E9E" w:rsidRPr="00560BA2" w:rsidRDefault="00F67E9E" w:rsidP="00F67E9E">
      <w:pPr>
        <w:pStyle w:val="Numbered1"/>
      </w:pPr>
      <w:r w:rsidRPr="00560BA2">
        <w:t>General Obligations</w:t>
      </w:r>
    </w:p>
    <w:p w14:paraId="2302A09D" w14:textId="77777777" w:rsidR="00F67E9E" w:rsidRPr="00560BA2" w:rsidRDefault="00F67E9E" w:rsidP="00F67E9E">
      <w:pPr>
        <w:pStyle w:val="Numbered11"/>
        <w:tabs>
          <w:tab w:val="clear" w:pos="720"/>
          <w:tab w:val="num" w:pos="1080"/>
        </w:tabs>
      </w:pPr>
      <w:r w:rsidRPr="00560BA2">
        <w:t>The Authority shall:</w:t>
      </w:r>
    </w:p>
    <w:p w14:paraId="36D87AE1" w14:textId="5CBE617D" w:rsidR="00F67E9E" w:rsidRPr="00560BA2" w:rsidRDefault="00F67E9E" w:rsidP="00F67E9E">
      <w:pPr>
        <w:pStyle w:val="Numbered111"/>
        <w:tabs>
          <w:tab w:val="clear" w:pos="1800"/>
          <w:tab w:val="num" w:pos="2160"/>
        </w:tabs>
      </w:pPr>
      <w:r w:rsidRPr="00560BA2">
        <w:t xml:space="preserve">perform those obligations of the Authority which are set out in the Clauses of this Contract and the Paragraphs of the Schedules (except </w:t>
      </w:r>
      <w:r>
        <w:fldChar w:fldCharType="begin"/>
      </w:r>
      <w:r>
        <w:instrText xml:space="preserve"> REF Schedule2 \h </w:instrText>
      </w:r>
      <w:r>
        <w:fldChar w:fldCharType="separate"/>
      </w:r>
      <w:r w:rsidR="007A1473" w:rsidRPr="005D0525">
        <w:t>Schedule</w:t>
      </w:r>
      <w:r w:rsidR="007A1473">
        <w:t> </w:t>
      </w:r>
      <w:r w:rsidR="007A1473" w:rsidRPr="005D0525">
        <w:t>2</w:t>
      </w:r>
      <w:r>
        <w:fldChar w:fldCharType="end"/>
      </w:r>
      <w:r>
        <w:t xml:space="preserve"> (</w:t>
      </w:r>
      <w:r w:rsidRPr="00A22335">
        <w:rPr>
          <w:i/>
          <w:iCs/>
        </w:rPr>
        <w:fldChar w:fldCharType="begin"/>
      </w:r>
      <w:r w:rsidRPr="00A22335">
        <w:rPr>
          <w:i/>
          <w:iCs/>
        </w:rPr>
        <w:instrText xml:space="preserve"> REF Schedule2Heading \h </w:instrText>
      </w:r>
      <w:r>
        <w:rPr>
          <w:i/>
          <w:iCs/>
        </w:rPr>
        <w:instrText xml:space="preserve"> \* MERGEFORMAT </w:instrText>
      </w:r>
      <w:r w:rsidRPr="00A22335">
        <w:rPr>
          <w:i/>
          <w:iCs/>
        </w:rPr>
      </w:r>
      <w:r w:rsidRPr="00A22335">
        <w:rPr>
          <w:i/>
          <w:iCs/>
        </w:rPr>
        <w:fldChar w:fldCharType="separate"/>
      </w:r>
      <w:r w:rsidR="007A1473" w:rsidRPr="007A1473">
        <w:rPr>
          <w:i/>
          <w:iCs/>
        </w:rPr>
        <w:t>Services Description</w:t>
      </w:r>
      <w:r w:rsidRPr="00A22335">
        <w:rPr>
          <w:i/>
          <w:iCs/>
        </w:rPr>
        <w:fldChar w:fldCharType="end"/>
      </w:r>
      <w:r>
        <w:t>)</w:t>
      </w:r>
      <w:r w:rsidRPr="00560BA2">
        <w:t xml:space="preserve"> and </w:t>
      </w:r>
      <w:r>
        <w:fldChar w:fldCharType="begin"/>
      </w:r>
      <w:r>
        <w:instrText xml:space="preserve"> REF Schedule8 \h </w:instrText>
      </w:r>
      <w:r>
        <w:fldChar w:fldCharType="separate"/>
      </w:r>
      <w:r w:rsidR="007A1473" w:rsidRPr="005D0525">
        <w:t>Schedule</w:t>
      </w:r>
      <w:r w:rsidR="007A1473">
        <w:t> </w:t>
      </w:r>
      <w:r w:rsidR="007A1473" w:rsidRPr="005D0525">
        <w:t>8</w:t>
      </w:r>
      <w:r>
        <w:fldChar w:fldCharType="end"/>
      </w:r>
      <w:r>
        <w:t xml:space="preserve"> (</w:t>
      </w:r>
      <w:r w:rsidRPr="00910061">
        <w:rPr>
          <w:i/>
          <w:iCs/>
        </w:rPr>
        <w:fldChar w:fldCharType="begin"/>
      </w:r>
      <w:r w:rsidRPr="00910061">
        <w:rPr>
          <w:i/>
          <w:iCs/>
        </w:rPr>
        <w:instrText xml:space="preserve"> REF Schedule8Heading \h </w:instrText>
      </w:r>
      <w:r>
        <w:rPr>
          <w:i/>
          <w:iCs/>
        </w:rPr>
        <w:instrText xml:space="preserve"> \* MERGEFORMAT </w:instrText>
      </w:r>
      <w:r w:rsidRPr="00910061">
        <w:rPr>
          <w:i/>
          <w:iCs/>
        </w:rPr>
      </w:r>
      <w:r w:rsidRPr="00910061">
        <w:rPr>
          <w:i/>
          <w:iCs/>
        </w:rPr>
        <w:fldChar w:fldCharType="separate"/>
      </w:r>
      <w:r w:rsidR="007A1473" w:rsidRPr="007A1473">
        <w:rPr>
          <w:i/>
          <w:iCs/>
        </w:rPr>
        <w:t>Supplier Solution</w:t>
      </w:r>
      <w:r w:rsidRPr="00910061">
        <w:rPr>
          <w:i/>
          <w:iCs/>
        </w:rPr>
        <w:fldChar w:fldCharType="end"/>
      </w:r>
      <w:r>
        <w:t>)</w:t>
      </w:r>
      <w:r w:rsidRPr="00560BA2">
        <w:t>);</w:t>
      </w:r>
    </w:p>
    <w:p w14:paraId="29EEED65" w14:textId="77777777" w:rsidR="00F67E9E" w:rsidRPr="00560BA2" w:rsidRDefault="00F67E9E" w:rsidP="00F67E9E">
      <w:pPr>
        <w:pStyle w:val="Numbered111"/>
        <w:tabs>
          <w:tab w:val="clear" w:pos="1800"/>
          <w:tab w:val="num" w:pos="2160"/>
        </w:tabs>
      </w:pPr>
      <w:r w:rsidRPr="00560BA2">
        <w:t>use its reasonable endeavours to provide the Supplier with access to appropriate members of the Authority</w:t>
      </w:r>
      <w:r>
        <w:t>’</w:t>
      </w:r>
      <w:r w:rsidRPr="00560BA2">
        <w:t>s staff, as such access is reasonably requested by the Supplier in order for the Supplier to discharge its obligations throughout the Term and the Termination Assistance Period;</w:t>
      </w:r>
    </w:p>
    <w:p w14:paraId="4E16057F" w14:textId="77777777" w:rsidR="00F67E9E" w:rsidRPr="00560BA2" w:rsidRDefault="00F67E9E" w:rsidP="00F67E9E">
      <w:pPr>
        <w:pStyle w:val="Numbered111"/>
        <w:tabs>
          <w:tab w:val="clear" w:pos="1800"/>
          <w:tab w:val="num" w:pos="2160"/>
        </w:tabs>
      </w:pPr>
      <w:r w:rsidRPr="00560BA2">
        <w:t>provide sufficient and suitably qualified staff to fulfil the Authority</w:t>
      </w:r>
      <w:r>
        <w:t>’</w:t>
      </w:r>
      <w:r w:rsidRPr="00560BA2">
        <w:t>s roles and duties under this Contract as defined in the Implementation Plan;</w:t>
      </w:r>
    </w:p>
    <w:p w14:paraId="3DDDAFC1" w14:textId="77777777" w:rsidR="00F67E9E" w:rsidRPr="00560BA2" w:rsidRDefault="00F67E9E" w:rsidP="00F67E9E">
      <w:pPr>
        <w:pStyle w:val="Numbered111"/>
        <w:tabs>
          <w:tab w:val="clear" w:pos="1800"/>
          <w:tab w:val="num" w:pos="2160"/>
        </w:tabs>
      </w:pPr>
      <w:r w:rsidRPr="00560BA2">
        <w:t>use its reasonable endeavours to provide such documentation, data and/or other information that the Supplier reasonably requests that is necessary to perform its obligations under the terms of this Contract provided that such documentation, data and/or information is available to the Authority and is authorised for release by the Authority; and</w:t>
      </w:r>
    </w:p>
    <w:p w14:paraId="7CAC580D" w14:textId="77777777" w:rsidR="00F67E9E" w:rsidRPr="00560BA2" w:rsidRDefault="00F67E9E" w:rsidP="00F67E9E">
      <w:pPr>
        <w:pStyle w:val="Numbered111"/>
        <w:tabs>
          <w:tab w:val="clear" w:pos="1800"/>
          <w:tab w:val="num" w:pos="2160"/>
        </w:tabs>
      </w:pPr>
      <w:r w:rsidRPr="00560BA2">
        <w:t>procure for the Supplier such agreed access and use of the Authority Premises (as a licensee only) and facilities (including relevant IT systems) as is reasonably required for the Supplier to comply with its obligations under this Contract, such access to be provided during the Authority</w:t>
      </w:r>
      <w:r>
        <w:t>’</w:t>
      </w:r>
      <w:r w:rsidRPr="00560BA2">
        <w:t>s normal working hours on each Working Day or as otherwise agreed by the Authority (such agreement not to be unreasonably withheld or delayed).</w:t>
      </w:r>
    </w:p>
    <w:p w14:paraId="7ABADBDC" w14:textId="77777777" w:rsidR="00F67E9E" w:rsidRPr="00560BA2" w:rsidRDefault="00F67E9E" w:rsidP="00F67E9E">
      <w:pPr>
        <w:pStyle w:val="Numbered1"/>
      </w:pPr>
      <w:bookmarkStart w:id="613" w:name="_Ref_ContractCompanion_9kb9Ur9CC"/>
      <w:bookmarkStart w:id="614" w:name="_9kR3WTrAG8DH9ZJfifw5q9MmG3rw01z664C81FO"/>
      <w:r w:rsidRPr="009B0154">
        <w:t>Specific</w:t>
      </w:r>
      <w:r w:rsidRPr="00560BA2">
        <w:t xml:space="preserve"> Obligations</w:t>
      </w:r>
      <w:bookmarkEnd w:id="613"/>
      <w:bookmarkEnd w:id="614"/>
    </w:p>
    <w:p w14:paraId="6D9191E9" w14:textId="5C696757" w:rsidR="00F67E9E" w:rsidRDefault="00F67E9E" w:rsidP="00F67E9E">
      <w:pPr>
        <w:pStyle w:val="Numbered11"/>
        <w:tabs>
          <w:tab w:val="clear" w:pos="720"/>
          <w:tab w:val="num" w:pos="1080"/>
        </w:tabs>
      </w:pPr>
      <w:r w:rsidRPr="00560BA2">
        <w:t>The Authority shall, in relation to this Contract perform the Authority</w:t>
      </w:r>
      <w:r>
        <w:t>’</w:t>
      </w:r>
      <w:r w:rsidRPr="00560BA2">
        <w:t>s responsibilities identified as such in this Contract the details of which are set out below:</w:t>
      </w:r>
    </w:p>
    <w:p w14:paraId="52AE6958" w14:textId="4F40DD2E" w:rsidR="0095444B" w:rsidRPr="00560BA2" w:rsidRDefault="0095444B" w:rsidP="0095444B">
      <w:pPr>
        <w:pStyle w:val="Numbered11"/>
        <w:numPr>
          <w:ilvl w:val="0"/>
          <w:numId w:val="0"/>
        </w:numPr>
        <w:ind w:left="720"/>
      </w:pPr>
    </w:p>
    <w:p w14:paraId="779E491C" w14:textId="47C8ED0D" w:rsidR="00F67E9E" w:rsidRDefault="00F67E9E" w:rsidP="00F67E9E">
      <w:pPr>
        <w:rPr>
          <w:szCs w:val="24"/>
        </w:rPr>
      </w:pPr>
    </w:p>
    <w:p w14:paraId="023AF0A8" w14:textId="46792874" w:rsidR="00947CA6" w:rsidRDefault="00947CA6" w:rsidP="00F67E9E">
      <w:pPr>
        <w:rPr>
          <w:szCs w:val="24"/>
        </w:rPr>
      </w:pPr>
    </w:p>
    <w:p w14:paraId="3111C5EE" w14:textId="77777777" w:rsidR="00947CA6" w:rsidRDefault="00947CA6" w:rsidP="00F67E9E">
      <w:pPr>
        <w:rPr>
          <w:szCs w:val="24"/>
        </w:rPr>
      </w:pPr>
    </w:p>
    <w:p w14:paraId="204FCE92" w14:textId="4AECE7EE" w:rsidR="00947CA6" w:rsidRPr="003025CC" w:rsidRDefault="00333925" w:rsidP="00F67E9E">
      <w:pPr>
        <w:rPr>
          <w:szCs w:val="24"/>
        </w:rPr>
      </w:pPr>
      <w:r w:rsidRPr="00F95340">
        <w:rPr>
          <w:b/>
          <w:color w:val="FFFF00"/>
          <w:highlight w:val="black"/>
        </w:rPr>
        <w:lastRenderedPageBreak/>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0E67A10D" w14:textId="77777777" w:rsidR="00F67E9E" w:rsidRPr="008971A7" w:rsidRDefault="00F67E9E" w:rsidP="00F67E9E"/>
    <w:p w14:paraId="389A1629" w14:textId="77777777" w:rsidR="00F67E9E" w:rsidRDefault="00F67E9E" w:rsidP="00F67E9E"/>
    <w:p w14:paraId="0A5103B5" w14:textId="77777777" w:rsidR="00F67E9E" w:rsidRDefault="00F67E9E" w:rsidP="00F67E9E">
      <w:pPr>
        <w:sectPr w:rsidR="00F67E9E" w:rsidSect="00240D26">
          <w:headerReference w:type="default" r:id="rId96"/>
          <w:footerReference w:type="default" r:id="rId97"/>
          <w:pgSz w:w="11900" w:h="16840" w:code="9"/>
          <w:pgMar w:top="1701" w:right="851" w:bottom="1134" w:left="851" w:header="567" w:footer="567" w:gutter="0"/>
          <w:cols w:space="720"/>
          <w:docGrid w:linePitch="360"/>
        </w:sectPr>
      </w:pPr>
    </w:p>
    <w:p w14:paraId="6107DDF1" w14:textId="77777777" w:rsidR="00F67E9E" w:rsidRPr="007C55B2" w:rsidRDefault="00F67E9E" w:rsidP="00F67E9E">
      <w:pPr>
        <w:pStyle w:val="Dividername"/>
      </w:pPr>
      <w:r w:rsidRPr="007C55B2">
        <w:lastRenderedPageBreak/>
        <w:t>Schedule 8</w:t>
      </w:r>
    </w:p>
    <w:p w14:paraId="05DA4052" w14:textId="77777777" w:rsidR="00F67E9E" w:rsidRPr="007C55B2" w:rsidRDefault="00F67E9E" w:rsidP="00F67E9E">
      <w:pPr>
        <w:pStyle w:val="Dividername"/>
      </w:pPr>
      <w:r w:rsidRPr="007C55B2">
        <w:t>Supplier Solution</w:t>
      </w:r>
    </w:p>
    <w:p w14:paraId="20E22E22" w14:textId="77777777" w:rsidR="00F67E9E" w:rsidRPr="007C43AC" w:rsidRDefault="00F67E9E" w:rsidP="00F67E9E"/>
    <w:p w14:paraId="20108580" w14:textId="77777777" w:rsidR="00F67E9E" w:rsidRPr="005D0525" w:rsidRDefault="00F67E9E" w:rsidP="00F67E9E">
      <w:pPr>
        <w:pStyle w:val="Heading1"/>
      </w:pPr>
      <w:bookmarkStart w:id="615" w:name="Schedule8"/>
      <w:bookmarkStart w:id="616" w:name="_Ref92199898"/>
      <w:bookmarkStart w:id="617" w:name="_Toc145412757"/>
      <w:r w:rsidRPr="005D0525">
        <w:lastRenderedPageBreak/>
        <w:t>Schedule</w:t>
      </w:r>
      <w:r>
        <w:t> </w:t>
      </w:r>
      <w:r w:rsidRPr="005D0525">
        <w:t>8</w:t>
      </w:r>
      <w:bookmarkEnd w:id="615"/>
      <w:r>
        <w:t xml:space="preserve">: </w:t>
      </w:r>
      <w:bookmarkStart w:id="618" w:name="Schedule8Heading"/>
      <w:r w:rsidRPr="00F97284">
        <w:t>Supplier Solution</w:t>
      </w:r>
      <w:bookmarkEnd w:id="616"/>
      <w:bookmarkEnd w:id="617"/>
      <w:bookmarkEnd w:id="618"/>
    </w:p>
    <w:p w14:paraId="793675D0" w14:textId="5E1E6DBC" w:rsidR="00333925" w:rsidRPr="00AE5845" w:rsidRDefault="00333925" w:rsidP="00333925">
      <w:pPr>
        <w:pStyle w:val="AppendixText1"/>
        <w:numPr>
          <w:ilvl w:val="0"/>
          <w:numId w:val="0"/>
        </w:numPr>
        <w:ind w:left="720" w:hanging="720"/>
      </w:pPr>
      <w:r w:rsidRPr="00AE5845">
        <w:rPr>
          <w:color w:val="FFFF00"/>
          <w:highlight w:val="black"/>
        </w:rPr>
        <w:t>Redacted</w:t>
      </w:r>
      <w:r w:rsidRPr="00AE5845">
        <w:rPr>
          <w:highlight w:val="black"/>
        </w:rPr>
        <w:t xml:space="preserve"> </w:t>
      </w:r>
      <w:r w:rsidRPr="00AE5845">
        <w:rPr>
          <w:color w:val="FFFFFF" w:themeColor="background1"/>
          <w:highlight w:val="black"/>
        </w:rPr>
        <w:t>Under FOIA Section 43, Commercial Interests</w:t>
      </w:r>
    </w:p>
    <w:p w14:paraId="254F096B" w14:textId="13FEDAEA" w:rsidR="007744A3" w:rsidRDefault="007744A3" w:rsidP="00333925">
      <w:pPr>
        <w:pStyle w:val="AppendixText2"/>
        <w:numPr>
          <w:ilvl w:val="0"/>
          <w:numId w:val="0"/>
        </w:numPr>
        <w:ind w:left="720"/>
      </w:pPr>
    </w:p>
    <w:p w14:paraId="20A95FC2" w14:textId="25069A68" w:rsidR="007744A3" w:rsidRDefault="007744A3" w:rsidP="007744A3">
      <w:pPr>
        <w:pStyle w:val="AppendixText5"/>
        <w:numPr>
          <w:ilvl w:val="0"/>
          <w:numId w:val="0"/>
        </w:numPr>
        <w:tabs>
          <w:tab w:val="clear" w:pos="2523"/>
        </w:tabs>
        <w:ind w:left="709"/>
      </w:pPr>
    </w:p>
    <w:p w14:paraId="20DF3667" w14:textId="77777777" w:rsidR="007744A3" w:rsidRPr="007744A3" w:rsidRDefault="007744A3" w:rsidP="007744A3">
      <w:pPr>
        <w:pStyle w:val="StdBodyText5"/>
        <w:rPr>
          <w:highlight w:val="yellow"/>
        </w:rPr>
      </w:pPr>
    </w:p>
    <w:p w14:paraId="4F4A44F8" w14:textId="77777777" w:rsidR="00F67E9E" w:rsidRDefault="00F67E9E" w:rsidP="00F67E9E">
      <w:pPr>
        <w:rPr>
          <w:highlight w:val="yellow"/>
        </w:rPr>
      </w:pPr>
    </w:p>
    <w:p w14:paraId="6F44BEAC" w14:textId="77777777" w:rsidR="00F67E9E" w:rsidRDefault="00F67E9E" w:rsidP="00F67E9E">
      <w:pPr>
        <w:rPr>
          <w:highlight w:val="yellow"/>
        </w:rPr>
      </w:pPr>
    </w:p>
    <w:p w14:paraId="3B53D1DB" w14:textId="77777777" w:rsidR="00F67E9E" w:rsidRDefault="00F67E9E" w:rsidP="00F67E9E">
      <w:pPr>
        <w:sectPr w:rsidR="00F67E9E" w:rsidSect="00240D26">
          <w:headerReference w:type="default" r:id="rId98"/>
          <w:footerReference w:type="default" r:id="rId99"/>
          <w:pgSz w:w="11900" w:h="16840" w:code="9"/>
          <w:pgMar w:top="1701" w:right="851" w:bottom="1134" w:left="851" w:header="567" w:footer="567" w:gutter="0"/>
          <w:cols w:space="720"/>
          <w:docGrid w:linePitch="360"/>
        </w:sectPr>
      </w:pPr>
    </w:p>
    <w:p w14:paraId="19A6A4B0" w14:textId="77777777" w:rsidR="00F67E9E" w:rsidRPr="007C55B2" w:rsidRDefault="00F67E9E" w:rsidP="00F67E9E">
      <w:pPr>
        <w:pStyle w:val="Dividername"/>
      </w:pPr>
      <w:r w:rsidRPr="007C55B2">
        <w:lastRenderedPageBreak/>
        <w:t>Schedule 9</w:t>
      </w:r>
    </w:p>
    <w:p w14:paraId="2908BD85" w14:textId="77777777" w:rsidR="00F67E9E" w:rsidRPr="007C55B2" w:rsidRDefault="00F67E9E" w:rsidP="00F67E9E">
      <w:pPr>
        <w:pStyle w:val="Dividername"/>
      </w:pPr>
      <w:r w:rsidRPr="007C55B2">
        <w:t>Commercially Sensitive Information</w:t>
      </w:r>
    </w:p>
    <w:p w14:paraId="4F5B5907" w14:textId="77777777" w:rsidR="00F67E9E" w:rsidRDefault="00F67E9E" w:rsidP="00F67E9E"/>
    <w:p w14:paraId="7E7346D8" w14:textId="77777777" w:rsidR="00F67E9E" w:rsidRPr="005D0525" w:rsidRDefault="00F67E9E" w:rsidP="00F67E9E">
      <w:pPr>
        <w:pStyle w:val="Heading1"/>
      </w:pPr>
      <w:bookmarkStart w:id="619" w:name="Schedule9"/>
      <w:bookmarkStart w:id="620" w:name="_Ref92199904"/>
      <w:bookmarkStart w:id="621" w:name="_Toc145412758"/>
      <w:r w:rsidRPr="005D0525">
        <w:lastRenderedPageBreak/>
        <w:t>Schedule</w:t>
      </w:r>
      <w:r>
        <w:t> </w:t>
      </w:r>
      <w:r w:rsidRPr="005D0525">
        <w:t>9</w:t>
      </w:r>
      <w:bookmarkEnd w:id="619"/>
      <w:r>
        <w:t xml:space="preserve">: </w:t>
      </w:r>
      <w:bookmarkStart w:id="622" w:name="Schedule9Heading"/>
      <w:r w:rsidRPr="00F97284">
        <w:t>Commercially Sensitive Information</w:t>
      </w:r>
      <w:bookmarkEnd w:id="620"/>
      <w:bookmarkEnd w:id="621"/>
      <w:bookmarkEnd w:id="622"/>
    </w:p>
    <w:p w14:paraId="2771BC7D" w14:textId="77777777" w:rsidR="00F67E9E" w:rsidRPr="00FF73CF" w:rsidRDefault="00F67E9E" w:rsidP="00F13933">
      <w:pPr>
        <w:pStyle w:val="AppendixText1"/>
        <w:numPr>
          <w:ilvl w:val="0"/>
          <w:numId w:val="83"/>
        </w:numPr>
        <w:tabs>
          <w:tab w:val="clear" w:pos="720"/>
          <w:tab w:val="num" w:pos="1080"/>
        </w:tabs>
        <w:rPr>
          <w:b w:val="0"/>
          <w:bCs/>
        </w:rPr>
      </w:pPr>
      <w:r w:rsidRPr="00FF73CF">
        <w:rPr>
          <w:b w:val="0"/>
          <w:bCs/>
        </w:rPr>
        <w:t>In this Schedule the Parties have sought to identify the Supplier’s Confidential Information that is genuinely commercially sensitive and the disclosure of which would be the subject of an exemption under the FOIA and the EIRs.</w:t>
      </w:r>
    </w:p>
    <w:p w14:paraId="5158D02A" w14:textId="77777777" w:rsidR="00F67E9E" w:rsidRPr="00621420" w:rsidRDefault="00F67E9E" w:rsidP="00F13933">
      <w:pPr>
        <w:pStyle w:val="AppendixText1"/>
        <w:keepNext w:val="0"/>
        <w:numPr>
          <w:ilvl w:val="0"/>
          <w:numId w:val="83"/>
        </w:numPr>
        <w:rPr>
          <w:b w:val="0"/>
          <w:bCs/>
        </w:rPr>
      </w:pPr>
      <w:r w:rsidRPr="00FF73CF">
        <w:rPr>
          <w:b w:val="0"/>
          <w:bCs/>
        </w:rPr>
        <w:t>Where possible, the Parties have sought to identify when any relevant Information will cease to fall into the category of Information to which this Schedule applies in the table below (please see the column “Duration of Confidentiality”).</w:t>
      </w:r>
    </w:p>
    <w:p w14:paraId="5736C368" w14:textId="5ED29B25" w:rsidR="00F67E9E" w:rsidRDefault="00F67E9E" w:rsidP="00F13933">
      <w:pPr>
        <w:pStyle w:val="AppendixText1"/>
        <w:keepNext w:val="0"/>
        <w:numPr>
          <w:ilvl w:val="0"/>
          <w:numId w:val="83"/>
        </w:numPr>
        <w:rPr>
          <w:b w:val="0"/>
          <w:bCs/>
        </w:rPr>
      </w:pPr>
      <w:r w:rsidRPr="00FF73CF">
        <w:rPr>
          <w:b w:val="0"/>
          <w:bCs/>
        </w:rPr>
        <w:t>Without prejudice to the Authority’s obligation to disclose Information in accordance with FOIA or Clause 19 (</w:t>
      </w:r>
      <w:r w:rsidRPr="00686548">
        <w:rPr>
          <w:b w:val="0"/>
          <w:bCs/>
          <w:i/>
          <w:iCs/>
        </w:rPr>
        <w:t>Confidentiality</w:t>
      </w:r>
      <w:r w:rsidRPr="00FF73CF">
        <w:rPr>
          <w:b w:val="0"/>
          <w:bCs/>
        </w:rPr>
        <w:t>), the Authority will, in its sole discretion, acting reasonably, seek to apply the relevant exemption set out in the FOIA to the following Information:</w:t>
      </w:r>
    </w:p>
    <w:p w14:paraId="6AF3590D" w14:textId="62E083CD" w:rsidR="00F67E9E" w:rsidRDefault="00F67E9E" w:rsidP="00F67E9E">
      <w:pPr>
        <w:pStyle w:val="BlankDocumentTitle"/>
        <w:keepNext/>
        <w:rPr>
          <w:rFonts w:cs="Arial"/>
        </w:rPr>
      </w:pPr>
      <w:r w:rsidRPr="00560BA2">
        <w:rPr>
          <w:rFonts w:cs="Arial"/>
        </w:rPr>
        <w:t>Commercially Sensitive Information</w:t>
      </w:r>
    </w:p>
    <w:p w14:paraId="5A2D3260" w14:textId="564E2C5F" w:rsidR="00BD68CA" w:rsidRPr="00BD68CA" w:rsidRDefault="00BD68CA" w:rsidP="00BD68CA">
      <w:pPr>
        <w:pStyle w:val="StdBodyText"/>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08DB4530" w14:textId="77777777" w:rsidR="00F67E9E" w:rsidRDefault="00F67E9E" w:rsidP="00F67E9E"/>
    <w:p w14:paraId="5EF9EA00" w14:textId="77777777" w:rsidR="00F67E9E" w:rsidRPr="00DF635B" w:rsidRDefault="00F67E9E" w:rsidP="00F67E9E"/>
    <w:p w14:paraId="3492D83E" w14:textId="77777777" w:rsidR="00F67E9E" w:rsidRDefault="00F67E9E" w:rsidP="00F67E9E">
      <w:pPr>
        <w:sectPr w:rsidR="00F67E9E" w:rsidSect="00240D26">
          <w:headerReference w:type="default" r:id="rId100"/>
          <w:footerReference w:type="default" r:id="rId101"/>
          <w:pgSz w:w="11900" w:h="16840" w:code="9"/>
          <w:pgMar w:top="1701" w:right="851" w:bottom="1134" w:left="851" w:header="567" w:footer="567" w:gutter="0"/>
          <w:cols w:space="720"/>
          <w:docGrid w:linePitch="360"/>
        </w:sectPr>
      </w:pPr>
    </w:p>
    <w:p w14:paraId="007E9EFD" w14:textId="77777777" w:rsidR="00F67E9E" w:rsidRPr="007C55B2" w:rsidRDefault="00F67E9E" w:rsidP="00F67E9E">
      <w:pPr>
        <w:pStyle w:val="Dividername"/>
      </w:pPr>
      <w:r w:rsidRPr="007C55B2">
        <w:lastRenderedPageBreak/>
        <w:t>Schedule</w:t>
      </w:r>
      <w:r>
        <w:t> </w:t>
      </w:r>
      <w:r w:rsidRPr="007C55B2">
        <w:t>10</w:t>
      </w:r>
    </w:p>
    <w:p w14:paraId="14A608EF" w14:textId="77777777" w:rsidR="00F67E9E" w:rsidRPr="007C55B2" w:rsidRDefault="00F67E9E" w:rsidP="00F67E9E">
      <w:pPr>
        <w:pStyle w:val="Dividername"/>
      </w:pPr>
      <w:r w:rsidRPr="007C55B2">
        <w:t>Notified Key Sub-Contractors</w:t>
      </w:r>
    </w:p>
    <w:p w14:paraId="40B17511" w14:textId="77777777" w:rsidR="00F67E9E" w:rsidRDefault="00F67E9E" w:rsidP="00F67E9E"/>
    <w:p w14:paraId="72E4F403" w14:textId="77777777" w:rsidR="00F67E9E" w:rsidRPr="005D0525" w:rsidRDefault="00F67E9E" w:rsidP="00F67E9E">
      <w:pPr>
        <w:pStyle w:val="Heading1"/>
      </w:pPr>
      <w:bookmarkStart w:id="623" w:name="Schedule10"/>
      <w:bookmarkStart w:id="624" w:name="_Ref92199913"/>
      <w:bookmarkStart w:id="625" w:name="_Toc145412759"/>
      <w:r w:rsidRPr="005D0525">
        <w:lastRenderedPageBreak/>
        <w:t>Schedule</w:t>
      </w:r>
      <w:r>
        <w:t> </w:t>
      </w:r>
      <w:r w:rsidRPr="005D0525">
        <w:t>10</w:t>
      </w:r>
      <w:bookmarkEnd w:id="623"/>
      <w:r>
        <w:t xml:space="preserve">: </w:t>
      </w:r>
      <w:bookmarkStart w:id="626" w:name="Schedule10Heading"/>
      <w:r w:rsidRPr="00F97284">
        <w:t>Notified Key Sub-Contractors</w:t>
      </w:r>
      <w:bookmarkEnd w:id="624"/>
      <w:bookmarkEnd w:id="625"/>
      <w:bookmarkEnd w:id="626"/>
    </w:p>
    <w:p w14:paraId="54720FB9" w14:textId="77777777" w:rsidR="00F67E9E" w:rsidRPr="00923EB2" w:rsidRDefault="00F67E9E" w:rsidP="00F13933">
      <w:pPr>
        <w:pStyle w:val="AppendixText1"/>
        <w:numPr>
          <w:ilvl w:val="0"/>
          <w:numId w:val="84"/>
        </w:numPr>
        <w:tabs>
          <w:tab w:val="clear" w:pos="720"/>
          <w:tab w:val="num" w:pos="1080"/>
        </w:tabs>
        <w:rPr>
          <w:b w:val="0"/>
          <w:bCs/>
        </w:rPr>
      </w:pPr>
      <w:r w:rsidRPr="00923EB2">
        <w:rPr>
          <w:b w:val="0"/>
          <w:bCs/>
        </w:rPr>
        <w:t xml:space="preserve">In accordance with </w:t>
      </w:r>
      <w:bookmarkStart w:id="627" w:name="_9kR3WTr2CC5ADMChrAv5KR"/>
      <w:r w:rsidRPr="00923EB2">
        <w:rPr>
          <w:b w:val="0"/>
          <w:bCs/>
        </w:rPr>
        <w:t>Clause 15.11</w:t>
      </w:r>
      <w:bookmarkEnd w:id="627"/>
      <w:r w:rsidRPr="00923EB2">
        <w:rPr>
          <w:b w:val="0"/>
          <w:bCs/>
        </w:rPr>
        <w:t xml:space="preserve"> (</w:t>
      </w:r>
      <w:r w:rsidRPr="00686548">
        <w:rPr>
          <w:b w:val="0"/>
          <w:bCs/>
          <w:i/>
          <w:iCs/>
        </w:rPr>
        <w:t>Appointment of Key Sub-contractors</w:t>
      </w:r>
      <w:r w:rsidRPr="00923EB2">
        <w:rPr>
          <w:b w:val="0"/>
          <w:bCs/>
        </w:rPr>
        <w:t>), the Supplier is entitled to sub-contract its obligations under this Contract to the Key Sub-contractors listed in the table below.</w:t>
      </w:r>
    </w:p>
    <w:p w14:paraId="36D21721" w14:textId="69B052E1" w:rsidR="00F67E9E" w:rsidRDefault="00F67E9E" w:rsidP="00F13933">
      <w:pPr>
        <w:pStyle w:val="AppendixText1"/>
        <w:keepNext w:val="0"/>
        <w:numPr>
          <w:ilvl w:val="0"/>
          <w:numId w:val="83"/>
        </w:numPr>
        <w:tabs>
          <w:tab w:val="clear" w:pos="720"/>
          <w:tab w:val="num" w:pos="1080"/>
        </w:tabs>
        <w:rPr>
          <w:b w:val="0"/>
          <w:bCs/>
        </w:rPr>
      </w:pPr>
      <w:r w:rsidRPr="00923EB2">
        <w:rPr>
          <w:b w:val="0"/>
          <w:bCs/>
        </w:rPr>
        <w:t>The Parties agree that they will update this Schedule periodically to record any Key Sub-contractors appointed by the Supplier with the consent of the Authority after the Effective Date for the purposes of the delivery of the Services.</w:t>
      </w:r>
    </w:p>
    <w:p w14:paraId="2C6862B2" w14:textId="3D27781A" w:rsidR="0044723E" w:rsidRPr="0044723E" w:rsidRDefault="0044723E" w:rsidP="0044723E">
      <w:pPr>
        <w:pStyle w:val="StdBodyText1"/>
        <w:ind w:left="0"/>
      </w:pPr>
    </w:p>
    <w:p w14:paraId="1A14AE06" w14:textId="5EC2B315" w:rsidR="00F67E9E" w:rsidRDefault="00BD68CA" w:rsidP="00F67E9E">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2664EB3B" w14:textId="77777777" w:rsidR="00F67E9E" w:rsidRDefault="00F67E9E" w:rsidP="00F67E9E"/>
    <w:p w14:paraId="08A1021D" w14:textId="77777777" w:rsidR="00F67E9E" w:rsidRDefault="00F67E9E" w:rsidP="00F67E9E">
      <w:pPr>
        <w:sectPr w:rsidR="00F67E9E" w:rsidSect="00240D26">
          <w:headerReference w:type="default" r:id="rId102"/>
          <w:footerReference w:type="default" r:id="rId103"/>
          <w:pgSz w:w="11900" w:h="16840" w:code="9"/>
          <w:pgMar w:top="1701" w:right="851" w:bottom="1134" w:left="851" w:header="567" w:footer="567" w:gutter="0"/>
          <w:cols w:space="720"/>
          <w:docGrid w:linePitch="360"/>
        </w:sectPr>
      </w:pPr>
    </w:p>
    <w:p w14:paraId="23DAD78C" w14:textId="77777777" w:rsidR="00F67E9E" w:rsidRPr="007C55B2" w:rsidRDefault="00F67E9E" w:rsidP="00F67E9E">
      <w:pPr>
        <w:pStyle w:val="Dividername"/>
      </w:pPr>
      <w:r w:rsidRPr="007C55B2">
        <w:lastRenderedPageBreak/>
        <w:t>Schedule 11</w:t>
      </w:r>
    </w:p>
    <w:p w14:paraId="1D8BD480" w14:textId="77777777" w:rsidR="00F67E9E" w:rsidRPr="007C55B2" w:rsidRDefault="00F67E9E" w:rsidP="00F67E9E">
      <w:pPr>
        <w:pStyle w:val="Dividername"/>
      </w:pPr>
      <w:r w:rsidRPr="007C55B2">
        <w:t>Third Party Contracts</w:t>
      </w:r>
    </w:p>
    <w:p w14:paraId="186406A6" w14:textId="77777777" w:rsidR="00F67E9E" w:rsidRDefault="00F67E9E" w:rsidP="00F67E9E"/>
    <w:p w14:paraId="505FC11B" w14:textId="77777777" w:rsidR="00F67E9E" w:rsidRPr="005D0525" w:rsidRDefault="00F67E9E" w:rsidP="00F67E9E">
      <w:pPr>
        <w:pStyle w:val="Heading1"/>
      </w:pPr>
      <w:bookmarkStart w:id="628" w:name="Schedule11"/>
      <w:bookmarkStart w:id="629" w:name="_Ref92199924"/>
      <w:bookmarkStart w:id="630" w:name="_Toc145412760"/>
      <w:r w:rsidRPr="005D0525">
        <w:lastRenderedPageBreak/>
        <w:t>Schedule</w:t>
      </w:r>
      <w:r>
        <w:t> </w:t>
      </w:r>
      <w:bookmarkStart w:id="631" w:name="Sch11"/>
      <w:r w:rsidRPr="005D0525">
        <w:t>11</w:t>
      </w:r>
      <w:bookmarkEnd w:id="628"/>
      <w:bookmarkEnd w:id="631"/>
      <w:r>
        <w:t xml:space="preserve">: </w:t>
      </w:r>
      <w:bookmarkStart w:id="632" w:name="Schedule11Heading"/>
      <w:r w:rsidRPr="00F97284">
        <w:t>Third Party Contracts</w:t>
      </w:r>
      <w:bookmarkEnd w:id="629"/>
      <w:bookmarkEnd w:id="630"/>
      <w:bookmarkEnd w:id="632"/>
    </w:p>
    <w:p w14:paraId="0480087F" w14:textId="77777777" w:rsidR="00F67E9E" w:rsidRPr="00621420" w:rsidRDefault="00F67E9E" w:rsidP="00F13933">
      <w:pPr>
        <w:pStyle w:val="Numbered1"/>
        <w:numPr>
          <w:ilvl w:val="0"/>
          <w:numId w:val="36"/>
        </w:numPr>
        <w:tabs>
          <w:tab w:val="clear" w:pos="720"/>
          <w:tab w:val="num" w:pos="1080"/>
        </w:tabs>
        <w:rPr>
          <w:b w:val="0"/>
          <w:bCs w:val="0"/>
          <w:color w:val="auto"/>
        </w:rPr>
      </w:pPr>
      <w:bookmarkStart w:id="633" w:name="_Ref99010764"/>
      <w:r w:rsidRPr="00621420">
        <w:rPr>
          <w:b w:val="0"/>
          <w:bCs w:val="0"/>
          <w:color w:val="auto"/>
        </w:rPr>
        <w:t>The contracts listed in the table below constitute Third Party Contracts entered into exclusively for the purposes of delivering the Services.</w:t>
      </w:r>
      <w:bookmarkEnd w:id="633"/>
    </w:p>
    <w:p w14:paraId="3ED2A1E4" w14:textId="04332905" w:rsidR="00F67E9E" w:rsidRDefault="00F67E9E" w:rsidP="00F13933">
      <w:pPr>
        <w:pStyle w:val="Numbered1"/>
        <w:numPr>
          <w:ilvl w:val="0"/>
          <w:numId w:val="36"/>
        </w:numPr>
        <w:tabs>
          <w:tab w:val="clear" w:pos="720"/>
          <w:tab w:val="num" w:pos="1080"/>
        </w:tabs>
        <w:rPr>
          <w:b w:val="0"/>
          <w:bCs w:val="0"/>
          <w:color w:val="auto"/>
        </w:rPr>
      </w:pPr>
      <w:r w:rsidRPr="00621420">
        <w:rPr>
          <w:b w:val="0"/>
          <w:bCs w:val="0"/>
          <w:color w:val="auto"/>
        </w:rPr>
        <w:t xml:space="preserve">The Supplier shall be entitled to update this Schedule in accordance with </w:t>
      </w:r>
      <w:bookmarkStart w:id="634" w:name="_9kMHG5YVtCIAFJCBGLkUmMXywxuEGFABL9EP7uu"/>
      <w:r w:rsidRPr="00621420">
        <w:rPr>
          <w:b w:val="0"/>
          <w:bCs w:val="0"/>
          <w:color w:val="auto"/>
        </w:rPr>
        <w:t>Clause 15.5</w:t>
      </w:r>
      <w:bookmarkEnd w:id="634"/>
      <w:r w:rsidRPr="00621420">
        <w:rPr>
          <w:b w:val="0"/>
          <w:bCs w:val="0"/>
          <w:color w:val="auto"/>
        </w:rPr>
        <w:t xml:space="preserve"> (</w:t>
      </w:r>
      <w:r w:rsidRPr="008F1C4B">
        <w:rPr>
          <w:b w:val="0"/>
          <w:bCs w:val="0"/>
          <w:i/>
          <w:color w:val="auto"/>
        </w:rPr>
        <w:t>Appointment of Sub-contractors</w:t>
      </w:r>
      <w:r w:rsidRPr="00621420">
        <w:rPr>
          <w:b w:val="0"/>
          <w:bCs w:val="0"/>
          <w:color w:val="auto"/>
        </w:rPr>
        <w:t>).</w:t>
      </w:r>
    </w:p>
    <w:p w14:paraId="39B962C8" w14:textId="583D42DB" w:rsidR="0044723E" w:rsidRPr="003604EE" w:rsidRDefault="0044723E" w:rsidP="0044723E">
      <w:pPr>
        <w:pStyle w:val="Numbered1"/>
        <w:numPr>
          <w:ilvl w:val="0"/>
          <w:numId w:val="0"/>
        </w:numPr>
        <w:ind w:left="720"/>
        <w:rPr>
          <w:b w:val="0"/>
          <w:bCs w:val="0"/>
          <w:color w:val="000000" w:themeColor="text1"/>
        </w:rPr>
      </w:pPr>
    </w:p>
    <w:p w14:paraId="78C731A8" w14:textId="1719370C" w:rsidR="00F67E9E" w:rsidRPr="005657AE" w:rsidRDefault="00BD68CA" w:rsidP="00F67E9E">
      <w:pPr>
        <w:rPr>
          <w:szCs w:val="24"/>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0CC90015" w14:textId="77777777" w:rsidR="00F67E9E" w:rsidRDefault="00F67E9E" w:rsidP="00F67E9E"/>
    <w:p w14:paraId="1614D776" w14:textId="77777777" w:rsidR="00F67E9E" w:rsidRDefault="00F67E9E" w:rsidP="00F67E9E"/>
    <w:p w14:paraId="389A7554" w14:textId="77777777" w:rsidR="00F67E9E" w:rsidRDefault="00F67E9E" w:rsidP="00F67E9E">
      <w:pPr>
        <w:sectPr w:rsidR="00F67E9E" w:rsidSect="00240D26">
          <w:headerReference w:type="default" r:id="rId104"/>
          <w:footerReference w:type="default" r:id="rId105"/>
          <w:pgSz w:w="11900" w:h="16840" w:code="9"/>
          <w:pgMar w:top="1701" w:right="851" w:bottom="1134" w:left="851" w:header="567" w:footer="567" w:gutter="0"/>
          <w:cols w:space="720"/>
          <w:docGrid w:linePitch="360"/>
        </w:sectPr>
      </w:pPr>
    </w:p>
    <w:p w14:paraId="1893D87B" w14:textId="77777777" w:rsidR="00F67E9E" w:rsidRPr="00174F30" w:rsidRDefault="00F67E9E" w:rsidP="00F67E9E">
      <w:pPr>
        <w:pStyle w:val="Dividername"/>
      </w:pPr>
      <w:r w:rsidRPr="00174F30">
        <w:lastRenderedPageBreak/>
        <w:t>Schedule 12</w:t>
      </w:r>
    </w:p>
    <w:p w14:paraId="7AE4ACAA" w14:textId="77777777" w:rsidR="00F67E9E" w:rsidRPr="00174F30" w:rsidRDefault="00F67E9E" w:rsidP="00F67E9E">
      <w:pPr>
        <w:pStyle w:val="Dividername"/>
      </w:pPr>
      <w:r w:rsidRPr="00174F30">
        <w:t>Software</w:t>
      </w:r>
    </w:p>
    <w:p w14:paraId="31C0E8A0" w14:textId="77777777" w:rsidR="00F67E9E" w:rsidRDefault="00F67E9E" w:rsidP="00F67E9E"/>
    <w:p w14:paraId="50A90722" w14:textId="77777777" w:rsidR="00F67E9E" w:rsidRDefault="00F67E9E" w:rsidP="00F67E9E"/>
    <w:p w14:paraId="7F83885A" w14:textId="77777777" w:rsidR="00F67E9E" w:rsidRPr="00413E59" w:rsidRDefault="00F67E9E" w:rsidP="00F67E9E"/>
    <w:p w14:paraId="7412DF33" w14:textId="77777777" w:rsidR="00F67E9E" w:rsidRPr="00413E59" w:rsidRDefault="00F67E9E" w:rsidP="00F67E9E">
      <w:pPr>
        <w:sectPr w:rsidR="00F67E9E" w:rsidRPr="00413E59" w:rsidSect="00240D26">
          <w:headerReference w:type="default" r:id="rId106"/>
          <w:footerReference w:type="default" r:id="rId107"/>
          <w:pgSz w:w="11900" w:h="16840" w:code="9"/>
          <w:pgMar w:top="1701" w:right="851" w:bottom="1134" w:left="851" w:header="567" w:footer="567" w:gutter="0"/>
          <w:cols w:space="720"/>
          <w:docGrid w:linePitch="360"/>
        </w:sectPr>
      </w:pPr>
    </w:p>
    <w:p w14:paraId="1309A722" w14:textId="77777777" w:rsidR="00F67E9E" w:rsidRPr="005D0525" w:rsidRDefault="00F67E9E" w:rsidP="00F67E9E">
      <w:pPr>
        <w:pStyle w:val="Heading1"/>
      </w:pPr>
      <w:bookmarkStart w:id="635" w:name="Schedule12"/>
      <w:bookmarkStart w:id="636" w:name="_Ref92199932"/>
      <w:bookmarkStart w:id="637" w:name="_Toc145412761"/>
      <w:r w:rsidRPr="005D0525">
        <w:lastRenderedPageBreak/>
        <w:t>Schedule</w:t>
      </w:r>
      <w:r>
        <w:t> </w:t>
      </w:r>
      <w:r w:rsidRPr="005D0525">
        <w:t>12</w:t>
      </w:r>
      <w:bookmarkEnd w:id="635"/>
      <w:r>
        <w:t xml:space="preserve">: </w:t>
      </w:r>
      <w:bookmarkStart w:id="638" w:name="Schedule12Heading"/>
      <w:r w:rsidRPr="005F1047">
        <w:t>Software</w:t>
      </w:r>
      <w:bookmarkEnd w:id="636"/>
      <w:bookmarkEnd w:id="637"/>
      <w:bookmarkEnd w:id="638"/>
    </w:p>
    <w:p w14:paraId="7D5247C2" w14:textId="083665C7" w:rsidR="001A79F2" w:rsidRDefault="001A79F2" w:rsidP="001A79F2">
      <w:pPr>
        <w:pStyle w:val="Numbered1"/>
        <w:numPr>
          <w:ilvl w:val="0"/>
          <w:numId w:val="0"/>
        </w:numPr>
      </w:pPr>
    </w:p>
    <w:p w14:paraId="745D83B6" w14:textId="2DAA6786" w:rsidR="00F67E9E" w:rsidRPr="00560BA2" w:rsidRDefault="00F67E9E" w:rsidP="00F13933">
      <w:pPr>
        <w:pStyle w:val="Numbered1"/>
        <w:numPr>
          <w:ilvl w:val="0"/>
          <w:numId w:val="85"/>
        </w:numPr>
      </w:pPr>
      <w:r w:rsidRPr="00560BA2">
        <w:t xml:space="preserve">The </w:t>
      </w:r>
      <w:r w:rsidRPr="00820382">
        <w:t>Software</w:t>
      </w:r>
    </w:p>
    <w:p w14:paraId="4292DE72" w14:textId="416877BE" w:rsidR="00F67E9E" w:rsidRPr="00560BA2" w:rsidRDefault="00F67E9E" w:rsidP="00F67E9E">
      <w:pPr>
        <w:pStyle w:val="Numbered11"/>
        <w:tabs>
          <w:tab w:val="clear" w:pos="720"/>
          <w:tab w:val="num" w:pos="1080"/>
        </w:tabs>
      </w:pPr>
      <w:r w:rsidRPr="00560BA2">
        <w:t xml:space="preserve">The Software below is licensed to the Authority in accordance with </w:t>
      </w:r>
      <w:bookmarkStart w:id="639" w:name="_9kMIH5YVtCIA6EMQo2u5uINXK2vzz6H24KQPC74"/>
      <w:r w:rsidRPr="00560BA2">
        <w:t>Clause 16</w:t>
      </w:r>
      <w:bookmarkEnd w:id="639"/>
      <w:r w:rsidRPr="00560BA2">
        <w:t xml:space="preserve"> (</w:t>
      </w:r>
      <w:r w:rsidRPr="008F1C4B">
        <w:rPr>
          <w:i/>
        </w:rPr>
        <w:t>Intellectual Property Rights</w:t>
      </w:r>
      <w:r w:rsidRPr="00560BA2">
        <w:t xml:space="preserve">) and </w:t>
      </w:r>
      <w:r>
        <w:rPr>
          <w:rFonts w:cs="Arial"/>
        </w:rPr>
        <w:fldChar w:fldCharType="begin"/>
      </w:r>
      <w:r>
        <w:rPr>
          <w:rFonts w:cs="Arial"/>
        </w:rPr>
        <w:instrText xml:space="preserve"> REF Schedule32 \h </w:instrText>
      </w:r>
      <w:r>
        <w:rPr>
          <w:rFonts w:cs="Arial"/>
        </w:rPr>
      </w:r>
      <w:r>
        <w:rPr>
          <w:rFonts w:cs="Arial"/>
        </w:rPr>
        <w:fldChar w:fldCharType="separate"/>
      </w:r>
      <w:r w:rsidR="007A1473" w:rsidRPr="00477926">
        <w:t>Schedule</w:t>
      </w:r>
      <w:r w:rsidR="007A1473">
        <w:t> </w:t>
      </w:r>
      <w:r w:rsidR="007A1473" w:rsidRPr="00477926">
        <w:t>32</w:t>
      </w:r>
      <w:r>
        <w:rPr>
          <w:rFonts w:cs="Arial"/>
        </w:rPr>
        <w:fldChar w:fldCharType="end"/>
      </w:r>
      <w:r w:rsidRPr="008D6A63">
        <w:rPr>
          <w:rStyle w:val="StdBodyTextBoldChar"/>
          <w:rFonts w:eastAsiaTheme="majorEastAsia" w:cs="Arial"/>
          <w:b w:val="0"/>
          <w:bCs/>
          <w:lang w:eastAsia="en-US"/>
        </w:rPr>
        <w:t xml:space="preserve"> (</w:t>
      </w:r>
      <w:r w:rsidRPr="00DD03F1">
        <w:rPr>
          <w:rStyle w:val="StdBodyTextBoldChar"/>
          <w:rFonts w:eastAsiaTheme="majorEastAsia" w:cs="Arial"/>
          <w:b w:val="0"/>
          <w:bCs/>
          <w:i/>
          <w:iCs/>
          <w:lang w:eastAsia="en-US"/>
        </w:rPr>
        <w:fldChar w:fldCharType="begin"/>
      </w:r>
      <w:r w:rsidRPr="00DD03F1">
        <w:rPr>
          <w:rStyle w:val="StdBodyTextBoldChar"/>
          <w:rFonts w:eastAsiaTheme="majorEastAsia" w:cs="Arial"/>
          <w:b w:val="0"/>
          <w:bCs/>
          <w:i/>
          <w:iCs/>
          <w:lang w:eastAsia="en-US"/>
        </w:rPr>
        <w:instrText xml:space="preserve"> REF Schedule32Heading \h </w:instrText>
      </w:r>
      <w:r>
        <w:rPr>
          <w:rStyle w:val="StdBodyTextBoldChar"/>
          <w:rFonts w:eastAsiaTheme="majorEastAsia" w:cs="Arial"/>
          <w:b w:val="0"/>
          <w:bCs/>
          <w:i/>
          <w:iCs/>
          <w:lang w:eastAsia="en-US"/>
        </w:rPr>
        <w:instrText xml:space="preserve"> \* MERGEFORMAT </w:instrText>
      </w:r>
      <w:r w:rsidRPr="00DD03F1">
        <w:rPr>
          <w:rStyle w:val="StdBodyTextBoldChar"/>
          <w:rFonts w:eastAsiaTheme="majorEastAsia" w:cs="Arial"/>
          <w:b w:val="0"/>
          <w:bCs/>
          <w:i/>
          <w:iCs/>
          <w:lang w:eastAsia="en-US"/>
        </w:rPr>
      </w:r>
      <w:r w:rsidRPr="00DD03F1">
        <w:rPr>
          <w:rStyle w:val="StdBodyTextBoldChar"/>
          <w:rFonts w:eastAsiaTheme="majorEastAsia" w:cs="Arial"/>
          <w:b w:val="0"/>
          <w:bCs/>
          <w:i/>
          <w:iCs/>
          <w:lang w:eastAsia="en-US"/>
        </w:rPr>
        <w:fldChar w:fldCharType="separate"/>
      </w:r>
      <w:r w:rsidR="007A1473" w:rsidRPr="007A1473">
        <w:rPr>
          <w:i/>
          <w:iCs/>
        </w:rPr>
        <w:t>Intellectual Property Rights</w:t>
      </w:r>
      <w:r w:rsidRPr="00DD03F1">
        <w:rPr>
          <w:rStyle w:val="StdBodyTextBoldChar"/>
          <w:rFonts w:eastAsiaTheme="majorEastAsia" w:cs="Arial"/>
          <w:b w:val="0"/>
          <w:bCs/>
          <w:i/>
          <w:iCs/>
          <w:lang w:eastAsia="en-US"/>
        </w:rPr>
        <w:fldChar w:fldCharType="end"/>
      </w:r>
      <w:r w:rsidRPr="008D6A63">
        <w:rPr>
          <w:rStyle w:val="StdBodyTextBoldChar"/>
          <w:rFonts w:eastAsiaTheme="majorEastAsia" w:cs="Arial"/>
          <w:b w:val="0"/>
          <w:bCs/>
          <w:lang w:eastAsia="en-US"/>
        </w:rPr>
        <w:t>)</w:t>
      </w:r>
      <w:r w:rsidRPr="00752B31">
        <w:t>.</w:t>
      </w:r>
    </w:p>
    <w:p w14:paraId="176C82AC" w14:textId="77777777" w:rsidR="00F67E9E" w:rsidRPr="00560BA2" w:rsidRDefault="00F67E9E" w:rsidP="00F67E9E">
      <w:pPr>
        <w:pStyle w:val="Numbered11"/>
        <w:tabs>
          <w:tab w:val="clear" w:pos="720"/>
          <w:tab w:val="num" w:pos="1080"/>
        </w:tabs>
      </w:pPr>
      <w:r w:rsidRPr="00560BA2">
        <w:t>The Parties agree that they will update this Schedule regularly, and in any event no less than every 6 (six) Months from the Effective Date, to record any Supplier Software or Third Party Software subsequently licensed by the Supplier or third parties for the purposes of the delivery of the Services.</w:t>
      </w:r>
    </w:p>
    <w:p w14:paraId="38DDD05C" w14:textId="77777777" w:rsidR="00F67E9E" w:rsidRPr="00413E59" w:rsidRDefault="00F67E9E" w:rsidP="00F67E9E">
      <w:pPr>
        <w:pStyle w:val="Numbered1"/>
      </w:pPr>
      <w:r w:rsidRPr="00413E59">
        <w:t xml:space="preserve">Supplier </w:t>
      </w:r>
      <w:r w:rsidRPr="00820382">
        <w:t>Software</w:t>
      </w:r>
    </w:p>
    <w:p w14:paraId="308F2507" w14:textId="77777777" w:rsidR="00F67E9E" w:rsidRPr="00413E59" w:rsidRDefault="00F67E9E" w:rsidP="00F67E9E">
      <w:pPr>
        <w:pStyle w:val="Numbered11"/>
        <w:tabs>
          <w:tab w:val="clear" w:pos="720"/>
          <w:tab w:val="num" w:pos="1080"/>
        </w:tabs>
      </w:pPr>
      <w:r w:rsidRPr="00413E59">
        <w:t>The Supplier Software includes the following items:</w:t>
      </w:r>
    </w:p>
    <w:p w14:paraId="283CF57E" w14:textId="576DAF35" w:rsidR="00F67E9E" w:rsidRDefault="00BD68CA" w:rsidP="00F67E9E">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45A2B44C" w14:textId="77777777" w:rsidR="00F67E9E" w:rsidRPr="00413E59" w:rsidRDefault="00F67E9E" w:rsidP="00F67E9E">
      <w:pPr>
        <w:pStyle w:val="Numbered1"/>
      </w:pPr>
      <w:r w:rsidRPr="00413E59">
        <w:t xml:space="preserve">Third Party </w:t>
      </w:r>
      <w:r w:rsidRPr="00820382">
        <w:t>Software</w:t>
      </w:r>
    </w:p>
    <w:p w14:paraId="0DEB9311" w14:textId="77777777" w:rsidR="00F67E9E" w:rsidRPr="00413E59" w:rsidRDefault="00F67E9E" w:rsidP="00F67E9E">
      <w:pPr>
        <w:pStyle w:val="Numbered11"/>
        <w:tabs>
          <w:tab w:val="clear" w:pos="720"/>
          <w:tab w:val="num" w:pos="1080"/>
        </w:tabs>
      </w:pPr>
      <w:r w:rsidRPr="00413E59">
        <w:t>The Third Party Software shall include the following items:</w:t>
      </w:r>
    </w:p>
    <w:p w14:paraId="48362CA6" w14:textId="4031638F" w:rsidR="00F67E9E" w:rsidRDefault="00BD68CA" w:rsidP="00F67E9E">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615BA7E8" w14:textId="77777777" w:rsidR="00F67E9E" w:rsidRDefault="00F67E9E" w:rsidP="00F67E9E"/>
    <w:p w14:paraId="449FA487" w14:textId="0A9E85B3" w:rsidR="00210D95" w:rsidRPr="00210D95" w:rsidRDefault="00210D95" w:rsidP="00210D95">
      <w:pPr>
        <w:ind w:left="720" w:hanging="720"/>
        <w:rPr>
          <w:rFonts w:asciiTheme="minorHAnsi" w:hAnsiTheme="minorHAnsi" w:cstheme="minorHAnsi"/>
          <w:szCs w:val="24"/>
        </w:rPr>
      </w:pPr>
    </w:p>
    <w:p w14:paraId="6771F974" w14:textId="77777777" w:rsidR="00210D95" w:rsidRDefault="00210D95" w:rsidP="00210D95">
      <w:pPr>
        <w:rPr>
          <w:rFonts w:ascii="Open Sans" w:hAnsi="Open Sans" w:cs="Open Sans"/>
          <w:sz w:val="19"/>
          <w:szCs w:val="19"/>
        </w:rPr>
      </w:pPr>
    </w:p>
    <w:p w14:paraId="49047F75" w14:textId="0D6EA572" w:rsidR="00C07075" w:rsidRDefault="00C07075" w:rsidP="00F67E9E"/>
    <w:p w14:paraId="68CDC3A1" w14:textId="5C90CD29" w:rsidR="00C07075" w:rsidRDefault="00C07075" w:rsidP="00F67E9E"/>
    <w:p w14:paraId="246648D7" w14:textId="77777777" w:rsidR="00C07075" w:rsidRPr="00413E59" w:rsidRDefault="00C07075" w:rsidP="00F67E9E">
      <w:pPr>
        <w:sectPr w:rsidR="00C07075" w:rsidRPr="00413E59" w:rsidSect="00240D26">
          <w:footerReference w:type="default" r:id="rId108"/>
          <w:footerReference w:type="first" r:id="rId109"/>
          <w:pgSz w:w="16834" w:h="11909" w:orient="landscape" w:code="9"/>
          <w:pgMar w:top="1701" w:right="851" w:bottom="1134" w:left="851" w:header="567" w:footer="567" w:gutter="0"/>
          <w:cols w:space="720"/>
          <w:docGrid w:linePitch="326"/>
        </w:sectPr>
      </w:pPr>
    </w:p>
    <w:p w14:paraId="42A849B3" w14:textId="77777777" w:rsidR="00F67E9E" w:rsidRPr="00477926" w:rsidRDefault="00F67E9E" w:rsidP="00F67E9E">
      <w:pPr>
        <w:pStyle w:val="Heading2"/>
        <w:pageBreakBefore/>
      </w:pPr>
      <w:bookmarkStart w:id="640" w:name="Annex1toschedule12"/>
      <w:bookmarkStart w:id="641" w:name="_Ref92205977"/>
      <w:bookmarkStart w:id="642" w:name="_Toc145412762"/>
      <w:r w:rsidRPr="00477926">
        <w:lastRenderedPageBreak/>
        <w:t xml:space="preserve">Annex </w:t>
      </w:r>
      <w:r>
        <w:t>1</w:t>
      </w:r>
      <w:bookmarkEnd w:id="640"/>
      <w:r w:rsidRPr="00477926">
        <w:t>: Form Of Confidentiality Undertaking</w:t>
      </w:r>
      <w:bookmarkEnd w:id="641"/>
      <w:bookmarkEnd w:id="642"/>
    </w:p>
    <w:p w14:paraId="4D202BCC" w14:textId="77777777" w:rsidR="00F67E9E" w:rsidRPr="00560BA2" w:rsidRDefault="00F67E9E" w:rsidP="00F67E9E"/>
    <w:p w14:paraId="663D0DCB" w14:textId="77777777" w:rsidR="00F67E9E" w:rsidRPr="00560BA2" w:rsidRDefault="00F67E9E" w:rsidP="00F67E9E">
      <w:pPr>
        <w:pStyle w:val="BlankDocumentTitle"/>
        <w:rPr>
          <w:rFonts w:cs="Arial"/>
        </w:rPr>
      </w:pPr>
      <w:r w:rsidRPr="00560BA2">
        <w:rPr>
          <w:rFonts w:cs="Arial"/>
        </w:rPr>
        <w:t>CONFIDENTIALITY AGREEMENT</w:t>
      </w:r>
    </w:p>
    <w:p w14:paraId="4F471909" w14:textId="77777777" w:rsidR="00F67E9E" w:rsidRPr="00413E59" w:rsidRDefault="00F67E9E" w:rsidP="00F67E9E">
      <w:pPr>
        <w:pStyle w:val="StdBodyText"/>
        <w:rPr>
          <w:rFonts w:cs="Arial"/>
        </w:rPr>
      </w:pPr>
      <w:r w:rsidRPr="00560BA2">
        <w:rPr>
          <w:rStyle w:val="StdBodyTextBoldChar"/>
          <w:rFonts w:cs="Arial"/>
        </w:rPr>
        <w:t>THIS AGREEMENT</w:t>
      </w:r>
      <w:r w:rsidRPr="00413E59">
        <w:rPr>
          <w:rFonts w:cs="Arial"/>
        </w:rPr>
        <w:t xml:space="preserve"> is made on </w:t>
      </w:r>
      <w:r w:rsidRPr="00413E59">
        <w:rPr>
          <w:rFonts w:cs="Arial"/>
          <w:highlight w:val="yellow"/>
        </w:rPr>
        <w:t>[</w:t>
      </w:r>
      <w:r w:rsidRPr="00A32BBA">
        <w:rPr>
          <w:rStyle w:val="StdBodyTextBoldChar"/>
          <w:rFonts w:cs="Arial"/>
          <w:b w:val="0"/>
          <w:bCs/>
          <w:iCs/>
          <w:highlight w:val="yellow"/>
        </w:rPr>
        <w:t>date</w:t>
      </w:r>
      <w:r w:rsidRPr="00413E59">
        <w:rPr>
          <w:rFonts w:cs="Arial"/>
          <w:highlight w:val="yellow"/>
        </w:rPr>
        <w:t>]</w:t>
      </w:r>
    </w:p>
    <w:p w14:paraId="75984482" w14:textId="77777777" w:rsidR="00F67E9E" w:rsidRPr="00413E59" w:rsidRDefault="00F67E9E" w:rsidP="00F67E9E">
      <w:pPr>
        <w:pStyle w:val="StdBodyTextBold"/>
        <w:rPr>
          <w:rFonts w:cs="Arial"/>
        </w:rPr>
      </w:pPr>
      <w:r w:rsidRPr="00413E59">
        <w:rPr>
          <w:rFonts w:cs="Arial"/>
        </w:rPr>
        <w:t>BETWEEN:</w:t>
      </w:r>
    </w:p>
    <w:p w14:paraId="6D89320D" w14:textId="77777777" w:rsidR="00F67E9E" w:rsidRPr="005F1047" w:rsidRDefault="00F67E9E" w:rsidP="00F67E9E">
      <w:pPr>
        <w:pStyle w:val="PartiesBodyText"/>
        <w:tabs>
          <w:tab w:val="clear" w:pos="720"/>
          <w:tab w:val="num" w:pos="1080"/>
        </w:tabs>
      </w:pPr>
      <w:r w:rsidRPr="00B73DD6">
        <w:rPr>
          <w:rStyle w:val="StdBodyTextBoldChar"/>
          <w:rFonts w:cs="Arial"/>
          <w:highlight w:val="yellow"/>
        </w:rPr>
        <w:t>[insert</w:t>
      </w:r>
      <w:r w:rsidRPr="00A32BBA">
        <w:rPr>
          <w:rStyle w:val="StdBodyTextBoldChar"/>
          <w:rFonts w:cs="Arial"/>
          <w:b w:val="0"/>
          <w:bCs/>
          <w:highlight w:val="yellow"/>
        </w:rPr>
        <w:t xml:space="preserve"> name]</w:t>
      </w:r>
      <w:r w:rsidRPr="005F1047">
        <w:t xml:space="preserve"> of </w:t>
      </w:r>
      <w:r w:rsidRPr="00B73DD6">
        <w:rPr>
          <w:b/>
          <w:bCs/>
          <w:highlight w:val="yellow"/>
        </w:rPr>
        <w:t>[insert</w:t>
      </w:r>
      <w:r w:rsidRPr="005F1047">
        <w:rPr>
          <w:highlight w:val="yellow"/>
        </w:rPr>
        <w:t xml:space="preserve"> address]</w:t>
      </w:r>
      <w:r w:rsidRPr="005F1047">
        <w:t xml:space="preserve"> (the “</w:t>
      </w:r>
      <w:r w:rsidRPr="005F1047">
        <w:rPr>
          <w:rStyle w:val="StdBodyTextBoldChar"/>
          <w:rFonts w:cs="Arial"/>
        </w:rPr>
        <w:t>Sub-licensee</w:t>
      </w:r>
      <w:r w:rsidRPr="005F1047">
        <w:t>”); and</w:t>
      </w:r>
    </w:p>
    <w:p w14:paraId="4351FC42" w14:textId="77777777" w:rsidR="00F67E9E" w:rsidRPr="00413E59" w:rsidRDefault="00F67E9E" w:rsidP="00F67E9E">
      <w:pPr>
        <w:pStyle w:val="PartiesBodyText"/>
        <w:tabs>
          <w:tab w:val="clear" w:pos="720"/>
          <w:tab w:val="num" w:pos="1080"/>
        </w:tabs>
        <w:rPr>
          <w:rFonts w:cs="Arial"/>
        </w:rPr>
      </w:pPr>
      <w:r w:rsidRPr="00B73DD6">
        <w:rPr>
          <w:rStyle w:val="StdBodyTextBoldChar"/>
          <w:rFonts w:cs="Arial"/>
          <w:highlight w:val="yellow"/>
        </w:rPr>
        <w:t>[insert</w:t>
      </w:r>
      <w:r w:rsidRPr="00A32BBA">
        <w:rPr>
          <w:rStyle w:val="StdBodyTextBoldChar"/>
          <w:rFonts w:cs="Arial"/>
          <w:b w:val="0"/>
          <w:bCs/>
          <w:highlight w:val="yellow"/>
        </w:rPr>
        <w:t xml:space="preserve"> name]</w:t>
      </w:r>
      <w:r w:rsidRPr="00A32BBA">
        <w:rPr>
          <w:rFonts w:cs="Arial"/>
          <w:b/>
          <w:bCs/>
        </w:rPr>
        <w:t xml:space="preserve"> </w:t>
      </w:r>
      <w:r w:rsidRPr="005F1047">
        <w:rPr>
          <w:rFonts w:cs="Arial"/>
        </w:rPr>
        <w:t xml:space="preserve">of </w:t>
      </w:r>
      <w:r w:rsidRPr="00B73DD6">
        <w:rPr>
          <w:rFonts w:cs="Arial"/>
          <w:b/>
          <w:bCs/>
          <w:highlight w:val="yellow"/>
        </w:rPr>
        <w:t>[insert</w:t>
      </w:r>
      <w:r w:rsidRPr="005F1047">
        <w:rPr>
          <w:rFonts w:cs="Arial"/>
          <w:highlight w:val="yellow"/>
        </w:rPr>
        <w:t xml:space="preserve"> address]</w:t>
      </w:r>
      <w:r w:rsidRPr="005F1047">
        <w:rPr>
          <w:rFonts w:cs="Arial"/>
        </w:rPr>
        <w:t xml:space="preserve"> (the “</w:t>
      </w:r>
      <w:r w:rsidRPr="005F1047">
        <w:rPr>
          <w:rStyle w:val="StdBodyTextBoldChar"/>
          <w:rFonts w:cs="Arial"/>
        </w:rPr>
        <w:t>Supplier</w:t>
      </w:r>
      <w:r w:rsidRPr="005F1047">
        <w:rPr>
          <w:rFonts w:cs="Arial"/>
        </w:rPr>
        <w:t>” and together with the Supplier, the</w:t>
      </w:r>
      <w:r w:rsidRPr="00413E59">
        <w:rPr>
          <w:rFonts w:cs="Arial"/>
        </w:rPr>
        <w:t xml:space="preserve"> </w:t>
      </w:r>
      <w:r>
        <w:rPr>
          <w:rFonts w:cs="Arial"/>
        </w:rPr>
        <w:t>“</w:t>
      </w:r>
      <w:r w:rsidRPr="00413E59">
        <w:rPr>
          <w:rStyle w:val="StdBodyTextBoldChar"/>
          <w:rFonts w:cs="Arial"/>
        </w:rPr>
        <w:t>Parties</w:t>
      </w:r>
      <w:r>
        <w:rPr>
          <w:rFonts w:cs="Arial"/>
        </w:rPr>
        <w:t>”</w:t>
      </w:r>
      <w:r w:rsidRPr="00413E59">
        <w:rPr>
          <w:rFonts w:cs="Arial"/>
        </w:rPr>
        <w:t>).</w:t>
      </w:r>
    </w:p>
    <w:p w14:paraId="3B473A3B" w14:textId="77777777" w:rsidR="00F67E9E" w:rsidRPr="00413E59" w:rsidRDefault="00F67E9E" w:rsidP="00F67E9E">
      <w:pPr>
        <w:pStyle w:val="StdBodyTextBold"/>
        <w:rPr>
          <w:rFonts w:cs="Arial"/>
        </w:rPr>
      </w:pPr>
      <w:r w:rsidRPr="00413E59">
        <w:rPr>
          <w:rFonts w:cs="Arial"/>
        </w:rPr>
        <w:t>WHEREAS:</w:t>
      </w:r>
    </w:p>
    <w:p w14:paraId="3691C380" w14:textId="77777777" w:rsidR="00F67E9E" w:rsidRPr="005F1047" w:rsidRDefault="00F67E9E" w:rsidP="00F67E9E">
      <w:pPr>
        <w:spacing w:before="100" w:after="200"/>
        <w:ind w:left="720" w:hanging="720"/>
        <w:rPr>
          <w:rFonts w:cs="Arial"/>
        </w:rPr>
      </w:pPr>
      <w:r w:rsidRPr="00752B31">
        <w:rPr>
          <w:rFonts w:cs="Arial"/>
        </w:rPr>
        <w:t>(A)</w:t>
      </w:r>
      <w:r w:rsidRPr="00752B31">
        <w:rPr>
          <w:rFonts w:cs="Arial"/>
        </w:rPr>
        <w:tab/>
      </w:r>
      <w:r w:rsidRPr="00B73DD6">
        <w:rPr>
          <w:rFonts w:cs="Arial"/>
          <w:b/>
          <w:bCs/>
          <w:highlight w:val="yellow"/>
        </w:rPr>
        <w:t>[insert</w:t>
      </w:r>
      <w:r w:rsidRPr="005F1047">
        <w:rPr>
          <w:rFonts w:cs="Arial"/>
          <w:iCs/>
          <w:highlight w:val="yellow"/>
        </w:rPr>
        <w:t xml:space="preserve"> name of Authority</w:t>
      </w:r>
      <w:r w:rsidRPr="00413E59">
        <w:rPr>
          <w:rFonts w:cs="Arial"/>
          <w:highlight w:val="yellow"/>
        </w:rPr>
        <w:t>]</w:t>
      </w:r>
      <w:r w:rsidRPr="00413E59">
        <w:rPr>
          <w:rFonts w:cs="Arial"/>
        </w:rPr>
        <w:t xml:space="preserve"> (the </w:t>
      </w:r>
      <w:r>
        <w:rPr>
          <w:rFonts w:cs="Arial"/>
        </w:rPr>
        <w:t>“</w:t>
      </w:r>
      <w:r w:rsidRPr="00413E59">
        <w:rPr>
          <w:rStyle w:val="StdBodyTextBoldChar"/>
          <w:rFonts w:eastAsiaTheme="minorHAnsi" w:cs="Arial"/>
        </w:rPr>
        <w:t>Authority</w:t>
      </w:r>
      <w:r>
        <w:rPr>
          <w:rFonts w:cs="Arial"/>
        </w:rPr>
        <w:t>”</w:t>
      </w:r>
      <w:r w:rsidRPr="00413E59">
        <w:rPr>
          <w:rFonts w:cs="Arial"/>
        </w:rPr>
        <w:t xml:space="preserve">) and the Supplier are party to a </w:t>
      </w:r>
      <w:r w:rsidRPr="00560BA2">
        <w:rPr>
          <w:rFonts w:cs="Arial"/>
        </w:rPr>
        <w:t>contract</w:t>
      </w:r>
      <w:r w:rsidRPr="00413E59">
        <w:rPr>
          <w:rFonts w:cs="Arial"/>
        </w:rPr>
        <w:t xml:space="preserve"> dated </w:t>
      </w:r>
      <w:r w:rsidRPr="00B73DD6">
        <w:rPr>
          <w:rFonts w:cs="Arial"/>
          <w:b/>
          <w:bCs/>
          <w:highlight w:val="yellow"/>
        </w:rPr>
        <w:t>[insert</w:t>
      </w:r>
      <w:r w:rsidRPr="005F1047">
        <w:rPr>
          <w:rFonts w:cs="Arial"/>
          <w:highlight w:val="yellow"/>
        </w:rPr>
        <w:t xml:space="preserve"> date]</w:t>
      </w:r>
      <w:r w:rsidRPr="005F1047">
        <w:rPr>
          <w:rFonts w:cs="Arial"/>
        </w:rPr>
        <w:t xml:space="preserve"> (the “</w:t>
      </w:r>
      <w:r w:rsidRPr="005F1047">
        <w:rPr>
          <w:rStyle w:val="StdBodyTextBoldChar"/>
          <w:rFonts w:eastAsiaTheme="minorHAnsi" w:cs="Arial"/>
        </w:rPr>
        <w:t>Contract</w:t>
      </w:r>
      <w:r w:rsidRPr="005F1047">
        <w:rPr>
          <w:rFonts w:cs="Arial"/>
        </w:rPr>
        <w:t xml:space="preserve">”) for the provision by the Supplier of </w:t>
      </w:r>
      <w:r w:rsidRPr="00B73DD6">
        <w:rPr>
          <w:rFonts w:cs="Arial"/>
          <w:b/>
          <w:highlight w:val="yellow"/>
        </w:rPr>
        <w:t>[insert</w:t>
      </w:r>
      <w:r w:rsidRPr="005F1047">
        <w:rPr>
          <w:rFonts w:cs="Arial"/>
          <w:highlight w:val="yellow"/>
        </w:rPr>
        <w:t xml:space="preserve"> brief description of services]</w:t>
      </w:r>
      <w:r w:rsidRPr="005F1047">
        <w:rPr>
          <w:rFonts w:cs="Arial"/>
        </w:rPr>
        <w:t xml:space="preserve"> to the Authority.</w:t>
      </w:r>
    </w:p>
    <w:p w14:paraId="1105C5B7" w14:textId="77777777" w:rsidR="00F67E9E" w:rsidRPr="00560BA2" w:rsidRDefault="00F67E9E" w:rsidP="00F67E9E">
      <w:pPr>
        <w:spacing w:before="100" w:after="200"/>
        <w:ind w:left="720" w:hanging="720"/>
        <w:rPr>
          <w:rFonts w:cs="Arial"/>
        </w:rPr>
      </w:pPr>
      <w:bookmarkStart w:id="643" w:name="_Ref41994004"/>
      <w:r>
        <w:rPr>
          <w:rFonts w:cs="Arial"/>
        </w:rPr>
        <w:t>(B)</w:t>
      </w:r>
      <w:r>
        <w:rPr>
          <w:rFonts w:cs="Arial"/>
        </w:rPr>
        <w:tab/>
      </w:r>
      <w:r w:rsidRPr="00560BA2">
        <w:rPr>
          <w:rFonts w:cs="Arial"/>
        </w:rPr>
        <w:t xml:space="preserve">The Authority wishes to grant a sub-licence to the Sub-licensee in respect of certain software and intellectual property rights licensed to the Authority pursuant to the Contract (the </w:t>
      </w:r>
      <w:r>
        <w:rPr>
          <w:rFonts w:cs="Arial"/>
        </w:rPr>
        <w:t>“</w:t>
      </w:r>
      <w:r w:rsidRPr="00560BA2">
        <w:rPr>
          <w:rStyle w:val="StdBodyTextBoldChar"/>
          <w:rFonts w:eastAsiaTheme="minorHAnsi" w:cs="Arial"/>
        </w:rPr>
        <w:t>Sub-licence</w:t>
      </w:r>
      <w:r>
        <w:rPr>
          <w:rFonts w:cs="Arial"/>
        </w:rPr>
        <w:t>”</w:t>
      </w:r>
      <w:r w:rsidRPr="00560BA2">
        <w:rPr>
          <w:rFonts w:cs="Arial"/>
        </w:rPr>
        <w:t>).</w:t>
      </w:r>
      <w:bookmarkEnd w:id="643"/>
    </w:p>
    <w:p w14:paraId="257ECA82" w14:textId="77777777" w:rsidR="00F67E9E" w:rsidRPr="00560BA2" w:rsidRDefault="00F67E9E" w:rsidP="00F67E9E">
      <w:pPr>
        <w:spacing w:before="100" w:after="200"/>
        <w:ind w:left="720" w:hanging="720"/>
        <w:rPr>
          <w:rFonts w:cs="Arial"/>
        </w:rPr>
      </w:pPr>
      <w:r>
        <w:rPr>
          <w:rFonts w:cs="Arial"/>
        </w:rPr>
        <w:t>(C)</w:t>
      </w:r>
      <w:r>
        <w:rPr>
          <w:rFonts w:cs="Arial"/>
        </w:rPr>
        <w:tab/>
      </w:r>
      <w:r w:rsidRPr="00560BA2">
        <w:rPr>
          <w:rFonts w:cs="Arial"/>
        </w:rPr>
        <w:t>It is a requirement of the Contract that, before the Authority grants such sub-licence to the Sub-licensee, the Sub-licensee execute a confidentiality agreement in favour of the Supplier in or substantially in the form of this Agreement to protect the Confidential Information of the Supplier.</w:t>
      </w:r>
    </w:p>
    <w:p w14:paraId="0C2BAC94" w14:textId="77777777" w:rsidR="00F67E9E" w:rsidRPr="00560BA2" w:rsidRDefault="00F67E9E" w:rsidP="00F67E9E">
      <w:pPr>
        <w:pStyle w:val="StdBodyTextBold"/>
        <w:rPr>
          <w:rFonts w:cs="Arial"/>
        </w:rPr>
      </w:pPr>
      <w:r w:rsidRPr="00560BA2">
        <w:rPr>
          <w:rFonts w:cs="Arial"/>
        </w:rPr>
        <w:t>IT IS AGREED as follows:</w:t>
      </w:r>
    </w:p>
    <w:p w14:paraId="02886AF5" w14:textId="77777777" w:rsidR="00F67E9E" w:rsidRPr="00560BA2" w:rsidRDefault="00F67E9E" w:rsidP="00F13933">
      <w:pPr>
        <w:pStyle w:val="AppendixText1"/>
        <w:numPr>
          <w:ilvl w:val="0"/>
          <w:numId w:val="37"/>
        </w:numPr>
      </w:pPr>
      <w:r w:rsidRPr="00820382">
        <w:t>Interpretation</w:t>
      </w:r>
    </w:p>
    <w:p w14:paraId="467BED87" w14:textId="77777777" w:rsidR="00F67E9E" w:rsidRPr="00560BA2" w:rsidRDefault="00F67E9E" w:rsidP="00F67E9E">
      <w:pPr>
        <w:pStyle w:val="AppendixText2"/>
      </w:pPr>
      <w:r w:rsidRPr="00560BA2">
        <w:t>In this Agreement, unless the context otherwise requires:</w:t>
      </w:r>
    </w:p>
    <w:tbl>
      <w:tblPr>
        <w:tblStyle w:val="MSAdefinitions"/>
        <w:tblW w:w="9638" w:type="dxa"/>
        <w:tblLook w:val="04A0" w:firstRow="1" w:lastRow="0" w:firstColumn="1" w:lastColumn="0" w:noHBand="0" w:noVBand="1"/>
      </w:tblPr>
      <w:tblGrid>
        <w:gridCol w:w="2835"/>
        <w:gridCol w:w="6803"/>
      </w:tblGrid>
      <w:tr w:rsidR="00F67E9E" w:rsidRPr="00560BA2" w14:paraId="41995679" w14:textId="77777777" w:rsidTr="0052486C">
        <w:tc>
          <w:tcPr>
            <w:tcW w:w="2835" w:type="dxa"/>
          </w:tcPr>
          <w:p w14:paraId="1B543A8D" w14:textId="77777777" w:rsidR="00F67E9E" w:rsidRPr="00560BA2" w:rsidRDefault="00F67E9E" w:rsidP="0052486C">
            <w:pPr>
              <w:pStyle w:val="StdBodyTextBold"/>
              <w:rPr>
                <w:rFonts w:cs="Arial"/>
              </w:rPr>
            </w:pPr>
            <w:r>
              <w:rPr>
                <w:rFonts w:cs="Arial"/>
              </w:rPr>
              <w:t>“</w:t>
            </w:r>
            <w:r w:rsidRPr="00560BA2">
              <w:rPr>
                <w:rFonts w:cs="Arial"/>
              </w:rPr>
              <w:t>Confidential Information</w:t>
            </w:r>
            <w:r>
              <w:rPr>
                <w:rFonts w:cs="Arial"/>
              </w:rPr>
              <w:t>”</w:t>
            </w:r>
          </w:p>
        </w:tc>
        <w:tc>
          <w:tcPr>
            <w:tcW w:w="6803" w:type="dxa"/>
          </w:tcPr>
          <w:p w14:paraId="0956E9ED" w14:textId="77777777" w:rsidR="00F67E9E" w:rsidRPr="00560BA2" w:rsidRDefault="00F67E9E" w:rsidP="0052486C">
            <w:pPr>
              <w:pStyle w:val="StdBodyText"/>
              <w:ind w:left="-60"/>
              <w:rPr>
                <w:rFonts w:cs="Arial"/>
              </w:rPr>
            </w:pPr>
            <w:r w:rsidRPr="00560BA2">
              <w:rPr>
                <w:rFonts w:cs="Arial"/>
              </w:rPr>
              <w:t>means:</w:t>
            </w:r>
          </w:p>
          <w:p w14:paraId="6658CD23" w14:textId="77777777" w:rsidR="00F67E9E" w:rsidRPr="00EE4885" w:rsidRDefault="00F67E9E" w:rsidP="00E1349E">
            <w:pPr>
              <w:pStyle w:val="DefinitionList"/>
              <w:numPr>
                <w:ilvl w:val="0"/>
                <w:numId w:val="176"/>
              </w:numPr>
              <w:rPr>
                <w:rFonts w:cs="Arial"/>
              </w:rPr>
            </w:pPr>
            <w:r w:rsidRPr="00EE4885">
              <w:rPr>
                <w:rFonts w:cs="Arial"/>
              </w:rPr>
              <w:t>Information, including all personal data within the meaning of the Data Protection Act 2018, and however it is conveyed, provided by the Authority to the Sub-licensee pursuant to or in connection with the Sub-licence that relates to:</w:t>
            </w:r>
          </w:p>
          <w:p w14:paraId="77C29FB6" w14:textId="77777777" w:rsidR="00F67E9E" w:rsidRPr="00560BA2" w:rsidRDefault="00F67E9E" w:rsidP="00F13933">
            <w:pPr>
              <w:pStyle w:val="DefinitionListLevel1"/>
              <w:numPr>
                <w:ilvl w:val="1"/>
                <w:numId w:val="78"/>
              </w:numPr>
              <w:ind w:left="1470" w:hanging="810"/>
              <w:rPr>
                <w:rFonts w:cs="Arial"/>
              </w:rPr>
            </w:pPr>
            <w:r w:rsidRPr="00560BA2">
              <w:rPr>
                <w:rFonts w:cs="Arial"/>
              </w:rPr>
              <w:t>the Supplier; or</w:t>
            </w:r>
          </w:p>
          <w:p w14:paraId="00760DD2" w14:textId="77777777" w:rsidR="00F67E9E" w:rsidRPr="00560BA2" w:rsidRDefault="00F67E9E" w:rsidP="00F13933">
            <w:pPr>
              <w:pStyle w:val="DefinitionListLevel1"/>
              <w:numPr>
                <w:ilvl w:val="1"/>
                <w:numId w:val="78"/>
              </w:numPr>
              <w:ind w:left="1470" w:hanging="810"/>
              <w:rPr>
                <w:rFonts w:cs="Arial"/>
              </w:rPr>
            </w:pPr>
            <w:r w:rsidRPr="00560BA2">
              <w:rPr>
                <w:rFonts w:cs="Arial"/>
              </w:rPr>
              <w:t>the operations, business, affairs, developments, intellectual property rights, trade secrets, know-how and/or personnel of the Supplier;</w:t>
            </w:r>
          </w:p>
          <w:p w14:paraId="4BFCD8C7" w14:textId="77777777" w:rsidR="00F67E9E" w:rsidRPr="00560BA2" w:rsidRDefault="00F67E9E" w:rsidP="00E1349E">
            <w:pPr>
              <w:pStyle w:val="DefinitionList"/>
              <w:numPr>
                <w:ilvl w:val="0"/>
                <w:numId w:val="176"/>
              </w:numPr>
              <w:rPr>
                <w:rFonts w:cs="Arial"/>
              </w:rPr>
            </w:pPr>
            <w:r w:rsidRPr="00560BA2">
              <w:rPr>
                <w:rFonts w:cs="Arial"/>
              </w:rPr>
              <w:t xml:space="preserve">the source code and the object code of the software sub-licensed to the Sub-licensee pursuant to the Sub-licence together with build information, relevant design and development information, technical specifications of </w:t>
            </w:r>
            <w:r w:rsidRPr="00560BA2">
              <w:rPr>
                <w:rFonts w:cs="Arial"/>
              </w:rPr>
              <w:lastRenderedPageBreak/>
              <w:t>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Authority pursuant to or in connection with the Sub-licence;</w:t>
            </w:r>
          </w:p>
          <w:p w14:paraId="3E151992" w14:textId="77777777" w:rsidR="00F67E9E" w:rsidRPr="00560BA2" w:rsidRDefault="00F67E9E" w:rsidP="00E1349E">
            <w:pPr>
              <w:pStyle w:val="DefinitionList"/>
              <w:numPr>
                <w:ilvl w:val="0"/>
                <w:numId w:val="176"/>
              </w:numPr>
              <w:rPr>
                <w:rFonts w:cs="Arial"/>
              </w:rPr>
            </w:pPr>
            <w:r w:rsidRPr="00560BA2">
              <w:rPr>
                <w:rFonts w:cs="Arial"/>
              </w:rPr>
              <w:t>other Information provided by the Authority pursuant to this Agreement to the Sub-licensee that is clearly designated as being confidential or equivalent or that ought reasonably to be considered to be confidential which comes (or has come) to the Sub-licensee</w:t>
            </w:r>
            <w:r>
              <w:rPr>
                <w:rFonts w:cs="Arial"/>
              </w:rPr>
              <w:t>’</w:t>
            </w:r>
            <w:r w:rsidRPr="00560BA2">
              <w:rPr>
                <w:rFonts w:cs="Arial"/>
              </w:rPr>
              <w:t>s attention or into the Sub-licensee</w:t>
            </w:r>
            <w:r>
              <w:rPr>
                <w:rFonts w:cs="Arial"/>
              </w:rPr>
              <w:t>’</w:t>
            </w:r>
            <w:r w:rsidRPr="00560BA2">
              <w:rPr>
                <w:rFonts w:cs="Arial"/>
              </w:rPr>
              <w:t>s possession in connection with the Sub-licence; and</w:t>
            </w:r>
          </w:p>
          <w:p w14:paraId="4A82BBB9" w14:textId="77777777" w:rsidR="00F67E9E" w:rsidRPr="00560BA2" w:rsidRDefault="00F67E9E" w:rsidP="00E1349E">
            <w:pPr>
              <w:pStyle w:val="DefinitionList"/>
              <w:numPr>
                <w:ilvl w:val="0"/>
                <w:numId w:val="176"/>
              </w:numPr>
              <w:rPr>
                <w:rFonts w:cs="Arial"/>
              </w:rPr>
            </w:pPr>
            <w:r w:rsidRPr="00560BA2">
              <w:rPr>
                <w:rFonts w:cs="Arial"/>
              </w:rPr>
              <w:t>Information derived from any of the above,</w:t>
            </w:r>
          </w:p>
          <w:p w14:paraId="14687F34" w14:textId="77777777" w:rsidR="00F67E9E" w:rsidRPr="00560BA2" w:rsidRDefault="00F67E9E" w:rsidP="0052486C">
            <w:pPr>
              <w:pStyle w:val="StdBodyText"/>
              <w:ind w:left="660"/>
              <w:rPr>
                <w:rFonts w:cs="Arial"/>
              </w:rPr>
            </w:pPr>
            <w:r w:rsidRPr="00560BA2">
              <w:rPr>
                <w:rFonts w:cs="Arial"/>
              </w:rPr>
              <w:t>but not including any Information that:</w:t>
            </w:r>
          </w:p>
          <w:p w14:paraId="07E49CF3" w14:textId="77777777" w:rsidR="00F67E9E" w:rsidRPr="007216EA" w:rsidRDefault="00F67E9E" w:rsidP="00E1349E">
            <w:pPr>
              <w:pStyle w:val="DefinitionList"/>
              <w:numPr>
                <w:ilvl w:val="0"/>
                <w:numId w:val="176"/>
              </w:numPr>
              <w:rPr>
                <w:rFonts w:cs="Arial"/>
              </w:rPr>
            </w:pPr>
            <w:r w:rsidRPr="007216EA">
              <w:rPr>
                <w:rFonts w:cs="Arial"/>
              </w:rPr>
              <w:t xml:space="preserve">was in the possession of the Sub-licensee without obligation of confidentiality prior to its disclosure by the Authority; </w:t>
            </w:r>
          </w:p>
          <w:p w14:paraId="6865CC73" w14:textId="77777777" w:rsidR="00F67E9E" w:rsidRPr="00560BA2" w:rsidRDefault="00F67E9E" w:rsidP="00E1349E">
            <w:pPr>
              <w:pStyle w:val="DefinitionList"/>
              <w:numPr>
                <w:ilvl w:val="0"/>
                <w:numId w:val="176"/>
              </w:numPr>
              <w:rPr>
                <w:rFonts w:cs="Arial"/>
              </w:rPr>
            </w:pPr>
            <w:r w:rsidRPr="00560BA2">
              <w:rPr>
                <w:rFonts w:cs="Arial"/>
              </w:rPr>
              <w:t>was already generally available and in the public domain at the time of disclosure otherwise than by a breach of this Agreement or breach of a duty of confidentiality; or</w:t>
            </w:r>
          </w:p>
          <w:p w14:paraId="24613E22" w14:textId="77777777" w:rsidR="00F67E9E" w:rsidRPr="00560BA2" w:rsidRDefault="00F67E9E" w:rsidP="00E1349E">
            <w:pPr>
              <w:pStyle w:val="DefinitionList"/>
              <w:numPr>
                <w:ilvl w:val="0"/>
                <w:numId w:val="176"/>
              </w:numPr>
              <w:rPr>
                <w:rFonts w:cs="Arial"/>
              </w:rPr>
            </w:pPr>
            <w:r w:rsidRPr="00560BA2">
              <w:rPr>
                <w:rFonts w:cs="Arial"/>
              </w:rPr>
              <w:t>was independently developed without access to the Information;</w:t>
            </w:r>
          </w:p>
        </w:tc>
      </w:tr>
      <w:tr w:rsidR="00F67E9E" w:rsidRPr="00560BA2" w14:paraId="1450E151" w14:textId="77777777" w:rsidTr="0052486C">
        <w:tc>
          <w:tcPr>
            <w:tcW w:w="2835" w:type="dxa"/>
          </w:tcPr>
          <w:p w14:paraId="32973BAC" w14:textId="77777777" w:rsidR="00F67E9E" w:rsidRPr="00560BA2" w:rsidRDefault="00F67E9E" w:rsidP="0052486C">
            <w:pPr>
              <w:pStyle w:val="StdBodyTextBold"/>
              <w:rPr>
                <w:rFonts w:cs="Arial"/>
              </w:rPr>
            </w:pPr>
            <w:r>
              <w:rPr>
                <w:rFonts w:cs="Arial"/>
              </w:rPr>
              <w:lastRenderedPageBreak/>
              <w:t>“</w:t>
            </w:r>
            <w:r w:rsidRPr="00560BA2">
              <w:rPr>
                <w:rFonts w:cs="Arial"/>
              </w:rPr>
              <w:t>Information</w:t>
            </w:r>
            <w:r>
              <w:rPr>
                <w:rFonts w:cs="Arial"/>
              </w:rPr>
              <w:t>”</w:t>
            </w:r>
          </w:p>
        </w:tc>
        <w:tc>
          <w:tcPr>
            <w:tcW w:w="6803" w:type="dxa"/>
          </w:tcPr>
          <w:p w14:paraId="6ED8F58C" w14:textId="77777777" w:rsidR="00F67E9E" w:rsidRPr="00560BA2" w:rsidRDefault="00F67E9E" w:rsidP="0052486C">
            <w:pPr>
              <w:pStyle w:val="StdBodyText"/>
              <w:rPr>
                <w:rFonts w:cs="Arial"/>
              </w:rPr>
            </w:pPr>
            <w:r w:rsidRPr="00560BA2">
              <w:rPr>
                <w:rFonts w:cs="Arial"/>
              </w:rPr>
              <w:t>means all information of whatever nature, however conveyed and in whatever form, including in writing, orally, by demonstration, electronically and in a tangible, visual or machine-readable medium (including CD-ROM, magnetic and digital form); and</w:t>
            </w:r>
          </w:p>
        </w:tc>
      </w:tr>
      <w:tr w:rsidR="00F67E9E" w:rsidRPr="00560BA2" w14:paraId="44FFA375" w14:textId="77777777" w:rsidTr="0052486C">
        <w:tc>
          <w:tcPr>
            <w:tcW w:w="2835" w:type="dxa"/>
          </w:tcPr>
          <w:p w14:paraId="7DE091CD" w14:textId="77777777" w:rsidR="00F67E9E" w:rsidRPr="00560BA2" w:rsidRDefault="00F67E9E" w:rsidP="0052486C">
            <w:pPr>
              <w:pStyle w:val="StdBodyTextBold"/>
              <w:rPr>
                <w:rFonts w:cs="Arial"/>
              </w:rPr>
            </w:pPr>
            <w:r>
              <w:rPr>
                <w:rFonts w:cs="Arial"/>
              </w:rPr>
              <w:t>“</w:t>
            </w:r>
            <w:r w:rsidRPr="00560BA2">
              <w:rPr>
                <w:rFonts w:cs="Arial"/>
              </w:rPr>
              <w:t>Sub-licence</w:t>
            </w:r>
            <w:r>
              <w:rPr>
                <w:rFonts w:cs="Arial"/>
              </w:rPr>
              <w:t>”</w:t>
            </w:r>
          </w:p>
        </w:tc>
        <w:tc>
          <w:tcPr>
            <w:tcW w:w="6803" w:type="dxa"/>
          </w:tcPr>
          <w:p w14:paraId="2B465A36" w14:textId="5CED0399" w:rsidR="00F67E9E" w:rsidRPr="00560BA2" w:rsidRDefault="00F67E9E" w:rsidP="0052486C">
            <w:pPr>
              <w:pStyle w:val="StdBodyText"/>
              <w:rPr>
                <w:rFonts w:cs="Arial"/>
              </w:rPr>
            </w:pPr>
            <w:r w:rsidRPr="00560BA2">
              <w:rPr>
                <w:rFonts w:cs="Arial"/>
              </w:rPr>
              <w:t xml:space="preserve">has the meaning given to that expression in recital </w:t>
            </w:r>
            <w:r w:rsidRPr="00560BA2">
              <w:rPr>
                <w:rFonts w:cs="Arial"/>
              </w:rPr>
              <w:fldChar w:fldCharType="begin"/>
            </w:r>
            <w:r w:rsidRPr="00560BA2">
              <w:rPr>
                <w:rFonts w:cs="Arial"/>
              </w:rPr>
              <w:instrText xml:space="preserve"> REF _Ref41994004 \r \h  \* MERGEFORMAT </w:instrText>
            </w:r>
            <w:r w:rsidRPr="00560BA2">
              <w:rPr>
                <w:rFonts w:cs="Arial"/>
              </w:rPr>
            </w:r>
            <w:r w:rsidRPr="00560BA2">
              <w:rPr>
                <w:rFonts w:cs="Arial"/>
              </w:rPr>
              <w:fldChar w:fldCharType="separate"/>
            </w:r>
            <w:r w:rsidR="007A1473">
              <w:rPr>
                <w:rFonts w:cs="Arial"/>
              </w:rPr>
              <w:t>0</w:t>
            </w:r>
            <w:r w:rsidRPr="00560BA2">
              <w:rPr>
                <w:rFonts w:cs="Arial"/>
              </w:rPr>
              <w:fldChar w:fldCharType="end"/>
            </w:r>
            <w:r w:rsidRPr="00560BA2">
              <w:rPr>
                <w:rFonts w:cs="Arial"/>
              </w:rPr>
              <w:t xml:space="preserve"> to this Agreement.</w:t>
            </w:r>
          </w:p>
        </w:tc>
      </w:tr>
    </w:tbl>
    <w:p w14:paraId="1E2E912E" w14:textId="77777777" w:rsidR="00F67E9E" w:rsidRPr="00560BA2" w:rsidRDefault="00F67E9E" w:rsidP="00F67E9E">
      <w:pPr>
        <w:pStyle w:val="AppendixText2"/>
      </w:pPr>
      <w:r w:rsidRPr="00560BA2">
        <w:t>In this Agreement:</w:t>
      </w:r>
    </w:p>
    <w:p w14:paraId="7B8444BC" w14:textId="77777777" w:rsidR="00F67E9E" w:rsidRPr="00560BA2" w:rsidRDefault="00F67E9E" w:rsidP="00F67E9E">
      <w:pPr>
        <w:pStyle w:val="AppendixText3"/>
        <w:tabs>
          <w:tab w:val="clear" w:pos="1800"/>
          <w:tab w:val="num" w:pos="2160"/>
        </w:tabs>
      </w:pPr>
      <w:r w:rsidRPr="00560BA2">
        <w:t>a reference to any gender includes a reference to other genders;</w:t>
      </w:r>
    </w:p>
    <w:p w14:paraId="1C4DD4E3" w14:textId="77777777" w:rsidR="00F67E9E" w:rsidRPr="00560BA2" w:rsidRDefault="00F67E9E" w:rsidP="00F67E9E">
      <w:pPr>
        <w:pStyle w:val="AppendixText3"/>
        <w:tabs>
          <w:tab w:val="clear" w:pos="1800"/>
          <w:tab w:val="num" w:pos="2160"/>
        </w:tabs>
      </w:pPr>
      <w:r w:rsidRPr="00560BA2">
        <w:t>the singular includes the plural and vice versa;</w:t>
      </w:r>
    </w:p>
    <w:p w14:paraId="70ECD437" w14:textId="77777777" w:rsidR="00F67E9E" w:rsidRPr="00560BA2" w:rsidRDefault="00F67E9E" w:rsidP="00F67E9E">
      <w:pPr>
        <w:pStyle w:val="AppendixText3"/>
        <w:tabs>
          <w:tab w:val="clear" w:pos="1800"/>
          <w:tab w:val="num" w:pos="2160"/>
        </w:tabs>
      </w:pPr>
      <w:r w:rsidRPr="00560BA2">
        <w:t xml:space="preserve">the words </w:t>
      </w:r>
      <w:r>
        <w:t>“</w:t>
      </w:r>
      <w:r w:rsidRPr="00560BA2">
        <w:t>include</w:t>
      </w:r>
      <w:r>
        <w:t>”</w:t>
      </w:r>
      <w:r w:rsidRPr="00560BA2">
        <w:t xml:space="preserve"> and cognate expressions shall be construed as if they were immediately followed by the words </w:t>
      </w:r>
      <w:r>
        <w:t>“</w:t>
      </w:r>
      <w:r w:rsidRPr="00560BA2">
        <w:t>without limitation</w:t>
      </w:r>
      <w:r>
        <w:t>”</w:t>
      </w:r>
      <w:r w:rsidRPr="00560BA2">
        <w:t>;</w:t>
      </w:r>
    </w:p>
    <w:p w14:paraId="48963452" w14:textId="77777777" w:rsidR="00F67E9E" w:rsidRPr="00560BA2" w:rsidRDefault="00F67E9E" w:rsidP="00F67E9E">
      <w:pPr>
        <w:pStyle w:val="AppendixText3"/>
        <w:tabs>
          <w:tab w:val="clear" w:pos="1800"/>
          <w:tab w:val="num" w:pos="2160"/>
        </w:tabs>
      </w:pPr>
      <w:r w:rsidRPr="00560BA2">
        <w:t xml:space="preserve">references to any statutory provision include a reference to that provision as modified, replaced, amended and/or re-enacted from time to time (before or after the date of this Agreement) and any prior or subsequent subordinate </w:t>
      </w:r>
      <w:r w:rsidRPr="00560BA2">
        <w:lastRenderedPageBreak/>
        <w:t xml:space="preserve">legislation made under it; </w:t>
      </w:r>
    </w:p>
    <w:p w14:paraId="45620ED2" w14:textId="77777777" w:rsidR="00F67E9E" w:rsidRPr="00560BA2" w:rsidRDefault="00F67E9E" w:rsidP="00F67E9E">
      <w:pPr>
        <w:pStyle w:val="AppendixText3"/>
        <w:tabs>
          <w:tab w:val="clear" w:pos="1800"/>
          <w:tab w:val="num" w:pos="2160"/>
        </w:tabs>
      </w:pPr>
      <w:r w:rsidRPr="00560BA2">
        <w:t>headings are included for ease of reference only and shall not affect the interpretation or construction of this Agreement; and</w:t>
      </w:r>
    </w:p>
    <w:p w14:paraId="5DDF70BE" w14:textId="77777777" w:rsidR="00F67E9E" w:rsidRPr="00560BA2" w:rsidRDefault="00F67E9E" w:rsidP="00F67E9E">
      <w:pPr>
        <w:pStyle w:val="AppendixText3"/>
        <w:tabs>
          <w:tab w:val="clear" w:pos="1800"/>
          <w:tab w:val="num" w:pos="2160"/>
        </w:tabs>
      </w:pPr>
      <w:r w:rsidRPr="00560BA2">
        <w:t>references to Clauses are to clauses of this Agreement.</w:t>
      </w:r>
    </w:p>
    <w:p w14:paraId="5FF51CC9" w14:textId="77777777" w:rsidR="00F67E9E" w:rsidRPr="00560BA2" w:rsidRDefault="00F67E9E" w:rsidP="00F67E9E">
      <w:pPr>
        <w:pStyle w:val="AppendixText1"/>
      </w:pPr>
      <w:r w:rsidRPr="00560BA2">
        <w:t>Confidentiality Obligations</w:t>
      </w:r>
    </w:p>
    <w:p w14:paraId="595E3D36" w14:textId="77777777" w:rsidR="00F67E9E" w:rsidRPr="00560BA2" w:rsidRDefault="00F67E9E" w:rsidP="00F67E9E">
      <w:pPr>
        <w:pStyle w:val="AppendixText2"/>
      </w:pPr>
      <w:r w:rsidRPr="00560BA2">
        <w:t>In consideration of the Authority entering into the Sub-licence, the Sub-licensee shall:</w:t>
      </w:r>
    </w:p>
    <w:p w14:paraId="0F5F1391" w14:textId="77777777" w:rsidR="00F67E9E" w:rsidRPr="00560BA2" w:rsidRDefault="00F67E9E" w:rsidP="00F67E9E">
      <w:pPr>
        <w:pStyle w:val="AppendixText3"/>
        <w:tabs>
          <w:tab w:val="clear" w:pos="1800"/>
          <w:tab w:val="num" w:pos="2160"/>
        </w:tabs>
      </w:pPr>
      <w:r w:rsidRPr="00560BA2">
        <w:t>treat all Confidential Information as secret and confidential;</w:t>
      </w:r>
    </w:p>
    <w:p w14:paraId="4D7E5813" w14:textId="77777777" w:rsidR="00F67E9E" w:rsidRPr="00560BA2" w:rsidRDefault="00F67E9E" w:rsidP="00F67E9E">
      <w:pPr>
        <w:pStyle w:val="AppendixText3"/>
        <w:tabs>
          <w:tab w:val="clear" w:pos="1800"/>
          <w:tab w:val="num" w:pos="2160"/>
        </w:tabs>
      </w:pPr>
      <w:r w:rsidRPr="00560BA2">
        <w:t xml:space="preserve">have in place and maintain proper security measures and procedures to protect the confidentiality of the Confidential Information (having regard to its form and nature); </w:t>
      </w:r>
    </w:p>
    <w:p w14:paraId="0305A5CD" w14:textId="77777777" w:rsidR="00F67E9E" w:rsidRPr="00560BA2" w:rsidRDefault="00F67E9E" w:rsidP="00F67E9E">
      <w:pPr>
        <w:pStyle w:val="AppendixText3"/>
        <w:tabs>
          <w:tab w:val="clear" w:pos="1800"/>
          <w:tab w:val="num" w:pos="2160"/>
        </w:tabs>
      </w:pPr>
      <w:r w:rsidRPr="00560BA2">
        <w:t xml:space="preserve">not disclose or permit the disclosure of any of the Confidential Information to any other person without obtaining the prior written consent of the Supplier or except as expressly set out in this Agreement; </w:t>
      </w:r>
    </w:p>
    <w:p w14:paraId="0AB6553C" w14:textId="77777777" w:rsidR="00F67E9E" w:rsidRPr="00560BA2" w:rsidRDefault="00F67E9E" w:rsidP="00F67E9E">
      <w:pPr>
        <w:pStyle w:val="AppendixText3"/>
        <w:tabs>
          <w:tab w:val="clear" w:pos="1800"/>
          <w:tab w:val="num" w:pos="2160"/>
        </w:tabs>
      </w:pPr>
      <w:r w:rsidRPr="00560BA2">
        <w:t>not transfer any of the Confidential Information outside the United Kingdom;</w:t>
      </w:r>
    </w:p>
    <w:p w14:paraId="0FF09546" w14:textId="77777777" w:rsidR="00F67E9E" w:rsidRPr="00560BA2" w:rsidRDefault="00F67E9E" w:rsidP="00F67E9E">
      <w:pPr>
        <w:pStyle w:val="AppendixText3"/>
        <w:tabs>
          <w:tab w:val="clear" w:pos="1800"/>
          <w:tab w:val="num" w:pos="2160"/>
        </w:tabs>
      </w:pPr>
      <w:r w:rsidRPr="00560BA2">
        <w:t xml:space="preserve">not use or exploit any of the Confidential Information for any purpose whatsoever other than as permitted under the Sub-licence; </w:t>
      </w:r>
    </w:p>
    <w:p w14:paraId="1B9B6AED" w14:textId="77777777" w:rsidR="00F67E9E" w:rsidRPr="00560BA2" w:rsidRDefault="00F67E9E" w:rsidP="00F67E9E">
      <w:pPr>
        <w:pStyle w:val="AppendixText3"/>
        <w:tabs>
          <w:tab w:val="clear" w:pos="1800"/>
          <w:tab w:val="num" w:pos="2160"/>
        </w:tabs>
      </w:pPr>
      <w:r w:rsidRPr="00560BA2">
        <w:t>immediately notify the Supplier in writing if it suspects or becomes aware of any unauthorised access, copying, use or disclosure in any form of any of the Confidential Information; and</w:t>
      </w:r>
    </w:p>
    <w:p w14:paraId="3461BBC9" w14:textId="77777777" w:rsidR="00F67E9E" w:rsidRPr="00560BA2" w:rsidRDefault="00F67E9E" w:rsidP="00F67E9E">
      <w:pPr>
        <w:pStyle w:val="AppendixText3"/>
        <w:tabs>
          <w:tab w:val="clear" w:pos="1800"/>
          <w:tab w:val="num" w:pos="2160"/>
        </w:tabs>
      </w:pPr>
      <w:r w:rsidRPr="00560BA2">
        <w:t>upon the expiry or termination of the Sub-licence:</w:t>
      </w:r>
    </w:p>
    <w:p w14:paraId="246DDA43" w14:textId="77777777" w:rsidR="00F67E9E" w:rsidRPr="00560BA2" w:rsidRDefault="00F67E9E" w:rsidP="00F67E9E">
      <w:pPr>
        <w:pStyle w:val="Numbered111a"/>
        <w:tabs>
          <w:tab w:val="clear" w:pos="2520"/>
          <w:tab w:val="num" w:pos="2880"/>
        </w:tabs>
      </w:pPr>
      <w:r w:rsidRPr="00560BA2">
        <w:t>destroy or return to the Supplier all documents and other tangible materials that contain any of the Confidential Information;</w:t>
      </w:r>
    </w:p>
    <w:p w14:paraId="255AFC11" w14:textId="77777777" w:rsidR="00F67E9E" w:rsidRPr="00560BA2" w:rsidRDefault="00F67E9E" w:rsidP="00F67E9E">
      <w:pPr>
        <w:pStyle w:val="Numbered111a"/>
        <w:tabs>
          <w:tab w:val="clear" w:pos="2520"/>
          <w:tab w:val="num" w:pos="2880"/>
        </w:tabs>
      </w:pPr>
      <w:r w:rsidRPr="00560BA2">
        <w:t>ensure, so far as reasonably practicable, that all Confidential Information held in electronic, digital or other machine-readable form ceases to be readily accessible (other than by the information technology staff of the Sub-licensee) from any computer, word processor, voicemail system or any other device; and</w:t>
      </w:r>
    </w:p>
    <w:p w14:paraId="2E84F174" w14:textId="77777777" w:rsidR="00F67E9E" w:rsidRPr="00560BA2" w:rsidRDefault="00F67E9E" w:rsidP="00F67E9E">
      <w:pPr>
        <w:pStyle w:val="Numbered111a"/>
        <w:tabs>
          <w:tab w:val="clear" w:pos="2520"/>
          <w:tab w:val="num" w:pos="2880"/>
        </w:tabs>
      </w:pPr>
      <w:r w:rsidRPr="00560BA2">
        <w:t xml:space="preserve">make no further use of any Confidential Information. </w:t>
      </w:r>
    </w:p>
    <w:p w14:paraId="3D2FC618" w14:textId="77777777" w:rsidR="00F67E9E" w:rsidRPr="00560BA2" w:rsidRDefault="00F67E9E" w:rsidP="00F67E9E">
      <w:pPr>
        <w:pStyle w:val="AppendixText1"/>
      </w:pPr>
      <w:r w:rsidRPr="00560BA2">
        <w:t>Permitted Disclosures</w:t>
      </w:r>
    </w:p>
    <w:p w14:paraId="6CCF6BD5" w14:textId="77777777" w:rsidR="00F67E9E" w:rsidRPr="00560BA2" w:rsidRDefault="00F67E9E" w:rsidP="00F67E9E">
      <w:pPr>
        <w:pStyle w:val="AppendixText2"/>
      </w:pPr>
      <w:r w:rsidRPr="00560BA2">
        <w:t>The Sub-licensee may disclose Confidential Information to those of its directors, officers, employees, consultants and professional advisers who:</w:t>
      </w:r>
    </w:p>
    <w:p w14:paraId="6C68BC1E" w14:textId="77777777" w:rsidR="00F67E9E" w:rsidRPr="00560BA2" w:rsidRDefault="00F67E9E" w:rsidP="00F67E9E">
      <w:pPr>
        <w:pStyle w:val="AppendixText3"/>
        <w:tabs>
          <w:tab w:val="clear" w:pos="1800"/>
          <w:tab w:val="num" w:pos="2160"/>
        </w:tabs>
      </w:pPr>
      <w:r w:rsidRPr="00560BA2">
        <w:t>reasonably need to receive the Confidential Information in connection with the Sub-licence; and</w:t>
      </w:r>
    </w:p>
    <w:p w14:paraId="0905C0EA" w14:textId="77777777" w:rsidR="00F67E9E" w:rsidRPr="00560BA2" w:rsidRDefault="00F67E9E" w:rsidP="00F67E9E">
      <w:pPr>
        <w:pStyle w:val="AppendixText3"/>
        <w:tabs>
          <w:tab w:val="clear" w:pos="1800"/>
          <w:tab w:val="num" w:pos="2160"/>
        </w:tabs>
      </w:pPr>
      <w:r w:rsidRPr="00560BA2">
        <w:t>have been informed by the Sub-licensee of the confidential nature of the Confidential Information; and</w:t>
      </w:r>
    </w:p>
    <w:p w14:paraId="3CC687C8" w14:textId="77777777" w:rsidR="00F67E9E" w:rsidRPr="00560BA2" w:rsidRDefault="00F67E9E" w:rsidP="00F67E9E">
      <w:pPr>
        <w:pStyle w:val="AppendixText3"/>
        <w:tabs>
          <w:tab w:val="clear" w:pos="1800"/>
          <w:tab w:val="num" w:pos="2160"/>
        </w:tabs>
      </w:pPr>
      <w:r w:rsidRPr="00560BA2">
        <w:t>have agreed to terms similar to those in this Agreement.</w:t>
      </w:r>
    </w:p>
    <w:p w14:paraId="2753D508" w14:textId="77777777" w:rsidR="00F67E9E" w:rsidRPr="00820382" w:rsidRDefault="00F67E9E" w:rsidP="00F67E9E">
      <w:pPr>
        <w:pStyle w:val="AppendixText2"/>
      </w:pPr>
      <w:bookmarkStart w:id="644" w:name="_Ref_ContractCompanion_9kb9Ur9D7"/>
      <w:bookmarkStart w:id="645" w:name="_9kR3WTrAG8DHDEDeRjVgwowolxC4r6AtyA1vz9P"/>
      <w:r w:rsidRPr="00560BA2">
        <w:lastRenderedPageBreak/>
        <w:t xml:space="preserve">The Sub-licensee shall be entitled to disclose Confidential Information to the extent that it is required to do so by applicable law or by order of a court or other public body that has </w:t>
      </w:r>
      <w:r w:rsidRPr="00820382">
        <w:t>jurisdiction over the Sub-licensee.</w:t>
      </w:r>
      <w:bookmarkEnd w:id="644"/>
      <w:bookmarkEnd w:id="645"/>
    </w:p>
    <w:p w14:paraId="5620516C" w14:textId="75A11F25" w:rsidR="00F67E9E" w:rsidRPr="00560BA2" w:rsidRDefault="00F67E9E" w:rsidP="00F67E9E">
      <w:pPr>
        <w:pStyle w:val="AppendixText2"/>
      </w:pPr>
      <w:r w:rsidRPr="00820382">
        <w:t xml:space="preserve">Before making a disclosure pursuant to </w:t>
      </w:r>
      <w:bookmarkStart w:id="646" w:name="_9kMHG5YVtCIAFJFGFgTlXiyqyqnzE6t8Cv0C3x1"/>
      <w:r w:rsidRPr="00820382">
        <w:t xml:space="preserve">Clause </w:t>
      </w:r>
      <w:r w:rsidRPr="00820382">
        <w:fldChar w:fldCharType="begin"/>
      </w:r>
      <w:r w:rsidRPr="00820382">
        <w:instrText xml:space="preserve"> REF _Ref_ContractCompanion_9kb9Ur9D7 \n \h \t \* MERGEFORMAT </w:instrText>
      </w:r>
      <w:r w:rsidRPr="00820382">
        <w:fldChar w:fldCharType="separate"/>
      </w:r>
      <w:r w:rsidR="007A1473">
        <w:t>3.2</w:t>
      </w:r>
      <w:r w:rsidRPr="00820382">
        <w:fldChar w:fldCharType="end"/>
      </w:r>
      <w:bookmarkEnd w:id="646"/>
      <w:r w:rsidRPr="00820382">
        <w:t>, the Sub-licensee shall, if the circumstances</w:t>
      </w:r>
      <w:r w:rsidRPr="00560BA2">
        <w:t xml:space="preserve"> permit:</w:t>
      </w:r>
    </w:p>
    <w:p w14:paraId="30E07AF2" w14:textId="77777777" w:rsidR="00F67E9E" w:rsidRPr="00560BA2" w:rsidRDefault="00F67E9E" w:rsidP="00F67E9E">
      <w:pPr>
        <w:pStyle w:val="AppendixText3"/>
        <w:tabs>
          <w:tab w:val="clear" w:pos="1800"/>
          <w:tab w:val="num" w:pos="2160"/>
        </w:tabs>
      </w:pPr>
      <w:r w:rsidRPr="00560BA2">
        <w:t>notify the Supplier in writing of the proposed disclosure as soon as possible (and if possible before the court or other public body orders the disclosure of the Confidential Information); and</w:t>
      </w:r>
    </w:p>
    <w:p w14:paraId="2ED9602B" w14:textId="77777777" w:rsidR="00F67E9E" w:rsidRPr="00560BA2" w:rsidRDefault="00F67E9E" w:rsidP="00F67E9E">
      <w:pPr>
        <w:pStyle w:val="AppendixText3"/>
        <w:tabs>
          <w:tab w:val="clear" w:pos="1800"/>
          <w:tab w:val="num" w:pos="2160"/>
        </w:tabs>
      </w:pPr>
      <w:r w:rsidRPr="00560BA2">
        <w:t>ask the court or other public body to treat the Confidential Information as confidential.</w:t>
      </w:r>
    </w:p>
    <w:p w14:paraId="644B2BAF" w14:textId="77777777" w:rsidR="00F67E9E" w:rsidRPr="00560BA2" w:rsidRDefault="00F67E9E" w:rsidP="00F67E9E">
      <w:pPr>
        <w:pStyle w:val="AppendixText1"/>
      </w:pPr>
      <w:r w:rsidRPr="00820382">
        <w:t>General</w:t>
      </w:r>
    </w:p>
    <w:p w14:paraId="32D7BF27" w14:textId="77777777" w:rsidR="00F67E9E" w:rsidRPr="00820382" w:rsidRDefault="00F67E9E" w:rsidP="00F67E9E">
      <w:pPr>
        <w:pStyle w:val="AppendixText2"/>
      </w:pPr>
      <w:r w:rsidRPr="00560BA2">
        <w:t xml:space="preserve">The Sub-licensee acknowledges and agrees that all property, including intellectual property rights, in Confidential Information disclosed to it by the Supplier shall remain with and be vested in the </w:t>
      </w:r>
      <w:r w:rsidRPr="00820382">
        <w:t>Supplier.</w:t>
      </w:r>
    </w:p>
    <w:p w14:paraId="19CD0832" w14:textId="77777777" w:rsidR="00F67E9E" w:rsidRPr="00560BA2" w:rsidRDefault="00F67E9E" w:rsidP="00F67E9E">
      <w:pPr>
        <w:pStyle w:val="AppendixText2"/>
      </w:pPr>
      <w:r w:rsidRPr="00820382">
        <w:t>This Agreement does</w:t>
      </w:r>
      <w:r w:rsidRPr="00560BA2">
        <w:t xml:space="preserve"> not include, expressly or by implication, any representations, warranties or other obligations:</w:t>
      </w:r>
    </w:p>
    <w:p w14:paraId="69C03583" w14:textId="77777777" w:rsidR="00F67E9E" w:rsidRPr="00820382" w:rsidRDefault="00F67E9E" w:rsidP="00F67E9E">
      <w:pPr>
        <w:pStyle w:val="AppendixText3"/>
      </w:pPr>
      <w:r w:rsidRPr="00560BA2">
        <w:t xml:space="preserve">to grant </w:t>
      </w:r>
      <w:r w:rsidRPr="00820382">
        <w:t>the Sub-licensee any licence or rights other than as may be expressly stated in the Sub-licence;</w:t>
      </w:r>
    </w:p>
    <w:p w14:paraId="0DD1CA25" w14:textId="77777777" w:rsidR="00F67E9E" w:rsidRPr="00820382" w:rsidRDefault="00F67E9E" w:rsidP="00F67E9E">
      <w:pPr>
        <w:pStyle w:val="AppendixText3"/>
      </w:pPr>
      <w:r w:rsidRPr="00820382">
        <w:t>to require the Supplier to disclose, continue disclosing or update any Confidential Information; or</w:t>
      </w:r>
    </w:p>
    <w:p w14:paraId="4444A1F7" w14:textId="77777777" w:rsidR="00F67E9E" w:rsidRPr="00560BA2" w:rsidRDefault="00F67E9E" w:rsidP="00F67E9E">
      <w:pPr>
        <w:pStyle w:val="AppendixText3"/>
      </w:pPr>
      <w:r w:rsidRPr="00820382">
        <w:t>as to the accuracy, efficacy, completeness, capabilities, safety or any other qualities whatsoever of any Information or materials provided pursuant to or in anticipation</w:t>
      </w:r>
      <w:r w:rsidRPr="00560BA2">
        <w:t xml:space="preserve"> of the Sub-licence.</w:t>
      </w:r>
    </w:p>
    <w:p w14:paraId="1806673C" w14:textId="77777777" w:rsidR="00F67E9E" w:rsidRPr="00820382" w:rsidRDefault="00F67E9E" w:rsidP="00F67E9E">
      <w:pPr>
        <w:pStyle w:val="AppendixText2"/>
      </w:pPr>
      <w:r w:rsidRPr="00560BA2">
        <w:t>The rights, powers and remedies provided in this Agreement are cumulative and not exclusive of any rights, powers or remedies provided by law.</w:t>
      </w:r>
      <w:r>
        <w:t xml:space="preserve"> </w:t>
      </w:r>
      <w:r w:rsidRPr="00560BA2">
        <w:t xml:space="preserve">No failure or delay by either Party to </w:t>
      </w:r>
      <w:r w:rsidRPr="00820382">
        <w:t>exercise any right, power or remedy will operate as a waiver of it nor will any partial exercise preclude any further exercise of the same, or of some other right, power or remedy.</w:t>
      </w:r>
    </w:p>
    <w:p w14:paraId="48B32EDB" w14:textId="77777777" w:rsidR="00F67E9E" w:rsidRPr="00820382" w:rsidRDefault="00F67E9E" w:rsidP="00F67E9E">
      <w:pPr>
        <w:pStyle w:val="AppendixText2"/>
      </w:pPr>
      <w:r w:rsidRPr="00820382">
        <w:t>Without prejudice to any other rights or remedies that the Supplier may 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1D195B08" w14:textId="77777777" w:rsidR="00F67E9E" w:rsidRPr="00820382" w:rsidRDefault="00F67E9E" w:rsidP="00F67E9E">
      <w:pPr>
        <w:pStyle w:val="AppendixText2"/>
      </w:pPr>
      <w:r w:rsidRPr="00820382">
        <w:t>The maximum liability of the Sub-licensee to the Supplier for any breach of this Agreement shall be limited to ten million pounds (£10,000,000).</w:t>
      </w:r>
    </w:p>
    <w:p w14:paraId="70C602B7" w14:textId="77777777" w:rsidR="00F67E9E" w:rsidRPr="00820382" w:rsidRDefault="00F67E9E" w:rsidP="00F67E9E">
      <w:pPr>
        <w:pStyle w:val="AppendixText2"/>
      </w:pPr>
      <w:r w:rsidRPr="00820382">
        <w:t>For the purposes of the Contracts (Rights of Third Parties) Act 1999 no one other than the Parties has the right to enforce the terms of this Agreement.</w:t>
      </w:r>
    </w:p>
    <w:p w14:paraId="77632B40" w14:textId="77777777" w:rsidR="00F67E9E" w:rsidRPr="00820382" w:rsidRDefault="00F67E9E" w:rsidP="00F67E9E">
      <w:pPr>
        <w:pStyle w:val="AppendixText2"/>
      </w:pPr>
      <w:r w:rsidRPr="00820382">
        <w:lastRenderedPageBreak/>
        <w:t>Each Party shall be responsible for all costs incurred by it or on its behalf in connection with this Agreement.</w:t>
      </w:r>
    </w:p>
    <w:p w14:paraId="327F315C" w14:textId="77777777" w:rsidR="00F67E9E" w:rsidRPr="00560BA2" w:rsidRDefault="00F67E9E" w:rsidP="00F67E9E">
      <w:pPr>
        <w:pStyle w:val="AppendixText2"/>
      </w:pPr>
      <w:r w:rsidRPr="00820382">
        <w:t>This Agreement may</w:t>
      </w:r>
      <w:r w:rsidRPr="00560BA2">
        <w:t xml:space="preserve"> be executed in any number of counterparts and by the Parties on separate counterparts, but shall not be effective until each Party has executed at least one counterpart.</w:t>
      </w:r>
      <w:r>
        <w:t xml:space="preserve"> </w:t>
      </w:r>
      <w:r w:rsidRPr="00560BA2">
        <w:t>Each counterpart shall constitute an original of this Agreement, but all the counterparts shall together constitute but one and the same instrument.</w:t>
      </w:r>
    </w:p>
    <w:p w14:paraId="54955AAE" w14:textId="77777777" w:rsidR="00F67E9E" w:rsidRPr="00560BA2" w:rsidRDefault="00F67E9E" w:rsidP="00F67E9E">
      <w:pPr>
        <w:pStyle w:val="AppendixText1"/>
      </w:pPr>
      <w:r w:rsidRPr="00560BA2">
        <w:t>Notices</w:t>
      </w:r>
    </w:p>
    <w:p w14:paraId="00C4B143" w14:textId="1F47BFF4" w:rsidR="00F67E9E" w:rsidRPr="00820382" w:rsidRDefault="00F67E9E" w:rsidP="00F67E9E">
      <w:pPr>
        <w:pStyle w:val="AppendixText2"/>
      </w:pPr>
      <w:r w:rsidRPr="00560BA2">
        <w:t xml:space="preserve">Any notice to be given under this Agreement (each a </w:t>
      </w:r>
      <w:r>
        <w:t>“</w:t>
      </w:r>
      <w:r w:rsidRPr="002E7013">
        <w:rPr>
          <w:rStyle w:val="StdBodyTextBoldChar"/>
          <w:rFonts w:eastAsia="Verdana" w:cs="Arial"/>
        </w:rPr>
        <w:t>Notice</w:t>
      </w:r>
      <w:r>
        <w:t>”</w:t>
      </w:r>
      <w:r w:rsidRPr="00560BA2">
        <w:t xml:space="preserve">) shall be given in writing and shall be delivered by </w:t>
      </w:r>
      <w:r w:rsidRPr="00820382">
        <w:t xml:space="preserve">hand and shall be deemed to have been duly given at the time of delivery provided that such Notice is sent to the relevant physical address, and expressly marked for the attention of the relevant individual, set out in </w:t>
      </w:r>
      <w:bookmarkStart w:id="647" w:name="_9kMHG5YVtCIAFJILHNGBmXA5pm"/>
      <w:r w:rsidRPr="00820382">
        <w:t xml:space="preserve">Clause </w:t>
      </w:r>
      <w:r w:rsidRPr="00820382">
        <w:fldChar w:fldCharType="begin"/>
      </w:r>
      <w:r w:rsidRPr="00820382">
        <w:instrText xml:space="preserve"> REF _Ref_ContractCompanion_9kb9Ur9DA \n \h \t \* MERGEFORMAT </w:instrText>
      </w:r>
      <w:r w:rsidRPr="00820382">
        <w:fldChar w:fldCharType="separate"/>
      </w:r>
      <w:r w:rsidR="007A1473">
        <w:t>5.2</w:t>
      </w:r>
      <w:r w:rsidRPr="00820382">
        <w:fldChar w:fldCharType="end"/>
      </w:r>
      <w:bookmarkEnd w:id="647"/>
      <w:r w:rsidRPr="00820382">
        <w:t>.</w:t>
      </w:r>
    </w:p>
    <w:p w14:paraId="14D107F9" w14:textId="77777777" w:rsidR="00F67E9E" w:rsidRPr="00820382" w:rsidRDefault="00F67E9E" w:rsidP="00F67E9E">
      <w:pPr>
        <w:pStyle w:val="AppendixText2"/>
        <w:keepNext/>
      </w:pPr>
      <w:bookmarkStart w:id="648" w:name="_Ref_ContractCompanion_9kb9Ur9DA"/>
      <w:bookmarkStart w:id="649" w:name="_9kR3WTrAG8DHGJFLE9kV83nk"/>
      <w:r w:rsidRPr="00820382">
        <w:t>Any Notice:</w:t>
      </w:r>
      <w:bookmarkEnd w:id="648"/>
      <w:bookmarkEnd w:id="649"/>
    </w:p>
    <w:p w14:paraId="322B8A84" w14:textId="77777777" w:rsidR="00F67E9E" w:rsidRPr="00413E59" w:rsidRDefault="00F67E9E" w:rsidP="00F67E9E">
      <w:pPr>
        <w:pStyle w:val="AppendixText3"/>
        <w:keepNext/>
      </w:pPr>
      <w:r w:rsidRPr="00413E59">
        <w:t xml:space="preserve">if to be </w:t>
      </w:r>
      <w:r w:rsidRPr="00820382">
        <w:t>given</w:t>
      </w:r>
      <w:r w:rsidRPr="00413E59">
        <w:t xml:space="preserve"> to the Supplier shall be sent to:</w:t>
      </w:r>
    </w:p>
    <w:p w14:paraId="4B6DABA1" w14:textId="77777777" w:rsidR="00F67E9E" w:rsidRPr="00413E59" w:rsidRDefault="00F67E9E" w:rsidP="00F67E9E">
      <w:pPr>
        <w:pStyle w:val="StdBodyText2"/>
        <w:ind w:left="1800"/>
        <w:rPr>
          <w:rFonts w:cs="Arial"/>
          <w:highlight w:val="yellow"/>
        </w:rPr>
      </w:pPr>
      <w:r w:rsidRPr="00413E59">
        <w:rPr>
          <w:rFonts w:cs="Arial"/>
          <w:highlight w:val="yellow"/>
        </w:rPr>
        <w:t>[</w:t>
      </w:r>
      <w:r w:rsidRPr="005F1047">
        <w:rPr>
          <w:rFonts w:cs="Arial"/>
          <w:iCs/>
          <w:highlight w:val="yellow"/>
        </w:rPr>
        <w:t>Address</w:t>
      </w:r>
      <w:r w:rsidRPr="00413E59">
        <w:rPr>
          <w:rFonts w:cs="Arial"/>
          <w:highlight w:val="yellow"/>
        </w:rPr>
        <w:t>]</w:t>
      </w:r>
    </w:p>
    <w:p w14:paraId="495E0E20" w14:textId="77777777" w:rsidR="00F67E9E" w:rsidRPr="00413E59" w:rsidRDefault="00F67E9E" w:rsidP="00F67E9E">
      <w:pPr>
        <w:pStyle w:val="StdBodyText2"/>
        <w:ind w:left="1800"/>
        <w:rPr>
          <w:rFonts w:cs="Arial"/>
          <w:highlight w:val="yellow"/>
        </w:rPr>
      </w:pPr>
      <w:r w:rsidRPr="00413E59">
        <w:rPr>
          <w:rFonts w:cs="Arial"/>
        </w:rPr>
        <w:t>Attention:</w:t>
      </w:r>
      <w:r>
        <w:rPr>
          <w:rFonts w:cs="Arial"/>
        </w:rPr>
        <w:t xml:space="preserve"> </w:t>
      </w:r>
      <w:r w:rsidRPr="00413E59">
        <w:rPr>
          <w:rFonts w:cs="Arial"/>
          <w:highlight w:val="yellow"/>
        </w:rPr>
        <w:t>[</w:t>
      </w:r>
      <w:r w:rsidRPr="005F1047">
        <w:rPr>
          <w:rFonts w:cs="Arial"/>
          <w:iCs/>
          <w:highlight w:val="yellow"/>
        </w:rPr>
        <w:t>Contact name and/or position, e.g. “The Finance Director”</w:t>
      </w:r>
      <w:r w:rsidRPr="00413E59">
        <w:rPr>
          <w:rFonts w:cs="Arial"/>
          <w:highlight w:val="yellow"/>
        </w:rPr>
        <w:t>]</w:t>
      </w:r>
    </w:p>
    <w:p w14:paraId="3850C07C" w14:textId="77777777" w:rsidR="00F67E9E" w:rsidRPr="00413E59" w:rsidRDefault="00F67E9E" w:rsidP="00F67E9E">
      <w:pPr>
        <w:pStyle w:val="AppendixText3"/>
        <w:keepNext/>
      </w:pPr>
      <w:r w:rsidRPr="00413E59">
        <w:t>if to be given to the Sub-licensee shall be sent to:</w:t>
      </w:r>
    </w:p>
    <w:p w14:paraId="0CF52D3E" w14:textId="77777777" w:rsidR="00F67E9E" w:rsidRPr="00413E59" w:rsidRDefault="00F67E9E" w:rsidP="00F67E9E">
      <w:pPr>
        <w:pStyle w:val="StdBodyText2"/>
        <w:ind w:left="1800"/>
        <w:rPr>
          <w:rFonts w:cs="Arial"/>
          <w:highlight w:val="yellow"/>
        </w:rPr>
      </w:pPr>
      <w:r w:rsidRPr="00413E59">
        <w:rPr>
          <w:rFonts w:cs="Arial"/>
          <w:highlight w:val="yellow"/>
        </w:rPr>
        <w:t>[</w:t>
      </w:r>
      <w:r w:rsidRPr="005F1047">
        <w:rPr>
          <w:rFonts w:cs="Arial"/>
          <w:iCs/>
          <w:highlight w:val="yellow"/>
        </w:rPr>
        <w:t>Name of Organisation</w:t>
      </w:r>
      <w:r w:rsidRPr="00413E59">
        <w:rPr>
          <w:rFonts w:cs="Arial"/>
          <w:highlight w:val="yellow"/>
        </w:rPr>
        <w:t>]</w:t>
      </w:r>
      <w:r w:rsidRPr="00413E59">
        <w:rPr>
          <w:rFonts w:cs="Arial"/>
          <w:highlight w:val="yellow"/>
        </w:rPr>
        <w:br/>
        <w:t>[</w:t>
      </w:r>
      <w:r w:rsidRPr="005F1047">
        <w:rPr>
          <w:rFonts w:cs="Arial"/>
          <w:iCs/>
          <w:highlight w:val="yellow"/>
        </w:rPr>
        <w:t>Address</w:t>
      </w:r>
      <w:r w:rsidRPr="00413E59">
        <w:rPr>
          <w:rFonts w:cs="Arial"/>
          <w:highlight w:val="yellow"/>
        </w:rPr>
        <w:t>]</w:t>
      </w:r>
    </w:p>
    <w:p w14:paraId="34D54EFC" w14:textId="77777777" w:rsidR="00F67E9E" w:rsidRPr="00413E59" w:rsidRDefault="00F67E9E" w:rsidP="00F67E9E">
      <w:pPr>
        <w:pStyle w:val="StdBodyText2"/>
        <w:ind w:left="1800"/>
        <w:rPr>
          <w:rFonts w:cs="Arial"/>
        </w:rPr>
      </w:pPr>
      <w:r w:rsidRPr="00413E59">
        <w:rPr>
          <w:rFonts w:cs="Arial"/>
        </w:rPr>
        <w:t xml:space="preserve">Attention: </w:t>
      </w:r>
      <w:r w:rsidRPr="00413E59">
        <w:rPr>
          <w:rFonts w:cs="Arial"/>
          <w:highlight w:val="yellow"/>
        </w:rPr>
        <w:t>[             ]</w:t>
      </w:r>
    </w:p>
    <w:p w14:paraId="7643DA82" w14:textId="77777777" w:rsidR="00F67E9E" w:rsidRPr="00413E59" w:rsidRDefault="00F67E9E" w:rsidP="00F67E9E">
      <w:pPr>
        <w:pStyle w:val="AppendixText1"/>
      </w:pPr>
      <w:r w:rsidRPr="00820382">
        <w:t>Governing</w:t>
      </w:r>
      <w:r w:rsidRPr="00413E59">
        <w:t xml:space="preserve"> law</w:t>
      </w:r>
    </w:p>
    <w:p w14:paraId="24229993" w14:textId="77777777" w:rsidR="00F67E9E" w:rsidRPr="00820382" w:rsidRDefault="00F67E9E" w:rsidP="00F67E9E">
      <w:pPr>
        <w:pStyle w:val="AppendixText2"/>
      </w:pPr>
      <w:r w:rsidRPr="00560BA2">
        <w:t xml:space="preserve">This Agreement shall be governed by, and construed in accordance with, English law and </w:t>
      </w:r>
      <w:r w:rsidRPr="00820382">
        <w:t>any matter claim or dispute arising out of or in connection with this Agreement whether contractual or non-contractual, shall be governed by and determined in accordance with English law.</w:t>
      </w:r>
    </w:p>
    <w:p w14:paraId="5E6A690D" w14:textId="77777777" w:rsidR="00F67E9E" w:rsidRPr="00560BA2" w:rsidRDefault="00F67E9E" w:rsidP="00F67E9E">
      <w:pPr>
        <w:pStyle w:val="AppendixText2"/>
      </w:pPr>
      <w:r w:rsidRPr="00820382">
        <w:t>Each</w:t>
      </w:r>
      <w:r w:rsidRPr="00560BA2">
        <w:t xml:space="preserve"> Party hereby irrevocably submits to the exclusive jurisdiction of the English courts in respect of any claim or dispute arising out of or in connection with this Agreement.</w:t>
      </w:r>
    </w:p>
    <w:p w14:paraId="334D10F5" w14:textId="77777777" w:rsidR="00F67E9E" w:rsidRPr="00413E59" w:rsidRDefault="00F67E9E" w:rsidP="00F67E9E">
      <w:pPr>
        <w:pStyle w:val="StdBodyText"/>
        <w:rPr>
          <w:rFonts w:cs="Arial"/>
        </w:rPr>
      </w:pPr>
      <w:r w:rsidRPr="00560BA2">
        <w:rPr>
          <w:rStyle w:val="StdBodyTextBoldChar"/>
          <w:rFonts w:cs="Arial"/>
        </w:rPr>
        <w:t>IN WITNESS</w:t>
      </w:r>
      <w:r w:rsidRPr="00560BA2">
        <w:rPr>
          <w:rFonts w:cs="Arial"/>
        </w:rPr>
        <w:t xml:space="preserve"> of the above this Agreement has been</w:t>
      </w:r>
      <w:r w:rsidRPr="00413E59">
        <w:rPr>
          <w:rFonts w:cs="Arial"/>
        </w:rPr>
        <w:t xml:space="preserve"> signed by the duly authorised representatives of the Parties on the date which appears at the head of page </w:t>
      </w:r>
      <w:bookmarkStart w:id="650" w:name="_9kR3WTr2BBDHHG"/>
      <w:r w:rsidRPr="00413E59">
        <w:rPr>
          <w:rFonts w:cs="Arial"/>
        </w:rPr>
        <w:t>1</w:t>
      </w:r>
      <w:bookmarkEnd w:id="650"/>
      <w:r w:rsidRPr="00413E59">
        <w:rPr>
          <w:rFonts w:cs="Arial"/>
        </w:rPr>
        <w:t>.</w:t>
      </w:r>
    </w:p>
    <w:p w14:paraId="2E905CCC" w14:textId="77777777" w:rsidR="00F67E9E" w:rsidRPr="00413E59" w:rsidRDefault="00F67E9E" w:rsidP="00F67E9E">
      <w:pPr>
        <w:pStyle w:val="StdBodyTextBold"/>
        <w:rPr>
          <w:rFonts w:cs="Arial"/>
        </w:rPr>
      </w:pPr>
      <w:r w:rsidRPr="00413E59">
        <w:rPr>
          <w:rFonts w:cs="Arial"/>
        </w:rPr>
        <w:t xml:space="preserve">For and on behalf of </w:t>
      </w:r>
      <w:r w:rsidRPr="00413E59">
        <w:rPr>
          <w:rFonts w:cs="Arial"/>
          <w:highlight w:val="yellow"/>
        </w:rPr>
        <w:t>[</w:t>
      </w:r>
      <w:r w:rsidRPr="005F1047">
        <w:rPr>
          <w:rFonts w:cs="Arial"/>
          <w:iCs/>
          <w:highlight w:val="yellow"/>
        </w:rPr>
        <w:t>name of Supplier</w:t>
      </w:r>
      <w:r w:rsidRPr="00413E59">
        <w:rPr>
          <w:rFonts w:cs="Arial"/>
          <w:highlight w:val="yellow"/>
        </w:rPr>
        <w:t>]</w:t>
      </w:r>
    </w:p>
    <w:p w14:paraId="7344D71F" w14:textId="77777777" w:rsidR="00F67E9E" w:rsidRPr="00413E59" w:rsidRDefault="00F67E9E" w:rsidP="00F67E9E">
      <w:pPr>
        <w:pStyle w:val="StdBodyText"/>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F67E9E" w:rsidRPr="00413E59" w14:paraId="1C3FB8FD" w14:textId="77777777" w:rsidTr="0052486C">
        <w:tc>
          <w:tcPr>
            <w:tcW w:w="4531" w:type="dxa"/>
          </w:tcPr>
          <w:p w14:paraId="32FDB85F" w14:textId="77777777" w:rsidR="00F67E9E" w:rsidRPr="00413E59" w:rsidRDefault="00F67E9E" w:rsidP="0052486C">
            <w:pPr>
              <w:pStyle w:val="StdBodyText"/>
              <w:rPr>
                <w:rFonts w:cs="Arial"/>
                <w:sz w:val="24"/>
              </w:rPr>
            </w:pPr>
            <w:r w:rsidRPr="00413E59">
              <w:rPr>
                <w:rFonts w:cs="Arial"/>
                <w:sz w:val="24"/>
              </w:rPr>
              <w:t>Signature: ______________________________</w:t>
            </w:r>
          </w:p>
        </w:tc>
        <w:tc>
          <w:tcPr>
            <w:tcW w:w="4532" w:type="dxa"/>
          </w:tcPr>
          <w:p w14:paraId="4A96F4F2" w14:textId="77777777" w:rsidR="00F67E9E" w:rsidRPr="00413E59" w:rsidRDefault="00F67E9E" w:rsidP="0052486C">
            <w:pPr>
              <w:pStyle w:val="StdBodyText"/>
              <w:rPr>
                <w:rFonts w:cs="Arial"/>
                <w:sz w:val="24"/>
              </w:rPr>
            </w:pPr>
            <w:r w:rsidRPr="00413E59">
              <w:rPr>
                <w:rFonts w:cs="Arial"/>
                <w:sz w:val="24"/>
              </w:rPr>
              <w:t>Date:</w:t>
            </w:r>
          </w:p>
        </w:tc>
      </w:tr>
      <w:tr w:rsidR="00F67E9E" w:rsidRPr="00413E59" w14:paraId="6EFD24A5" w14:textId="77777777" w:rsidTr="0052486C">
        <w:tc>
          <w:tcPr>
            <w:tcW w:w="4531" w:type="dxa"/>
          </w:tcPr>
          <w:p w14:paraId="53A889EA" w14:textId="77777777" w:rsidR="00F67E9E" w:rsidRPr="00413E59" w:rsidRDefault="00F67E9E" w:rsidP="0052486C">
            <w:pPr>
              <w:pStyle w:val="StdBodyText"/>
              <w:rPr>
                <w:rFonts w:cs="Arial"/>
                <w:sz w:val="24"/>
              </w:rPr>
            </w:pPr>
            <w:r w:rsidRPr="00413E59">
              <w:rPr>
                <w:rFonts w:cs="Arial"/>
                <w:sz w:val="24"/>
              </w:rPr>
              <w:t>Name:</w:t>
            </w:r>
          </w:p>
        </w:tc>
        <w:tc>
          <w:tcPr>
            <w:tcW w:w="4532" w:type="dxa"/>
          </w:tcPr>
          <w:p w14:paraId="03BFC535" w14:textId="77777777" w:rsidR="00F67E9E" w:rsidRPr="00413E59" w:rsidRDefault="00F67E9E" w:rsidP="0052486C">
            <w:pPr>
              <w:pStyle w:val="StdBodyText"/>
              <w:rPr>
                <w:rFonts w:cs="Arial"/>
                <w:sz w:val="24"/>
              </w:rPr>
            </w:pPr>
            <w:r w:rsidRPr="00413E59">
              <w:rPr>
                <w:rFonts w:cs="Arial"/>
                <w:sz w:val="24"/>
              </w:rPr>
              <w:t>Position:</w:t>
            </w:r>
          </w:p>
        </w:tc>
      </w:tr>
    </w:tbl>
    <w:p w14:paraId="0073B619" w14:textId="77777777" w:rsidR="00F67E9E" w:rsidRPr="00413E59" w:rsidRDefault="00F67E9E" w:rsidP="00F67E9E">
      <w:pPr>
        <w:pStyle w:val="StdBodyText"/>
        <w:rPr>
          <w:rFonts w:cs="Arial"/>
        </w:rPr>
      </w:pPr>
    </w:p>
    <w:p w14:paraId="721D7CC6" w14:textId="77777777" w:rsidR="00F67E9E" w:rsidRPr="00413E59" w:rsidRDefault="00F67E9E" w:rsidP="00F67E9E">
      <w:pPr>
        <w:pStyle w:val="StdBodyTextBold"/>
        <w:keepNext/>
        <w:rPr>
          <w:rFonts w:cs="Arial"/>
        </w:rPr>
      </w:pPr>
      <w:r w:rsidRPr="00413E59">
        <w:rPr>
          <w:rFonts w:cs="Arial"/>
        </w:rPr>
        <w:lastRenderedPageBreak/>
        <w:t xml:space="preserve">For and on behalf of </w:t>
      </w:r>
      <w:r w:rsidRPr="00413E59">
        <w:rPr>
          <w:rFonts w:cs="Arial"/>
          <w:highlight w:val="yellow"/>
        </w:rPr>
        <w:t>[</w:t>
      </w:r>
      <w:r w:rsidRPr="005F1047">
        <w:rPr>
          <w:rFonts w:cs="Arial"/>
          <w:iCs/>
          <w:highlight w:val="yellow"/>
        </w:rPr>
        <w:t>name of Sub-licensee</w:t>
      </w:r>
      <w:r w:rsidRPr="00413E59">
        <w:rPr>
          <w:rFonts w:cs="Arial"/>
          <w:highlight w:val="yellow"/>
        </w:rPr>
        <w:t>]</w:t>
      </w:r>
    </w:p>
    <w:p w14:paraId="7048B1C3" w14:textId="77777777" w:rsidR="00F67E9E" w:rsidRPr="00413E59" w:rsidRDefault="00F67E9E" w:rsidP="00F67E9E">
      <w:pPr>
        <w:pStyle w:val="StdBodyText"/>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F67E9E" w:rsidRPr="00413E59" w14:paraId="7181560F" w14:textId="77777777" w:rsidTr="0052486C">
        <w:tc>
          <w:tcPr>
            <w:tcW w:w="4531" w:type="dxa"/>
          </w:tcPr>
          <w:p w14:paraId="2FD8788E" w14:textId="77777777" w:rsidR="00F67E9E" w:rsidRPr="00413E59" w:rsidRDefault="00F67E9E" w:rsidP="0052486C">
            <w:pPr>
              <w:pStyle w:val="StdBodyText"/>
              <w:rPr>
                <w:rFonts w:cs="Arial"/>
                <w:sz w:val="24"/>
              </w:rPr>
            </w:pPr>
            <w:r w:rsidRPr="00413E59">
              <w:rPr>
                <w:rFonts w:cs="Arial"/>
                <w:sz w:val="24"/>
              </w:rPr>
              <w:t>Signature: ______________________________</w:t>
            </w:r>
          </w:p>
        </w:tc>
        <w:tc>
          <w:tcPr>
            <w:tcW w:w="4532" w:type="dxa"/>
          </w:tcPr>
          <w:p w14:paraId="1E95BD06" w14:textId="77777777" w:rsidR="00F67E9E" w:rsidRPr="00413E59" w:rsidRDefault="00F67E9E" w:rsidP="0052486C">
            <w:pPr>
              <w:pStyle w:val="StdBodyText"/>
              <w:rPr>
                <w:rFonts w:cs="Arial"/>
                <w:sz w:val="24"/>
              </w:rPr>
            </w:pPr>
            <w:r w:rsidRPr="00413E59">
              <w:rPr>
                <w:rFonts w:cs="Arial"/>
                <w:sz w:val="24"/>
              </w:rPr>
              <w:t>Date:</w:t>
            </w:r>
          </w:p>
        </w:tc>
      </w:tr>
      <w:tr w:rsidR="00F67E9E" w:rsidRPr="00413E59" w14:paraId="3076CD45" w14:textId="77777777" w:rsidTr="0052486C">
        <w:tc>
          <w:tcPr>
            <w:tcW w:w="4531" w:type="dxa"/>
          </w:tcPr>
          <w:p w14:paraId="09CF7736" w14:textId="77777777" w:rsidR="00F67E9E" w:rsidRPr="00413E59" w:rsidRDefault="00F67E9E" w:rsidP="0052486C">
            <w:pPr>
              <w:pStyle w:val="StdBodyText"/>
              <w:rPr>
                <w:rFonts w:cs="Arial"/>
                <w:sz w:val="24"/>
              </w:rPr>
            </w:pPr>
            <w:r w:rsidRPr="00413E59">
              <w:rPr>
                <w:rFonts w:cs="Arial"/>
                <w:sz w:val="24"/>
              </w:rPr>
              <w:t>Name:</w:t>
            </w:r>
          </w:p>
        </w:tc>
        <w:tc>
          <w:tcPr>
            <w:tcW w:w="4532" w:type="dxa"/>
          </w:tcPr>
          <w:p w14:paraId="79D98DD9" w14:textId="77777777" w:rsidR="00F67E9E" w:rsidRDefault="00F67E9E" w:rsidP="0052486C">
            <w:pPr>
              <w:pStyle w:val="StdBodyText"/>
              <w:rPr>
                <w:rFonts w:cs="Arial"/>
                <w:sz w:val="24"/>
              </w:rPr>
            </w:pPr>
            <w:r w:rsidRPr="00413E59">
              <w:rPr>
                <w:rFonts w:cs="Arial"/>
                <w:sz w:val="24"/>
              </w:rPr>
              <w:t>Position:</w:t>
            </w:r>
          </w:p>
          <w:p w14:paraId="771D0C89" w14:textId="12EF1A88" w:rsidR="00210D95" w:rsidRPr="00413E59" w:rsidRDefault="00210D95" w:rsidP="0052486C">
            <w:pPr>
              <w:pStyle w:val="StdBodyText"/>
              <w:rPr>
                <w:rFonts w:cs="Arial"/>
                <w:sz w:val="24"/>
              </w:rPr>
            </w:pPr>
          </w:p>
        </w:tc>
      </w:tr>
    </w:tbl>
    <w:p w14:paraId="58ADA050" w14:textId="77777777" w:rsidR="00F67E9E" w:rsidRDefault="00F67E9E" w:rsidP="00F67E9E"/>
    <w:p w14:paraId="17EC0B82" w14:textId="77777777" w:rsidR="00F67E9E" w:rsidRDefault="00F67E9E" w:rsidP="00F67E9E"/>
    <w:p w14:paraId="55824A06" w14:textId="649428F6" w:rsidR="00F67E9E" w:rsidRDefault="00F67E9E" w:rsidP="00F67E9E"/>
    <w:p w14:paraId="22F456F6" w14:textId="231D1487" w:rsidR="00210D95" w:rsidRDefault="00210D95" w:rsidP="00F67E9E"/>
    <w:p w14:paraId="2DA948E3" w14:textId="719CC45E" w:rsidR="00210D95" w:rsidRDefault="00210D95">
      <w:r>
        <w:br w:type="page"/>
      </w:r>
    </w:p>
    <w:p w14:paraId="7F031266" w14:textId="6604403C" w:rsidR="00210D95" w:rsidRPr="00477926" w:rsidRDefault="00210D95" w:rsidP="00210D95">
      <w:pPr>
        <w:pStyle w:val="Heading2"/>
        <w:pageBreakBefore/>
      </w:pPr>
      <w:r>
        <w:lastRenderedPageBreak/>
        <w:br w:type="page"/>
      </w:r>
      <w:r w:rsidRPr="00477926">
        <w:lastRenderedPageBreak/>
        <w:t xml:space="preserve">Annex </w:t>
      </w:r>
      <w:r>
        <w:t>2</w:t>
      </w:r>
      <w:r w:rsidRPr="00477926">
        <w:t xml:space="preserve">: </w:t>
      </w:r>
      <w:r w:rsidR="00D07EF2" w:rsidRPr="00F95340">
        <w:rPr>
          <w:b w:val="0"/>
          <w:color w:val="FFFF00"/>
          <w:highlight w:val="black"/>
        </w:rPr>
        <w:t>Redacted</w:t>
      </w:r>
      <w:r w:rsidR="00D07EF2" w:rsidRPr="00F95340">
        <w:rPr>
          <w:b w:val="0"/>
          <w:highlight w:val="black"/>
        </w:rPr>
        <w:t xml:space="preserve"> </w:t>
      </w:r>
      <w:r w:rsidR="00D07EF2" w:rsidRPr="00F95340">
        <w:rPr>
          <w:b w:val="0"/>
          <w:color w:val="FFFFFF" w:themeColor="background1"/>
          <w:highlight w:val="black"/>
        </w:rPr>
        <w:t xml:space="preserve">Under FOIA Section </w:t>
      </w:r>
      <w:r w:rsidR="00D07EF2">
        <w:rPr>
          <w:b w:val="0"/>
          <w:color w:val="FFFFFF" w:themeColor="background1"/>
          <w:highlight w:val="black"/>
        </w:rPr>
        <w:t>43</w:t>
      </w:r>
      <w:r w:rsidR="00D07EF2" w:rsidRPr="009E775F">
        <w:rPr>
          <w:b w:val="0"/>
          <w:color w:val="FFFFFF" w:themeColor="background1"/>
          <w:highlight w:val="black"/>
        </w:rPr>
        <w:t>, Commercial Interests</w:t>
      </w:r>
      <w:r w:rsidR="00D07EF2">
        <w:t xml:space="preserve"> </w:t>
      </w:r>
    </w:p>
    <w:p w14:paraId="20E42391" w14:textId="291CD43E" w:rsidR="00210D95" w:rsidRDefault="00D07EF2" w:rsidP="00F67E9E">
      <w:pPr>
        <w:rPr>
          <w:rFonts w:eastAsia="Times New Roman" w:cs="Arial"/>
          <w:b/>
          <w:szCs w:val="24"/>
          <w:lang w:eastAsia="en-GB"/>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69514BAC" w14:textId="7B300734" w:rsidR="00210D95" w:rsidRPr="00210D95" w:rsidRDefault="00210D95" w:rsidP="00D07EF2">
      <w:pPr>
        <w:pStyle w:val="Style1"/>
        <w:tabs>
          <w:tab w:val="clear" w:pos="720"/>
        </w:tabs>
        <w:spacing w:after="0"/>
        <w:ind w:firstLine="0"/>
        <w:rPr>
          <w:b w:val="0"/>
          <w:snapToGrid w:val="0"/>
          <w:sz w:val="24"/>
          <w:szCs w:val="24"/>
        </w:rPr>
      </w:pPr>
      <w:r w:rsidRPr="00210D95">
        <w:rPr>
          <w:b w:val="0"/>
          <w:snapToGrid w:val="0"/>
          <w:sz w:val="24"/>
          <w:szCs w:val="24"/>
        </w:rPr>
        <w:t xml:space="preserve"> </w:t>
      </w:r>
    </w:p>
    <w:p w14:paraId="02B310AF" w14:textId="7F48C58C" w:rsidR="00210D95" w:rsidRDefault="00210D95" w:rsidP="00F67E9E">
      <w:pPr>
        <w:rPr>
          <w:rFonts w:eastAsia="Times New Roman" w:cs="Arial"/>
          <w:b/>
          <w:szCs w:val="24"/>
          <w:lang w:eastAsia="en-GB"/>
        </w:rPr>
      </w:pPr>
    </w:p>
    <w:p w14:paraId="25CF8DF0" w14:textId="5D7AF6B4" w:rsidR="00210D95" w:rsidRDefault="00210D95" w:rsidP="00F67E9E">
      <w:pPr>
        <w:rPr>
          <w:rFonts w:eastAsia="Times New Roman" w:cs="Arial"/>
          <w:b/>
          <w:szCs w:val="24"/>
          <w:lang w:eastAsia="en-GB"/>
        </w:rPr>
      </w:pPr>
    </w:p>
    <w:p w14:paraId="515744B6" w14:textId="13E31B82" w:rsidR="00210D95" w:rsidRDefault="00210D95" w:rsidP="00F67E9E">
      <w:pPr>
        <w:rPr>
          <w:rFonts w:eastAsia="Times New Roman" w:cs="Arial"/>
          <w:b/>
          <w:szCs w:val="24"/>
          <w:lang w:eastAsia="en-GB"/>
        </w:rPr>
      </w:pPr>
    </w:p>
    <w:p w14:paraId="0AA3008E" w14:textId="3335DD99" w:rsidR="00210D95" w:rsidRDefault="00210D95" w:rsidP="00F67E9E">
      <w:pPr>
        <w:rPr>
          <w:rFonts w:eastAsia="Times New Roman" w:cs="Arial"/>
          <w:b/>
          <w:szCs w:val="24"/>
          <w:lang w:eastAsia="en-GB"/>
        </w:rPr>
      </w:pPr>
    </w:p>
    <w:p w14:paraId="34831478" w14:textId="77777777" w:rsidR="00210D95" w:rsidRDefault="00210D95" w:rsidP="00F67E9E">
      <w:pPr>
        <w:sectPr w:rsidR="00210D95" w:rsidSect="00240D26">
          <w:footerReference w:type="default" r:id="rId110"/>
          <w:footerReference w:type="first" r:id="rId111"/>
          <w:pgSz w:w="11900" w:h="16840" w:code="9"/>
          <w:pgMar w:top="1701" w:right="851" w:bottom="1134" w:left="851" w:header="567" w:footer="567" w:gutter="0"/>
          <w:cols w:space="720"/>
          <w:docGrid w:linePitch="360"/>
        </w:sectPr>
      </w:pPr>
    </w:p>
    <w:p w14:paraId="025EB32E" w14:textId="77777777" w:rsidR="00F67E9E" w:rsidRPr="00174F30" w:rsidRDefault="00F67E9E" w:rsidP="00F67E9E">
      <w:pPr>
        <w:pStyle w:val="Dividername"/>
      </w:pPr>
      <w:r w:rsidRPr="00174F30">
        <w:lastRenderedPageBreak/>
        <w:t>Schedule 13</w:t>
      </w:r>
    </w:p>
    <w:p w14:paraId="060CADE0" w14:textId="77777777" w:rsidR="00F67E9E" w:rsidRPr="00174F30" w:rsidRDefault="00F67E9E" w:rsidP="00F67E9E">
      <w:pPr>
        <w:pStyle w:val="Dividername"/>
      </w:pPr>
      <w:r w:rsidRPr="00174F30">
        <w:t>Implementation Plan</w:t>
      </w:r>
    </w:p>
    <w:p w14:paraId="2F772CC4" w14:textId="77777777" w:rsidR="00F67E9E" w:rsidRPr="00560BA2" w:rsidRDefault="00F67E9E" w:rsidP="00F67E9E"/>
    <w:p w14:paraId="09FD2321" w14:textId="77777777" w:rsidR="00F67E9E" w:rsidRPr="005D0525" w:rsidRDefault="00F67E9E" w:rsidP="00F67E9E">
      <w:pPr>
        <w:pStyle w:val="Heading1"/>
      </w:pPr>
      <w:bookmarkStart w:id="651" w:name="Schedule13"/>
      <w:bookmarkStart w:id="652" w:name="_Ref92199942"/>
      <w:bookmarkStart w:id="653" w:name="_Toc145412763"/>
      <w:r w:rsidRPr="005D0525">
        <w:lastRenderedPageBreak/>
        <w:t>Schedule</w:t>
      </w:r>
      <w:r>
        <w:t> </w:t>
      </w:r>
      <w:r w:rsidRPr="005D0525">
        <w:t>13</w:t>
      </w:r>
      <w:bookmarkEnd w:id="651"/>
      <w:r>
        <w:t xml:space="preserve">: </w:t>
      </w:r>
      <w:bookmarkStart w:id="654" w:name="Schedule13Heading"/>
      <w:r w:rsidRPr="005F1047">
        <w:t>Implementation Plan</w:t>
      </w:r>
      <w:bookmarkEnd w:id="652"/>
      <w:bookmarkEnd w:id="653"/>
      <w:bookmarkEnd w:id="654"/>
    </w:p>
    <w:p w14:paraId="4F395B9A" w14:textId="77777777" w:rsidR="00F67E9E" w:rsidRPr="00560BA2" w:rsidRDefault="00F67E9E" w:rsidP="00F13933">
      <w:pPr>
        <w:pStyle w:val="Numbered1"/>
        <w:numPr>
          <w:ilvl w:val="0"/>
          <w:numId w:val="119"/>
        </w:numPr>
      </w:pPr>
      <w:r w:rsidRPr="00820382">
        <w:t>Introduction</w:t>
      </w:r>
    </w:p>
    <w:p w14:paraId="667C0463" w14:textId="77777777" w:rsidR="00F67E9E" w:rsidRPr="00560BA2" w:rsidRDefault="00F67E9E" w:rsidP="00F67E9E">
      <w:pPr>
        <w:pStyle w:val="Numbered11"/>
        <w:tabs>
          <w:tab w:val="clear" w:pos="720"/>
          <w:tab w:val="num" w:pos="1080"/>
        </w:tabs>
      </w:pPr>
      <w:r w:rsidRPr="00560BA2">
        <w:t>This Schedule:</w:t>
      </w:r>
    </w:p>
    <w:p w14:paraId="3EC13F9A" w14:textId="77777777" w:rsidR="00F67E9E" w:rsidRPr="00560BA2" w:rsidRDefault="00F67E9E" w:rsidP="00F67E9E">
      <w:pPr>
        <w:pStyle w:val="Numbered111"/>
        <w:tabs>
          <w:tab w:val="clear" w:pos="1800"/>
          <w:tab w:val="num" w:pos="2160"/>
        </w:tabs>
      </w:pPr>
      <w:r w:rsidRPr="00560BA2">
        <w:t>defines the process for the preparation and implementation of the Outline Implementation Plan and Detailed Implementation Plan; and</w:t>
      </w:r>
    </w:p>
    <w:p w14:paraId="16B1D788" w14:textId="77777777" w:rsidR="00F67E9E" w:rsidRPr="00560BA2" w:rsidRDefault="00F67E9E" w:rsidP="00F67E9E">
      <w:pPr>
        <w:pStyle w:val="Numbered111"/>
        <w:tabs>
          <w:tab w:val="clear" w:pos="1800"/>
          <w:tab w:val="num" w:pos="2160"/>
        </w:tabs>
      </w:pPr>
      <w:r w:rsidRPr="00560BA2">
        <w:t>identifies the Milestones (and associated Deliverables) including the Milestones which trigger payment to the Supplier of the applicable Milestone Payments following the issue of the applicable Milestone Achievement Certificate.</w:t>
      </w:r>
    </w:p>
    <w:p w14:paraId="3FA6350D" w14:textId="77777777" w:rsidR="00F67E9E" w:rsidRPr="00560BA2" w:rsidRDefault="00F67E9E" w:rsidP="00F67E9E">
      <w:pPr>
        <w:pStyle w:val="Numbered1"/>
      </w:pPr>
      <w:r w:rsidRPr="00560BA2">
        <w:t>Outline Implementation Plan</w:t>
      </w:r>
    </w:p>
    <w:p w14:paraId="664E19D9" w14:textId="354E1F05" w:rsidR="00F67E9E" w:rsidRPr="00560BA2" w:rsidRDefault="00F67E9E" w:rsidP="00F67E9E">
      <w:pPr>
        <w:pStyle w:val="Numbered11"/>
        <w:tabs>
          <w:tab w:val="clear" w:pos="720"/>
          <w:tab w:val="num" w:pos="1080"/>
        </w:tabs>
      </w:pPr>
      <w:r w:rsidRPr="00560BA2">
        <w:t xml:space="preserve">The Outline Implementation Plan is set out in Annex </w:t>
      </w:r>
      <w:r w:rsidRPr="00560BA2">
        <w:fldChar w:fldCharType="begin"/>
      </w:r>
      <w:r w:rsidRPr="00560BA2">
        <w:instrText xml:space="preserve"> REF ANNEX1_SCHEDULE13 \h </w:instrText>
      </w:r>
      <w:r>
        <w:instrText xml:space="preserve"> \* MERGEFORMAT </w:instrText>
      </w:r>
      <w:r w:rsidRPr="00560BA2">
        <w:fldChar w:fldCharType="separate"/>
      </w:r>
      <w:r w:rsidR="007A1473">
        <w:t>A</w:t>
      </w:r>
      <w:r w:rsidRPr="00560BA2">
        <w:fldChar w:fldCharType="end"/>
      </w:r>
      <w:r w:rsidRPr="00560BA2">
        <w:t xml:space="preserve">. </w:t>
      </w:r>
    </w:p>
    <w:p w14:paraId="5D4289C6" w14:textId="77777777" w:rsidR="00F67E9E" w:rsidRPr="00560BA2" w:rsidRDefault="00F67E9E" w:rsidP="00F67E9E">
      <w:pPr>
        <w:pStyle w:val="Numbered11"/>
        <w:tabs>
          <w:tab w:val="clear" w:pos="720"/>
          <w:tab w:val="num" w:pos="1080"/>
        </w:tabs>
      </w:pPr>
      <w:r w:rsidRPr="00560BA2">
        <w:t xml:space="preserve">All changes to the Outline Implementation Plan shall be subject to the Change Control Procedure provided that the Supplier shall not attempt to postpone any of the Milestones using the Change Control Procedure or otherwise (except in accordance with </w:t>
      </w:r>
      <w:bookmarkStart w:id="655" w:name="_9kR3WTr2CC5AENChrAv7I"/>
      <w:r w:rsidRPr="00560BA2">
        <w:t>Clause 29</w:t>
      </w:r>
      <w:bookmarkEnd w:id="655"/>
      <w:r w:rsidRPr="00560BA2">
        <w:t xml:space="preserve"> (</w:t>
      </w:r>
      <w:r w:rsidRPr="00560BA2">
        <w:rPr>
          <w:i/>
        </w:rPr>
        <w:t>Authority Cause</w:t>
      </w:r>
      <w:r w:rsidRPr="00560BA2">
        <w:t>)).</w:t>
      </w:r>
    </w:p>
    <w:p w14:paraId="5CAC5901" w14:textId="77777777" w:rsidR="00F67E9E" w:rsidRPr="00A4516A" w:rsidRDefault="00F67E9E" w:rsidP="00F67E9E">
      <w:pPr>
        <w:pStyle w:val="Numbered1"/>
      </w:pPr>
      <w:bookmarkStart w:id="656" w:name="_Ref_ContractCompanion_9kb9Ur9FB"/>
      <w:bookmarkStart w:id="657" w:name="_9kR3WTrAG8DJHfJfifw5qCNLVzFIINA1GBHK634"/>
      <w:r w:rsidRPr="00820382">
        <w:t>Approval</w:t>
      </w:r>
      <w:r w:rsidRPr="00A4516A">
        <w:t xml:space="preserve"> </w:t>
      </w:r>
      <w:r>
        <w:t>o</w:t>
      </w:r>
      <w:r w:rsidRPr="00A4516A">
        <w:t xml:space="preserve">f </w:t>
      </w:r>
      <w:r>
        <w:t>t</w:t>
      </w:r>
      <w:r w:rsidRPr="00A4516A">
        <w:t>he Detailed Implementation Plan</w:t>
      </w:r>
      <w:bookmarkEnd w:id="656"/>
      <w:bookmarkEnd w:id="657"/>
    </w:p>
    <w:p w14:paraId="5ADF60AA" w14:textId="77777777" w:rsidR="00F67E9E" w:rsidRPr="00A4516A" w:rsidRDefault="00F67E9E" w:rsidP="00F67E9E">
      <w:pPr>
        <w:pStyle w:val="Numbered11"/>
        <w:tabs>
          <w:tab w:val="clear" w:pos="720"/>
          <w:tab w:val="num" w:pos="1080"/>
        </w:tabs>
      </w:pPr>
      <w:bookmarkStart w:id="658" w:name="_9kR3WTrAG8DIBBCdRjVgA63xr1G7qv7FP92AIBw"/>
      <w:bookmarkStart w:id="659" w:name="_Ref_ContractCompanion_9kb9Ur9DE"/>
      <w:r w:rsidRPr="00A4516A">
        <w:t>The Supplier shall submit a draft of the Detailed Implementation Plan to the Authority for approval within 20 Working Days of the Effective Date.</w:t>
      </w:r>
      <w:bookmarkEnd w:id="658"/>
      <w:r>
        <w:t xml:space="preserve"> </w:t>
      </w:r>
      <w:bookmarkEnd w:id="659"/>
    </w:p>
    <w:p w14:paraId="468C49C7" w14:textId="77777777" w:rsidR="00F67E9E" w:rsidRPr="00A4516A" w:rsidRDefault="00F67E9E" w:rsidP="00F67E9E">
      <w:pPr>
        <w:pStyle w:val="Numbered11"/>
        <w:tabs>
          <w:tab w:val="clear" w:pos="720"/>
          <w:tab w:val="num" w:pos="1080"/>
        </w:tabs>
      </w:pPr>
      <w:r w:rsidRPr="00A4516A">
        <w:t>The Supplier shall ensure that the draft Detailed Implementation Plan:</w:t>
      </w:r>
    </w:p>
    <w:p w14:paraId="0EF71FFA" w14:textId="77777777" w:rsidR="00F67E9E" w:rsidRPr="00A4516A" w:rsidRDefault="00F67E9E" w:rsidP="00F67E9E">
      <w:pPr>
        <w:pStyle w:val="Numbered111"/>
        <w:tabs>
          <w:tab w:val="clear" w:pos="1800"/>
          <w:tab w:val="num" w:pos="2160"/>
        </w:tabs>
      </w:pPr>
      <w:r w:rsidRPr="00A4516A">
        <w:t>incorporates all of the Milestones and Milestone Dates set out in the Outline Implementation Plan;</w:t>
      </w:r>
    </w:p>
    <w:p w14:paraId="399274A4" w14:textId="77777777" w:rsidR="00F67E9E" w:rsidRPr="00A4516A" w:rsidRDefault="00F67E9E" w:rsidP="00F67E9E">
      <w:pPr>
        <w:pStyle w:val="Numbered111"/>
        <w:tabs>
          <w:tab w:val="clear" w:pos="1800"/>
          <w:tab w:val="num" w:pos="2160"/>
        </w:tabs>
      </w:pPr>
      <w:r w:rsidRPr="00A4516A">
        <w:t>includes (as a minimum) the Supplier</w:t>
      </w:r>
      <w:r>
        <w:t>’</w:t>
      </w:r>
      <w:r w:rsidRPr="00A4516A">
        <w:t>s proposed timescales in respect of the following for each of the Milestones:</w:t>
      </w:r>
    </w:p>
    <w:p w14:paraId="4291819C" w14:textId="77777777" w:rsidR="00F67E9E" w:rsidRPr="00A4516A" w:rsidRDefault="00F67E9E" w:rsidP="00F67E9E">
      <w:pPr>
        <w:pStyle w:val="Numbered111a"/>
        <w:tabs>
          <w:tab w:val="clear" w:pos="2520"/>
          <w:tab w:val="num" w:pos="2880"/>
        </w:tabs>
      </w:pPr>
      <w:r w:rsidRPr="00A4516A">
        <w:t>the completion of each design document;</w:t>
      </w:r>
    </w:p>
    <w:p w14:paraId="632602D4" w14:textId="77777777" w:rsidR="00F67E9E" w:rsidRPr="00A4516A" w:rsidRDefault="00F67E9E" w:rsidP="00F67E9E">
      <w:pPr>
        <w:pStyle w:val="Numbered111a"/>
        <w:tabs>
          <w:tab w:val="clear" w:pos="2520"/>
          <w:tab w:val="num" w:pos="2880"/>
        </w:tabs>
      </w:pPr>
      <w:r w:rsidRPr="00A4516A">
        <w:t>the completion of the build phase;</w:t>
      </w:r>
    </w:p>
    <w:p w14:paraId="444771F5" w14:textId="59AD737F" w:rsidR="00F67E9E" w:rsidRPr="00A4516A" w:rsidRDefault="00F67E9E" w:rsidP="00F67E9E">
      <w:pPr>
        <w:pStyle w:val="Numbered111a"/>
        <w:tabs>
          <w:tab w:val="clear" w:pos="2520"/>
          <w:tab w:val="num" w:pos="2880"/>
        </w:tabs>
      </w:pPr>
      <w:r w:rsidRPr="00A4516A">
        <w:t xml:space="preserve">the completion of any Testing to be undertaken in accordance with </w:t>
      </w:r>
      <w:r>
        <w:fldChar w:fldCharType="begin"/>
      </w:r>
      <w:r>
        <w:instrText xml:space="preserve"> REF Schedule14 \h </w:instrText>
      </w:r>
      <w:r>
        <w:fldChar w:fldCharType="separate"/>
      </w:r>
      <w:r w:rsidR="007A1473" w:rsidRPr="005D0525">
        <w:t>Schedule</w:t>
      </w:r>
      <w:r w:rsidR="007A1473">
        <w:t> </w:t>
      </w:r>
      <w:r w:rsidR="007A1473" w:rsidRPr="005D0525">
        <w:t>14</w:t>
      </w:r>
      <w:r>
        <w:fldChar w:fldCharType="end"/>
      </w:r>
      <w:r>
        <w:t xml:space="preserve"> (</w:t>
      </w:r>
      <w:r w:rsidRPr="00B91437">
        <w:rPr>
          <w:i/>
          <w:iCs/>
        </w:rPr>
        <w:fldChar w:fldCharType="begin"/>
      </w:r>
      <w:r w:rsidRPr="00B91437">
        <w:rPr>
          <w:i/>
          <w:iCs/>
        </w:rPr>
        <w:instrText xml:space="preserve"> REF Schedule14Heading \h </w:instrText>
      </w:r>
      <w:r>
        <w:rPr>
          <w:i/>
          <w:iCs/>
        </w:rPr>
        <w:instrText xml:space="preserve"> \* MERGEFORMAT </w:instrText>
      </w:r>
      <w:r w:rsidRPr="00B91437">
        <w:rPr>
          <w:i/>
          <w:iCs/>
        </w:rPr>
      </w:r>
      <w:r w:rsidRPr="00B91437">
        <w:rPr>
          <w:i/>
          <w:iCs/>
        </w:rPr>
        <w:fldChar w:fldCharType="separate"/>
      </w:r>
      <w:r w:rsidR="007A1473" w:rsidRPr="007A1473">
        <w:rPr>
          <w:i/>
          <w:iCs/>
        </w:rPr>
        <w:t>Testing Procedures</w:t>
      </w:r>
      <w:r w:rsidRPr="00B91437">
        <w:rPr>
          <w:i/>
          <w:iCs/>
        </w:rPr>
        <w:fldChar w:fldCharType="end"/>
      </w:r>
      <w:r>
        <w:t>)</w:t>
      </w:r>
      <w:r w:rsidRPr="00A4516A">
        <w:t>; and</w:t>
      </w:r>
    </w:p>
    <w:p w14:paraId="03EB8FE9" w14:textId="77777777" w:rsidR="00F67E9E" w:rsidRPr="00A4516A" w:rsidRDefault="00F67E9E" w:rsidP="00F67E9E">
      <w:pPr>
        <w:pStyle w:val="Numbered111a"/>
        <w:tabs>
          <w:tab w:val="clear" w:pos="2520"/>
          <w:tab w:val="num" w:pos="2880"/>
        </w:tabs>
      </w:pPr>
      <w:r w:rsidRPr="00A4516A">
        <w:t>training and roll-out activities;</w:t>
      </w:r>
    </w:p>
    <w:p w14:paraId="7EFC9131" w14:textId="77777777" w:rsidR="00F67E9E" w:rsidRPr="00A4516A" w:rsidRDefault="00F67E9E" w:rsidP="00F67E9E">
      <w:pPr>
        <w:pStyle w:val="Numbered111"/>
        <w:tabs>
          <w:tab w:val="clear" w:pos="1800"/>
          <w:tab w:val="num" w:pos="2160"/>
        </w:tabs>
      </w:pPr>
      <w:r w:rsidRPr="00A4516A">
        <w:t>clearly outlines all the steps required to implement the Milestones to be achieved in the next 15 months, together with a high level plan for the rest of the programme, in conformity with the Authority Requirements;</w:t>
      </w:r>
    </w:p>
    <w:p w14:paraId="3A5B03CE" w14:textId="77777777" w:rsidR="00F67E9E" w:rsidRPr="00A4516A" w:rsidRDefault="00F67E9E" w:rsidP="00F67E9E">
      <w:pPr>
        <w:pStyle w:val="Numbered111"/>
        <w:tabs>
          <w:tab w:val="clear" w:pos="1800"/>
          <w:tab w:val="num" w:pos="2160"/>
        </w:tabs>
      </w:pPr>
      <w:r w:rsidRPr="00A4516A">
        <w:t>clearly outlines the required roles and responsibilities of both Parties, including staffing requirements; and</w:t>
      </w:r>
    </w:p>
    <w:p w14:paraId="52F53F8D" w14:textId="77777777" w:rsidR="006D04C1" w:rsidRDefault="00F67E9E" w:rsidP="00F67E9E">
      <w:pPr>
        <w:pStyle w:val="Numbered111"/>
        <w:tabs>
          <w:tab w:val="clear" w:pos="1800"/>
          <w:tab w:val="num" w:pos="2160"/>
        </w:tabs>
      </w:pPr>
      <w:r w:rsidRPr="00A4516A">
        <w:t>is produced using a software tool as specified, or agreed by the Authority</w:t>
      </w:r>
      <w:r w:rsidR="006D04C1">
        <w:t>; and</w:t>
      </w:r>
    </w:p>
    <w:p w14:paraId="03D73DFD" w14:textId="04077E7B" w:rsidR="006D04C1" w:rsidRDefault="006D04C1" w:rsidP="00F67E9E">
      <w:pPr>
        <w:pStyle w:val="Numbered111"/>
        <w:tabs>
          <w:tab w:val="clear" w:pos="1800"/>
          <w:tab w:val="num" w:pos="2160"/>
        </w:tabs>
      </w:pPr>
      <w:r>
        <w:lastRenderedPageBreak/>
        <w:t xml:space="preserve">includes the information required to be included under any other provisions of this Agreement, including, but not limited to, under Paragraphs 14.4 and 14.5 of Schedule 5 </w:t>
      </w:r>
      <w:r w:rsidRPr="006D04C1">
        <w:rPr>
          <w:i/>
        </w:rPr>
        <w:t>(Security Management)</w:t>
      </w:r>
      <w:r>
        <w:t xml:space="preserve"> as follows:</w:t>
      </w:r>
    </w:p>
    <w:p w14:paraId="20A4E19B" w14:textId="2E886369" w:rsidR="006D04C1" w:rsidRDefault="006D04C1" w:rsidP="006D04C1">
      <w:pPr>
        <w:pStyle w:val="Numbered111a"/>
      </w:pPr>
      <w:r>
        <w:t xml:space="preserve">sufficient information concerning the steps it will take to ensure compliance with the requirements of Schedule 5 </w:t>
      </w:r>
      <w:r w:rsidRPr="006D04C1">
        <w:rPr>
          <w:i/>
        </w:rPr>
        <w:t>(Security Management)</w:t>
      </w:r>
      <w:r>
        <w:t>, including any requirements imposed on Sub-contractors;</w:t>
      </w:r>
    </w:p>
    <w:p w14:paraId="706FB306" w14:textId="1A15C78D" w:rsidR="006D04C1" w:rsidRDefault="006D04C1" w:rsidP="006D04C1">
      <w:pPr>
        <w:pStyle w:val="Numbered111a"/>
      </w:pPr>
      <w:r>
        <w:t>provision for sufficient time for the Authority to undertake any Authority-led Assurance activities; and</w:t>
      </w:r>
    </w:p>
    <w:p w14:paraId="0833E478" w14:textId="77777777" w:rsidR="006D04C1" w:rsidRDefault="006D04C1" w:rsidP="006D04C1">
      <w:pPr>
        <w:pStyle w:val="Numbered111a"/>
      </w:pPr>
      <w:r>
        <w:t>provision for sufficient time for the Supplier to address any issued raised by the Authority should it issue a Risk Management Rejection Notice.</w:t>
      </w:r>
    </w:p>
    <w:p w14:paraId="49D089AA" w14:textId="77777777" w:rsidR="006D04C1" w:rsidRDefault="006D04C1" w:rsidP="006D04C1">
      <w:pPr>
        <w:pStyle w:val="Numbered111a"/>
      </w:pPr>
      <w:r>
        <w:t>In particular, the Detailed Implementation Plan must include:</w:t>
      </w:r>
    </w:p>
    <w:p w14:paraId="603E0FD4" w14:textId="77777777" w:rsidR="006D04C1" w:rsidRDefault="006D04C1" w:rsidP="006D04C1">
      <w:pPr>
        <w:pStyle w:val="Numbered111ai"/>
      </w:pPr>
      <w:r>
        <w:t>the dates on which each subsequent iteration of the Security Management Plan will be delivered to the Authority for review and staged approval; and</w:t>
      </w:r>
    </w:p>
    <w:p w14:paraId="47F22663" w14:textId="77777777" w:rsidR="006D04C1" w:rsidRDefault="006D04C1" w:rsidP="006D04C1">
      <w:pPr>
        <w:pStyle w:val="Numbered111ai"/>
      </w:pPr>
      <w:r>
        <w:t>the date by which the Supplier is required to have received a Residual Risk Statement from the Authority together with details of each:</w:t>
      </w:r>
    </w:p>
    <w:p w14:paraId="2FB76CCC" w14:textId="77777777" w:rsidR="006D04C1" w:rsidRDefault="006D04C1" w:rsidP="006D04C1">
      <w:pPr>
        <w:pStyle w:val="Numbered111ai"/>
      </w:pPr>
      <w:r>
        <w:t>tasks the Supplier must complete, including any required Security Tests;</w:t>
      </w:r>
    </w:p>
    <w:p w14:paraId="2AD596DE" w14:textId="77777777" w:rsidR="006D04C1" w:rsidRDefault="006D04C1" w:rsidP="006D04C1">
      <w:pPr>
        <w:pStyle w:val="Numbered111ai"/>
      </w:pPr>
      <w:r>
        <w:t xml:space="preserve">Milestones which must be Achieved; and </w:t>
      </w:r>
    </w:p>
    <w:p w14:paraId="5F09846F" w14:textId="5CF32FD1" w:rsidR="006D04C1" w:rsidRDefault="006D04C1" w:rsidP="006D04C1">
      <w:pPr>
        <w:pStyle w:val="Numbered111ai"/>
      </w:pPr>
      <w:r>
        <w:t>Authority Responsibilities which must be completed,</w:t>
      </w:r>
    </w:p>
    <w:p w14:paraId="0B2A8299" w14:textId="3FBDB663" w:rsidR="006D04C1" w:rsidRDefault="006D04C1" w:rsidP="006D04C1">
      <w:pPr>
        <w:pStyle w:val="Numbered111ai"/>
      </w:pPr>
      <w:r>
        <w:t xml:space="preserve">for the Supplier to receive a Risk Management Approval Statement pursuant to paragraph 14.7(a) of Schedule 5 </w:t>
      </w:r>
      <w:r w:rsidRPr="006D04C1">
        <w:rPr>
          <w:i/>
        </w:rPr>
        <w:t>(Security Management)</w:t>
      </w:r>
      <w:r>
        <w:t xml:space="preserve">; </w:t>
      </w:r>
    </w:p>
    <w:p w14:paraId="36587948" w14:textId="77B3146D" w:rsidR="00F67E9E" w:rsidRPr="00A4516A" w:rsidRDefault="00F67E9E" w:rsidP="00F67E9E">
      <w:pPr>
        <w:pStyle w:val="Numbered11"/>
      </w:pPr>
      <w:r w:rsidRPr="00560BA2">
        <w:t xml:space="preserve">Prior to the submission of the draft Detailed Implementation Plan to the Authority in accordance </w:t>
      </w:r>
      <w:r w:rsidRPr="00820382">
        <w:t>with</w:t>
      </w:r>
      <w:r w:rsidRPr="00560BA2">
        <w:t xml:space="preserve"> </w:t>
      </w:r>
      <w:bookmarkStart w:id="660" w:name="_9kMHG5YVtCIAFKDDEfTlXiC85zt3I9sx9HRB4CK"/>
      <w:r w:rsidRPr="00560BA2">
        <w:t xml:space="preserve">Paragraph </w:t>
      </w:r>
      <w:bookmarkEnd w:id="660"/>
      <w:r w:rsidRPr="00560BA2">
        <w:fldChar w:fldCharType="begin"/>
      </w:r>
      <w:r w:rsidRPr="00560BA2">
        <w:instrText xml:space="preserve"> REF _9kR3WTrAG8DIBBCdRjVgA63xr1G7qv7FP92AIBw \r \h </w:instrText>
      </w:r>
      <w:r>
        <w:instrText xml:space="preserve"> \* MERGEFORMAT </w:instrText>
      </w:r>
      <w:r w:rsidRPr="00560BA2">
        <w:fldChar w:fldCharType="separate"/>
      </w:r>
      <w:r w:rsidR="007A1473">
        <w:t>3.1</w:t>
      </w:r>
      <w:r w:rsidRPr="00560BA2">
        <w:fldChar w:fldCharType="end"/>
      </w:r>
      <w:r w:rsidRPr="00560BA2">
        <w:t>, the</w:t>
      </w:r>
      <w:r w:rsidRPr="00A4516A">
        <w:t xml:space="preserve"> Authority shall have the right:</w:t>
      </w:r>
    </w:p>
    <w:p w14:paraId="7B318343" w14:textId="77777777" w:rsidR="00F67E9E" w:rsidRPr="00A4516A" w:rsidRDefault="00F67E9E" w:rsidP="00F67E9E">
      <w:pPr>
        <w:pStyle w:val="Numbered111"/>
        <w:tabs>
          <w:tab w:val="clear" w:pos="1800"/>
          <w:tab w:val="num" w:pos="2160"/>
        </w:tabs>
      </w:pPr>
      <w:r w:rsidRPr="00A4516A">
        <w:t>to review any documentation produced by the Supplier in relation to the development of the Detailed Implementation Plan, including:</w:t>
      </w:r>
    </w:p>
    <w:p w14:paraId="3585A5D0" w14:textId="77777777" w:rsidR="00F67E9E" w:rsidRPr="00A4516A" w:rsidRDefault="00F67E9E" w:rsidP="00F67E9E">
      <w:pPr>
        <w:pStyle w:val="Numbered111a"/>
        <w:tabs>
          <w:tab w:val="clear" w:pos="2520"/>
          <w:tab w:val="num" w:pos="2880"/>
        </w:tabs>
      </w:pPr>
      <w:r w:rsidRPr="00A4516A">
        <w:t>details of the Supplier</w:t>
      </w:r>
      <w:r>
        <w:t>’</w:t>
      </w:r>
      <w:r w:rsidRPr="00A4516A">
        <w:t>s intended approach to the Detailed Implementation Plan and its development;</w:t>
      </w:r>
    </w:p>
    <w:p w14:paraId="6336FBCB" w14:textId="77777777" w:rsidR="00F67E9E" w:rsidRPr="00A4516A" w:rsidRDefault="00F67E9E" w:rsidP="00F67E9E">
      <w:pPr>
        <w:pStyle w:val="Numbered111a"/>
        <w:tabs>
          <w:tab w:val="clear" w:pos="2520"/>
          <w:tab w:val="num" w:pos="2880"/>
        </w:tabs>
      </w:pPr>
      <w:r w:rsidRPr="00A4516A">
        <w:t>copies of any drafts of the Detailed Implementation Plan produced by the Supplier; and</w:t>
      </w:r>
    </w:p>
    <w:p w14:paraId="4F6695C7" w14:textId="77777777" w:rsidR="00F67E9E" w:rsidRPr="00A4516A" w:rsidRDefault="00F67E9E" w:rsidP="00F67E9E">
      <w:pPr>
        <w:pStyle w:val="Numbered111a"/>
        <w:tabs>
          <w:tab w:val="clear" w:pos="2520"/>
          <w:tab w:val="num" w:pos="2880"/>
        </w:tabs>
      </w:pPr>
      <w:r w:rsidRPr="00A4516A">
        <w:t xml:space="preserve">any other work in progress in relation to the Detailed Implementation Plan; and </w:t>
      </w:r>
    </w:p>
    <w:p w14:paraId="2D8CD6E0" w14:textId="77777777" w:rsidR="00F67E9E" w:rsidRPr="00A4516A" w:rsidRDefault="00F67E9E" w:rsidP="00F67E9E">
      <w:pPr>
        <w:pStyle w:val="Numbered111"/>
        <w:tabs>
          <w:tab w:val="clear" w:pos="1800"/>
          <w:tab w:val="num" w:pos="2160"/>
        </w:tabs>
      </w:pPr>
      <w:r w:rsidRPr="00A4516A">
        <w:t>to require the Supplier to include any reasonable changes or provisions in the Detailed Implementation Plan.</w:t>
      </w:r>
    </w:p>
    <w:p w14:paraId="0F1C1237" w14:textId="77777777" w:rsidR="00F67E9E" w:rsidRPr="00A4516A" w:rsidRDefault="00F67E9E" w:rsidP="00F67E9E">
      <w:pPr>
        <w:pStyle w:val="Numbered11"/>
      </w:pPr>
      <w:bookmarkStart w:id="661" w:name="_Ref_ContractCompanion_9kb9Ur9E8"/>
      <w:bookmarkStart w:id="662" w:name="_9kR3WTrAG8DIEEFSKxvzB6yx21nov7JJ6CF1yCA"/>
      <w:r w:rsidRPr="00A4516A">
        <w:t>Following receipt of the draft Detailed Implementation Plan from the Supplier, the Authority shall:</w:t>
      </w:r>
      <w:bookmarkEnd w:id="661"/>
      <w:bookmarkEnd w:id="662"/>
    </w:p>
    <w:p w14:paraId="42F37C5B" w14:textId="77777777" w:rsidR="00F67E9E" w:rsidRPr="00A4516A" w:rsidRDefault="00F67E9E" w:rsidP="00F67E9E">
      <w:pPr>
        <w:pStyle w:val="Numbered111"/>
        <w:tabs>
          <w:tab w:val="clear" w:pos="1800"/>
          <w:tab w:val="num" w:pos="2160"/>
        </w:tabs>
      </w:pPr>
      <w:r w:rsidRPr="00A4516A">
        <w:lastRenderedPageBreak/>
        <w:t>review and comment on the draft Detailed Implementation Plan as soon as reasonably practicable; and</w:t>
      </w:r>
    </w:p>
    <w:p w14:paraId="11F687A1" w14:textId="77777777" w:rsidR="00F67E9E" w:rsidRPr="00A4516A" w:rsidRDefault="00F67E9E" w:rsidP="00F67E9E">
      <w:pPr>
        <w:pStyle w:val="Numbered111"/>
        <w:tabs>
          <w:tab w:val="clear" w:pos="1800"/>
          <w:tab w:val="num" w:pos="2160"/>
        </w:tabs>
      </w:pPr>
      <w:r w:rsidRPr="00A4516A">
        <w:t xml:space="preserve">notify the Supplier in writing that it approves or rejects the draft Detailed Implementation Plan no later than 20 Working Days after the date on which the draft Detailed Implementation Plan is first delivered to the Authority. </w:t>
      </w:r>
    </w:p>
    <w:p w14:paraId="39BDD36D" w14:textId="77777777" w:rsidR="00F67E9E" w:rsidRPr="00A4516A" w:rsidRDefault="00F67E9E" w:rsidP="00F67E9E">
      <w:pPr>
        <w:pStyle w:val="Numbered11"/>
      </w:pPr>
      <w:bookmarkStart w:id="663" w:name="_Ref_ContractCompanion_9kb9Ur9EB"/>
      <w:bookmarkStart w:id="664" w:name="_9kR3WTrAG8DIHHGWEwzlFQG40B69QP6z0uARSI4"/>
      <w:r w:rsidRPr="00A4516A">
        <w:t xml:space="preserve">If the </w:t>
      </w:r>
      <w:r w:rsidRPr="00820382">
        <w:t>Authority</w:t>
      </w:r>
      <w:r w:rsidRPr="00A4516A">
        <w:t xml:space="preserve"> rejects the draft Detailed Implementation Plan:</w:t>
      </w:r>
      <w:bookmarkEnd w:id="663"/>
      <w:bookmarkEnd w:id="664"/>
    </w:p>
    <w:p w14:paraId="4264CF52" w14:textId="77777777" w:rsidR="00F67E9E" w:rsidRPr="00A4516A" w:rsidRDefault="00F67E9E" w:rsidP="00F67E9E">
      <w:pPr>
        <w:pStyle w:val="Numbered111"/>
        <w:tabs>
          <w:tab w:val="clear" w:pos="1800"/>
          <w:tab w:val="num" w:pos="2160"/>
        </w:tabs>
      </w:pPr>
      <w:r w:rsidRPr="00A4516A">
        <w:t>the Authority shall inform the Supplier in writing of its reasons for its rejection; and</w:t>
      </w:r>
    </w:p>
    <w:p w14:paraId="307244A6" w14:textId="34616D64" w:rsidR="00F67E9E" w:rsidRPr="00A4516A" w:rsidRDefault="00F67E9E" w:rsidP="00F67E9E">
      <w:pPr>
        <w:pStyle w:val="Numbered111"/>
        <w:tabs>
          <w:tab w:val="clear" w:pos="1800"/>
          <w:tab w:val="num" w:pos="2160"/>
        </w:tabs>
      </w:pPr>
      <w:r w:rsidRPr="00A4516A">
        <w:t>the Supplier shall then revise the draft Detailed Implementation Plan (taking reasonable account of the Authority</w:t>
      </w:r>
      <w:r>
        <w:t>’</w:t>
      </w:r>
      <w:r w:rsidRPr="00A4516A">
        <w:t>s comments) and shall re-submit a revised draft Detailed Implementation Plan to the Authority for the Authority</w:t>
      </w:r>
      <w:r>
        <w:t>’</w:t>
      </w:r>
      <w:r w:rsidRPr="00A4516A">
        <w:t xml:space="preserve">s approval within 20 Working Days of the date </w:t>
      </w:r>
      <w:r w:rsidRPr="00D5341B">
        <w:t>of the Authority</w:t>
      </w:r>
      <w:r>
        <w:t>’</w:t>
      </w:r>
      <w:r w:rsidRPr="00D5341B">
        <w:t xml:space="preserve">s notice of rejection. The provisions of </w:t>
      </w:r>
      <w:bookmarkStart w:id="665" w:name="_9kMHG5YVtCIAFKGGHUMzx1D80z43pqx9LL8EH30"/>
      <w:r w:rsidRPr="00D5341B">
        <w:t xml:space="preserve">Paragraph </w:t>
      </w:r>
      <w:bookmarkEnd w:id="665"/>
      <w:r w:rsidRPr="00D5341B">
        <w:fldChar w:fldCharType="begin"/>
      </w:r>
      <w:r w:rsidRPr="00D5341B">
        <w:instrText xml:space="preserve"> REF _Ref_ContractCompanion_9kb9Ur9E8 \r \h </w:instrText>
      </w:r>
      <w:r>
        <w:instrText xml:space="preserve"> \* MERGEFORMAT </w:instrText>
      </w:r>
      <w:r w:rsidRPr="00D5341B">
        <w:fldChar w:fldCharType="separate"/>
      </w:r>
      <w:r w:rsidR="007A1473">
        <w:t>3.4</w:t>
      </w:r>
      <w:r w:rsidRPr="00D5341B">
        <w:fldChar w:fldCharType="end"/>
      </w:r>
      <w:r w:rsidRPr="00D5341B">
        <w:t xml:space="preserve"> and this </w:t>
      </w:r>
      <w:bookmarkStart w:id="666" w:name="_9kMHG5YVtCIAFKJJIYGy1nHSI62D8BSR812wCTU"/>
      <w:r w:rsidRPr="00D5341B">
        <w:t xml:space="preserve">Paragraph </w:t>
      </w:r>
      <w:bookmarkEnd w:id="666"/>
      <w:r w:rsidRPr="00D5341B">
        <w:fldChar w:fldCharType="begin"/>
      </w:r>
      <w:r w:rsidRPr="00D5341B">
        <w:instrText xml:space="preserve"> REF _Ref_ContractCompanion_9kb9Ur9EB \r \h </w:instrText>
      </w:r>
      <w:r>
        <w:instrText xml:space="preserve"> \* MERGEFORMAT </w:instrText>
      </w:r>
      <w:r w:rsidRPr="00D5341B">
        <w:fldChar w:fldCharType="separate"/>
      </w:r>
      <w:r w:rsidR="007A1473">
        <w:t>3.5</w:t>
      </w:r>
      <w:r w:rsidRPr="00D5341B">
        <w:fldChar w:fldCharType="end"/>
      </w:r>
      <w:r w:rsidRPr="00D5341B">
        <w:t xml:space="preserve"> shall apply again to any resubmitted draft Detailed Implementation</w:t>
      </w:r>
      <w:r w:rsidRPr="00A4516A">
        <w:t xml:space="preserve"> Plan, provided that either Party may refer any disputed matters for resolution by the Dispute Resolution Procedure at any time.</w:t>
      </w:r>
    </w:p>
    <w:p w14:paraId="2AC04F33" w14:textId="77777777" w:rsidR="00F67E9E" w:rsidRPr="00A4516A" w:rsidRDefault="00F67E9E" w:rsidP="00F67E9E">
      <w:pPr>
        <w:pStyle w:val="Numbered11"/>
      </w:pPr>
      <w:r w:rsidRPr="00A4516A">
        <w:t xml:space="preserve">If the Authority approves the draft Detailed Implementation Plan, it shall replace the Outline </w:t>
      </w:r>
      <w:r w:rsidRPr="00820382">
        <w:t>Implementation</w:t>
      </w:r>
      <w:r w:rsidRPr="00A4516A">
        <w:t xml:space="preserve"> Plan from the date of the Authority</w:t>
      </w:r>
      <w:r>
        <w:t>’</w:t>
      </w:r>
      <w:r w:rsidRPr="00A4516A">
        <w:t>s notice of approval.</w:t>
      </w:r>
    </w:p>
    <w:p w14:paraId="2EAB2887" w14:textId="77777777" w:rsidR="00F67E9E" w:rsidRPr="00A4516A" w:rsidRDefault="00F67E9E" w:rsidP="00F67E9E">
      <w:pPr>
        <w:pStyle w:val="Numbered1"/>
      </w:pPr>
      <w:bookmarkStart w:id="667" w:name="_Ref44508311"/>
      <w:r w:rsidRPr="00A4516A">
        <w:t xml:space="preserve">Updates </w:t>
      </w:r>
      <w:r>
        <w:t>t</w:t>
      </w:r>
      <w:r w:rsidRPr="00A4516A">
        <w:t xml:space="preserve">o And </w:t>
      </w:r>
      <w:r w:rsidRPr="00820382">
        <w:t>Maintenance</w:t>
      </w:r>
      <w:r w:rsidRPr="00A4516A">
        <w:t xml:space="preserve"> </w:t>
      </w:r>
      <w:r>
        <w:t>o</w:t>
      </w:r>
      <w:r w:rsidRPr="00A4516A">
        <w:t xml:space="preserve">f </w:t>
      </w:r>
      <w:r>
        <w:t>t</w:t>
      </w:r>
      <w:r w:rsidRPr="00A4516A">
        <w:t>he Detailed Implementation Plan</w:t>
      </w:r>
      <w:bookmarkEnd w:id="667"/>
    </w:p>
    <w:p w14:paraId="773E8414" w14:textId="77777777" w:rsidR="00F67E9E" w:rsidRPr="00A4516A" w:rsidRDefault="00F67E9E" w:rsidP="00F67E9E">
      <w:pPr>
        <w:pStyle w:val="Numbered11"/>
        <w:tabs>
          <w:tab w:val="clear" w:pos="720"/>
          <w:tab w:val="num" w:pos="1080"/>
        </w:tabs>
      </w:pPr>
      <w:r w:rsidRPr="00A4516A">
        <w:t>Following the approval of the Detailed Implementation Plan by the Authority:</w:t>
      </w:r>
    </w:p>
    <w:p w14:paraId="345DE695" w14:textId="77777777" w:rsidR="00F67E9E" w:rsidRPr="00A4516A" w:rsidRDefault="00F67E9E" w:rsidP="00F67E9E">
      <w:pPr>
        <w:pStyle w:val="Numbered111"/>
        <w:tabs>
          <w:tab w:val="clear" w:pos="1800"/>
          <w:tab w:val="num" w:pos="2160"/>
        </w:tabs>
      </w:pPr>
      <w:bookmarkStart w:id="668" w:name="_9kR3WTrAG8DJBBDkqykWhB74ys2H8rw8GQA3BJC"/>
      <w:bookmarkStart w:id="669" w:name="_Ref_ContractCompanion_9kb9Ur9EE"/>
      <w:r w:rsidRPr="00A4516A">
        <w:t>the Supplier shall submit a revised Detailed Implementation Plan to the Authority every 3 months starting 3 months from the Effective Date;</w:t>
      </w:r>
      <w:bookmarkEnd w:id="668"/>
      <w:r w:rsidRPr="00A4516A">
        <w:t xml:space="preserve"> </w:t>
      </w:r>
      <w:bookmarkEnd w:id="669"/>
    </w:p>
    <w:p w14:paraId="1163AA96" w14:textId="7744B248" w:rsidR="00F67E9E" w:rsidRPr="00D5341B" w:rsidRDefault="00F67E9E" w:rsidP="00F67E9E">
      <w:pPr>
        <w:pStyle w:val="Numbered111"/>
        <w:tabs>
          <w:tab w:val="clear" w:pos="1800"/>
          <w:tab w:val="num" w:pos="2160"/>
        </w:tabs>
      </w:pPr>
      <w:r w:rsidRPr="00D5341B">
        <w:t xml:space="preserve">without prejudice to </w:t>
      </w:r>
      <w:bookmarkStart w:id="670" w:name="_9kMHG5YVtCIAFLDDFms0mYjD960u4JAtyAISC5D"/>
      <w:r w:rsidRPr="00D5341B">
        <w:t xml:space="preserve">Paragraph </w:t>
      </w:r>
      <w:bookmarkEnd w:id="670"/>
      <w:r w:rsidRPr="00D5341B">
        <w:fldChar w:fldCharType="begin"/>
      </w:r>
      <w:r w:rsidRPr="00D5341B">
        <w:instrText xml:space="preserve"> REF _9kR3WTrAG8DJBBDkqykWhB74ys2H8rw8GQA3BJC \w \h </w:instrText>
      </w:r>
      <w:r>
        <w:instrText xml:space="preserve"> \* MERGEFORMAT </w:instrText>
      </w:r>
      <w:r w:rsidRPr="00D5341B">
        <w:fldChar w:fldCharType="separate"/>
      </w:r>
      <w:r w:rsidR="007A1473">
        <w:t>4.1.1</w:t>
      </w:r>
      <w:r w:rsidRPr="00D5341B">
        <w:fldChar w:fldCharType="end"/>
      </w:r>
      <w:r w:rsidRPr="00D5341B">
        <w:t xml:space="preserve">, the Authority shall be entitled to request a revised Detailed Implementation Plan at any time by giving written notice to the Supplier and the Supplier shall submit a draft revised Detailed Implementation Plan to the Authority within 20 Working Days of receiving such a request from the Authority (or such longer period as the Parties may agree provided that any failure to agree such longer period shall be referred to the Dispute Resolution Procedure); </w:t>
      </w:r>
    </w:p>
    <w:p w14:paraId="379408C5" w14:textId="0F188DEB" w:rsidR="00F67E9E" w:rsidRPr="00D5341B" w:rsidRDefault="00F67E9E" w:rsidP="00F67E9E">
      <w:pPr>
        <w:pStyle w:val="Numbered111"/>
        <w:tabs>
          <w:tab w:val="clear" w:pos="1800"/>
          <w:tab w:val="num" w:pos="2160"/>
        </w:tabs>
      </w:pPr>
      <w:r w:rsidRPr="00D5341B">
        <w:t xml:space="preserve">any revised Detailed Implementation Plan shall (subject to </w:t>
      </w:r>
      <w:bookmarkStart w:id="671" w:name="_9kMHG5YVtCIAFLGGGfLv0lw9wtI6v022246MSWM"/>
      <w:r w:rsidRPr="00D5341B">
        <w:t xml:space="preserve">Paragraph </w:t>
      </w:r>
      <w:r w:rsidRPr="00D5341B">
        <w:fldChar w:fldCharType="begin"/>
      </w:r>
      <w:r w:rsidRPr="00D5341B">
        <w:instrText xml:space="preserve"> REF _Ref_ContractCompanion_9kb9Ur9F8 \n \h \t \* MERGEFORMAT </w:instrText>
      </w:r>
      <w:r w:rsidRPr="00D5341B">
        <w:fldChar w:fldCharType="separate"/>
      </w:r>
      <w:r w:rsidR="007A1473">
        <w:t>4.2</w:t>
      </w:r>
      <w:r w:rsidRPr="00D5341B">
        <w:fldChar w:fldCharType="end"/>
      </w:r>
      <w:bookmarkEnd w:id="671"/>
      <w:r w:rsidRPr="00D5341B">
        <w:t xml:space="preserve">) be submitted by the Supplier for approval in accordance with the procedure set out in </w:t>
      </w:r>
      <w:bookmarkStart w:id="672" w:name="_9kMHG5YVtCIAFLJhLhkhy7sEPNX1HKKPC3IDJM8"/>
      <w:r w:rsidRPr="00D5341B">
        <w:t xml:space="preserve">Paragraph </w:t>
      </w:r>
      <w:r w:rsidRPr="00D5341B">
        <w:fldChar w:fldCharType="begin"/>
      </w:r>
      <w:r w:rsidRPr="00D5341B">
        <w:instrText xml:space="preserve"> REF _Ref_ContractCompanion_9kb9Ur9FB \w \n \h \t \* MERGEFORMAT </w:instrText>
      </w:r>
      <w:r w:rsidRPr="00D5341B">
        <w:fldChar w:fldCharType="separate"/>
      </w:r>
      <w:r w:rsidR="007A1473">
        <w:t>3</w:t>
      </w:r>
      <w:r w:rsidRPr="00D5341B">
        <w:fldChar w:fldCharType="end"/>
      </w:r>
      <w:bookmarkEnd w:id="672"/>
      <w:r w:rsidRPr="00D5341B">
        <w:t>; and</w:t>
      </w:r>
    </w:p>
    <w:p w14:paraId="452143F5" w14:textId="570EB254" w:rsidR="00F67E9E" w:rsidRPr="00A4516A" w:rsidRDefault="00F67E9E" w:rsidP="00F67E9E">
      <w:pPr>
        <w:pStyle w:val="Numbered111"/>
        <w:tabs>
          <w:tab w:val="clear" w:pos="1800"/>
          <w:tab w:val="num" w:pos="2160"/>
        </w:tabs>
      </w:pPr>
      <w:r w:rsidRPr="00D5341B">
        <w:t>the Supplier</w:t>
      </w:r>
      <w:r>
        <w:t>’</w:t>
      </w:r>
      <w:r w:rsidRPr="00D5341B">
        <w:t>s performance against the Implementation</w:t>
      </w:r>
      <w:r w:rsidRPr="00A4516A">
        <w:t xml:space="preserve"> Plan shall be monitored at meetings of the </w:t>
      </w:r>
      <w:r w:rsidR="001D5ACD">
        <w:t xml:space="preserve">Live </w:t>
      </w:r>
      <w:r w:rsidRPr="00A4516A">
        <w:t xml:space="preserve">Service Management Board (as defined in </w:t>
      </w:r>
      <w:r>
        <w:fldChar w:fldCharType="begin"/>
      </w:r>
      <w:r>
        <w:instrText xml:space="preserve"> REF Schedule21 \h </w:instrText>
      </w:r>
      <w:r>
        <w:fldChar w:fldCharType="separate"/>
      </w:r>
      <w:r w:rsidR="007A1473" w:rsidRPr="005D0525">
        <w:t>Schedule</w:t>
      </w:r>
      <w:r w:rsidR="007A1473">
        <w:t> </w:t>
      </w:r>
      <w:r w:rsidR="007A1473" w:rsidRPr="005D0525">
        <w:t>21</w:t>
      </w:r>
      <w:r>
        <w:fldChar w:fldCharType="end"/>
      </w:r>
      <w:r>
        <w:t xml:space="preserve"> (</w:t>
      </w:r>
      <w:r w:rsidRPr="002F30DB">
        <w:rPr>
          <w:i/>
          <w:iCs/>
        </w:rPr>
        <w:fldChar w:fldCharType="begin"/>
      </w:r>
      <w:r w:rsidRPr="002F30DB">
        <w:rPr>
          <w:i/>
          <w:iCs/>
        </w:rPr>
        <w:instrText xml:space="preserve"> REF Schedule21Heading \h </w:instrText>
      </w:r>
      <w:r>
        <w:rPr>
          <w:i/>
          <w:iCs/>
        </w:rPr>
        <w:instrText xml:space="preserve"> \* MERGEFORMAT </w:instrText>
      </w:r>
      <w:r w:rsidRPr="002F30DB">
        <w:rPr>
          <w:i/>
          <w:iCs/>
        </w:rPr>
      </w:r>
      <w:r w:rsidRPr="002F30DB">
        <w:rPr>
          <w:i/>
          <w:iCs/>
        </w:rPr>
        <w:fldChar w:fldCharType="separate"/>
      </w:r>
      <w:r w:rsidR="007A1473" w:rsidRPr="007A1473">
        <w:rPr>
          <w:i/>
          <w:iCs/>
        </w:rPr>
        <w:t>Governance</w:t>
      </w:r>
      <w:r w:rsidRPr="002F30DB">
        <w:rPr>
          <w:i/>
          <w:iCs/>
        </w:rPr>
        <w:fldChar w:fldCharType="end"/>
      </w:r>
      <w:r>
        <w:t>)</w:t>
      </w:r>
      <w:r w:rsidRPr="00A4516A">
        <w:t>.</w:t>
      </w:r>
      <w:r>
        <w:t xml:space="preserve"> </w:t>
      </w:r>
      <w:r w:rsidRPr="00A4516A">
        <w:t xml:space="preserve">In preparation for such meetings, the current Detailed Implementation Plan shall be provided by the Supplier to the Authority not less than 5 Working Days in advance of each meeting of the </w:t>
      </w:r>
      <w:r w:rsidR="001D5ACD">
        <w:t xml:space="preserve">Live </w:t>
      </w:r>
      <w:r w:rsidRPr="00A4516A">
        <w:t>Service Management Board.</w:t>
      </w:r>
    </w:p>
    <w:p w14:paraId="2838F867" w14:textId="77777777" w:rsidR="00F67E9E" w:rsidRPr="00A4516A" w:rsidRDefault="00F67E9E" w:rsidP="00F67E9E">
      <w:pPr>
        <w:pStyle w:val="Numbered11"/>
      </w:pPr>
      <w:bookmarkStart w:id="673" w:name="_Ref_ContractCompanion_9kb9Ur9F8"/>
      <w:bookmarkStart w:id="674" w:name="_9kR3WTrAG8DJEEEdJtyju7urG4ty00024KQUK73"/>
      <w:r w:rsidRPr="00A4516A">
        <w:t>Save for any amendments which are of a type identified and notified by the Authority (at the Authority</w:t>
      </w:r>
      <w:r>
        <w:t>’</w:t>
      </w:r>
      <w:r w:rsidRPr="00A4516A">
        <w:t xml:space="preserve">s discretion) to the Supplier in writing as not requiring approval, any material amendments to the Detailed Implementation Plan shall be subject to the Change Control </w:t>
      </w:r>
      <w:r w:rsidRPr="00820382">
        <w:t>Procedure</w:t>
      </w:r>
      <w:r w:rsidRPr="00A4516A">
        <w:t xml:space="preserve"> provided that:</w:t>
      </w:r>
      <w:bookmarkEnd w:id="673"/>
      <w:bookmarkEnd w:id="674"/>
    </w:p>
    <w:p w14:paraId="2C9E5E90" w14:textId="77777777" w:rsidR="00F67E9E" w:rsidRPr="00A4516A" w:rsidRDefault="00F67E9E" w:rsidP="00F67E9E">
      <w:pPr>
        <w:pStyle w:val="Numbered111"/>
        <w:tabs>
          <w:tab w:val="clear" w:pos="1800"/>
          <w:tab w:val="num" w:pos="2160"/>
        </w:tabs>
      </w:pPr>
      <w:r w:rsidRPr="00A4516A">
        <w:lastRenderedPageBreak/>
        <w:t>any amendments to elements of the Detailed Implementation Plan which are based on the contents of the Outline Implementation Plan shall be deemed to be material amendments; and</w:t>
      </w:r>
    </w:p>
    <w:p w14:paraId="529E774E" w14:textId="77777777" w:rsidR="00F67E9E" w:rsidRPr="00D5341B" w:rsidRDefault="00F67E9E" w:rsidP="00F67E9E">
      <w:pPr>
        <w:pStyle w:val="Numbered111"/>
        <w:tabs>
          <w:tab w:val="clear" w:pos="1800"/>
          <w:tab w:val="num" w:pos="2160"/>
        </w:tabs>
      </w:pPr>
      <w:r w:rsidRPr="00D5341B">
        <w:t xml:space="preserve">in no circumstances shall the Supplier be entitled to alter or request an alteration to any Milestone Date except in accordance with </w:t>
      </w:r>
      <w:bookmarkStart w:id="675" w:name="_9kMHG5YVt4EE7CGPEjtCx9K"/>
      <w:r w:rsidRPr="00D5341B">
        <w:t>Clause 29</w:t>
      </w:r>
      <w:bookmarkEnd w:id="675"/>
      <w:r w:rsidRPr="00D5341B">
        <w:t xml:space="preserve"> (</w:t>
      </w:r>
      <w:r w:rsidRPr="00D5341B">
        <w:rPr>
          <w:i/>
        </w:rPr>
        <w:t>Authority Cause</w:t>
      </w:r>
      <w:r w:rsidRPr="00D5341B">
        <w:t>).</w:t>
      </w:r>
    </w:p>
    <w:p w14:paraId="2453BFA2" w14:textId="77777777" w:rsidR="00F67E9E" w:rsidRPr="00D5341B" w:rsidRDefault="00F67E9E" w:rsidP="00F67E9E">
      <w:pPr>
        <w:pStyle w:val="Numbered11"/>
      </w:pPr>
      <w:r w:rsidRPr="00D5341B">
        <w:t xml:space="preserve">Any proposed </w:t>
      </w:r>
      <w:r w:rsidRPr="00820382">
        <w:t>amendments</w:t>
      </w:r>
      <w:r w:rsidRPr="00D5341B">
        <w:t xml:space="preserve"> to the Detailed Implementation Plan shall not come into force until they have been approved in writing by the Authority. </w:t>
      </w:r>
    </w:p>
    <w:p w14:paraId="3BEB6A97" w14:textId="77777777" w:rsidR="00F67E9E" w:rsidRPr="00D5341B" w:rsidRDefault="00F67E9E" w:rsidP="00F67E9E">
      <w:pPr>
        <w:pStyle w:val="Numbered1"/>
      </w:pPr>
      <w:r w:rsidRPr="00D5341B">
        <w:t>Government Reviews</w:t>
      </w:r>
    </w:p>
    <w:p w14:paraId="1746612B" w14:textId="77777777" w:rsidR="000B518C" w:rsidRDefault="00F67E9E" w:rsidP="00F67E9E">
      <w:pPr>
        <w:pStyle w:val="Numbered11"/>
        <w:sectPr w:rsidR="000B518C" w:rsidSect="00240D26">
          <w:headerReference w:type="default" r:id="rId112"/>
          <w:footerReference w:type="default" r:id="rId113"/>
          <w:footerReference w:type="first" r:id="rId114"/>
          <w:pgSz w:w="11900" w:h="16840" w:code="9"/>
          <w:pgMar w:top="1701" w:right="851" w:bottom="1134" w:left="851" w:header="567" w:footer="567" w:gutter="0"/>
          <w:cols w:space="720"/>
          <w:docGrid w:linePitch="360"/>
        </w:sectPr>
      </w:pPr>
      <w:r w:rsidRPr="00D5341B">
        <w:t xml:space="preserve">The Supplier acknowledges that the Services may be subject to Government review at key stages of the project. The Supplier shall cooperate with any bodies undertaking such review and shall allow for such reasonable assistance as may be required for this </w:t>
      </w:r>
      <w:r w:rsidRPr="00820382">
        <w:t>purpose</w:t>
      </w:r>
      <w:r w:rsidRPr="00D5341B">
        <w:t xml:space="preserve"> within the Charges.</w:t>
      </w:r>
    </w:p>
    <w:p w14:paraId="5164FA4C" w14:textId="1166292D" w:rsidR="00F67E9E" w:rsidRDefault="00F67E9E" w:rsidP="000B518C">
      <w:pPr>
        <w:pStyle w:val="Numbered11"/>
        <w:numPr>
          <w:ilvl w:val="0"/>
          <w:numId w:val="0"/>
        </w:numPr>
        <w:ind w:left="720"/>
      </w:pPr>
    </w:p>
    <w:p w14:paraId="06AF2222" w14:textId="0BDE66AB" w:rsidR="00F67E9E" w:rsidRDefault="00F67E9E" w:rsidP="00F67E9E">
      <w:pPr>
        <w:pStyle w:val="Heading2"/>
        <w:pageBreakBefore/>
      </w:pPr>
      <w:bookmarkStart w:id="676" w:name="_Ref_ContractCompanion_9kb9Ur4CC"/>
      <w:bookmarkStart w:id="677" w:name="_Toc145412764"/>
      <w:r w:rsidRPr="00477926">
        <w:lastRenderedPageBreak/>
        <w:t xml:space="preserve">Annex </w:t>
      </w:r>
      <w:bookmarkStart w:id="678" w:name="ANNEX1_SCHEDULE13"/>
      <w:r>
        <w:t>A</w:t>
      </w:r>
      <w:bookmarkEnd w:id="678"/>
      <w:r w:rsidRPr="00477926">
        <w:t>: Outline Implementation Plan</w:t>
      </w:r>
      <w:bookmarkEnd w:id="676"/>
      <w:bookmarkEnd w:id="677"/>
    </w:p>
    <w:p w14:paraId="6E1568CA" w14:textId="6EF934FA" w:rsidR="006C2E1C" w:rsidRDefault="003D75D9" w:rsidP="006C2E1C">
      <w:r>
        <w:t xml:space="preserve">The Supplier's </w:t>
      </w:r>
      <w:r w:rsidR="006C2E1C">
        <w:t>Outline Implementation</w:t>
      </w:r>
      <w:r w:rsidR="00C74D58">
        <w:t xml:space="preserve"> Plan</w:t>
      </w:r>
      <w:r w:rsidR="006C2E1C">
        <w:t xml:space="preserve"> </w:t>
      </w:r>
      <w:r w:rsidR="007D1B5D">
        <w:t xml:space="preserve">as </w:t>
      </w:r>
      <w:r w:rsidR="006C2E1C">
        <w:t>submitted as part of its Tender Response</w:t>
      </w:r>
      <w:r>
        <w:t xml:space="preserve">, is set out </w:t>
      </w:r>
      <w:r w:rsidR="00303EB4">
        <w:t xml:space="preserve">in the table </w:t>
      </w:r>
      <w:r>
        <w:t>below, which reflects</w:t>
      </w:r>
      <w:r w:rsidR="00DD141F">
        <w:t>, as a minimum, the Key Milestones set out in the Authority's high-level plan</w:t>
      </w:r>
      <w:r w:rsidR="007D1B5D">
        <w:t>,</w:t>
      </w:r>
      <w:r w:rsidR="00DD141F">
        <w:t xml:space="preserve"> </w:t>
      </w:r>
      <w:r w:rsidR="007D1B5D">
        <w:t xml:space="preserve">which appears </w:t>
      </w:r>
      <w:r w:rsidR="00303EB4">
        <w:t xml:space="preserve">in the second table </w:t>
      </w:r>
      <w:r w:rsidR="007D1B5D">
        <w:t>below</w:t>
      </w:r>
      <w:r w:rsidR="00F14C26">
        <w:t xml:space="preserve"> and forms part of the Outline Implementation Plan</w:t>
      </w:r>
      <w:r w:rsidR="00303EB4">
        <w:t>.</w:t>
      </w:r>
    </w:p>
    <w:p w14:paraId="3838DD67" w14:textId="77777777" w:rsidR="006C2E1C" w:rsidRPr="006C2E1C" w:rsidRDefault="006C2E1C" w:rsidP="006C2E1C"/>
    <w:p w14:paraId="22FBF3F2" w14:textId="590E8019" w:rsidR="00F67E9E" w:rsidRDefault="00D07EF2" w:rsidP="00F67E9E">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0418CED2" w14:textId="77777777" w:rsidR="003D75D9" w:rsidRDefault="003D75D9" w:rsidP="00F67E9E">
      <w:pPr>
        <w:rPr>
          <w:b/>
        </w:rPr>
      </w:pPr>
    </w:p>
    <w:p w14:paraId="08E7C712" w14:textId="13C4E884" w:rsidR="00F67E9E" w:rsidRPr="00BF7482" w:rsidRDefault="00DD141F" w:rsidP="00F67E9E">
      <w:pPr>
        <w:rPr>
          <w:b/>
        </w:rPr>
      </w:pPr>
      <w:r w:rsidRPr="00BF7482">
        <w:rPr>
          <w:b/>
        </w:rPr>
        <w:t>Authority's high-level plan and minimum Key Milestones</w:t>
      </w:r>
    </w:p>
    <w:p w14:paraId="73A74660" w14:textId="4712A64C" w:rsidR="00DD141F" w:rsidRDefault="00DD141F" w:rsidP="00F67E9E"/>
    <w:tbl>
      <w:tblPr>
        <w:tblW w:w="0" w:type="auto"/>
        <w:tblLayout w:type="fixed"/>
        <w:tblCellMar>
          <w:top w:w="85" w:type="dxa"/>
          <w:left w:w="85" w:type="dxa"/>
          <w:bottom w:w="85" w:type="dxa"/>
          <w:right w:w="85" w:type="dxa"/>
        </w:tblCellMar>
        <w:tblLook w:val="04A0" w:firstRow="1" w:lastRow="0" w:firstColumn="1" w:lastColumn="0" w:noHBand="0" w:noVBand="1"/>
      </w:tblPr>
      <w:tblGrid>
        <w:gridCol w:w="562"/>
        <w:gridCol w:w="1930"/>
        <w:gridCol w:w="2126"/>
        <w:gridCol w:w="2410"/>
        <w:gridCol w:w="4360"/>
        <w:gridCol w:w="1735"/>
      </w:tblGrid>
      <w:tr w:rsidR="00A20A48" w:rsidRPr="00E358A0" w14:paraId="687E226A" w14:textId="77777777" w:rsidTr="00A20A48">
        <w:trPr>
          <w:trHeight w:val="315"/>
          <w:tblHeader/>
        </w:trPr>
        <w:tc>
          <w:tcPr>
            <w:tcW w:w="562"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306EFB72"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w:t>
            </w:r>
          </w:p>
        </w:tc>
        <w:tc>
          <w:tcPr>
            <w:tcW w:w="193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2CB10933" w14:textId="5BEEC2CC" w:rsidR="00E358A0" w:rsidRPr="00E358A0" w:rsidRDefault="00E358A0" w:rsidP="00E358A0">
            <w:pPr>
              <w:rPr>
                <w:rFonts w:ascii="Times New Roman" w:eastAsia="Times New Roman" w:hAnsi="Times New Roman" w:cs="Times New Roman"/>
                <w:szCs w:val="24"/>
                <w:lang w:eastAsia="en-GB"/>
              </w:rPr>
            </w:pPr>
            <w:r>
              <w:rPr>
                <w:rFonts w:eastAsia="Times New Roman" w:cs="Arial"/>
                <w:b/>
                <w:bCs/>
                <w:color w:val="000000"/>
                <w:sz w:val="20"/>
                <w:lang w:eastAsia="en-GB"/>
              </w:rPr>
              <w:t xml:space="preserve">Key </w:t>
            </w:r>
            <w:r w:rsidRPr="00E358A0">
              <w:rPr>
                <w:rFonts w:eastAsia="Times New Roman" w:cs="Arial"/>
                <w:b/>
                <w:bCs/>
                <w:color w:val="000000"/>
                <w:sz w:val="20"/>
                <w:lang w:eastAsia="en-GB"/>
              </w:rPr>
              <w:t>Milestone</w:t>
            </w:r>
          </w:p>
        </w:tc>
        <w:tc>
          <w:tcPr>
            <w:tcW w:w="2126"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1EBAB9A1" w14:textId="0DF7696D" w:rsidR="00E358A0" w:rsidRPr="00E358A0" w:rsidRDefault="00E358A0" w:rsidP="00A20A48">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Sub-</w:t>
            </w:r>
            <w:r w:rsidR="002C1835">
              <w:rPr>
                <w:rFonts w:eastAsia="Times New Roman" w:cs="Arial"/>
                <w:b/>
                <w:bCs/>
                <w:color w:val="000000"/>
                <w:sz w:val="20"/>
                <w:lang w:eastAsia="en-GB"/>
              </w:rPr>
              <w:t>M</w:t>
            </w:r>
            <w:r w:rsidR="00A20A48">
              <w:rPr>
                <w:rFonts w:eastAsia="Times New Roman" w:cs="Arial"/>
                <w:b/>
                <w:bCs/>
                <w:color w:val="000000"/>
                <w:sz w:val="20"/>
                <w:lang w:eastAsia="en-GB"/>
              </w:rPr>
              <w:t xml:space="preserve">ilestone </w:t>
            </w:r>
          </w:p>
        </w:tc>
        <w:tc>
          <w:tcPr>
            <w:tcW w:w="241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7C700FA1" w14:textId="55D3E26D" w:rsidR="00E358A0" w:rsidRPr="00E358A0" w:rsidRDefault="00A20A48" w:rsidP="00E358A0">
            <w:pPr>
              <w:rPr>
                <w:rFonts w:ascii="Times New Roman" w:eastAsia="Times New Roman" w:hAnsi="Times New Roman" w:cs="Times New Roman"/>
                <w:szCs w:val="24"/>
                <w:lang w:eastAsia="en-GB"/>
              </w:rPr>
            </w:pPr>
            <w:r>
              <w:rPr>
                <w:rFonts w:eastAsia="Times New Roman" w:cs="Arial"/>
                <w:b/>
                <w:bCs/>
                <w:color w:val="000000"/>
                <w:sz w:val="20"/>
                <w:lang w:eastAsia="en-GB"/>
              </w:rPr>
              <w:t>Purpose</w:t>
            </w:r>
          </w:p>
        </w:tc>
        <w:tc>
          <w:tcPr>
            <w:tcW w:w="43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721491E4" w14:textId="644E1026" w:rsidR="00E358A0" w:rsidRPr="00E358A0" w:rsidRDefault="00A20A48" w:rsidP="00E358A0">
            <w:pPr>
              <w:rPr>
                <w:rFonts w:ascii="Times New Roman" w:eastAsia="Times New Roman" w:hAnsi="Times New Roman" w:cs="Times New Roman"/>
                <w:szCs w:val="24"/>
                <w:lang w:eastAsia="en-GB"/>
              </w:rPr>
            </w:pPr>
            <w:r>
              <w:rPr>
                <w:rFonts w:eastAsia="Times New Roman" w:cs="Arial"/>
                <w:b/>
                <w:bCs/>
                <w:color w:val="000000"/>
                <w:sz w:val="20"/>
                <w:lang w:eastAsia="en-GB"/>
              </w:rPr>
              <w:t>Key D</w:t>
            </w:r>
            <w:r w:rsidR="00E358A0" w:rsidRPr="00E358A0">
              <w:rPr>
                <w:rFonts w:eastAsia="Times New Roman" w:cs="Arial"/>
                <w:b/>
                <w:bCs/>
                <w:color w:val="000000"/>
                <w:sz w:val="20"/>
                <w:lang w:eastAsia="en-GB"/>
              </w:rPr>
              <w:t>eliverables</w:t>
            </w:r>
          </w:p>
        </w:tc>
        <w:tc>
          <w:tcPr>
            <w:tcW w:w="1735"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1A2DC227" w14:textId="2BB07689" w:rsidR="00E358A0" w:rsidRPr="00E358A0" w:rsidRDefault="00A20A48" w:rsidP="00E358A0">
            <w:pPr>
              <w:rPr>
                <w:rFonts w:ascii="Times New Roman" w:eastAsia="Times New Roman" w:hAnsi="Times New Roman" w:cs="Times New Roman"/>
                <w:szCs w:val="24"/>
                <w:lang w:eastAsia="en-GB"/>
              </w:rPr>
            </w:pPr>
            <w:r>
              <w:rPr>
                <w:rFonts w:eastAsia="Times New Roman" w:cs="Arial"/>
                <w:b/>
                <w:bCs/>
                <w:color w:val="000000"/>
                <w:sz w:val="20"/>
                <w:lang w:eastAsia="en-GB"/>
              </w:rPr>
              <w:t>Required</w:t>
            </w:r>
            <w:r w:rsidR="00E358A0" w:rsidRPr="00E358A0">
              <w:rPr>
                <w:rFonts w:eastAsia="Times New Roman" w:cs="Arial"/>
                <w:b/>
                <w:bCs/>
                <w:color w:val="000000"/>
                <w:sz w:val="20"/>
                <w:lang w:eastAsia="en-GB"/>
              </w:rPr>
              <w:t xml:space="preserve"> timelines</w:t>
            </w:r>
          </w:p>
        </w:tc>
      </w:tr>
      <w:tr w:rsidR="00A20A48" w:rsidRPr="00E358A0" w14:paraId="75D12EB0" w14:textId="77777777" w:rsidTr="00A20A48">
        <w:trPr>
          <w:trHeight w:val="1455"/>
        </w:trPr>
        <w:tc>
          <w:tcPr>
            <w:tcW w:w="562" w:type="dxa"/>
            <w:vMerge w:val="restart"/>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49FB2AF4" w14:textId="7A583D9B" w:rsidR="00E358A0" w:rsidRPr="00E358A0" w:rsidRDefault="00A20A48" w:rsidP="00A20A48">
            <w:pPr>
              <w:rPr>
                <w:rFonts w:ascii="Times New Roman" w:eastAsia="Times New Roman" w:hAnsi="Times New Roman" w:cs="Times New Roman"/>
                <w:szCs w:val="24"/>
                <w:lang w:eastAsia="en-GB"/>
              </w:rPr>
            </w:pPr>
            <w:r>
              <w:rPr>
                <w:rFonts w:eastAsia="Times New Roman" w:cs="Arial"/>
                <w:color w:val="000000"/>
                <w:sz w:val="20"/>
                <w:lang w:eastAsia="en-GB"/>
              </w:rPr>
              <w:t>1.</w:t>
            </w:r>
          </w:p>
        </w:tc>
        <w:tc>
          <w:tcPr>
            <w:tcW w:w="1930" w:type="dxa"/>
            <w:vMerge w:val="restart"/>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43ABA270"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Inception phase</w:t>
            </w:r>
          </w:p>
        </w:tc>
        <w:tc>
          <w:tcPr>
            <w:tcW w:w="2126"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2A838DB0"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1.1 Project kick-off</w:t>
            </w:r>
          </w:p>
        </w:tc>
        <w:tc>
          <w:tcPr>
            <w:tcW w:w="2410"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13DF5B1A"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To meet new partners, discuss expectations, agree on ways of working and discuss and schedule sessions to support the delivery of initial priorities, including requirement feasibility assessment.</w:t>
            </w:r>
          </w:p>
        </w:tc>
        <w:tc>
          <w:tcPr>
            <w:tcW w:w="4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7AB6B6D4" w14:textId="4E6A0FB6" w:rsidR="00E358A0" w:rsidRPr="00E358A0" w:rsidRDefault="00A20A48" w:rsidP="00E358A0">
            <w:pPr>
              <w:rPr>
                <w:rFonts w:ascii="Times New Roman" w:eastAsia="Times New Roman" w:hAnsi="Times New Roman" w:cs="Times New Roman"/>
                <w:szCs w:val="24"/>
                <w:lang w:eastAsia="en-GB"/>
              </w:rPr>
            </w:pPr>
            <w:r>
              <w:rPr>
                <w:rFonts w:eastAsia="Times New Roman" w:cs="Arial"/>
                <w:color w:val="000000"/>
                <w:sz w:val="20"/>
                <w:lang w:eastAsia="en-GB"/>
              </w:rPr>
              <w:t>- Agree on ways of w</w:t>
            </w:r>
            <w:r w:rsidR="00E358A0" w:rsidRPr="00E358A0">
              <w:rPr>
                <w:rFonts w:eastAsia="Times New Roman" w:cs="Arial"/>
                <w:color w:val="000000"/>
                <w:sz w:val="20"/>
                <w:lang w:eastAsia="en-GB"/>
              </w:rPr>
              <w:t>orking with the Authority</w:t>
            </w:r>
          </w:p>
          <w:p w14:paraId="4E90E0AB" w14:textId="108C6E13"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 Identify requirements that </w:t>
            </w:r>
            <w:r w:rsidR="00A20A48">
              <w:rPr>
                <w:rFonts w:eastAsia="Times New Roman" w:cs="Arial"/>
                <w:color w:val="000000"/>
                <w:sz w:val="20"/>
                <w:lang w:eastAsia="en-GB"/>
              </w:rPr>
              <w:t>require further analysis</w:t>
            </w:r>
            <w:r w:rsidRPr="00E358A0">
              <w:rPr>
                <w:rFonts w:eastAsia="Times New Roman" w:cs="Arial"/>
                <w:color w:val="000000"/>
                <w:sz w:val="20"/>
                <w:lang w:eastAsia="en-GB"/>
              </w:rPr>
              <w:t xml:space="preserve"> to inform 'Feasibility Assessment' sub-milestone</w:t>
            </w:r>
            <w:r w:rsidR="00FF12A2">
              <w:rPr>
                <w:rFonts w:eastAsia="Times New Roman" w:cs="Arial"/>
                <w:color w:val="000000"/>
                <w:sz w:val="20"/>
                <w:lang w:eastAsia="en-GB"/>
              </w:rPr>
              <w:t>.</w:t>
            </w:r>
          </w:p>
          <w:p w14:paraId="2707F17D" w14:textId="735A5A9C"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 Discuss and agree on </w:t>
            </w:r>
            <w:r w:rsidR="00A20A48">
              <w:rPr>
                <w:rFonts w:eastAsia="Times New Roman" w:cs="Arial"/>
                <w:color w:val="000000"/>
                <w:sz w:val="20"/>
                <w:lang w:eastAsia="en-GB"/>
              </w:rPr>
              <w:t xml:space="preserve">relevant </w:t>
            </w:r>
            <w:r w:rsidRPr="00E358A0">
              <w:rPr>
                <w:rFonts w:eastAsia="Times New Roman" w:cs="Arial"/>
                <w:color w:val="000000"/>
                <w:sz w:val="20"/>
                <w:lang w:eastAsia="en-GB"/>
              </w:rPr>
              <w:t>Governance activities (e.g. communication plan)</w:t>
            </w:r>
          </w:p>
        </w:tc>
        <w:tc>
          <w:tcPr>
            <w:tcW w:w="1735" w:type="dxa"/>
            <w:vMerge w:val="restart"/>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7D08E083" w14:textId="77777777" w:rsidR="00E358A0" w:rsidRDefault="00E358A0" w:rsidP="00AC3384">
            <w:pPr>
              <w:rPr>
                <w:rFonts w:eastAsia="Times New Roman" w:cs="Arial"/>
                <w:color w:val="000000"/>
                <w:sz w:val="20"/>
                <w:lang w:eastAsia="en-GB"/>
              </w:rPr>
            </w:pPr>
            <w:r w:rsidRPr="00E358A0">
              <w:rPr>
                <w:rFonts w:eastAsia="Times New Roman" w:cs="Arial"/>
                <w:color w:val="000000"/>
                <w:sz w:val="20"/>
                <w:lang w:eastAsia="en-GB"/>
              </w:rPr>
              <w:t>Within 20 Working Days of the Effective Date.</w:t>
            </w:r>
          </w:p>
          <w:p w14:paraId="24279F24" w14:textId="77777777" w:rsidR="00376461" w:rsidRDefault="00376461" w:rsidP="00AC3384">
            <w:pPr>
              <w:rPr>
                <w:rFonts w:eastAsia="Times New Roman" w:cs="Arial"/>
                <w:color w:val="000000"/>
                <w:sz w:val="20"/>
                <w:lang w:eastAsia="en-GB"/>
              </w:rPr>
            </w:pPr>
          </w:p>
          <w:p w14:paraId="76C81B6D" w14:textId="307249DB" w:rsidR="00376461" w:rsidRPr="00E358A0" w:rsidRDefault="00546E7A" w:rsidP="00AC3384">
            <w:pPr>
              <w:rPr>
                <w:rFonts w:ascii="Times New Roman" w:eastAsia="Times New Roman" w:hAnsi="Times New Roman" w:cs="Times New Roman"/>
                <w:szCs w:val="24"/>
                <w:lang w:eastAsia="en-GB"/>
              </w:rPr>
            </w:pPr>
            <w:r>
              <w:rPr>
                <w:rFonts w:eastAsia="Times New Roman" w:cs="Arial"/>
                <w:color w:val="000000"/>
                <w:sz w:val="20"/>
                <w:lang w:eastAsia="en-GB"/>
              </w:rPr>
              <w:t xml:space="preserve">This is also a Critical Milestone and the </w:t>
            </w:r>
            <w:r w:rsidR="00376461">
              <w:rPr>
                <w:rFonts w:eastAsia="Times New Roman" w:cs="Arial"/>
                <w:color w:val="000000"/>
                <w:sz w:val="20"/>
                <w:lang w:eastAsia="en-GB"/>
              </w:rPr>
              <w:t>Critical Milestone Longstop Date will be one month after the Key Milestone Date.</w:t>
            </w:r>
          </w:p>
        </w:tc>
      </w:tr>
      <w:tr w:rsidR="00A20A48" w:rsidRPr="00E358A0" w14:paraId="43F2DB70" w14:textId="77777777" w:rsidTr="00A20A48">
        <w:trPr>
          <w:trHeight w:val="2370"/>
        </w:trPr>
        <w:tc>
          <w:tcPr>
            <w:tcW w:w="562" w:type="dxa"/>
            <w:vMerge/>
            <w:tcBorders>
              <w:top w:val="single" w:sz="4" w:space="0" w:color="CCCCCC"/>
              <w:left w:val="single" w:sz="4" w:space="0" w:color="CCCCCC"/>
              <w:bottom w:val="single" w:sz="4" w:space="0" w:color="CCCCCC"/>
              <w:right w:val="single" w:sz="4" w:space="0" w:color="CCCCCC"/>
            </w:tcBorders>
            <w:vAlign w:val="center"/>
            <w:hideMark/>
          </w:tcPr>
          <w:p w14:paraId="74F90D25" w14:textId="77777777" w:rsidR="00E358A0" w:rsidRPr="00E358A0" w:rsidRDefault="00E358A0" w:rsidP="00E358A0">
            <w:pPr>
              <w:rPr>
                <w:rFonts w:ascii="Times New Roman" w:eastAsia="Times New Roman" w:hAnsi="Times New Roman" w:cs="Times New Roman"/>
                <w:szCs w:val="24"/>
                <w:lang w:eastAsia="en-GB"/>
              </w:rPr>
            </w:pPr>
          </w:p>
        </w:tc>
        <w:tc>
          <w:tcPr>
            <w:tcW w:w="1930" w:type="dxa"/>
            <w:vMerge/>
            <w:tcBorders>
              <w:top w:val="single" w:sz="4" w:space="0" w:color="CCCCCC"/>
              <w:left w:val="single" w:sz="4" w:space="0" w:color="CCCCCC"/>
              <w:bottom w:val="single" w:sz="4" w:space="0" w:color="CCCCCC"/>
              <w:right w:val="single" w:sz="4" w:space="0" w:color="CCCCCC"/>
            </w:tcBorders>
            <w:vAlign w:val="center"/>
            <w:hideMark/>
          </w:tcPr>
          <w:p w14:paraId="117A4459" w14:textId="77777777" w:rsidR="00E358A0" w:rsidRPr="00E358A0" w:rsidRDefault="00E358A0" w:rsidP="00E358A0">
            <w:pPr>
              <w:rPr>
                <w:rFonts w:ascii="Times New Roman" w:eastAsia="Times New Roman" w:hAnsi="Times New Roman" w:cs="Times New Roman"/>
                <w:szCs w:val="24"/>
                <w:lang w:eastAsia="en-GB"/>
              </w:rPr>
            </w:pPr>
          </w:p>
        </w:tc>
        <w:tc>
          <w:tcPr>
            <w:tcW w:w="2126"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1A9CC035"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1.2 Feasibility assessment</w:t>
            </w:r>
          </w:p>
        </w:tc>
        <w:tc>
          <w:tcPr>
            <w:tcW w:w="241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0A867BBC" w14:textId="1CB15872" w:rsidR="00E358A0" w:rsidRPr="00E358A0" w:rsidRDefault="00A20A48" w:rsidP="00E358A0">
            <w:pPr>
              <w:rPr>
                <w:rFonts w:ascii="Times New Roman" w:eastAsia="Times New Roman" w:hAnsi="Times New Roman" w:cs="Times New Roman"/>
                <w:szCs w:val="24"/>
                <w:lang w:eastAsia="en-GB"/>
              </w:rPr>
            </w:pPr>
            <w:r>
              <w:rPr>
                <w:rFonts w:eastAsia="Times New Roman" w:cs="Arial"/>
                <w:color w:val="000000"/>
                <w:sz w:val="20"/>
                <w:lang w:eastAsia="en-GB"/>
              </w:rPr>
              <w:t xml:space="preserve">To validate that the Supplier's </w:t>
            </w:r>
            <w:r w:rsidR="00AC3384">
              <w:rPr>
                <w:rFonts w:eastAsia="Times New Roman" w:cs="Arial"/>
                <w:color w:val="000000"/>
                <w:sz w:val="20"/>
                <w:lang w:eastAsia="en-GB"/>
              </w:rPr>
              <w:t>S</w:t>
            </w:r>
            <w:r>
              <w:rPr>
                <w:rFonts w:eastAsia="Times New Roman" w:cs="Arial"/>
                <w:color w:val="000000"/>
                <w:sz w:val="20"/>
                <w:lang w:eastAsia="en-GB"/>
              </w:rPr>
              <w:t xml:space="preserve">olution will </w:t>
            </w:r>
            <w:r w:rsidR="00E358A0" w:rsidRPr="00E358A0">
              <w:rPr>
                <w:rFonts w:eastAsia="Times New Roman" w:cs="Arial"/>
                <w:color w:val="000000"/>
                <w:sz w:val="20"/>
                <w:lang w:eastAsia="en-GB"/>
              </w:rPr>
              <w:t xml:space="preserve">deliver against </w:t>
            </w:r>
            <w:r>
              <w:rPr>
                <w:rFonts w:eastAsia="Times New Roman" w:cs="Arial"/>
                <w:color w:val="000000"/>
                <w:sz w:val="20"/>
                <w:lang w:eastAsia="en-GB"/>
              </w:rPr>
              <w:t>all the committed Authority R</w:t>
            </w:r>
            <w:r w:rsidR="00E358A0" w:rsidRPr="00E358A0">
              <w:rPr>
                <w:rFonts w:eastAsia="Times New Roman" w:cs="Arial"/>
                <w:color w:val="000000"/>
                <w:sz w:val="20"/>
                <w:lang w:eastAsia="en-GB"/>
              </w:rPr>
              <w:t>equirements.</w:t>
            </w:r>
          </w:p>
          <w:p w14:paraId="6445A3E7" w14:textId="77777777" w:rsidR="00E358A0" w:rsidRPr="00E358A0" w:rsidRDefault="00E358A0" w:rsidP="00E358A0">
            <w:pPr>
              <w:rPr>
                <w:rFonts w:ascii="Times New Roman" w:eastAsia="Times New Roman" w:hAnsi="Times New Roman" w:cs="Times New Roman"/>
                <w:szCs w:val="24"/>
                <w:lang w:eastAsia="en-GB"/>
              </w:rPr>
            </w:pPr>
          </w:p>
          <w:p w14:paraId="57D43DED" w14:textId="243D08D7" w:rsidR="00E358A0" w:rsidRPr="00E358A0" w:rsidRDefault="00A20A48" w:rsidP="00E358A0">
            <w:pPr>
              <w:rPr>
                <w:rFonts w:ascii="Times New Roman" w:eastAsia="Times New Roman" w:hAnsi="Times New Roman" w:cs="Times New Roman"/>
                <w:szCs w:val="24"/>
                <w:lang w:eastAsia="en-GB"/>
              </w:rPr>
            </w:pPr>
            <w:r>
              <w:rPr>
                <w:rFonts w:eastAsia="Times New Roman" w:cs="Arial"/>
                <w:color w:val="000000"/>
                <w:sz w:val="20"/>
                <w:lang w:eastAsia="en-GB"/>
              </w:rPr>
              <w:t>This activity will inform the Detailed Implementation P</w:t>
            </w:r>
            <w:r w:rsidR="00E358A0" w:rsidRPr="00E358A0">
              <w:rPr>
                <w:rFonts w:eastAsia="Times New Roman" w:cs="Arial"/>
                <w:color w:val="000000"/>
                <w:sz w:val="20"/>
                <w:lang w:eastAsia="en-GB"/>
              </w:rPr>
              <w:t>lan.</w:t>
            </w:r>
          </w:p>
        </w:tc>
        <w:tc>
          <w:tcPr>
            <w:tcW w:w="436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04588524" w14:textId="42C4E6A6"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 </w:t>
            </w:r>
            <w:r w:rsidR="00FF12A2">
              <w:rPr>
                <w:rFonts w:eastAsia="Times New Roman" w:cs="Arial"/>
                <w:color w:val="000000"/>
                <w:sz w:val="20"/>
                <w:lang w:eastAsia="en-GB"/>
              </w:rPr>
              <w:t>Parties</w:t>
            </w:r>
            <w:r w:rsidRPr="00E358A0">
              <w:rPr>
                <w:rFonts w:eastAsia="Times New Roman" w:cs="Arial"/>
                <w:color w:val="000000"/>
                <w:sz w:val="20"/>
                <w:lang w:eastAsia="en-GB"/>
              </w:rPr>
              <w:t xml:space="preserve"> </w:t>
            </w:r>
            <w:r w:rsidR="00FF12A2">
              <w:rPr>
                <w:rFonts w:eastAsia="Times New Roman" w:cs="Arial"/>
                <w:color w:val="000000"/>
                <w:sz w:val="20"/>
                <w:lang w:eastAsia="en-GB"/>
              </w:rPr>
              <w:t xml:space="preserve">to discuss </w:t>
            </w:r>
            <w:r w:rsidR="00A20A48">
              <w:rPr>
                <w:rFonts w:eastAsia="Times New Roman" w:cs="Arial"/>
                <w:color w:val="000000"/>
                <w:sz w:val="20"/>
                <w:lang w:eastAsia="en-GB"/>
              </w:rPr>
              <w:t>any specific R</w:t>
            </w:r>
            <w:r w:rsidRPr="00E358A0">
              <w:rPr>
                <w:rFonts w:eastAsia="Times New Roman" w:cs="Arial"/>
                <w:color w:val="000000"/>
                <w:sz w:val="20"/>
                <w:lang w:eastAsia="en-GB"/>
              </w:rPr>
              <w:t xml:space="preserve">equirements </w:t>
            </w:r>
            <w:r w:rsidR="00FF12A2">
              <w:rPr>
                <w:rFonts w:eastAsia="Times New Roman" w:cs="Arial"/>
                <w:color w:val="000000"/>
                <w:sz w:val="20"/>
                <w:lang w:eastAsia="en-GB"/>
              </w:rPr>
              <w:t xml:space="preserve">identified during Milestone 1.1 </w:t>
            </w:r>
            <w:r w:rsidRPr="00E358A0">
              <w:rPr>
                <w:rFonts w:eastAsia="Times New Roman" w:cs="Arial"/>
                <w:color w:val="000000"/>
                <w:sz w:val="20"/>
                <w:lang w:eastAsia="en-GB"/>
              </w:rPr>
              <w:t xml:space="preserve">that </w:t>
            </w:r>
            <w:r w:rsidR="00FF12A2">
              <w:rPr>
                <w:rFonts w:eastAsia="Times New Roman" w:cs="Arial"/>
                <w:color w:val="000000"/>
                <w:sz w:val="20"/>
                <w:lang w:eastAsia="en-GB"/>
              </w:rPr>
              <w:t xml:space="preserve">the Parties have agreed </w:t>
            </w:r>
            <w:r w:rsidR="00A20A48">
              <w:rPr>
                <w:rFonts w:eastAsia="Times New Roman" w:cs="Arial"/>
                <w:color w:val="000000"/>
                <w:sz w:val="20"/>
                <w:lang w:eastAsia="en-GB"/>
              </w:rPr>
              <w:t xml:space="preserve">require further detailed analysis </w:t>
            </w:r>
            <w:r w:rsidR="00FF12A2">
              <w:rPr>
                <w:rFonts w:eastAsia="Times New Roman" w:cs="Arial"/>
                <w:color w:val="000000"/>
                <w:sz w:val="20"/>
                <w:lang w:eastAsia="en-GB"/>
              </w:rPr>
              <w:t xml:space="preserve">and potentially refinement </w:t>
            </w:r>
            <w:r w:rsidR="00A20A48">
              <w:rPr>
                <w:rFonts w:eastAsia="Times New Roman" w:cs="Arial"/>
                <w:color w:val="000000"/>
                <w:sz w:val="20"/>
                <w:lang w:eastAsia="en-GB"/>
              </w:rPr>
              <w:t xml:space="preserve">to ensure that the Supplier Solution </w:t>
            </w:r>
            <w:r w:rsidR="00FF12A2">
              <w:rPr>
                <w:rFonts w:eastAsia="Times New Roman" w:cs="Arial"/>
                <w:color w:val="000000"/>
                <w:sz w:val="20"/>
                <w:lang w:eastAsia="en-GB"/>
              </w:rPr>
              <w:t xml:space="preserve">is implemented in a manner that </w:t>
            </w:r>
            <w:r w:rsidR="00A20A48">
              <w:rPr>
                <w:rFonts w:eastAsia="Times New Roman" w:cs="Arial"/>
                <w:color w:val="000000"/>
                <w:sz w:val="20"/>
                <w:lang w:eastAsia="en-GB"/>
              </w:rPr>
              <w:t>meet</w:t>
            </w:r>
            <w:r w:rsidR="00FF12A2">
              <w:rPr>
                <w:rFonts w:eastAsia="Times New Roman" w:cs="Arial"/>
                <w:color w:val="000000"/>
                <w:sz w:val="20"/>
                <w:lang w:eastAsia="en-GB"/>
              </w:rPr>
              <w:t>s the Authority's specific</w:t>
            </w:r>
            <w:r w:rsidR="00A20A48">
              <w:rPr>
                <w:rFonts w:eastAsia="Times New Roman" w:cs="Arial"/>
                <w:color w:val="000000"/>
                <w:sz w:val="20"/>
                <w:lang w:eastAsia="en-GB"/>
              </w:rPr>
              <w:t xml:space="preserve"> requirements.</w:t>
            </w:r>
          </w:p>
          <w:p w14:paraId="3DFBD96C" w14:textId="1A9A02A4" w:rsidR="00E358A0" w:rsidRPr="00E358A0" w:rsidRDefault="00E358A0" w:rsidP="00E358A0">
            <w:pPr>
              <w:rPr>
                <w:rFonts w:ascii="Times New Roman" w:eastAsia="Times New Roman" w:hAnsi="Times New Roman" w:cs="Times New Roman"/>
                <w:szCs w:val="24"/>
                <w:lang w:eastAsia="en-GB"/>
              </w:rPr>
            </w:pPr>
          </w:p>
        </w:tc>
        <w:tc>
          <w:tcPr>
            <w:tcW w:w="1735" w:type="dxa"/>
            <w:vMerge/>
            <w:tcBorders>
              <w:top w:val="single" w:sz="4" w:space="0" w:color="CCCCCC"/>
              <w:left w:val="single" w:sz="4" w:space="0" w:color="CCCCCC"/>
              <w:bottom w:val="single" w:sz="4" w:space="0" w:color="CCCCCC"/>
              <w:right w:val="single" w:sz="4" w:space="0" w:color="CCCCCC"/>
            </w:tcBorders>
            <w:vAlign w:val="center"/>
            <w:hideMark/>
          </w:tcPr>
          <w:p w14:paraId="01D0D7C9" w14:textId="77777777" w:rsidR="00E358A0" w:rsidRPr="00E358A0" w:rsidRDefault="00E358A0" w:rsidP="00E358A0">
            <w:pPr>
              <w:rPr>
                <w:rFonts w:ascii="Times New Roman" w:eastAsia="Times New Roman" w:hAnsi="Times New Roman" w:cs="Times New Roman"/>
                <w:szCs w:val="24"/>
                <w:lang w:eastAsia="en-GB"/>
              </w:rPr>
            </w:pPr>
          </w:p>
        </w:tc>
      </w:tr>
      <w:tr w:rsidR="00A20A48" w:rsidRPr="00E358A0" w14:paraId="75559481" w14:textId="77777777" w:rsidTr="00A20A48">
        <w:trPr>
          <w:trHeight w:val="990"/>
        </w:trPr>
        <w:tc>
          <w:tcPr>
            <w:tcW w:w="562" w:type="dxa"/>
            <w:vMerge/>
            <w:tcBorders>
              <w:top w:val="single" w:sz="4" w:space="0" w:color="CCCCCC"/>
              <w:left w:val="single" w:sz="4" w:space="0" w:color="CCCCCC"/>
              <w:bottom w:val="single" w:sz="4" w:space="0" w:color="CCCCCC"/>
              <w:right w:val="single" w:sz="4" w:space="0" w:color="CCCCCC"/>
            </w:tcBorders>
            <w:vAlign w:val="center"/>
            <w:hideMark/>
          </w:tcPr>
          <w:p w14:paraId="56D931FA" w14:textId="77777777" w:rsidR="00E358A0" w:rsidRPr="00E358A0" w:rsidRDefault="00E358A0" w:rsidP="00E358A0">
            <w:pPr>
              <w:rPr>
                <w:rFonts w:ascii="Times New Roman" w:eastAsia="Times New Roman" w:hAnsi="Times New Roman" w:cs="Times New Roman"/>
                <w:szCs w:val="24"/>
                <w:lang w:eastAsia="en-GB"/>
              </w:rPr>
            </w:pPr>
          </w:p>
        </w:tc>
        <w:tc>
          <w:tcPr>
            <w:tcW w:w="1930" w:type="dxa"/>
            <w:vMerge/>
            <w:tcBorders>
              <w:top w:val="single" w:sz="4" w:space="0" w:color="CCCCCC"/>
              <w:left w:val="single" w:sz="4" w:space="0" w:color="CCCCCC"/>
              <w:bottom w:val="single" w:sz="4" w:space="0" w:color="CCCCCC"/>
              <w:right w:val="single" w:sz="4" w:space="0" w:color="CCCCCC"/>
            </w:tcBorders>
            <w:vAlign w:val="center"/>
            <w:hideMark/>
          </w:tcPr>
          <w:p w14:paraId="655F2FF1" w14:textId="77777777" w:rsidR="00E358A0" w:rsidRPr="00E358A0" w:rsidRDefault="00E358A0" w:rsidP="00E358A0">
            <w:pPr>
              <w:rPr>
                <w:rFonts w:ascii="Times New Roman" w:eastAsia="Times New Roman" w:hAnsi="Times New Roman" w:cs="Times New Roman"/>
                <w:szCs w:val="24"/>
                <w:lang w:eastAsia="en-GB"/>
              </w:rPr>
            </w:pPr>
          </w:p>
        </w:tc>
        <w:tc>
          <w:tcPr>
            <w:tcW w:w="2126"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0FBF0E84" w14:textId="583563C1"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 xml:space="preserve">1.3 Formalising </w:t>
            </w:r>
            <w:r w:rsidR="00FF12A2">
              <w:rPr>
                <w:rFonts w:eastAsia="Times New Roman" w:cs="Arial"/>
                <w:b/>
                <w:bCs/>
                <w:color w:val="000000"/>
                <w:sz w:val="20"/>
                <w:lang w:eastAsia="en-GB"/>
              </w:rPr>
              <w:t xml:space="preserve">Detailed </w:t>
            </w:r>
            <w:r w:rsidR="003300CB">
              <w:rPr>
                <w:rFonts w:eastAsia="Times New Roman" w:cs="Arial"/>
                <w:b/>
                <w:bCs/>
                <w:color w:val="000000"/>
                <w:sz w:val="20"/>
                <w:lang w:eastAsia="en-GB"/>
              </w:rPr>
              <w:t>I</w:t>
            </w:r>
            <w:r w:rsidRPr="00E358A0">
              <w:rPr>
                <w:rFonts w:eastAsia="Times New Roman" w:cs="Arial"/>
                <w:b/>
                <w:bCs/>
                <w:color w:val="000000"/>
                <w:sz w:val="20"/>
                <w:lang w:eastAsia="en-GB"/>
              </w:rPr>
              <w:t>mplementation plan and initial training needs</w:t>
            </w:r>
          </w:p>
        </w:tc>
        <w:tc>
          <w:tcPr>
            <w:tcW w:w="2410"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2F9C88E3" w14:textId="23834475" w:rsidR="00E358A0" w:rsidRPr="00E358A0" w:rsidRDefault="00E358A0" w:rsidP="000467A2">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To formally agree on the </w:t>
            </w:r>
            <w:r w:rsidR="003300CB">
              <w:rPr>
                <w:rFonts w:eastAsia="Times New Roman" w:cs="Arial"/>
                <w:color w:val="000000"/>
                <w:sz w:val="20"/>
                <w:lang w:eastAsia="en-GB"/>
              </w:rPr>
              <w:t>Detailed Implementation P</w:t>
            </w:r>
            <w:r w:rsidRPr="00E358A0">
              <w:rPr>
                <w:rFonts w:eastAsia="Times New Roman" w:cs="Arial"/>
                <w:color w:val="000000"/>
                <w:sz w:val="20"/>
                <w:lang w:eastAsia="en-GB"/>
              </w:rPr>
              <w:t xml:space="preserve">lan (benefiting from updates coming out of </w:t>
            </w:r>
            <w:r w:rsidR="000467A2">
              <w:rPr>
                <w:rFonts w:eastAsia="Times New Roman" w:cs="Arial"/>
                <w:color w:val="000000"/>
                <w:sz w:val="20"/>
                <w:lang w:eastAsia="en-GB"/>
              </w:rPr>
              <w:t>M</w:t>
            </w:r>
            <w:r w:rsidRPr="00E358A0">
              <w:rPr>
                <w:rFonts w:eastAsia="Times New Roman" w:cs="Arial"/>
                <w:color w:val="000000"/>
                <w:sz w:val="20"/>
                <w:lang w:eastAsia="en-GB"/>
              </w:rPr>
              <w:t xml:space="preserve">ilestones 1.1 and 1.2) and to cover any training </w:t>
            </w:r>
            <w:r w:rsidRPr="00E358A0">
              <w:rPr>
                <w:rFonts w:eastAsia="Times New Roman" w:cs="Arial"/>
                <w:color w:val="000000"/>
                <w:sz w:val="20"/>
                <w:lang w:eastAsia="en-GB"/>
              </w:rPr>
              <w:lastRenderedPageBreak/>
              <w:t>needs for the core delivery teams.</w:t>
            </w:r>
          </w:p>
        </w:tc>
        <w:tc>
          <w:tcPr>
            <w:tcW w:w="4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233C4961" w14:textId="0A0ADB51"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lastRenderedPageBreak/>
              <w:t xml:space="preserve">- Collaborate with </w:t>
            </w:r>
            <w:r w:rsidR="00142E1E">
              <w:rPr>
                <w:rFonts w:eastAsia="Times New Roman" w:cs="Arial"/>
                <w:color w:val="000000"/>
                <w:sz w:val="20"/>
                <w:lang w:eastAsia="en-GB"/>
              </w:rPr>
              <w:t>the A</w:t>
            </w:r>
            <w:r w:rsidRPr="00E358A0">
              <w:rPr>
                <w:rFonts w:eastAsia="Times New Roman" w:cs="Arial"/>
                <w:color w:val="000000"/>
                <w:sz w:val="20"/>
                <w:lang w:eastAsia="en-GB"/>
              </w:rPr>
              <w:t xml:space="preserve">uthority to sign-off </w:t>
            </w:r>
            <w:r w:rsidR="00142E1E">
              <w:rPr>
                <w:rFonts w:eastAsia="Times New Roman" w:cs="Arial"/>
                <w:color w:val="000000"/>
                <w:sz w:val="20"/>
                <w:lang w:eastAsia="en-GB"/>
              </w:rPr>
              <w:t>Detailed I</w:t>
            </w:r>
            <w:r w:rsidRPr="00E358A0">
              <w:rPr>
                <w:rFonts w:eastAsia="Times New Roman" w:cs="Arial"/>
                <w:color w:val="000000"/>
                <w:sz w:val="20"/>
                <w:lang w:eastAsia="en-GB"/>
              </w:rPr>
              <w:t xml:space="preserve">mplementation </w:t>
            </w:r>
            <w:r w:rsidR="00142E1E">
              <w:rPr>
                <w:rFonts w:eastAsia="Times New Roman" w:cs="Arial"/>
                <w:color w:val="000000"/>
                <w:sz w:val="20"/>
                <w:lang w:eastAsia="en-GB"/>
              </w:rPr>
              <w:t>P</w:t>
            </w:r>
            <w:r w:rsidRPr="00E358A0">
              <w:rPr>
                <w:rFonts w:eastAsia="Times New Roman" w:cs="Arial"/>
                <w:color w:val="000000"/>
                <w:sz w:val="20"/>
                <w:lang w:eastAsia="en-GB"/>
              </w:rPr>
              <w:t>lan</w:t>
            </w:r>
          </w:p>
          <w:p w14:paraId="5AD7CAB4"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Deliver training related to the new platform</w:t>
            </w:r>
          </w:p>
          <w:p w14:paraId="23884BA3" w14:textId="62304891" w:rsidR="00E358A0" w:rsidRPr="00E358A0" w:rsidRDefault="00E358A0" w:rsidP="00E358A0">
            <w:pPr>
              <w:rPr>
                <w:rFonts w:ascii="Times New Roman" w:eastAsia="Times New Roman" w:hAnsi="Times New Roman" w:cs="Times New Roman"/>
                <w:szCs w:val="24"/>
                <w:lang w:eastAsia="en-GB"/>
              </w:rPr>
            </w:pPr>
          </w:p>
        </w:tc>
        <w:tc>
          <w:tcPr>
            <w:tcW w:w="1735" w:type="dxa"/>
            <w:vMerge/>
            <w:tcBorders>
              <w:top w:val="single" w:sz="4" w:space="0" w:color="CCCCCC"/>
              <w:left w:val="single" w:sz="4" w:space="0" w:color="CCCCCC"/>
              <w:bottom w:val="single" w:sz="4" w:space="0" w:color="CCCCCC"/>
              <w:right w:val="single" w:sz="4" w:space="0" w:color="CCCCCC"/>
            </w:tcBorders>
            <w:vAlign w:val="center"/>
            <w:hideMark/>
          </w:tcPr>
          <w:p w14:paraId="3ECA6370" w14:textId="77777777" w:rsidR="00E358A0" w:rsidRPr="00E358A0" w:rsidRDefault="00E358A0" w:rsidP="00E358A0">
            <w:pPr>
              <w:rPr>
                <w:rFonts w:ascii="Times New Roman" w:eastAsia="Times New Roman" w:hAnsi="Times New Roman" w:cs="Times New Roman"/>
                <w:szCs w:val="24"/>
                <w:lang w:eastAsia="en-GB"/>
              </w:rPr>
            </w:pPr>
          </w:p>
        </w:tc>
      </w:tr>
      <w:tr w:rsidR="00A20A48" w:rsidRPr="00E358A0" w14:paraId="73B62203" w14:textId="77777777" w:rsidTr="00A20A48">
        <w:trPr>
          <w:trHeight w:val="2835"/>
        </w:trPr>
        <w:tc>
          <w:tcPr>
            <w:tcW w:w="562"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5395ECBC" w14:textId="77777777" w:rsidR="00E358A0" w:rsidRPr="00E358A0" w:rsidRDefault="00E358A0" w:rsidP="00E358A0">
            <w:pPr>
              <w:jc w:val="right"/>
              <w:rPr>
                <w:rFonts w:ascii="Times New Roman" w:eastAsia="Times New Roman" w:hAnsi="Times New Roman" w:cs="Times New Roman"/>
                <w:szCs w:val="24"/>
                <w:lang w:eastAsia="en-GB"/>
              </w:rPr>
            </w:pPr>
            <w:r w:rsidRPr="00E358A0">
              <w:rPr>
                <w:rFonts w:eastAsia="Times New Roman" w:cs="Arial"/>
                <w:color w:val="000000"/>
                <w:sz w:val="20"/>
                <w:lang w:eastAsia="en-GB"/>
              </w:rPr>
              <w:t>2</w:t>
            </w:r>
          </w:p>
        </w:tc>
        <w:tc>
          <w:tcPr>
            <w:tcW w:w="193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39A7CE20"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Release 1 </w:t>
            </w:r>
          </w:p>
        </w:tc>
        <w:tc>
          <w:tcPr>
            <w:tcW w:w="2126"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759B75B1"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2.1 Job board only</w:t>
            </w:r>
          </w:p>
          <w:p w14:paraId="67FEFFDC" w14:textId="77777777" w:rsidR="00E358A0" w:rsidRPr="00E358A0" w:rsidRDefault="00E358A0" w:rsidP="00E358A0">
            <w:pPr>
              <w:rPr>
                <w:rFonts w:ascii="Times New Roman" w:eastAsia="Times New Roman" w:hAnsi="Times New Roman" w:cs="Times New Roman"/>
                <w:szCs w:val="24"/>
                <w:lang w:eastAsia="en-GB"/>
              </w:rPr>
            </w:pPr>
          </w:p>
          <w:p w14:paraId="3CAA7ECD" w14:textId="557AF0D1" w:rsidR="00E358A0" w:rsidRPr="00E358A0" w:rsidRDefault="00E358A0" w:rsidP="00E358A0">
            <w:pPr>
              <w:rPr>
                <w:rFonts w:ascii="Times New Roman" w:eastAsia="Times New Roman" w:hAnsi="Times New Roman" w:cs="Times New Roman"/>
                <w:szCs w:val="24"/>
                <w:lang w:eastAsia="en-GB"/>
              </w:rPr>
            </w:pPr>
          </w:p>
        </w:tc>
        <w:tc>
          <w:tcPr>
            <w:tcW w:w="241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73CF5D2E" w14:textId="220B8B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Ensuring that the Civil Service has a single job board is a key goal. </w:t>
            </w:r>
            <w:r w:rsidR="00142E1E">
              <w:rPr>
                <w:rFonts w:eastAsia="Times New Roman" w:cs="Arial"/>
                <w:color w:val="000000"/>
                <w:sz w:val="20"/>
                <w:lang w:eastAsia="en-GB"/>
              </w:rPr>
              <w:t>The Authority</w:t>
            </w:r>
            <w:r w:rsidRPr="00E358A0">
              <w:rPr>
                <w:rFonts w:eastAsia="Times New Roman" w:cs="Arial"/>
                <w:color w:val="000000"/>
                <w:sz w:val="20"/>
                <w:lang w:eastAsia="en-GB"/>
              </w:rPr>
              <w:t xml:space="preserve"> want</w:t>
            </w:r>
            <w:r w:rsidR="00142E1E">
              <w:rPr>
                <w:rFonts w:eastAsia="Times New Roman" w:cs="Arial"/>
                <w:color w:val="000000"/>
                <w:sz w:val="20"/>
                <w:lang w:eastAsia="en-GB"/>
              </w:rPr>
              <w:t>s</w:t>
            </w:r>
            <w:r w:rsidRPr="00E358A0">
              <w:rPr>
                <w:rFonts w:eastAsia="Times New Roman" w:cs="Arial"/>
                <w:color w:val="000000"/>
                <w:sz w:val="20"/>
                <w:lang w:eastAsia="en-GB"/>
              </w:rPr>
              <w:t xml:space="preserve"> to start small, deliver early, encourage short feedback loops and reduce </w:t>
            </w:r>
            <w:r w:rsidR="00142E1E">
              <w:rPr>
                <w:rFonts w:eastAsia="Times New Roman" w:cs="Arial"/>
                <w:color w:val="000000"/>
                <w:sz w:val="20"/>
                <w:lang w:eastAsia="en-GB"/>
              </w:rPr>
              <w:t>its</w:t>
            </w:r>
            <w:r w:rsidRPr="00E358A0">
              <w:rPr>
                <w:rFonts w:eastAsia="Times New Roman" w:cs="Arial"/>
                <w:color w:val="000000"/>
                <w:sz w:val="20"/>
                <w:lang w:eastAsia="en-GB"/>
              </w:rPr>
              <w:t xml:space="preserve"> reliance on the outgoing platform.</w:t>
            </w:r>
          </w:p>
          <w:p w14:paraId="75369E53" w14:textId="77777777" w:rsidR="00E358A0" w:rsidRPr="00E358A0" w:rsidRDefault="00E358A0" w:rsidP="00E358A0">
            <w:pPr>
              <w:rPr>
                <w:rFonts w:ascii="Times New Roman" w:eastAsia="Times New Roman" w:hAnsi="Times New Roman" w:cs="Times New Roman"/>
                <w:szCs w:val="24"/>
                <w:lang w:eastAsia="en-GB"/>
              </w:rPr>
            </w:pPr>
          </w:p>
        </w:tc>
        <w:tc>
          <w:tcPr>
            <w:tcW w:w="436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4B64D6A7" w14:textId="70F5E939"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 Index all Civil Service Jobs, including jobs created on </w:t>
            </w:r>
            <w:r w:rsidR="00822596">
              <w:rPr>
                <w:rFonts w:eastAsia="Times New Roman" w:cs="Arial"/>
                <w:color w:val="000000"/>
                <w:sz w:val="20"/>
                <w:lang w:eastAsia="en-GB"/>
              </w:rPr>
              <w:t xml:space="preserve">the Authority's </w:t>
            </w:r>
            <w:r w:rsidRPr="00E358A0">
              <w:rPr>
                <w:rFonts w:eastAsia="Times New Roman" w:cs="Arial"/>
                <w:color w:val="000000"/>
                <w:sz w:val="20"/>
                <w:lang w:eastAsia="en-GB"/>
              </w:rPr>
              <w:t xml:space="preserve">legacy </w:t>
            </w:r>
            <w:r w:rsidR="00822596">
              <w:rPr>
                <w:rFonts w:eastAsia="Times New Roman" w:cs="Arial"/>
                <w:color w:val="000000"/>
                <w:sz w:val="20"/>
                <w:lang w:eastAsia="en-GB"/>
              </w:rPr>
              <w:t>application tracking system (</w:t>
            </w:r>
            <w:r w:rsidRPr="00E358A0">
              <w:rPr>
                <w:rFonts w:eastAsia="Times New Roman" w:cs="Arial"/>
                <w:color w:val="000000"/>
                <w:sz w:val="20"/>
                <w:lang w:eastAsia="en-GB"/>
              </w:rPr>
              <w:t>ATS</w:t>
            </w:r>
            <w:r w:rsidR="00822596">
              <w:rPr>
                <w:rFonts w:eastAsia="Times New Roman" w:cs="Arial"/>
                <w:color w:val="000000"/>
                <w:sz w:val="20"/>
                <w:lang w:eastAsia="en-GB"/>
              </w:rPr>
              <w:t>)</w:t>
            </w:r>
          </w:p>
          <w:p w14:paraId="768BB249"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candidates to search for jobs via a usable solution</w:t>
            </w:r>
          </w:p>
          <w:p w14:paraId="684390C1"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candidates to access relevant search results following search</w:t>
            </w:r>
          </w:p>
          <w:p w14:paraId="03152E3C"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candidates to be redirected to an appropriate ATS to a) view adverts b) apply; and c) manage submitted applications</w:t>
            </w:r>
          </w:p>
          <w:p w14:paraId="5E9B5969"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candidates to be alerted to new jobs that align with their preferences</w:t>
            </w:r>
          </w:p>
          <w:p w14:paraId="08C1F208"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candidates to raise queries with employers or appropriate technical support channels</w:t>
            </w:r>
          </w:p>
          <w:p w14:paraId="136EE211"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Application of a job posting schema to improve SEO</w:t>
            </w:r>
          </w:p>
        </w:tc>
        <w:tc>
          <w:tcPr>
            <w:tcW w:w="1735"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3788DAA5" w14:textId="77777777" w:rsidR="00E358A0" w:rsidRDefault="00E358A0" w:rsidP="00AC3384">
            <w:pPr>
              <w:rPr>
                <w:rFonts w:eastAsia="Times New Roman" w:cs="Arial"/>
                <w:color w:val="000000"/>
                <w:sz w:val="20"/>
                <w:lang w:eastAsia="en-GB"/>
              </w:rPr>
            </w:pPr>
            <w:r w:rsidRPr="00E358A0">
              <w:rPr>
                <w:rFonts w:eastAsia="Times New Roman" w:cs="Arial"/>
                <w:color w:val="000000"/>
                <w:sz w:val="20"/>
                <w:lang w:eastAsia="en-GB"/>
              </w:rPr>
              <w:t>Within 6 months of the Effective Date</w:t>
            </w:r>
            <w:r w:rsidR="00AC3384">
              <w:rPr>
                <w:rFonts w:eastAsia="Times New Roman" w:cs="Arial"/>
                <w:color w:val="000000"/>
                <w:sz w:val="20"/>
                <w:lang w:eastAsia="en-GB"/>
              </w:rPr>
              <w:t>.</w:t>
            </w:r>
          </w:p>
          <w:p w14:paraId="53E72C81" w14:textId="77777777" w:rsidR="00546E7A" w:rsidRDefault="00546E7A" w:rsidP="00AC3384">
            <w:pPr>
              <w:rPr>
                <w:rFonts w:eastAsia="Times New Roman" w:cs="Arial"/>
                <w:color w:val="000000"/>
                <w:sz w:val="20"/>
                <w:lang w:eastAsia="en-GB"/>
              </w:rPr>
            </w:pPr>
          </w:p>
          <w:p w14:paraId="1FE372C1" w14:textId="16EF17FB" w:rsidR="00546E7A" w:rsidRPr="00E358A0" w:rsidRDefault="00546E7A" w:rsidP="00AC3384">
            <w:pPr>
              <w:rPr>
                <w:rFonts w:ascii="Times New Roman" w:eastAsia="Times New Roman" w:hAnsi="Times New Roman" w:cs="Times New Roman"/>
                <w:szCs w:val="24"/>
                <w:lang w:eastAsia="en-GB"/>
              </w:rPr>
            </w:pPr>
            <w:r>
              <w:rPr>
                <w:rFonts w:eastAsia="Times New Roman" w:cs="Arial"/>
                <w:color w:val="000000"/>
                <w:sz w:val="20"/>
                <w:lang w:eastAsia="en-GB"/>
              </w:rPr>
              <w:t>This is also a Critical Milestone and the Critical Milestone Longstop Date will be one month after the Key Milestone Date.</w:t>
            </w:r>
          </w:p>
        </w:tc>
      </w:tr>
      <w:tr w:rsidR="00A20A48" w:rsidRPr="00E358A0" w14:paraId="5A4B0792" w14:textId="77777777" w:rsidTr="00A20A48">
        <w:trPr>
          <w:trHeight w:val="3285"/>
        </w:trPr>
        <w:tc>
          <w:tcPr>
            <w:tcW w:w="562"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2D43CD5E" w14:textId="77777777" w:rsidR="00E358A0" w:rsidRPr="00E358A0" w:rsidRDefault="00E358A0" w:rsidP="00E358A0">
            <w:pPr>
              <w:rPr>
                <w:rFonts w:ascii="Times New Roman" w:eastAsia="Times New Roman" w:hAnsi="Times New Roman" w:cs="Times New Roman"/>
                <w:szCs w:val="24"/>
                <w:lang w:eastAsia="en-GB"/>
              </w:rPr>
            </w:pPr>
          </w:p>
        </w:tc>
        <w:tc>
          <w:tcPr>
            <w:tcW w:w="1930"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1D2A67CB" w14:textId="77777777" w:rsidR="00E358A0" w:rsidRPr="00E358A0" w:rsidRDefault="00E358A0" w:rsidP="00E358A0">
            <w:pPr>
              <w:rPr>
                <w:rFonts w:ascii="Times New Roman" w:eastAsia="Times New Roman" w:hAnsi="Times New Roman" w:cs="Times New Roman"/>
                <w:szCs w:val="24"/>
                <w:lang w:eastAsia="en-GB"/>
              </w:rPr>
            </w:pPr>
          </w:p>
        </w:tc>
        <w:tc>
          <w:tcPr>
            <w:tcW w:w="2126"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7EDC85A6" w14:textId="40E5E0D0"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 xml:space="preserve">2.2 Vacancy creation for Advert Only </w:t>
            </w:r>
            <w:r w:rsidR="00D24999">
              <w:rPr>
                <w:rFonts w:eastAsia="Times New Roman" w:cs="Arial"/>
                <w:b/>
                <w:bCs/>
                <w:color w:val="000000"/>
                <w:sz w:val="20"/>
                <w:lang w:eastAsia="en-GB"/>
              </w:rPr>
              <w:t>Platform Customers</w:t>
            </w:r>
            <w:r w:rsidRPr="00E358A0">
              <w:rPr>
                <w:rFonts w:eastAsia="Times New Roman" w:cs="Arial"/>
                <w:b/>
                <w:bCs/>
                <w:color w:val="000000"/>
                <w:sz w:val="20"/>
                <w:lang w:eastAsia="en-GB"/>
              </w:rPr>
              <w:t xml:space="preserve"> - create and publish an advert on the new jobs board</w:t>
            </w:r>
          </w:p>
          <w:p w14:paraId="6D002644" w14:textId="77777777" w:rsidR="00E358A0" w:rsidRPr="00E358A0" w:rsidRDefault="00E358A0" w:rsidP="00E358A0">
            <w:pPr>
              <w:rPr>
                <w:rFonts w:ascii="Times New Roman" w:eastAsia="Times New Roman" w:hAnsi="Times New Roman" w:cs="Times New Roman"/>
                <w:szCs w:val="24"/>
                <w:lang w:eastAsia="en-GB"/>
              </w:rPr>
            </w:pPr>
          </w:p>
          <w:p w14:paraId="6C473A4A" w14:textId="77777777" w:rsidR="00E358A0" w:rsidRPr="00E358A0" w:rsidRDefault="00E358A0" w:rsidP="00540F77">
            <w:pPr>
              <w:rPr>
                <w:rFonts w:ascii="Times New Roman" w:eastAsia="Times New Roman" w:hAnsi="Times New Roman" w:cs="Times New Roman"/>
                <w:szCs w:val="24"/>
                <w:lang w:eastAsia="en-GB"/>
              </w:rPr>
            </w:pPr>
          </w:p>
        </w:tc>
        <w:tc>
          <w:tcPr>
            <w:tcW w:w="2410"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61FC9093" w14:textId="1FEBCA24" w:rsidR="00E358A0" w:rsidRPr="00E358A0" w:rsidRDefault="00E358A0" w:rsidP="00AC3384">
            <w:pPr>
              <w:rPr>
                <w:rFonts w:ascii="Times New Roman" w:eastAsia="Times New Roman" w:hAnsi="Times New Roman" w:cs="Times New Roman"/>
                <w:szCs w:val="24"/>
                <w:lang w:eastAsia="en-GB"/>
              </w:rPr>
            </w:pPr>
            <w:r w:rsidRPr="00E358A0">
              <w:rPr>
                <w:rFonts w:eastAsia="Times New Roman" w:cs="Arial"/>
                <w:color w:val="000000"/>
                <w:sz w:val="20"/>
                <w:lang w:eastAsia="en-GB"/>
              </w:rPr>
              <w:t>Moving Advert Only</w:t>
            </w:r>
            <w:r w:rsidR="002071BF">
              <w:rPr>
                <w:rFonts w:eastAsia="Times New Roman" w:cs="Arial"/>
                <w:color w:val="000000"/>
                <w:sz w:val="20"/>
                <w:lang w:eastAsia="en-GB"/>
              </w:rPr>
              <w:t xml:space="preserve"> Platform Customers </w:t>
            </w:r>
            <w:r w:rsidRPr="00E358A0">
              <w:rPr>
                <w:rFonts w:eastAsia="Times New Roman" w:cs="Arial"/>
                <w:color w:val="000000"/>
                <w:sz w:val="20"/>
                <w:lang w:eastAsia="en-GB"/>
              </w:rPr>
              <w:t xml:space="preserve"> will be a big prize for </w:t>
            </w:r>
            <w:r w:rsidR="00142E1E">
              <w:rPr>
                <w:rFonts w:eastAsia="Times New Roman" w:cs="Arial"/>
                <w:color w:val="000000"/>
                <w:sz w:val="20"/>
                <w:lang w:eastAsia="en-GB"/>
              </w:rPr>
              <w:t>the Authority</w:t>
            </w:r>
            <w:r w:rsidRPr="00E358A0">
              <w:rPr>
                <w:rFonts w:eastAsia="Times New Roman" w:cs="Arial"/>
                <w:color w:val="000000"/>
                <w:sz w:val="20"/>
                <w:lang w:eastAsia="en-GB"/>
              </w:rPr>
              <w:t xml:space="preserve"> as they make up a large proportion of </w:t>
            </w:r>
            <w:r w:rsidR="002071BF">
              <w:rPr>
                <w:rFonts w:eastAsia="Times New Roman" w:cs="Arial"/>
                <w:color w:val="000000"/>
                <w:sz w:val="20"/>
                <w:lang w:eastAsia="en-GB"/>
              </w:rPr>
              <w:t>the Authority's</w:t>
            </w:r>
            <w:r w:rsidRPr="00E358A0">
              <w:rPr>
                <w:rFonts w:eastAsia="Times New Roman" w:cs="Arial"/>
                <w:color w:val="000000"/>
                <w:sz w:val="20"/>
                <w:lang w:eastAsia="en-GB"/>
              </w:rPr>
              <w:t xml:space="preserve"> customer base.</w:t>
            </w:r>
          </w:p>
          <w:p w14:paraId="314335F7" w14:textId="0951B213" w:rsidR="00E358A0" w:rsidRPr="00E358A0" w:rsidRDefault="00142E1E" w:rsidP="00D24999">
            <w:pPr>
              <w:rPr>
                <w:rFonts w:ascii="Times New Roman" w:eastAsia="Times New Roman" w:hAnsi="Times New Roman" w:cs="Times New Roman"/>
                <w:szCs w:val="24"/>
                <w:lang w:eastAsia="en-GB"/>
              </w:rPr>
            </w:pPr>
            <w:r>
              <w:rPr>
                <w:rFonts w:eastAsia="Times New Roman" w:cs="Arial"/>
                <w:color w:val="000000"/>
                <w:sz w:val="20"/>
                <w:lang w:eastAsia="en-GB"/>
              </w:rPr>
              <w:t xml:space="preserve">The </w:t>
            </w:r>
            <w:r w:rsidR="00E358A0" w:rsidRPr="00E358A0">
              <w:rPr>
                <w:rFonts w:eastAsia="Times New Roman" w:cs="Arial"/>
                <w:color w:val="000000"/>
                <w:sz w:val="20"/>
                <w:lang w:eastAsia="en-GB"/>
              </w:rPr>
              <w:t xml:space="preserve">enhanced </w:t>
            </w:r>
            <w:r>
              <w:rPr>
                <w:rFonts w:eastAsia="Times New Roman" w:cs="Arial"/>
                <w:color w:val="000000"/>
                <w:sz w:val="20"/>
                <w:lang w:eastAsia="en-GB"/>
              </w:rPr>
              <w:t>user experience</w:t>
            </w:r>
            <w:r w:rsidR="00E358A0" w:rsidRPr="00E358A0">
              <w:rPr>
                <w:rFonts w:eastAsia="Times New Roman" w:cs="Arial"/>
                <w:color w:val="000000"/>
                <w:sz w:val="20"/>
                <w:lang w:eastAsia="en-GB"/>
              </w:rPr>
              <w:t xml:space="preserve"> will also benefit the Advert Only </w:t>
            </w:r>
            <w:r w:rsidR="00D24999">
              <w:rPr>
                <w:rFonts w:eastAsia="Times New Roman" w:cs="Arial"/>
                <w:color w:val="000000"/>
                <w:sz w:val="20"/>
                <w:lang w:eastAsia="en-GB"/>
              </w:rPr>
              <w:t>Platform Customers</w:t>
            </w:r>
            <w:r w:rsidR="00E358A0" w:rsidRPr="00E358A0">
              <w:rPr>
                <w:rFonts w:eastAsia="Times New Roman" w:cs="Arial"/>
                <w:color w:val="000000"/>
                <w:sz w:val="20"/>
                <w:lang w:eastAsia="en-GB"/>
              </w:rPr>
              <w:t>, encouraging simplified and concise job adverts.</w:t>
            </w:r>
          </w:p>
        </w:tc>
        <w:tc>
          <w:tcPr>
            <w:tcW w:w="4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7A7A010B"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Vacancy Creation ‘basic’ (no interview details, assessment methods etc.)</w:t>
            </w:r>
          </w:p>
          <w:p w14:paraId="35870BAB" w14:textId="2DB1BC8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 Enable Advert Only </w:t>
            </w:r>
            <w:r w:rsidR="00D24999">
              <w:rPr>
                <w:rFonts w:eastAsia="Times New Roman" w:cs="Arial"/>
                <w:color w:val="000000"/>
                <w:sz w:val="20"/>
                <w:lang w:eastAsia="en-GB"/>
              </w:rPr>
              <w:t>Platform Customers</w:t>
            </w:r>
            <w:r w:rsidRPr="00E358A0">
              <w:rPr>
                <w:rFonts w:eastAsia="Times New Roman" w:cs="Arial"/>
                <w:color w:val="000000"/>
                <w:sz w:val="20"/>
                <w:lang w:eastAsia="en-GB"/>
              </w:rPr>
              <w:t xml:space="preserve"> to create jobs</w:t>
            </w:r>
          </w:p>
          <w:p w14:paraId="18D75E97"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departmental smart defaults when creating a template (e.g. logo and rarely changing details)</w:t>
            </w:r>
          </w:p>
          <w:p w14:paraId="19547490"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job adverts created on a new platform to be displayed to candidates</w:t>
            </w:r>
          </w:p>
          <w:p w14:paraId="58088A82" w14:textId="184FDF0C"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 Enable Advert Only </w:t>
            </w:r>
            <w:r w:rsidR="00D24999">
              <w:rPr>
                <w:rFonts w:eastAsia="Times New Roman" w:cs="Arial"/>
                <w:color w:val="000000"/>
                <w:sz w:val="20"/>
                <w:lang w:eastAsia="en-GB"/>
              </w:rPr>
              <w:t>Platform Customers</w:t>
            </w:r>
            <w:r w:rsidRPr="00E358A0">
              <w:rPr>
                <w:rFonts w:eastAsia="Times New Roman" w:cs="Arial"/>
                <w:color w:val="000000"/>
                <w:sz w:val="20"/>
                <w:lang w:eastAsia="en-GB"/>
              </w:rPr>
              <w:t xml:space="preserve"> to post jobs</w:t>
            </w:r>
          </w:p>
          <w:p w14:paraId="5AB68108"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Advert Only jobs to be placed, automatically on notable job boards (e.g. Linked-in and Indeed)</w:t>
            </w:r>
          </w:p>
          <w:p w14:paraId="2680E7A6"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Integrate with our data warehouse</w:t>
            </w:r>
          </w:p>
          <w:p w14:paraId="3A4399AE" w14:textId="60702B05"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lastRenderedPageBreak/>
              <w:t xml:space="preserve">- </w:t>
            </w:r>
            <w:r w:rsidR="00D24999">
              <w:rPr>
                <w:rFonts w:eastAsia="Times New Roman" w:cs="Arial"/>
                <w:color w:val="000000"/>
                <w:sz w:val="20"/>
                <w:lang w:eastAsia="en-GB"/>
              </w:rPr>
              <w:t>Platform Customer</w:t>
            </w:r>
            <w:r w:rsidRPr="00E358A0">
              <w:rPr>
                <w:rFonts w:eastAsia="Times New Roman" w:cs="Arial"/>
                <w:color w:val="000000"/>
                <w:sz w:val="20"/>
                <w:lang w:eastAsia="en-GB"/>
              </w:rPr>
              <w:t xml:space="preserve"> onboarding support i.e. training and setting-up </w:t>
            </w:r>
            <w:r w:rsidR="00D24999">
              <w:rPr>
                <w:rFonts w:eastAsia="Times New Roman" w:cs="Arial"/>
                <w:color w:val="000000"/>
                <w:sz w:val="20"/>
                <w:lang w:eastAsia="en-GB"/>
              </w:rPr>
              <w:t>Platform Customers</w:t>
            </w:r>
            <w:r w:rsidRPr="00E358A0">
              <w:rPr>
                <w:rFonts w:eastAsia="Times New Roman" w:cs="Arial"/>
                <w:color w:val="000000"/>
                <w:sz w:val="20"/>
                <w:lang w:eastAsia="en-GB"/>
              </w:rPr>
              <w:t xml:space="preserve"> on the new platform (inc. departmental users)</w:t>
            </w:r>
          </w:p>
          <w:p w14:paraId="4E6B81E6"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the Welsh language 'find a job' journey</w:t>
            </w:r>
          </w:p>
          <w:p w14:paraId="0D633EA8"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Ensure thorough testing work is complete prior to Private Beta, including security and scalability testing</w:t>
            </w:r>
          </w:p>
          <w:p w14:paraId="33676E4D"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Support/conduct accessibility testing and fix issues that haven’t been resolved in the previous releases</w:t>
            </w:r>
          </w:p>
        </w:tc>
        <w:tc>
          <w:tcPr>
            <w:tcW w:w="1735"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21FF4D73" w14:textId="77777777" w:rsidR="00E358A0" w:rsidRPr="00E358A0" w:rsidRDefault="00E358A0" w:rsidP="00E358A0">
            <w:pPr>
              <w:rPr>
                <w:rFonts w:ascii="Times New Roman" w:eastAsia="Times New Roman" w:hAnsi="Times New Roman" w:cs="Times New Roman"/>
                <w:szCs w:val="24"/>
                <w:lang w:eastAsia="en-GB"/>
              </w:rPr>
            </w:pPr>
          </w:p>
        </w:tc>
      </w:tr>
      <w:tr w:rsidR="00A20A48" w:rsidRPr="00E358A0" w14:paraId="27A7D7F9" w14:textId="77777777" w:rsidTr="00A20A48">
        <w:trPr>
          <w:trHeight w:val="4440"/>
        </w:trPr>
        <w:tc>
          <w:tcPr>
            <w:tcW w:w="562"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0B6E613B" w14:textId="77777777" w:rsidR="00E358A0" w:rsidRPr="00E358A0" w:rsidRDefault="00E358A0" w:rsidP="00E358A0">
            <w:pPr>
              <w:rPr>
                <w:rFonts w:ascii="Times New Roman" w:eastAsia="Times New Roman" w:hAnsi="Times New Roman" w:cs="Times New Roman"/>
                <w:szCs w:val="24"/>
                <w:lang w:eastAsia="en-GB"/>
              </w:rPr>
            </w:pPr>
          </w:p>
        </w:tc>
        <w:tc>
          <w:tcPr>
            <w:tcW w:w="193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2494CB35" w14:textId="77777777" w:rsidR="00E358A0" w:rsidRPr="00E358A0" w:rsidRDefault="00E358A0" w:rsidP="00E358A0">
            <w:pPr>
              <w:rPr>
                <w:rFonts w:ascii="Times New Roman" w:eastAsia="Times New Roman" w:hAnsi="Times New Roman" w:cs="Times New Roman"/>
                <w:szCs w:val="24"/>
                <w:lang w:eastAsia="en-GB"/>
              </w:rPr>
            </w:pPr>
          </w:p>
        </w:tc>
        <w:tc>
          <w:tcPr>
            <w:tcW w:w="2126"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7B44819F"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2.3 Private Beta</w:t>
            </w:r>
          </w:p>
          <w:p w14:paraId="0E2DBB02" w14:textId="77777777" w:rsidR="00E358A0" w:rsidRPr="00E358A0" w:rsidRDefault="00E358A0" w:rsidP="00E358A0">
            <w:pPr>
              <w:rPr>
                <w:rFonts w:ascii="Times New Roman" w:eastAsia="Times New Roman" w:hAnsi="Times New Roman" w:cs="Times New Roman"/>
                <w:szCs w:val="24"/>
                <w:lang w:eastAsia="en-GB"/>
              </w:rPr>
            </w:pPr>
          </w:p>
          <w:p w14:paraId="0B6BF427"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Service Assessment</w:t>
            </w:r>
          </w:p>
          <w:p w14:paraId="47822707" w14:textId="77777777" w:rsidR="00E358A0" w:rsidRPr="00E358A0" w:rsidRDefault="00E358A0" w:rsidP="00E358A0">
            <w:pPr>
              <w:spacing w:after="240"/>
              <w:rPr>
                <w:rFonts w:ascii="Times New Roman" w:eastAsia="Times New Roman" w:hAnsi="Times New Roman" w:cs="Times New Roman"/>
                <w:szCs w:val="24"/>
                <w:lang w:eastAsia="en-GB"/>
              </w:rPr>
            </w:pPr>
          </w:p>
        </w:tc>
        <w:tc>
          <w:tcPr>
            <w:tcW w:w="241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67200D7C" w14:textId="7E2E0F76" w:rsidR="00E358A0" w:rsidRPr="00E358A0" w:rsidRDefault="00E358A0" w:rsidP="00D24999">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Once all functionality is available, </w:t>
            </w:r>
            <w:r w:rsidR="00AC3384">
              <w:rPr>
                <w:rFonts w:eastAsia="Times New Roman" w:cs="Arial"/>
                <w:color w:val="000000"/>
                <w:sz w:val="20"/>
                <w:lang w:eastAsia="en-GB"/>
              </w:rPr>
              <w:t>the Authority</w:t>
            </w:r>
            <w:r w:rsidRPr="00E358A0">
              <w:rPr>
                <w:rFonts w:eastAsia="Times New Roman" w:cs="Arial"/>
                <w:color w:val="000000"/>
                <w:sz w:val="20"/>
                <w:lang w:eastAsia="en-GB"/>
              </w:rPr>
              <w:t xml:space="preserve"> will test the service in </w:t>
            </w:r>
            <w:r w:rsidR="00AC3384">
              <w:rPr>
                <w:rFonts w:eastAsia="Times New Roman" w:cs="Arial"/>
                <w:color w:val="000000"/>
                <w:sz w:val="20"/>
                <w:lang w:eastAsia="en-GB"/>
              </w:rPr>
              <w:t>"l</w:t>
            </w:r>
            <w:r w:rsidRPr="00E358A0">
              <w:rPr>
                <w:rFonts w:eastAsia="Times New Roman" w:cs="Arial"/>
                <w:color w:val="000000"/>
                <w:sz w:val="20"/>
                <w:lang w:eastAsia="en-GB"/>
              </w:rPr>
              <w:t>ive</w:t>
            </w:r>
            <w:r w:rsidR="00AC3384">
              <w:rPr>
                <w:rFonts w:eastAsia="Times New Roman" w:cs="Arial"/>
                <w:color w:val="000000"/>
                <w:sz w:val="20"/>
                <w:lang w:eastAsia="en-GB"/>
              </w:rPr>
              <w:t>"</w:t>
            </w:r>
            <w:r w:rsidRPr="00E358A0">
              <w:rPr>
                <w:rFonts w:eastAsia="Times New Roman" w:cs="Arial"/>
                <w:color w:val="000000"/>
                <w:sz w:val="20"/>
                <w:lang w:eastAsia="en-GB"/>
              </w:rPr>
              <w:t xml:space="preserve"> with a small number of </w:t>
            </w:r>
            <w:r w:rsidR="00D24999">
              <w:rPr>
                <w:rFonts w:eastAsia="Times New Roman" w:cs="Arial"/>
                <w:color w:val="000000"/>
                <w:sz w:val="20"/>
                <w:lang w:eastAsia="en-GB"/>
              </w:rPr>
              <w:t>Platform Customers</w:t>
            </w:r>
            <w:r w:rsidRPr="00E358A0">
              <w:rPr>
                <w:rFonts w:eastAsia="Times New Roman" w:cs="Arial"/>
                <w:color w:val="000000"/>
                <w:sz w:val="20"/>
                <w:lang w:eastAsia="en-GB"/>
              </w:rPr>
              <w:t xml:space="preserve"> (</w:t>
            </w:r>
            <w:r w:rsidR="00142E1E">
              <w:rPr>
                <w:rFonts w:eastAsia="Times New Roman" w:cs="Arial"/>
                <w:color w:val="000000"/>
                <w:sz w:val="20"/>
                <w:lang w:eastAsia="en-GB"/>
              </w:rPr>
              <w:t xml:space="preserve">a </w:t>
            </w:r>
            <w:r w:rsidR="00AC3384">
              <w:rPr>
                <w:rFonts w:eastAsia="Times New Roman" w:cs="Arial"/>
                <w:color w:val="000000"/>
                <w:sz w:val="20"/>
                <w:lang w:eastAsia="en-GB"/>
              </w:rPr>
              <w:t>"</w:t>
            </w:r>
            <w:r w:rsidRPr="00E358A0">
              <w:rPr>
                <w:rFonts w:eastAsia="Times New Roman" w:cs="Arial"/>
                <w:color w:val="000000"/>
                <w:sz w:val="20"/>
                <w:lang w:eastAsia="en-GB"/>
              </w:rPr>
              <w:t>Private Beta</w:t>
            </w:r>
            <w:r w:rsidR="00AC3384">
              <w:rPr>
                <w:rFonts w:eastAsia="Times New Roman" w:cs="Arial"/>
                <w:color w:val="000000"/>
                <w:sz w:val="20"/>
                <w:lang w:eastAsia="en-GB"/>
              </w:rPr>
              <w:t>"</w:t>
            </w:r>
            <w:r w:rsidRPr="00E358A0">
              <w:rPr>
                <w:rFonts w:eastAsia="Times New Roman" w:cs="Arial"/>
                <w:color w:val="000000"/>
                <w:sz w:val="20"/>
                <w:lang w:eastAsia="en-GB"/>
              </w:rPr>
              <w:t xml:space="preserve">) and conduct a </w:t>
            </w:r>
            <w:r w:rsidR="00AC3384">
              <w:rPr>
                <w:rFonts w:eastAsia="Times New Roman" w:cs="Arial"/>
                <w:color w:val="000000"/>
                <w:sz w:val="20"/>
                <w:lang w:eastAsia="en-GB"/>
              </w:rPr>
              <w:t xml:space="preserve">Government Standard </w:t>
            </w:r>
            <w:r w:rsidRPr="00E358A0">
              <w:rPr>
                <w:rFonts w:eastAsia="Times New Roman" w:cs="Arial"/>
                <w:color w:val="000000"/>
                <w:sz w:val="20"/>
                <w:lang w:eastAsia="en-GB"/>
              </w:rPr>
              <w:t>Service Assessment</w:t>
            </w:r>
            <w:r w:rsidR="00AC3384">
              <w:rPr>
                <w:rFonts w:eastAsia="Times New Roman" w:cs="Arial"/>
                <w:color w:val="000000"/>
                <w:sz w:val="20"/>
                <w:lang w:eastAsia="en-GB"/>
              </w:rPr>
              <w:t xml:space="preserve"> (</w:t>
            </w:r>
            <w:r w:rsidR="00AC3384" w:rsidRPr="00AC3384">
              <w:rPr>
                <w:rFonts w:eastAsia="Times New Roman" w:cs="Arial"/>
                <w:color w:val="000000"/>
                <w:sz w:val="20"/>
                <w:lang w:eastAsia="en-GB"/>
              </w:rPr>
              <w:t>https://www.gov.uk/service-manual/service-assessments</w:t>
            </w:r>
            <w:r w:rsidR="00AC3384">
              <w:rPr>
                <w:rFonts w:eastAsia="Times New Roman" w:cs="Arial"/>
                <w:color w:val="000000"/>
                <w:sz w:val="20"/>
                <w:lang w:eastAsia="en-GB"/>
              </w:rPr>
              <w:t>)</w:t>
            </w:r>
            <w:r w:rsidRPr="00E358A0">
              <w:rPr>
                <w:rFonts w:eastAsia="Times New Roman" w:cs="Arial"/>
                <w:color w:val="000000"/>
                <w:sz w:val="20"/>
                <w:lang w:eastAsia="en-GB"/>
              </w:rPr>
              <w:t>.</w:t>
            </w:r>
          </w:p>
        </w:tc>
        <w:tc>
          <w:tcPr>
            <w:tcW w:w="436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53B234FF" w14:textId="1EB173D2" w:rsidR="00E358A0" w:rsidRPr="00E358A0" w:rsidRDefault="00E358A0" w:rsidP="00D24999">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 Enable Private Beta </w:t>
            </w:r>
            <w:r w:rsidR="00D24999">
              <w:rPr>
                <w:rFonts w:eastAsia="Times New Roman" w:cs="Arial"/>
                <w:color w:val="000000"/>
                <w:sz w:val="20"/>
                <w:lang w:eastAsia="en-GB"/>
              </w:rPr>
              <w:t>Platform Customers</w:t>
            </w:r>
            <w:r w:rsidRPr="00E358A0">
              <w:rPr>
                <w:rFonts w:eastAsia="Times New Roman" w:cs="Arial"/>
                <w:color w:val="000000"/>
                <w:sz w:val="20"/>
                <w:lang w:eastAsia="en-GB"/>
              </w:rPr>
              <w:t xml:space="preserve"> to be onboarded, and support the Authority in conducting and passing our Government Service Standard Assessment</w:t>
            </w:r>
          </w:p>
        </w:tc>
        <w:tc>
          <w:tcPr>
            <w:tcW w:w="1735"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60DDD217" w14:textId="77777777" w:rsidR="00E358A0" w:rsidRDefault="00E358A0" w:rsidP="00E358A0">
            <w:pPr>
              <w:rPr>
                <w:rFonts w:eastAsia="Times New Roman" w:cs="Arial"/>
                <w:color w:val="000000"/>
                <w:sz w:val="20"/>
                <w:lang w:eastAsia="en-GB"/>
              </w:rPr>
            </w:pPr>
            <w:r w:rsidRPr="00E358A0">
              <w:rPr>
                <w:rFonts w:eastAsia="Times New Roman" w:cs="Arial"/>
                <w:color w:val="000000"/>
                <w:sz w:val="20"/>
                <w:lang w:eastAsia="en-GB"/>
              </w:rPr>
              <w:t>Within 8 months of the Effective Date</w:t>
            </w:r>
            <w:r w:rsidR="00546E7A">
              <w:rPr>
                <w:rFonts w:eastAsia="Times New Roman" w:cs="Arial"/>
                <w:color w:val="000000"/>
                <w:sz w:val="20"/>
                <w:lang w:eastAsia="en-GB"/>
              </w:rPr>
              <w:t xml:space="preserve">. </w:t>
            </w:r>
          </w:p>
          <w:p w14:paraId="3A030F65" w14:textId="77777777" w:rsidR="00546E7A" w:rsidRDefault="00546E7A" w:rsidP="00E358A0">
            <w:pPr>
              <w:rPr>
                <w:rFonts w:eastAsia="Times New Roman" w:cs="Arial"/>
                <w:color w:val="000000"/>
                <w:sz w:val="20"/>
                <w:lang w:eastAsia="en-GB"/>
              </w:rPr>
            </w:pPr>
          </w:p>
          <w:p w14:paraId="76A80A80" w14:textId="302C9955" w:rsidR="00546E7A" w:rsidRPr="00E358A0" w:rsidRDefault="00546E7A" w:rsidP="00E358A0">
            <w:pPr>
              <w:rPr>
                <w:rFonts w:ascii="Times New Roman" w:eastAsia="Times New Roman" w:hAnsi="Times New Roman" w:cs="Times New Roman"/>
                <w:szCs w:val="24"/>
                <w:lang w:eastAsia="en-GB"/>
              </w:rPr>
            </w:pPr>
          </w:p>
        </w:tc>
      </w:tr>
      <w:tr w:rsidR="00A20A48" w:rsidRPr="00E358A0" w14:paraId="6AE140D2" w14:textId="77777777" w:rsidTr="00A20A48">
        <w:trPr>
          <w:trHeight w:val="4440"/>
        </w:trPr>
        <w:tc>
          <w:tcPr>
            <w:tcW w:w="562"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6D152E84" w14:textId="77777777" w:rsidR="00E358A0" w:rsidRPr="00E358A0" w:rsidRDefault="00E358A0" w:rsidP="00E358A0">
            <w:pPr>
              <w:jc w:val="right"/>
              <w:rPr>
                <w:rFonts w:ascii="Times New Roman" w:eastAsia="Times New Roman" w:hAnsi="Times New Roman" w:cs="Times New Roman"/>
                <w:szCs w:val="24"/>
                <w:lang w:eastAsia="en-GB"/>
              </w:rPr>
            </w:pPr>
            <w:r w:rsidRPr="00E358A0">
              <w:rPr>
                <w:rFonts w:eastAsia="Times New Roman" w:cs="Arial"/>
                <w:color w:val="000000"/>
                <w:sz w:val="20"/>
                <w:lang w:eastAsia="en-GB"/>
              </w:rPr>
              <w:lastRenderedPageBreak/>
              <w:t>3</w:t>
            </w:r>
          </w:p>
        </w:tc>
        <w:tc>
          <w:tcPr>
            <w:tcW w:w="193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60A66D98"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Release 2</w:t>
            </w:r>
          </w:p>
        </w:tc>
        <w:tc>
          <w:tcPr>
            <w:tcW w:w="2126"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6BC752EE" w14:textId="052B4FC1"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3</w:t>
            </w:r>
            <w:r w:rsidR="007F3329">
              <w:rPr>
                <w:rFonts w:eastAsia="Times New Roman" w:cs="Arial"/>
                <w:b/>
                <w:bCs/>
                <w:color w:val="000000"/>
                <w:sz w:val="20"/>
                <w:lang w:eastAsia="en-GB"/>
              </w:rPr>
              <w:t>.</w:t>
            </w:r>
            <w:r w:rsidRPr="00E358A0">
              <w:rPr>
                <w:rFonts w:eastAsia="Times New Roman" w:cs="Arial"/>
                <w:b/>
                <w:bCs/>
                <w:color w:val="000000"/>
                <w:sz w:val="20"/>
                <w:lang w:eastAsia="en-GB"/>
              </w:rPr>
              <w:t xml:space="preserve"> Application management and vacancy creation full, up-to-offer stage</w:t>
            </w:r>
          </w:p>
          <w:p w14:paraId="58C5782F" w14:textId="77777777" w:rsidR="00E358A0" w:rsidRPr="00E358A0" w:rsidRDefault="00E358A0" w:rsidP="00E358A0">
            <w:pPr>
              <w:rPr>
                <w:rFonts w:ascii="Times New Roman" w:eastAsia="Times New Roman" w:hAnsi="Times New Roman" w:cs="Times New Roman"/>
                <w:szCs w:val="24"/>
                <w:lang w:eastAsia="en-GB"/>
              </w:rPr>
            </w:pPr>
          </w:p>
          <w:p w14:paraId="2AA08981" w14:textId="032B739E" w:rsidR="00E358A0" w:rsidRPr="00E358A0" w:rsidRDefault="00E358A0" w:rsidP="00D24999">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Enable application management and Vacancy creation services for most Full System </w:t>
            </w:r>
            <w:r w:rsidR="00D24999">
              <w:rPr>
                <w:rFonts w:eastAsia="Times New Roman" w:cs="Arial"/>
                <w:color w:val="000000"/>
                <w:sz w:val="20"/>
                <w:lang w:eastAsia="en-GB"/>
              </w:rPr>
              <w:t>Platform Customers</w:t>
            </w:r>
            <w:r w:rsidRPr="00E358A0">
              <w:rPr>
                <w:rFonts w:eastAsia="Times New Roman" w:cs="Arial"/>
                <w:color w:val="000000"/>
                <w:sz w:val="20"/>
                <w:lang w:eastAsia="en-GB"/>
              </w:rPr>
              <w:t xml:space="preserve"> (i.e. those who are not reliant on all employment checking services)</w:t>
            </w:r>
          </w:p>
        </w:tc>
        <w:tc>
          <w:tcPr>
            <w:tcW w:w="241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6BC7D8F3" w14:textId="38EE263E" w:rsidR="00E358A0" w:rsidRPr="00E358A0" w:rsidRDefault="00142E1E" w:rsidP="00E358A0">
            <w:pPr>
              <w:rPr>
                <w:rFonts w:ascii="Times New Roman" w:eastAsia="Times New Roman" w:hAnsi="Times New Roman" w:cs="Times New Roman"/>
                <w:szCs w:val="24"/>
                <w:lang w:eastAsia="en-GB"/>
              </w:rPr>
            </w:pPr>
            <w:r>
              <w:rPr>
                <w:rFonts w:eastAsia="Times New Roman" w:cs="Arial"/>
                <w:color w:val="000000"/>
                <w:sz w:val="20"/>
                <w:lang w:eastAsia="en-GB"/>
              </w:rPr>
              <w:t>The Authority</w:t>
            </w:r>
            <w:r w:rsidR="00E358A0" w:rsidRPr="00E358A0">
              <w:rPr>
                <w:rFonts w:eastAsia="Times New Roman" w:cs="Arial"/>
                <w:color w:val="000000"/>
                <w:sz w:val="20"/>
                <w:lang w:eastAsia="en-GB"/>
              </w:rPr>
              <w:t xml:space="preserve"> recognise</w:t>
            </w:r>
            <w:r>
              <w:rPr>
                <w:rFonts w:eastAsia="Times New Roman" w:cs="Arial"/>
                <w:color w:val="000000"/>
                <w:sz w:val="20"/>
                <w:lang w:eastAsia="en-GB"/>
              </w:rPr>
              <w:t>s</w:t>
            </w:r>
            <w:r w:rsidR="00E358A0" w:rsidRPr="00E358A0">
              <w:rPr>
                <w:rFonts w:eastAsia="Times New Roman" w:cs="Arial"/>
                <w:color w:val="000000"/>
                <w:sz w:val="20"/>
                <w:lang w:eastAsia="en-GB"/>
              </w:rPr>
              <w:t xml:space="preserve"> an opportunity to move into a value add space early by having the application functionality built before pre-employment checking (PEC), enabling early Private Beta for </w:t>
            </w:r>
            <w:r w:rsidR="00D24999">
              <w:rPr>
                <w:rFonts w:eastAsia="Times New Roman" w:cs="Arial"/>
                <w:color w:val="000000"/>
                <w:sz w:val="20"/>
                <w:lang w:eastAsia="en-GB"/>
              </w:rPr>
              <w:t>Full System Platform Customers</w:t>
            </w:r>
            <w:r w:rsidR="00E358A0" w:rsidRPr="00E358A0">
              <w:rPr>
                <w:rFonts w:eastAsia="Times New Roman" w:cs="Arial"/>
                <w:color w:val="000000"/>
                <w:sz w:val="20"/>
                <w:lang w:eastAsia="en-GB"/>
              </w:rPr>
              <w:t>.</w:t>
            </w:r>
          </w:p>
          <w:p w14:paraId="6CDAE03B" w14:textId="77777777" w:rsidR="00E358A0" w:rsidRPr="00E358A0" w:rsidRDefault="00E358A0" w:rsidP="00E358A0">
            <w:pPr>
              <w:rPr>
                <w:rFonts w:ascii="Times New Roman" w:eastAsia="Times New Roman" w:hAnsi="Times New Roman" w:cs="Times New Roman"/>
                <w:szCs w:val="24"/>
                <w:lang w:eastAsia="en-GB"/>
              </w:rPr>
            </w:pPr>
          </w:p>
          <w:p w14:paraId="23D91E50" w14:textId="2AC148D4"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This will enable </w:t>
            </w:r>
            <w:r w:rsidR="007F3329">
              <w:rPr>
                <w:rFonts w:eastAsia="Times New Roman" w:cs="Arial"/>
                <w:color w:val="000000"/>
                <w:sz w:val="20"/>
                <w:lang w:eastAsia="en-GB"/>
              </w:rPr>
              <w:t>the Authority</w:t>
            </w:r>
            <w:r w:rsidRPr="00E358A0">
              <w:rPr>
                <w:rFonts w:eastAsia="Times New Roman" w:cs="Arial"/>
                <w:color w:val="000000"/>
                <w:sz w:val="20"/>
                <w:lang w:eastAsia="en-GB"/>
              </w:rPr>
              <w:t xml:space="preserve"> to identify and fix key issues sooner.</w:t>
            </w:r>
          </w:p>
          <w:p w14:paraId="5B6CA5AC" w14:textId="77777777" w:rsidR="00E358A0" w:rsidRPr="00E358A0" w:rsidRDefault="00E358A0" w:rsidP="00E358A0">
            <w:pPr>
              <w:rPr>
                <w:rFonts w:ascii="Times New Roman" w:eastAsia="Times New Roman" w:hAnsi="Times New Roman" w:cs="Times New Roman"/>
                <w:szCs w:val="24"/>
                <w:lang w:eastAsia="en-GB"/>
              </w:rPr>
            </w:pPr>
          </w:p>
          <w:p w14:paraId="721CA3AE" w14:textId="614D7712" w:rsidR="00E358A0" w:rsidRPr="00E358A0" w:rsidRDefault="007F3329" w:rsidP="00E358A0">
            <w:pPr>
              <w:rPr>
                <w:rFonts w:ascii="Times New Roman" w:eastAsia="Times New Roman" w:hAnsi="Times New Roman" w:cs="Times New Roman"/>
                <w:szCs w:val="24"/>
                <w:lang w:eastAsia="en-GB"/>
              </w:rPr>
            </w:pPr>
            <w:r>
              <w:rPr>
                <w:rFonts w:eastAsia="Times New Roman" w:cs="Arial"/>
                <w:color w:val="000000"/>
                <w:sz w:val="20"/>
                <w:lang w:eastAsia="en-GB"/>
              </w:rPr>
              <w:t>The Authority's</w:t>
            </w:r>
            <w:r w:rsidR="00E358A0" w:rsidRPr="00E358A0">
              <w:rPr>
                <w:rFonts w:eastAsia="Times New Roman" w:cs="Arial"/>
                <w:color w:val="000000"/>
                <w:sz w:val="20"/>
                <w:lang w:eastAsia="en-GB"/>
              </w:rPr>
              <w:t xml:space="preserve"> working assumption is that the employment checking set-up activity will take the longest time period based on previous experience.</w:t>
            </w:r>
          </w:p>
          <w:p w14:paraId="4FC02F24" w14:textId="77777777" w:rsidR="00E358A0" w:rsidRPr="00E358A0" w:rsidRDefault="00E358A0" w:rsidP="00E358A0">
            <w:pPr>
              <w:spacing w:after="240"/>
              <w:rPr>
                <w:rFonts w:ascii="Times New Roman" w:eastAsia="Times New Roman" w:hAnsi="Times New Roman" w:cs="Times New Roman"/>
                <w:szCs w:val="24"/>
                <w:lang w:eastAsia="en-GB"/>
              </w:rPr>
            </w:pPr>
          </w:p>
          <w:p w14:paraId="1ADD4555" w14:textId="4FEBFC4D" w:rsidR="00E358A0" w:rsidRPr="00E358A0" w:rsidRDefault="00E358A0" w:rsidP="00D24999">
            <w:pPr>
              <w:rPr>
                <w:rFonts w:ascii="Times New Roman" w:eastAsia="Times New Roman" w:hAnsi="Times New Roman" w:cs="Times New Roman"/>
                <w:szCs w:val="24"/>
                <w:lang w:eastAsia="en-GB"/>
              </w:rPr>
            </w:pPr>
          </w:p>
        </w:tc>
        <w:tc>
          <w:tcPr>
            <w:tcW w:w="436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35B98BC5"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Vacancy Creation FULL - Campaign creators to configure their campaigns (ie determine assessment approach inc. online tests and number and type of interview)</w:t>
            </w:r>
          </w:p>
          <w:p w14:paraId="2A33DFC1"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applicants to apply</w:t>
            </w:r>
          </w:p>
          <w:p w14:paraId="231BCB21"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assessors to shortlist</w:t>
            </w:r>
          </w:p>
          <w:p w14:paraId="7C4C668F"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Enabling access to basic reporting capabilities inc. standard reports</w:t>
            </w:r>
          </w:p>
          <w:p w14:paraId="1A077749"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interviews to be scheduled</w:t>
            </w:r>
          </w:p>
          <w:p w14:paraId="2B77DE66"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assessors to assess and confirm interview outcomes (including adding candidates to a reserve list)</w:t>
            </w:r>
          </w:p>
          <w:p w14:paraId="309BAF58"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ID check via IDVT</w:t>
            </w:r>
          </w:p>
          <w:p w14:paraId="5FA296F6"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'lite' PEC portal for IDVT (right to work and DBS identity checking) only</w:t>
            </w:r>
          </w:p>
          <w:p w14:paraId="7B864CF5"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recruiting side task allocation</w:t>
            </w:r>
          </w:p>
          <w:p w14:paraId="6A433AED"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Confirm Offer - after checks are cleared off-system</w:t>
            </w:r>
          </w:p>
          <w:p w14:paraId="303893E7" w14:textId="2A41016A" w:rsidR="00E358A0" w:rsidRPr="00E358A0" w:rsidRDefault="00E358A0" w:rsidP="00E358A0">
            <w:pPr>
              <w:rPr>
                <w:rFonts w:ascii="Times New Roman" w:eastAsia="Times New Roman" w:hAnsi="Times New Roman" w:cs="Times New Roman"/>
                <w:szCs w:val="24"/>
                <w:lang w:eastAsia="en-GB"/>
              </w:rPr>
            </w:pPr>
          </w:p>
          <w:p w14:paraId="058EDDC9"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Allow candidates to create and manage accounts, including reusable application data.</w:t>
            </w:r>
          </w:p>
          <w:p w14:paraId="54DF2BD4"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the Welsh language, apply and manage applications journeys</w:t>
            </w:r>
          </w:p>
          <w:p w14:paraId="10A14C9E"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Ensure thorough testing work is complete prior to Private Beta, including security and scalability testing</w:t>
            </w:r>
          </w:p>
          <w:p w14:paraId="170512C2"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Support/conduct accessibility testing and fix issues that haven’t been resolved in the previous releases</w:t>
            </w:r>
          </w:p>
        </w:tc>
        <w:tc>
          <w:tcPr>
            <w:tcW w:w="1735"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6A57CDD1" w14:textId="0747D8AF" w:rsidR="00E358A0" w:rsidRDefault="00E358A0" w:rsidP="00546E7A">
            <w:pPr>
              <w:rPr>
                <w:rFonts w:eastAsia="Times New Roman" w:cs="Arial"/>
                <w:color w:val="000000"/>
                <w:sz w:val="20"/>
                <w:lang w:eastAsia="en-GB"/>
              </w:rPr>
            </w:pPr>
            <w:r w:rsidRPr="00E358A0">
              <w:rPr>
                <w:rFonts w:eastAsia="Times New Roman" w:cs="Arial"/>
                <w:color w:val="000000"/>
                <w:sz w:val="20"/>
                <w:lang w:eastAsia="en-GB"/>
              </w:rPr>
              <w:t>Within 12 months of the Effective Date</w:t>
            </w:r>
            <w:r w:rsidR="00546E7A">
              <w:rPr>
                <w:rFonts w:eastAsia="Times New Roman" w:cs="Arial"/>
                <w:color w:val="000000"/>
                <w:sz w:val="20"/>
                <w:lang w:eastAsia="en-GB"/>
              </w:rPr>
              <w:t>.</w:t>
            </w:r>
          </w:p>
          <w:p w14:paraId="5DBD7A1B" w14:textId="77777777" w:rsidR="00546E7A" w:rsidRDefault="00546E7A" w:rsidP="00546E7A">
            <w:pPr>
              <w:rPr>
                <w:rFonts w:eastAsia="Times New Roman" w:cs="Arial"/>
                <w:color w:val="000000"/>
                <w:sz w:val="20"/>
                <w:lang w:eastAsia="en-GB"/>
              </w:rPr>
            </w:pPr>
          </w:p>
          <w:p w14:paraId="38AD4949" w14:textId="559F7DF8" w:rsidR="00546E7A" w:rsidRPr="00E358A0" w:rsidRDefault="00546E7A" w:rsidP="00546E7A">
            <w:pPr>
              <w:rPr>
                <w:rFonts w:ascii="Times New Roman" w:eastAsia="Times New Roman" w:hAnsi="Times New Roman" w:cs="Times New Roman"/>
                <w:szCs w:val="24"/>
                <w:lang w:eastAsia="en-GB"/>
              </w:rPr>
            </w:pPr>
            <w:r>
              <w:rPr>
                <w:rFonts w:eastAsia="Times New Roman" w:cs="Arial"/>
                <w:color w:val="000000"/>
                <w:sz w:val="20"/>
                <w:lang w:eastAsia="en-GB"/>
              </w:rPr>
              <w:t>This is also a Critical Milestone and the Critical Milestone Longstop Date will be one month after the Key Milestone Date.</w:t>
            </w:r>
          </w:p>
        </w:tc>
      </w:tr>
      <w:tr w:rsidR="00A20A48" w:rsidRPr="00E358A0" w14:paraId="7C00D376" w14:textId="77777777" w:rsidTr="00A20A48">
        <w:trPr>
          <w:trHeight w:val="3930"/>
        </w:trPr>
        <w:tc>
          <w:tcPr>
            <w:tcW w:w="562"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5E80A72E" w14:textId="77777777" w:rsidR="00E358A0" w:rsidRPr="00E358A0" w:rsidRDefault="00E358A0" w:rsidP="00E358A0">
            <w:pPr>
              <w:jc w:val="right"/>
              <w:rPr>
                <w:rFonts w:ascii="Times New Roman" w:eastAsia="Times New Roman" w:hAnsi="Times New Roman" w:cs="Times New Roman"/>
                <w:szCs w:val="24"/>
                <w:lang w:eastAsia="en-GB"/>
              </w:rPr>
            </w:pPr>
            <w:r w:rsidRPr="00E358A0">
              <w:rPr>
                <w:rFonts w:eastAsia="Times New Roman" w:cs="Arial"/>
                <w:color w:val="000000"/>
                <w:sz w:val="20"/>
                <w:lang w:eastAsia="en-GB"/>
              </w:rPr>
              <w:lastRenderedPageBreak/>
              <w:t>4</w:t>
            </w:r>
          </w:p>
        </w:tc>
        <w:tc>
          <w:tcPr>
            <w:tcW w:w="1930"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089A8953"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Release 3</w:t>
            </w:r>
          </w:p>
        </w:tc>
        <w:tc>
          <w:tcPr>
            <w:tcW w:w="2126"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2B92E110" w14:textId="73EB85E5"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4</w:t>
            </w:r>
            <w:r w:rsidR="007F3329">
              <w:rPr>
                <w:rFonts w:eastAsia="Times New Roman" w:cs="Arial"/>
                <w:b/>
                <w:bCs/>
                <w:color w:val="000000"/>
                <w:sz w:val="20"/>
                <w:lang w:eastAsia="en-GB"/>
              </w:rPr>
              <w:t>.</w:t>
            </w:r>
            <w:r w:rsidRPr="00E358A0">
              <w:rPr>
                <w:rFonts w:eastAsia="Times New Roman" w:cs="Arial"/>
                <w:color w:val="000000"/>
                <w:sz w:val="20"/>
                <w:lang w:eastAsia="en-GB"/>
              </w:rPr>
              <w:t xml:space="preserve"> </w:t>
            </w:r>
            <w:r w:rsidRPr="00E358A0">
              <w:rPr>
                <w:rFonts w:eastAsia="Times New Roman" w:cs="Arial"/>
                <w:b/>
                <w:bCs/>
                <w:color w:val="000000"/>
                <w:sz w:val="20"/>
                <w:lang w:eastAsia="en-GB"/>
              </w:rPr>
              <w:t>Pre-employment checking, including new starter data handling</w:t>
            </w:r>
          </w:p>
          <w:p w14:paraId="3CD0E739" w14:textId="77777777" w:rsidR="00E358A0" w:rsidRPr="00E358A0" w:rsidRDefault="00E358A0" w:rsidP="00E358A0">
            <w:pPr>
              <w:rPr>
                <w:rFonts w:ascii="Times New Roman" w:eastAsia="Times New Roman" w:hAnsi="Times New Roman" w:cs="Times New Roman"/>
                <w:szCs w:val="24"/>
                <w:lang w:eastAsia="en-GB"/>
              </w:rPr>
            </w:pPr>
          </w:p>
          <w:p w14:paraId="35434954" w14:textId="0834336F"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Functionality for </w:t>
            </w:r>
            <w:r w:rsidR="00D24999">
              <w:rPr>
                <w:rFonts w:eastAsia="Times New Roman" w:cs="Arial"/>
                <w:color w:val="000000"/>
                <w:sz w:val="20"/>
                <w:lang w:eastAsia="en-GB"/>
              </w:rPr>
              <w:t>Platform Customers</w:t>
            </w:r>
            <w:r w:rsidRPr="00E358A0">
              <w:rPr>
                <w:rFonts w:eastAsia="Times New Roman" w:cs="Arial"/>
                <w:color w:val="000000"/>
                <w:sz w:val="20"/>
                <w:lang w:eastAsia="en-GB"/>
              </w:rPr>
              <w:t xml:space="preserve"> who require employment checking services. </w:t>
            </w:r>
          </w:p>
          <w:p w14:paraId="7160EA43" w14:textId="77777777" w:rsidR="00E358A0" w:rsidRPr="00E358A0" w:rsidRDefault="00E358A0" w:rsidP="00E358A0">
            <w:pPr>
              <w:rPr>
                <w:rFonts w:ascii="Times New Roman" w:eastAsia="Times New Roman" w:hAnsi="Times New Roman" w:cs="Times New Roman"/>
                <w:szCs w:val="24"/>
                <w:lang w:eastAsia="en-GB"/>
              </w:rPr>
            </w:pPr>
          </w:p>
          <w:p w14:paraId="2E0808DF"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Functionality is fully tested and ready to deploy into Live Private Beta.</w:t>
            </w:r>
          </w:p>
        </w:tc>
        <w:tc>
          <w:tcPr>
            <w:tcW w:w="2410"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054928A9" w14:textId="2A25D7EC"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Enable </w:t>
            </w:r>
            <w:r w:rsidR="00D24999">
              <w:rPr>
                <w:rFonts w:eastAsia="Times New Roman" w:cs="Arial"/>
                <w:color w:val="000000"/>
                <w:sz w:val="20"/>
                <w:lang w:eastAsia="en-GB"/>
              </w:rPr>
              <w:t>"Full Service</w:t>
            </w:r>
            <w:r w:rsidRPr="00E358A0">
              <w:rPr>
                <w:rFonts w:eastAsia="Times New Roman" w:cs="Arial"/>
                <w:color w:val="000000"/>
                <w:sz w:val="20"/>
                <w:lang w:eastAsia="en-GB"/>
              </w:rPr>
              <w:t xml:space="preserve"> </w:t>
            </w:r>
            <w:r w:rsidR="00D24999">
              <w:rPr>
                <w:rFonts w:eastAsia="Times New Roman" w:cs="Arial"/>
                <w:color w:val="000000"/>
                <w:sz w:val="20"/>
                <w:lang w:eastAsia="en-GB"/>
              </w:rPr>
              <w:t xml:space="preserve">Platform Customers" (i.e. Full System Platform Customers that have Full System access and the Government Recruitment Service (GRS) also manages the operational delivery of the Vacancy for the Platform Customer end to end)  </w:t>
            </w:r>
            <w:r w:rsidRPr="00E358A0">
              <w:rPr>
                <w:rFonts w:eastAsia="Times New Roman" w:cs="Arial"/>
                <w:color w:val="000000"/>
                <w:sz w:val="20"/>
                <w:lang w:eastAsia="en-GB"/>
              </w:rPr>
              <w:t>to conduct complex employment checking.</w:t>
            </w:r>
          </w:p>
          <w:p w14:paraId="62A9801C" w14:textId="77777777" w:rsidR="00E358A0" w:rsidRPr="00E358A0" w:rsidRDefault="00E358A0" w:rsidP="00E358A0">
            <w:pPr>
              <w:rPr>
                <w:rFonts w:ascii="Times New Roman" w:eastAsia="Times New Roman" w:hAnsi="Times New Roman" w:cs="Times New Roman"/>
                <w:szCs w:val="24"/>
                <w:lang w:eastAsia="en-GB"/>
              </w:rPr>
            </w:pPr>
          </w:p>
          <w:p w14:paraId="1BA48C2A"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Support the Civil Service with vetting candidates.</w:t>
            </w:r>
          </w:p>
          <w:p w14:paraId="12A1E082" w14:textId="77777777" w:rsidR="00E358A0" w:rsidRPr="00E358A0" w:rsidRDefault="00E358A0" w:rsidP="00E358A0">
            <w:pPr>
              <w:rPr>
                <w:rFonts w:ascii="Times New Roman" w:eastAsia="Times New Roman" w:hAnsi="Times New Roman" w:cs="Times New Roman"/>
                <w:szCs w:val="24"/>
                <w:lang w:eastAsia="en-GB"/>
              </w:rPr>
            </w:pPr>
          </w:p>
          <w:p w14:paraId="672E8602"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Speed-up time to check.</w:t>
            </w:r>
          </w:p>
        </w:tc>
        <w:tc>
          <w:tcPr>
            <w:tcW w:w="4360"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7ED7F010"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candidates to provide pre-employment checking information</w:t>
            </w:r>
          </w:p>
          <w:p w14:paraId="3D2180E3" w14:textId="6D63C3BE"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 Enable </w:t>
            </w:r>
            <w:r w:rsidR="00E87CC5">
              <w:rPr>
                <w:rFonts w:eastAsia="Times New Roman" w:cs="Arial"/>
                <w:color w:val="000000"/>
                <w:sz w:val="20"/>
                <w:lang w:eastAsia="en-GB"/>
              </w:rPr>
              <w:t>r</w:t>
            </w:r>
            <w:r w:rsidRPr="00E358A0">
              <w:rPr>
                <w:rFonts w:eastAsia="Times New Roman" w:cs="Arial"/>
                <w:color w:val="000000"/>
                <w:sz w:val="20"/>
                <w:lang w:eastAsia="en-GB"/>
              </w:rPr>
              <w:t>ecruiters to manage the checking process</w:t>
            </w:r>
          </w:p>
          <w:p w14:paraId="495A4DAB"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vacancy holders to make an informed risk-based decision (if needed)</w:t>
            </w:r>
          </w:p>
          <w:p w14:paraId="286284B8"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recruiter/checker to have 2-way communications with the candidate and business stakeholders</w:t>
            </w:r>
          </w:p>
          <w:p w14:paraId="668A5A63"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all users to track progress</w:t>
            </w:r>
          </w:p>
          <w:p w14:paraId="64BA761C"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the capture and sharing of new starter details with HR</w:t>
            </w:r>
          </w:p>
          <w:p w14:paraId="6051EA75" w14:textId="12626A9C"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 Key pre-employment checking and onboarding integrations </w:t>
            </w:r>
          </w:p>
          <w:p w14:paraId="419C85FC"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Recruiting PEC task allocation</w:t>
            </w:r>
          </w:p>
          <w:p w14:paraId="2CCCFB93"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Enable Welsh language employment checks</w:t>
            </w:r>
          </w:p>
          <w:p w14:paraId="4EDC06E0"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Ensure thorough testing work is complete prior to Private Beta, including security and scalability testing</w:t>
            </w:r>
          </w:p>
          <w:p w14:paraId="6A009C5C"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Support/conduct accessibility testing and fix issues that haven’t been resolved in the previous releases</w:t>
            </w:r>
          </w:p>
        </w:tc>
        <w:tc>
          <w:tcPr>
            <w:tcW w:w="1735" w:type="dxa"/>
            <w:tcBorders>
              <w:top w:val="single" w:sz="4" w:space="0" w:color="CCCCCC"/>
              <w:left w:val="single" w:sz="4" w:space="0" w:color="CCCCCC"/>
              <w:bottom w:val="single" w:sz="4" w:space="0" w:color="CCCCCC"/>
              <w:right w:val="single" w:sz="4" w:space="0" w:color="CCCCCC"/>
            </w:tcBorders>
            <w:shd w:val="clear" w:color="auto" w:fill="FFFFFF"/>
            <w:tcMar>
              <w:top w:w="40" w:type="dxa"/>
              <w:left w:w="40" w:type="dxa"/>
              <w:bottom w:w="40" w:type="dxa"/>
              <w:right w:w="40" w:type="dxa"/>
            </w:tcMar>
            <w:hideMark/>
          </w:tcPr>
          <w:p w14:paraId="10CE6CBD" w14:textId="48BFCAD9" w:rsidR="00E358A0" w:rsidRDefault="00E358A0" w:rsidP="00546E7A">
            <w:pPr>
              <w:rPr>
                <w:rFonts w:eastAsia="Times New Roman" w:cs="Arial"/>
                <w:color w:val="000000"/>
                <w:sz w:val="20"/>
                <w:lang w:eastAsia="en-GB"/>
              </w:rPr>
            </w:pPr>
            <w:r w:rsidRPr="00E358A0">
              <w:rPr>
                <w:rFonts w:eastAsia="Times New Roman" w:cs="Arial"/>
                <w:color w:val="000000"/>
                <w:sz w:val="20"/>
                <w:lang w:eastAsia="en-GB"/>
              </w:rPr>
              <w:t>Within 15 months of the Effective Date.</w:t>
            </w:r>
          </w:p>
          <w:p w14:paraId="6368F8AC" w14:textId="77777777" w:rsidR="00546E7A" w:rsidRDefault="00546E7A" w:rsidP="00546E7A">
            <w:pPr>
              <w:rPr>
                <w:rFonts w:eastAsia="Times New Roman" w:cs="Arial"/>
                <w:color w:val="000000"/>
                <w:sz w:val="20"/>
                <w:lang w:eastAsia="en-GB"/>
              </w:rPr>
            </w:pPr>
          </w:p>
          <w:p w14:paraId="347B5F39" w14:textId="12A53045" w:rsidR="00546E7A" w:rsidRPr="00E358A0" w:rsidRDefault="00546E7A" w:rsidP="00546E7A">
            <w:pPr>
              <w:rPr>
                <w:rFonts w:ascii="Times New Roman" w:eastAsia="Times New Roman" w:hAnsi="Times New Roman" w:cs="Times New Roman"/>
                <w:szCs w:val="24"/>
                <w:lang w:eastAsia="en-GB"/>
              </w:rPr>
            </w:pPr>
            <w:r>
              <w:rPr>
                <w:rFonts w:eastAsia="Times New Roman" w:cs="Arial"/>
                <w:color w:val="000000"/>
                <w:sz w:val="20"/>
                <w:lang w:eastAsia="en-GB"/>
              </w:rPr>
              <w:t>This is also a Critical Milestone and the Critical Milestone Longstop Date will be one month after the Key Milestone Date.</w:t>
            </w:r>
          </w:p>
        </w:tc>
      </w:tr>
      <w:tr w:rsidR="00A20A48" w:rsidRPr="00E358A0" w14:paraId="401D6565" w14:textId="77777777" w:rsidTr="00A20A48">
        <w:trPr>
          <w:trHeight w:val="1680"/>
        </w:trPr>
        <w:tc>
          <w:tcPr>
            <w:tcW w:w="562"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46BD5A31" w14:textId="77777777" w:rsidR="00E358A0" w:rsidRPr="00E358A0" w:rsidRDefault="00E358A0" w:rsidP="00E358A0">
            <w:pPr>
              <w:jc w:val="right"/>
              <w:rPr>
                <w:rFonts w:ascii="Times New Roman" w:eastAsia="Times New Roman" w:hAnsi="Times New Roman" w:cs="Times New Roman"/>
                <w:szCs w:val="24"/>
                <w:lang w:eastAsia="en-GB"/>
              </w:rPr>
            </w:pPr>
            <w:r w:rsidRPr="00E358A0">
              <w:rPr>
                <w:rFonts w:eastAsia="Times New Roman" w:cs="Arial"/>
                <w:color w:val="000000"/>
                <w:sz w:val="20"/>
                <w:lang w:eastAsia="en-GB"/>
              </w:rPr>
              <w:t>5</w:t>
            </w:r>
          </w:p>
        </w:tc>
        <w:tc>
          <w:tcPr>
            <w:tcW w:w="193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6939DB3F"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Run Private Beta (following Release 2 and 3)</w:t>
            </w:r>
          </w:p>
        </w:tc>
        <w:tc>
          <w:tcPr>
            <w:tcW w:w="2126"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6B9CEABB"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5 Private Beta</w:t>
            </w:r>
          </w:p>
          <w:p w14:paraId="7DE608E2" w14:textId="77777777" w:rsidR="00E358A0" w:rsidRPr="00E358A0" w:rsidRDefault="00E358A0" w:rsidP="00E358A0">
            <w:pPr>
              <w:rPr>
                <w:rFonts w:ascii="Times New Roman" w:eastAsia="Times New Roman" w:hAnsi="Times New Roman" w:cs="Times New Roman"/>
                <w:szCs w:val="24"/>
                <w:lang w:eastAsia="en-GB"/>
              </w:rPr>
            </w:pPr>
          </w:p>
          <w:p w14:paraId="7CEFB72A"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Service Assessment</w:t>
            </w:r>
          </w:p>
          <w:p w14:paraId="1352CA36" w14:textId="77777777" w:rsidR="00E358A0" w:rsidRPr="00E358A0" w:rsidRDefault="00E358A0" w:rsidP="00E358A0">
            <w:pPr>
              <w:spacing w:after="240"/>
              <w:rPr>
                <w:rFonts w:ascii="Times New Roman" w:eastAsia="Times New Roman" w:hAnsi="Times New Roman" w:cs="Times New Roman"/>
                <w:szCs w:val="24"/>
                <w:lang w:eastAsia="en-GB"/>
              </w:rPr>
            </w:pPr>
          </w:p>
        </w:tc>
        <w:tc>
          <w:tcPr>
            <w:tcW w:w="241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6A242825" w14:textId="76ABA03E" w:rsidR="00E358A0" w:rsidRPr="00E358A0" w:rsidRDefault="00E358A0" w:rsidP="00E87CC5">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Once all functionality is available, we will test the service in Live with a small number of </w:t>
            </w:r>
            <w:r w:rsidR="00E87CC5">
              <w:rPr>
                <w:rFonts w:eastAsia="Times New Roman" w:cs="Arial"/>
                <w:color w:val="000000"/>
                <w:sz w:val="20"/>
                <w:lang w:eastAsia="en-GB"/>
              </w:rPr>
              <w:t>Platform Customers</w:t>
            </w:r>
            <w:r w:rsidRPr="00E358A0">
              <w:rPr>
                <w:rFonts w:eastAsia="Times New Roman" w:cs="Arial"/>
                <w:color w:val="000000"/>
                <w:sz w:val="20"/>
                <w:lang w:eastAsia="en-GB"/>
              </w:rPr>
              <w:t xml:space="preserve"> (Private Beta) and conduct a Service Assessment.</w:t>
            </w:r>
          </w:p>
        </w:tc>
        <w:tc>
          <w:tcPr>
            <w:tcW w:w="436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08250BEE" w14:textId="29C7BC3F"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 Enable Private Beta </w:t>
            </w:r>
            <w:r w:rsidR="00E87CC5">
              <w:rPr>
                <w:rFonts w:eastAsia="Times New Roman" w:cs="Arial"/>
                <w:color w:val="000000"/>
                <w:sz w:val="20"/>
                <w:lang w:eastAsia="en-GB"/>
              </w:rPr>
              <w:t>Platform Customers</w:t>
            </w:r>
            <w:r w:rsidRPr="00E358A0">
              <w:rPr>
                <w:rFonts w:eastAsia="Times New Roman" w:cs="Arial"/>
                <w:color w:val="000000"/>
                <w:sz w:val="20"/>
                <w:lang w:eastAsia="en-GB"/>
              </w:rPr>
              <w:t xml:space="preserve"> to be onboarded, and support the Authority in conducting and passing our Government Service Standard Assessment</w:t>
            </w:r>
          </w:p>
          <w:p w14:paraId="0F8A40F1" w14:textId="77777777" w:rsidR="00E358A0" w:rsidRPr="00E358A0" w:rsidRDefault="00E358A0" w:rsidP="00540F77">
            <w:pPr>
              <w:rPr>
                <w:rFonts w:ascii="Times New Roman" w:eastAsia="Times New Roman" w:hAnsi="Times New Roman" w:cs="Times New Roman"/>
                <w:szCs w:val="24"/>
                <w:lang w:eastAsia="en-GB"/>
              </w:rPr>
            </w:pPr>
          </w:p>
        </w:tc>
        <w:tc>
          <w:tcPr>
            <w:tcW w:w="1735"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45EA1466" w14:textId="48706B95"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Within 18 months of the Effective Date</w:t>
            </w:r>
          </w:p>
        </w:tc>
      </w:tr>
      <w:tr w:rsidR="00A20A48" w:rsidRPr="00E358A0" w14:paraId="3DBC7686" w14:textId="77777777" w:rsidTr="00A20A48">
        <w:trPr>
          <w:trHeight w:val="1680"/>
        </w:trPr>
        <w:tc>
          <w:tcPr>
            <w:tcW w:w="562"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42C7B373" w14:textId="77777777" w:rsidR="00E358A0" w:rsidRPr="00E358A0" w:rsidRDefault="00E358A0" w:rsidP="00E358A0">
            <w:pPr>
              <w:jc w:val="right"/>
              <w:rPr>
                <w:rFonts w:ascii="Times New Roman" w:eastAsia="Times New Roman" w:hAnsi="Times New Roman" w:cs="Times New Roman"/>
                <w:szCs w:val="24"/>
                <w:lang w:eastAsia="en-GB"/>
              </w:rPr>
            </w:pPr>
            <w:r w:rsidRPr="00E358A0">
              <w:rPr>
                <w:rFonts w:eastAsia="Times New Roman" w:cs="Arial"/>
                <w:color w:val="000000"/>
                <w:sz w:val="20"/>
                <w:lang w:eastAsia="en-GB"/>
              </w:rPr>
              <w:t>6</w:t>
            </w:r>
          </w:p>
        </w:tc>
        <w:tc>
          <w:tcPr>
            <w:tcW w:w="193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023C21DE"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Complete onboarding</w:t>
            </w:r>
          </w:p>
        </w:tc>
        <w:tc>
          <w:tcPr>
            <w:tcW w:w="2126"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57EBE204" w14:textId="15F816C6"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 xml:space="preserve">6 Phased onboarding of all remaining </w:t>
            </w:r>
            <w:r w:rsidR="00E87CC5">
              <w:rPr>
                <w:rFonts w:eastAsia="Times New Roman" w:cs="Arial"/>
                <w:b/>
                <w:bCs/>
                <w:color w:val="000000"/>
                <w:sz w:val="20"/>
                <w:lang w:eastAsia="en-GB"/>
              </w:rPr>
              <w:t>Platform Customers</w:t>
            </w:r>
          </w:p>
          <w:p w14:paraId="0F4A9F48" w14:textId="77777777" w:rsidR="00E358A0" w:rsidRPr="00E358A0" w:rsidRDefault="00E358A0" w:rsidP="00E358A0">
            <w:pPr>
              <w:rPr>
                <w:rFonts w:ascii="Times New Roman" w:eastAsia="Times New Roman" w:hAnsi="Times New Roman" w:cs="Times New Roman"/>
                <w:szCs w:val="24"/>
                <w:lang w:eastAsia="en-GB"/>
              </w:rPr>
            </w:pPr>
          </w:p>
        </w:tc>
        <w:tc>
          <w:tcPr>
            <w:tcW w:w="241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3CCD3FE2" w14:textId="01047156"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This period of 4 months is envisaged to complete the onboarding of all remaining </w:t>
            </w:r>
            <w:r w:rsidR="00E87CC5">
              <w:rPr>
                <w:rFonts w:eastAsia="Times New Roman" w:cs="Arial"/>
                <w:color w:val="000000"/>
                <w:sz w:val="20"/>
                <w:lang w:eastAsia="en-GB"/>
              </w:rPr>
              <w:t>Platform Customers</w:t>
            </w:r>
            <w:r w:rsidRPr="00E358A0">
              <w:rPr>
                <w:rFonts w:eastAsia="Times New Roman" w:cs="Arial"/>
                <w:color w:val="000000"/>
                <w:sz w:val="20"/>
                <w:lang w:eastAsia="en-GB"/>
              </w:rPr>
              <w:t xml:space="preserve"> (up to </w:t>
            </w:r>
            <w:r w:rsidR="00E87CC5">
              <w:rPr>
                <w:rFonts w:eastAsia="Times New Roman" w:cs="Arial"/>
                <w:color w:val="000000"/>
                <w:sz w:val="20"/>
                <w:lang w:eastAsia="en-GB"/>
              </w:rPr>
              <w:t xml:space="preserve">c. </w:t>
            </w:r>
            <w:r w:rsidRPr="00E358A0">
              <w:rPr>
                <w:rFonts w:eastAsia="Times New Roman" w:cs="Arial"/>
                <w:color w:val="000000"/>
                <w:sz w:val="20"/>
                <w:lang w:eastAsia="en-GB"/>
              </w:rPr>
              <w:t>85).</w:t>
            </w:r>
          </w:p>
          <w:p w14:paraId="291899D2" w14:textId="77777777" w:rsidR="00E358A0" w:rsidRPr="00E358A0" w:rsidRDefault="00E358A0" w:rsidP="00E358A0">
            <w:pPr>
              <w:rPr>
                <w:rFonts w:ascii="Times New Roman" w:eastAsia="Times New Roman" w:hAnsi="Times New Roman" w:cs="Times New Roman"/>
                <w:szCs w:val="24"/>
                <w:lang w:eastAsia="en-GB"/>
              </w:rPr>
            </w:pPr>
          </w:p>
          <w:p w14:paraId="2FD1C32A" w14:textId="501F7E81"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Note: Advert Only </w:t>
            </w:r>
            <w:r w:rsidR="002071BF">
              <w:rPr>
                <w:rFonts w:eastAsia="Times New Roman" w:cs="Arial"/>
                <w:color w:val="000000"/>
                <w:sz w:val="20"/>
                <w:lang w:eastAsia="en-GB"/>
              </w:rPr>
              <w:t>Platform C</w:t>
            </w:r>
            <w:r w:rsidRPr="00E358A0">
              <w:rPr>
                <w:rFonts w:eastAsia="Times New Roman" w:cs="Arial"/>
                <w:color w:val="000000"/>
                <w:sz w:val="20"/>
                <w:lang w:eastAsia="en-GB"/>
              </w:rPr>
              <w:t xml:space="preserve">ustomers and ‘early adopters’ </w:t>
            </w:r>
            <w:r w:rsidR="002071BF">
              <w:rPr>
                <w:rFonts w:eastAsia="Times New Roman" w:cs="Arial"/>
                <w:color w:val="000000"/>
                <w:sz w:val="20"/>
                <w:lang w:eastAsia="en-GB"/>
              </w:rPr>
              <w:t>Platform C</w:t>
            </w:r>
            <w:r w:rsidRPr="00E358A0">
              <w:rPr>
                <w:rFonts w:eastAsia="Times New Roman" w:cs="Arial"/>
                <w:color w:val="000000"/>
                <w:sz w:val="20"/>
                <w:lang w:eastAsia="en-GB"/>
              </w:rPr>
              <w:t xml:space="preserve">ustomers will have </w:t>
            </w:r>
            <w:r w:rsidRPr="00E358A0">
              <w:rPr>
                <w:rFonts w:eastAsia="Times New Roman" w:cs="Arial"/>
                <w:color w:val="000000"/>
                <w:sz w:val="20"/>
                <w:lang w:eastAsia="en-GB"/>
              </w:rPr>
              <w:lastRenderedPageBreak/>
              <w:t>already been onboarded at this point.</w:t>
            </w:r>
          </w:p>
        </w:tc>
        <w:tc>
          <w:tcPr>
            <w:tcW w:w="436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1D38ECBD" w14:textId="093C0709"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lastRenderedPageBreak/>
              <w:t xml:space="preserve">- Enable </w:t>
            </w:r>
            <w:r w:rsidR="00E87CC5">
              <w:rPr>
                <w:rFonts w:eastAsia="Times New Roman" w:cs="Arial"/>
                <w:color w:val="000000"/>
                <w:sz w:val="20"/>
                <w:lang w:eastAsia="en-GB"/>
              </w:rPr>
              <w:t xml:space="preserve">all remaining </w:t>
            </w:r>
            <w:r w:rsidRPr="00E358A0">
              <w:rPr>
                <w:rFonts w:eastAsia="Times New Roman" w:cs="Arial"/>
                <w:color w:val="000000"/>
                <w:sz w:val="20"/>
                <w:lang w:eastAsia="en-GB"/>
              </w:rPr>
              <w:t>Full System</w:t>
            </w:r>
            <w:r w:rsidR="00E87CC5">
              <w:rPr>
                <w:rFonts w:eastAsia="Times New Roman" w:cs="Arial"/>
                <w:color w:val="000000"/>
                <w:sz w:val="20"/>
                <w:lang w:eastAsia="en-GB"/>
              </w:rPr>
              <w:t xml:space="preserve"> Platform Customers</w:t>
            </w:r>
            <w:r w:rsidRPr="00E358A0">
              <w:rPr>
                <w:rFonts w:eastAsia="Times New Roman" w:cs="Arial"/>
                <w:color w:val="000000"/>
                <w:sz w:val="20"/>
                <w:lang w:eastAsia="en-GB"/>
              </w:rPr>
              <w:t xml:space="preserve">, Full Service </w:t>
            </w:r>
            <w:r w:rsidR="00E87CC5">
              <w:rPr>
                <w:rFonts w:eastAsia="Times New Roman" w:cs="Arial"/>
                <w:color w:val="000000"/>
                <w:sz w:val="20"/>
                <w:lang w:eastAsia="en-GB"/>
              </w:rPr>
              <w:t xml:space="preserve">Platform Customers </w:t>
            </w:r>
            <w:r w:rsidRPr="00E358A0">
              <w:rPr>
                <w:rFonts w:eastAsia="Times New Roman" w:cs="Arial"/>
                <w:color w:val="000000"/>
                <w:sz w:val="20"/>
                <w:lang w:eastAsia="en-GB"/>
              </w:rPr>
              <w:t xml:space="preserve">and Menu Service </w:t>
            </w:r>
            <w:r w:rsidR="00D24999">
              <w:rPr>
                <w:rFonts w:eastAsia="Times New Roman" w:cs="Arial"/>
                <w:color w:val="000000"/>
                <w:sz w:val="20"/>
                <w:lang w:eastAsia="en-GB"/>
              </w:rPr>
              <w:t>Platform Customers</w:t>
            </w:r>
            <w:r w:rsidRPr="00E358A0">
              <w:rPr>
                <w:rFonts w:eastAsia="Times New Roman" w:cs="Arial"/>
                <w:color w:val="000000"/>
                <w:sz w:val="20"/>
                <w:lang w:eastAsia="en-GB"/>
              </w:rPr>
              <w:t xml:space="preserve"> to be onboarded, including training and change management support</w:t>
            </w:r>
          </w:p>
          <w:p w14:paraId="2BDED744" w14:textId="77777777" w:rsidR="00E358A0" w:rsidRPr="00E358A0" w:rsidRDefault="00E358A0" w:rsidP="00E358A0">
            <w:pPr>
              <w:rPr>
                <w:rFonts w:ascii="Times New Roman" w:eastAsia="Times New Roman" w:hAnsi="Times New Roman" w:cs="Times New Roman"/>
                <w:szCs w:val="24"/>
                <w:lang w:eastAsia="en-GB"/>
              </w:rPr>
            </w:pPr>
          </w:p>
        </w:tc>
        <w:tc>
          <w:tcPr>
            <w:tcW w:w="1735"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1EF525EB" w14:textId="77777777" w:rsidR="00E358A0" w:rsidRPr="00E358A0" w:rsidRDefault="00E358A0"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Within 23 months of the Effective Date </w:t>
            </w:r>
          </w:p>
        </w:tc>
      </w:tr>
      <w:tr w:rsidR="002C1835" w:rsidRPr="00E358A0" w14:paraId="66A3C5FA" w14:textId="77777777" w:rsidTr="003604EE">
        <w:trPr>
          <w:trHeight w:val="1680"/>
        </w:trPr>
        <w:tc>
          <w:tcPr>
            <w:tcW w:w="562"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021BB778" w14:textId="77777777" w:rsidR="002C1835" w:rsidRPr="00E358A0" w:rsidRDefault="002C1835" w:rsidP="00E358A0">
            <w:pPr>
              <w:jc w:val="right"/>
              <w:rPr>
                <w:rFonts w:ascii="Times New Roman" w:eastAsia="Times New Roman" w:hAnsi="Times New Roman" w:cs="Times New Roman"/>
                <w:szCs w:val="24"/>
                <w:lang w:eastAsia="en-GB"/>
              </w:rPr>
            </w:pPr>
            <w:r w:rsidRPr="00E358A0">
              <w:rPr>
                <w:rFonts w:eastAsia="Times New Roman" w:cs="Arial"/>
                <w:color w:val="000000"/>
                <w:sz w:val="20"/>
                <w:lang w:eastAsia="en-GB"/>
              </w:rPr>
              <w:t>7</w:t>
            </w:r>
          </w:p>
        </w:tc>
        <w:tc>
          <w:tcPr>
            <w:tcW w:w="193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7C5A2053" w14:textId="77777777" w:rsidR="002C1835" w:rsidRPr="00E358A0" w:rsidRDefault="002C1835"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Release 4</w:t>
            </w:r>
          </w:p>
          <w:p w14:paraId="28971707" w14:textId="77777777" w:rsidR="002C1835" w:rsidRPr="00E358A0" w:rsidRDefault="002C1835" w:rsidP="00E358A0">
            <w:pPr>
              <w:rPr>
                <w:rFonts w:ascii="Times New Roman" w:eastAsia="Times New Roman" w:hAnsi="Times New Roman" w:cs="Times New Roman"/>
                <w:szCs w:val="24"/>
                <w:lang w:eastAsia="en-GB"/>
              </w:rPr>
            </w:pPr>
          </w:p>
        </w:tc>
        <w:tc>
          <w:tcPr>
            <w:tcW w:w="2126"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475B304C" w14:textId="77777777" w:rsidR="002C1835" w:rsidRPr="00E358A0" w:rsidRDefault="002C1835" w:rsidP="00E358A0">
            <w:pPr>
              <w:rPr>
                <w:rFonts w:ascii="Times New Roman" w:eastAsia="Times New Roman" w:hAnsi="Times New Roman" w:cs="Times New Roman"/>
                <w:szCs w:val="24"/>
                <w:lang w:eastAsia="en-GB"/>
              </w:rPr>
            </w:pPr>
            <w:r w:rsidRPr="00E358A0">
              <w:rPr>
                <w:rFonts w:eastAsia="Times New Roman" w:cs="Arial"/>
                <w:b/>
                <w:bCs/>
                <w:color w:val="000000"/>
                <w:sz w:val="20"/>
                <w:lang w:eastAsia="en-GB"/>
              </w:rPr>
              <w:t>7.1 Job library feature</w:t>
            </w:r>
          </w:p>
        </w:tc>
        <w:tc>
          <w:tcPr>
            <w:tcW w:w="241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1058BBC3" w14:textId="77777777" w:rsidR="002C1835" w:rsidRPr="00E358A0" w:rsidRDefault="002C1835"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Improve consistency and quality of job description and assessment methodology.</w:t>
            </w:r>
          </w:p>
        </w:tc>
        <w:tc>
          <w:tcPr>
            <w:tcW w:w="436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hideMark/>
          </w:tcPr>
          <w:p w14:paraId="3727EDC0" w14:textId="3B38E11D" w:rsidR="002C1835" w:rsidRPr="00E358A0" w:rsidRDefault="002C1835"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xml:space="preserve">- The ability to add a template to </w:t>
            </w:r>
            <w:r>
              <w:rPr>
                <w:rFonts w:eastAsia="Times New Roman" w:cs="Arial"/>
                <w:color w:val="000000"/>
                <w:sz w:val="20"/>
                <w:lang w:eastAsia="en-GB"/>
              </w:rPr>
              <w:t>the</w:t>
            </w:r>
            <w:r w:rsidRPr="00E358A0">
              <w:rPr>
                <w:rFonts w:eastAsia="Times New Roman" w:cs="Arial"/>
                <w:color w:val="000000"/>
                <w:sz w:val="20"/>
                <w:lang w:eastAsia="en-GB"/>
              </w:rPr>
              <w:t xml:space="preserve"> job library</w:t>
            </w:r>
          </w:p>
          <w:p w14:paraId="11D8A449" w14:textId="77777777" w:rsidR="002C1835" w:rsidRPr="00E358A0" w:rsidRDefault="002C1835"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The ability for vacancy creators to be presented with relevant job library templates</w:t>
            </w:r>
          </w:p>
          <w:p w14:paraId="3F234D93" w14:textId="77777777" w:rsidR="002C1835" w:rsidRPr="00E358A0" w:rsidRDefault="002C1835"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Providing useful insights when making a template recommendation</w:t>
            </w:r>
          </w:p>
          <w:p w14:paraId="4863DE10" w14:textId="77777777" w:rsidR="002C1835" w:rsidRPr="00E358A0" w:rsidRDefault="002C1835" w:rsidP="00E358A0">
            <w:pPr>
              <w:rPr>
                <w:rFonts w:ascii="Times New Roman" w:eastAsia="Times New Roman" w:hAnsi="Times New Roman" w:cs="Times New Roman"/>
                <w:szCs w:val="24"/>
                <w:lang w:eastAsia="en-GB"/>
              </w:rPr>
            </w:pPr>
            <w:r w:rsidRPr="00E358A0">
              <w:rPr>
                <w:rFonts w:eastAsia="Times New Roman" w:cs="Arial"/>
                <w:color w:val="000000"/>
                <w:sz w:val="20"/>
                <w:lang w:eastAsia="en-GB"/>
              </w:rPr>
              <w:t>- For vacancies to be pre-populated with content and assessment methods, when a template is selected</w:t>
            </w:r>
          </w:p>
        </w:tc>
        <w:tc>
          <w:tcPr>
            <w:tcW w:w="1735" w:type="dxa"/>
            <w:vMerge w:val="restart"/>
            <w:tcBorders>
              <w:top w:val="single" w:sz="4" w:space="0" w:color="CCCCCC"/>
              <w:left w:val="single" w:sz="4" w:space="0" w:color="CCCCCC"/>
              <w:right w:val="single" w:sz="4" w:space="0" w:color="CCCCCC"/>
            </w:tcBorders>
            <w:shd w:val="clear" w:color="auto" w:fill="E8F0FE"/>
            <w:tcMar>
              <w:top w:w="40" w:type="dxa"/>
              <w:left w:w="40" w:type="dxa"/>
              <w:bottom w:w="40" w:type="dxa"/>
              <w:right w:w="40" w:type="dxa"/>
            </w:tcMar>
            <w:hideMark/>
          </w:tcPr>
          <w:p w14:paraId="457EE198" w14:textId="46AD1254" w:rsidR="002C1835" w:rsidRDefault="002C1835" w:rsidP="00546E7A">
            <w:pPr>
              <w:rPr>
                <w:rFonts w:eastAsia="Times New Roman" w:cs="Arial"/>
                <w:color w:val="000000"/>
                <w:sz w:val="20"/>
                <w:lang w:eastAsia="en-GB"/>
              </w:rPr>
            </w:pPr>
            <w:r w:rsidRPr="00E358A0">
              <w:rPr>
                <w:rFonts w:eastAsia="Times New Roman" w:cs="Arial"/>
                <w:color w:val="000000"/>
                <w:sz w:val="20"/>
                <w:lang w:eastAsia="en-GB"/>
              </w:rPr>
              <w:t>Within 6 - 18 months of the Effective Date</w:t>
            </w:r>
            <w:r>
              <w:rPr>
                <w:rFonts w:eastAsia="Times New Roman" w:cs="Arial"/>
                <w:color w:val="000000"/>
                <w:sz w:val="20"/>
                <w:lang w:eastAsia="en-GB"/>
              </w:rPr>
              <w:t>.</w:t>
            </w:r>
          </w:p>
          <w:p w14:paraId="1E5A03C8" w14:textId="77777777" w:rsidR="002C1835" w:rsidRDefault="002C1835" w:rsidP="00546E7A">
            <w:pPr>
              <w:rPr>
                <w:rFonts w:eastAsia="Times New Roman" w:cs="Arial"/>
                <w:color w:val="000000"/>
                <w:sz w:val="20"/>
                <w:lang w:eastAsia="en-GB"/>
              </w:rPr>
            </w:pPr>
          </w:p>
          <w:p w14:paraId="3A4AE79A" w14:textId="38324741" w:rsidR="002C1835" w:rsidRPr="00E358A0" w:rsidRDefault="002C1835" w:rsidP="00546E7A">
            <w:pPr>
              <w:rPr>
                <w:rFonts w:ascii="Times New Roman" w:eastAsia="Times New Roman" w:hAnsi="Times New Roman" w:cs="Times New Roman"/>
                <w:szCs w:val="24"/>
                <w:lang w:eastAsia="en-GB"/>
              </w:rPr>
            </w:pPr>
            <w:r>
              <w:rPr>
                <w:rFonts w:eastAsia="Times New Roman" w:cs="Arial"/>
                <w:color w:val="000000"/>
                <w:sz w:val="20"/>
                <w:lang w:eastAsia="en-GB"/>
              </w:rPr>
              <w:t>This is also a Critical Milestone and the Critical Milestone Longstop Date will be one month after the Key Milestone Date.</w:t>
            </w:r>
          </w:p>
        </w:tc>
      </w:tr>
      <w:tr w:rsidR="002C1835" w:rsidRPr="00E358A0" w14:paraId="4CFBBD3F" w14:textId="77777777" w:rsidTr="003604EE">
        <w:trPr>
          <w:trHeight w:val="1680"/>
        </w:trPr>
        <w:tc>
          <w:tcPr>
            <w:tcW w:w="562"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03CA2FCE" w14:textId="77777777" w:rsidR="002C1835" w:rsidRPr="00E358A0" w:rsidRDefault="002C1835" w:rsidP="002C1835">
            <w:pPr>
              <w:jc w:val="right"/>
              <w:rPr>
                <w:rFonts w:eastAsia="Times New Roman" w:cs="Arial"/>
                <w:color w:val="000000"/>
                <w:sz w:val="20"/>
                <w:lang w:eastAsia="en-GB"/>
              </w:rPr>
            </w:pPr>
          </w:p>
        </w:tc>
        <w:tc>
          <w:tcPr>
            <w:tcW w:w="193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7E98AE4D" w14:textId="77777777" w:rsidR="002C1835" w:rsidRPr="00E358A0" w:rsidRDefault="002C1835" w:rsidP="002C1835">
            <w:pPr>
              <w:rPr>
                <w:rFonts w:eastAsia="Times New Roman" w:cs="Arial"/>
                <w:b/>
                <w:bCs/>
                <w:color w:val="000000"/>
                <w:sz w:val="20"/>
                <w:lang w:eastAsia="en-GB"/>
              </w:rPr>
            </w:pPr>
          </w:p>
        </w:tc>
        <w:tc>
          <w:tcPr>
            <w:tcW w:w="2126"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4263B037" w14:textId="6762319A" w:rsidR="002C1835" w:rsidRPr="00E358A0" w:rsidRDefault="002C1835" w:rsidP="002C1835">
            <w:pPr>
              <w:rPr>
                <w:rFonts w:eastAsia="Times New Roman" w:cs="Arial"/>
                <w:b/>
                <w:bCs/>
                <w:color w:val="000000"/>
                <w:sz w:val="20"/>
                <w:lang w:eastAsia="en-GB"/>
              </w:rPr>
            </w:pPr>
            <w:r>
              <w:rPr>
                <w:rFonts w:cs="Arial"/>
                <w:b/>
                <w:bCs/>
                <w:color w:val="000000"/>
                <w:sz w:val="20"/>
              </w:rPr>
              <w:t>7.2 Reserve matching feature</w:t>
            </w:r>
          </w:p>
        </w:tc>
        <w:tc>
          <w:tcPr>
            <w:tcW w:w="241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1AE76785"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Increase the usage of near miss candidates.</w:t>
            </w:r>
          </w:p>
          <w:p w14:paraId="3A7B07C6" w14:textId="77777777" w:rsidR="002C1835" w:rsidRPr="00540F77" w:rsidRDefault="002C1835" w:rsidP="00540F77">
            <w:pPr>
              <w:rPr>
                <w:rFonts w:eastAsia="Times New Roman" w:cs="Arial"/>
                <w:color w:val="000000"/>
                <w:sz w:val="20"/>
                <w:lang w:eastAsia="en-GB"/>
              </w:rPr>
            </w:pPr>
          </w:p>
          <w:p w14:paraId="1CE60216"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Reduce time to hire.</w:t>
            </w:r>
          </w:p>
          <w:p w14:paraId="3EEAC096" w14:textId="77777777" w:rsidR="002C1835" w:rsidRPr="00540F77" w:rsidRDefault="002C1835" w:rsidP="00540F77">
            <w:pPr>
              <w:rPr>
                <w:rFonts w:eastAsia="Times New Roman" w:cs="Arial"/>
                <w:color w:val="000000"/>
                <w:sz w:val="20"/>
                <w:lang w:eastAsia="en-GB"/>
              </w:rPr>
            </w:pPr>
          </w:p>
          <w:p w14:paraId="056C0BB8" w14:textId="4EEB15FB" w:rsidR="002C1835" w:rsidRPr="00E358A0" w:rsidRDefault="002C1835" w:rsidP="00540F77">
            <w:pPr>
              <w:rPr>
                <w:rFonts w:eastAsia="Times New Roman" w:cs="Arial"/>
                <w:color w:val="000000"/>
                <w:sz w:val="20"/>
                <w:lang w:eastAsia="en-GB"/>
              </w:rPr>
            </w:pPr>
            <w:r w:rsidRPr="00540F77">
              <w:rPr>
                <w:rFonts w:eastAsia="Times New Roman" w:cs="Arial"/>
                <w:color w:val="000000"/>
                <w:sz w:val="20"/>
                <w:lang w:eastAsia="en-GB"/>
              </w:rPr>
              <w:t>FTE efficiency - save significant staff time spent on recruiting</w:t>
            </w:r>
          </w:p>
        </w:tc>
        <w:tc>
          <w:tcPr>
            <w:tcW w:w="436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603F338E" w14:textId="34718198"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 Ask candidates if they want to be on a reserve list</w:t>
            </w:r>
          </w:p>
          <w:p w14:paraId="73A9C784"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 Get candidate reserve preferences</w:t>
            </w:r>
          </w:p>
          <w:p w14:paraId="53581999"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 Regularly survey reserve candidates to ensure data is accurate (ie are you still interested in working for us?)</w:t>
            </w:r>
          </w:p>
          <w:p w14:paraId="75DAEC27"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 Match reserve candidate to a new opportunity</w:t>
            </w:r>
          </w:p>
          <w:p w14:paraId="6AA291BF"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 Enable vacancy creator to determine reserve sharing decisions (ie don't share with anyone vs. Share with my department vs. Share with all departments)</w:t>
            </w:r>
          </w:p>
          <w:p w14:paraId="79BE36B5"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 Enable communicate with reserve candidate</w:t>
            </w:r>
          </w:p>
          <w:p w14:paraId="1D0A4E3D" w14:textId="1145B44B" w:rsidR="002C1835" w:rsidRPr="00E358A0" w:rsidRDefault="002C1835" w:rsidP="00540F77">
            <w:pPr>
              <w:rPr>
                <w:rFonts w:eastAsia="Times New Roman" w:cs="Arial"/>
                <w:color w:val="000000"/>
                <w:sz w:val="20"/>
                <w:lang w:eastAsia="en-GB"/>
              </w:rPr>
            </w:pPr>
            <w:r w:rsidRPr="00540F77">
              <w:rPr>
                <w:rFonts w:eastAsia="Times New Roman" w:cs="Arial"/>
                <w:color w:val="000000"/>
                <w:sz w:val="20"/>
                <w:lang w:eastAsia="en-GB"/>
              </w:rPr>
              <w:t>- Enable reserve candidate to be offer (provisionally) a job and to be moved to employment checking stage</w:t>
            </w:r>
          </w:p>
        </w:tc>
        <w:tc>
          <w:tcPr>
            <w:tcW w:w="1735" w:type="dxa"/>
            <w:vMerge/>
            <w:tcBorders>
              <w:left w:val="single" w:sz="4" w:space="0" w:color="CCCCCC"/>
              <w:right w:val="single" w:sz="4" w:space="0" w:color="CCCCCC"/>
            </w:tcBorders>
            <w:shd w:val="clear" w:color="auto" w:fill="E8F0FE"/>
            <w:tcMar>
              <w:top w:w="40" w:type="dxa"/>
              <w:left w:w="40" w:type="dxa"/>
              <w:bottom w:w="40" w:type="dxa"/>
              <w:right w:w="40" w:type="dxa"/>
            </w:tcMar>
          </w:tcPr>
          <w:p w14:paraId="2F683D13" w14:textId="77777777" w:rsidR="002C1835" w:rsidRPr="00E358A0" w:rsidRDefault="002C1835" w:rsidP="002C1835">
            <w:pPr>
              <w:rPr>
                <w:rFonts w:eastAsia="Times New Roman" w:cs="Arial"/>
                <w:color w:val="000000"/>
                <w:sz w:val="20"/>
                <w:lang w:eastAsia="en-GB"/>
              </w:rPr>
            </w:pPr>
          </w:p>
        </w:tc>
      </w:tr>
      <w:tr w:rsidR="002C1835" w:rsidRPr="00E358A0" w14:paraId="3127F664" w14:textId="77777777" w:rsidTr="003604EE">
        <w:trPr>
          <w:trHeight w:val="1680"/>
        </w:trPr>
        <w:tc>
          <w:tcPr>
            <w:tcW w:w="562"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4321E416" w14:textId="77777777" w:rsidR="002C1835" w:rsidRPr="00E358A0" w:rsidRDefault="002C1835" w:rsidP="002C1835">
            <w:pPr>
              <w:jc w:val="right"/>
              <w:rPr>
                <w:rFonts w:eastAsia="Times New Roman" w:cs="Arial"/>
                <w:color w:val="000000"/>
                <w:sz w:val="20"/>
                <w:lang w:eastAsia="en-GB"/>
              </w:rPr>
            </w:pPr>
          </w:p>
        </w:tc>
        <w:tc>
          <w:tcPr>
            <w:tcW w:w="193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063804D9" w14:textId="77777777" w:rsidR="002C1835" w:rsidRPr="00E358A0" w:rsidRDefault="002C1835" w:rsidP="002C1835">
            <w:pPr>
              <w:rPr>
                <w:rFonts w:eastAsia="Times New Roman" w:cs="Arial"/>
                <w:b/>
                <w:bCs/>
                <w:color w:val="000000"/>
                <w:sz w:val="20"/>
                <w:lang w:eastAsia="en-GB"/>
              </w:rPr>
            </w:pPr>
          </w:p>
        </w:tc>
        <w:tc>
          <w:tcPr>
            <w:tcW w:w="2126"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2E1EBF0B" w14:textId="3A226282" w:rsidR="002C1835" w:rsidRDefault="002C1835" w:rsidP="002C1835">
            <w:pPr>
              <w:rPr>
                <w:rFonts w:cs="Arial"/>
                <w:b/>
                <w:bCs/>
                <w:color w:val="000000"/>
                <w:sz w:val="20"/>
              </w:rPr>
            </w:pPr>
            <w:r>
              <w:rPr>
                <w:rFonts w:cs="Arial"/>
                <w:b/>
                <w:bCs/>
                <w:color w:val="000000"/>
                <w:sz w:val="20"/>
              </w:rPr>
              <w:t>7.3 CV Parsing</w:t>
            </w:r>
          </w:p>
        </w:tc>
        <w:tc>
          <w:tcPr>
            <w:tcW w:w="241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5429F715"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Enable candidates to apply in a way that's natural to them.</w:t>
            </w:r>
          </w:p>
          <w:p w14:paraId="68F8C302" w14:textId="77777777" w:rsidR="002C1835" w:rsidRPr="00540F77" w:rsidRDefault="002C1835" w:rsidP="00540F77">
            <w:pPr>
              <w:rPr>
                <w:rFonts w:eastAsia="Times New Roman" w:cs="Arial"/>
                <w:color w:val="000000"/>
                <w:sz w:val="20"/>
                <w:lang w:eastAsia="en-GB"/>
              </w:rPr>
            </w:pPr>
          </w:p>
          <w:p w14:paraId="2A5E1086"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Reduce time to apply.</w:t>
            </w:r>
          </w:p>
          <w:p w14:paraId="75ACB4A0" w14:textId="77777777" w:rsidR="002C1835" w:rsidRPr="00540F77" w:rsidRDefault="002C1835" w:rsidP="00540F77">
            <w:pPr>
              <w:rPr>
                <w:rFonts w:eastAsia="Times New Roman" w:cs="Arial"/>
                <w:color w:val="000000"/>
                <w:sz w:val="20"/>
                <w:lang w:eastAsia="en-GB"/>
              </w:rPr>
            </w:pPr>
          </w:p>
          <w:p w14:paraId="6C93C40A" w14:textId="7D9A570E"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Improve candidate experience.</w:t>
            </w:r>
          </w:p>
        </w:tc>
        <w:tc>
          <w:tcPr>
            <w:tcW w:w="436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250ABAE2"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 A candidate can upload a CV against their account to enable applications to be pre-populated</w:t>
            </w:r>
          </w:p>
          <w:p w14:paraId="27B04140"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 A candidate can upload a CV when applying for a job, which pre-populates their application form</w:t>
            </w:r>
          </w:p>
          <w:p w14:paraId="2FC4033A" w14:textId="77777777"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lastRenderedPageBreak/>
              <w:t>- Parsed CV content can be reviewed and errors corrected by the candidate. Prior to submitting an application.</w:t>
            </w:r>
          </w:p>
          <w:p w14:paraId="7BD49290" w14:textId="0DBC8CC8"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 When hiring side users score CV content it's anonymised.</w:t>
            </w:r>
          </w:p>
        </w:tc>
        <w:tc>
          <w:tcPr>
            <w:tcW w:w="1735" w:type="dxa"/>
            <w:vMerge/>
            <w:tcBorders>
              <w:left w:val="single" w:sz="4" w:space="0" w:color="CCCCCC"/>
              <w:right w:val="single" w:sz="4" w:space="0" w:color="CCCCCC"/>
            </w:tcBorders>
            <w:shd w:val="clear" w:color="auto" w:fill="E8F0FE"/>
            <w:tcMar>
              <w:top w:w="40" w:type="dxa"/>
              <w:left w:w="40" w:type="dxa"/>
              <w:bottom w:w="40" w:type="dxa"/>
              <w:right w:w="40" w:type="dxa"/>
            </w:tcMar>
          </w:tcPr>
          <w:p w14:paraId="2507A3E9" w14:textId="77777777" w:rsidR="002C1835" w:rsidRPr="00E358A0" w:rsidRDefault="002C1835" w:rsidP="002C1835">
            <w:pPr>
              <w:rPr>
                <w:rFonts w:eastAsia="Times New Roman" w:cs="Arial"/>
                <w:color w:val="000000"/>
                <w:sz w:val="20"/>
                <w:lang w:eastAsia="en-GB"/>
              </w:rPr>
            </w:pPr>
          </w:p>
        </w:tc>
      </w:tr>
      <w:tr w:rsidR="002C1835" w:rsidRPr="00E358A0" w14:paraId="540D5A9A" w14:textId="77777777" w:rsidTr="003604EE">
        <w:trPr>
          <w:trHeight w:val="1680"/>
        </w:trPr>
        <w:tc>
          <w:tcPr>
            <w:tcW w:w="562"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7BBF0342" w14:textId="77777777" w:rsidR="002C1835" w:rsidRPr="00E358A0" w:rsidRDefault="002C1835" w:rsidP="002C1835">
            <w:pPr>
              <w:jc w:val="right"/>
              <w:rPr>
                <w:rFonts w:eastAsia="Times New Roman" w:cs="Arial"/>
                <w:color w:val="000000"/>
                <w:sz w:val="20"/>
                <w:lang w:eastAsia="en-GB"/>
              </w:rPr>
            </w:pPr>
          </w:p>
        </w:tc>
        <w:tc>
          <w:tcPr>
            <w:tcW w:w="193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69ED042B" w14:textId="77777777" w:rsidR="002C1835" w:rsidRPr="00E358A0" w:rsidRDefault="002C1835" w:rsidP="002C1835">
            <w:pPr>
              <w:rPr>
                <w:rFonts w:eastAsia="Times New Roman" w:cs="Arial"/>
                <w:b/>
                <w:bCs/>
                <w:color w:val="000000"/>
                <w:sz w:val="20"/>
                <w:lang w:eastAsia="en-GB"/>
              </w:rPr>
            </w:pPr>
          </w:p>
        </w:tc>
        <w:tc>
          <w:tcPr>
            <w:tcW w:w="2126"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44C5D5F0" w14:textId="15719DCA" w:rsidR="002C1835" w:rsidRDefault="002C1835" w:rsidP="002C1835">
            <w:pPr>
              <w:rPr>
                <w:rFonts w:cs="Arial"/>
                <w:b/>
                <w:bCs/>
                <w:color w:val="000000"/>
                <w:sz w:val="20"/>
              </w:rPr>
            </w:pPr>
            <w:r>
              <w:rPr>
                <w:rFonts w:cs="Arial"/>
                <w:b/>
                <w:bCs/>
                <w:color w:val="000000"/>
                <w:sz w:val="20"/>
              </w:rPr>
              <w:t>7.4 Assessment method recommendations</w:t>
            </w:r>
          </w:p>
        </w:tc>
        <w:tc>
          <w:tcPr>
            <w:tcW w:w="241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74AD3CBD" w14:textId="42BF0CA6"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Provide recommendations to vacancy creators to encourage effective decisions.</w:t>
            </w:r>
          </w:p>
        </w:tc>
        <w:tc>
          <w:tcPr>
            <w:tcW w:w="4360" w:type="dxa"/>
            <w:tcBorders>
              <w:top w:val="single" w:sz="4" w:space="0" w:color="CCCCCC"/>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350015B9" w14:textId="365513F9" w:rsidR="002C1835" w:rsidRPr="00540F77" w:rsidRDefault="002C1835" w:rsidP="00540F77">
            <w:pPr>
              <w:rPr>
                <w:rFonts w:eastAsia="Times New Roman" w:cs="Arial"/>
                <w:color w:val="000000"/>
                <w:sz w:val="20"/>
                <w:lang w:eastAsia="en-GB"/>
              </w:rPr>
            </w:pPr>
            <w:r w:rsidRPr="00540F77">
              <w:rPr>
                <w:rFonts w:eastAsia="Times New Roman" w:cs="Arial"/>
                <w:color w:val="000000"/>
                <w:sz w:val="20"/>
                <w:lang w:eastAsia="en-GB"/>
              </w:rPr>
              <w:t>- Ability to display data-driven recommendations to users who're setting up vacancy assessment methods, for example, which behaviours to use.</w:t>
            </w:r>
          </w:p>
        </w:tc>
        <w:tc>
          <w:tcPr>
            <w:tcW w:w="1735" w:type="dxa"/>
            <w:vMerge/>
            <w:tcBorders>
              <w:left w:val="single" w:sz="4" w:space="0" w:color="CCCCCC"/>
              <w:bottom w:val="single" w:sz="4" w:space="0" w:color="CCCCCC"/>
              <w:right w:val="single" w:sz="4" w:space="0" w:color="CCCCCC"/>
            </w:tcBorders>
            <w:shd w:val="clear" w:color="auto" w:fill="E8F0FE"/>
            <w:tcMar>
              <w:top w:w="40" w:type="dxa"/>
              <w:left w:w="40" w:type="dxa"/>
              <w:bottom w:w="40" w:type="dxa"/>
              <w:right w:w="40" w:type="dxa"/>
            </w:tcMar>
          </w:tcPr>
          <w:p w14:paraId="5F4E25CF" w14:textId="77777777" w:rsidR="002C1835" w:rsidRPr="00E358A0" w:rsidRDefault="002C1835" w:rsidP="002C1835">
            <w:pPr>
              <w:rPr>
                <w:rFonts w:eastAsia="Times New Roman" w:cs="Arial"/>
                <w:color w:val="000000"/>
                <w:sz w:val="20"/>
                <w:lang w:eastAsia="en-GB"/>
              </w:rPr>
            </w:pPr>
          </w:p>
        </w:tc>
      </w:tr>
    </w:tbl>
    <w:p w14:paraId="318293D7" w14:textId="1825DB77" w:rsidR="002C71DE" w:rsidRDefault="002C71DE" w:rsidP="00F67E9E"/>
    <w:p w14:paraId="7F613094" w14:textId="10BFC9DF" w:rsidR="00A20A48" w:rsidRPr="00A20A48" w:rsidRDefault="00A20A48" w:rsidP="00F67E9E">
      <w:r w:rsidRPr="00A20A48">
        <w:rPr>
          <w:rFonts w:eastAsia="Times New Roman" w:cs="Arial"/>
          <w:bCs/>
          <w:color w:val="000000"/>
          <w:sz w:val="20"/>
          <w:lang w:eastAsia="en-GB"/>
        </w:rPr>
        <w:t>Note: All of the sub-Milestones associated with a Key Milestone need to be Ac</w:t>
      </w:r>
      <w:r w:rsidR="0012624B">
        <w:rPr>
          <w:rFonts w:eastAsia="Times New Roman" w:cs="Arial"/>
          <w:bCs/>
          <w:color w:val="000000"/>
          <w:sz w:val="20"/>
          <w:lang w:eastAsia="en-GB"/>
        </w:rPr>
        <w:t>hi</w:t>
      </w:r>
      <w:r w:rsidRPr="00A20A48">
        <w:rPr>
          <w:rFonts w:eastAsia="Times New Roman" w:cs="Arial"/>
          <w:bCs/>
          <w:color w:val="000000"/>
          <w:sz w:val="20"/>
          <w:lang w:eastAsia="en-GB"/>
        </w:rPr>
        <w:t>eved in order for the overall Key Milestone to be deemed to Achieved for the purposes of the Contract.</w:t>
      </w:r>
    </w:p>
    <w:p w14:paraId="684485C8" w14:textId="77777777" w:rsidR="002C71DE" w:rsidRDefault="002C71DE" w:rsidP="00F67E9E"/>
    <w:p w14:paraId="35604178" w14:textId="312E54BF" w:rsidR="00DD141F" w:rsidRDefault="00DD141F" w:rsidP="00F67E9E"/>
    <w:p w14:paraId="5975E1E0" w14:textId="508C65D4" w:rsidR="00DD141F" w:rsidRDefault="00DD141F" w:rsidP="00F67E9E"/>
    <w:p w14:paraId="352B56D3" w14:textId="43C2885B" w:rsidR="000B518C" w:rsidRDefault="000B518C" w:rsidP="00F67E9E"/>
    <w:p w14:paraId="18F5EA25" w14:textId="7C3F0FFD" w:rsidR="000B518C" w:rsidRDefault="000B518C" w:rsidP="00F67E9E"/>
    <w:p w14:paraId="1A555339" w14:textId="7E645ECA" w:rsidR="000B518C" w:rsidRDefault="000B518C" w:rsidP="00F67E9E"/>
    <w:p w14:paraId="2CF81525" w14:textId="77777777" w:rsidR="000B518C" w:rsidRDefault="000B518C" w:rsidP="00F67E9E">
      <w:pPr>
        <w:sectPr w:rsidR="000B518C" w:rsidSect="000B518C">
          <w:pgSz w:w="16840" w:h="11900" w:orient="landscape" w:code="9"/>
          <w:pgMar w:top="851" w:right="1701" w:bottom="851" w:left="1134" w:header="567" w:footer="567" w:gutter="0"/>
          <w:cols w:space="720"/>
          <w:docGrid w:linePitch="360"/>
        </w:sectPr>
      </w:pPr>
    </w:p>
    <w:p w14:paraId="3ECCBA75" w14:textId="77777777" w:rsidR="00F67E9E" w:rsidRPr="00FD59B8" w:rsidRDefault="00F67E9E" w:rsidP="00F67E9E">
      <w:pPr>
        <w:pStyle w:val="Dividername"/>
      </w:pPr>
      <w:r w:rsidRPr="00D5341B">
        <w:lastRenderedPageBreak/>
        <w:t>Schedule 14</w:t>
      </w:r>
    </w:p>
    <w:p w14:paraId="4F19E7D4" w14:textId="77777777" w:rsidR="00F67E9E" w:rsidRPr="00FD59B8" w:rsidRDefault="00F67E9E" w:rsidP="00F67E9E">
      <w:pPr>
        <w:pStyle w:val="Dividername"/>
      </w:pPr>
      <w:r w:rsidRPr="00FD59B8">
        <w:t>Testing Procedures</w:t>
      </w:r>
    </w:p>
    <w:p w14:paraId="2FDF9B3D" w14:textId="77777777" w:rsidR="00F67E9E" w:rsidRDefault="00F67E9E" w:rsidP="00F67E9E"/>
    <w:p w14:paraId="30534A3A" w14:textId="77777777" w:rsidR="00F67E9E" w:rsidRPr="00FD59B8" w:rsidRDefault="00F67E9E" w:rsidP="00F67E9E">
      <w:r w:rsidRPr="00FD59B8">
        <w:br w:type="page"/>
      </w:r>
    </w:p>
    <w:p w14:paraId="06536F76" w14:textId="77777777" w:rsidR="00F67E9E" w:rsidRPr="005D0525" w:rsidRDefault="00F67E9E" w:rsidP="00F67E9E">
      <w:pPr>
        <w:pStyle w:val="Heading1"/>
      </w:pPr>
      <w:bookmarkStart w:id="679" w:name="Schedule14"/>
      <w:bookmarkStart w:id="680" w:name="_Ref92199951"/>
      <w:bookmarkStart w:id="681" w:name="_Toc145412765"/>
      <w:r w:rsidRPr="005D0525">
        <w:lastRenderedPageBreak/>
        <w:t>Schedule</w:t>
      </w:r>
      <w:r>
        <w:t> </w:t>
      </w:r>
      <w:r w:rsidRPr="005D0525">
        <w:t>14</w:t>
      </w:r>
      <w:bookmarkEnd w:id="679"/>
      <w:r>
        <w:t xml:space="preserve">: </w:t>
      </w:r>
      <w:bookmarkStart w:id="682" w:name="Schedule14Heading"/>
      <w:r w:rsidRPr="005F1047">
        <w:t>Testing Procedures</w:t>
      </w:r>
      <w:bookmarkEnd w:id="680"/>
      <w:bookmarkEnd w:id="681"/>
      <w:bookmarkEnd w:id="682"/>
    </w:p>
    <w:p w14:paraId="49E7B3EB" w14:textId="77777777" w:rsidR="00F67E9E" w:rsidRPr="00D5341B" w:rsidRDefault="00F67E9E" w:rsidP="00F13933">
      <w:pPr>
        <w:pStyle w:val="Numbered1"/>
        <w:numPr>
          <w:ilvl w:val="0"/>
          <w:numId w:val="120"/>
        </w:numPr>
      </w:pPr>
      <w:r w:rsidRPr="00820382">
        <w:t>Definitions</w:t>
      </w:r>
    </w:p>
    <w:p w14:paraId="58EE2519" w14:textId="77777777" w:rsidR="00F67E9E" w:rsidRPr="00D5341B" w:rsidRDefault="00F67E9E" w:rsidP="00F67E9E">
      <w:pPr>
        <w:pStyle w:val="Numbered11"/>
      </w:pPr>
      <w:r w:rsidRPr="00D5341B">
        <w:t xml:space="preserve">In this Schedule, the following </w:t>
      </w:r>
      <w:r w:rsidRPr="00820382">
        <w:t>definitions</w:t>
      </w:r>
      <w:r w:rsidRPr="00D5341B">
        <w:t xml:space="preserve"> shall apply:</w:t>
      </w:r>
    </w:p>
    <w:tbl>
      <w:tblPr>
        <w:tblStyle w:val="MSAdefinitions"/>
        <w:tblW w:w="9638" w:type="dxa"/>
        <w:tblLook w:val="04A0" w:firstRow="1" w:lastRow="0" w:firstColumn="1" w:lastColumn="0" w:noHBand="0" w:noVBand="1"/>
      </w:tblPr>
      <w:tblGrid>
        <w:gridCol w:w="2835"/>
        <w:gridCol w:w="6803"/>
      </w:tblGrid>
      <w:tr w:rsidR="00F67E9E" w:rsidRPr="00D5341B" w14:paraId="4985C788" w14:textId="77777777" w:rsidTr="0052486C">
        <w:tc>
          <w:tcPr>
            <w:tcW w:w="2835" w:type="dxa"/>
          </w:tcPr>
          <w:p w14:paraId="43120B0C" w14:textId="77777777" w:rsidR="00F67E9E" w:rsidRPr="00D5341B" w:rsidRDefault="00F67E9E" w:rsidP="0052486C">
            <w:pPr>
              <w:pStyle w:val="StdBodyTextBold"/>
            </w:pPr>
            <w:r>
              <w:t>“</w:t>
            </w:r>
            <w:r w:rsidRPr="00D5341B">
              <w:t>Component</w:t>
            </w:r>
            <w:r>
              <w:t>”</w:t>
            </w:r>
          </w:p>
        </w:tc>
        <w:tc>
          <w:tcPr>
            <w:tcW w:w="6803" w:type="dxa"/>
          </w:tcPr>
          <w:p w14:paraId="263E9278" w14:textId="77777777" w:rsidR="00F67E9E" w:rsidRPr="00D5341B" w:rsidRDefault="00F67E9E" w:rsidP="0052486C">
            <w:pPr>
              <w:pStyle w:val="StdBodyText"/>
            </w:pPr>
            <w:r w:rsidRPr="00D5341B">
              <w:t>any constituent parts of the infrastructure for a Service, hardware or Software;</w:t>
            </w:r>
          </w:p>
        </w:tc>
      </w:tr>
      <w:tr w:rsidR="00F67E9E" w:rsidRPr="00D5341B" w14:paraId="1CBE6017" w14:textId="77777777" w:rsidTr="0052486C">
        <w:tc>
          <w:tcPr>
            <w:tcW w:w="2835" w:type="dxa"/>
          </w:tcPr>
          <w:p w14:paraId="2C448041" w14:textId="1EAD0DDB" w:rsidR="00F67E9E" w:rsidRPr="00D5341B" w:rsidRDefault="00F67E9E" w:rsidP="00EB49F1">
            <w:pPr>
              <w:pStyle w:val="StdBodyTextBold"/>
            </w:pPr>
            <w:r>
              <w:t>“</w:t>
            </w:r>
            <w:r w:rsidR="00EB49F1">
              <w:t>Critical</w:t>
            </w:r>
            <w:r w:rsidR="00EB49F1" w:rsidRPr="00D5341B">
              <w:t xml:space="preserve"> </w:t>
            </w:r>
            <w:r w:rsidRPr="00D5341B">
              <w:t>Test Issue</w:t>
            </w:r>
            <w:r>
              <w:t>”</w:t>
            </w:r>
          </w:p>
        </w:tc>
        <w:tc>
          <w:tcPr>
            <w:tcW w:w="6803" w:type="dxa"/>
          </w:tcPr>
          <w:p w14:paraId="5AF8FAE7" w14:textId="77777777" w:rsidR="00F67E9E" w:rsidRPr="00D5341B" w:rsidRDefault="00F67E9E" w:rsidP="0052486C">
            <w:pPr>
              <w:pStyle w:val="StdBodyText"/>
            </w:pPr>
            <w:r w:rsidRPr="00D5341B">
              <w:t>a Test Issue of Severity Level 1 or Severity Level 2;</w:t>
            </w:r>
          </w:p>
        </w:tc>
      </w:tr>
      <w:tr w:rsidR="00F67E9E" w:rsidRPr="00D5341B" w14:paraId="493F98D0" w14:textId="77777777" w:rsidTr="0052486C">
        <w:tc>
          <w:tcPr>
            <w:tcW w:w="2835" w:type="dxa"/>
          </w:tcPr>
          <w:p w14:paraId="4E79029C" w14:textId="77777777" w:rsidR="00F67E9E" w:rsidRPr="00D5341B" w:rsidRDefault="00F67E9E" w:rsidP="0052486C">
            <w:pPr>
              <w:pStyle w:val="StdBodyTextBold"/>
            </w:pPr>
            <w:r>
              <w:t>“</w:t>
            </w:r>
            <w:r w:rsidRPr="00D5341B">
              <w:t>Severity Level</w:t>
            </w:r>
            <w:r>
              <w:t>”</w:t>
            </w:r>
          </w:p>
        </w:tc>
        <w:tc>
          <w:tcPr>
            <w:tcW w:w="6803" w:type="dxa"/>
          </w:tcPr>
          <w:p w14:paraId="1365F39D" w14:textId="3C033D76" w:rsidR="00F67E9E" w:rsidRPr="00D5341B" w:rsidRDefault="00F67E9E" w:rsidP="0052486C">
            <w:pPr>
              <w:pStyle w:val="StdBodyText"/>
            </w:pPr>
            <w:r w:rsidRPr="00D5341B">
              <w:t xml:space="preserve">the level of severity of a Test Issue, the criteria for which are described in Annex </w:t>
            </w:r>
            <w:r w:rsidRPr="00D5341B">
              <w:fldChar w:fldCharType="begin"/>
            </w:r>
            <w:r w:rsidRPr="00D5341B">
              <w:instrText xml:space="preserve"> REF ANNEX1_SCHEDULE14 \h </w:instrText>
            </w:r>
            <w:r>
              <w:instrText xml:space="preserve"> \* MERGEFORMAT </w:instrText>
            </w:r>
            <w:r w:rsidRPr="00D5341B">
              <w:fldChar w:fldCharType="separate"/>
            </w:r>
            <w:r w:rsidR="007A1473" w:rsidRPr="007A1473">
              <w:rPr>
                <w:rFonts w:cs="Arial"/>
              </w:rPr>
              <w:t>1</w:t>
            </w:r>
            <w:r w:rsidRPr="00D5341B">
              <w:fldChar w:fldCharType="end"/>
            </w:r>
            <w:r w:rsidRPr="00D5341B">
              <w:t>;</w:t>
            </w:r>
          </w:p>
        </w:tc>
      </w:tr>
      <w:tr w:rsidR="00F67E9E" w:rsidRPr="00D5341B" w14:paraId="46478A38" w14:textId="77777777" w:rsidTr="0052486C">
        <w:tc>
          <w:tcPr>
            <w:tcW w:w="2835" w:type="dxa"/>
          </w:tcPr>
          <w:p w14:paraId="27D6480B" w14:textId="77777777" w:rsidR="00F67E9E" w:rsidRPr="00D5341B" w:rsidRDefault="00F67E9E" w:rsidP="0052486C">
            <w:pPr>
              <w:pStyle w:val="StdBodyTextBold"/>
            </w:pPr>
            <w:r>
              <w:t>“</w:t>
            </w:r>
            <w:bookmarkStart w:id="683" w:name="_9kR3WTr2AC7CIgMs8T9vB3qrpi05"/>
            <w:r w:rsidRPr="00D5341B">
              <w:t>Test Certificate</w:t>
            </w:r>
            <w:bookmarkEnd w:id="683"/>
            <w:r>
              <w:t>”</w:t>
            </w:r>
          </w:p>
        </w:tc>
        <w:tc>
          <w:tcPr>
            <w:tcW w:w="6803" w:type="dxa"/>
          </w:tcPr>
          <w:p w14:paraId="629697B9" w14:textId="0176AF92" w:rsidR="00F67E9E" w:rsidRPr="00D5341B" w:rsidRDefault="00F67E9E" w:rsidP="0052486C">
            <w:pPr>
              <w:pStyle w:val="StdBodyText"/>
            </w:pPr>
            <w:r w:rsidRPr="00D5341B">
              <w:t xml:space="preserve">a certificate materially in the form of the document contained in Annex </w:t>
            </w:r>
            <w:r w:rsidRPr="00D5341B">
              <w:fldChar w:fldCharType="begin"/>
            </w:r>
            <w:r w:rsidRPr="00D5341B">
              <w:instrText xml:space="preserve"> REF ANNEX2_SCHEDULE14 \h </w:instrText>
            </w:r>
            <w:r>
              <w:instrText xml:space="preserve"> \* MERGEFORMAT </w:instrText>
            </w:r>
            <w:r w:rsidRPr="00D5341B">
              <w:fldChar w:fldCharType="separate"/>
            </w:r>
            <w:r w:rsidR="007A1473" w:rsidRPr="007A1473">
              <w:rPr>
                <w:rFonts w:cs="Arial"/>
              </w:rPr>
              <w:t>2</w:t>
            </w:r>
            <w:r w:rsidRPr="00D5341B">
              <w:fldChar w:fldCharType="end"/>
            </w:r>
            <w:r w:rsidRPr="00D5341B">
              <w:t xml:space="preserve"> issued by the Authority when a Deliverable has satisfied its relevant Test Success Criteria;</w:t>
            </w:r>
          </w:p>
        </w:tc>
      </w:tr>
      <w:tr w:rsidR="00F67E9E" w:rsidRPr="00D5341B" w14:paraId="1F858E14" w14:textId="77777777" w:rsidTr="0052486C">
        <w:tc>
          <w:tcPr>
            <w:tcW w:w="2835" w:type="dxa"/>
          </w:tcPr>
          <w:p w14:paraId="418E6368" w14:textId="77777777" w:rsidR="00F67E9E" w:rsidRPr="00D5341B" w:rsidRDefault="00F67E9E" w:rsidP="0052486C">
            <w:pPr>
              <w:pStyle w:val="StdBodyTextBold"/>
            </w:pPr>
            <w:r>
              <w:t>“</w:t>
            </w:r>
            <w:r w:rsidRPr="00D5341B">
              <w:t>Test Issue</w:t>
            </w:r>
            <w:r>
              <w:t>”</w:t>
            </w:r>
          </w:p>
        </w:tc>
        <w:tc>
          <w:tcPr>
            <w:tcW w:w="6803" w:type="dxa"/>
          </w:tcPr>
          <w:p w14:paraId="0E885730" w14:textId="77777777" w:rsidR="00F67E9E" w:rsidRPr="00D5341B" w:rsidRDefault="00F67E9E" w:rsidP="0052486C">
            <w:pPr>
              <w:pStyle w:val="StdBodyText"/>
            </w:pPr>
            <w:r w:rsidRPr="00D5341B">
              <w:t>any variance or non-conformity of a Deliverable from its requirements (such requirements being set out in the relevant Test Success Criteria);</w:t>
            </w:r>
          </w:p>
        </w:tc>
      </w:tr>
      <w:tr w:rsidR="00F67E9E" w:rsidRPr="00D5341B" w14:paraId="14ECC17F" w14:textId="77777777" w:rsidTr="0052486C">
        <w:tc>
          <w:tcPr>
            <w:tcW w:w="2835" w:type="dxa"/>
          </w:tcPr>
          <w:p w14:paraId="61A84D3C" w14:textId="77777777" w:rsidR="00F67E9E" w:rsidRPr="00D5341B" w:rsidRDefault="00F67E9E" w:rsidP="0052486C">
            <w:pPr>
              <w:pStyle w:val="StdBodyTextBold"/>
            </w:pPr>
            <w:r>
              <w:t>“</w:t>
            </w:r>
            <w:r w:rsidRPr="00D5341B">
              <w:t>Test Issue Threshold</w:t>
            </w:r>
            <w:r>
              <w:t>”</w:t>
            </w:r>
          </w:p>
        </w:tc>
        <w:tc>
          <w:tcPr>
            <w:tcW w:w="6803" w:type="dxa"/>
          </w:tcPr>
          <w:p w14:paraId="10A7EAF0" w14:textId="346CB8A1" w:rsidR="00F67E9E" w:rsidRPr="00D5341B" w:rsidRDefault="00F67E9E" w:rsidP="00EB49F1">
            <w:pPr>
              <w:pStyle w:val="StdBodyText"/>
            </w:pPr>
            <w:r w:rsidRPr="00D5341B">
              <w:t>in relation to the Tests applicable to a Milestone, a maximum number of Severity Level 3, Severity Level 4 and Severity Level 5 Test Issues as set out in the relevant Test Plan</w:t>
            </w:r>
            <w:r w:rsidR="00EB49F1">
              <w:t xml:space="preserve"> (and the tolerances for which are set out in Paragraph 13.7)</w:t>
            </w:r>
            <w:r w:rsidRPr="00D5341B">
              <w:t>;</w:t>
            </w:r>
          </w:p>
        </w:tc>
      </w:tr>
      <w:tr w:rsidR="00F67E9E" w:rsidRPr="00D5341B" w14:paraId="02AE834B" w14:textId="77777777" w:rsidTr="0052486C">
        <w:tc>
          <w:tcPr>
            <w:tcW w:w="2835" w:type="dxa"/>
          </w:tcPr>
          <w:p w14:paraId="59C7E37A" w14:textId="77777777" w:rsidR="00F67E9E" w:rsidRPr="00D5341B" w:rsidRDefault="00F67E9E" w:rsidP="0052486C">
            <w:pPr>
              <w:pStyle w:val="StdBodyTextBold"/>
            </w:pPr>
            <w:r>
              <w:t>“</w:t>
            </w:r>
            <w:r w:rsidRPr="00D5341B">
              <w:t>Test Issue Management Log</w:t>
            </w:r>
            <w:r>
              <w:t>”</w:t>
            </w:r>
          </w:p>
        </w:tc>
        <w:tc>
          <w:tcPr>
            <w:tcW w:w="6803" w:type="dxa"/>
          </w:tcPr>
          <w:p w14:paraId="646E9DF4" w14:textId="0E5D7ACA" w:rsidR="00F67E9E" w:rsidRPr="00D5341B" w:rsidRDefault="00F67E9E" w:rsidP="0052486C">
            <w:pPr>
              <w:pStyle w:val="StdBodyText"/>
            </w:pPr>
            <w:r w:rsidRPr="00D5341B">
              <w:t xml:space="preserve">a log for the recording of Test Issues as described further in </w:t>
            </w:r>
            <w:bookmarkStart w:id="684" w:name="_9kR3WTr2CC5AIeEnoewrqyJR"/>
            <w:r w:rsidRPr="00D5341B">
              <w:t xml:space="preserve">Paragraph </w:t>
            </w:r>
            <w:bookmarkEnd w:id="684"/>
            <w:r w:rsidRPr="00D5341B">
              <w:fldChar w:fldCharType="begin"/>
            </w:r>
            <w:r w:rsidRPr="00D5341B">
              <w:instrText xml:space="preserve"> REF _Ref_ContractCompanion_9kb9Ur16C \w \h </w:instrText>
            </w:r>
            <w:r>
              <w:instrText xml:space="preserve"> \* MERGEFORMAT </w:instrText>
            </w:r>
            <w:r w:rsidRPr="00D5341B">
              <w:fldChar w:fldCharType="separate"/>
            </w:r>
            <w:r w:rsidR="007A1473">
              <w:t>9.1</w:t>
            </w:r>
            <w:r w:rsidRPr="00D5341B">
              <w:fldChar w:fldCharType="end"/>
            </w:r>
            <w:r w:rsidRPr="00D5341B">
              <w:rPr>
                <w:szCs w:val="20"/>
              </w:rPr>
              <w:t>;</w:t>
            </w:r>
          </w:p>
        </w:tc>
      </w:tr>
      <w:tr w:rsidR="00F67E9E" w:rsidRPr="00D5341B" w14:paraId="19821E4D" w14:textId="77777777" w:rsidTr="0052486C">
        <w:tc>
          <w:tcPr>
            <w:tcW w:w="2835" w:type="dxa"/>
          </w:tcPr>
          <w:p w14:paraId="7BEF8C10" w14:textId="77777777" w:rsidR="00F67E9E" w:rsidRPr="00D5341B" w:rsidRDefault="00F67E9E" w:rsidP="0052486C">
            <w:pPr>
              <w:pStyle w:val="StdBodyTextBold"/>
            </w:pPr>
            <w:r>
              <w:t>“</w:t>
            </w:r>
            <w:r w:rsidRPr="00D5341B">
              <w:t>Test Plan</w:t>
            </w:r>
            <w:r>
              <w:t>”</w:t>
            </w:r>
          </w:p>
        </w:tc>
        <w:tc>
          <w:tcPr>
            <w:tcW w:w="6803" w:type="dxa"/>
          </w:tcPr>
          <w:p w14:paraId="2FDD4E62" w14:textId="77777777" w:rsidR="00F67E9E" w:rsidRPr="00D5341B" w:rsidRDefault="00F67E9E" w:rsidP="0052486C">
            <w:pPr>
              <w:pStyle w:val="StdBodyText"/>
            </w:pPr>
            <w:r w:rsidRPr="00D5341B">
              <w:t>a plan:</w:t>
            </w:r>
          </w:p>
          <w:p w14:paraId="5814C6DD" w14:textId="77777777" w:rsidR="00F67E9E" w:rsidRPr="00D5341B" w:rsidRDefault="00F67E9E" w:rsidP="00F13933">
            <w:pPr>
              <w:pStyle w:val="DefinitionList"/>
              <w:numPr>
                <w:ilvl w:val="0"/>
                <w:numId w:val="86"/>
              </w:numPr>
            </w:pPr>
            <w:r w:rsidRPr="00D5341B">
              <w:t>for the Testing of Deliverables; and</w:t>
            </w:r>
          </w:p>
          <w:p w14:paraId="301DEE25" w14:textId="77777777" w:rsidR="00F67E9E" w:rsidRPr="00D5341B" w:rsidRDefault="00F67E9E" w:rsidP="00F13933">
            <w:pPr>
              <w:pStyle w:val="DefinitionList"/>
              <w:numPr>
                <w:ilvl w:val="0"/>
                <w:numId w:val="78"/>
              </w:numPr>
            </w:pPr>
            <w:r w:rsidRPr="00D5341B">
              <w:t>setting out other agreed criteria related to the achievement of Milestones,</w:t>
            </w:r>
          </w:p>
          <w:p w14:paraId="0745BD76" w14:textId="2CB178D8" w:rsidR="00F67E9E" w:rsidRPr="00D5341B" w:rsidRDefault="00F67E9E" w:rsidP="0052486C">
            <w:pPr>
              <w:pStyle w:val="StdBodyText"/>
            </w:pPr>
            <w:r w:rsidRPr="00D5341B">
              <w:t xml:space="preserve">as described further in </w:t>
            </w:r>
            <w:bookmarkStart w:id="685" w:name="_9kMHG5YVtCIAFLMkLhkhy7sEQQs99PNG25O"/>
            <w:r w:rsidRPr="00D5341B">
              <w:t xml:space="preserve">Paragraph </w:t>
            </w:r>
            <w:bookmarkEnd w:id="685"/>
            <w:r w:rsidRPr="00D5341B">
              <w:fldChar w:fldCharType="begin"/>
            </w:r>
            <w:r w:rsidRPr="00D5341B">
              <w:instrText xml:space="preserve"> REF _Ref_ContractCompanion_9kb9Ur9FE \w \h </w:instrText>
            </w:r>
            <w:r>
              <w:instrText xml:space="preserve"> \* MERGEFORMAT </w:instrText>
            </w:r>
            <w:r w:rsidRPr="00D5341B">
              <w:fldChar w:fldCharType="separate"/>
            </w:r>
            <w:r w:rsidR="007A1473">
              <w:t>5</w:t>
            </w:r>
            <w:r w:rsidRPr="00D5341B">
              <w:fldChar w:fldCharType="end"/>
            </w:r>
            <w:r w:rsidRPr="00D5341B">
              <w:t>;</w:t>
            </w:r>
          </w:p>
        </w:tc>
      </w:tr>
      <w:tr w:rsidR="00F67E9E" w:rsidRPr="00D5341B" w14:paraId="2A87779F" w14:textId="77777777" w:rsidTr="0052486C">
        <w:tc>
          <w:tcPr>
            <w:tcW w:w="2835" w:type="dxa"/>
          </w:tcPr>
          <w:p w14:paraId="2FD13FEC" w14:textId="77777777" w:rsidR="00F67E9E" w:rsidRPr="00D5341B" w:rsidRDefault="00F67E9E" w:rsidP="0052486C">
            <w:pPr>
              <w:pStyle w:val="StdBodyTextBold"/>
            </w:pPr>
            <w:r>
              <w:t>“</w:t>
            </w:r>
            <w:r w:rsidRPr="00D5341B">
              <w:t>Test Reports</w:t>
            </w:r>
            <w:r>
              <w:t>”</w:t>
            </w:r>
          </w:p>
        </w:tc>
        <w:tc>
          <w:tcPr>
            <w:tcW w:w="6803" w:type="dxa"/>
          </w:tcPr>
          <w:p w14:paraId="098E134F" w14:textId="77777777" w:rsidR="00F67E9E" w:rsidRPr="00D5341B" w:rsidRDefault="00F67E9E" w:rsidP="0052486C">
            <w:pPr>
              <w:pStyle w:val="StdBodyText"/>
            </w:pPr>
            <w:r w:rsidRPr="00D5341B">
              <w:t>the reports to be produced by the Supplier setting out the results of Tests;</w:t>
            </w:r>
          </w:p>
        </w:tc>
      </w:tr>
      <w:tr w:rsidR="00F67E9E" w:rsidRPr="00D5341B" w14:paraId="7AF78AEA" w14:textId="77777777" w:rsidTr="0052486C">
        <w:tc>
          <w:tcPr>
            <w:tcW w:w="2835" w:type="dxa"/>
          </w:tcPr>
          <w:p w14:paraId="2A04D1E6" w14:textId="77777777" w:rsidR="00F67E9E" w:rsidRPr="00D5341B" w:rsidRDefault="00F67E9E" w:rsidP="0052486C">
            <w:pPr>
              <w:pStyle w:val="StdBodyTextBold"/>
            </w:pPr>
            <w:r>
              <w:t>“</w:t>
            </w:r>
            <w:r w:rsidRPr="00D5341B">
              <w:t>Test Specification</w:t>
            </w:r>
            <w:r>
              <w:t>”</w:t>
            </w:r>
          </w:p>
        </w:tc>
        <w:tc>
          <w:tcPr>
            <w:tcW w:w="6803" w:type="dxa"/>
          </w:tcPr>
          <w:p w14:paraId="15F534CE" w14:textId="5263FF4C" w:rsidR="00F67E9E" w:rsidRPr="00D5341B" w:rsidRDefault="00F67E9E" w:rsidP="0052486C">
            <w:pPr>
              <w:pStyle w:val="StdBodyText"/>
            </w:pPr>
            <w:r w:rsidRPr="00D5341B">
              <w:t xml:space="preserve">the specification that sets out how Tests will demonstrate that the Test Success Criteria have been satisfied, as described in more detail in </w:t>
            </w:r>
            <w:bookmarkStart w:id="686" w:name="_9kMHG5YVtCIAFMGdLhkhy7sEQSu99PQNAy3786z"/>
            <w:r w:rsidRPr="00D5341B">
              <w:t xml:space="preserve">Paragraph </w:t>
            </w:r>
            <w:bookmarkEnd w:id="686"/>
            <w:r w:rsidRPr="00D5341B">
              <w:fldChar w:fldCharType="begin"/>
            </w:r>
            <w:r w:rsidRPr="00D5341B">
              <w:instrText xml:space="preserve"> REF _Ref_ContractCompanion_9kb9Ur9G8 \w \h </w:instrText>
            </w:r>
            <w:r>
              <w:instrText xml:space="preserve"> \* MERGEFORMAT </w:instrText>
            </w:r>
            <w:r w:rsidRPr="00D5341B">
              <w:fldChar w:fldCharType="separate"/>
            </w:r>
            <w:r w:rsidR="007A1473">
              <w:t>7</w:t>
            </w:r>
            <w:r w:rsidRPr="00D5341B">
              <w:fldChar w:fldCharType="end"/>
            </w:r>
            <w:r w:rsidRPr="00D5341B">
              <w:t>;</w:t>
            </w:r>
          </w:p>
        </w:tc>
      </w:tr>
      <w:tr w:rsidR="00F67E9E" w:rsidRPr="00D5341B" w14:paraId="605E12CB" w14:textId="77777777" w:rsidTr="0052486C">
        <w:tc>
          <w:tcPr>
            <w:tcW w:w="2835" w:type="dxa"/>
          </w:tcPr>
          <w:p w14:paraId="0599292C" w14:textId="77777777" w:rsidR="00F67E9E" w:rsidRPr="00D5341B" w:rsidRDefault="00F67E9E" w:rsidP="0052486C">
            <w:pPr>
              <w:pStyle w:val="StdBodyTextBold"/>
            </w:pPr>
            <w:r>
              <w:t>“</w:t>
            </w:r>
            <w:r w:rsidRPr="00D5341B">
              <w:t>Test Strategy</w:t>
            </w:r>
            <w:r>
              <w:t>”</w:t>
            </w:r>
          </w:p>
        </w:tc>
        <w:tc>
          <w:tcPr>
            <w:tcW w:w="6803" w:type="dxa"/>
          </w:tcPr>
          <w:p w14:paraId="5FCD41B1" w14:textId="529AB81C" w:rsidR="00F67E9E" w:rsidRPr="00D5341B" w:rsidRDefault="00F67E9E" w:rsidP="0052486C">
            <w:pPr>
              <w:pStyle w:val="StdBodyText"/>
            </w:pPr>
            <w:r w:rsidRPr="00D5341B">
              <w:t xml:space="preserve">a strategy for the conduct of Testing as described further in </w:t>
            </w:r>
            <w:bookmarkStart w:id="687" w:name="_9kMHG5YVtCIAFMJgLhkhy7sEQPr99PQRR9CH5Q"/>
            <w:r w:rsidRPr="00D5341B">
              <w:t xml:space="preserve">Paragraph </w:t>
            </w:r>
            <w:r w:rsidRPr="00D5341B">
              <w:fldChar w:fldCharType="begin"/>
            </w:r>
            <w:r w:rsidRPr="00D5341B">
              <w:instrText xml:space="preserve"> REF _Ref_ContractCompanion_9kb9Ur9GB \w \n \h \t \* MERGEFORMAT </w:instrText>
            </w:r>
            <w:r w:rsidRPr="00D5341B">
              <w:fldChar w:fldCharType="separate"/>
            </w:r>
            <w:r w:rsidR="007A1473">
              <w:t>4</w:t>
            </w:r>
            <w:r w:rsidRPr="00D5341B">
              <w:fldChar w:fldCharType="end"/>
            </w:r>
            <w:bookmarkEnd w:id="687"/>
            <w:r w:rsidRPr="00D5341B">
              <w:t>;</w:t>
            </w:r>
          </w:p>
        </w:tc>
      </w:tr>
      <w:tr w:rsidR="00F67E9E" w:rsidRPr="00D5341B" w14:paraId="3399D7E7" w14:textId="77777777" w:rsidTr="0052486C">
        <w:tc>
          <w:tcPr>
            <w:tcW w:w="2835" w:type="dxa"/>
          </w:tcPr>
          <w:p w14:paraId="1403DA61" w14:textId="77777777" w:rsidR="00F67E9E" w:rsidRPr="00D5341B" w:rsidRDefault="00F67E9E" w:rsidP="0052486C">
            <w:pPr>
              <w:pStyle w:val="StdBodyTextBold"/>
            </w:pPr>
            <w:r>
              <w:lastRenderedPageBreak/>
              <w:t>“</w:t>
            </w:r>
            <w:r w:rsidRPr="00D5341B">
              <w:t>Test Success Criteria</w:t>
            </w:r>
            <w:r>
              <w:t>”</w:t>
            </w:r>
          </w:p>
        </w:tc>
        <w:tc>
          <w:tcPr>
            <w:tcW w:w="6803" w:type="dxa"/>
          </w:tcPr>
          <w:p w14:paraId="72DD6C8A" w14:textId="56DD274D" w:rsidR="00F67E9E" w:rsidRPr="00D5341B" w:rsidRDefault="00F67E9E" w:rsidP="0052486C">
            <w:pPr>
              <w:pStyle w:val="StdBodyText"/>
            </w:pPr>
            <w:r w:rsidRPr="00D5341B">
              <w:t xml:space="preserve">in relation to a Test, the test success criteria for that Test as referred to in </w:t>
            </w:r>
            <w:bookmarkStart w:id="688" w:name="_9kMHG5YVtCIAFMMNjzzFGI3mp6L66DGDCH1"/>
            <w:r w:rsidRPr="00D5341B">
              <w:t xml:space="preserve">Paragraph </w:t>
            </w:r>
            <w:r w:rsidRPr="00D5341B">
              <w:fldChar w:fldCharType="begin"/>
            </w:r>
            <w:r w:rsidRPr="00D5341B">
              <w:instrText xml:space="preserve"> REF _Ref_ContractCompanion_9kb9Ur9GE \w \n \h \t \* MERGEFORMAT </w:instrText>
            </w:r>
            <w:r w:rsidRPr="00D5341B">
              <w:fldChar w:fldCharType="separate"/>
            </w:r>
            <w:r w:rsidR="007A1473">
              <w:t>6</w:t>
            </w:r>
            <w:r w:rsidRPr="00D5341B">
              <w:fldChar w:fldCharType="end"/>
            </w:r>
            <w:bookmarkEnd w:id="688"/>
            <w:r w:rsidRPr="00D5341B">
              <w:t>;</w:t>
            </w:r>
          </w:p>
        </w:tc>
      </w:tr>
      <w:tr w:rsidR="00F67E9E" w:rsidRPr="00D5341B" w14:paraId="0715574B" w14:textId="77777777" w:rsidTr="0052486C">
        <w:tc>
          <w:tcPr>
            <w:tcW w:w="2835" w:type="dxa"/>
          </w:tcPr>
          <w:p w14:paraId="2FFC96CE" w14:textId="77777777" w:rsidR="00F67E9E" w:rsidRPr="00D5341B" w:rsidRDefault="00F67E9E" w:rsidP="0052486C">
            <w:pPr>
              <w:pStyle w:val="StdBodyTextBold"/>
            </w:pPr>
            <w:r>
              <w:t>“</w:t>
            </w:r>
            <w:r w:rsidRPr="00D5341B">
              <w:t>Test Witness</w:t>
            </w:r>
            <w:r>
              <w:t>”</w:t>
            </w:r>
          </w:p>
        </w:tc>
        <w:tc>
          <w:tcPr>
            <w:tcW w:w="6803" w:type="dxa"/>
          </w:tcPr>
          <w:p w14:paraId="0832272B" w14:textId="26F45309" w:rsidR="00F67E9E" w:rsidRPr="00D5341B" w:rsidRDefault="00F67E9E" w:rsidP="0052486C">
            <w:pPr>
              <w:pStyle w:val="StdBodyText"/>
            </w:pPr>
            <w:r w:rsidRPr="00D5341B">
              <w:t xml:space="preserve">any person appointed by the Authority pursuant to </w:t>
            </w:r>
            <w:bookmarkStart w:id="689" w:name="_9kR3WTr2CC5BGbEnoewrqyBIJ"/>
            <w:r w:rsidRPr="00D5341B">
              <w:t xml:space="preserve">Paragraph </w:t>
            </w:r>
            <w:bookmarkEnd w:id="689"/>
            <w:r w:rsidRPr="00D5341B">
              <w:fldChar w:fldCharType="begin"/>
            </w:r>
            <w:r w:rsidRPr="00D5341B">
              <w:instrText xml:space="preserve"> REF _Ref_ContractCompanion_9kb9Ur16F \w \h </w:instrText>
            </w:r>
            <w:r>
              <w:instrText xml:space="preserve"> \* MERGEFORMAT </w:instrText>
            </w:r>
            <w:r w:rsidRPr="00D5341B">
              <w:fldChar w:fldCharType="separate"/>
            </w:r>
            <w:r w:rsidR="007A1473">
              <w:t>10.1</w:t>
            </w:r>
            <w:r w:rsidRPr="00D5341B">
              <w:fldChar w:fldCharType="end"/>
            </w:r>
            <w:r w:rsidRPr="00D5341B">
              <w:t>; and</w:t>
            </w:r>
          </w:p>
        </w:tc>
      </w:tr>
      <w:tr w:rsidR="00F67E9E" w:rsidRPr="00D5341B" w14:paraId="0D64678F" w14:textId="77777777" w:rsidTr="0052486C">
        <w:tc>
          <w:tcPr>
            <w:tcW w:w="2835" w:type="dxa"/>
          </w:tcPr>
          <w:p w14:paraId="58C29456" w14:textId="77777777" w:rsidR="00F67E9E" w:rsidRPr="00D5341B" w:rsidRDefault="00F67E9E" w:rsidP="0052486C">
            <w:pPr>
              <w:pStyle w:val="StdBodyTextBold"/>
            </w:pPr>
            <w:r>
              <w:t>“</w:t>
            </w:r>
            <w:r w:rsidRPr="00D5341B">
              <w:t>Testing Procedures</w:t>
            </w:r>
            <w:r>
              <w:t>”</w:t>
            </w:r>
          </w:p>
        </w:tc>
        <w:tc>
          <w:tcPr>
            <w:tcW w:w="6803" w:type="dxa"/>
          </w:tcPr>
          <w:p w14:paraId="3BC19B02" w14:textId="77777777" w:rsidR="00F67E9E" w:rsidRPr="00D5341B" w:rsidRDefault="00F67E9E" w:rsidP="0052486C">
            <w:pPr>
              <w:pStyle w:val="StdBodyText"/>
            </w:pPr>
            <w:r w:rsidRPr="00D5341B">
              <w:t>the applicable testing procedures and Test Success Criteria set out in this Schedule.</w:t>
            </w:r>
          </w:p>
        </w:tc>
      </w:tr>
    </w:tbl>
    <w:p w14:paraId="5FE58588" w14:textId="77777777" w:rsidR="00F67E9E" w:rsidRPr="00D5341B" w:rsidRDefault="00F67E9E" w:rsidP="00F67E9E">
      <w:pPr>
        <w:pStyle w:val="Numbered1"/>
      </w:pPr>
      <w:bookmarkStart w:id="690" w:name="_Ref_ContractCompanion_9kb9Ur5FH"/>
      <w:r w:rsidRPr="00820382">
        <w:t>Risk</w:t>
      </w:r>
      <w:bookmarkEnd w:id="690"/>
    </w:p>
    <w:p w14:paraId="03408F2C" w14:textId="77777777" w:rsidR="00F67E9E" w:rsidRPr="00D5341B" w:rsidRDefault="00F67E9E" w:rsidP="00F67E9E">
      <w:pPr>
        <w:pStyle w:val="Numbered11"/>
      </w:pPr>
      <w:r w:rsidRPr="00D5341B">
        <w:t xml:space="preserve">The issue of a </w:t>
      </w:r>
      <w:bookmarkStart w:id="691" w:name="_9kMHG5YVt4CE9EKiOuAVBxD5strk27"/>
      <w:r w:rsidRPr="00D5341B">
        <w:t>Test Certificate</w:t>
      </w:r>
      <w:bookmarkEnd w:id="691"/>
      <w:r w:rsidRPr="00D5341B">
        <w:t>, a Milestone Achievement Certificate and/or a conditional Milestone Achievement Certificate shall not:</w:t>
      </w:r>
    </w:p>
    <w:p w14:paraId="5EC13983" w14:textId="77777777" w:rsidR="00F67E9E" w:rsidRPr="00D5341B" w:rsidRDefault="00F67E9E" w:rsidP="00F67E9E">
      <w:pPr>
        <w:pStyle w:val="Numbered111"/>
        <w:tabs>
          <w:tab w:val="clear" w:pos="1800"/>
          <w:tab w:val="num" w:pos="2160"/>
        </w:tabs>
      </w:pPr>
      <w:r w:rsidRPr="00D5341B">
        <w:t>operate to transfer any risk that the relevant Deliverable or Milestone is complete or will meet and/or satisfy the Authority</w:t>
      </w:r>
      <w:r>
        <w:t>’</w:t>
      </w:r>
      <w:r w:rsidRPr="00D5341B">
        <w:t>s requirements for that Deliverable or Milestone; or</w:t>
      </w:r>
    </w:p>
    <w:p w14:paraId="35C84F14" w14:textId="77777777" w:rsidR="00F67E9E" w:rsidRPr="00D5341B" w:rsidRDefault="00F67E9E" w:rsidP="00F67E9E">
      <w:pPr>
        <w:pStyle w:val="Numbered111"/>
        <w:tabs>
          <w:tab w:val="clear" w:pos="1800"/>
          <w:tab w:val="num" w:pos="2160"/>
        </w:tabs>
      </w:pPr>
      <w:r w:rsidRPr="00D5341B">
        <w:t>affect the Authority</w:t>
      </w:r>
      <w:r>
        <w:t>’</w:t>
      </w:r>
      <w:r w:rsidRPr="00D5341B">
        <w:t>s right subsequently to reject:</w:t>
      </w:r>
    </w:p>
    <w:p w14:paraId="608E7FBD" w14:textId="77777777" w:rsidR="00F67E9E" w:rsidRPr="00D5341B" w:rsidRDefault="00F67E9E" w:rsidP="00F67E9E">
      <w:pPr>
        <w:pStyle w:val="Numbered111a"/>
        <w:tabs>
          <w:tab w:val="clear" w:pos="2520"/>
          <w:tab w:val="num" w:pos="2880"/>
        </w:tabs>
      </w:pPr>
      <w:r w:rsidRPr="00D5341B">
        <w:t xml:space="preserve">all or any element of the Deliverables to which a </w:t>
      </w:r>
      <w:bookmarkStart w:id="692" w:name="_9kMIH5YVt4CE9EKiOuAVBxD5strk27"/>
      <w:r w:rsidRPr="00D5341B">
        <w:t>Test Certificate</w:t>
      </w:r>
      <w:bookmarkEnd w:id="692"/>
      <w:r w:rsidRPr="00D5341B">
        <w:t xml:space="preserve"> relates; or</w:t>
      </w:r>
    </w:p>
    <w:p w14:paraId="55C76ED1" w14:textId="77777777" w:rsidR="00F67E9E" w:rsidRPr="00D5341B" w:rsidRDefault="00F67E9E" w:rsidP="00F67E9E">
      <w:pPr>
        <w:pStyle w:val="Numbered111a"/>
        <w:tabs>
          <w:tab w:val="clear" w:pos="2520"/>
          <w:tab w:val="num" w:pos="2880"/>
        </w:tabs>
      </w:pPr>
      <w:r w:rsidRPr="00D5341B">
        <w:t xml:space="preserve">any Milestone to which the Milestone Achievement Certificate relates. </w:t>
      </w:r>
    </w:p>
    <w:p w14:paraId="5EF33D1D" w14:textId="77777777" w:rsidR="00F67E9E" w:rsidRPr="00D5341B" w:rsidRDefault="00F67E9E" w:rsidP="00F67E9E">
      <w:pPr>
        <w:pStyle w:val="Numbered11"/>
      </w:pPr>
      <w:r w:rsidRPr="00D5341B">
        <w:t>Notwithstanding the issuing of any Milestone Achievement Certificate (including the Milestone Achievement Certificate in respect of Authority to Proceed), the Supplier shall remain solely responsible for ensuring that:</w:t>
      </w:r>
    </w:p>
    <w:p w14:paraId="347C5EAC" w14:textId="77777777" w:rsidR="00F67E9E" w:rsidRPr="00D5341B" w:rsidRDefault="00F67E9E" w:rsidP="00F67E9E">
      <w:pPr>
        <w:pStyle w:val="Numbered111"/>
        <w:tabs>
          <w:tab w:val="clear" w:pos="1800"/>
          <w:tab w:val="num" w:pos="2160"/>
        </w:tabs>
      </w:pPr>
      <w:r w:rsidRPr="00D5341B">
        <w:t>the Supplier Solution as designed and developed is suitable for the delivery of the Services and meets the Authority Requirements;</w:t>
      </w:r>
    </w:p>
    <w:p w14:paraId="2248BDDC" w14:textId="77777777" w:rsidR="00F67E9E" w:rsidRPr="00D5341B" w:rsidRDefault="00F67E9E" w:rsidP="00F67E9E">
      <w:pPr>
        <w:pStyle w:val="Numbered111"/>
        <w:tabs>
          <w:tab w:val="clear" w:pos="1800"/>
          <w:tab w:val="num" w:pos="2160"/>
        </w:tabs>
      </w:pPr>
      <w:r w:rsidRPr="00D5341B">
        <w:t>the Services are implemented in accordance with this Contract; and</w:t>
      </w:r>
    </w:p>
    <w:p w14:paraId="5BA85E70" w14:textId="77777777" w:rsidR="00F67E9E" w:rsidRPr="00D5341B" w:rsidRDefault="00F67E9E" w:rsidP="00F67E9E">
      <w:pPr>
        <w:pStyle w:val="Numbered111"/>
        <w:tabs>
          <w:tab w:val="clear" w:pos="1800"/>
          <w:tab w:val="num" w:pos="2160"/>
        </w:tabs>
      </w:pPr>
      <w:r w:rsidRPr="00D5341B">
        <w:t xml:space="preserve">each Target Performance Level is met from the relevant Operational Service Commencement Date. </w:t>
      </w:r>
    </w:p>
    <w:p w14:paraId="653BCD65" w14:textId="77777777" w:rsidR="00F67E9E" w:rsidRPr="00D5341B" w:rsidRDefault="00F67E9E" w:rsidP="00F67E9E">
      <w:pPr>
        <w:pStyle w:val="Numbered1"/>
      </w:pPr>
      <w:r w:rsidRPr="00820382">
        <w:t>Testing</w:t>
      </w:r>
      <w:r w:rsidRPr="00D5341B">
        <w:t xml:space="preserve"> Overview</w:t>
      </w:r>
    </w:p>
    <w:p w14:paraId="42438C4F" w14:textId="77777777" w:rsidR="00F67E9E" w:rsidRPr="00D5341B" w:rsidRDefault="00F67E9E" w:rsidP="00F67E9E">
      <w:pPr>
        <w:pStyle w:val="Numbered11"/>
        <w:tabs>
          <w:tab w:val="clear" w:pos="720"/>
          <w:tab w:val="num" w:pos="1080"/>
        </w:tabs>
      </w:pPr>
      <w:r w:rsidRPr="00D5341B">
        <w:t>All Tests conducted by the Supplier shall be conducted in accordance with the Test Strategy, the Test Plans and the Test Specifications.</w:t>
      </w:r>
    </w:p>
    <w:p w14:paraId="346A8CC4" w14:textId="77777777" w:rsidR="00F67E9E" w:rsidRPr="00D5341B" w:rsidRDefault="00F67E9E" w:rsidP="00F67E9E">
      <w:pPr>
        <w:pStyle w:val="Numbered11"/>
        <w:tabs>
          <w:tab w:val="clear" w:pos="720"/>
          <w:tab w:val="num" w:pos="1080"/>
        </w:tabs>
      </w:pPr>
      <w:r w:rsidRPr="00D5341B">
        <w:t>The Supplier shall not submit any Deliverable for Testing:</w:t>
      </w:r>
    </w:p>
    <w:p w14:paraId="76A6FB6A" w14:textId="77777777" w:rsidR="00F67E9E" w:rsidRPr="00D5341B" w:rsidRDefault="00F67E9E" w:rsidP="00F67E9E">
      <w:pPr>
        <w:pStyle w:val="Numbered111"/>
        <w:tabs>
          <w:tab w:val="clear" w:pos="1800"/>
          <w:tab w:val="num" w:pos="2160"/>
        </w:tabs>
      </w:pPr>
      <w:r w:rsidRPr="00D5341B">
        <w:t>unless the Supplier is reasonably confident that it will satisfy the relevant Test Success Criteria;</w:t>
      </w:r>
    </w:p>
    <w:p w14:paraId="7F0804E5" w14:textId="77777777" w:rsidR="00F67E9E" w:rsidRPr="00D5341B" w:rsidRDefault="00F67E9E" w:rsidP="00F67E9E">
      <w:pPr>
        <w:pStyle w:val="Numbered111"/>
        <w:tabs>
          <w:tab w:val="clear" w:pos="1800"/>
          <w:tab w:val="num" w:pos="2160"/>
        </w:tabs>
      </w:pPr>
      <w:r w:rsidRPr="00D5341B">
        <w:t xml:space="preserve">until the Authority has issued a </w:t>
      </w:r>
      <w:bookmarkStart w:id="693" w:name="_9kMJI5YVt4CE9EKiOuAVBxD5strk27"/>
      <w:r w:rsidRPr="00D5341B">
        <w:t>Test Certificate</w:t>
      </w:r>
      <w:bookmarkEnd w:id="693"/>
      <w:r w:rsidRPr="00D5341B">
        <w:t xml:space="preserve"> in respect of any prior, </w:t>
      </w:r>
      <w:bookmarkStart w:id="694" w:name="_9kR3WTr5EB479lcpqppdo8"/>
      <w:r w:rsidRPr="00D5341B">
        <w:t>dependant</w:t>
      </w:r>
      <w:bookmarkEnd w:id="694"/>
      <w:r w:rsidRPr="00D5341B">
        <w:t xml:space="preserve"> Deliverable(s); and</w:t>
      </w:r>
    </w:p>
    <w:p w14:paraId="71B0BAE7" w14:textId="77777777" w:rsidR="00F67E9E" w:rsidRPr="00D5341B" w:rsidRDefault="00F67E9E" w:rsidP="00F67E9E">
      <w:pPr>
        <w:pStyle w:val="Numbered111"/>
        <w:tabs>
          <w:tab w:val="clear" w:pos="1800"/>
          <w:tab w:val="num" w:pos="2160"/>
        </w:tabs>
      </w:pPr>
      <w:r w:rsidRPr="00D5341B">
        <w:t>until the Parties have agreed the Test Plan and the Test Specification relating to the relevant Deliverable(s).</w:t>
      </w:r>
    </w:p>
    <w:p w14:paraId="23FF178C" w14:textId="77777777" w:rsidR="00F67E9E" w:rsidRPr="00D5341B" w:rsidRDefault="00F67E9E" w:rsidP="00F67E9E">
      <w:pPr>
        <w:pStyle w:val="Numbered11"/>
        <w:tabs>
          <w:tab w:val="clear" w:pos="720"/>
          <w:tab w:val="num" w:pos="1080"/>
        </w:tabs>
      </w:pPr>
      <w:r w:rsidRPr="00D5341B">
        <w:t xml:space="preserve">The Supplier shall use reasonable endeavours to submit each Deliverable for Testing or </w:t>
      </w:r>
      <w:r w:rsidRPr="00D5341B">
        <w:lastRenderedPageBreak/>
        <w:t>re-Testing by or before the date set out in the Implementation Plan for the commencement of Testing in respect of the relevant Deliverable.</w:t>
      </w:r>
    </w:p>
    <w:p w14:paraId="0C37116E" w14:textId="77777777" w:rsidR="00F67E9E" w:rsidRPr="00D5341B" w:rsidRDefault="00F67E9E" w:rsidP="00F67E9E">
      <w:pPr>
        <w:pStyle w:val="Numbered11"/>
        <w:tabs>
          <w:tab w:val="clear" w:pos="720"/>
          <w:tab w:val="num" w:pos="1080"/>
        </w:tabs>
      </w:pPr>
      <w:r w:rsidRPr="00D5341B">
        <w:t xml:space="preserve">Prior to the issue of a </w:t>
      </w:r>
      <w:bookmarkStart w:id="695" w:name="_9kMKJ5YVt4CE9EKiOuAVBxD5strk27"/>
      <w:r w:rsidRPr="00D5341B">
        <w:t>Test Certificate</w:t>
      </w:r>
      <w:bookmarkEnd w:id="695"/>
      <w:r w:rsidRPr="00D5341B">
        <w:t>, the Authority shall be entitled to review the relevant Test Reports and the Test Issue Management Log.</w:t>
      </w:r>
    </w:p>
    <w:p w14:paraId="37A46BF3" w14:textId="77777777" w:rsidR="00F67E9E" w:rsidRPr="00D5341B" w:rsidRDefault="00F67E9E" w:rsidP="00F67E9E">
      <w:pPr>
        <w:pStyle w:val="Numbered11"/>
        <w:tabs>
          <w:tab w:val="clear" w:pos="720"/>
          <w:tab w:val="num" w:pos="1080"/>
        </w:tabs>
      </w:pPr>
      <w:r w:rsidRPr="00D5341B">
        <w:t>Any Disputes between the Authority and the Supplier regarding Testing shall be referred to the Dispute Resolution Procedure using the Expedited Dispute Timetable.</w:t>
      </w:r>
    </w:p>
    <w:p w14:paraId="39CE0B97" w14:textId="77777777" w:rsidR="00F67E9E" w:rsidRPr="00D5341B" w:rsidRDefault="00F67E9E" w:rsidP="00F67E9E">
      <w:pPr>
        <w:pStyle w:val="Numbered1"/>
      </w:pPr>
      <w:bookmarkStart w:id="696" w:name="_Ref_ContractCompanion_9kb9Ur9GB"/>
      <w:bookmarkStart w:id="697" w:name="_9kR3WTrAG8DKHeJfifw5qCONp77NOPP7AF3O"/>
      <w:bookmarkStart w:id="698" w:name="_Ref_ContractCompanion_9kb9Us796"/>
      <w:r w:rsidRPr="00D5341B">
        <w:t>Test Strategy</w:t>
      </w:r>
      <w:bookmarkEnd w:id="696"/>
      <w:bookmarkEnd w:id="697"/>
      <w:bookmarkEnd w:id="698"/>
    </w:p>
    <w:p w14:paraId="309F702E" w14:textId="77777777" w:rsidR="00F67E9E" w:rsidRPr="00D5341B" w:rsidRDefault="00F67E9E" w:rsidP="00F67E9E">
      <w:pPr>
        <w:pStyle w:val="Numbered11"/>
        <w:tabs>
          <w:tab w:val="clear" w:pos="720"/>
          <w:tab w:val="num" w:pos="1080"/>
        </w:tabs>
      </w:pPr>
      <w:r w:rsidRPr="00D5341B">
        <w:t>The Supplier shall develop the final Test Strategy as soon as practicable after the Effective Date but in any case no later than 20 Working Days (or such other period as the Parties may agree in writing) after the Effective Date.</w:t>
      </w:r>
    </w:p>
    <w:p w14:paraId="6F9F63C2" w14:textId="77777777" w:rsidR="00F67E9E" w:rsidRPr="00D5341B" w:rsidRDefault="00F67E9E" w:rsidP="00F67E9E">
      <w:pPr>
        <w:pStyle w:val="Numbered11"/>
        <w:tabs>
          <w:tab w:val="clear" w:pos="720"/>
          <w:tab w:val="num" w:pos="1080"/>
        </w:tabs>
      </w:pPr>
      <w:r w:rsidRPr="00D5341B">
        <w:t>The final Test Strategy shall include:</w:t>
      </w:r>
    </w:p>
    <w:p w14:paraId="50C2FB84" w14:textId="77777777" w:rsidR="00F67E9E" w:rsidRPr="00820382" w:rsidRDefault="00F67E9E" w:rsidP="00F67E9E">
      <w:pPr>
        <w:pStyle w:val="Numbered111"/>
      </w:pPr>
      <w:r w:rsidRPr="00D5341B">
        <w:t xml:space="preserve">an overview of how Testing will be conducted in accordance with the </w:t>
      </w:r>
      <w:r w:rsidRPr="00820382">
        <w:t>Implementation Plan;</w:t>
      </w:r>
    </w:p>
    <w:p w14:paraId="6337E279" w14:textId="77777777" w:rsidR="00F67E9E" w:rsidRPr="00820382" w:rsidRDefault="00F67E9E" w:rsidP="00F67E9E">
      <w:pPr>
        <w:pStyle w:val="Numbered111"/>
      </w:pPr>
      <w:r w:rsidRPr="00820382">
        <w:t>the process to be used to capture and record Test results and the categorisation of Test Issues;</w:t>
      </w:r>
    </w:p>
    <w:p w14:paraId="71F82EE5" w14:textId="77777777" w:rsidR="00F67E9E" w:rsidRPr="00820382" w:rsidRDefault="00F67E9E" w:rsidP="00F67E9E">
      <w:pPr>
        <w:pStyle w:val="Numbered111"/>
      </w:pPr>
      <w:r w:rsidRPr="00820382">
        <w:t>the method for mapping the expected Test results to the Test Success Criteria;</w:t>
      </w:r>
    </w:p>
    <w:p w14:paraId="592BF975" w14:textId="77777777" w:rsidR="00F67E9E" w:rsidRPr="00820382" w:rsidRDefault="00F67E9E" w:rsidP="00F67E9E">
      <w:pPr>
        <w:pStyle w:val="Numbered111"/>
      </w:pPr>
      <w:r w:rsidRPr="00820382">
        <w:t>the procedure to be followed if a Deliverable fails to satisfy the Test Success Criteria or produces unexpected results, including a procedure for the resolution of Test Issues;</w:t>
      </w:r>
    </w:p>
    <w:p w14:paraId="070DD77F" w14:textId="77777777" w:rsidR="00F67E9E" w:rsidRPr="00820382" w:rsidRDefault="00F67E9E" w:rsidP="00F67E9E">
      <w:pPr>
        <w:pStyle w:val="Numbered111"/>
      </w:pPr>
      <w:r w:rsidRPr="00820382">
        <w:t>the procedure to be followed to sign off each Test;</w:t>
      </w:r>
    </w:p>
    <w:p w14:paraId="3910DC62" w14:textId="77777777" w:rsidR="00F67E9E" w:rsidRPr="00820382" w:rsidRDefault="00F67E9E" w:rsidP="00F67E9E">
      <w:pPr>
        <w:pStyle w:val="Numbered111"/>
      </w:pPr>
      <w:r w:rsidRPr="00820382">
        <w:t>the process for the production and maintenance of Test Reports and reporting, including templates for the Test Reports and the Test Issue Management Log, and a sample plan for the resolution of Test Issues;</w:t>
      </w:r>
    </w:p>
    <w:p w14:paraId="56E36CBF" w14:textId="77777777" w:rsidR="00F67E9E" w:rsidRPr="00820382" w:rsidRDefault="00F67E9E" w:rsidP="00F67E9E">
      <w:pPr>
        <w:pStyle w:val="Numbered111"/>
      </w:pPr>
      <w:r w:rsidRPr="00820382">
        <w:t>the names and contact details of the Authority’s and the Supplier’s Test representatives;</w:t>
      </w:r>
    </w:p>
    <w:p w14:paraId="6DCFD0B9" w14:textId="77777777" w:rsidR="00F67E9E" w:rsidRPr="00820382" w:rsidRDefault="00F67E9E" w:rsidP="00F67E9E">
      <w:pPr>
        <w:pStyle w:val="Numbered111"/>
      </w:pPr>
      <w:r w:rsidRPr="00820382">
        <w:t>a high level identification of the resources required for Testing, including facilities, infrastructure, personnel and Authority and/or third party involvement in the conduct of the Tests;</w:t>
      </w:r>
    </w:p>
    <w:p w14:paraId="58873447" w14:textId="2BD3A422" w:rsidR="00F67E9E" w:rsidRPr="00820382" w:rsidRDefault="00F67E9E" w:rsidP="00F67E9E">
      <w:pPr>
        <w:pStyle w:val="Numbered111"/>
      </w:pPr>
      <w:r w:rsidRPr="00820382">
        <w:t xml:space="preserve">the technical environments required to support the Tests; </w:t>
      </w:r>
    </w:p>
    <w:p w14:paraId="74A880F1" w14:textId="77777777" w:rsidR="00EB49F1" w:rsidRDefault="00F67E9E" w:rsidP="00F67E9E">
      <w:pPr>
        <w:pStyle w:val="Numbered111"/>
      </w:pPr>
      <w:r w:rsidRPr="00820382">
        <w:t>the procedure</w:t>
      </w:r>
      <w:r w:rsidRPr="00D5341B">
        <w:t xml:space="preserve"> for managing the configuration of the Test environments</w:t>
      </w:r>
      <w:r w:rsidR="00EB49F1">
        <w:t xml:space="preserve">; </w:t>
      </w:r>
    </w:p>
    <w:p w14:paraId="4B998B8C" w14:textId="5CA3A881" w:rsidR="00EB49F1" w:rsidRDefault="00EB49F1" w:rsidP="00EB49F1">
      <w:pPr>
        <w:pStyle w:val="Numbered111"/>
      </w:pPr>
      <w:r>
        <w:t>the different levels of Testing to be performed by the Supplier (the four Test levels available are: Unit testing, Integration testing, System testing and Acceptance testing); and</w:t>
      </w:r>
    </w:p>
    <w:p w14:paraId="55ED775C" w14:textId="3421FC4B" w:rsidR="00F67E9E" w:rsidRPr="00D5341B" w:rsidRDefault="00EB49F1" w:rsidP="00EB49F1">
      <w:pPr>
        <w:pStyle w:val="Numbered111"/>
      </w:pPr>
      <w:r>
        <w:t>the defined entry and exit criteria used to conduct each Test approach</w:t>
      </w:r>
      <w:r w:rsidR="00F67E9E" w:rsidRPr="00D5341B">
        <w:t>.</w:t>
      </w:r>
    </w:p>
    <w:p w14:paraId="1208F006" w14:textId="77777777" w:rsidR="00F67E9E" w:rsidRPr="00D5341B" w:rsidRDefault="00F67E9E" w:rsidP="00F67E9E">
      <w:pPr>
        <w:pStyle w:val="Numbered1"/>
      </w:pPr>
      <w:bookmarkStart w:id="699" w:name="_Ref_ContractCompanion_9kb9Ur9FE"/>
      <w:bookmarkStart w:id="700" w:name="_9kR3WTrAG8DJKiJfifw5qCOOq77NLE03M"/>
      <w:bookmarkStart w:id="701" w:name="_Ref_ContractCompanion_9kb9Us778"/>
      <w:r w:rsidRPr="00D5341B">
        <w:t xml:space="preserve">Test </w:t>
      </w:r>
      <w:r w:rsidRPr="001B5832">
        <w:t>Plans</w:t>
      </w:r>
      <w:bookmarkEnd w:id="699"/>
      <w:bookmarkEnd w:id="700"/>
      <w:bookmarkEnd w:id="701"/>
    </w:p>
    <w:p w14:paraId="7BECC35C" w14:textId="77777777" w:rsidR="00F67E9E" w:rsidRPr="001B5832" w:rsidRDefault="00F67E9E" w:rsidP="00F67E9E">
      <w:pPr>
        <w:pStyle w:val="Numbered11"/>
      </w:pPr>
      <w:r w:rsidRPr="00D5341B">
        <w:t xml:space="preserve">The Supplier shall develop Test Plans and submit these for the approval of the Authority </w:t>
      </w:r>
      <w:r w:rsidRPr="00D5341B">
        <w:lastRenderedPageBreak/>
        <w:t xml:space="preserve">as soon as practicable but in any case no later than 20 Working Days (or such other period as the Parties may agree in the Test Strategy or otherwise agree in writing) prior to the start date for the </w:t>
      </w:r>
      <w:r w:rsidRPr="001B5832">
        <w:t>relevant Testing (as specified in the Implementation Plan).</w:t>
      </w:r>
    </w:p>
    <w:p w14:paraId="450F8E91" w14:textId="77777777" w:rsidR="00F67E9E" w:rsidRPr="00D5341B" w:rsidRDefault="00F67E9E" w:rsidP="00F67E9E">
      <w:pPr>
        <w:pStyle w:val="Numbered11"/>
        <w:keepNext/>
      </w:pPr>
      <w:r w:rsidRPr="001B5832">
        <w:t>Each Test Plan s</w:t>
      </w:r>
      <w:r w:rsidRPr="00D5341B">
        <w:t xml:space="preserve">hall include </w:t>
      </w:r>
      <w:r w:rsidRPr="001B5832">
        <w:t>as</w:t>
      </w:r>
      <w:r w:rsidRPr="00D5341B">
        <w:t xml:space="preserve"> a minimum:</w:t>
      </w:r>
    </w:p>
    <w:p w14:paraId="00DD2B1E" w14:textId="77777777" w:rsidR="00F67E9E" w:rsidRPr="00D5341B" w:rsidRDefault="00F67E9E" w:rsidP="00F67E9E">
      <w:pPr>
        <w:pStyle w:val="Numbered111"/>
        <w:tabs>
          <w:tab w:val="clear" w:pos="1800"/>
          <w:tab w:val="num" w:pos="2160"/>
        </w:tabs>
      </w:pPr>
      <w:r w:rsidRPr="00D5341B">
        <w:t>the relevant Test definition and the purpose of the Test, the Milestone to which it relates, the requirements being tested and, for each Test, the specific Test Success Criteria to be satisfied;</w:t>
      </w:r>
    </w:p>
    <w:p w14:paraId="3FCBDA97" w14:textId="77777777" w:rsidR="00F67E9E" w:rsidRPr="00D5341B" w:rsidRDefault="00F67E9E" w:rsidP="00F67E9E">
      <w:pPr>
        <w:pStyle w:val="Numbered111"/>
        <w:tabs>
          <w:tab w:val="clear" w:pos="1800"/>
          <w:tab w:val="num" w:pos="2160"/>
        </w:tabs>
      </w:pPr>
      <w:r w:rsidRPr="00D5341B">
        <w:t>a detailed procedure for the Tests to be carried out, including:</w:t>
      </w:r>
    </w:p>
    <w:p w14:paraId="0A8DB1A5" w14:textId="77777777" w:rsidR="00F67E9E" w:rsidRPr="00D5341B" w:rsidRDefault="00F67E9E" w:rsidP="00F67E9E">
      <w:pPr>
        <w:pStyle w:val="Numbered111a"/>
        <w:tabs>
          <w:tab w:val="clear" w:pos="2520"/>
          <w:tab w:val="num" w:pos="2880"/>
        </w:tabs>
      </w:pPr>
      <w:r w:rsidRPr="00D5341B">
        <w:t>the timetable for the Tests, including start and end dates;</w:t>
      </w:r>
    </w:p>
    <w:p w14:paraId="78E4BD43" w14:textId="77777777" w:rsidR="00F67E9E" w:rsidRPr="00D5341B" w:rsidRDefault="00F67E9E" w:rsidP="00F67E9E">
      <w:pPr>
        <w:pStyle w:val="Numbered111a"/>
        <w:tabs>
          <w:tab w:val="clear" w:pos="2520"/>
          <w:tab w:val="num" w:pos="2880"/>
        </w:tabs>
      </w:pPr>
      <w:r w:rsidRPr="00D5341B">
        <w:t>the Testing mechanism;</w:t>
      </w:r>
    </w:p>
    <w:p w14:paraId="7A3DA7A0" w14:textId="77777777" w:rsidR="00F67E9E" w:rsidRPr="00D5341B" w:rsidRDefault="00F67E9E" w:rsidP="00F67E9E">
      <w:pPr>
        <w:pStyle w:val="Numbered111a"/>
        <w:tabs>
          <w:tab w:val="clear" w:pos="2520"/>
          <w:tab w:val="num" w:pos="2880"/>
        </w:tabs>
      </w:pPr>
      <w:r w:rsidRPr="00D5341B">
        <w:t>dates and methods by which the Authority can inspect Test results or witness the Tests in order to establish that the Test Success Criteria have been met;</w:t>
      </w:r>
    </w:p>
    <w:p w14:paraId="2A54A1BB" w14:textId="77777777" w:rsidR="00F67E9E" w:rsidRPr="00D5341B" w:rsidRDefault="00F67E9E" w:rsidP="00F67E9E">
      <w:pPr>
        <w:pStyle w:val="Numbered111a"/>
        <w:tabs>
          <w:tab w:val="clear" w:pos="2520"/>
          <w:tab w:val="num" w:pos="2880"/>
        </w:tabs>
      </w:pPr>
      <w:r w:rsidRPr="00D5341B">
        <w:t>the mechanism for ensuring the quality, completeness and relevance of the Tests;</w:t>
      </w:r>
    </w:p>
    <w:p w14:paraId="0BCD5F79" w14:textId="77777777" w:rsidR="00F67E9E" w:rsidRPr="00D5341B" w:rsidRDefault="00F67E9E" w:rsidP="00F67E9E">
      <w:pPr>
        <w:pStyle w:val="Numbered111a"/>
        <w:tabs>
          <w:tab w:val="clear" w:pos="2520"/>
          <w:tab w:val="num" w:pos="2880"/>
        </w:tabs>
      </w:pPr>
      <w:r w:rsidRPr="00D5341B">
        <w:t>the format and an example of Test progress reports and the process with which the Authority accesses daily Test schedules;</w:t>
      </w:r>
    </w:p>
    <w:p w14:paraId="60D464F2" w14:textId="77777777" w:rsidR="00F67E9E" w:rsidRPr="00D5341B" w:rsidRDefault="00F67E9E" w:rsidP="00F67E9E">
      <w:pPr>
        <w:pStyle w:val="Numbered111a"/>
        <w:tabs>
          <w:tab w:val="clear" w:pos="2520"/>
          <w:tab w:val="num" w:pos="2880"/>
        </w:tabs>
      </w:pPr>
      <w:r w:rsidRPr="00D5341B">
        <w:t>the process which the Authority will use to review Test Issues and the Supplier</w:t>
      </w:r>
      <w:r>
        <w:t>’</w:t>
      </w:r>
      <w:r w:rsidRPr="00D5341B">
        <w:t>s progress in resolving these in a timely basis;</w:t>
      </w:r>
    </w:p>
    <w:p w14:paraId="4F317666" w14:textId="77777777" w:rsidR="00F67E9E" w:rsidRPr="00D5341B" w:rsidRDefault="00F67E9E" w:rsidP="00F67E9E">
      <w:pPr>
        <w:pStyle w:val="Numbered111a"/>
        <w:tabs>
          <w:tab w:val="clear" w:pos="2520"/>
          <w:tab w:val="num" w:pos="2880"/>
        </w:tabs>
      </w:pPr>
      <w:r w:rsidRPr="00D5341B">
        <w:t>the Test Schedule;</w:t>
      </w:r>
    </w:p>
    <w:p w14:paraId="379802C5" w14:textId="77777777" w:rsidR="00F67E9E" w:rsidRPr="00D5341B" w:rsidRDefault="00F67E9E" w:rsidP="00F67E9E">
      <w:pPr>
        <w:pStyle w:val="Numbered111a"/>
        <w:tabs>
          <w:tab w:val="clear" w:pos="2520"/>
          <w:tab w:val="num" w:pos="2880"/>
        </w:tabs>
      </w:pPr>
      <w:r w:rsidRPr="00D5341B">
        <w:t>the re-Test procedure, the timetable and the resources which would be required for re-Testing; and</w:t>
      </w:r>
    </w:p>
    <w:p w14:paraId="5DAEFFA1" w14:textId="77777777" w:rsidR="00F67E9E" w:rsidRPr="00D5341B" w:rsidRDefault="00F67E9E" w:rsidP="00F67E9E">
      <w:pPr>
        <w:pStyle w:val="Numbered111"/>
        <w:tabs>
          <w:tab w:val="clear" w:pos="1800"/>
          <w:tab w:val="num" w:pos="2160"/>
        </w:tabs>
      </w:pPr>
      <w:r w:rsidRPr="00D5341B">
        <w:t>the process for escalating Test Issues from a re-test situation to the taking of specific remedial action to resolve the Test Issue.</w:t>
      </w:r>
    </w:p>
    <w:p w14:paraId="1D91A8F2" w14:textId="77777777" w:rsidR="00F67E9E" w:rsidRPr="00D5341B" w:rsidRDefault="00F67E9E" w:rsidP="00F67E9E">
      <w:pPr>
        <w:pStyle w:val="Numbered11"/>
      </w:pPr>
      <w:r w:rsidRPr="00D5341B">
        <w:t xml:space="preserve">The </w:t>
      </w:r>
      <w:r w:rsidRPr="001B5832">
        <w:t>Authority</w:t>
      </w:r>
      <w:r w:rsidRPr="00D5341B">
        <w:t xml:space="preserve"> shall not unreasonably withhold or delay its approval of the Test Plans provided that the Supplier shall incorporate any reasonable requirements of the Authority in the Test Plans.</w:t>
      </w:r>
    </w:p>
    <w:p w14:paraId="780AFD24" w14:textId="77777777" w:rsidR="00F67E9E" w:rsidRPr="00D5341B" w:rsidRDefault="00F67E9E" w:rsidP="00F67E9E">
      <w:pPr>
        <w:pStyle w:val="Numbered1"/>
      </w:pPr>
      <w:bookmarkStart w:id="702" w:name="_Ref_ContractCompanion_9kb9Ur9GE"/>
      <w:bookmarkStart w:id="703" w:name="_9kR3WTrAG8DKKLhxxDEG1kn4J44BEBAFz"/>
      <w:r w:rsidRPr="00D5341B">
        <w:t xml:space="preserve">Test Success </w:t>
      </w:r>
      <w:r w:rsidRPr="001B5832">
        <w:t>Criteria</w:t>
      </w:r>
      <w:bookmarkEnd w:id="702"/>
      <w:bookmarkEnd w:id="703"/>
    </w:p>
    <w:p w14:paraId="589E34E1" w14:textId="77777777" w:rsidR="00F67E9E" w:rsidRPr="00D5341B" w:rsidRDefault="00F67E9E" w:rsidP="00F67E9E">
      <w:pPr>
        <w:pStyle w:val="Numbered11"/>
      </w:pPr>
      <w:r w:rsidRPr="00D5341B">
        <w:t xml:space="preserve">The Test </w:t>
      </w:r>
      <w:r w:rsidRPr="001B5832">
        <w:t>Success</w:t>
      </w:r>
      <w:r w:rsidRPr="00D5341B">
        <w:t xml:space="preserve"> Criteria for:</w:t>
      </w:r>
    </w:p>
    <w:p w14:paraId="485F7DAB" w14:textId="60A94F79" w:rsidR="00F67E9E" w:rsidRPr="001B5832" w:rsidRDefault="00F67E9E" w:rsidP="00F67E9E">
      <w:pPr>
        <w:pStyle w:val="Numbered111"/>
      </w:pPr>
      <w:r w:rsidRPr="00D5341B">
        <w:t xml:space="preserve">each Test that must be Achieved for the Supplier to Achieve either the ATP Milestone or a </w:t>
      </w:r>
      <w:r w:rsidRPr="001B5832">
        <w:t xml:space="preserve">CPP Milestone are set out in Annex </w:t>
      </w:r>
      <w:r w:rsidRPr="001B5832">
        <w:fldChar w:fldCharType="begin"/>
      </w:r>
      <w:r w:rsidRPr="001B5832">
        <w:instrText xml:space="preserve"> REF ANNEX4_SCHEDULE14 \h  \* MERGEFORMAT </w:instrText>
      </w:r>
      <w:r w:rsidRPr="001B5832">
        <w:fldChar w:fldCharType="separate"/>
      </w:r>
      <w:r w:rsidR="007A1473" w:rsidRPr="00D5341B">
        <w:t>4</w:t>
      </w:r>
      <w:r w:rsidRPr="001B5832">
        <w:fldChar w:fldCharType="end"/>
      </w:r>
      <w:r w:rsidRPr="001B5832">
        <w:t>; and</w:t>
      </w:r>
    </w:p>
    <w:p w14:paraId="1264F279" w14:textId="6560893A" w:rsidR="00F67E9E" w:rsidRPr="00D5341B" w:rsidRDefault="00F67E9E" w:rsidP="00F67E9E">
      <w:pPr>
        <w:pStyle w:val="Numbered111"/>
      </w:pPr>
      <w:r w:rsidRPr="001B5832">
        <w:t>all other Tests shall</w:t>
      </w:r>
      <w:r w:rsidRPr="00D5341B">
        <w:t xml:space="preserve"> be agreed between the Parties as part of the relevant Test Plan pursuant to </w:t>
      </w:r>
      <w:bookmarkStart w:id="704" w:name="_9kMIH5YVtCIAFLMkLhkhy7sEQQs99PNG25O"/>
      <w:r w:rsidRPr="00D5341B">
        <w:t xml:space="preserve">Paragraph </w:t>
      </w:r>
      <w:r w:rsidRPr="00D5341B">
        <w:fldChar w:fldCharType="begin"/>
      </w:r>
      <w:r w:rsidRPr="00D5341B">
        <w:instrText xml:space="preserve"> REF _Ref_ContractCompanion_9kb9Ur9FE \w \n \h \t \* MERGEFORMAT </w:instrText>
      </w:r>
      <w:r w:rsidRPr="00D5341B">
        <w:fldChar w:fldCharType="separate"/>
      </w:r>
      <w:r w:rsidR="007A1473">
        <w:t>5</w:t>
      </w:r>
      <w:r w:rsidRPr="00D5341B">
        <w:fldChar w:fldCharType="end"/>
      </w:r>
      <w:bookmarkEnd w:id="704"/>
      <w:r w:rsidRPr="00D5341B">
        <w:t xml:space="preserve">. </w:t>
      </w:r>
    </w:p>
    <w:p w14:paraId="45B6CE45" w14:textId="77777777" w:rsidR="00F67E9E" w:rsidRPr="00D5341B" w:rsidRDefault="00F67E9E" w:rsidP="00F67E9E">
      <w:pPr>
        <w:pStyle w:val="Numbered1"/>
      </w:pPr>
      <w:bookmarkStart w:id="705" w:name="_Ref_ContractCompanion_9kb9Ur9G8"/>
      <w:bookmarkStart w:id="706" w:name="_9kR3WTrAG8DKEbJfifw5qCOQs77NOL8w1564xFO"/>
      <w:r w:rsidRPr="00D5341B">
        <w:t xml:space="preserve">Test </w:t>
      </w:r>
      <w:r w:rsidRPr="001B5832">
        <w:t>Specification</w:t>
      </w:r>
      <w:bookmarkEnd w:id="705"/>
      <w:bookmarkEnd w:id="706"/>
    </w:p>
    <w:p w14:paraId="1113FD65" w14:textId="77777777" w:rsidR="00F67E9E" w:rsidRPr="00D5341B" w:rsidRDefault="00F67E9E" w:rsidP="00F67E9E">
      <w:pPr>
        <w:pStyle w:val="Numbered11"/>
      </w:pPr>
      <w:bookmarkStart w:id="707" w:name="_9kR3WTr8E845BJG"/>
      <w:bookmarkEnd w:id="707"/>
      <w:r w:rsidRPr="00D5341B">
        <w:t xml:space="preserve">Following approval of a Test Plan, the Supplier shall develop the Test Specification for the relevant Deliverables as soon as reasonably practicable and in any event at least 10 </w:t>
      </w:r>
      <w:r w:rsidRPr="00D5341B">
        <w:lastRenderedPageBreak/>
        <w:t>Working Days (or such other period as the Parties may agree in the Test Strategy or otherwise agree in writing) prior to the start of the relevant Testing (as specified in the Implementation Plan).</w:t>
      </w:r>
    </w:p>
    <w:p w14:paraId="46ECB461" w14:textId="77777777" w:rsidR="00F67E9E" w:rsidRPr="00D5341B" w:rsidRDefault="00F67E9E" w:rsidP="00F67E9E">
      <w:pPr>
        <w:pStyle w:val="Numbered11"/>
      </w:pPr>
      <w:r w:rsidRPr="00D5341B">
        <w:t>Each Test Specification shall include as a minimum:</w:t>
      </w:r>
    </w:p>
    <w:p w14:paraId="01D0B8EC" w14:textId="77777777" w:rsidR="00F67E9E" w:rsidRPr="00D5341B" w:rsidRDefault="00F67E9E" w:rsidP="00F67E9E">
      <w:pPr>
        <w:pStyle w:val="Numbered111"/>
        <w:tabs>
          <w:tab w:val="clear" w:pos="1800"/>
          <w:tab w:val="num" w:pos="2160"/>
        </w:tabs>
      </w:pPr>
      <w:r w:rsidRPr="00D5341B">
        <w:t>the specification of the Test data, including its source, scope, volume and management, a request (if applicable) for relevant Test data to be provided by the Authority and the extent to which it is equivalent to live operational data;</w:t>
      </w:r>
    </w:p>
    <w:p w14:paraId="3F52D461" w14:textId="77777777" w:rsidR="00F67E9E" w:rsidRPr="00D5341B" w:rsidRDefault="00F67E9E" w:rsidP="00F67E9E">
      <w:pPr>
        <w:pStyle w:val="Numbered111"/>
        <w:tabs>
          <w:tab w:val="clear" w:pos="1800"/>
          <w:tab w:val="num" w:pos="2160"/>
        </w:tabs>
      </w:pPr>
      <w:r w:rsidRPr="00D5341B">
        <w:t>a plan to make the resources available for Testing;</w:t>
      </w:r>
    </w:p>
    <w:p w14:paraId="67AA723E" w14:textId="77777777" w:rsidR="00F67E9E" w:rsidRPr="00D5341B" w:rsidRDefault="00F67E9E" w:rsidP="00F67E9E">
      <w:pPr>
        <w:pStyle w:val="Numbered111"/>
        <w:tabs>
          <w:tab w:val="clear" w:pos="1800"/>
          <w:tab w:val="num" w:pos="2160"/>
        </w:tabs>
      </w:pPr>
      <w:r w:rsidRPr="00D5341B">
        <w:t>Test scripts;</w:t>
      </w:r>
    </w:p>
    <w:p w14:paraId="10ED9FAD" w14:textId="77777777" w:rsidR="00F67E9E" w:rsidRPr="00D5341B" w:rsidRDefault="00F67E9E" w:rsidP="00F67E9E">
      <w:pPr>
        <w:pStyle w:val="Numbered111"/>
        <w:tabs>
          <w:tab w:val="clear" w:pos="1800"/>
          <w:tab w:val="num" w:pos="2160"/>
        </w:tabs>
      </w:pPr>
      <w:r w:rsidRPr="00D5341B">
        <w:t>Test pre-requisites and the mechanism for measuring them; and</w:t>
      </w:r>
    </w:p>
    <w:p w14:paraId="07135996" w14:textId="77777777" w:rsidR="00F67E9E" w:rsidRPr="00D5341B" w:rsidRDefault="00F67E9E" w:rsidP="00F67E9E">
      <w:pPr>
        <w:pStyle w:val="Numbered111"/>
        <w:tabs>
          <w:tab w:val="clear" w:pos="1800"/>
          <w:tab w:val="num" w:pos="2160"/>
        </w:tabs>
      </w:pPr>
      <w:r w:rsidRPr="00D5341B">
        <w:t>expected Test results, including:</w:t>
      </w:r>
    </w:p>
    <w:p w14:paraId="0C6089A4" w14:textId="0620BA66" w:rsidR="00F67E9E" w:rsidRPr="00D5341B" w:rsidRDefault="00F67E9E" w:rsidP="00F67E9E">
      <w:pPr>
        <w:pStyle w:val="Numbered111a"/>
        <w:tabs>
          <w:tab w:val="clear" w:pos="2520"/>
          <w:tab w:val="num" w:pos="2880"/>
        </w:tabs>
      </w:pPr>
      <w:r w:rsidRPr="00D5341B">
        <w:t xml:space="preserve">a mechanism to be used to capture and record Test results; </w:t>
      </w:r>
    </w:p>
    <w:p w14:paraId="6296553D" w14:textId="192BFFD7" w:rsidR="00EB49F1" w:rsidRDefault="00F67E9E" w:rsidP="00F67E9E">
      <w:pPr>
        <w:pStyle w:val="Numbered111a"/>
        <w:tabs>
          <w:tab w:val="clear" w:pos="2520"/>
          <w:tab w:val="num" w:pos="2880"/>
        </w:tabs>
      </w:pPr>
      <w:r w:rsidRPr="00D5341B">
        <w:t>a method to process the Test results to establish their content</w:t>
      </w:r>
      <w:r w:rsidR="00EB49F1">
        <w:t>; and</w:t>
      </w:r>
    </w:p>
    <w:p w14:paraId="6E8D0A41" w14:textId="17417C12" w:rsidR="00F67E9E" w:rsidRPr="00D5341B" w:rsidRDefault="00EB49F1" w:rsidP="00F67E9E">
      <w:pPr>
        <w:pStyle w:val="Numbered111a"/>
        <w:tabs>
          <w:tab w:val="clear" w:pos="2520"/>
          <w:tab w:val="num" w:pos="2880"/>
        </w:tabs>
      </w:pPr>
      <w:r>
        <w:t>a method to capture Test Issues specific to Test results</w:t>
      </w:r>
      <w:r w:rsidR="00F67E9E" w:rsidRPr="00D5341B">
        <w:t>.</w:t>
      </w:r>
    </w:p>
    <w:p w14:paraId="33CF49DD" w14:textId="77777777" w:rsidR="00F67E9E" w:rsidRPr="00D5341B" w:rsidRDefault="00F67E9E" w:rsidP="00F67E9E">
      <w:pPr>
        <w:pStyle w:val="Numbered1"/>
      </w:pPr>
      <w:bookmarkStart w:id="708" w:name="_9kR3WTr8E845CL"/>
      <w:bookmarkStart w:id="709" w:name="_Ref_ContractCompanion_9kb9Us786"/>
      <w:bookmarkEnd w:id="708"/>
      <w:r w:rsidRPr="00D5341B">
        <w:t>Testing</w:t>
      </w:r>
      <w:bookmarkEnd w:id="709"/>
    </w:p>
    <w:p w14:paraId="4B790D9C" w14:textId="5A66EED2" w:rsidR="00B51134" w:rsidRDefault="00F67E9E" w:rsidP="00F67E9E">
      <w:pPr>
        <w:pStyle w:val="Numbered11"/>
      </w:pPr>
      <w:r w:rsidRPr="00D5341B">
        <w:t xml:space="preserve">Before submitting any </w:t>
      </w:r>
      <w:r w:rsidRPr="001B5832">
        <w:t>Deliverables for Testing the Supplier shall subject the relevant Deliverables to its own internal quality control measures</w:t>
      </w:r>
      <w:r w:rsidR="00B51134">
        <w:t>.</w:t>
      </w:r>
    </w:p>
    <w:p w14:paraId="78C1A2BF" w14:textId="3ACE1F8A" w:rsidR="00F67E9E" w:rsidRDefault="00F67E9E" w:rsidP="00F67E9E">
      <w:pPr>
        <w:pStyle w:val="Numbered11"/>
      </w:pPr>
      <w:r w:rsidRPr="001B5832">
        <w:t xml:space="preserve">The Supplier shall manage the progress of Testing in accordance with the relevant Test Plan and shall carry out the Tests in accordance with the relevant Test Specification. Tests may be witnessed by the Test Witnesses in accordance with </w:t>
      </w:r>
      <w:bookmarkStart w:id="710" w:name="_9kR3WTr2BBDLEXEnoewrqyBI"/>
      <w:r w:rsidRPr="001B5832">
        <w:t xml:space="preserve">Paragraph </w:t>
      </w:r>
      <w:r w:rsidRPr="001B5832">
        <w:fldChar w:fldCharType="begin"/>
      </w:r>
      <w:r w:rsidRPr="001B5832">
        <w:instrText xml:space="preserve"> REF _Ref_ContractCompanion_9kb9Ur9GH \w \n \h \t \* MERGEFORMAT </w:instrText>
      </w:r>
      <w:r w:rsidRPr="001B5832">
        <w:fldChar w:fldCharType="separate"/>
      </w:r>
      <w:r w:rsidR="007A1473">
        <w:t>10</w:t>
      </w:r>
      <w:r w:rsidRPr="001B5832">
        <w:fldChar w:fldCharType="end"/>
      </w:r>
      <w:bookmarkEnd w:id="710"/>
      <w:r w:rsidRPr="001B5832">
        <w:t>.</w:t>
      </w:r>
      <w:r w:rsidR="00B51134">
        <w:t xml:space="preserve"> The Test Specification must, without limitation, meet the following requirements:</w:t>
      </w:r>
    </w:p>
    <w:p w14:paraId="15D6A0F4" w14:textId="6BE25A1A" w:rsidR="00B51134" w:rsidRDefault="00B51134" w:rsidP="00B51134">
      <w:pPr>
        <w:pStyle w:val="Numbered111"/>
      </w:pPr>
      <w:r>
        <w:t>adherence to the GOV.UK Government Design System;</w:t>
      </w:r>
    </w:p>
    <w:p w14:paraId="65E97EB7" w14:textId="2B7462AB" w:rsidR="00B51134" w:rsidRDefault="00B51134" w:rsidP="00B51134">
      <w:pPr>
        <w:pStyle w:val="Numbered111"/>
      </w:pPr>
      <w:r>
        <w:t>WCAG 2.2 and Level AA compliant at 100%;</w:t>
      </w:r>
    </w:p>
    <w:p w14:paraId="49AF16A9" w14:textId="325F21BD" w:rsidR="00B51134" w:rsidRDefault="00B51134" w:rsidP="00B51134">
      <w:pPr>
        <w:pStyle w:val="Numbered111"/>
      </w:pPr>
      <w:r>
        <w:t>Severity Level 1 and 2 Test Issues are documented and kept up to date;</w:t>
      </w:r>
    </w:p>
    <w:p w14:paraId="5D05259D" w14:textId="79A5D268" w:rsidR="00B51134" w:rsidRDefault="00B51134" w:rsidP="00B51134">
      <w:pPr>
        <w:pStyle w:val="Numbered111"/>
      </w:pPr>
      <w:r>
        <w:t>Severity Level 3,4 and 5 Test issues should still be documented but they do not affect the handover of Deliverables;</w:t>
      </w:r>
    </w:p>
    <w:p w14:paraId="2980D82B" w14:textId="4DED392A" w:rsidR="00B51134" w:rsidRDefault="00B51134" w:rsidP="00B51134">
      <w:pPr>
        <w:pStyle w:val="Numbered111"/>
      </w:pPr>
      <w:r>
        <w:t xml:space="preserve">overall Test coverage is given as a percentage being submitting all Deliverables; </w:t>
      </w:r>
    </w:p>
    <w:p w14:paraId="4EF1C52F" w14:textId="16C160EA" w:rsidR="00B51134" w:rsidRDefault="00B51134" w:rsidP="00B51134">
      <w:pPr>
        <w:pStyle w:val="Numbered111"/>
      </w:pPr>
      <w:r>
        <w:t xml:space="preserve">state which Test levels have been completed prior to submission; </w:t>
      </w:r>
    </w:p>
    <w:p w14:paraId="2C267491" w14:textId="7B02B194" w:rsidR="00B51134" w:rsidRDefault="00B51134" w:rsidP="00B51134">
      <w:pPr>
        <w:pStyle w:val="Numbered111"/>
      </w:pPr>
      <w:r>
        <w:t>if integration Testing has been completed the Authority will need to be told specific outcomes to ensure compliance has been met with Data Protection Legislation and any security requirements or certification (for example ISO 27001); and</w:t>
      </w:r>
    </w:p>
    <w:p w14:paraId="5A52A602" w14:textId="017E76D9" w:rsidR="00B51134" w:rsidRDefault="00B51134" w:rsidP="00B51134">
      <w:pPr>
        <w:pStyle w:val="Numbered111"/>
      </w:pPr>
      <w:r>
        <w:t>risks relating to tested deliverables have been documented and a reason why testing has passed needs sufficient evidence before the Deliverable is submitted and sufficient for purpose.</w:t>
      </w:r>
    </w:p>
    <w:p w14:paraId="378D6B0E" w14:textId="77777777" w:rsidR="00F67E9E" w:rsidRPr="001B5832" w:rsidRDefault="00F67E9E" w:rsidP="00F67E9E">
      <w:pPr>
        <w:pStyle w:val="Numbered11"/>
      </w:pPr>
      <w:r w:rsidRPr="001B5832">
        <w:lastRenderedPageBreak/>
        <w:t>The Supplier shall notify the Authority at least 10 Working Days (or such other period as the Parties may agree in writing) in advance of the date, time and location of the relevant Tests and the Authority shall ensure that the Test Witnesses attend the Tests, except where the Authority has specified in writing that such attendance is not necessary.</w:t>
      </w:r>
    </w:p>
    <w:p w14:paraId="4750C0B1" w14:textId="77777777" w:rsidR="00F67E9E" w:rsidRPr="001B5832" w:rsidRDefault="00F67E9E" w:rsidP="00F67E9E">
      <w:pPr>
        <w:pStyle w:val="Numbered11"/>
      </w:pPr>
      <w:r w:rsidRPr="001B5832">
        <w:t>The Authority may raise and close Test Issues during the Test witnessing process.</w:t>
      </w:r>
    </w:p>
    <w:p w14:paraId="7FFD2083" w14:textId="77777777" w:rsidR="00F67E9E" w:rsidRPr="00D5341B" w:rsidRDefault="00F67E9E" w:rsidP="00F67E9E">
      <w:pPr>
        <w:pStyle w:val="Numbered11"/>
      </w:pPr>
      <w:r w:rsidRPr="001B5832">
        <w:t>The Supplier shall provide</w:t>
      </w:r>
      <w:r w:rsidRPr="00D5341B">
        <w:t xml:space="preserve"> to the Authority in relation to each Test:</w:t>
      </w:r>
    </w:p>
    <w:p w14:paraId="0A896EAC" w14:textId="3CC83A13" w:rsidR="00F67E9E" w:rsidRPr="00D5341B" w:rsidRDefault="00F67E9E" w:rsidP="00F67E9E">
      <w:pPr>
        <w:pStyle w:val="Numbered111"/>
      </w:pPr>
      <w:r w:rsidRPr="001B5832">
        <w:t xml:space="preserve">the </w:t>
      </w:r>
      <w:r w:rsidRPr="00D5341B">
        <w:t xml:space="preserve">Test Report within </w:t>
      </w:r>
      <w:r w:rsidR="00B51134">
        <w:t>2</w:t>
      </w:r>
      <w:r w:rsidRPr="00D5341B">
        <w:t xml:space="preserve"> Working Days (or such other period as the Parties may agree in writing) of completion of Testing.</w:t>
      </w:r>
    </w:p>
    <w:p w14:paraId="55676D30" w14:textId="77777777" w:rsidR="00F67E9E" w:rsidRPr="00D5341B" w:rsidRDefault="00F67E9E" w:rsidP="00F67E9E">
      <w:pPr>
        <w:pStyle w:val="Numbered11"/>
      </w:pPr>
      <w:r w:rsidRPr="00D5341B">
        <w:t>Each Test Report shall provide a full report on the Testing conducted in respect of the relevant Deliverables, including:</w:t>
      </w:r>
    </w:p>
    <w:p w14:paraId="7BD4A6D2" w14:textId="77777777" w:rsidR="00F67E9E" w:rsidRPr="00D5341B" w:rsidRDefault="00F67E9E" w:rsidP="00F67E9E">
      <w:pPr>
        <w:pStyle w:val="Numbered111"/>
        <w:tabs>
          <w:tab w:val="clear" w:pos="1800"/>
          <w:tab w:val="num" w:pos="2160"/>
        </w:tabs>
      </w:pPr>
      <w:r w:rsidRPr="00D5341B">
        <w:t>an overview of the Testing conducted;</w:t>
      </w:r>
    </w:p>
    <w:p w14:paraId="2810C512" w14:textId="77777777" w:rsidR="00F67E9E" w:rsidRPr="00D5341B" w:rsidRDefault="00F67E9E" w:rsidP="00F67E9E">
      <w:pPr>
        <w:pStyle w:val="Numbered111"/>
        <w:tabs>
          <w:tab w:val="clear" w:pos="1800"/>
          <w:tab w:val="num" w:pos="2160"/>
        </w:tabs>
      </w:pPr>
      <w:r w:rsidRPr="00D5341B">
        <w:t>identification of the relevant Test Success Criteria that have been satisfied;</w:t>
      </w:r>
    </w:p>
    <w:p w14:paraId="266503E8" w14:textId="77777777" w:rsidR="00F67E9E" w:rsidRPr="00D5341B" w:rsidRDefault="00F67E9E" w:rsidP="00F67E9E">
      <w:pPr>
        <w:pStyle w:val="Numbered111"/>
        <w:tabs>
          <w:tab w:val="clear" w:pos="1800"/>
          <w:tab w:val="num" w:pos="2160"/>
        </w:tabs>
      </w:pPr>
      <w:r w:rsidRPr="00D5341B">
        <w:t>identification of the relevant Test Success Criteria that have not been satisfied together with the Supplier</w:t>
      </w:r>
      <w:r>
        <w:t>’</w:t>
      </w:r>
      <w:r w:rsidRPr="00D5341B">
        <w:t>s explanation of why those criteria have not been met;</w:t>
      </w:r>
    </w:p>
    <w:p w14:paraId="0C538FE2" w14:textId="77777777" w:rsidR="00F67E9E" w:rsidRPr="00D5341B" w:rsidRDefault="00F67E9E" w:rsidP="00F67E9E">
      <w:pPr>
        <w:pStyle w:val="Numbered111"/>
        <w:tabs>
          <w:tab w:val="clear" w:pos="1800"/>
          <w:tab w:val="num" w:pos="2160"/>
        </w:tabs>
      </w:pPr>
      <w:r w:rsidRPr="00D5341B">
        <w:t>the Tests that were not completed together with the Supplier</w:t>
      </w:r>
      <w:r>
        <w:t>’</w:t>
      </w:r>
      <w:r w:rsidRPr="00D5341B">
        <w:t>s explanation of why those Tests were not completed;</w:t>
      </w:r>
    </w:p>
    <w:p w14:paraId="7CC39835" w14:textId="69770BE3" w:rsidR="00F67E9E" w:rsidRPr="00D5341B" w:rsidRDefault="00F67E9E" w:rsidP="00F67E9E">
      <w:pPr>
        <w:pStyle w:val="Numbered111"/>
        <w:tabs>
          <w:tab w:val="clear" w:pos="1800"/>
          <w:tab w:val="num" w:pos="2160"/>
        </w:tabs>
      </w:pPr>
      <w:r w:rsidRPr="00D5341B">
        <w:t xml:space="preserve">the Test Success Criteria that were satisfied, not satisfied or which were not tested, and any other relevant categories, in each case grouped by Severity Level in accordance with </w:t>
      </w:r>
      <w:bookmarkStart w:id="711" w:name="_9kR3WTr2BBDLHaEnoewrqyJR"/>
      <w:r w:rsidRPr="00D5341B">
        <w:t xml:space="preserve">Paragraph </w:t>
      </w:r>
      <w:bookmarkEnd w:id="711"/>
      <w:r w:rsidRPr="00D5341B">
        <w:fldChar w:fldCharType="begin"/>
      </w:r>
      <w:r w:rsidRPr="00D5341B">
        <w:instrText xml:space="preserve"> REF _Ref_ContractCompanion_9kb9Ur16C \w \h </w:instrText>
      </w:r>
      <w:r>
        <w:instrText xml:space="preserve"> \* MERGEFORMAT </w:instrText>
      </w:r>
      <w:r w:rsidRPr="00D5341B">
        <w:fldChar w:fldCharType="separate"/>
      </w:r>
      <w:r w:rsidR="007A1473">
        <w:t>9.1</w:t>
      </w:r>
      <w:r w:rsidRPr="00D5341B">
        <w:fldChar w:fldCharType="end"/>
      </w:r>
      <w:r w:rsidRPr="00D5341B">
        <w:t>; and</w:t>
      </w:r>
    </w:p>
    <w:p w14:paraId="76B3118D" w14:textId="77777777" w:rsidR="00F67E9E" w:rsidRPr="00D5341B" w:rsidRDefault="00F67E9E" w:rsidP="00F67E9E">
      <w:pPr>
        <w:pStyle w:val="Numbered111"/>
        <w:tabs>
          <w:tab w:val="clear" w:pos="1800"/>
          <w:tab w:val="num" w:pos="2160"/>
        </w:tabs>
      </w:pPr>
      <w:r w:rsidRPr="00D5341B">
        <w:t>the specification for any hardware and software used throughout Testing and any changes that were applied to that hardware and/or software during Testing.</w:t>
      </w:r>
    </w:p>
    <w:p w14:paraId="4EB5486E" w14:textId="77777777" w:rsidR="00F67E9E" w:rsidRPr="00D5341B" w:rsidRDefault="00F67E9E" w:rsidP="00F67E9E">
      <w:pPr>
        <w:pStyle w:val="Numbered1"/>
      </w:pPr>
      <w:r w:rsidRPr="00D5341B">
        <w:t xml:space="preserve">Test </w:t>
      </w:r>
      <w:r w:rsidRPr="001B5832">
        <w:t>Issues</w:t>
      </w:r>
    </w:p>
    <w:p w14:paraId="1BA887B1" w14:textId="515F05B0" w:rsidR="00F67E9E" w:rsidRPr="001B5832" w:rsidRDefault="00F67E9E" w:rsidP="00F67E9E">
      <w:pPr>
        <w:pStyle w:val="Numbered11"/>
      </w:pPr>
      <w:bookmarkStart w:id="712" w:name="_Ref_ContractCompanion_9kb9Ur16C"/>
      <w:bookmarkStart w:id="713" w:name="_Ref_ContractCompanion_9kb9Ur9HB"/>
      <w:r w:rsidRPr="00D5341B">
        <w:t xml:space="preserve">Where a Test Report identifies a Test Issue, the Parties shall agree the classification of the Test Issue using the criteria specified in Annex </w:t>
      </w:r>
      <w:r w:rsidRPr="00D5341B">
        <w:fldChar w:fldCharType="begin"/>
      </w:r>
      <w:r w:rsidRPr="00D5341B">
        <w:instrText xml:space="preserve"> REF ANNEX1_SCHEDULE14 \h </w:instrText>
      </w:r>
      <w:r>
        <w:instrText xml:space="preserve"> \* MERGEFORMAT </w:instrText>
      </w:r>
      <w:r w:rsidRPr="00D5341B">
        <w:fldChar w:fldCharType="separate"/>
      </w:r>
      <w:r w:rsidR="007A1473" w:rsidRPr="007A1473">
        <w:rPr>
          <w:rFonts w:cs="Arial"/>
        </w:rPr>
        <w:t>1</w:t>
      </w:r>
      <w:r w:rsidRPr="00D5341B">
        <w:fldChar w:fldCharType="end"/>
      </w:r>
      <w:r w:rsidRPr="00D5341B">
        <w:t xml:space="preserve"> and the Test Issue Management Log maintained </w:t>
      </w:r>
      <w:r w:rsidRPr="001B5832">
        <w:t>by the Supplier shall log Test Issues reflecting the Severity Level allocated to each Test Issue.</w:t>
      </w:r>
      <w:bookmarkEnd w:id="712"/>
      <w:bookmarkEnd w:id="713"/>
    </w:p>
    <w:p w14:paraId="2B6A6213" w14:textId="77777777" w:rsidR="00F67E9E" w:rsidRPr="001B5832" w:rsidRDefault="00F67E9E" w:rsidP="00F67E9E">
      <w:pPr>
        <w:pStyle w:val="Numbered11"/>
      </w:pPr>
      <w:r w:rsidRPr="001B5832">
        <w:t>The Supplier shall be responsible for maintaining the Test Issue Management Log and for ensuring that its contents accurately represent the current status of each Test Issue at all relevant times. The Supplier shall make the Test Issue Management Log available to the Authority upon request.</w:t>
      </w:r>
    </w:p>
    <w:p w14:paraId="2B414566" w14:textId="77777777" w:rsidR="00F67E9E" w:rsidRPr="00D5341B" w:rsidRDefault="00F67E9E" w:rsidP="00F67E9E">
      <w:pPr>
        <w:pStyle w:val="Numbered11"/>
      </w:pPr>
      <w:r w:rsidRPr="001B5832">
        <w:t>The Authority shall confirm the classification of any Test Issue unresolved at the end of a Test in consultation with the Supplier. If the Parties are unable to agree the classification of any unresolved</w:t>
      </w:r>
      <w:r w:rsidRPr="00D5341B">
        <w:t xml:space="preserve"> Test Issue, the Dispute shall be dealt with in accordance with the Dispute Resolution Procedure using the Expedited Dispute Timetable.</w:t>
      </w:r>
    </w:p>
    <w:p w14:paraId="02103360" w14:textId="77777777" w:rsidR="00F67E9E" w:rsidRPr="00D5341B" w:rsidRDefault="00F67E9E" w:rsidP="00F67E9E">
      <w:pPr>
        <w:pStyle w:val="Numbered1"/>
      </w:pPr>
      <w:bookmarkStart w:id="714" w:name="_Ref_ContractCompanion_9kb9Ur9GH"/>
      <w:r w:rsidRPr="00D5341B">
        <w:t xml:space="preserve">Test </w:t>
      </w:r>
      <w:r w:rsidRPr="001B5832">
        <w:t>Witnessing</w:t>
      </w:r>
      <w:bookmarkEnd w:id="714"/>
    </w:p>
    <w:p w14:paraId="428F8AC5" w14:textId="77777777" w:rsidR="00F67E9E" w:rsidRPr="001B5832" w:rsidRDefault="00F67E9E" w:rsidP="00F67E9E">
      <w:pPr>
        <w:pStyle w:val="Numbered11"/>
      </w:pPr>
      <w:bookmarkStart w:id="715" w:name="_Ref_ContractCompanion_9kb9Ur16F"/>
      <w:r w:rsidRPr="00D5341B">
        <w:t xml:space="preserve">The Authority may, in its sole discretion, require the attendance at any Test of one or more Test Witnesses selected by the Authority, each of whom shall have appropriate </w:t>
      </w:r>
      <w:r w:rsidRPr="00D5341B">
        <w:lastRenderedPageBreak/>
        <w:t xml:space="preserve">skills to fulfil the role of </w:t>
      </w:r>
      <w:r w:rsidRPr="001B5832">
        <w:t>a Test Witness.</w:t>
      </w:r>
      <w:bookmarkEnd w:id="715"/>
    </w:p>
    <w:p w14:paraId="17CB7772" w14:textId="77777777" w:rsidR="00F67E9E" w:rsidRPr="001B5832" w:rsidRDefault="00F67E9E" w:rsidP="00F67E9E">
      <w:pPr>
        <w:pStyle w:val="Numbered11"/>
      </w:pPr>
      <w:r w:rsidRPr="001B5832">
        <w:t>The Supplier shall give the Test Witnesses access to any documentation and Testing environments reasonably necessary and requested by the Test Witnesses to perform their role as a Test Witness in respect of the relevant Tests.</w:t>
      </w:r>
    </w:p>
    <w:p w14:paraId="73B20CA7" w14:textId="77777777" w:rsidR="00F67E9E" w:rsidRPr="00D5341B" w:rsidRDefault="00F67E9E" w:rsidP="00F67E9E">
      <w:pPr>
        <w:pStyle w:val="Numbered11"/>
      </w:pPr>
      <w:r w:rsidRPr="001B5832">
        <w:t>The Test Witne</w:t>
      </w:r>
      <w:r w:rsidRPr="00D5341B">
        <w:t>sses:</w:t>
      </w:r>
    </w:p>
    <w:p w14:paraId="109C645F" w14:textId="77777777" w:rsidR="00F67E9E" w:rsidRPr="00D5341B" w:rsidRDefault="00F67E9E" w:rsidP="00F67E9E">
      <w:pPr>
        <w:pStyle w:val="Numbered111"/>
        <w:tabs>
          <w:tab w:val="clear" w:pos="1800"/>
          <w:tab w:val="num" w:pos="2160"/>
        </w:tabs>
      </w:pPr>
      <w:r w:rsidRPr="00D5341B">
        <w:t>shall actively review the Test documentation;</w:t>
      </w:r>
    </w:p>
    <w:p w14:paraId="5AC3542C" w14:textId="77777777" w:rsidR="00F67E9E" w:rsidRPr="00D5341B" w:rsidRDefault="00F67E9E" w:rsidP="00F67E9E">
      <w:pPr>
        <w:pStyle w:val="Numbered111"/>
        <w:tabs>
          <w:tab w:val="clear" w:pos="1800"/>
          <w:tab w:val="num" w:pos="2160"/>
        </w:tabs>
      </w:pPr>
      <w:r w:rsidRPr="00D5341B">
        <w:t>will attend and engage in the performance of the Tests on behalf of the Authority so as to enable the Authority to gain an informed view of whether a Test Issue may be closed or whether the relevant element of the Test should be re-Tested;</w:t>
      </w:r>
    </w:p>
    <w:p w14:paraId="1280F6A7" w14:textId="77777777" w:rsidR="00F67E9E" w:rsidRPr="00D5341B" w:rsidRDefault="00F67E9E" w:rsidP="00F67E9E">
      <w:pPr>
        <w:pStyle w:val="Numbered111"/>
        <w:tabs>
          <w:tab w:val="clear" w:pos="1800"/>
          <w:tab w:val="num" w:pos="2160"/>
        </w:tabs>
      </w:pPr>
      <w:r w:rsidRPr="00D5341B">
        <w:t>shall not be involved in the execution of any Test;</w:t>
      </w:r>
    </w:p>
    <w:p w14:paraId="78830FE6" w14:textId="77777777" w:rsidR="00F67E9E" w:rsidRPr="00D5341B" w:rsidRDefault="00F67E9E" w:rsidP="00F67E9E">
      <w:pPr>
        <w:pStyle w:val="Numbered111"/>
        <w:tabs>
          <w:tab w:val="clear" w:pos="1800"/>
          <w:tab w:val="num" w:pos="2160"/>
        </w:tabs>
      </w:pPr>
      <w:r w:rsidRPr="00D5341B">
        <w:t xml:space="preserve">shall be required to verify that the Supplier conducted the Tests in accordance with the Test Success Criteria and the relevant Test Plan and Test Specification; </w:t>
      </w:r>
    </w:p>
    <w:p w14:paraId="5705E357" w14:textId="77777777" w:rsidR="00F67E9E" w:rsidRPr="00D5341B" w:rsidRDefault="00F67E9E" w:rsidP="00F67E9E">
      <w:pPr>
        <w:pStyle w:val="Numbered111"/>
        <w:tabs>
          <w:tab w:val="clear" w:pos="1800"/>
          <w:tab w:val="num" w:pos="2160"/>
        </w:tabs>
      </w:pPr>
      <w:r w:rsidRPr="00D5341B">
        <w:t xml:space="preserve">may produce and deliver their own, independent reports on Testing, which may be used by the Authority to assess whether the Tests have been Achieved; </w:t>
      </w:r>
    </w:p>
    <w:p w14:paraId="17EF52F4" w14:textId="77777777" w:rsidR="00F67E9E" w:rsidRPr="00D5341B" w:rsidRDefault="00F67E9E" w:rsidP="00F67E9E">
      <w:pPr>
        <w:pStyle w:val="Numbered111"/>
        <w:tabs>
          <w:tab w:val="clear" w:pos="1800"/>
          <w:tab w:val="num" w:pos="2160"/>
        </w:tabs>
      </w:pPr>
      <w:r w:rsidRPr="00D5341B">
        <w:t>may raise Test Issues on the Test Issue Management Log in respect of any Testing; and</w:t>
      </w:r>
    </w:p>
    <w:p w14:paraId="534E2605" w14:textId="77777777" w:rsidR="00F67E9E" w:rsidRPr="00D5341B" w:rsidRDefault="00F67E9E" w:rsidP="00F67E9E">
      <w:pPr>
        <w:pStyle w:val="Numbered111"/>
        <w:tabs>
          <w:tab w:val="clear" w:pos="1800"/>
          <w:tab w:val="num" w:pos="2160"/>
        </w:tabs>
      </w:pPr>
      <w:r w:rsidRPr="00D5341B">
        <w:t>may require the Supplier to demonstrate the modifications made to any defective Deliverable before a Test Issue is closed.</w:t>
      </w:r>
    </w:p>
    <w:p w14:paraId="78155D50" w14:textId="77777777" w:rsidR="00F67E9E" w:rsidRPr="00D5341B" w:rsidRDefault="00F67E9E" w:rsidP="00F67E9E">
      <w:pPr>
        <w:pStyle w:val="Numbered1"/>
      </w:pPr>
      <w:r w:rsidRPr="00D5341B">
        <w:t xml:space="preserve">Test </w:t>
      </w:r>
      <w:r w:rsidRPr="001B5832">
        <w:t>Quality</w:t>
      </w:r>
      <w:r w:rsidRPr="00D5341B">
        <w:t xml:space="preserve"> Audit</w:t>
      </w:r>
    </w:p>
    <w:p w14:paraId="66A9BB8C" w14:textId="77777777" w:rsidR="00F67E9E" w:rsidRPr="001B5832" w:rsidRDefault="00F67E9E" w:rsidP="00F67E9E">
      <w:pPr>
        <w:pStyle w:val="Numbered11"/>
      </w:pPr>
      <w:r w:rsidRPr="00D5341B">
        <w:t xml:space="preserve">Without prejudice to its rights pursuant to </w:t>
      </w:r>
      <w:bookmarkStart w:id="716" w:name="_9kR3WTr2BBDLIOChrAv5HJt"/>
      <w:r w:rsidRPr="00D5341B">
        <w:t>Clause 12.2(b)</w:t>
      </w:r>
      <w:bookmarkEnd w:id="716"/>
      <w:r w:rsidRPr="00D5341B">
        <w:t xml:space="preserve"> (</w:t>
      </w:r>
      <w:r w:rsidRPr="008F1C4B">
        <w:rPr>
          <w:i/>
        </w:rPr>
        <w:t>Records, Reports, Audits &amp; Open Book Data</w:t>
      </w:r>
      <w:r w:rsidRPr="00D5341B">
        <w:t xml:space="preserve">), the Authority may perform on-going quality audits in respect of any part of the Testing (each a </w:t>
      </w:r>
      <w:r>
        <w:t>“</w:t>
      </w:r>
      <w:r w:rsidRPr="00D5341B">
        <w:rPr>
          <w:rStyle w:val="StdBodyTextBoldChar"/>
          <w:rFonts w:eastAsia="Arial"/>
        </w:rPr>
        <w:t>Testing Quality Audit</w:t>
      </w:r>
      <w:r>
        <w:t>”</w:t>
      </w:r>
      <w:r w:rsidRPr="00D5341B">
        <w:t xml:space="preserve">) subject to the provisions set out in the agreed </w:t>
      </w:r>
      <w:r w:rsidRPr="001B5832">
        <w:t>Quality Plan.</w:t>
      </w:r>
    </w:p>
    <w:p w14:paraId="188CE2DF" w14:textId="77777777" w:rsidR="00F67E9E" w:rsidRPr="00D5341B" w:rsidRDefault="00F67E9E" w:rsidP="00F67E9E">
      <w:pPr>
        <w:pStyle w:val="Numbered11"/>
      </w:pPr>
      <w:r w:rsidRPr="001B5832">
        <w:t>Th</w:t>
      </w:r>
      <w:r w:rsidRPr="00D5341B">
        <w:t>e focus of the Testing Quality Audits shall be on:</w:t>
      </w:r>
    </w:p>
    <w:p w14:paraId="6FE845E6" w14:textId="77777777" w:rsidR="00F67E9E" w:rsidRPr="00D5341B" w:rsidRDefault="00F67E9E" w:rsidP="00F67E9E">
      <w:pPr>
        <w:pStyle w:val="Numbered111"/>
        <w:tabs>
          <w:tab w:val="clear" w:pos="1800"/>
          <w:tab w:val="num" w:pos="2160"/>
        </w:tabs>
      </w:pPr>
      <w:r w:rsidRPr="00D5341B">
        <w:t>adherence to an agreed methodology;</w:t>
      </w:r>
    </w:p>
    <w:p w14:paraId="3CCE6DEF" w14:textId="77777777" w:rsidR="00F67E9E" w:rsidRPr="00D5341B" w:rsidRDefault="00F67E9E" w:rsidP="00F67E9E">
      <w:pPr>
        <w:pStyle w:val="Numbered111"/>
        <w:tabs>
          <w:tab w:val="clear" w:pos="1800"/>
          <w:tab w:val="num" w:pos="2160"/>
        </w:tabs>
      </w:pPr>
      <w:r w:rsidRPr="00D5341B">
        <w:t>adherence to the agreed Testing process;</w:t>
      </w:r>
    </w:p>
    <w:p w14:paraId="565C3A85" w14:textId="77777777" w:rsidR="00F67E9E" w:rsidRPr="00D5341B" w:rsidRDefault="00F67E9E" w:rsidP="00F67E9E">
      <w:pPr>
        <w:pStyle w:val="Numbered111"/>
        <w:tabs>
          <w:tab w:val="clear" w:pos="1800"/>
          <w:tab w:val="num" w:pos="2160"/>
        </w:tabs>
      </w:pPr>
      <w:r w:rsidRPr="00D5341B">
        <w:t>adherence to the Quality Plan;</w:t>
      </w:r>
    </w:p>
    <w:p w14:paraId="2B3DF236" w14:textId="77777777" w:rsidR="00F67E9E" w:rsidRPr="00D5341B" w:rsidRDefault="00F67E9E" w:rsidP="00F67E9E">
      <w:pPr>
        <w:pStyle w:val="Numbered111"/>
        <w:tabs>
          <w:tab w:val="clear" w:pos="1800"/>
          <w:tab w:val="num" w:pos="2160"/>
        </w:tabs>
      </w:pPr>
      <w:r w:rsidRPr="00D5341B">
        <w:t>review of status and key development issues; and</w:t>
      </w:r>
    </w:p>
    <w:p w14:paraId="0281B8B2" w14:textId="77777777" w:rsidR="00F67E9E" w:rsidRPr="00D5341B" w:rsidRDefault="00F67E9E" w:rsidP="00F67E9E">
      <w:pPr>
        <w:pStyle w:val="Numbered111"/>
        <w:tabs>
          <w:tab w:val="clear" w:pos="1800"/>
          <w:tab w:val="num" w:pos="2160"/>
        </w:tabs>
      </w:pPr>
      <w:r w:rsidRPr="00D5341B">
        <w:t>identification of key risk areas.</w:t>
      </w:r>
    </w:p>
    <w:p w14:paraId="4597252F" w14:textId="77777777" w:rsidR="00F67E9E" w:rsidRPr="001B5832" w:rsidRDefault="00F67E9E" w:rsidP="00F67E9E">
      <w:pPr>
        <w:pStyle w:val="Numbered11"/>
      </w:pPr>
      <w:r w:rsidRPr="00D5341B">
        <w:t xml:space="preserve">The Supplier shall allow sufficient time in the Test Plan to ensure that adequate responses to a </w:t>
      </w:r>
      <w:r w:rsidRPr="001B5832">
        <w:t>Testing Quality Audit can be provided.</w:t>
      </w:r>
    </w:p>
    <w:p w14:paraId="527A4F79" w14:textId="77777777" w:rsidR="00F67E9E" w:rsidRPr="001B5832" w:rsidRDefault="00F67E9E" w:rsidP="00F67E9E">
      <w:pPr>
        <w:pStyle w:val="Numbered11"/>
      </w:pPr>
      <w:r w:rsidRPr="001B5832">
        <w:t xml:space="preserve">The Authority will give the Supplier at least 5 Working Days’ written notice of the Authority’s intention to undertake a Testing Quality Audit and the Supplier may request, following receipt of that notice, that any Testing Quality Audit be delayed by a reasonable </w:t>
      </w:r>
      <w:r w:rsidRPr="001B5832">
        <w:lastRenderedPageBreak/>
        <w:t>time period if in the Supplier’s reasonable opinion, the carrying out of a Testing Quality Audit at the time specified by the Authority will materially and adversely impact the Implementation Plan.</w:t>
      </w:r>
    </w:p>
    <w:p w14:paraId="3947A5CE" w14:textId="77777777" w:rsidR="00F67E9E" w:rsidRPr="001B5832" w:rsidRDefault="00F67E9E" w:rsidP="00F67E9E">
      <w:pPr>
        <w:pStyle w:val="Numbered11"/>
      </w:pPr>
      <w:r w:rsidRPr="001B5832">
        <w:t>A Testing Quality Audit may involve document reviews, interviews with the Supplier Personnel involved in or monitoring the activities being undertaken pursuant to this Schedule, the Authority witnessing Tests and demonstrations of the Deliverables to the Authority. Any Testing Quality Audit shall be limited in duration to a maximum time to be agreed between the Supplier and the Authority on a case by case basis (such agreement not to be unreasonably withheld or delayed). The Supplier shall provide all reasonable necessary assistance and access to all relevant documentation required by the Authority to enable it to carry out the Testing Quality Audit.</w:t>
      </w:r>
    </w:p>
    <w:p w14:paraId="0CB0A94E" w14:textId="77777777" w:rsidR="00F67E9E" w:rsidRPr="00D5341B" w:rsidRDefault="00F67E9E" w:rsidP="00F67E9E">
      <w:pPr>
        <w:pStyle w:val="Numbered11"/>
      </w:pPr>
      <w:r w:rsidRPr="001B5832">
        <w:t>If the Testing</w:t>
      </w:r>
      <w:r w:rsidRPr="00D5341B">
        <w:t xml:space="preserve"> Quality Audit gives the Authority concern in respect of the Testing Procedures or any Test, the Authority shall:</w:t>
      </w:r>
    </w:p>
    <w:p w14:paraId="705BC42A" w14:textId="77777777" w:rsidR="00F67E9E" w:rsidRPr="00D5341B" w:rsidRDefault="00F67E9E" w:rsidP="00F67E9E">
      <w:pPr>
        <w:pStyle w:val="Numbered111"/>
        <w:tabs>
          <w:tab w:val="clear" w:pos="1800"/>
          <w:tab w:val="num" w:pos="2160"/>
        </w:tabs>
      </w:pPr>
      <w:r w:rsidRPr="00D5341B">
        <w:t>discuss the outcome of the Testing Quality Audit with the Supplier, giving the Supplier the opportunity to provide feedback in relation to specific activities; and</w:t>
      </w:r>
    </w:p>
    <w:p w14:paraId="0B816D42" w14:textId="77777777" w:rsidR="00F67E9E" w:rsidRPr="00D5341B" w:rsidRDefault="00F67E9E" w:rsidP="00F67E9E">
      <w:pPr>
        <w:pStyle w:val="Numbered111"/>
        <w:tabs>
          <w:tab w:val="clear" w:pos="1800"/>
          <w:tab w:val="num" w:pos="2160"/>
        </w:tabs>
      </w:pPr>
      <w:r w:rsidRPr="00D5341B">
        <w:t>subsequently prepare a written report for the Supplier detailing its concerns,</w:t>
      </w:r>
    </w:p>
    <w:p w14:paraId="7F4922F6" w14:textId="77777777" w:rsidR="00F67E9E" w:rsidRPr="00D5341B" w:rsidRDefault="00F67E9E" w:rsidP="00F67E9E">
      <w:pPr>
        <w:pStyle w:val="StdBodyText2"/>
      </w:pPr>
      <w:r w:rsidRPr="00D5341B">
        <w:t>and the Supplier shall, within a reasonable timeframe, respond in writing to the Authority</w:t>
      </w:r>
      <w:r>
        <w:t>’</w:t>
      </w:r>
      <w:r w:rsidRPr="00D5341B">
        <w:t>s report.</w:t>
      </w:r>
    </w:p>
    <w:p w14:paraId="33CF3B18" w14:textId="77777777" w:rsidR="00F67E9E" w:rsidRPr="00D5341B" w:rsidRDefault="00F67E9E" w:rsidP="00F67E9E">
      <w:pPr>
        <w:pStyle w:val="Numbered11"/>
      </w:pPr>
      <w:r w:rsidRPr="00D5341B">
        <w:t>In the event of an inadequate response to the Authority</w:t>
      </w:r>
      <w:r>
        <w:t>’</w:t>
      </w:r>
      <w:r w:rsidRPr="00D5341B">
        <w:t xml:space="preserve">s report from the Supplier, the Authority (acting reasonably) may withhold a </w:t>
      </w:r>
      <w:bookmarkStart w:id="717" w:name="_9kMLK5YVt4CE9EKiOuAVBxD5strk27"/>
      <w:r w:rsidRPr="00D5341B">
        <w:t>Test Certificate</w:t>
      </w:r>
      <w:bookmarkEnd w:id="717"/>
      <w:r w:rsidRPr="00D5341B">
        <w:t xml:space="preserve"> (and consequently delay the grant of a Milestone Achievement Certificate) until the issues in the report have been addressed to </w:t>
      </w:r>
      <w:r w:rsidRPr="001B5832">
        <w:t>the</w:t>
      </w:r>
      <w:r w:rsidRPr="00D5341B">
        <w:t xml:space="preserve"> reasonable satisfaction of the Authority.</w:t>
      </w:r>
    </w:p>
    <w:p w14:paraId="301AC7C9" w14:textId="77777777" w:rsidR="00F67E9E" w:rsidRPr="00D5341B" w:rsidRDefault="00F67E9E" w:rsidP="00F67E9E">
      <w:pPr>
        <w:pStyle w:val="Numbered1"/>
      </w:pPr>
      <w:r w:rsidRPr="00D5341B">
        <w:t xml:space="preserve">Outcome </w:t>
      </w:r>
      <w:r>
        <w:t>o</w:t>
      </w:r>
      <w:r w:rsidRPr="00D5341B">
        <w:t>f Testing</w:t>
      </w:r>
    </w:p>
    <w:p w14:paraId="0E6F291D" w14:textId="77777777" w:rsidR="00F67E9E" w:rsidRPr="001B5832" w:rsidRDefault="00F67E9E" w:rsidP="00F67E9E">
      <w:pPr>
        <w:pStyle w:val="Numbered11"/>
      </w:pPr>
      <w:bookmarkStart w:id="718" w:name="_Ref_ContractCompanion_9kb9Ur17D"/>
      <w:r w:rsidRPr="00D5341B">
        <w:t xml:space="preserve">The Authority shall </w:t>
      </w:r>
      <w:r w:rsidRPr="001B5832">
        <w:t xml:space="preserve">issue a </w:t>
      </w:r>
      <w:bookmarkStart w:id="719" w:name="_9kMML5YVt4CE9EKiOuAVBxD5strk27"/>
      <w:r w:rsidRPr="001B5832">
        <w:t>Test Certificate</w:t>
      </w:r>
      <w:bookmarkEnd w:id="719"/>
      <w:r w:rsidRPr="001B5832">
        <w:t xml:space="preserve"> as soon as reasonably practicable when the Deliverables satisfy the Test Success Criteria in respect of that Test without any Test Issues.</w:t>
      </w:r>
      <w:bookmarkEnd w:id="718"/>
    </w:p>
    <w:p w14:paraId="5988EEC3" w14:textId="77777777" w:rsidR="00F67E9E" w:rsidRPr="00D5341B" w:rsidRDefault="00F67E9E" w:rsidP="00F67E9E">
      <w:pPr>
        <w:pStyle w:val="Numbered11"/>
      </w:pPr>
      <w:r w:rsidRPr="001B5832">
        <w:t>If the Deliverables (or an</w:t>
      </w:r>
      <w:r w:rsidRPr="00D5341B">
        <w:t>y relevant part) do not satisfy the Test Success Criteria then the Authority shall notify the Supplier and:</w:t>
      </w:r>
    </w:p>
    <w:p w14:paraId="753C95A3" w14:textId="7CEED4BD" w:rsidR="00F67E9E" w:rsidRPr="00D5341B" w:rsidRDefault="00F67E9E" w:rsidP="00F67E9E">
      <w:pPr>
        <w:pStyle w:val="Numbered111"/>
        <w:tabs>
          <w:tab w:val="clear" w:pos="1800"/>
          <w:tab w:val="num" w:pos="2160"/>
        </w:tabs>
      </w:pPr>
      <w:r w:rsidRPr="00D5341B">
        <w:t xml:space="preserve">the Authority may issue a </w:t>
      </w:r>
      <w:bookmarkStart w:id="720" w:name="_9kMNM5YVt4CE9EKiOuAVBxD5strk27"/>
      <w:r w:rsidRPr="00D5341B">
        <w:t>Test Certificate</w:t>
      </w:r>
      <w:bookmarkEnd w:id="720"/>
      <w:r w:rsidR="00B51134">
        <w:t xml:space="preserve"> that will be</w:t>
      </w:r>
      <w:r w:rsidRPr="00D5341B">
        <w:t xml:space="preserve"> conditional upon the remediation of the Test Issues; </w:t>
      </w:r>
    </w:p>
    <w:p w14:paraId="30459683" w14:textId="77777777" w:rsidR="00F67E9E" w:rsidRPr="00D5341B" w:rsidRDefault="00F67E9E" w:rsidP="00F67E9E">
      <w:pPr>
        <w:pStyle w:val="Numbered111"/>
        <w:tabs>
          <w:tab w:val="clear" w:pos="1800"/>
          <w:tab w:val="num" w:pos="2160"/>
        </w:tabs>
      </w:pPr>
      <w:r w:rsidRPr="00D5341B">
        <w:t>where the Parties agree that there is sufficient time prior to the relevant Milestone Date, the Authority may extend the Test Plan by such reasonable period or periods as the Parties may reasonably agree and require the Supplier to rectify the cause of the Test Issue and re-submit the Deliverables (or the relevant part) to Testing; or</w:t>
      </w:r>
    </w:p>
    <w:p w14:paraId="78ABE2A6" w14:textId="77777777" w:rsidR="00F67E9E" w:rsidRPr="00D5341B" w:rsidRDefault="00F67E9E" w:rsidP="00F67E9E">
      <w:pPr>
        <w:pStyle w:val="Numbered111"/>
        <w:tabs>
          <w:tab w:val="clear" w:pos="1800"/>
          <w:tab w:val="num" w:pos="2160"/>
        </w:tabs>
      </w:pPr>
      <w:r w:rsidRPr="00D5341B">
        <w:t>where the failure to satisfy the Test Success Criteria results, or is likely to result, in the failure (in whole or in part) by the Supplier to meet a Milestone, then without prejudice to the Authority</w:t>
      </w:r>
      <w:r>
        <w:t>’</w:t>
      </w:r>
      <w:r w:rsidRPr="00D5341B">
        <w:t xml:space="preserve">s other rights and remedies, such failure shall constitute a Notifiable Default for the purposes of </w:t>
      </w:r>
      <w:bookmarkStart w:id="721" w:name="_9kR3WTr2CC5AFOChrAv6NN"/>
      <w:r w:rsidRPr="00D5341B">
        <w:t>Clause 25.1</w:t>
      </w:r>
      <w:bookmarkEnd w:id="721"/>
      <w:r w:rsidRPr="00D5341B">
        <w:t xml:space="preserve"> (</w:t>
      </w:r>
      <w:r w:rsidRPr="00D5341B">
        <w:rPr>
          <w:i/>
        </w:rPr>
        <w:t>Rectification Plan Process</w:t>
      </w:r>
      <w:r w:rsidRPr="00D5341B">
        <w:t xml:space="preserve">). </w:t>
      </w:r>
    </w:p>
    <w:p w14:paraId="7522E9F2" w14:textId="77777777" w:rsidR="00F67E9E" w:rsidRPr="00D5341B" w:rsidRDefault="00F67E9E" w:rsidP="00F67E9E">
      <w:pPr>
        <w:pStyle w:val="Numbered11"/>
      </w:pPr>
      <w:r w:rsidRPr="00D5341B">
        <w:lastRenderedPageBreak/>
        <w:t xml:space="preserve">The Authority </w:t>
      </w:r>
      <w:r w:rsidRPr="001B5832">
        <w:t>shall</w:t>
      </w:r>
      <w:r w:rsidRPr="00D5341B">
        <w:t xml:space="preserve">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5775DBA1" w14:textId="77777777" w:rsidR="00F67E9E" w:rsidRPr="00D5341B" w:rsidRDefault="00F67E9E" w:rsidP="00F67E9E">
      <w:pPr>
        <w:pStyle w:val="Numbered1"/>
      </w:pPr>
      <w:r w:rsidRPr="00D5341B">
        <w:t xml:space="preserve">Issue </w:t>
      </w:r>
      <w:r>
        <w:t>o</w:t>
      </w:r>
      <w:r w:rsidRPr="00D5341B">
        <w:t xml:space="preserve">f </w:t>
      </w:r>
      <w:r w:rsidRPr="001B5832">
        <w:t>Milestone</w:t>
      </w:r>
      <w:r w:rsidRPr="00D5341B">
        <w:t xml:space="preserve"> Achievement Certificate</w:t>
      </w:r>
    </w:p>
    <w:p w14:paraId="5F778CEC" w14:textId="77777777" w:rsidR="00F67E9E" w:rsidRPr="00D5341B" w:rsidRDefault="00F67E9E" w:rsidP="00F67E9E">
      <w:pPr>
        <w:pStyle w:val="Numbered11"/>
      </w:pPr>
      <w:bookmarkStart w:id="722" w:name="_Ref_ContractCompanion_9kb9Ur17G"/>
      <w:r w:rsidRPr="00D5341B">
        <w:t>The Authority shall issue a Milestone Achievement Certificate in respect of a given Milestone as soon as is reasonably practicable following:</w:t>
      </w:r>
      <w:bookmarkEnd w:id="722"/>
    </w:p>
    <w:p w14:paraId="086626FC" w14:textId="77777777" w:rsidR="00F67E9E" w:rsidRPr="001B5832" w:rsidRDefault="00F67E9E" w:rsidP="00F67E9E">
      <w:pPr>
        <w:pStyle w:val="Numbered111"/>
      </w:pPr>
      <w:r w:rsidRPr="00D5341B">
        <w:t xml:space="preserve">the issuing by the Authority of </w:t>
      </w:r>
      <w:bookmarkStart w:id="723" w:name="_9kMON5YVt4CE9EKiOuAVBxD5strk27"/>
      <w:r w:rsidRPr="00D5341B">
        <w:t>Test Certificates</w:t>
      </w:r>
      <w:bookmarkEnd w:id="723"/>
      <w:r w:rsidRPr="00D5341B">
        <w:t xml:space="preserve"> and/or conditional </w:t>
      </w:r>
      <w:bookmarkStart w:id="724" w:name="_9kMPO5YVt4CE9EKiOuAVBxD5strk27"/>
      <w:r w:rsidRPr="00D5341B">
        <w:t>Test Certificates</w:t>
      </w:r>
      <w:bookmarkEnd w:id="724"/>
      <w:r w:rsidRPr="00D5341B">
        <w:t xml:space="preserve"> in respect of all Deliverables related to that Milestone which are due to be Tested; </w:t>
      </w:r>
      <w:r w:rsidRPr="001B5832">
        <w:t>and</w:t>
      </w:r>
    </w:p>
    <w:p w14:paraId="51F23E94" w14:textId="77777777" w:rsidR="00F67E9E" w:rsidRPr="00D5341B" w:rsidRDefault="00F67E9E" w:rsidP="00F67E9E">
      <w:pPr>
        <w:pStyle w:val="Numbered111"/>
      </w:pPr>
      <w:r w:rsidRPr="001B5832">
        <w:t>perfo</w:t>
      </w:r>
      <w:r w:rsidRPr="00D5341B">
        <w:t>rmance by the Supplier to the reasonable satisfaction of the Authority of any other tasks identified in the Implementation Plan as associated with that Milestone (which may include the submission of a Deliverable that is not due to be Tested, such as the production of Documentation).</w:t>
      </w:r>
    </w:p>
    <w:p w14:paraId="555793F9" w14:textId="66B8FC23" w:rsidR="00F67E9E" w:rsidRPr="001B5832" w:rsidRDefault="002D30B3" w:rsidP="00F67E9E">
      <w:pPr>
        <w:pStyle w:val="Numbered11"/>
      </w:pPr>
      <w:r>
        <w:t>Where relevant, t</w:t>
      </w:r>
      <w:r w:rsidR="00F67E9E" w:rsidRPr="00D5341B">
        <w:t xml:space="preserve">he grant of a Milestone Achievement Certificate shall entitle the Supplier to the receipt of a payment in respect of that Milestone in accordance with the provisions of </w:t>
      </w:r>
      <w:r w:rsidR="00F67E9E">
        <w:rPr>
          <w:rFonts w:cs="Arial"/>
        </w:rPr>
        <w:fldChar w:fldCharType="begin"/>
      </w:r>
      <w:r w:rsidR="00F67E9E">
        <w:rPr>
          <w:rFonts w:cs="Arial"/>
        </w:rPr>
        <w:instrText xml:space="preserve"> REF Schedule15 \h </w:instrText>
      </w:r>
      <w:r w:rsidR="00F67E9E">
        <w:rPr>
          <w:rFonts w:cs="Arial"/>
        </w:rPr>
      </w:r>
      <w:r w:rsidR="00F67E9E">
        <w:rPr>
          <w:rFonts w:cs="Arial"/>
        </w:rPr>
        <w:fldChar w:fldCharType="separate"/>
      </w:r>
      <w:r w:rsidR="007A1473" w:rsidRPr="005D0525">
        <w:t>Schedule</w:t>
      </w:r>
      <w:r w:rsidR="007A1473">
        <w:t> </w:t>
      </w:r>
      <w:r w:rsidR="007A1473" w:rsidRPr="005D0525">
        <w:t>15</w:t>
      </w:r>
      <w:r w:rsidR="00F67E9E">
        <w:rPr>
          <w:rFonts w:cs="Arial"/>
        </w:rPr>
        <w:fldChar w:fldCharType="end"/>
      </w:r>
      <w:r w:rsidR="00F67E9E">
        <w:rPr>
          <w:rFonts w:cs="Arial"/>
        </w:rPr>
        <w:t xml:space="preserve"> (</w:t>
      </w:r>
      <w:r w:rsidR="00F67E9E" w:rsidRPr="00B91437">
        <w:rPr>
          <w:rFonts w:cs="Arial"/>
          <w:i/>
          <w:iCs/>
        </w:rPr>
        <w:fldChar w:fldCharType="begin"/>
      </w:r>
      <w:r w:rsidR="00F67E9E" w:rsidRPr="00B91437">
        <w:rPr>
          <w:rFonts w:cs="Arial"/>
          <w:i/>
          <w:iCs/>
        </w:rPr>
        <w:instrText xml:space="preserve"> REF Schedule15Heading \h </w:instrText>
      </w:r>
      <w:r w:rsidR="00F67E9E">
        <w:rPr>
          <w:rFonts w:cs="Arial"/>
          <w:i/>
          <w:iCs/>
        </w:rPr>
        <w:instrText xml:space="preserve"> \* MERGEFORMAT </w:instrText>
      </w:r>
      <w:r w:rsidR="00F67E9E" w:rsidRPr="00B91437">
        <w:rPr>
          <w:rFonts w:cs="Arial"/>
          <w:i/>
          <w:iCs/>
        </w:rPr>
      </w:r>
      <w:r w:rsidR="00F67E9E" w:rsidRPr="00B91437">
        <w:rPr>
          <w:rFonts w:cs="Arial"/>
          <w:i/>
          <w:iCs/>
        </w:rPr>
        <w:fldChar w:fldCharType="separate"/>
      </w:r>
      <w:r w:rsidR="007A1473" w:rsidRPr="007A1473">
        <w:rPr>
          <w:i/>
          <w:iCs/>
        </w:rPr>
        <w:t>Charges and Invoicing</w:t>
      </w:r>
      <w:r w:rsidR="00F67E9E" w:rsidRPr="00B91437">
        <w:rPr>
          <w:rFonts w:cs="Arial"/>
          <w:i/>
          <w:iCs/>
        </w:rPr>
        <w:fldChar w:fldCharType="end"/>
      </w:r>
      <w:r w:rsidR="00F67E9E">
        <w:rPr>
          <w:rFonts w:cs="Arial"/>
        </w:rPr>
        <w:t>)</w:t>
      </w:r>
      <w:r w:rsidR="00F67E9E" w:rsidRPr="00D5341B">
        <w:t>.</w:t>
      </w:r>
    </w:p>
    <w:p w14:paraId="1BD499FE" w14:textId="77777777" w:rsidR="00F67E9E" w:rsidRPr="00D5341B" w:rsidRDefault="00F67E9E" w:rsidP="00F67E9E">
      <w:pPr>
        <w:pStyle w:val="Numbered11"/>
        <w:keepNext/>
      </w:pPr>
      <w:bookmarkStart w:id="725" w:name="_Ref_ContractCompanion_9kb9Ur9HI"/>
      <w:r w:rsidRPr="001B5832">
        <w:t>If a Milestone is not Achieved, the</w:t>
      </w:r>
      <w:r w:rsidRPr="00D5341B">
        <w:t xml:space="preserve"> Authority shall promptly issue a report to the Supplier setting out:</w:t>
      </w:r>
      <w:bookmarkEnd w:id="725"/>
    </w:p>
    <w:p w14:paraId="46245348" w14:textId="77777777" w:rsidR="00F67E9E" w:rsidRPr="001B5832" w:rsidRDefault="00F67E9E" w:rsidP="00F67E9E">
      <w:pPr>
        <w:pStyle w:val="Numbered111"/>
      </w:pPr>
      <w:r w:rsidRPr="00D5341B">
        <w:t xml:space="preserve">the applicable </w:t>
      </w:r>
      <w:r w:rsidRPr="001B5832">
        <w:t>Test Issues ; and</w:t>
      </w:r>
    </w:p>
    <w:p w14:paraId="7A9BB8DC" w14:textId="77777777" w:rsidR="00F67E9E" w:rsidRPr="00D5341B" w:rsidRDefault="00F67E9E" w:rsidP="00F67E9E">
      <w:pPr>
        <w:pStyle w:val="Numbered111"/>
      </w:pPr>
      <w:r w:rsidRPr="001B5832">
        <w:t>any other reason</w:t>
      </w:r>
      <w:r w:rsidRPr="00D5341B">
        <w:t>s for the relevant Milestone not being Achieved.</w:t>
      </w:r>
    </w:p>
    <w:p w14:paraId="430FC99B" w14:textId="3B6D66B8" w:rsidR="00F67E9E" w:rsidRPr="001B5832" w:rsidRDefault="00F67E9E" w:rsidP="00F67E9E">
      <w:pPr>
        <w:pStyle w:val="Numbered11"/>
      </w:pPr>
      <w:r w:rsidRPr="00D5341B">
        <w:t xml:space="preserve">If there are Test Issues but these do not exceed the Test Issues Threshold, then provided there are no </w:t>
      </w:r>
      <w:r w:rsidR="00EB49F1">
        <w:t>Cri</w:t>
      </w:r>
      <w:r w:rsidR="00503EB0">
        <w:t>tical</w:t>
      </w:r>
      <w:r w:rsidR="00EB49F1" w:rsidRPr="00D5341B">
        <w:t xml:space="preserve"> </w:t>
      </w:r>
      <w:r w:rsidRPr="00D5341B">
        <w:t xml:space="preserve">Test Issues, the Authority shall issue a Milestone Achievement </w:t>
      </w:r>
      <w:r w:rsidRPr="001B5832">
        <w:t xml:space="preserve">Certificate. </w:t>
      </w:r>
    </w:p>
    <w:p w14:paraId="4FB6188C" w14:textId="77777777" w:rsidR="00F67E9E" w:rsidRPr="00D5341B" w:rsidRDefault="00F67E9E" w:rsidP="00F67E9E">
      <w:pPr>
        <w:pStyle w:val="Numbered11"/>
      </w:pPr>
      <w:r w:rsidRPr="001B5832">
        <w:t xml:space="preserve">Without prejudice to the Authority’s other remedies the following shall constitute a Notifiable Default for the purposes of </w:t>
      </w:r>
      <w:bookmarkStart w:id="726" w:name="_9kMHG5YVt4EE7CHQEjtCx8PP"/>
      <w:r w:rsidRPr="001B5832">
        <w:t>Clause 25.1</w:t>
      </w:r>
      <w:bookmarkEnd w:id="726"/>
      <w:r w:rsidRPr="001B5832">
        <w:t xml:space="preserve"> (</w:t>
      </w:r>
      <w:r w:rsidRPr="008F1C4B">
        <w:rPr>
          <w:i/>
          <w:iCs/>
        </w:rPr>
        <w:t>Rectification Plan Process</w:t>
      </w:r>
      <w:r w:rsidRPr="001B5832">
        <w:t>) and the Authority shall refuse</w:t>
      </w:r>
      <w:r w:rsidRPr="00D5341B">
        <w:t xml:space="preserve"> to issue a Milestone Achievement Certificate where:</w:t>
      </w:r>
    </w:p>
    <w:p w14:paraId="17D89984" w14:textId="1A92C30A" w:rsidR="00F67E9E" w:rsidRPr="001B5832" w:rsidRDefault="00F67E9E" w:rsidP="00F67E9E">
      <w:pPr>
        <w:pStyle w:val="Numbered111"/>
      </w:pPr>
      <w:r w:rsidRPr="00D5341B">
        <w:t xml:space="preserve">there is one or </w:t>
      </w:r>
      <w:r w:rsidRPr="001B5832">
        <w:t xml:space="preserve">more </w:t>
      </w:r>
      <w:r w:rsidR="00EB49F1">
        <w:t>Critical</w:t>
      </w:r>
      <w:r w:rsidR="00EB49F1" w:rsidRPr="001B5832">
        <w:t xml:space="preserve"> </w:t>
      </w:r>
      <w:r w:rsidRPr="001B5832">
        <w:t>Test Issue(s); or</w:t>
      </w:r>
    </w:p>
    <w:p w14:paraId="6B860A95" w14:textId="08285B87" w:rsidR="00F67E9E" w:rsidRPr="00D5341B" w:rsidRDefault="00F67E9E" w:rsidP="00F67E9E">
      <w:pPr>
        <w:pStyle w:val="Numbered111"/>
      </w:pPr>
      <w:r w:rsidRPr="001B5832">
        <w:t>the information re</w:t>
      </w:r>
      <w:r w:rsidRPr="00D5341B">
        <w:t xml:space="preserve">quired under </w:t>
      </w:r>
      <w:r>
        <w:fldChar w:fldCharType="begin"/>
      </w:r>
      <w:r>
        <w:instrText xml:space="preserve"> REF Schedule24 \h </w:instrText>
      </w:r>
      <w:r>
        <w:fldChar w:fldCharType="separate"/>
      </w:r>
      <w:r w:rsidR="007A1473" w:rsidRPr="005D0525">
        <w:t>Schedule</w:t>
      </w:r>
      <w:r w:rsidR="007A1473">
        <w:t> </w:t>
      </w:r>
      <w:r w:rsidR="007A1473" w:rsidRPr="005D0525">
        <w:t>24</w:t>
      </w:r>
      <w:r>
        <w:fldChar w:fldCharType="end"/>
      </w:r>
      <w:r>
        <w:t xml:space="preserve"> (</w:t>
      </w:r>
      <w:r w:rsidRPr="00A22335">
        <w:rPr>
          <w:i/>
          <w:iCs/>
        </w:rPr>
        <w:fldChar w:fldCharType="begin"/>
      </w:r>
      <w:r w:rsidRPr="00A22335">
        <w:rPr>
          <w:i/>
          <w:iCs/>
        </w:rPr>
        <w:instrText xml:space="preserve"> REF Schedule24Heading \h </w:instrText>
      </w:r>
      <w:r>
        <w:rPr>
          <w:i/>
          <w:iCs/>
        </w:rPr>
        <w:instrText xml:space="preserve"> \* MERGEFORMAT </w:instrText>
      </w:r>
      <w:r w:rsidRPr="00A22335">
        <w:rPr>
          <w:i/>
          <w:iCs/>
        </w:rPr>
      </w:r>
      <w:r w:rsidRPr="00A22335">
        <w:rPr>
          <w:i/>
          <w:iCs/>
        </w:rPr>
        <w:fldChar w:fldCharType="separate"/>
      </w:r>
      <w:r w:rsidR="007A1473" w:rsidRPr="007A1473">
        <w:rPr>
          <w:i/>
          <w:iCs/>
        </w:rPr>
        <w:t>Reports and Records Provisions</w:t>
      </w:r>
      <w:r w:rsidRPr="00A22335">
        <w:rPr>
          <w:i/>
          <w:iCs/>
        </w:rPr>
        <w:fldChar w:fldCharType="end"/>
      </w:r>
      <w:r>
        <w:t>)</w:t>
      </w:r>
      <w:r w:rsidRPr="00D5341B">
        <w:t xml:space="preserve"> (</w:t>
      </w:r>
      <w:r w:rsidRPr="00D5341B">
        <w:fldChar w:fldCharType="begin"/>
      </w:r>
      <w:r w:rsidRPr="00D5341B">
        <w:instrText xml:space="preserve"> REF  _Ref_ContractCompanion_9kb9Ur5BA \* Caps \h  \* MERGEFORMAT </w:instrText>
      </w:r>
      <w:r w:rsidRPr="00D5341B">
        <w:fldChar w:fldCharType="separate"/>
      </w:r>
      <w:r w:rsidR="007A1473" w:rsidRPr="00D00D9A">
        <w:t>Annex 3:</w:t>
      </w:r>
      <w:r w:rsidR="007A1473" w:rsidRPr="00F0375C">
        <w:t xml:space="preserve"> </w:t>
      </w:r>
      <w:r w:rsidR="007A1473" w:rsidRPr="007A1473">
        <w:rPr>
          <w:i/>
          <w:iCs/>
        </w:rPr>
        <w:t>Records To Upload To Virtual Library</w:t>
      </w:r>
      <w:r w:rsidRPr="00D5341B">
        <w:fldChar w:fldCharType="end"/>
      </w:r>
      <w:r w:rsidRPr="00D5341B">
        <w:t xml:space="preserve">) has not been uploaded to the Virtual Library in accordance with </w:t>
      </w:r>
      <w:bookmarkStart w:id="727" w:name="_9kR3WTr2BBDLLeEnoewrqyD"/>
      <w:r w:rsidRPr="00D5341B">
        <w:t xml:space="preserve">Paragraph </w:t>
      </w:r>
      <w:r w:rsidRPr="00D5341B">
        <w:fldChar w:fldCharType="begin"/>
      </w:r>
      <w:r w:rsidRPr="00D5341B">
        <w:instrText xml:space="preserve"> REF _Ref_ContractCompanion_9kb9Ur58B \w \h </w:instrText>
      </w:r>
      <w:r>
        <w:instrText xml:space="preserve"> \* MERGEFORMAT </w:instrText>
      </w:r>
      <w:r w:rsidRPr="00D5341B">
        <w:fldChar w:fldCharType="separate"/>
      </w:r>
      <w:r w:rsidR="007A1473">
        <w:t>3</w:t>
      </w:r>
      <w:r w:rsidRPr="00D5341B">
        <w:fldChar w:fldCharType="end"/>
      </w:r>
      <w:bookmarkEnd w:id="727"/>
      <w:r w:rsidRPr="00D5341B">
        <w:t xml:space="preserve"> of that Schedule.</w:t>
      </w:r>
    </w:p>
    <w:p w14:paraId="1050E7B9" w14:textId="504C93FB" w:rsidR="00F67E9E" w:rsidRPr="00D5341B" w:rsidRDefault="00F67E9E" w:rsidP="00F67E9E">
      <w:pPr>
        <w:pStyle w:val="Numbered11"/>
      </w:pPr>
      <w:r w:rsidRPr="00D5341B">
        <w:t xml:space="preserve">If there are Test Issues which exceed the Test Issues Threshold but there are no </w:t>
      </w:r>
      <w:r w:rsidR="00EB49F1">
        <w:t>Critical</w:t>
      </w:r>
      <w:r w:rsidR="00EB49F1" w:rsidRPr="00D5341B">
        <w:t xml:space="preserve"> </w:t>
      </w:r>
      <w:r w:rsidRPr="00D5341B">
        <w:t xml:space="preserve">Test Issues, the Authority may at its discretion (without waiving any rights in relation to the other options) choose to issue a Milestone Achievement Certificate conditional on the remediation of the Test Issues in accordance with an agreed Rectification Plan provided that: </w:t>
      </w:r>
    </w:p>
    <w:p w14:paraId="0AD665C6" w14:textId="72DEF6C0" w:rsidR="00F67E9E" w:rsidRPr="00D5341B" w:rsidRDefault="00F67E9E" w:rsidP="00F67E9E">
      <w:pPr>
        <w:pStyle w:val="Numbered111"/>
        <w:tabs>
          <w:tab w:val="clear" w:pos="1800"/>
          <w:tab w:val="num" w:pos="2160"/>
        </w:tabs>
      </w:pPr>
      <w:r w:rsidRPr="00D5341B">
        <w:t>any Rectification Plan shall be agreed before the issue of a conditional Milestone Achievement Certificate unless the Authority agrees otherwise (in which case the Supplier shall submit a Rectification Plan for approval by the Authority within 10 Working Days of receipt of the Authority</w:t>
      </w:r>
      <w:r>
        <w:t>’</w:t>
      </w:r>
      <w:r w:rsidRPr="00D5341B">
        <w:t xml:space="preserve">s report pursuant to </w:t>
      </w:r>
      <w:bookmarkStart w:id="728" w:name="_9kMHG5YVtCIAFOHBEHiUmYjD960u4JAtyAKSDDE"/>
      <w:r w:rsidRPr="00D5341B">
        <w:lastRenderedPageBreak/>
        <w:t xml:space="preserve">Paragraph </w:t>
      </w:r>
      <w:bookmarkEnd w:id="728"/>
      <w:r w:rsidRPr="00D5341B">
        <w:fldChar w:fldCharType="begin"/>
      </w:r>
      <w:r w:rsidRPr="00D5341B">
        <w:instrText xml:space="preserve"> REF _Ref_ContractCompanion_9kb9Ur9HI \w \h </w:instrText>
      </w:r>
      <w:r>
        <w:instrText xml:space="preserve"> \* MERGEFORMAT </w:instrText>
      </w:r>
      <w:r w:rsidRPr="00D5341B">
        <w:fldChar w:fldCharType="separate"/>
      </w:r>
      <w:r w:rsidR="007A1473">
        <w:t>13.3</w:t>
      </w:r>
      <w:r w:rsidRPr="00D5341B">
        <w:fldChar w:fldCharType="end"/>
      </w:r>
      <w:r w:rsidRPr="00D5341B">
        <w:t>); and</w:t>
      </w:r>
    </w:p>
    <w:p w14:paraId="4D7B1C01" w14:textId="2653E5B1" w:rsidR="002D30B3" w:rsidRDefault="00F67E9E" w:rsidP="00F67E9E">
      <w:pPr>
        <w:pStyle w:val="Numbered111"/>
        <w:tabs>
          <w:tab w:val="clear" w:pos="1800"/>
          <w:tab w:val="num" w:pos="2160"/>
        </w:tabs>
      </w:pPr>
      <w:r w:rsidRPr="00D5341B">
        <w:t>where the Authority issues a conditional Milestone Achievement Certificate, it may (but shall not be obliged to) revise the failed Milestone Date and any subsequent Milestone Date</w:t>
      </w:r>
      <w:r w:rsidR="002D30B3">
        <w:t>.</w:t>
      </w:r>
    </w:p>
    <w:p w14:paraId="537C0B2E" w14:textId="0B148C2D" w:rsidR="002D30B3" w:rsidRDefault="002D30B3" w:rsidP="002D30B3">
      <w:pPr>
        <w:pStyle w:val="Numbered11"/>
      </w:pPr>
      <w:r>
        <w:t>The Test Issues thresholds for the Test Severity Levels are defined as follows:</w:t>
      </w:r>
    </w:p>
    <w:p w14:paraId="58C5B5D5" w14:textId="73D62112" w:rsidR="002D30B3" w:rsidRDefault="002D30B3" w:rsidP="002D30B3">
      <w:pPr>
        <w:pStyle w:val="Numbered111"/>
      </w:pPr>
      <w:r>
        <w:t>Severity Level 1 - zero Test Issues</w:t>
      </w:r>
    </w:p>
    <w:p w14:paraId="33DD8937" w14:textId="12C19C14" w:rsidR="002D30B3" w:rsidRDefault="002D30B3" w:rsidP="002D30B3">
      <w:pPr>
        <w:pStyle w:val="Numbered111"/>
      </w:pPr>
      <w:r>
        <w:t>Severity Level 2 – no more than one Test Issue</w:t>
      </w:r>
    </w:p>
    <w:p w14:paraId="54E5DED7" w14:textId="0F247AAF" w:rsidR="002D30B3" w:rsidRDefault="002D30B3" w:rsidP="002D30B3">
      <w:pPr>
        <w:pStyle w:val="Numbered111"/>
      </w:pPr>
      <w:r>
        <w:t>Severity Level 3 – no more than two Test Issues</w:t>
      </w:r>
    </w:p>
    <w:p w14:paraId="11A2D279" w14:textId="029F364E" w:rsidR="002D30B3" w:rsidRDefault="002D30B3" w:rsidP="002D30B3">
      <w:pPr>
        <w:pStyle w:val="Numbered111"/>
      </w:pPr>
      <w:r>
        <w:t>Severity Level 4 – no more than five Test Issues</w:t>
      </w:r>
    </w:p>
    <w:p w14:paraId="5E0B0DEE" w14:textId="7DA59EC1" w:rsidR="00F67E9E" w:rsidRDefault="002D30B3" w:rsidP="002D30B3">
      <w:pPr>
        <w:pStyle w:val="Numbered111"/>
      </w:pPr>
      <w:r>
        <w:t>Severity Level 5 – no more than seven Test Issues</w:t>
      </w:r>
      <w:r w:rsidR="00F67E9E" w:rsidRPr="00D5341B">
        <w:t>.</w:t>
      </w:r>
    </w:p>
    <w:p w14:paraId="69225BB8" w14:textId="77777777" w:rsidR="00F67E9E" w:rsidRDefault="00F67E9E" w:rsidP="00F67E9E"/>
    <w:p w14:paraId="66259023" w14:textId="77777777" w:rsidR="00F67E9E" w:rsidRDefault="00F67E9E" w:rsidP="00F67E9E">
      <w:pPr>
        <w:pStyle w:val="Heading2"/>
        <w:pageBreakBefore/>
      </w:pPr>
      <w:bookmarkStart w:id="729" w:name="_Ref_ContractCompanion_9kb9Ur6C8"/>
      <w:bookmarkStart w:id="730" w:name="_Ref_ContractCompanion_9kb9Ur6CA"/>
      <w:bookmarkStart w:id="731" w:name="_Toc145412766"/>
      <w:r w:rsidRPr="00D5341B">
        <w:lastRenderedPageBreak/>
        <w:t xml:space="preserve">Annex </w:t>
      </w:r>
      <w:bookmarkStart w:id="732" w:name="ANNEX1_SCHEDULE14"/>
      <w:r w:rsidRPr="00D5341B">
        <w:t>1</w:t>
      </w:r>
      <w:bookmarkEnd w:id="732"/>
      <w:r w:rsidRPr="00D5341B">
        <w:t>: Test Issues – Severity Levels</w:t>
      </w:r>
      <w:bookmarkEnd w:id="729"/>
      <w:bookmarkEnd w:id="730"/>
      <w:bookmarkEnd w:id="731"/>
    </w:p>
    <w:p w14:paraId="4A1776F1" w14:textId="77777777" w:rsidR="00F67E9E" w:rsidRPr="00CB319E" w:rsidRDefault="00F67E9E" w:rsidP="00F13933">
      <w:pPr>
        <w:pStyle w:val="AppendixText1"/>
        <w:numPr>
          <w:ilvl w:val="0"/>
          <w:numId w:val="38"/>
        </w:numPr>
      </w:pPr>
      <w:r w:rsidRPr="00772237">
        <w:t>Severity</w:t>
      </w:r>
      <w:r w:rsidRPr="002404C6">
        <w:t xml:space="preserve"> Levels</w:t>
      </w:r>
    </w:p>
    <w:p w14:paraId="013AC86E" w14:textId="77777777" w:rsidR="00F67E9E" w:rsidRPr="00D5341B" w:rsidRDefault="00F67E9E" w:rsidP="00F67E9E">
      <w:pPr>
        <w:pStyle w:val="AppendixText2"/>
      </w:pPr>
      <w:r w:rsidRPr="002404C6">
        <w:rPr>
          <w:b/>
          <w:bCs/>
        </w:rPr>
        <w:t>Severity Level 1 Test Issue:</w:t>
      </w:r>
      <w:r w:rsidRPr="00D5341B">
        <w:t xml:space="preserve"> a Test Issue that causes non-recoverable conditions, e.g. it is not possible to continue using a Component, a Component crashes, there is database or file corruption, or data loss;</w:t>
      </w:r>
    </w:p>
    <w:p w14:paraId="4727E560" w14:textId="77777777" w:rsidR="00F67E9E" w:rsidRPr="00D5341B" w:rsidRDefault="00F67E9E" w:rsidP="00F67E9E">
      <w:pPr>
        <w:pStyle w:val="AppendixText2"/>
      </w:pPr>
      <w:r w:rsidRPr="002404C6">
        <w:rPr>
          <w:b/>
          <w:bCs/>
        </w:rPr>
        <w:t>Severity Level 2 Test Issue:</w:t>
      </w:r>
      <w:r w:rsidRPr="00D5341B">
        <w:t xml:space="preserve"> a Test Issue for which, as reasonably determined by the Authority, there is no practicable workaround available, and which:</w:t>
      </w:r>
    </w:p>
    <w:p w14:paraId="60975D4E" w14:textId="77777777" w:rsidR="00F67E9E" w:rsidRPr="00D5341B" w:rsidRDefault="00F67E9E" w:rsidP="00F67E9E">
      <w:pPr>
        <w:pStyle w:val="AppendixText3"/>
        <w:tabs>
          <w:tab w:val="clear" w:pos="1800"/>
          <w:tab w:val="num" w:pos="2160"/>
        </w:tabs>
      </w:pPr>
      <w:r w:rsidRPr="00D5341B">
        <w:t xml:space="preserve">causes a Component to become unusable; </w:t>
      </w:r>
    </w:p>
    <w:p w14:paraId="29E35EF1" w14:textId="612A0A0F" w:rsidR="00F67E9E" w:rsidRPr="00D5341B" w:rsidRDefault="00F67E9E" w:rsidP="00F67E9E">
      <w:pPr>
        <w:pStyle w:val="AppendixText3"/>
        <w:tabs>
          <w:tab w:val="clear" w:pos="1800"/>
          <w:tab w:val="num" w:pos="2160"/>
        </w:tabs>
      </w:pPr>
      <w:r w:rsidRPr="00D5341B">
        <w:t xml:space="preserve">causes a lack of functionality, or functionality that </w:t>
      </w:r>
      <w:r w:rsidR="002D30B3">
        <w:t>deviates from what is expected and agreed</w:t>
      </w:r>
      <w:r w:rsidRPr="00D5341B">
        <w:t xml:space="preserve">; </w:t>
      </w:r>
    </w:p>
    <w:p w14:paraId="096CBF0F" w14:textId="01E90EBF" w:rsidR="002D30B3" w:rsidRDefault="00F67E9E" w:rsidP="00F67E9E">
      <w:pPr>
        <w:pStyle w:val="AppendixText3"/>
        <w:tabs>
          <w:tab w:val="clear" w:pos="1800"/>
          <w:tab w:val="num" w:pos="2160"/>
        </w:tabs>
      </w:pPr>
      <w:r w:rsidRPr="00D5341B">
        <w:t>has an adverse impact on any other Component(s) or any other area of the Services</w:t>
      </w:r>
      <w:r w:rsidR="002D30B3">
        <w:t>; or</w:t>
      </w:r>
    </w:p>
    <w:p w14:paraId="12BE02B8" w14:textId="71EED790" w:rsidR="00F67E9E" w:rsidRPr="00D5341B" w:rsidRDefault="002D30B3" w:rsidP="002D30B3">
      <w:pPr>
        <w:pStyle w:val="AppendixText3"/>
      </w:pPr>
      <w:r w:rsidRPr="002D30B3">
        <w:t>1.4</w:t>
      </w:r>
      <w:r w:rsidRPr="002D30B3">
        <w:tab/>
        <w:t>fails to comply with WCAG 2.2 AA Guidelines</w:t>
      </w:r>
      <w:r w:rsidR="00F67E9E" w:rsidRPr="00D5341B">
        <w:t>;</w:t>
      </w:r>
    </w:p>
    <w:p w14:paraId="1E7B050B" w14:textId="77777777" w:rsidR="00F67E9E" w:rsidRPr="00D5341B" w:rsidRDefault="00F67E9E" w:rsidP="00F67E9E">
      <w:pPr>
        <w:pStyle w:val="AppendixText2"/>
      </w:pPr>
      <w:r w:rsidRPr="00772237">
        <w:rPr>
          <w:b/>
          <w:bCs/>
        </w:rPr>
        <w:t>Severity Level 3 Test Issue:</w:t>
      </w:r>
      <w:r w:rsidRPr="00D5341B">
        <w:t xml:space="preserve"> a Test Issue which:</w:t>
      </w:r>
    </w:p>
    <w:p w14:paraId="707D3350" w14:textId="77777777" w:rsidR="00F67E9E" w:rsidRPr="00D5341B" w:rsidRDefault="00F67E9E" w:rsidP="00F67E9E">
      <w:pPr>
        <w:pStyle w:val="AppendixText3"/>
        <w:tabs>
          <w:tab w:val="clear" w:pos="1800"/>
          <w:tab w:val="num" w:pos="2160"/>
        </w:tabs>
      </w:pPr>
      <w:r w:rsidRPr="00D5341B">
        <w:t xml:space="preserve">causes a Component to become unusable; </w:t>
      </w:r>
    </w:p>
    <w:p w14:paraId="0E26665F" w14:textId="3AF7D948" w:rsidR="00F67E9E" w:rsidRPr="00D5341B" w:rsidRDefault="00F67E9E" w:rsidP="00F67E9E">
      <w:pPr>
        <w:pStyle w:val="AppendixText3"/>
        <w:tabs>
          <w:tab w:val="clear" w:pos="1800"/>
          <w:tab w:val="num" w:pos="2160"/>
        </w:tabs>
      </w:pPr>
      <w:r w:rsidRPr="00D5341B">
        <w:t>causes a lack of functionality, or functionality</w:t>
      </w:r>
      <w:r w:rsidR="002D30B3">
        <w:t xml:space="preserve"> that</w:t>
      </w:r>
      <w:r w:rsidRPr="00D5341B">
        <w:t xml:space="preserve"> </w:t>
      </w:r>
      <w:r w:rsidR="002D30B3">
        <w:t>deviates from what is expected and agreed</w:t>
      </w:r>
      <w:r w:rsidR="00503EB0">
        <w:t xml:space="preserve"> </w:t>
      </w:r>
      <w:r w:rsidRPr="00D5341B">
        <w:t xml:space="preserve">but which does not impact on the current Test; or </w:t>
      </w:r>
    </w:p>
    <w:p w14:paraId="723209F9" w14:textId="77777777" w:rsidR="00F67E9E" w:rsidRPr="00D5341B" w:rsidRDefault="00F67E9E" w:rsidP="00F67E9E">
      <w:pPr>
        <w:pStyle w:val="AppendixText3"/>
        <w:tabs>
          <w:tab w:val="clear" w:pos="1800"/>
          <w:tab w:val="num" w:pos="2160"/>
        </w:tabs>
      </w:pPr>
      <w:r w:rsidRPr="00D5341B">
        <w:t>has an impact on any other Component(s) or any other area of the Services;</w:t>
      </w:r>
    </w:p>
    <w:p w14:paraId="04B58FE5" w14:textId="77777777" w:rsidR="00F67E9E" w:rsidRPr="00D5341B" w:rsidRDefault="00F67E9E" w:rsidP="00F67E9E">
      <w:pPr>
        <w:pStyle w:val="StdBodyText1"/>
      </w:pPr>
      <w:r w:rsidRPr="00D5341B">
        <w:t>but for which, as reasonably determined by the Authority, there is a practicable workaround available;</w:t>
      </w:r>
    </w:p>
    <w:p w14:paraId="445DF02D" w14:textId="77777777" w:rsidR="00F67E9E" w:rsidRPr="00772237" w:rsidRDefault="00F67E9E" w:rsidP="00F67E9E">
      <w:pPr>
        <w:pStyle w:val="AppendixText2"/>
      </w:pPr>
      <w:r w:rsidRPr="002404C6">
        <w:rPr>
          <w:b/>
          <w:bCs/>
        </w:rPr>
        <w:t>Severity Level 4 Test Issue:</w:t>
      </w:r>
      <w:r w:rsidRPr="00D5341B">
        <w:t xml:space="preserve"> a Test Issue which causes incorrect functionality of a Component or process, but for which there is a simple, Component based, workaround, and which has no impact on the current Test, </w:t>
      </w:r>
      <w:r w:rsidRPr="00772237">
        <w:t>or other areas of the Services; and</w:t>
      </w:r>
    </w:p>
    <w:p w14:paraId="62D3B9B9" w14:textId="77777777" w:rsidR="00F67E9E" w:rsidRPr="002E7013" w:rsidRDefault="00F67E9E" w:rsidP="00F67E9E">
      <w:pPr>
        <w:pStyle w:val="AppendixText2"/>
        <w:rPr>
          <w:bCs/>
        </w:rPr>
      </w:pPr>
      <w:r w:rsidRPr="00772237">
        <w:rPr>
          <w:b/>
          <w:bCs/>
        </w:rPr>
        <w:t>Severity Level 5 Test Issue:</w:t>
      </w:r>
      <w:r w:rsidRPr="00772237">
        <w:t xml:space="preserve"> a Test Issue that</w:t>
      </w:r>
      <w:r w:rsidRPr="00D5341B">
        <w:t xml:space="preserve"> causes a minor problem, for which no workaround is required, and which has no impact on the current Test, or other areas of the Services</w:t>
      </w:r>
      <w:r>
        <w:t>.</w:t>
      </w:r>
    </w:p>
    <w:p w14:paraId="6F88E411" w14:textId="77777777" w:rsidR="00F67E9E" w:rsidRDefault="00F67E9E" w:rsidP="00F67E9E"/>
    <w:p w14:paraId="71A255A9" w14:textId="77777777" w:rsidR="00F67E9E" w:rsidRDefault="00F67E9E" w:rsidP="00F67E9E">
      <w:pPr>
        <w:pStyle w:val="Heading2"/>
        <w:pageBreakBefore/>
      </w:pPr>
      <w:bookmarkStart w:id="733" w:name="_Ref92443766"/>
      <w:bookmarkStart w:id="734" w:name="_Toc145412767"/>
      <w:r w:rsidRPr="00D5341B">
        <w:lastRenderedPageBreak/>
        <w:t xml:space="preserve">Annex </w:t>
      </w:r>
      <w:bookmarkStart w:id="735" w:name="ANNEX2_SCHEDULE14"/>
      <w:r w:rsidRPr="00D5341B">
        <w:t>2</w:t>
      </w:r>
      <w:bookmarkEnd w:id="735"/>
      <w:r w:rsidRPr="00D5341B">
        <w:t>: Test</w:t>
      </w:r>
      <w:r w:rsidRPr="00F11CD2">
        <w:t xml:space="preserve"> Certificate</w:t>
      </w:r>
      <w:bookmarkEnd w:id="733"/>
      <w:bookmarkEnd w:id="734"/>
    </w:p>
    <w:p w14:paraId="7BBD2D67" w14:textId="77777777" w:rsidR="00F67E9E" w:rsidRPr="003053E3" w:rsidRDefault="00F67E9E" w:rsidP="00F67E9E">
      <w:pPr>
        <w:pStyle w:val="StdBodyText"/>
      </w:pPr>
      <w:r w:rsidRPr="003053E3">
        <w:t>To:</w:t>
      </w:r>
      <w:r w:rsidRPr="003053E3">
        <w:tab/>
      </w:r>
      <w:r w:rsidRPr="003053E3">
        <w:tab/>
      </w:r>
      <w:r w:rsidRPr="003053E3">
        <w:rPr>
          <w:highlight w:val="yellow"/>
        </w:rPr>
        <w:t>[</w:t>
      </w:r>
      <w:r w:rsidRPr="003053E3">
        <w:rPr>
          <w:rStyle w:val="StdBodyTextBoldChar"/>
          <w:b w:val="0"/>
          <w:bCs/>
          <w:highlight w:val="yellow"/>
        </w:rPr>
        <w:t>Name of Supplier</w:t>
      </w:r>
      <w:r w:rsidRPr="003053E3">
        <w:rPr>
          <w:highlight w:val="yellow"/>
        </w:rPr>
        <w:t>]</w:t>
      </w:r>
    </w:p>
    <w:p w14:paraId="2383AFBF" w14:textId="77777777" w:rsidR="00F67E9E" w:rsidRPr="003053E3" w:rsidRDefault="00F67E9E" w:rsidP="00F67E9E">
      <w:pPr>
        <w:pStyle w:val="StdBodyText"/>
      </w:pPr>
      <w:r w:rsidRPr="003053E3">
        <w:t>From:</w:t>
      </w:r>
      <w:r w:rsidRPr="003053E3">
        <w:tab/>
      </w:r>
      <w:r w:rsidRPr="003053E3">
        <w:tab/>
      </w:r>
      <w:r w:rsidRPr="003053E3">
        <w:rPr>
          <w:highlight w:val="yellow"/>
        </w:rPr>
        <w:t>[</w:t>
      </w:r>
      <w:r w:rsidRPr="003053E3">
        <w:rPr>
          <w:rStyle w:val="StdBodyTextBoldChar"/>
          <w:b w:val="0"/>
          <w:bCs/>
          <w:highlight w:val="yellow"/>
        </w:rPr>
        <w:t>Name of Authority</w:t>
      </w:r>
      <w:r w:rsidRPr="003053E3">
        <w:rPr>
          <w:highlight w:val="yellow"/>
        </w:rPr>
        <w:t>]</w:t>
      </w:r>
    </w:p>
    <w:p w14:paraId="0DF9F873" w14:textId="77777777" w:rsidR="00F67E9E" w:rsidRPr="003053E3" w:rsidRDefault="00F67E9E" w:rsidP="00F67E9E">
      <w:pPr>
        <w:pStyle w:val="StdBodyText"/>
        <w:rPr>
          <w:highlight w:val="yellow"/>
        </w:rPr>
      </w:pPr>
      <w:r w:rsidRPr="003053E3">
        <w:rPr>
          <w:highlight w:val="yellow"/>
        </w:rPr>
        <w:t>[</w:t>
      </w:r>
      <w:r w:rsidRPr="003053E3">
        <w:rPr>
          <w:rStyle w:val="StdBodyTextBoldChar"/>
          <w:b w:val="0"/>
          <w:bCs/>
          <w:highlight w:val="yellow"/>
        </w:rPr>
        <w:t>Date</w:t>
      </w:r>
      <w:r w:rsidRPr="003053E3">
        <w:rPr>
          <w:highlight w:val="yellow"/>
        </w:rPr>
        <w:t>]</w:t>
      </w:r>
    </w:p>
    <w:p w14:paraId="49BD00E2" w14:textId="77777777" w:rsidR="00F67E9E" w:rsidRPr="005F1047" w:rsidRDefault="00F67E9E" w:rsidP="00F67E9E">
      <w:pPr>
        <w:pStyle w:val="StdBodyText"/>
      </w:pPr>
      <w:r w:rsidRPr="005F1047">
        <w:t>Dear Sirs,</w:t>
      </w:r>
    </w:p>
    <w:p w14:paraId="72D7C546" w14:textId="77777777" w:rsidR="00F67E9E" w:rsidRPr="005F1047" w:rsidRDefault="00F67E9E" w:rsidP="00F67E9E">
      <w:r w:rsidRPr="005F1047">
        <w:t>TEST CERTIFICATE</w:t>
      </w:r>
    </w:p>
    <w:p w14:paraId="5AB81334" w14:textId="77777777" w:rsidR="00F67E9E" w:rsidRPr="005F1047" w:rsidRDefault="00F67E9E" w:rsidP="00F67E9E">
      <w:pPr>
        <w:pStyle w:val="StdBodyText"/>
        <w:rPr>
          <w:highlight w:val="yellow"/>
        </w:rPr>
      </w:pPr>
      <w:r w:rsidRPr="005F1047">
        <w:t>Deliverables:</w:t>
      </w:r>
      <w:r w:rsidRPr="003053E3">
        <w:t xml:space="preserve"> </w:t>
      </w:r>
      <w:r w:rsidRPr="00B73DD6">
        <w:rPr>
          <w:b/>
          <w:highlight w:val="yellow"/>
        </w:rPr>
        <w:t>[insert</w:t>
      </w:r>
      <w:r w:rsidRPr="003053E3">
        <w:rPr>
          <w:rStyle w:val="StdBodyTextBoldChar"/>
          <w:b w:val="0"/>
          <w:bCs/>
          <w:highlight w:val="yellow"/>
        </w:rPr>
        <w:t xml:space="preserve"> description of Deliverables</w:t>
      </w:r>
      <w:r w:rsidRPr="003053E3">
        <w:rPr>
          <w:highlight w:val="yellow"/>
        </w:rPr>
        <w:t>]</w:t>
      </w:r>
    </w:p>
    <w:p w14:paraId="62C586A2" w14:textId="77777777" w:rsidR="00F67E9E" w:rsidRPr="005F1047" w:rsidRDefault="00F67E9E" w:rsidP="00F67E9E">
      <w:pPr>
        <w:pStyle w:val="StdBodyText"/>
      </w:pPr>
      <w:r w:rsidRPr="005F1047">
        <w:t>We refer to the agreement (the “</w:t>
      </w:r>
      <w:r w:rsidRPr="005F1047">
        <w:rPr>
          <w:rStyle w:val="StdBodyTextBoldChar"/>
        </w:rPr>
        <w:t>Contract</w:t>
      </w:r>
      <w:r w:rsidRPr="005F1047">
        <w:t xml:space="preserve">”) relating to the provision of the Services between the </w:t>
      </w:r>
      <w:r w:rsidRPr="003053E3">
        <w:rPr>
          <w:highlight w:val="yellow"/>
        </w:rPr>
        <w:t>[</w:t>
      </w:r>
      <w:r w:rsidRPr="003053E3">
        <w:rPr>
          <w:rStyle w:val="StdBodyTextBoldChar"/>
          <w:b w:val="0"/>
          <w:bCs/>
          <w:highlight w:val="yellow"/>
        </w:rPr>
        <w:t>name of Authority</w:t>
      </w:r>
      <w:r w:rsidRPr="003053E3">
        <w:rPr>
          <w:highlight w:val="yellow"/>
        </w:rPr>
        <w:t>]</w:t>
      </w:r>
      <w:r w:rsidRPr="005F1047">
        <w:t xml:space="preserve"> (the “</w:t>
      </w:r>
      <w:r w:rsidRPr="005F1047">
        <w:rPr>
          <w:rStyle w:val="StdBodyTextBoldChar"/>
        </w:rPr>
        <w:t>Authority</w:t>
      </w:r>
      <w:r w:rsidRPr="005F1047">
        <w:t xml:space="preserve">”) and </w:t>
      </w:r>
      <w:r w:rsidRPr="003053E3">
        <w:rPr>
          <w:highlight w:val="yellow"/>
        </w:rPr>
        <w:t>[</w:t>
      </w:r>
      <w:r w:rsidRPr="003053E3">
        <w:rPr>
          <w:rStyle w:val="StdBodyTextBoldChar"/>
          <w:b w:val="0"/>
          <w:bCs/>
          <w:highlight w:val="yellow"/>
        </w:rPr>
        <w:t>name of Supplier</w:t>
      </w:r>
      <w:r w:rsidRPr="003053E3">
        <w:rPr>
          <w:highlight w:val="yellow"/>
        </w:rPr>
        <w:t>]</w:t>
      </w:r>
      <w:r w:rsidRPr="005F1047">
        <w:t xml:space="preserve"> (the “</w:t>
      </w:r>
      <w:r w:rsidRPr="005F1047">
        <w:rPr>
          <w:rStyle w:val="StdBodyTextBoldChar"/>
        </w:rPr>
        <w:t>Supplier</w:t>
      </w:r>
      <w:r w:rsidRPr="005F1047">
        <w:t xml:space="preserve">”) dated </w:t>
      </w:r>
      <w:r w:rsidRPr="003053E3">
        <w:rPr>
          <w:highlight w:val="yellow"/>
        </w:rPr>
        <w:t>[</w:t>
      </w:r>
      <w:r w:rsidRPr="003053E3">
        <w:rPr>
          <w:rStyle w:val="StdBodyTextBoldChar"/>
          <w:b w:val="0"/>
          <w:bCs/>
          <w:highlight w:val="yellow"/>
        </w:rPr>
        <w:t>date</w:t>
      </w:r>
      <w:r w:rsidRPr="005F1047">
        <w:rPr>
          <w:highlight w:val="yellow"/>
        </w:rPr>
        <w:t>]</w:t>
      </w:r>
      <w:r w:rsidRPr="005F1047">
        <w:t>.</w:t>
      </w:r>
    </w:p>
    <w:p w14:paraId="4ECADF66" w14:textId="6C6743CC" w:rsidR="00F67E9E" w:rsidRDefault="00F67E9E" w:rsidP="00F67E9E">
      <w:pPr>
        <w:pStyle w:val="StdBodyText"/>
      </w:pPr>
      <w:r>
        <w:t xml:space="preserve">Capitalised terms used in this certificate have the meanings given to them in </w:t>
      </w:r>
      <w:r>
        <w:fldChar w:fldCharType="begin"/>
      </w:r>
      <w:r>
        <w:instrText xml:space="preserve"> REF Schedule1 \h </w:instrText>
      </w:r>
      <w:r>
        <w:fldChar w:fldCharType="separate"/>
      </w:r>
      <w:r w:rsidR="007A1473" w:rsidRPr="00724541">
        <w:t>Schedule</w:t>
      </w:r>
      <w:r w:rsidR="007A1473">
        <w:t> </w:t>
      </w:r>
      <w:r w:rsidR="007A1473" w:rsidRPr="00724541">
        <w:t>1</w:t>
      </w:r>
      <w:r>
        <w:fldChar w:fldCharType="end"/>
      </w:r>
      <w:r w:rsidRPr="00724541">
        <w:t xml:space="preserve"> (</w:t>
      </w:r>
      <w:r w:rsidRPr="0087475A">
        <w:rPr>
          <w:i/>
          <w:iCs/>
        </w:rPr>
        <w:fldChar w:fldCharType="begin"/>
      </w:r>
      <w:r w:rsidRPr="0087475A">
        <w:rPr>
          <w:i/>
          <w:iCs/>
        </w:rPr>
        <w:instrText xml:space="preserve"> REF Schedule1Heading \h  \* MERGEFORMAT </w:instrText>
      </w:r>
      <w:r w:rsidRPr="0087475A">
        <w:rPr>
          <w:i/>
          <w:iCs/>
        </w:rPr>
      </w:r>
      <w:r w:rsidRPr="0087475A">
        <w:rPr>
          <w:i/>
          <w:iCs/>
        </w:rPr>
        <w:fldChar w:fldCharType="separate"/>
      </w:r>
      <w:r w:rsidR="007A1473" w:rsidRPr="007A1473">
        <w:rPr>
          <w:i/>
          <w:iCs/>
        </w:rPr>
        <w:t>Definitions</w:t>
      </w:r>
      <w:r w:rsidRPr="0087475A">
        <w:rPr>
          <w:i/>
          <w:iCs/>
        </w:rPr>
        <w:fldChar w:fldCharType="end"/>
      </w:r>
      <w:r w:rsidRPr="00724541">
        <w:t>)</w:t>
      </w:r>
      <w:r>
        <w:t xml:space="preserve"> or </w:t>
      </w:r>
      <w:r>
        <w:rPr>
          <w:rFonts w:cs="Arial"/>
        </w:rPr>
        <w:fldChar w:fldCharType="begin"/>
      </w:r>
      <w:r>
        <w:rPr>
          <w:rFonts w:cs="Arial"/>
        </w:rPr>
        <w:instrText xml:space="preserve"> REF Schedule14 \h </w:instrText>
      </w:r>
      <w:r>
        <w:rPr>
          <w:rFonts w:cs="Arial"/>
        </w:rPr>
      </w:r>
      <w:r>
        <w:rPr>
          <w:rFonts w:cs="Arial"/>
        </w:rPr>
        <w:fldChar w:fldCharType="separate"/>
      </w:r>
      <w:r w:rsidR="007A1473" w:rsidRPr="005D0525">
        <w:t>Schedule</w:t>
      </w:r>
      <w:r w:rsidR="007A1473">
        <w:t> </w:t>
      </w:r>
      <w:r w:rsidR="007A1473" w:rsidRPr="005D0525">
        <w:t>14</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Schedule14Heading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Testing Procedures</w:t>
      </w:r>
      <w:r w:rsidRPr="00B91437">
        <w:rPr>
          <w:rFonts w:cs="Arial"/>
          <w:i/>
          <w:iCs/>
        </w:rPr>
        <w:fldChar w:fldCharType="end"/>
      </w:r>
      <w:r>
        <w:rPr>
          <w:rFonts w:cs="Arial"/>
        </w:rPr>
        <w:t>)</w:t>
      </w:r>
      <w:r>
        <w:t xml:space="preserve"> of </w:t>
      </w:r>
      <w:r w:rsidRPr="00D5341B">
        <w:t>the Contract.</w:t>
      </w:r>
    </w:p>
    <w:p w14:paraId="57E93122" w14:textId="77777777" w:rsidR="00F67E9E" w:rsidRDefault="00F67E9E" w:rsidP="00F67E9E">
      <w:pPr>
        <w:pStyle w:val="StdBodyText"/>
      </w:pPr>
      <w:r w:rsidRPr="002C07B6">
        <w:rPr>
          <w:highlight w:val="yellow"/>
        </w:rPr>
        <w:t>[We confirm that the Deliverables listed above have been tested successfully in accordance with the Test Plan relevant to those Deliverables.]</w:t>
      </w:r>
    </w:p>
    <w:p w14:paraId="280EC077" w14:textId="77777777" w:rsidR="00F67E9E" w:rsidRDefault="00F67E9E" w:rsidP="00F67E9E">
      <w:pPr>
        <w:pStyle w:val="StdBodyTextBold"/>
      </w:pPr>
      <w:r>
        <w:t>OR</w:t>
      </w:r>
    </w:p>
    <w:p w14:paraId="58FA6A46" w14:textId="1941269F" w:rsidR="00F67E9E" w:rsidRPr="002C07B6" w:rsidRDefault="00F67E9E" w:rsidP="00F67E9E">
      <w:pPr>
        <w:pStyle w:val="StdBodyText"/>
        <w:rPr>
          <w:highlight w:val="yellow"/>
        </w:rPr>
      </w:pPr>
      <w:r w:rsidRPr="00B91437">
        <w:rPr>
          <w:highlight w:val="yellow"/>
        </w:rPr>
        <w:t xml:space="preserve">[This </w:t>
      </w:r>
      <w:bookmarkStart w:id="736" w:name="_9kMHzG6ZWu5DFAFLjPvBWCyE6tusl38"/>
      <w:r w:rsidRPr="00B91437">
        <w:rPr>
          <w:highlight w:val="yellow"/>
        </w:rPr>
        <w:t>Test Certificate</w:t>
      </w:r>
      <w:bookmarkEnd w:id="736"/>
      <w:r w:rsidRPr="00B91437">
        <w:rPr>
          <w:highlight w:val="yellow"/>
        </w:rPr>
        <w:t xml:space="preserve"> is issued pursuant to </w:t>
      </w:r>
      <w:bookmarkStart w:id="737" w:name="_9kR3WTr2CC5BJeEnoewrqyBKL"/>
      <w:r w:rsidRPr="00B91437">
        <w:rPr>
          <w:highlight w:val="yellow"/>
        </w:rPr>
        <w:t xml:space="preserve">Paragraph </w:t>
      </w:r>
      <w:bookmarkEnd w:id="737"/>
      <w:r w:rsidRPr="00B91437">
        <w:rPr>
          <w:highlight w:val="yellow"/>
        </w:rPr>
        <w:fldChar w:fldCharType="begin"/>
      </w:r>
      <w:r w:rsidRPr="00B91437">
        <w:rPr>
          <w:highlight w:val="yellow"/>
        </w:rPr>
        <w:instrText xml:space="preserve"> REF _Ref_ContractCompanion_9kb9Ur17D \w \h  \* MERGEFORMAT </w:instrText>
      </w:r>
      <w:r w:rsidRPr="00B91437">
        <w:rPr>
          <w:highlight w:val="yellow"/>
        </w:rPr>
      </w:r>
      <w:r w:rsidRPr="00B91437">
        <w:rPr>
          <w:highlight w:val="yellow"/>
        </w:rPr>
        <w:fldChar w:fldCharType="separate"/>
      </w:r>
      <w:r w:rsidR="007A1473">
        <w:rPr>
          <w:highlight w:val="yellow"/>
        </w:rPr>
        <w:t>12.1</w:t>
      </w:r>
      <w:r w:rsidRPr="00B91437">
        <w:rPr>
          <w:highlight w:val="yellow"/>
        </w:rPr>
        <w:fldChar w:fldCharType="end"/>
      </w:r>
      <w:r w:rsidRPr="00B91437">
        <w:rPr>
          <w:highlight w:val="yellow"/>
        </w:rPr>
        <w:t xml:space="preserve"> of </w:t>
      </w:r>
      <w:r w:rsidRPr="00B91437">
        <w:rPr>
          <w:rFonts w:cs="Arial"/>
          <w:highlight w:val="yellow"/>
        </w:rPr>
        <w:fldChar w:fldCharType="begin"/>
      </w:r>
      <w:r w:rsidRPr="00B91437">
        <w:rPr>
          <w:rFonts w:cs="Arial"/>
          <w:highlight w:val="yellow"/>
        </w:rPr>
        <w:instrText xml:space="preserve"> REF Schedule14 \h </w:instrText>
      </w:r>
      <w:r>
        <w:rPr>
          <w:rFonts w:cs="Arial"/>
          <w:highlight w:val="yellow"/>
        </w:rPr>
        <w:instrText xml:space="preserve"> \* MERGEFORMAT </w:instrText>
      </w:r>
      <w:r w:rsidRPr="00B91437">
        <w:rPr>
          <w:rFonts w:cs="Arial"/>
          <w:highlight w:val="yellow"/>
        </w:rPr>
      </w:r>
      <w:r w:rsidRPr="00B91437">
        <w:rPr>
          <w:rFonts w:cs="Arial"/>
          <w:highlight w:val="yellow"/>
        </w:rPr>
        <w:fldChar w:fldCharType="separate"/>
      </w:r>
      <w:r w:rsidR="007A1473" w:rsidRPr="007A1473">
        <w:rPr>
          <w:highlight w:val="yellow"/>
        </w:rPr>
        <w:t>Schedule 14</w:t>
      </w:r>
      <w:r w:rsidRPr="00B91437">
        <w:rPr>
          <w:rFonts w:cs="Arial"/>
          <w:highlight w:val="yellow"/>
        </w:rPr>
        <w:fldChar w:fldCharType="end"/>
      </w:r>
      <w:r w:rsidRPr="00B91437">
        <w:rPr>
          <w:rFonts w:cs="Arial"/>
          <w:highlight w:val="yellow"/>
        </w:rPr>
        <w:t xml:space="preserve"> (</w:t>
      </w:r>
      <w:r w:rsidRPr="00B91437">
        <w:rPr>
          <w:rFonts w:cs="Arial"/>
          <w:i/>
          <w:iCs/>
          <w:highlight w:val="yellow"/>
        </w:rPr>
        <w:fldChar w:fldCharType="begin"/>
      </w:r>
      <w:r w:rsidRPr="00B91437">
        <w:rPr>
          <w:rFonts w:cs="Arial"/>
          <w:i/>
          <w:iCs/>
          <w:highlight w:val="yellow"/>
        </w:rPr>
        <w:instrText xml:space="preserve"> REF Schedule14Heading \h  \* MERGEFORMAT </w:instrText>
      </w:r>
      <w:r w:rsidRPr="00B91437">
        <w:rPr>
          <w:rFonts w:cs="Arial"/>
          <w:i/>
          <w:iCs/>
          <w:highlight w:val="yellow"/>
        </w:rPr>
      </w:r>
      <w:r w:rsidRPr="00B91437">
        <w:rPr>
          <w:rFonts w:cs="Arial"/>
          <w:i/>
          <w:iCs/>
          <w:highlight w:val="yellow"/>
        </w:rPr>
        <w:fldChar w:fldCharType="separate"/>
      </w:r>
      <w:r w:rsidR="007A1473" w:rsidRPr="007A1473">
        <w:rPr>
          <w:i/>
          <w:iCs/>
          <w:highlight w:val="yellow"/>
        </w:rPr>
        <w:t>Testing Procedures</w:t>
      </w:r>
      <w:r w:rsidRPr="00B91437">
        <w:rPr>
          <w:rFonts w:cs="Arial"/>
          <w:i/>
          <w:iCs/>
          <w:highlight w:val="yellow"/>
        </w:rPr>
        <w:fldChar w:fldCharType="end"/>
      </w:r>
      <w:r w:rsidRPr="00B91437">
        <w:rPr>
          <w:rFonts w:cs="Arial"/>
          <w:highlight w:val="yellow"/>
        </w:rPr>
        <w:t>)</w:t>
      </w:r>
      <w:r w:rsidRPr="005F1047">
        <w:rPr>
          <w:highlight w:val="yellow"/>
        </w:rPr>
        <w:t xml:space="preserve"> </w:t>
      </w:r>
      <w:r w:rsidRPr="002C07B6">
        <w:rPr>
          <w:highlight w:val="yellow"/>
        </w:rPr>
        <w:t xml:space="preserve">of the </w:t>
      </w:r>
      <w:r w:rsidRPr="00D5341B">
        <w:rPr>
          <w:highlight w:val="yellow"/>
        </w:rPr>
        <w:t xml:space="preserve">Contract on the condition that any Test Issues are remedied in accordance with the Rectification Plan </w:t>
      </w:r>
      <w:r w:rsidRPr="002C07B6">
        <w:rPr>
          <w:highlight w:val="yellow"/>
        </w:rPr>
        <w:t>attached to this certificate.]*</w:t>
      </w:r>
    </w:p>
    <w:p w14:paraId="19CBDF7E" w14:textId="77777777" w:rsidR="00F67E9E" w:rsidRPr="005F1047" w:rsidRDefault="00F67E9E" w:rsidP="00F67E9E">
      <w:pPr>
        <w:pStyle w:val="StdBodyText"/>
        <w:rPr>
          <w:iCs/>
        </w:rPr>
      </w:pPr>
      <w:r w:rsidRPr="00800E0D">
        <w:rPr>
          <w:i/>
        </w:rPr>
        <w:t>*delete as appropriate</w:t>
      </w:r>
    </w:p>
    <w:p w14:paraId="3D499301" w14:textId="77777777" w:rsidR="00F67E9E" w:rsidRDefault="00F67E9E" w:rsidP="00F67E9E">
      <w:pPr>
        <w:pStyle w:val="StdBodyText"/>
      </w:pPr>
      <w:r>
        <w:t>Yours faithfully</w:t>
      </w:r>
    </w:p>
    <w:p w14:paraId="4A9969F9" w14:textId="77777777" w:rsidR="00F67E9E" w:rsidRPr="003053E3" w:rsidRDefault="00F67E9E" w:rsidP="00F67E9E">
      <w:pPr>
        <w:pStyle w:val="StdBodyText"/>
        <w:rPr>
          <w:highlight w:val="yellow"/>
        </w:rPr>
      </w:pPr>
      <w:r w:rsidRPr="003053E3">
        <w:rPr>
          <w:highlight w:val="yellow"/>
        </w:rPr>
        <w:t>[</w:t>
      </w:r>
      <w:r w:rsidRPr="003053E3">
        <w:rPr>
          <w:rStyle w:val="StdBodyTextBoldChar"/>
          <w:b w:val="0"/>
          <w:bCs/>
          <w:iCs/>
          <w:highlight w:val="yellow"/>
        </w:rPr>
        <w:t>Name</w:t>
      </w:r>
      <w:r w:rsidRPr="003053E3">
        <w:rPr>
          <w:highlight w:val="yellow"/>
        </w:rPr>
        <w:t>]</w:t>
      </w:r>
    </w:p>
    <w:p w14:paraId="7A8362C6" w14:textId="77777777" w:rsidR="00F67E9E" w:rsidRPr="003053E3" w:rsidRDefault="00F67E9E" w:rsidP="00F67E9E">
      <w:pPr>
        <w:pStyle w:val="StdBodyText"/>
        <w:rPr>
          <w:highlight w:val="yellow"/>
        </w:rPr>
      </w:pPr>
      <w:r w:rsidRPr="003053E3">
        <w:rPr>
          <w:highlight w:val="yellow"/>
        </w:rPr>
        <w:t>[</w:t>
      </w:r>
      <w:r w:rsidRPr="003053E3">
        <w:rPr>
          <w:rStyle w:val="StdBodyTextBoldChar"/>
          <w:b w:val="0"/>
          <w:bCs/>
          <w:iCs/>
          <w:highlight w:val="yellow"/>
        </w:rPr>
        <w:t>Position</w:t>
      </w:r>
      <w:r w:rsidRPr="003053E3">
        <w:rPr>
          <w:highlight w:val="yellow"/>
        </w:rPr>
        <w:t>]</w:t>
      </w:r>
    </w:p>
    <w:p w14:paraId="1D7146A9" w14:textId="77777777" w:rsidR="00F67E9E" w:rsidRDefault="00F67E9E" w:rsidP="00F67E9E">
      <w:pPr>
        <w:pStyle w:val="StdBodyText"/>
        <w:rPr>
          <w:highlight w:val="yellow"/>
        </w:rPr>
      </w:pPr>
      <w:r>
        <w:t xml:space="preserve">acting on behalf of </w:t>
      </w:r>
      <w:r w:rsidRPr="002C07B6">
        <w:rPr>
          <w:highlight w:val="yellow"/>
        </w:rPr>
        <w:t>[</w:t>
      </w:r>
      <w:r w:rsidRPr="003053E3">
        <w:rPr>
          <w:rStyle w:val="StdBodyTextBoldChar"/>
          <w:b w:val="0"/>
          <w:bCs/>
          <w:iCs/>
          <w:highlight w:val="yellow"/>
        </w:rPr>
        <w:t>name of Authority</w:t>
      </w:r>
      <w:r w:rsidRPr="002C07B6">
        <w:rPr>
          <w:highlight w:val="yellow"/>
        </w:rPr>
        <w:t>]</w:t>
      </w:r>
    </w:p>
    <w:p w14:paraId="1DB07745" w14:textId="77777777" w:rsidR="00F67E9E" w:rsidRDefault="00F67E9E" w:rsidP="00F67E9E">
      <w:pPr>
        <w:rPr>
          <w:highlight w:val="yellow"/>
        </w:rPr>
      </w:pPr>
    </w:p>
    <w:p w14:paraId="15DC5C8C" w14:textId="77777777" w:rsidR="00F67E9E" w:rsidRDefault="00F67E9E" w:rsidP="00F67E9E">
      <w:pPr>
        <w:pStyle w:val="Heading2"/>
        <w:pageBreakBefore/>
      </w:pPr>
      <w:bookmarkStart w:id="738" w:name="_Ref44510021"/>
      <w:bookmarkStart w:id="739" w:name="_Toc145412768"/>
      <w:r w:rsidRPr="00D5341B">
        <w:lastRenderedPageBreak/>
        <w:t xml:space="preserve">Annex </w:t>
      </w:r>
      <w:bookmarkStart w:id="740" w:name="ANNEX3_SCHEDULE14"/>
      <w:r w:rsidRPr="00D5341B">
        <w:t>3</w:t>
      </w:r>
      <w:bookmarkEnd w:id="740"/>
      <w:r w:rsidRPr="00D5341B">
        <w:t>: Milestone</w:t>
      </w:r>
      <w:r w:rsidRPr="00F11CD2">
        <w:t xml:space="preserve"> Achievement Certificate</w:t>
      </w:r>
      <w:bookmarkEnd w:id="738"/>
      <w:bookmarkEnd w:id="739"/>
    </w:p>
    <w:p w14:paraId="41D72F77" w14:textId="77777777" w:rsidR="00F67E9E" w:rsidRDefault="00F67E9E" w:rsidP="00F67E9E">
      <w:pPr>
        <w:pStyle w:val="StdBodyText"/>
      </w:pPr>
      <w:r>
        <w:t>To:</w:t>
      </w:r>
      <w:r>
        <w:tab/>
      </w:r>
      <w:r>
        <w:tab/>
      </w:r>
      <w:r w:rsidRPr="002C07B6">
        <w:rPr>
          <w:highlight w:val="yellow"/>
        </w:rPr>
        <w:t>[</w:t>
      </w:r>
      <w:r w:rsidRPr="003053E3">
        <w:rPr>
          <w:rStyle w:val="StdBodyTextBoldChar"/>
          <w:b w:val="0"/>
          <w:bCs/>
          <w:iCs/>
          <w:highlight w:val="yellow"/>
        </w:rPr>
        <w:t>Name of Supplier</w:t>
      </w:r>
      <w:r w:rsidRPr="002C07B6">
        <w:rPr>
          <w:highlight w:val="yellow"/>
        </w:rPr>
        <w:t>]</w:t>
      </w:r>
    </w:p>
    <w:p w14:paraId="7744C271" w14:textId="77777777" w:rsidR="00F67E9E" w:rsidRDefault="00F67E9E" w:rsidP="00F67E9E">
      <w:pPr>
        <w:pStyle w:val="StdBodyText"/>
      </w:pPr>
      <w:r>
        <w:t>From:</w:t>
      </w:r>
      <w:r>
        <w:tab/>
      </w:r>
      <w:r>
        <w:tab/>
      </w:r>
      <w:r w:rsidRPr="002C07B6">
        <w:rPr>
          <w:highlight w:val="yellow"/>
        </w:rPr>
        <w:t>[</w:t>
      </w:r>
      <w:r w:rsidRPr="003053E3">
        <w:rPr>
          <w:rStyle w:val="StdBodyTextBoldChar"/>
          <w:b w:val="0"/>
          <w:bCs/>
          <w:iCs/>
          <w:highlight w:val="yellow"/>
        </w:rPr>
        <w:t>Name of Authority</w:t>
      </w:r>
      <w:r w:rsidRPr="002C07B6">
        <w:rPr>
          <w:highlight w:val="yellow"/>
        </w:rPr>
        <w:t>]</w:t>
      </w:r>
    </w:p>
    <w:p w14:paraId="23E45D91" w14:textId="77777777" w:rsidR="00F67E9E" w:rsidRPr="002C07B6" w:rsidRDefault="00F67E9E" w:rsidP="00F67E9E">
      <w:pPr>
        <w:pStyle w:val="StdBodyText"/>
        <w:rPr>
          <w:highlight w:val="yellow"/>
        </w:rPr>
      </w:pPr>
      <w:r w:rsidRPr="002C07B6">
        <w:rPr>
          <w:highlight w:val="yellow"/>
        </w:rPr>
        <w:t>[</w:t>
      </w:r>
      <w:r w:rsidRPr="003053E3">
        <w:rPr>
          <w:rStyle w:val="StdBodyTextBoldChar"/>
          <w:b w:val="0"/>
          <w:bCs/>
          <w:iCs/>
          <w:highlight w:val="yellow"/>
        </w:rPr>
        <w:t>Date</w:t>
      </w:r>
      <w:r w:rsidRPr="002C07B6">
        <w:rPr>
          <w:highlight w:val="yellow"/>
        </w:rPr>
        <w:t>]</w:t>
      </w:r>
    </w:p>
    <w:p w14:paraId="0AE6488A" w14:textId="77777777" w:rsidR="00F67E9E" w:rsidRDefault="00F67E9E" w:rsidP="00F67E9E">
      <w:pPr>
        <w:pStyle w:val="StdBodyText"/>
      </w:pPr>
      <w:r>
        <w:t>Dear Sirs,</w:t>
      </w:r>
    </w:p>
    <w:p w14:paraId="3F7986D6" w14:textId="77777777" w:rsidR="00F67E9E" w:rsidRDefault="00F67E9E" w:rsidP="00F67E9E">
      <w:r>
        <w:t>MILESTONE ACHIEVEMENT CERTIFICATE</w:t>
      </w:r>
    </w:p>
    <w:p w14:paraId="34369C21" w14:textId="77777777" w:rsidR="00F67E9E" w:rsidRPr="002C07B6" w:rsidRDefault="00F67E9E" w:rsidP="00F67E9E">
      <w:pPr>
        <w:pStyle w:val="StdBodyText"/>
        <w:rPr>
          <w:highlight w:val="yellow"/>
        </w:rPr>
      </w:pPr>
      <w:r>
        <w:t xml:space="preserve">Milestone: </w:t>
      </w:r>
      <w:r w:rsidRPr="00B73DD6">
        <w:rPr>
          <w:b/>
          <w:highlight w:val="yellow"/>
        </w:rPr>
        <w:t>[insert</w:t>
      </w:r>
      <w:r w:rsidRPr="003053E3">
        <w:rPr>
          <w:rStyle w:val="StdBodyTextBoldChar"/>
          <w:b w:val="0"/>
          <w:bCs/>
          <w:iCs/>
          <w:highlight w:val="yellow"/>
        </w:rPr>
        <w:t xml:space="preserve"> description of Milestone</w:t>
      </w:r>
      <w:r w:rsidRPr="002C07B6">
        <w:rPr>
          <w:highlight w:val="yellow"/>
        </w:rPr>
        <w:t>]</w:t>
      </w:r>
    </w:p>
    <w:p w14:paraId="2E107668" w14:textId="77777777" w:rsidR="00F67E9E" w:rsidRDefault="00F67E9E" w:rsidP="00F67E9E">
      <w:pPr>
        <w:pStyle w:val="StdBodyText"/>
      </w:pPr>
      <w:r>
        <w:t xml:space="preserve">We refer to </w:t>
      </w:r>
      <w:r w:rsidRPr="00D5341B">
        <w:t xml:space="preserve">the agreement (the </w:t>
      </w:r>
      <w:r>
        <w:t>“</w:t>
      </w:r>
      <w:r w:rsidRPr="00D5341B">
        <w:rPr>
          <w:rStyle w:val="StdBodyTextBoldChar"/>
        </w:rPr>
        <w:t>Contract</w:t>
      </w:r>
      <w:r>
        <w:t>”</w:t>
      </w:r>
      <w:r w:rsidRPr="00D5341B">
        <w:t>) relating</w:t>
      </w:r>
      <w:r>
        <w:t xml:space="preserve"> to the provision of the Services between the </w:t>
      </w:r>
      <w:r w:rsidRPr="002C07B6">
        <w:rPr>
          <w:highlight w:val="yellow"/>
        </w:rPr>
        <w:t>[</w:t>
      </w:r>
      <w:r w:rsidRPr="003053E3">
        <w:rPr>
          <w:rStyle w:val="StdBodyTextBoldChar"/>
          <w:b w:val="0"/>
          <w:bCs/>
          <w:iCs/>
          <w:highlight w:val="yellow"/>
        </w:rPr>
        <w:t>name of Authority</w:t>
      </w:r>
      <w:r w:rsidRPr="002C07B6">
        <w:rPr>
          <w:highlight w:val="yellow"/>
        </w:rPr>
        <w:t>]</w:t>
      </w:r>
      <w:r>
        <w:t xml:space="preserve"> (the “</w:t>
      </w:r>
      <w:r w:rsidRPr="00800E0D">
        <w:rPr>
          <w:rStyle w:val="StdBodyTextBoldChar"/>
        </w:rPr>
        <w:t>Authority</w:t>
      </w:r>
      <w:r>
        <w:t xml:space="preserve">”) and </w:t>
      </w:r>
      <w:r w:rsidRPr="002C07B6">
        <w:rPr>
          <w:highlight w:val="yellow"/>
        </w:rPr>
        <w:t>[</w:t>
      </w:r>
      <w:r w:rsidRPr="003053E3">
        <w:rPr>
          <w:rStyle w:val="StdBodyTextBoldChar"/>
          <w:b w:val="0"/>
          <w:bCs/>
          <w:iCs/>
          <w:highlight w:val="yellow"/>
        </w:rPr>
        <w:t>name of Supplier</w:t>
      </w:r>
      <w:r w:rsidRPr="002C07B6">
        <w:rPr>
          <w:highlight w:val="yellow"/>
        </w:rPr>
        <w:t>]</w:t>
      </w:r>
      <w:r>
        <w:t xml:space="preserve"> (the “</w:t>
      </w:r>
      <w:r w:rsidRPr="00800E0D">
        <w:rPr>
          <w:rStyle w:val="StdBodyTextBoldChar"/>
        </w:rPr>
        <w:t>Supplier</w:t>
      </w:r>
      <w:r>
        <w:t xml:space="preserve">”) dated </w:t>
      </w:r>
      <w:r w:rsidRPr="002C07B6">
        <w:rPr>
          <w:highlight w:val="yellow"/>
        </w:rPr>
        <w:t>[</w:t>
      </w:r>
      <w:r w:rsidRPr="003053E3">
        <w:rPr>
          <w:rStyle w:val="StdBodyTextBoldChar"/>
          <w:b w:val="0"/>
          <w:bCs/>
          <w:iCs/>
          <w:highlight w:val="yellow"/>
        </w:rPr>
        <w:t>date</w:t>
      </w:r>
      <w:r w:rsidRPr="002C07B6">
        <w:rPr>
          <w:highlight w:val="yellow"/>
        </w:rPr>
        <w:t>]</w:t>
      </w:r>
      <w:r>
        <w:t>.</w:t>
      </w:r>
    </w:p>
    <w:p w14:paraId="489B3425" w14:textId="5AAFCBB1" w:rsidR="00F67E9E" w:rsidRDefault="00F67E9E" w:rsidP="00F67E9E">
      <w:pPr>
        <w:pStyle w:val="StdBodyText"/>
      </w:pPr>
      <w:r>
        <w:t xml:space="preserve">Capitalised terms used in this certificate have the meanings given to them in </w:t>
      </w:r>
      <w:r>
        <w:fldChar w:fldCharType="begin"/>
      </w:r>
      <w:r>
        <w:instrText xml:space="preserve"> REF Schedule1 \h </w:instrText>
      </w:r>
      <w:r>
        <w:fldChar w:fldCharType="separate"/>
      </w:r>
      <w:r w:rsidR="007A1473" w:rsidRPr="00724541">
        <w:t>Schedule</w:t>
      </w:r>
      <w:r w:rsidR="007A1473">
        <w:t> </w:t>
      </w:r>
      <w:r w:rsidR="007A1473" w:rsidRPr="00724541">
        <w:t>1</w:t>
      </w:r>
      <w:r>
        <w:fldChar w:fldCharType="end"/>
      </w:r>
      <w:r w:rsidRPr="00724541">
        <w:t xml:space="preserve"> (</w:t>
      </w:r>
      <w:r w:rsidRPr="0087475A">
        <w:rPr>
          <w:i/>
          <w:iCs/>
        </w:rPr>
        <w:fldChar w:fldCharType="begin"/>
      </w:r>
      <w:r w:rsidRPr="0087475A">
        <w:rPr>
          <w:i/>
          <w:iCs/>
        </w:rPr>
        <w:instrText xml:space="preserve"> REF Schedule1Heading \h  \* MERGEFORMAT </w:instrText>
      </w:r>
      <w:r w:rsidRPr="0087475A">
        <w:rPr>
          <w:i/>
          <w:iCs/>
        </w:rPr>
      </w:r>
      <w:r w:rsidRPr="0087475A">
        <w:rPr>
          <w:i/>
          <w:iCs/>
        </w:rPr>
        <w:fldChar w:fldCharType="separate"/>
      </w:r>
      <w:r w:rsidR="007A1473" w:rsidRPr="007A1473">
        <w:rPr>
          <w:i/>
          <w:iCs/>
        </w:rPr>
        <w:t>Definitions</w:t>
      </w:r>
      <w:r w:rsidRPr="0087475A">
        <w:rPr>
          <w:i/>
          <w:iCs/>
        </w:rPr>
        <w:fldChar w:fldCharType="end"/>
      </w:r>
      <w:r w:rsidRPr="00724541">
        <w:t>)</w:t>
      </w:r>
      <w:r>
        <w:t xml:space="preserve"> or </w:t>
      </w:r>
      <w:r>
        <w:rPr>
          <w:rFonts w:cs="Arial"/>
        </w:rPr>
        <w:fldChar w:fldCharType="begin"/>
      </w:r>
      <w:r>
        <w:rPr>
          <w:rFonts w:cs="Arial"/>
        </w:rPr>
        <w:instrText xml:space="preserve"> REF Schedule14 \h </w:instrText>
      </w:r>
      <w:r>
        <w:rPr>
          <w:rFonts w:cs="Arial"/>
        </w:rPr>
      </w:r>
      <w:r>
        <w:rPr>
          <w:rFonts w:cs="Arial"/>
        </w:rPr>
        <w:fldChar w:fldCharType="separate"/>
      </w:r>
      <w:r w:rsidR="007A1473" w:rsidRPr="005D0525">
        <w:t>Schedule</w:t>
      </w:r>
      <w:r w:rsidR="007A1473">
        <w:t> </w:t>
      </w:r>
      <w:r w:rsidR="007A1473" w:rsidRPr="005D0525">
        <w:t>14</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Schedule14Heading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Testing Procedures</w:t>
      </w:r>
      <w:r w:rsidRPr="00B91437">
        <w:rPr>
          <w:rFonts w:cs="Arial"/>
          <w:i/>
          <w:iCs/>
        </w:rPr>
        <w:fldChar w:fldCharType="end"/>
      </w:r>
      <w:r>
        <w:rPr>
          <w:rFonts w:cs="Arial"/>
        </w:rPr>
        <w:t>)</w:t>
      </w:r>
      <w:r>
        <w:t xml:space="preserve"> </w:t>
      </w:r>
      <w:r w:rsidRPr="00D5341B">
        <w:t>of the Contract.</w:t>
      </w:r>
    </w:p>
    <w:p w14:paraId="052C4A69" w14:textId="77777777" w:rsidR="00F67E9E" w:rsidRPr="002C07B6" w:rsidRDefault="00F67E9E" w:rsidP="00F67E9E">
      <w:pPr>
        <w:pStyle w:val="StdBodyText"/>
        <w:rPr>
          <w:highlight w:val="yellow"/>
        </w:rPr>
      </w:pPr>
      <w:r w:rsidRPr="002C07B6">
        <w:rPr>
          <w:highlight w:val="yellow"/>
        </w:rPr>
        <w:t>[We confirm that all the Deliverables relating to Milestone [</w:t>
      </w:r>
      <w:r w:rsidRPr="00C26690">
        <w:rPr>
          <w:rStyle w:val="StdBodyTextBoldChar"/>
          <w:bCs/>
          <w:iCs/>
          <w:highlight w:val="yellow"/>
        </w:rPr>
        <w:t>number</w:t>
      </w:r>
      <w:r w:rsidRPr="002C07B6">
        <w:rPr>
          <w:highlight w:val="yellow"/>
        </w:rPr>
        <w:t xml:space="preserve">] have been tested successfully in accordance with the Test Plan relevant to this Milestone [or that a conditional </w:t>
      </w:r>
      <w:bookmarkStart w:id="741" w:name="_9kMH0H6ZWu5DFAFLjPvBWCyE6tusl38"/>
      <w:r w:rsidRPr="002C07B6">
        <w:rPr>
          <w:highlight w:val="yellow"/>
        </w:rPr>
        <w:t>Test Certificate</w:t>
      </w:r>
      <w:bookmarkEnd w:id="741"/>
      <w:r w:rsidRPr="002C07B6">
        <w:rPr>
          <w:highlight w:val="yellow"/>
        </w:rPr>
        <w:t xml:space="preserve"> has been issued in respect of those Deliverables that have not satisfied the relevant Test Success Criteria.]]*</w:t>
      </w:r>
    </w:p>
    <w:p w14:paraId="0F2F3EE4" w14:textId="77777777" w:rsidR="00F67E9E" w:rsidRDefault="00F67E9E" w:rsidP="00F67E9E">
      <w:pPr>
        <w:pStyle w:val="StdBodyTextBold"/>
      </w:pPr>
      <w:r>
        <w:t>OR</w:t>
      </w:r>
    </w:p>
    <w:p w14:paraId="228C72C4" w14:textId="79BAB212" w:rsidR="00F67E9E" w:rsidRPr="002C07B6" w:rsidRDefault="00F67E9E" w:rsidP="00F67E9E">
      <w:pPr>
        <w:pStyle w:val="StdBodyText"/>
        <w:rPr>
          <w:highlight w:val="yellow"/>
        </w:rPr>
      </w:pPr>
      <w:r w:rsidRPr="00B91437">
        <w:rPr>
          <w:highlight w:val="yellow"/>
        </w:rPr>
        <w:t xml:space="preserve">[This Milestone Achievement Certificate is granted pursuant to </w:t>
      </w:r>
      <w:bookmarkStart w:id="742" w:name="_9kR3WTr2CC5CDXEnoewrqyBLM"/>
      <w:r w:rsidRPr="00B91437">
        <w:rPr>
          <w:highlight w:val="yellow"/>
        </w:rPr>
        <w:t xml:space="preserve">Paragraph </w:t>
      </w:r>
      <w:bookmarkEnd w:id="742"/>
      <w:r w:rsidRPr="00B91437">
        <w:rPr>
          <w:highlight w:val="yellow"/>
        </w:rPr>
        <w:fldChar w:fldCharType="begin"/>
      </w:r>
      <w:r w:rsidRPr="00B91437">
        <w:rPr>
          <w:highlight w:val="yellow"/>
        </w:rPr>
        <w:instrText xml:space="preserve"> REF _Ref_ContractCompanion_9kb9Ur17G \w \h  \* MERGEFORMAT </w:instrText>
      </w:r>
      <w:r w:rsidRPr="00B91437">
        <w:rPr>
          <w:highlight w:val="yellow"/>
        </w:rPr>
      </w:r>
      <w:r w:rsidRPr="00B91437">
        <w:rPr>
          <w:highlight w:val="yellow"/>
        </w:rPr>
        <w:fldChar w:fldCharType="separate"/>
      </w:r>
      <w:r w:rsidR="007A1473">
        <w:rPr>
          <w:highlight w:val="yellow"/>
        </w:rPr>
        <w:t>13.1</w:t>
      </w:r>
      <w:r w:rsidRPr="00B91437">
        <w:rPr>
          <w:highlight w:val="yellow"/>
        </w:rPr>
        <w:fldChar w:fldCharType="end"/>
      </w:r>
      <w:r w:rsidRPr="00B91437">
        <w:rPr>
          <w:highlight w:val="yellow"/>
        </w:rPr>
        <w:t xml:space="preserve"> of </w:t>
      </w:r>
      <w:r w:rsidRPr="00B91437">
        <w:rPr>
          <w:rFonts w:cs="Arial"/>
          <w:highlight w:val="yellow"/>
        </w:rPr>
        <w:fldChar w:fldCharType="begin"/>
      </w:r>
      <w:r w:rsidRPr="00B91437">
        <w:rPr>
          <w:rFonts w:cs="Arial"/>
          <w:highlight w:val="yellow"/>
        </w:rPr>
        <w:instrText xml:space="preserve"> REF Schedule14 \h </w:instrText>
      </w:r>
      <w:r>
        <w:rPr>
          <w:rFonts w:cs="Arial"/>
          <w:highlight w:val="yellow"/>
        </w:rPr>
        <w:instrText xml:space="preserve"> \* MERGEFORMAT </w:instrText>
      </w:r>
      <w:r w:rsidRPr="00B91437">
        <w:rPr>
          <w:rFonts w:cs="Arial"/>
          <w:highlight w:val="yellow"/>
        </w:rPr>
      </w:r>
      <w:r w:rsidRPr="00B91437">
        <w:rPr>
          <w:rFonts w:cs="Arial"/>
          <w:highlight w:val="yellow"/>
        </w:rPr>
        <w:fldChar w:fldCharType="separate"/>
      </w:r>
      <w:r w:rsidR="007A1473" w:rsidRPr="007A1473">
        <w:rPr>
          <w:highlight w:val="yellow"/>
        </w:rPr>
        <w:t>Schedule 14</w:t>
      </w:r>
      <w:r w:rsidRPr="00B91437">
        <w:rPr>
          <w:rFonts w:cs="Arial"/>
          <w:highlight w:val="yellow"/>
        </w:rPr>
        <w:fldChar w:fldCharType="end"/>
      </w:r>
      <w:r w:rsidRPr="00B91437">
        <w:rPr>
          <w:rFonts w:cs="Arial"/>
          <w:highlight w:val="yellow"/>
        </w:rPr>
        <w:t xml:space="preserve"> (</w:t>
      </w:r>
      <w:r w:rsidRPr="00B91437">
        <w:rPr>
          <w:rFonts w:cs="Arial"/>
          <w:i/>
          <w:iCs/>
          <w:highlight w:val="yellow"/>
        </w:rPr>
        <w:fldChar w:fldCharType="begin"/>
      </w:r>
      <w:r w:rsidRPr="00B91437">
        <w:rPr>
          <w:rFonts w:cs="Arial"/>
          <w:i/>
          <w:iCs/>
          <w:highlight w:val="yellow"/>
        </w:rPr>
        <w:instrText xml:space="preserve"> REF Schedule14Heading \h  \* MERGEFORMAT </w:instrText>
      </w:r>
      <w:r w:rsidRPr="00B91437">
        <w:rPr>
          <w:rFonts w:cs="Arial"/>
          <w:i/>
          <w:iCs/>
          <w:highlight w:val="yellow"/>
        </w:rPr>
      </w:r>
      <w:r w:rsidRPr="00B91437">
        <w:rPr>
          <w:rFonts w:cs="Arial"/>
          <w:i/>
          <w:iCs/>
          <w:highlight w:val="yellow"/>
        </w:rPr>
        <w:fldChar w:fldCharType="separate"/>
      </w:r>
      <w:r w:rsidR="007A1473" w:rsidRPr="007A1473">
        <w:rPr>
          <w:i/>
          <w:iCs/>
          <w:highlight w:val="yellow"/>
        </w:rPr>
        <w:t>Testing Procedures</w:t>
      </w:r>
      <w:r w:rsidRPr="00B91437">
        <w:rPr>
          <w:rFonts w:cs="Arial"/>
          <w:i/>
          <w:iCs/>
          <w:highlight w:val="yellow"/>
        </w:rPr>
        <w:fldChar w:fldCharType="end"/>
      </w:r>
      <w:r w:rsidRPr="00B91437">
        <w:rPr>
          <w:rFonts w:cs="Arial"/>
          <w:highlight w:val="yellow"/>
        </w:rPr>
        <w:t>)</w:t>
      </w:r>
      <w:r w:rsidRPr="00D5341B">
        <w:rPr>
          <w:highlight w:val="yellow"/>
        </w:rPr>
        <w:t xml:space="preserve"> of the Contract on </w:t>
      </w:r>
      <w:r w:rsidRPr="002C07B6">
        <w:rPr>
          <w:highlight w:val="yellow"/>
        </w:rPr>
        <w:t>the condition that any Test Issues are remedied in accordance with the Rectification Plan attached to this certificate.]*</w:t>
      </w:r>
    </w:p>
    <w:p w14:paraId="011B9D0D" w14:textId="4628EB1D" w:rsidR="00F67E9E" w:rsidRPr="006E5ABC" w:rsidRDefault="00F67E9E" w:rsidP="00F67E9E">
      <w:pPr>
        <w:pStyle w:val="StdBodyText"/>
        <w:rPr>
          <w:highlight w:val="yellow"/>
        </w:rPr>
      </w:pPr>
      <w:r w:rsidRPr="00B91437">
        <w:rPr>
          <w:highlight w:val="yellow"/>
        </w:rPr>
        <w:t xml:space="preserve">[You may now issue an invoice in respect of the Milestone Payment associated with this Milestone in accordance with the provisions of </w:t>
      </w:r>
      <w:r w:rsidRPr="00B91437">
        <w:rPr>
          <w:rFonts w:cs="Arial"/>
          <w:highlight w:val="yellow"/>
        </w:rPr>
        <w:fldChar w:fldCharType="begin"/>
      </w:r>
      <w:r w:rsidRPr="00B91437">
        <w:rPr>
          <w:rFonts w:cs="Arial"/>
          <w:highlight w:val="yellow"/>
        </w:rPr>
        <w:instrText xml:space="preserve"> REF Schedule15 \h </w:instrText>
      </w:r>
      <w:r>
        <w:rPr>
          <w:rFonts w:cs="Arial"/>
          <w:highlight w:val="yellow"/>
        </w:rPr>
        <w:instrText xml:space="preserve"> \* MERGEFORMAT </w:instrText>
      </w:r>
      <w:r w:rsidRPr="00B91437">
        <w:rPr>
          <w:rFonts w:cs="Arial"/>
          <w:highlight w:val="yellow"/>
        </w:rPr>
      </w:r>
      <w:r w:rsidRPr="00B91437">
        <w:rPr>
          <w:rFonts w:cs="Arial"/>
          <w:highlight w:val="yellow"/>
        </w:rPr>
        <w:fldChar w:fldCharType="separate"/>
      </w:r>
      <w:r w:rsidR="007A1473" w:rsidRPr="007A1473">
        <w:rPr>
          <w:highlight w:val="yellow"/>
        </w:rPr>
        <w:t>Schedule 15</w:t>
      </w:r>
      <w:r w:rsidRPr="00B91437">
        <w:rPr>
          <w:rFonts w:cs="Arial"/>
          <w:highlight w:val="yellow"/>
        </w:rPr>
        <w:fldChar w:fldCharType="end"/>
      </w:r>
      <w:r w:rsidRPr="00B91437">
        <w:rPr>
          <w:rFonts w:cs="Arial"/>
          <w:highlight w:val="yellow"/>
        </w:rPr>
        <w:t xml:space="preserve"> (</w:t>
      </w:r>
      <w:r w:rsidRPr="00B91437">
        <w:rPr>
          <w:rFonts w:cs="Arial"/>
          <w:i/>
          <w:iCs/>
          <w:highlight w:val="yellow"/>
        </w:rPr>
        <w:fldChar w:fldCharType="begin"/>
      </w:r>
      <w:r w:rsidRPr="00B91437">
        <w:rPr>
          <w:rFonts w:cs="Arial"/>
          <w:i/>
          <w:iCs/>
          <w:highlight w:val="yellow"/>
        </w:rPr>
        <w:instrText xml:space="preserve"> REF Schedule15Heading \h  \* MERGEFORMAT </w:instrText>
      </w:r>
      <w:r w:rsidRPr="00B91437">
        <w:rPr>
          <w:rFonts w:cs="Arial"/>
          <w:i/>
          <w:iCs/>
          <w:highlight w:val="yellow"/>
        </w:rPr>
      </w:r>
      <w:r w:rsidRPr="00B91437">
        <w:rPr>
          <w:rFonts w:cs="Arial"/>
          <w:i/>
          <w:iCs/>
          <w:highlight w:val="yellow"/>
        </w:rPr>
        <w:fldChar w:fldCharType="separate"/>
      </w:r>
      <w:r w:rsidR="007A1473" w:rsidRPr="007A1473">
        <w:rPr>
          <w:i/>
          <w:iCs/>
          <w:highlight w:val="yellow"/>
        </w:rPr>
        <w:t>Charges and Invoicing</w:t>
      </w:r>
      <w:r w:rsidRPr="00B91437">
        <w:rPr>
          <w:rFonts w:cs="Arial"/>
          <w:i/>
          <w:iCs/>
          <w:highlight w:val="yellow"/>
        </w:rPr>
        <w:fldChar w:fldCharType="end"/>
      </w:r>
      <w:r w:rsidRPr="00B91437">
        <w:rPr>
          <w:rFonts w:cs="Arial"/>
          <w:highlight w:val="yellow"/>
        </w:rPr>
        <w:t>)</w:t>
      </w:r>
      <w:r w:rsidRPr="006E5ABC">
        <w:rPr>
          <w:highlight w:val="yellow"/>
        </w:rPr>
        <w:t>]*</w:t>
      </w:r>
    </w:p>
    <w:p w14:paraId="1B64B904" w14:textId="77777777" w:rsidR="00F67E9E" w:rsidRPr="00800E0D" w:rsidRDefault="00F67E9E" w:rsidP="00F67E9E">
      <w:pPr>
        <w:pStyle w:val="StdBodyText"/>
        <w:rPr>
          <w:i/>
        </w:rPr>
      </w:pPr>
      <w:r w:rsidRPr="00800E0D">
        <w:rPr>
          <w:i/>
        </w:rPr>
        <w:t>*delete as appropriate</w:t>
      </w:r>
    </w:p>
    <w:p w14:paraId="021A9843" w14:textId="77777777" w:rsidR="00F67E9E" w:rsidRDefault="00F67E9E" w:rsidP="00F67E9E">
      <w:pPr>
        <w:pStyle w:val="StdBodyText"/>
      </w:pPr>
      <w:r>
        <w:t>Yours faithfully</w:t>
      </w:r>
    </w:p>
    <w:p w14:paraId="514FFE18" w14:textId="77777777" w:rsidR="00F67E9E" w:rsidRPr="002C07B6" w:rsidRDefault="00F67E9E" w:rsidP="00F67E9E">
      <w:pPr>
        <w:pStyle w:val="StdBodyText"/>
        <w:rPr>
          <w:highlight w:val="yellow"/>
        </w:rPr>
      </w:pPr>
      <w:r w:rsidRPr="002C07B6">
        <w:rPr>
          <w:highlight w:val="yellow"/>
        </w:rPr>
        <w:t>[</w:t>
      </w:r>
      <w:r w:rsidRPr="003053E3">
        <w:rPr>
          <w:rStyle w:val="StdBodyTextBoldChar"/>
          <w:b w:val="0"/>
          <w:bCs/>
          <w:iCs/>
          <w:highlight w:val="yellow"/>
        </w:rPr>
        <w:t>Name</w:t>
      </w:r>
      <w:r w:rsidRPr="002C07B6">
        <w:rPr>
          <w:highlight w:val="yellow"/>
        </w:rPr>
        <w:t>]</w:t>
      </w:r>
    </w:p>
    <w:p w14:paraId="04D3C650" w14:textId="77777777" w:rsidR="00F67E9E" w:rsidRPr="002C07B6" w:rsidRDefault="00F67E9E" w:rsidP="00F67E9E">
      <w:pPr>
        <w:pStyle w:val="StdBodyText"/>
        <w:rPr>
          <w:highlight w:val="yellow"/>
        </w:rPr>
      </w:pPr>
      <w:r w:rsidRPr="002C07B6">
        <w:rPr>
          <w:highlight w:val="yellow"/>
        </w:rPr>
        <w:t>[</w:t>
      </w:r>
      <w:r w:rsidRPr="003053E3">
        <w:rPr>
          <w:rStyle w:val="StdBodyTextBoldChar"/>
          <w:b w:val="0"/>
          <w:bCs/>
          <w:iCs/>
          <w:highlight w:val="yellow"/>
        </w:rPr>
        <w:t>Position</w:t>
      </w:r>
      <w:r w:rsidRPr="002C07B6">
        <w:rPr>
          <w:highlight w:val="yellow"/>
        </w:rPr>
        <w:t>]</w:t>
      </w:r>
    </w:p>
    <w:p w14:paraId="4B6BA6DB" w14:textId="77777777" w:rsidR="00F67E9E" w:rsidRDefault="00F67E9E" w:rsidP="00F67E9E">
      <w:pPr>
        <w:pStyle w:val="StdBodyText"/>
      </w:pPr>
      <w:r>
        <w:t xml:space="preserve">acting on behalf of </w:t>
      </w:r>
      <w:r w:rsidRPr="002C07B6">
        <w:rPr>
          <w:highlight w:val="yellow"/>
        </w:rPr>
        <w:t>[</w:t>
      </w:r>
      <w:r w:rsidRPr="003053E3">
        <w:rPr>
          <w:rStyle w:val="StdBodyTextBoldChar"/>
          <w:b w:val="0"/>
          <w:bCs/>
          <w:iCs/>
          <w:highlight w:val="yellow"/>
        </w:rPr>
        <w:t>Authority</w:t>
      </w:r>
      <w:r w:rsidRPr="002C07B6">
        <w:rPr>
          <w:highlight w:val="yellow"/>
        </w:rPr>
        <w:t>]</w:t>
      </w:r>
    </w:p>
    <w:p w14:paraId="7BECF772" w14:textId="77777777" w:rsidR="00F67E9E" w:rsidRDefault="00F67E9E" w:rsidP="00F67E9E">
      <w:pPr>
        <w:rPr>
          <w:rFonts w:eastAsia="Times New Roman" w:cs="Times New Roman"/>
          <w:szCs w:val="24"/>
          <w:lang w:eastAsia="en-GB"/>
        </w:rPr>
      </w:pPr>
    </w:p>
    <w:p w14:paraId="4CDDD317" w14:textId="77777777" w:rsidR="00F67E9E" w:rsidRPr="00F11CD2" w:rsidRDefault="00F67E9E" w:rsidP="00F67E9E">
      <w:pPr>
        <w:pStyle w:val="Heading2"/>
        <w:pageBreakBefore/>
      </w:pPr>
      <w:bookmarkStart w:id="743" w:name="_Ref_ContractCompanion_9kb9Ur1AF"/>
      <w:bookmarkStart w:id="744" w:name="_Ref_ContractCompanion_9kb9Ur6AD"/>
      <w:bookmarkStart w:id="745" w:name="_Toc145412769"/>
      <w:r w:rsidRPr="00D5341B">
        <w:lastRenderedPageBreak/>
        <w:t xml:space="preserve">Annex </w:t>
      </w:r>
      <w:bookmarkStart w:id="746" w:name="ANNEX4_SCHEDULE14"/>
      <w:r w:rsidRPr="00D5341B">
        <w:t>4</w:t>
      </w:r>
      <w:bookmarkEnd w:id="746"/>
      <w:r w:rsidRPr="00D5341B">
        <w:t>: Test Success Criteria</w:t>
      </w:r>
      <w:bookmarkEnd w:id="743"/>
      <w:bookmarkEnd w:id="744"/>
      <w:bookmarkEnd w:id="745"/>
    </w:p>
    <w:p w14:paraId="08C35C6C" w14:textId="5C3ADFF7" w:rsidR="003D75D9" w:rsidRPr="00303EB4" w:rsidRDefault="00303EB4" w:rsidP="003D75D9">
      <w:pPr>
        <w:pStyle w:val="AppendixText1"/>
        <w:numPr>
          <w:ilvl w:val="0"/>
          <w:numId w:val="0"/>
        </w:numPr>
        <w:rPr>
          <w:b w:val="0"/>
        </w:rPr>
      </w:pPr>
      <w:r w:rsidRPr="00303EB4">
        <w:rPr>
          <w:b w:val="0"/>
        </w:rPr>
        <w:t xml:space="preserve">The specific </w:t>
      </w:r>
      <w:r w:rsidR="003D75D9" w:rsidRPr="00303EB4">
        <w:rPr>
          <w:b w:val="0"/>
        </w:rPr>
        <w:t>Test Success Criteria in respect of each the ATP Milestone(s) and CPP Milestone(s) to be agreed between the Parties as part of the Implementation Services</w:t>
      </w:r>
      <w:r w:rsidRPr="00303EB4">
        <w:rPr>
          <w:b w:val="0"/>
        </w:rPr>
        <w:t>.</w:t>
      </w:r>
    </w:p>
    <w:p w14:paraId="74F7EACD" w14:textId="00E9147B" w:rsidR="00F67E9E" w:rsidRPr="002809EA" w:rsidRDefault="00F67E9E" w:rsidP="00F13933">
      <w:pPr>
        <w:pStyle w:val="AppendixText1"/>
        <w:numPr>
          <w:ilvl w:val="0"/>
          <w:numId w:val="39"/>
        </w:numPr>
      </w:pPr>
      <w:r w:rsidRPr="002809EA">
        <w:t xml:space="preserve">Tests to be Achieved in </w:t>
      </w:r>
      <w:r w:rsidRPr="00772237">
        <w:t>order</w:t>
      </w:r>
      <w:r w:rsidRPr="002809EA">
        <w:t xml:space="preserve"> to Achieve the ATP Milestone</w:t>
      </w:r>
    </w:p>
    <w:tbl>
      <w:tblPr>
        <w:tblStyle w:val="MSATable-header"/>
        <w:tblW w:w="10205" w:type="dxa"/>
        <w:tblLook w:val="04A0" w:firstRow="1" w:lastRow="0" w:firstColumn="1" w:lastColumn="0" w:noHBand="0" w:noVBand="1"/>
      </w:tblPr>
      <w:tblGrid>
        <w:gridCol w:w="3402"/>
        <w:gridCol w:w="2268"/>
        <w:gridCol w:w="4535"/>
      </w:tblGrid>
      <w:tr w:rsidR="00F67E9E" w:rsidRPr="0051062F" w14:paraId="070992FA"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3402" w:type="dxa"/>
            <w:vAlign w:val="bottom"/>
          </w:tcPr>
          <w:p w14:paraId="65F7A552" w14:textId="77777777" w:rsidR="00F67E9E" w:rsidRPr="0051062F" w:rsidRDefault="00F67E9E" w:rsidP="0052486C">
            <w:pPr>
              <w:pStyle w:val="StdBodyTextBold"/>
              <w:spacing w:before="0" w:after="0"/>
              <w:rPr>
                <w:b/>
                <w:bCs/>
              </w:rPr>
            </w:pPr>
            <w:r w:rsidRPr="0051062F">
              <w:rPr>
                <w:b/>
                <w:bCs/>
              </w:rPr>
              <w:t>Test</w:t>
            </w:r>
          </w:p>
        </w:tc>
        <w:tc>
          <w:tcPr>
            <w:tcW w:w="2268" w:type="dxa"/>
            <w:vAlign w:val="bottom"/>
          </w:tcPr>
          <w:p w14:paraId="688E1586" w14:textId="77777777" w:rsidR="00F67E9E" w:rsidRPr="0051062F" w:rsidRDefault="00F67E9E" w:rsidP="0052486C">
            <w:pPr>
              <w:pStyle w:val="StdBodyTextBold"/>
              <w:spacing w:before="0" w:after="0"/>
              <w:rPr>
                <w:b/>
                <w:bCs/>
              </w:rPr>
            </w:pPr>
            <w:r w:rsidRPr="0051062F">
              <w:rPr>
                <w:b/>
                <w:bCs/>
              </w:rPr>
              <w:t>Pre-conditions*</w:t>
            </w:r>
          </w:p>
        </w:tc>
        <w:tc>
          <w:tcPr>
            <w:tcW w:w="4535" w:type="dxa"/>
            <w:vAlign w:val="bottom"/>
          </w:tcPr>
          <w:p w14:paraId="2DDCB49C" w14:textId="77777777" w:rsidR="00F67E9E" w:rsidRPr="0051062F" w:rsidRDefault="00F67E9E" w:rsidP="0052486C">
            <w:pPr>
              <w:pStyle w:val="StdBodyTextBold"/>
              <w:spacing w:before="0" w:after="0"/>
              <w:rPr>
                <w:b/>
                <w:bCs/>
              </w:rPr>
            </w:pPr>
            <w:r w:rsidRPr="0051062F">
              <w:rPr>
                <w:b/>
                <w:bCs/>
              </w:rPr>
              <w:t>Test Success Criteria</w:t>
            </w:r>
          </w:p>
        </w:tc>
      </w:tr>
      <w:tr w:rsidR="00F67E9E" w:rsidRPr="008D4FDA" w14:paraId="1B13DDF9" w14:textId="77777777" w:rsidTr="0052486C">
        <w:tc>
          <w:tcPr>
            <w:tcW w:w="3402" w:type="dxa"/>
          </w:tcPr>
          <w:p w14:paraId="15582D2E" w14:textId="77777777" w:rsidR="00F67E9E" w:rsidRPr="003053E3" w:rsidRDefault="00F67E9E" w:rsidP="0052486C">
            <w:pPr>
              <w:pStyle w:val="StdBodyText"/>
              <w:spacing w:before="0" w:after="0"/>
              <w:rPr>
                <w:bCs/>
              </w:rPr>
            </w:pPr>
            <w:r w:rsidRPr="003053E3">
              <w:rPr>
                <w:bCs/>
                <w:highlight w:val="yellow"/>
              </w:rPr>
              <w:t>[</w:t>
            </w:r>
            <w:r w:rsidRPr="003053E3">
              <w:rPr>
                <w:bCs/>
                <w:iCs/>
                <w:highlight w:val="yellow"/>
              </w:rPr>
              <w:t>List all Tests relating to ATP Milestone</w:t>
            </w:r>
            <w:r w:rsidRPr="003053E3">
              <w:rPr>
                <w:bCs/>
                <w:highlight w:val="yellow"/>
              </w:rPr>
              <w:t>]</w:t>
            </w:r>
          </w:p>
        </w:tc>
        <w:tc>
          <w:tcPr>
            <w:tcW w:w="2268" w:type="dxa"/>
          </w:tcPr>
          <w:p w14:paraId="72CA0590" w14:textId="77777777" w:rsidR="00F67E9E" w:rsidRPr="008D4FDA" w:rsidRDefault="00F67E9E" w:rsidP="0052486C">
            <w:pPr>
              <w:pStyle w:val="StdBodyText"/>
              <w:spacing w:before="0" w:after="0"/>
            </w:pPr>
          </w:p>
        </w:tc>
        <w:tc>
          <w:tcPr>
            <w:tcW w:w="4535" w:type="dxa"/>
          </w:tcPr>
          <w:p w14:paraId="4B446CEF" w14:textId="77777777" w:rsidR="00F67E9E" w:rsidRPr="008D4FDA" w:rsidRDefault="00F67E9E" w:rsidP="0052486C">
            <w:pPr>
              <w:pStyle w:val="StdBodyText"/>
              <w:spacing w:before="0" w:after="0"/>
            </w:pPr>
          </w:p>
        </w:tc>
      </w:tr>
      <w:tr w:rsidR="00F67E9E" w:rsidRPr="008D4FDA" w14:paraId="56C06EAF" w14:textId="77777777" w:rsidTr="0052486C">
        <w:tc>
          <w:tcPr>
            <w:tcW w:w="3402" w:type="dxa"/>
          </w:tcPr>
          <w:p w14:paraId="6437686E" w14:textId="77777777" w:rsidR="00F67E9E" w:rsidRPr="008D4FDA" w:rsidRDefault="00F67E9E" w:rsidP="0052486C">
            <w:pPr>
              <w:pStyle w:val="StdBodyText"/>
              <w:spacing w:before="0" w:after="0"/>
            </w:pPr>
          </w:p>
        </w:tc>
        <w:tc>
          <w:tcPr>
            <w:tcW w:w="2268" w:type="dxa"/>
          </w:tcPr>
          <w:p w14:paraId="3CAE2F09" w14:textId="77777777" w:rsidR="00F67E9E" w:rsidRPr="008D4FDA" w:rsidRDefault="00F67E9E" w:rsidP="0052486C">
            <w:pPr>
              <w:pStyle w:val="StdBodyText"/>
              <w:spacing w:before="0" w:after="0"/>
            </w:pPr>
          </w:p>
        </w:tc>
        <w:tc>
          <w:tcPr>
            <w:tcW w:w="4535" w:type="dxa"/>
          </w:tcPr>
          <w:p w14:paraId="014F3567" w14:textId="77777777" w:rsidR="00F67E9E" w:rsidRPr="008D4FDA" w:rsidRDefault="00F67E9E" w:rsidP="0052486C">
            <w:pPr>
              <w:pStyle w:val="StdBodyText"/>
              <w:spacing w:before="0" w:after="0"/>
            </w:pPr>
          </w:p>
        </w:tc>
      </w:tr>
    </w:tbl>
    <w:p w14:paraId="2F63073E" w14:textId="77777777" w:rsidR="00F67E9E" w:rsidRPr="00CB319E" w:rsidRDefault="00F67E9E" w:rsidP="00F67E9E">
      <w:pPr>
        <w:pStyle w:val="StdBodyText"/>
        <w:spacing w:after="0"/>
      </w:pPr>
    </w:p>
    <w:p w14:paraId="0519A866" w14:textId="77777777" w:rsidR="00F67E9E" w:rsidRPr="003053E3" w:rsidRDefault="00F67E9E" w:rsidP="00F67E9E">
      <w:pPr>
        <w:pStyle w:val="StdBodyText"/>
        <w:ind w:left="1440" w:hanging="1440"/>
        <w:rPr>
          <w:bCs/>
          <w:iCs/>
        </w:rPr>
      </w:pPr>
      <w:r w:rsidRPr="003053E3">
        <w:rPr>
          <w:bCs/>
          <w:iCs/>
          <w:highlight w:val="yellow"/>
        </w:rPr>
        <w:t>* Note:</w:t>
      </w:r>
      <w:r>
        <w:rPr>
          <w:bCs/>
          <w:iCs/>
          <w:highlight w:val="yellow"/>
        </w:rPr>
        <w:t xml:space="preserve"> </w:t>
      </w:r>
      <w:r w:rsidRPr="003053E3">
        <w:rPr>
          <w:bCs/>
          <w:iCs/>
          <w:highlight w:val="yellow"/>
        </w:rPr>
        <w:t>The Pre-Conditions are that e.g. the Success Criteria for the previous Tests must be satisfied before the ATP Milestone tests are commenced</w:t>
      </w:r>
    </w:p>
    <w:p w14:paraId="445E007C" w14:textId="77777777" w:rsidR="00F67E9E" w:rsidRDefault="00F67E9E" w:rsidP="00F67E9E">
      <w:pPr>
        <w:pStyle w:val="StdBodyText"/>
        <w:spacing w:after="0"/>
      </w:pPr>
    </w:p>
    <w:p w14:paraId="65456E0F" w14:textId="77777777" w:rsidR="00F67E9E" w:rsidRPr="002809EA" w:rsidRDefault="00F67E9E" w:rsidP="00F67E9E">
      <w:pPr>
        <w:pStyle w:val="AppendixText1"/>
      </w:pPr>
      <w:r w:rsidRPr="002809EA">
        <w:t xml:space="preserve">Tests to be Achieved in </w:t>
      </w:r>
      <w:r w:rsidRPr="00772237">
        <w:t>order</w:t>
      </w:r>
      <w:r w:rsidRPr="002809EA">
        <w:t xml:space="preserve"> to Achieve a CPP Milestone</w:t>
      </w:r>
    </w:p>
    <w:tbl>
      <w:tblPr>
        <w:tblStyle w:val="MSATable-header"/>
        <w:tblW w:w="10205" w:type="dxa"/>
        <w:tblLook w:val="04A0" w:firstRow="1" w:lastRow="0" w:firstColumn="1" w:lastColumn="0" w:noHBand="0" w:noVBand="1"/>
      </w:tblPr>
      <w:tblGrid>
        <w:gridCol w:w="2268"/>
        <w:gridCol w:w="3402"/>
        <w:gridCol w:w="4535"/>
      </w:tblGrid>
      <w:tr w:rsidR="00F67E9E" w:rsidRPr="0051062F" w14:paraId="0A97E9F7"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2268" w:type="dxa"/>
            <w:vAlign w:val="bottom"/>
          </w:tcPr>
          <w:p w14:paraId="339C2D8F" w14:textId="77777777" w:rsidR="00F67E9E" w:rsidRPr="0051062F" w:rsidRDefault="00F67E9E" w:rsidP="0052486C">
            <w:pPr>
              <w:pStyle w:val="StdBodyTextBold"/>
              <w:spacing w:before="0" w:after="0"/>
              <w:rPr>
                <w:b/>
                <w:bCs/>
              </w:rPr>
            </w:pPr>
            <w:r w:rsidRPr="0051062F">
              <w:rPr>
                <w:b/>
                <w:bCs/>
              </w:rPr>
              <w:t>CPP Milestone Charge No.</w:t>
            </w:r>
          </w:p>
        </w:tc>
        <w:tc>
          <w:tcPr>
            <w:tcW w:w="3402" w:type="dxa"/>
            <w:vAlign w:val="bottom"/>
          </w:tcPr>
          <w:p w14:paraId="098CA750" w14:textId="77777777" w:rsidR="00F67E9E" w:rsidRPr="0051062F" w:rsidRDefault="00F67E9E" w:rsidP="0052486C">
            <w:pPr>
              <w:pStyle w:val="StdBodyTextBold"/>
              <w:spacing w:before="0" w:after="0"/>
              <w:rPr>
                <w:b/>
                <w:bCs/>
              </w:rPr>
            </w:pPr>
            <w:r w:rsidRPr="0051062F">
              <w:rPr>
                <w:b/>
                <w:bCs/>
              </w:rPr>
              <w:t>Test</w:t>
            </w:r>
          </w:p>
        </w:tc>
        <w:tc>
          <w:tcPr>
            <w:tcW w:w="4535" w:type="dxa"/>
            <w:vAlign w:val="bottom"/>
          </w:tcPr>
          <w:p w14:paraId="73FB4BCD" w14:textId="77777777" w:rsidR="00F67E9E" w:rsidRPr="0051062F" w:rsidRDefault="00F67E9E" w:rsidP="0052486C">
            <w:pPr>
              <w:pStyle w:val="StdBodyTextBold"/>
              <w:spacing w:before="0" w:after="0"/>
              <w:rPr>
                <w:b/>
                <w:bCs/>
              </w:rPr>
            </w:pPr>
            <w:r w:rsidRPr="0051062F">
              <w:rPr>
                <w:b/>
                <w:bCs/>
              </w:rPr>
              <w:t>Test Success Criteria</w:t>
            </w:r>
          </w:p>
        </w:tc>
      </w:tr>
      <w:tr w:rsidR="00F67E9E" w:rsidRPr="008D4FDA" w14:paraId="323234EA" w14:textId="77777777" w:rsidTr="0052486C">
        <w:tc>
          <w:tcPr>
            <w:tcW w:w="2268" w:type="dxa"/>
          </w:tcPr>
          <w:p w14:paraId="00F77131" w14:textId="77777777" w:rsidR="00F67E9E" w:rsidRPr="008D4FDA" w:rsidRDefault="00F67E9E" w:rsidP="0052486C">
            <w:pPr>
              <w:pStyle w:val="StdBodyText"/>
              <w:spacing w:before="0" w:after="0"/>
            </w:pPr>
          </w:p>
        </w:tc>
        <w:tc>
          <w:tcPr>
            <w:tcW w:w="3402" w:type="dxa"/>
          </w:tcPr>
          <w:p w14:paraId="2FBE0AB7" w14:textId="77777777" w:rsidR="00F67E9E" w:rsidRPr="003053E3" w:rsidRDefault="00F67E9E" w:rsidP="0052486C">
            <w:pPr>
              <w:pStyle w:val="StdBodyText"/>
              <w:spacing w:before="0" w:after="0"/>
              <w:rPr>
                <w:bCs/>
                <w:iCs/>
              </w:rPr>
            </w:pPr>
            <w:r w:rsidRPr="003053E3">
              <w:rPr>
                <w:bCs/>
                <w:iCs/>
                <w:highlight w:val="yellow"/>
              </w:rPr>
              <w:t>[List all Tests relating to CPP Milestone Charge No.]</w:t>
            </w:r>
          </w:p>
        </w:tc>
        <w:tc>
          <w:tcPr>
            <w:tcW w:w="4535" w:type="dxa"/>
          </w:tcPr>
          <w:p w14:paraId="28ADE4E0" w14:textId="77777777" w:rsidR="00F67E9E" w:rsidRPr="008D4FDA" w:rsidRDefault="00F67E9E" w:rsidP="0052486C">
            <w:pPr>
              <w:pStyle w:val="StdBodyText"/>
              <w:spacing w:before="0" w:after="0"/>
            </w:pPr>
          </w:p>
        </w:tc>
      </w:tr>
      <w:tr w:rsidR="00F67E9E" w:rsidRPr="008D4FDA" w14:paraId="6DC3EE6D" w14:textId="77777777" w:rsidTr="0052486C">
        <w:tc>
          <w:tcPr>
            <w:tcW w:w="2268" w:type="dxa"/>
          </w:tcPr>
          <w:p w14:paraId="4B24B46F" w14:textId="77777777" w:rsidR="00F67E9E" w:rsidRPr="008D4FDA" w:rsidRDefault="00F67E9E" w:rsidP="0052486C">
            <w:pPr>
              <w:pStyle w:val="StdBodyText"/>
              <w:spacing w:before="0" w:after="0"/>
            </w:pPr>
          </w:p>
        </w:tc>
        <w:tc>
          <w:tcPr>
            <w:tcW w:w="3402" w:type="dxa"/>
          </w:tcPr>
          <w:p w14:paraId="5A2AEA17" w14:textId="77777777" w:rsidR="00F67E9E" w:rsidRPr="008D4FDA" w:rsidRDefault="00F67E9E" w:rsidP="0052486C">
            <w:pPr>
              <w:pStyle w:val="StdBodyText"/>
              <w:spacing w:before="0" w:after="0"/>
            </w:pPr>
          </w:p>
        </w:tc>
        <w:tc>
          <w:tcPr>
            <w:tcW w:w="4535" w:type="dxa"/>
          </w:tcPr>
          <w:p w14:paraId="3B635BC2" w14:textId="77777777" w:rsidR="00F67E9E" w:rsidRPr="008D4FDA" w:rsidRDefault="00F67E9E" w:rsidP="0052486C">
            <w:pPr>
              <w:pStyle w:val="StdBodyText"/>
              <w:spacing w:before="0" w:after="0"/>
            </w:pPr>
          </w:p>
        </w:tc>
      </w:tr>
    </w:tbl>
    <w:p w14:paraId="109EBA58" w14:textId="77777777" w:rsidR="00F67E9E" w:rsidRDefault="00F67E9E" w:rsidP="00F67E9E"/>
    <w:p w14:paraId="345F876E" w14:textId="77777777" w:rsidR="00F67E9E" w:rsidRDefault="00F67E9E" w:rsidP="00F67E9E"/>
    <w:p w14:paraId="4FDB490C" w14:textId="77777777" w:rsidR="00F67E9E" w:rsidRDefault="00F67E9E" w:rsidP="00F67E9E">
      <w:pPr>
        <w:sectPr w:rsidR="00F67E9E" w:rsidSect="00240D26">
          <w:headerReference w:type="default" r:id="rId115"/>
          <w:footerReference w:type="default" r:id="rId116"/>
          <w:footerReference w:type="first" r:id="rId117"/>
          <w:pgSz w:w="11900" w:h="16840" w:code="9"/>
          <w:pgMar w:top="1701" w:right="851" w:bottom="1134" w:left="851" w:header="567" w:footer="567" w:gutter="0"/>
          <w:cols w:space="720"/>
          <w:docGrid w:linePitch="360"/>
        </w:sectPr>
      </w:pPr>
    </w:p>
    <w:p w14:paraId="2A8E3324" w14:textId="77777777" w:rsidR="00F67E9E" w:rsidRPr="00D5341B" w:rsidRDefault="00F67E9E" w:rsidP="00F67E9E">
      <w:pPr>
        <w:pStyle w:val="Dividername"/>
      </w:pPr>
      <w:r w:rsidRPr="00D5341B">
        <w:lastRenderedPageBreak/>
        <w:t>Schedule 15</w:t>
      </w:r>
    </w:p>
    <w:p w14:paraId="2C4CC77E" w14:textId="77777777" w:rsidR="00F67E9E" w:rsidRPr="0080013D" w:rsidRDefault="00F67E9E" w:rsidP="00F67E9E">
      <w:pPr>
        <w:pStyle w:val="Dividername"/>
      </w:pPr>
      <w:r w:rsidRPr="0080013D">
        <w:t xml:space="preserve">Charges </w:t>
      </w:r>
      <w:r>
        <w:t>a</w:t>
      </w:r>
      <w:r w:rsidRPr="0080013D">
        <w:t>nd Invoicing</w:t>
      </w:r>
    </w:p>
    <w:p w14:paraId="188DF754" w14:textId="77777777" w:rsidR="00F67E9E" w:rsidRPr="00D5341B" w:rsidRDefault="00F67E9E" w:rsidP="00F67E9E"/>
    <w:p w14:paraId="19562118" w14:textId="77777777" w:rsidR="00F67E9E" w:rsidRPr="00D5341B" w:rsidRDefault="00F67E9E" w:rsidP="00F67E9E"/>
    <w:p w14:paraId="18404573" w14:textId="77777777" w:rsidR="00F67E9E" w:rsidRPr="00D5341B" w:rsidRDefault="00F67E9E" w:rsidP="00F67E9E">
      <w:r w:rsidRPr="00D5341B">
        <w:br w:type="page"/>
      </w:r>
    </w:p>
    <w:p w14:paraId="74B51B4D" w14:textId="77777777" w:rsidR="00F67E9E" w:rsidRPr="005D0525" w:rsidRDefault="00F67E9E" w:rsidP="00F67E9E">
      <w:pPr>
        <w:pStyle w:val="Heading1"/>
      </w:pPr>
      <w:bookmarkStart w:id="747" w:name="Schedule15"/>
      <w:bookmarkStart w:id="748" w:name="_Ref92199959"/>
      <w:bookmarkStart w:id="749" w:name="_Toc145412770"/>
      <w:r w:rsidRPr="005D0525">
        <w:lastRenderedPageBreak/>
        <w:t>Schedule</w:t>
      </w:r>
      <w:r>
        <w:t> </w:t>
      </w:r>
      <w:r w:rsidRPr="005D0525">
        <w:t>15</w:t>
      </w:r>
      <w:bookmarkEnd w:id="747"/>
      <w:r>
        <w:t xml:space="preserve">: </w:t>
      </w:r>
      <w:bookmarkStart w:id="750" w:name="Schedule15Heading"/>
      <w:r w:rsidRPr="005F1047">
        <w:t>Charges and Invoicing</w:t>
      </w:r>
      <w:bookmarkEnd w:id="748"/>
      <w:bookmarkEnd w:id="749"/>
      <w:bookmarkEnd w:id="750"/>
    </w:p>
    <w:p w14:paraId="62E54099" w14:textId="5F54FFA8" w:rsidR="00F67E9E" w:rsidRPr="00D5341B" w:rsidRDefault="00F67E9E" w:rsidP="00F13933">
      <w:pPr>
        <w:pStyle w:val="Numbered1"/>
        <w:numPr>
          <w:ilvl w:val="0"/>
          <w:numId w:val="121"/>
        </w:numPr>
      </w:pPr>
      <w:r w:rsidRPr="00D5341B">
        <w:t>Definitions</w:t>
      </w:r>
    </w:p>
    <w:p w14:paraId="0FEC0F84" w14:textId="77777777" w:rsidR="00F67E9E" w:rsidRPr="00D5341B" w:rsidRDefault="00F67E9E" w:rsidP="00F67E9E">
      <w:pPr>
        <w:pStyle w:val="Numbered11"/>
      </w:pPr>
      <w:r w:rsidRPr="00D5341B">
        <w:t xml:space="preserve">In this Schedule, the following </w:t>
      </w:r>
      <w:r w:rsidRPr="00772237">
        <w:t>definitions</w:t>
      </w:r>
      <w:r w:rsidRPr="00D5341B">
        <w:t xml:space="preserve"> shall apply:</w:t>
      </w:r>
    </w:p>
    <w:tbl>
      <w:tblPr>
        <w:tblStyle w:val="MSAdefinitions"/>
        <w:tblW w:w="9638" w:type="dxa"/>
        <w:tblLook w:val="04A0" w:firstRow="1" w:lastRow="0" w:firstColumn="1" w:lastColumn="0" w:noHBand="0" w:noVBand="1"/>
      </w:tblPr>
      <w:tblGrid>
        <w:gridCol w:w="2835"/>
        <w:gridCol w:w="6803"/>
      </w:tblGrid>
      <w:tr w:rsidR="00F67E9E" w:rsidRPr="00D5341B" w14:paraId="1DCB96B0" w14:textId="77777777" w:rsidTr="0052486C">
        <w:tc>
          <w:tcPr>
            <w:tcW w:w="2835" w:type="dxa"/>
          </w:tcPr>
          <w:p w14:paraId="6E1BFDF0" w14:textId="77777777" w:rsidR="00F67E9E" w:rsidRPr="00D5341B" w:rsidRDefault="00F67E9E" w:rsidP="0052486C">
            <w:pPr>
              <w:pStyle w:val="StdBodyTextBold"/>
              <w:rPr>
                <w:rFonts w:cs="Arial"/>
              </w:rPr>
            </w:pPr>
            <w:r>
              <w:rPr>
                <w:rFonts w:cs="Arial"/>
              </w:rPr>
              <w:t>“</w:t>
            </w:r>
            <w:r w:rsidRPr="00D5341B">
              <w:rPr>
                <w:rFonts w:cs="Arial"/>
              </w:rPr>
              <w:t>Achieved Profit Margin</w:t>
            </w:r>
            <w:r>
              <w:rPr>
                <w:rFonts w:cs="Arial"/>
              </w:rPr>
              <w:t>”</w:t>
            </w:r>
          </w:p>
        </w:tc>
        <w:tc>
          <w:tcPr>
            <w:tcW w:w="6803" w:type="dxa"/>
          </w:tcPr>
          <w:p w14:paraId="42E9C8DD" w14:textId="5BBE564F" w:rsidR="00F67E9E" w:rsidRPr="00D5341B" w:rsidRDefault="00F67E9E" w:rsidP="0052486C">
            <w:pPr>
              <w:pStyle w:val="StdBodyText"/>
              <w:rPr>
                <w:rFonts w:cs="Arial"/>
              </w:rPr>
            </w:pPr>
            <w:r w:rsidRPr="00D5341B">
              <w:rPr>
                <w:rFonts w:cs="Arial"/>
              </w:rPr>
              <w:t xml:space="preserve">the cumulative Supplier Profit Margin calculated from (and including) the Effective Date (or, if applicable, the date of the last adjustment to the Charges made pursuant to </w:t>
            </w:r>
            <w:bookmarkStart w:id="751" w:name="_9kR3WTr2CC5CEYEnoewrqyCL"/>
            <w:r w:rsidRPr="00D5341B">
              <w:rPr>
                <w:rFonts w:cs="Arial"/>
              </w:rPr>
              <w:t>Paragraph</w:t>
            </w:r>
            <w:bookmarkEnd w:id="751"/>
            <w:r>
              <w:rPr>
                <w:rFonts w:cs="Arial"/>
              </w:rPr>
              <w:t> </w:t>
            </w:r>
            <w:r w:rsidRPr="00D5341B">
              <w:rPr>
                <w:rFonts w:cs="Arial"/>
              </w:rPr>
              <w:fldChar w:fldCharType="begin"/>
            </w:r>
            <w:r w:rsidRPr="00D5341B">
              <w:rPr>
                <w:rFonts w:cs="Arial"/>
              </w:rPr>
              <w:instrText xml:space="preserve"> REF _Ref41640294 \w \h </w:instrText>
            </w:r>
            <w:r>
              <w:rPr>
                <w:rFonts w:cs="Arial"/>
              </w:rPr>
              <w:instrText xml:space="preserve"> \* MERGEFORMAT </w:instrText>
            </w:r>
            <w:r w:rsidRPr="00D5341B">
              <w:rPr>
                <w:rFonts w:cs="Arial"/>
              </w:rPr>
            </w:r>
            <w:r w:rsidRPr="00D5341B">
              <w:rPr>
                <w:rFonts w:cs="Arial"/>
              </w:rPr>
              <w:fldChar w:fldCharType="separate"/>
            </w:r>
            <w:r w:rsidR="007A1473">
              <w:rPr>
                <w:rFonts w:cs="Arial"/>
              </w:rPr>
              <w:t>2.2</w:t>
            </w:r>
            <w:r w:rsidRPr="00D5341B">
              <w:rPr>
                <w:rFonts w:cs="Arial"/>
              </w:rPr>
              <w:fldChar w:fldCharType="end"/>
            </w:r>
            <w:r w:rsidRPr="00D5341B">
              <w:rPr>
                <w:rFonts w:cs="Arial"/>
              </w:rPr>
              <w:t xml:space="preserve"> of </w:t>
            </w:r>
            <w:r w:rsidRPr="00D5341B">
              <w:rPr>
                <w:rFonts w:cs="Arial"/>
              </w:rPr>
              <w:fldChar w:fldCharType="begin"/>
            </w:r>
            <w:r w:rsidRPr="00D5341B">
              <w:rPr>
                <w:rFonts w:cs="Arial"/>
              </w:rPr>
              <w:instrText xml:space="preserve"> REF Sch15PartD \h  \* MERGEFORMAT </w:instrText>
            </w:r>
            <w:r w:rsidRPr="00D5341B">
              <w:rPr>
                <w:rFonts w:cs="Arial"/>
              </w:rPr>
            </w:r>
            <w:r w:rsidRPr="00D5341B">
              <w:rPr>
                <w:rFonts w:cs="Arial"/>
              </w:rPr>
              <w:fldChar w:fldCharType="separate"/>
            </w:r>
            <w:r w:rsidR="007A1473" w:rsidRPr="007A1473">
              <w:rPr>
                <w:rFonts w:cs="Arial"/>
              </w:rPr>
              <w:t>Part D</w:t>
            </w:r>
            <w:r w:rsidRPr="00D5341B">
              <w:rPr>
                <w:rFonts w:cs="Arial"/>
              </w:rPr>
              <w:fldChar w:fldCharType="end"/>
            </w:r>
            <w:r w:rsidRPr="00D5341B">
              <w:rPr>
                <w:rFonts w:cs="Arial"/>
              </w:rPr>
              <w:t>) to (and including) the last day of the previous Contract Year;</w:t>
            </w:r>
          </w:p>
        </w:tc>
      </w:tr>
      <w:tr w:rsidR="00F67E9E" w:rsidRPr="00277440" w14:paraId="5B10E2AD" w14:textId="77777777" w:rsidTr="0052486C">
        <w:tc>
          <w:tcPr>
            <w:tcW w:w="2835" w:type="dxa"/>
          </w:tcPr>
          <w:p w14:paraId="26608D98" w14:textId="77777777" w:rsidR="00F67E9E" w:rsidRPr="00D5341B" w:rsidRDefault="00F67E9E" w:rsidP="0052486C">
            <w:pPr>
              <w:pStyle w:val="StdBodyTextBold"/>
              <w:rPr>
                <w:rFonts w:cs="Arial"/>
              </w:rPr>
            </w:pPr>
            <w:r>
              <w:rPr>
                <w:rFonts w:cs="Arial"/>
              </w:rPr>
              <w:t>“</w:t>
            </w:r>
            <w:r w:rsidRPr="00D5341B">
              <w:rPr>
                <w:rFonts w:cs="Arial"/>
              </w:rPr>
              <w:t>Anticipated Contract Life Profit Margin</w:t>
            </w:r>
            <w:r>
              <w:rPr>
                <w:rFonts w:cs="Arial"/>
              </w:rPr>
              <w:t>”</w:t>
            </w:r>
          </w:p>
        </w:tc>
        <w:tc>
          <w:tcPr>
            <w:tcW w:w="6803" w:type="dxa"/>
          </w:tcPr>
          <w:p w14:paraId="6124C7C6" w14:textId="77777777" w:rsidR="00F67E9E" w:rsidRPr="00277440" w:rsidRDefault="00F67E9E" w:rsidP="0052486C">
            <w:pPr>
              <w:pStyle w:val="StdBodyText"/>
              <w:rPr>
                <w:rFonts w:cs="Arial"/>
              </w:rPr>
            </w:pPr>
            <w:r w:rsidRPr="00D5341B">
              <w:rPr>
                <w:rFonts w:cs="Arial"/>
              </w:rPr>
              <w:t>the anticipated Supplier Profit Margin over the Term as reflected in the Financial Model;</w:t>
            </w:r>
          </w:p>
        </w:tc>
      </w:tr>
      <w:tr w:rsidR="00F67E9E" w:rsidRPr="00277440" w14:paraId="233917E9" w14:textId="77777777" w:rsidTr="0052486C">
        <w:tc>
          <w:tcPr>
            <w:tcW w:w="2835" w:type="dxa"/>
          </w:tcPr>
          <w:p w14:paraId="31D4E855" w14:textId="77777777" w:rsidR="00F67E9E" w:rsidRPr="00277440" w:rsidRDefault="00F67E9E" w:rsidP="0052486C">
            <w:pPr>
              <w:pStyle w:val="StdBodyTextBold"/>
              <w:rPr>
                <w:rFonts w:cs="Arial"/>
              </w:rPr>
            </w:pPr>
            <w:r>
              <w:rPr>
                <w:rFonts w:cs="Arial"/>
              </w:rPr>
              <w:t>“</w:t>
            </w:r>
            <w:r w:rsidRPr="00277440">
              <w:rPr>
                <w:rFonts w:cs="Arial"/>
              </w:rPr>
              <w:t>Capped ADR</w:t>
            </w:r>
            <w:r>
              <w:rPr>
                <w:rFonts w:cs="Arial"/>
              </w:rPr>
              <w:t>”</w:t>
            </w:r>
          </w:p>
        </w:tc>
        <w:tc>
          <w:tcPr>
            <w:tcW w:w="6803" w:type="dxa"/>
          </w:tcPr>
          <w:p w14:paraId="4FE1C46B" w14:textId="13766D36" w:rsidR="00F67E9E" w:rsidRPr="00277440" w:rsidRDefault="00A65CAC" w:rsidP="00A65CAC">
            <w:pPr>
              <w:pStyle w:val="StdBodyText"/>
              <w:rPr>
                <w:rFonts w:cs="Arial"/>
              </w:rPr>
            </w:pPr>
            <w:r>
              <w:rPr>
                <w:rFonts w:cs="Arial"/>
              </w:rPr>
              <w:t xml:space="preserve">where a </w:t>
            </w:r>
            <w:r w:rsidR="00F67E9E" w:rsidRPr="00277440">
              <w:rPr>
                <w:rFonts w:cs="Arial"/>
              </w:rPr>
              <w:t xml:space="preserve">a Milestone Payment or Service Charge </w:t>
            </w:r>
            <w:r>
              <w:rPr>
                <w:rFonts w:cs="Arial"/>
              </w:rPr>
              <w:t xml:space="preserve">is calculated under a Time and Materials Pricing mechanisn, </w:t>
            </w:r>
            <w:r w:rsidR="00F67E9E" w:rsidRPr="00277440">
              <w:rPr>
                <w:rFonts w:cs="Arial"/>
              </w:rPr>
              <w:t>means a capped average day rate calculated by reference to a Time and Materials pricing mechanism,</w:t>
            </w:r>
            <w:r>
              <w:rPr>
                <w:rFonts w:cs="Arial"/>
              </w:rPr>
              <w:t xml:space="preserve"> as calculated by the Authority in accordance with the applicable day rates</w:t>
            </w:r>
            <w:r w:rsidR="00F67E9E" w:rsidRPr="00277440">
              <w:rPr>
                <w:rFonts w:cs="Arial"/>
              </w:rPr>
              <w:t>;</w:t>
            </w:r>
          </w:p>
        </w:tc>
      </w:tr>
      <w:tr w:rsidR="00F67E9E" w:rsidRPr="00D5341B" w14:paraId="14CFE067" w14:textId="77777777" w:rsidTr="0052486C">
        <w:tc>
          <w:tcPr>
            <w:tcW w:w="2835" w:type="dxa"/>
          </w:tcPr>
          <w:p w14:paraId="605713B8" w14:textId="77777777" w:rsidR="00F67E9E" w:rsidRPr="00D5341B" w:rsidRDefault="00F67E9E" w:rsidP="0052486C">
            <w:pPr>
              <w:pStyle w:val="StdBodyTextBold"/>
              <w:rPr>
                <w:rFonts w:cs="Arial"/>
              </w:rPr>
            </w:pPr>
            <w:r>
              <w:rPr>
                <w:rFonts w:cs="Arial"/>
              </w:rPr>
              <w:t>“</w:t>
            </w:r>
            <w:r w:rsidRPr="00D5341B">
              <w:rPr>
                <w:rFonts w:cs="Arial"/>
              </w:rPr>
              <w:t>Certificate of Costs</w:t>
            </w:r>
            <w:r>
              <w:rPr>
                <w:rFonts w:cs="Arial"/>
              </w:rPr>
              <w:t>”</w:t>
            </w:r>
          </w:p>
        </w:tc>
        <w:tc>
          <w:tcPr>
            <w:tcW w:w="6803" w:type="dxa"/>
          </w:tcPr>
          <w:p w14:paraId="079C5E07" w14:textId="314568FF" w:rsidR="00F67E9E" w:rsidRPr="00D5341B" w:rsidRDefault="00F67E9E" w:rsidP="0052486C">
            <w:pPr>
              <w:pStyle w:val="StdBodyText"/>
              <w:rPr>
                <w:rFonts w:cs="Arial"/>
              </w:rPr>
            </w:pPr>
            <w:r w:rsidRPr="00D5341B">
              <w:rPr>
                <w:rFonts w:cs="Arial"/>
              </w:rPr>
              <w:t>a certificate of costs signed by the Supplier</w:t>
            </w:r>
            <w:r>
              <w:rPr>
                <w:rFonts w:cs="Arial"/>
              </w:rPr>
              <w:t>’</w:t>
            </w:r>
            <w:r w:rsidRPr="00D5341B">
              <w:rPr>
                <w:rFonts w:cs="Arial"/>
              </w:rPr>
              <w:t xml:space="preserve">s Chief Financial Officer or Director of Finance (or equivalent as agreed in writing by the Authority in advance of issue of the relevant certificate) and substantially in the format set out in Annex </w:t>
            </w:r>
            <w:r w:rsidRPr="00D5341B">
              <w:rPr>
                <w:rFonts w:cs="Arial"/>
              </w:rPr>
              <w:fldChar w:fldCharType="begin"/>
            </w:r>
            <w:r w:rsidRPr="00D5341B">
              <w:rPr>
                <w:rFonts w:cs="Arial"/>
              </w:rPr>
              <w:instrText xml:space="preserve"> REF ANNEX3_SCHEDULE15 \h </w:instrText>
            </w:r>
            <w:r>
              <w:rPr>
                <w:rFonts w:cs="Arial"/>
              </w:rPr>
              <w:instrText xml:space="preserve"> \* MERGEFORMAT </w:instrText>
            </w:r>
            <w:r w:rsidRPr="00D5341B">
              <w:rPr>
                <w:rFonts w:cs="Arial"/>
              </w:rPr>
            </w:r>
            <w:r w:rsidRPr="00D5341B">
              <w:rPr>
                <w:rFonts w:cs="Arial"/>
              </w:rPr>
              <w:fldChar w:fldCharType="separate"/>
            </w:r>
            <w:r w:rsidR="007A1473" w:rsidRPr="007A1473">
              <w:rPr>
                <w:rFonts w:cs="Arial"/>
              </w:rPr>
              <w:t>3</w:t>
            </w:r>
            <w:r w:rsidRPr="00D5341B">
              <w:rPr>
                <w:rFonts w:cs="Arial"/>
              </w:rPr>
              <w:fldChar w:fldCharType="end"/>
            </w:r>
            <w:r w:rsidRPr="00D5341B">
              <w:rPr>
                <w:rFonts w:cs="Arial"/>
              </w:rPr>
              <w:t>;</w:t>
            </w:r>
          </w:p>
        </w:tc>
      </w:tr>
      <w:tr w:rsidR="00F67E9E" w:rsidRPr="00D5341B" w14:paraId="511D2898" w14:textId="77777777" w:rsidTr="0052486C">
        <w:tc>
          <w:tcPr>
            <w:tcW w:w="2835" w:type="dxa"/>
          </w:tcPr>
          <w:p w14:paraId="05E08931" w14:textId="77777777" w:rsidR="00F67E9E" w:rsidRPr="00D5341B" w:rsidRDefault="00F67E9E" w:rsidP="0052486C">
            <w:pPr>
              <w:pStyle w:val="StdBodyTextBold"/>
              <w:rPr>
                <w:rFonts w:cs="Arial"/>
              </w:rPr>
            </w:pPr>
            <w:r>
              <w:rPr>
                <w:rFonts w:cs="Arial"/>
              </w:rPr>
              <w:t>“</w:t>
            </w:r>
            <w:r w:rsidRPr="00D5341B">
              <w:rPr>
                <w:rFonts w:cs="Arial"/>
              </w:rPr>
              <w:t>Costs</w:t>
            </w:r>
            <w:r>
              <w:rPr>
                <w:rFonts w:cs="Arial"/>
              </w:rPr>
              <w:t>”</w:t>
            </w:r>
          </w:p>
        </w:tc>
        <w:tc>
          <w:tcPr>
            <w:tcW w:w="6803" w:type="dxa"/>
          </w:tcPr>
          <w:p w14:paraId="11FBD201" w14:textId="77777777" w:rsidR="00F67E9E" w:rsidRPr="00D5341B" w:rsidRDefault="00F67E9E" w:rsidP="0052486C">
            <w:pPr>
              <w:pStyle w:val="StdBodyText"/>
              <w:rPr>
                <w:rFonts w:cs="Arial"/>
              </w:rPr>
            </w:pPr>
            <w:r w:rsidRPr="00D5341B">
              <w:rPr>
                <w:rFonts w:cs="Arial"/>
              </w:rPr>
              <w:t>the following costs (without double recovery) to the extent that they are reasonably and properly incurred by the Supplier in providing the Services:</w:t>
            </w:r>
          </w:p>
          <w:p w14:paraId="04B4227F" w14:textId="77777777" w:rsidR="00F67E9E" w:rsidRPr="00D5341B" w:rsidRDefault="00F67E9E" w:rsidP="00F13933">
            <w:pPr>
              <w:pStyle w:val="DefinitionList"/>
              <w:numPr>
                <w:ilvl w:val="0"/>
                <w:numId w:val="87"/>
              </w:numPr>
            </w:pPr>
            <w:bookmarkStart w:id="752" w:name="_Ref_ContractCompanion_9kb9Ur9ID"/>
            <w:bookmarkStart w:id="753" w:name="_9kR3WTrAG8DMJeJfifw5qDOJVQDJK24Cyu5MSUQ"/>
            <w:r w:rsidRPr="00D5341B">
              <w:t>the cost to the Supplier or the Key Sub-contractor (as the context requires), calculated per Work Day, of engaging the Supplier Personnel, including:</w:t>
            </w:r>
            <w:bookmarkEnd w:id="752"/>
            <w:bookmarkEnd w:id="753"/>
          </w:p>
          <w:p w14:paraId="0D9C031C" w14:textId="77777777" w:rsidR="00F67E9E" w:rsidRPr="00D5341B" w:rsidRDefault="00F67E9E" w:rsidP="00F13933">
            <w:pPr>
              <w:pStyle w:val="DefinitionListLevel1"/>
              <w:numPr>
                <w:ilvl w:val="1"/>
                <w:numId w:val="78"/>
              </w:numPr>
              <w:rPr>
                <w:rFonts w:cs="Arial"/>
              </w:rPr>
            </w:pPr>
            <w:r w:rsidRPr="00D5341B">
              <w:rPr>
                <w:rFonts w:cs="Arial"/>
              </w:rPr>
              <w:t>base salary paid to the Supplier Personnel;</w:t>
            </w:r>
          </w:p>
          <w:p w14:paraId="352FF9A7" w14:textId="77777777" w:rsidR="00F67E9E" w:rsidRPr="00D5341B" w:rsidRDefault="00F67E9E" w:rsidP="00F13933">
            <w:pPr>
              <w:pStyle w:val="DefinitionListLevel1"/>
              <w:numPr>
                <w:ilvl w:val="1"/>
                <w:numId w:val="78"/>
              </w:numPr>
              <w:rPr>
                <w:rFonts w:cs="Arial"/>
              </w:rPr>
            </w:pPr>
            <w:r w:rsidRPr="00D5341B">
              <w:rPr>
                <w:rFonts w:cs="Arial"/>
              </w:rPr>
              <w:t>employer</w:t>
            </w:r>
            <w:r>
              <w:rPr>
                <w:rFonts w:cs="Arial"/>
              </w:rPr>
              <w:t>’</w:t>
            </w:r>
            <w:r w:rsidRPr="00D5341B">
              <w:rPr>
                <w:rFonts w:cs="Arial"/>
              </w:rPr>
              <w:t>s national insurance contributions;</w:t>
            </w:r>
          </w:p>
          <w:p w14:paraId="0C894327" w14:textId="77777777" w:rsidR="00F67E9E" w:rsidRPr="00D5341B" w:rsidRDefault="00F67E9E" w:rsidP="00F13933">
            <w:pPr>
              <w:pStyle w:val="DefinitionListLevel1"/>
              <w:numPr>
                <w:ilvl w:val="1"/>
                <w:numId w:val="78"/>
              </w:numPr>
              <w:rPr>
                <w:rFonts w:cs="Arial"/>
              </w:rPr>
            </w:pPr>
            <w:r w:rsidRPr="00D5341B">
              <w:rPr>
                <w:rFonts w:cs="Arial"/>
              </w:rPr>
              <w:t>Employer Pension Contributions;</w:t>
            </w:r>
          </w:p>
          <w:p w14:paraId="08E1ED96" w14:textId="77777777" w:rsidR="00F67E9E" w:rsidRPr="00D5341B" w:rsidRDefault="00F67E9E" w:rsidP="00F13933">
            <w:pPr>
              <w:pStyle w:val="DefinitionListLevel1"/>
              <w:numPr>
                <w:ilvl w:val="1"/>
                <w:numId w:val="78"/>
              </w:numPr>
              <w:rPr>
                <w:rFonts w:cs="Arial"/>
              </w:rPr>
            </w:pPr>
            <w:r w:rsidRPr="00D5341B">
              <w:rPr>
                <w:rFonts w:cs="Arial"/>
              </w:rPr>
              <w:t xml:space="preserve">car allowances; </w:t>
            </w:r>
          </w:p>
          <w:p w14:paraId="5E6452BB" w14:textId="77777777" w:rsidR="00F67E9E" w:rsidRPr="00D5341B" w:rsidRDefault="00F67E9E" w:rsidP="00F13933">
            <w:pPr>
              <w:pStyle w:val="DefinitionListLevel1"/>
              <w:numPr>
                <w:ilvl w:val="1"/>
                <w:numId w:val="78"/>
              </w:numPr>
              <w:rPr>
                <w:rFonts w:cs="Arial"/>
              </w:rPr>
            </w:pPr>
            <w:r w:rsidRPr="00D5341B">
              <w:rPr>
                <w:rFonts w:cs="Arial"/>
              </w:rPr>
              <w:t xml:space="preserve">any other contractual employment benefits; </w:t>
            </w:r>
          </w:p>
          <w:p w14:paraId="49C6B576" w14:textId="77777777" w:rsidR="00F67E9E" w:rsidRPr="00D5341B" w:rsidRDefault="00F67E9E" w:rsidP="00F13933">
            <w:pPr>
              <w:pStyle w:val="DefinitionListLevel1"/>
              <w:numPr>
                <w:ilvl w:val="1"/>
                <w:numId w:val="78"/>
              </w:numPr>
              <w:rPr>
                <w:rFonts w:cs="Arial"/>
              </w:rPr>
            </w:pPr>
            <w:r w:rsidRPr="00D5341B">
              <w:rPr>
                <w:rFonts w:cs="Arial"/>
              </w:rPr>
              <w:t>staff training;</w:t>
            </w:r>
          </w:p>
          <w:p w14:paraId="672C4E6D" w14:textId="77777777" w:rsidR="00F67E9E" w:rsidRPr="00D5341B" w:rsidRDefault="00F67E9E" w:rsidP="00F13933">
            <w:pPr>
              <w:pStyle w:val="DefinitionListLevel1"/>
              <w:numPr>
                <w:ilvl w:val="1"/>
                <w:numId w:val="78"/>
              </w:numPr>
              <w:rPr>
                <w:rFonts w:cs="Arial"/>
              </w:rPr>
            </w:pPr>
            <w:r w:rsidRPr="00D5341B">
              <w:rPr>
                <w:rFonts w:cs="Arial"/>
              </w:rPr>
              <w:t>work place accommodation;</w:t>
            </w:r>
          </w:p>
          <w:p w14:paraId="29C98E48" w14:textId="166C70D5" w:rsidR="00F67E9E" w:rsidRPr="00D5341B" w:rsidRDefault="00F67E9E" w:rsidP="00F13933">
            <w:pPr>
              <w:pStyle w:val="DefinitionListLevel1"/>
              <w:numPr>
                <w:ilvl w:val="1"/>
                <w:numId w:val="78"/>
              </w:numPr>
              <w:rPr>
                <w:rFonts w:cs="Arial"/>
              </w:rPr>
            </w:pPr>
            <w:r w:rsidRPr="00D5341B">
              <w:rPr>
                <w:rFonts w:cs="Arial"/>
              </w:rPr>
              <w:t xml:space="preserve">work place IT equipment and tools reasonably necessary to perform the Services (but not </w:t>
            </w:r>
            <w:r w:rsidRPr="00D5341B">
              <w:rPr>
                <w:rFonts w:cs="Arial"/>
              </w:rPr>
              <w:lastRenderedPageBreak/>
              <w:t xml:space="preserve">including items included within limb </w:t>
            </w:r>
            <w:r w:rsidRPr="00D5341B">
              <w:rPr>
                <w:rFonts w:cs="Arial"/>
              </w:rPr>
              <w:fldChar w:fldCharType="begin"/>
            </w:r>
            <w:r w:rsidRPr="00D5341B">
              <w:rPr>
                <w:rFonts w:cs="Arial"/>
              </w:rPr>
              <w:instrText xml:space="preserve"> REF _Ref_ContractCompanion_9kb9Ur9IG \r \h  \* MERGEFORMAT </w:instrText>
            </w:r>
            <w:r w:rsidRPr="00D5341B">
              <w:rPr>
                <w:rFonts w:cs="Arial"/>
              </w:rPr>
            </w:r>
            <w:r w:rsidRPr="00D5341B">
              <w:rPr>
                <w:rFonts w:cs="Arial"/>
              </w:rPr>
              <w:fldChar w:fldCharType="separate"/>
            </w:r>
            <w:r w:rsidR="007A1473">
              <w:rPr>
                <w:rFonts w:cs="Arial"/>
              </w:rPr>
              <w:t>(b)</w:t>
            </w:r>
            <w:r w:rsidRPr="00D5341B">
              <w:rPr>
                <w:rFonts w:cs="Arial"/>
              </w:rPr>
              <w:fldChar w:fldCharType="end"/>
            </w:r>
            <w:r w:rsidRPr="00D5341B">
              <w:rPr>
                <w:rFonts w:cs="Arial"/>
              </w:rPr>
              <w:t xml:space="preserve"> below); and</w:t>
            </w:r>
          </w:p>
          <w:p w14:paraId="34641C1A" w14:textId="77777777" w:rsidR="00F67E9E" w:rsidRPr="00D5341B" w:rsidRDefault="00F67E9E" w:rsidP="00F13933">
            <w:pPr>
              <w:pStyle w:val="DefinitionListLevel1"/>
              <w:numPr>
                <w:ilvl w:val="1"/>
                <w:numId w:val="78"/>
              </w:numPr>
              <w:rPr>
                <w:rFonts w:cs="Arial"/>
              </w:rPr>
            </w:pPr>
            <w:bookmarkStart w:id="754" w:name="_9kR3WTr8HB46Fx0"/>
            <w:bookmarkEnd w:id="754"/>
            <w:r w:rsidRPr="00D5341B">
              <w:rPr>
                <w:rFonts w:cs="Arial"/>
              </w:rPr>
              <w:t>reasonable recruitment costs, as agreed with the Authority;</w:t>
            </w:r>
          </w:p>
          <w:p w14:paraId="7F96D0E8" w14:textId="77777777" w:rsidR="00F67E9E" w:rsidRPr="00D5341B" w:rsidRDefault="00F67E9E" w:rsidP="00F13933">
            <w:pPr>
              <w:pStyle w:val="DefinitionList"/>
              <w:numPr>
                <w:ilvl w:val="0"/>
                <w:numId w:val="87"/>
              </w:numPr>
              <w:rPr>
                <w:rFonts w:cs="Arial"/>
              </w:rPr>
            </w:pPr>
            <w:bookmarkStart w:id="755" w:name="_Ref_ContractCompanion_9kb9Ur9IG"/>
            <w:bookmarkStart w:id="756" w:name="_Ref_ContractCompanion_9kb9Us119"/>
            <w:r w:rsidRPr="00D5341B">
              <w:rPr>
                <w:rFonts w:cs="Arial"/>
              </w:rPr>
              <w:t xml:space="preserve">costs incurred in respect of those Assets which are detailed on the Registers and which would be treated as capital costs according to generally accepted accounting principles within the UK, which shall include the cost to be charged in respect of Assets by </w:t>
            </w:r>
            <w:r w:rsidRPr="00772237">
              <w:t>the</w:t>
            </w:r>
            <w:r w:rsidRPr="00D5341B">
              <w:rPr>
                <w:rFonts w:cs="Arial"/>
              </w:rPr>
              <w:t xml:space="preserve"> Supplier to the Authority or (to the extent that risk and title in any Asset is not held by the Supplier) any cost actually incurred by the Supplier in respect of those Assets;</w:t>
            </w:r>
            <w:bookmarkEnd w:id="755"/>
            <w:bookmarkEnd w:id="756"/>
          </w:p>
          <w:p w14:paraId="57D94EB7" w14:textId="0087501D" w:rsidR="00F67E9E" w:rsidRPr="00D5341B" w:rsidRDefault="00F67E9E" w:rsidP="00F13933">
            <w:pPr>
              <w:pStyle w:val="DefinitionList"/>
              <w:numPr>
                <w:ilvl w:val="0"/>
                <w:numId w:val="87"/>
              </w:numPr>
              <w:rPr>
                <w:rFonts w:cs="Arial"/>
              </w:rPr>
            </w:pPr>
            <w:bookmarkStart w:id="757" w:name="_Ref_ContractCompanion_9kb9Us123"/>
            <w:bookmarkStart w:id="758" w:name="_9kR3WTrAG9569bJfifw5qDOJVQDJK3o2G7A7AJF"/>
            <w:r w:rsidRPr="00D5341B">
              <w:rPr>
                <w:rFonts w:cs="Arial"/>
              </w:rPr>
              <w:t xml:space="preserve">operational costs which are not included within </w:t>
            </w:r>
            <w:bookmarkStart w:id="759" w:name="_9kMHG5YVtCIAFOLgLhkhy7sFQLXSFLM46E0w7OU"/>
            <w:r w:rsidRPr="00D5341B">
              <w:rPr>
                <w:rFonts w:cs="Arial"/>
              </w:rPr>
              <w:fldChar w:fldCharType="begin"/>
            </w:r>
            <w:r w:rsidRPr="00D5341B">
              <w:rPr>
                <w:rFonts w:cs="Arial"/>
              </w:rPr>
              <w:instrText xml:space="preserve"> REF _Ref_ContractCompanion_9kb9Ur9ID \w \n \h \t \* MERGEFORMAT </w:instrText>
            </w:r>
            <w:r w:rsidRPr="00D5341B">
              <w:rPr>
                <w:rFonts w:cs="Arial"/>
              </w:rPr>
            </w:r>
            <w:r w:rsidRPr="00D5341B">
              <w:rPr>
                <w:rFonts w:cs="Arial"/>
              </w:rPr>
              <w:fldChar w:fldCharType="separate"/>
            </w:r>
            <w:r w:rsidR="007A1473">
              <w:rPr>
                <w:rFonts w:cs="Arial"/>
              </w:rPr>
              <w:t>(a)</w:t>
            </w:r>
            <w:r w:rsidRPr="00D5341B">
              <w:rPr>
                <w:rFonts w:cs="Arial"/>
              </w:rPr>
              <w:fldChar w:fldCharType="end"/>
            </w:r>
            <w:bookmarkEnd w:id="759"/>
            <w:r w:rsidRPr="00D5341B">
              <w:rPr>
                <w:rFonts w:cs="Arial"/>
              </w:rPr>
              <w:t xml:space="preserve"> or </w:t>
            </w:r>
            <w:bookmarkStart w:id="760" w:name="_9kR3WTr2BBDMMq"/>
            <w:r w:rsidRPr="00D5341B">
              <w:rPr>
                <w:rFonts w:cs="Arial"/>
              </w:rPr>
              <w:fldChar w:fldCharType="begin"/>
            </w:r>
            <w:r w:rsidRPr="00D5341B">
              <w:rPr>
                <w:rFonts w:cs="Arial"/>
              </w:rPr>
              <w:instrText xml:space="preserve"> REF _Ref_ContractCompanion_9kb9Ur9IG \w \n \h \t \* MERGEFORMAT </w:instrText>
            </w:r>
            <w:r w:rsidRPr="00D5341B">
              <w:rPr>
                <w:rFonts w:cs="Arial"/>
              </w:rPr>
            </w:r>
            <w:r w:rsidRPr="00D5341B">
              <w:rPr>
                <w:rFonts w:cs="Arial"/>
              </w:rPr>
              <w:fldChar w:fldCharType="separate"/>
            </w:r>
            <w:r w:rsidR="007A1473">
              <w:rPr>
                <w:rFonts w:cs="Arial"/>
              </w:rPr>
              <w:t>(b)</w:t>
            </w:r>
            <w:r w:rsidRPr="00D5341B">
              <w:rPr>
                <w:rFonts w:cs="Arial"/>
              </w:rPr>
              <w:fldChar w:fldCharType="end"/>
            </w:r>
            <w:bookmarkEnd w:id="760"/>
            <w:r w:rsidRPr="00D5341B">
              <w:rPr>
                <w:rFonts w:cs="Arial"/>
              </w:rPr>
              <w:t xml:space="preserve"> above, to the extent that such costs are necessary and </w:t>
            </w:r>
            <w:r w:rsidRPr="00772237">
              <w:t>properly</w:t>
            </w:r>
            <w:r w:rsidRPr="00D5341B">
              <w:rPr>
                <w:rFonts w:cs="Arial"/>
              </w:rPr>
              <w:t xml:space="preserve"> incurred by the Supplier in the delivery of the Services;</w:t>
            </w:r>
            <w:bookmarkEnd w:id="757"/>
            <w:bookmarkEnd w:id="758"/>
          </w:p>
          <w:p w14:paraId="46AD94D4" w14:textId="77777777" w:rsidR="00F67E9E" w:rsidRPr="00D5341B" w:rsidRDefault="00F67E9E" w:rsidP="00F13933">
            <w:pPr>
              <w:pStyle w:val="DefinitionList"/>
              <w:numPr>
                <w:ilvl w:val="0"/>
                <w:numId w:val="87"/>
              </w:numPr>
              <w:rPr>
                <w:rFonts w:cs="Arial"/>
              </w:rPr>
            </w:pPr>
            <w:r w:rsidRPr="00772237">
              <w:t>Forecast</w:t>
            </w:r>
            <w:r w:rsidRPr="00D5341B">
              <w:rPr>
                <w:rFonts w:cs="Arial"/>
              </w:rPr>
              <w:t xml:space="preserve"> Contingency Costs;</w:t>
            </w:r>
          </w:p>
          <w:p w14:paraId="0C335466" w14:textId="77777777" w:rsidR="00F67E9E" w:rsidRPr="00D5341B" w:rsidRDefault="00F67E9E" w:rsidP="00F13933">
            <w:pPr>
              <w:pStyle w:val="DefinitionList"/>
              <w:numPr>
                <w:ilvl w:val="0"/>
                <w:numId w:val="87"/>
              </w:numPr>
              <w:rPr>
                <w:rFonts w:cs="Arial"/>
              </w:rPr>
            </w:pPr>
            <w:r w:rsidRPr="00D5341B">
              <w:rPr>
                <w:rFonts w:cs="Arial"/>
              </w:rPr>
              <w:t xml:space="preserve">Reimbursable Expenses to the extent these are </w:t>
            </w:r>
            <w:r w:rsidRPr="00772237">
              <w:t>incurred</w:t>
            </w:r>
            <w:r w:rsidRPr="00D5341B">
              <w:rPr>
                <w:rFonts w:cs="Arial"/>
              </w:rPr>
              <w:t xml:space="preserve"> in delivering any Services where the Charges for those Services are to be calculated on a Fixed Price or Firm Price pricing mechanism;</w:t>
            </w:r>
          </w:p>
          <w:p w14:paraId="28397631" w14:textId="77777777" w:rsidR="00F67E9E" w:rsidRPr="00D5341B" w:rsidRDefault="00F67E9E" w:rsidP="0052486C">
            <w:pPr>
              <w:pStyle w:val="StdBodyText"/>
              <w:rPr>
                <w:rFonts w:cs="Arial"/>
              </w:rPr>
            </w:pPr>
            <w:r w:rsidRPr="00D5341B">
              <w:rPr>
                <w:rFonts w:cs="Arial"/>
              </w:rPr>
              <w:t>but excluding:</w:t>
            </w:r>
          </w:p>
          <w:p w14:paraId="3F7804ED" w14:textId="77777777" w:rsidR="00F67E9E" w:rsidRPr="00D5341B" w:rsidRDefault="00F67E9E" w:rsidP="00F13933">
            <w:pPr>
              <w:pStyle w:val="DefinitionListLevel1"/>
              <w:numPr>
                <w:ilvl w:val="1"/>
                <w:numId w:val="78"/>
              </w:numPr>
              <w:rPr>
                <w:rFonts w:cs="Arial"/>
              </w:rPr>
            </w:pPr>
            <w:bookmarkStart w:id="761" w:name="_Ref_ContractCompanion_9kb9Us126"/>
            <w:r w:rsidRPr="00D5341B">
              <w:rPr>
                <w:rFonts w:cs="Arial"/>
              </w:rPr>
              <w:t>Overhead;</w:t>
            </w:r>
            <w:bookmarkEnd w:id="761"/>
          </w:p>
          <w:p w14:paraId="7A61CABE" w14:textId="77777777" w:rsidR="00F67E9E" w:rsidRPr="00D5341B" w:rsidRDefault="00F67E9E" w:rsidP="00F13933">
            <w:pPr>
              <w:pStyle w:val="DefinitionListLevel1"/>
              <w:numPr>
                <w:ilvl w:val="1"/>
                <w:numId w:val="78"/>
              </w:numPr>
              <w:rPr>
                <w:rFonts w:cs="Arial"/>
              </w:rPr>
            </w:pPr>
            <w:r w:rsidRPr="00D5341B">
              <w:rPr>
                <w:rFonts w:cs="Arial"/>
              </w:rPr>
              <w:t>financing or similar costs;</w:t>
            </w:r>
          </w:p>
          <w:p w14:paraId="14ABC247" w14:textId="77777777" w:rsidR="00F67E9E" w:rsidRPr="00D5341B" w:rsidRDefault="00F67E9E" w:rsidP="00F13933">
            <w:pPr>
              <w:pStyle w:val="DefinitionListLevel1"/>
              <w:numPr>
                <w:ilvl w:val="1"/>
                <w:numId w:val="78"/>
              </w:numPr>
              <w:rPr>
                <w:rFonts w:cs="Arial"/>
              </w:rPr>
            </w:pPr>
            <w:r w:rsidRPr="00D5341B">
              <w:rPr>
                <w:rFonts w:cs="Arial"/>
              </w:rPr>
              <w:t xml:space="preserve">maintenance and support costs to the extent that these relate to maintenance and/or support services provided beyond the Term, whether in relation to Assets or otherwise; </w:t>
            </w:r>
          </w:p>
          <w:p w14:paraId="1C48DCF6" w14:textId="77777777" w:rsidR="00F67E9E" w:rsidRPr="00D5341B" w:rsidRDefault="00F67E9E" w:rsidP="00F13933">
            <w:pPr>
              <w:pStyle w:val="DefinitionListLevel1"/>
              <w:numPr>
                <w:ilvl w:val="1"/>
                <w:numId w:val="78"/>
              </w:numPr>
              <w:rPr>
                <w:rFonts w:cs="Arial"/>
              </w:rPr>
            </w:pPr>
            <w:r w:rsidRPr="00D5341B">
              <w:rPr>
                <w:rFonts w:cs="Arial"/>
              </w:rPr>
              <w:t>taxation;</w:t>
            </w:r>
          </w:p>
          <w:p w14:paraId="32518191" w14:textId="77777777" w:rsidR="00F67E9E" w:rsidRPr="00D5341B" w:rsidRDefault="00F67E9E" w:rsidP="00F13933">
            <w:pPr>
              <w:pStyle w:val="DefinitionListLevel1"/>
              <w:numPr>
                <w:ilvl w:val="1"/>
                <w:numId w:val="78"/>
              </w:numPr>
              <w:rPr>
                <w:rFonts w:cs="Arial"/>
              </w:rPr>
            </w:pPr>
            <w:r w:rsidRPr="00D5341B">
              <w:rPr>
                <w:rFonts w:cs="Arial"/>
              </w:rPr>
              <w:t>fines and penalties;</w:t>
            </w:r>
          </w:p>
          <w:p w14:paraId="7BE453FD" w14:textId="5711DC8C" w:rsidR="00F67E9E" w:rsidRPr="00D5341B" w:rsidRDefault="00F67E9E" w:rsidP="00F13933">
            <w:pPr>
              <w:pStyle w:val="DefinitionListLevel1"/>
              <w:numPr>
                <w:ilvl w:val="1"/>
                <w:numId w:val="78"/>
              </w:numPr>
              <w:rPr>
                <w:rFonts w:cs="Arial"/>
              </w:rPr>
            </w:pPr>
            <w:r w:rsidRPr="00D5341B">
              <w:rPr>
                <w:rFonts w:cs="Arial"/>
              </w:rPr>
              <w:t xml:space="preserve">amounts payable under </w:t>
            </w:r>
            <w:r>
              <w:rPr>
                <w:rFonts w:cs="Arial"/>
              </w:rPr>
              <w:fldChar w:fldCharType="begin"/>
            </w:r>
            <w:r>
              <w:rPr>
                <w:rFonts w:cs="Arial"/>
              </w:rPr>
              <w:instrText xml:space="preserve"> REF Schedule17 \h </w:instrText>
            </w:r>
            <w:r>
              <w:rPr>
                <w:rFonts w:cs="Arial"/>
              </w:rPr>
            </w:r>
            <w:r>
              <w:rPr>
                <w:rFonts w:cs="Arial"/>
              </w:rPr>
              <w:fldChar w:fldCharType="separate"/>
            </w:r>
            <w:r w:rsidR="007A1473" w:rsidRPr="005D0525">
              <w:t>Schedule</w:t>
            </w:r>
            <w:r w:rsidR="007A1473">
              <w:t> </w:t>
            </w:r>
            <w:r w:rsidR="007A1473" w:rsidRPr="005D0525">
              <w:t>17</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Schedule17Heading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Benchmarking</w:t>
            </w:r>
            <w:r w:rsidRPr="00B91437">
              <w:rPr>
                <w:rFonts w:cs="Arial"/>
                <w:i/>
                <w:iCs/>
              </w:rPr>
              <w:fldChar w:fldCharType="end"/>
            </w:r>
            <w:r>
              <w:rPr>
                <w:rFonts w:cs="Arial"/>
              </w:rPr>
              <w:t>)</w:t>
            </w:r>
            <w:r w:rsidRPr="00D5341B">
              <w:rPr>
                <w:rFonts w:cs="Arial"/>
              </w:rPr>
              <w:t xml:space="preserve">; and </w:t>
            </w:r>
          </w:p>
          <w:p w14:paraId="01771995" w14:textId="77777777" w:rsidR="00F67E9E" w:rsidRPr="00D5341B" w:rsidRDefault="00F67E9E" w:rsidP="00F13933">
            <w:pPr>
              <w:pStyle w:val="DefinitionListLevel1"/>
              <w:numPr>
                <w:ilvl w:val="1"/>
                <w:numId w:val="78"/>
              </w:numPr>
              <w:rPr>
                <w:rFonts w:cs="Arial"/>
              </w:rPr>
            </w:pPr>
            <w:bookmarkStart w:id="762" w:name="_Ref_ContractCompanion_9kb9Us129"/>
            <w:r w:rsidRPr="00D5341B">
              <w:rPr>
                <w:rFonts w:cs="Arial"/>
              </w:rPr>
              <w:t>non-cash items (including depreciation, amortisation, impairments and movements in provisions);</w:t>
            </w:r>
            <w:bookmarkEnd w:id="762"/>
          </w:p>
        </w:tc>
      </w:tr>
      <w:tr w:rsidR="00F67E9E" w:rsidRPr="00D5341B" w14:paraId="1342CF49" w14:textId="77777777" w:rsidTr="0052486C">
        <w:tc>
          <w:tcPr>
            <w:tcW w:w="2835" w:type="dxa"/>
          </w:tcPr>
          <w:p w14:paraId="66AB234A" w14:textId="77777777" w:rsidR="00F67E9E" w:rsidRPr="00D5341B" w:rsidRDefault="00F67E9E" w:rsidP="0052486C">
            <w:pPr>
              <w:pStyle w:val="StdBodyTextBold"/>
              <w:rPr>
                <w:rFonts w:cs="Arial"/>
              </w:rPr>
            </w:pPr>
            <w:r>
              <w:rPr>
                <w:rFonts w:cs="Arial"/>
              </w:rPr>
              <w:lastRenderedPageBreak/>
              <w:t>“</w:t>
            </w:r>
            <w:r w:rsidRPr="00D5341B">
              <w:rPr>
                <w:rFonts w:cs="Arial"/>
              </w:rPr>
              <w:t>Delay Payment Rate</w:t>
            </w:r>
            <w:r>
              <w:rPr>
                <w:rFonts w:cs="Arial"/>
              </w:rPr>
              <w:t>”</w:t>
            </w:r>
          </w:p>
        </w:tc>
        <w:tc>
          <w:tcPr>
            <w:tcW w:w="6803" w:type="dxa"/>
          </w:tcPr>
          <w:p w14:paraId="4E75AB8B" w14:textId="525FD137" w:rsidR="00F67E9E" w:rsidRPr="00D5341B" w:rsidRDefault="00F67E9E" w:rsidP="0052486C">
            <w:pPr>
              <w:pStyle w:val="StdBodyText"/>
              <w:rPr>
                <w:rFonts w:cs="Arial"/>
              </w:rPr>
            </w:pPr>
            <w:r w:rsidRPr="00D5341B">
              <w:rPr>
                <w:rFonts w:cs="Arial"/>
              </w:rPr>
              <w:t xml:space="preserve">has the meaning given in </w:t>
            </w:r>
            <w:bookmarkStart w:id="763" w:name="_9kMHG5YVt4EE6AHeGpqgyts0DLv"/>
            <w:r w:rsidRPr="00D5341B">
              <w:rPr>
                <w:rFonts w:cs="Arial"/>
              </w:rPr>
              <w:t xml:space="preserve">Paragraph </w:t>
            </w:r>
            <w:bookmarkEnd w:id="763"/>
            <w:r w:rsidRPr="00D5341B">
              <w:rPr>
                <w:rFonts w:cs="Arial"/>
              </w:rPr>
              <w:fldChar w:fldCharType="begin"/>
            </w:r>
            <w:r w:rsidRPr="00D5341B">
              <w:rPr>
                <w:rFonts w:cs="Arial"/>
              </w:rPr>
              <w:instrText xml:space="preserve"> REF _Ref_ContractCompanion_9kb9Ur049 \w \h </w:instrText>
            </w:r>
            <w:r>
              <w:rPr>
                <w:rFonts w:cs="Arial"/>
              </w:rPr>
              <w:instrText xml:space="preserve"> \* MERGEFORMAT </w:instrText>
            </w:r>
            <w:r w:rsidRPr="00D5341B">
              <w:rPr>
                <w:rFonts w:cs="Arial"/>
              </w:rPr>
            </w:r>
            <w:r w:rsidRPr="00D5341B">
              <w:rPr>
                <w:rFonts w:cs="Arial"/>
              </w:rPr>
              <w:fldChar w:fldCharType="separate"/>
            </w:r>
            <w:r w:rsidR="007A1473">
              <w:rPr>
                <w:rFonts w:cs="Arial"/>
              </w:rPr>
              <w:t>1.1.1</w:t>
            </w:r>
            <w:r w:rsidRPr="00D5341B">
              <w:rPr>
                <w:rFonts w:cs="Arial"/>
              </w:rPr>
              <w:fldChar w:fldCharType="end"/>
            </w:r>
            <w:r w:rsidRPr="00D5341B">
              <w:rPr>
                <w:rFonts w:cs="Arial"/>
              </w:rPr>
              <w:t xml:space="preserve"> of </w:t>
            </w:r>
            <w:r w:rsidRPr="00D5341B">
              <w:rPr>
                <w:rFonts w:cs="Arial"/>
              </w:rPr>
              <w:fldChar w:fldCharType="begin"/>
            </w:r>
            <w:r w:rsidRPr="00D5341B">
              <w:rPr>
                <w:rFonts w:cs="Arial"/>
              </w:rPr>
              <w:instrText xml:space="preserve"> REF Sch15PartC \h  \* MERGEFORMAT </w:instrText>
            </w:r>
            <w:r w:rsidRPr="00D5341B">
              <w:rPr>
                <w:rFonts w:cs="Arial"/>
              </w:rPr>
            </w:r>
            <w:r w:rsidRPr="00D5341B">
              <w:rPr>
                <w:rFonts w:cs="Arial"/>
              </w:rPr>
              <w:fldChar w:fldCharType="separate"/>
            </w:r>
            <w:r w:rsidR="007A1473" w:rsidRPr="007A1473">
              <w:rPr>
                <w:rFonts w:cs="Arial"/>
              </w:rPr>
              <w:t>Part C</w:t>
            </w:r>
            <w:r w:rsidRPr="00D5341B">
              <w:rPr>
                <w:rFonts w:cs="Arial"/>
              </w:rPr>
              <w:fldChar w:fldCharType="end"/>
            </w:r>
            <w:r w:rsidRPr="00D5341B">
              <w:rPr>
                <w:rFonts w:cs="Arial"/>
              </w:rPr>
              <w:t>;</w:t>
            </w:r>
          </w:p>
        </w:tc>
      </w:tr>
      <w:tr w:rsidR="00F67E9E" w:rsidRPr="00D5341B" w14:paraId="1FD297C3" w14:textId="77777777" w:rsidTr="0052486C">
        <w:tc>
          <w:tcPr>
            <w:tcW w:w="2835" w:type="dxa"/>
          </w:tcPr>
          <w:p w14:paraId="0516EA8E" w14:textId="77777777" w:rsidR="00F67E9E" w:rsidRPr="00D5341B" w:rsidRDefault="00F67E9E" w:rsidP="0052486C">
            <w:pPr>
              <w:pStyle w:val="StdBodyTextBold"/>
              <w:rPr>
                <w:rFonts w:cs="Arial"/>
              </w:rPr>
            </w:pPr>
            <w:r>
              <w:rPr>
                <w:rFonts w:cs="Arial"/>
              </w:rPr>
              <w:lastRenderedPageBreak/>
              <w:t>“</w:t>
            </w:r>
            <w:r w:rsidRPr="00D5341B">
              <w:rPr>
                <w:rFonts w:cs="Arial"/>
              </w:rPr>
              <w:t>The Employer Pension Contributions</w:t>
            </w:r>
            <w:r>
              <w:rPr>
                <w:rFonts w:cs="Arial"/>
              </w:rPr>
              <w:t>”</w:t>
            </w:r>
          </w:p>
        </w:tc>
        <w:tc>
          <w:tcPr>
            <w:tcW w:w="6803" w:type="dxa"/>
          </w:tcPr>
          <w:p w14:paraId="5B31048E" w14:textId="77777777" w:rsidR="00F67E9E" w:rsidRPr="00D5341B" w:rsidRDefault="00F67E9E" w:rsidP="0052486C">
            <w:pPr>
              <w:pStyle w:val="StdBodyText"/>
              <w:rPr>
                <w:rFonts w:cs="Arial"/>
              </w:rPr>
            </w:pPr>
            <w:r w:rsidRPr="00D5341B">
              <w:rPr>
                <w:rFonts w:cs="Arial"/>
              </w:rPr>
              <w:t>means:</w:t>
            </w:r>
          </w:p>
          <w:p w14:paraId="0288938E" w14:textId="77777777" w:rsidR="00F67E9E" w:rsidRPr="00C53AE0" w:rsidRDefault="00F67E9E" w:rsidP="00F13933">
            <w:pPr>
              <w:pStyle w:val="DefinitionList"/>
              <w:numPr>
                <w:ilvl w:val="0"/>
                <w:numId w:val="88"/>
              </w:numPr>
              <w:rPr>
                <w:rFonts w:cs="Arial"/>
              </w:rPr>
            </w:pPr>
            <w:r w:rsidRPr="00C53AE0">
              <w:rPr>
                <w:rFonts w:cs="Arial"/>
              </w:rPr>
              <w:t xml:space="preserve">in respect of CSPS Eligible Employees those sums set out at </w:t>
            </w:r>
            <w:bookmarkStart w:id="764" w:name="_9kR3WTr2BC55CPChrAvwQNI"/>
            <w:r w:rsidRPr="00C53AE0">
              <w:rPr>
                <w:rFonts w:cs="Arial"/>
              </w:rPr>
              <w:t>Clauses 7.1.1</w:t>
            </w:r>
            <w:bookmarkEnd w:id="764"/>
            <w:r w:rsidRPr="00C53AE0">
              <w:rPr>
                <w:rFonts w:cs="Arial"/>
              </w:rPr>
              <w:t xml:space="preserve"> (</w:t>
            </w:r>
            <w:r w:rsidRPr="008F1C4B">
              <w:rPr>
                <w:rFonts w:cs="Arial"/>
                <w:i/>
              </w:rPr>
              <w:t>annual administration charges covering core services</w:t>
            </w:r>
            <w:r w:rsidRPr="0032470C">
              <w:rPr>
                <w:rFonts w:cs="Arial"/>
                <w:iCs/>
              </w:rPr>
              <w:t>), 7.1.5 (</w:t>
            </w:r>
            <w:r w:rsidRPr="008F1C4B">
              <w:rPr>
                <w:rFonts w:cs="Arial"/>
                <w:i/>
              </w:rPr>
              <w:t>employer contributions</w:t>
            </w:r>
            <w:r w:rsidRPr="0032470C">
              <w:rPr>
                <w:rFonts w:cs="Arial"/>
                <w:iCs/>
              </w:rPr>
              <w:t>), 7.1.7 (</w:t>
            </w:r>
            <w:r w:rsidRPr="008F1C4B">
              <w:rPr>
                <w:rFonts w:cs="Arial"/>
                <w:i/>
              </w:rPr>
              <w:t>the ASLC</w:t>
            </w:r>
            <w:r w:rsidRPr="0032470C">
              <w:rPr>
                <w:rFonts w:cs="Arial"/>
                <w:iCs/>
              </w:rPr>
              <w:t>) and 7.1.8 (</w:t>
            </w:r>
            <w:r w:rsidRPr="008F1C4B">
              <w:rPr>
                <w:rFonts w:cs="Arial"/>
                <w:i/>
              </w:rPr>
              <w:t>flat charges applicable to the Partnership Pension Account</w:t>
            </w:r>
            <w:r w:rsidRPr="0032470C">
              <w:rPr>
                <w:rFonts w:cs="Arial"/>
                <w:iCs/>
              </w:rPr>
              <w:t>)</w:t>
            </w:r>
            <w:r w:rsidRPr="00C53AE0">
              <w:rPr>
                <w:rFonts w:cs="Arial"/>
              </w:rPr>
              <w:t xml:space="preserve"> of the Admission Agreement;</w:t>
            </w:r>
          </w:p>
          <w:p w14:paraId="4C916B81" w14:textId="77777777" w:rsidR="00F67E9E" w:rsidRPr="00D5341B" w:rsidRDefault="00F67E9E" w:rsidP="00F13933">
            <w:pPr>
              <w:pStyle w:val="DefinitionList"/>
              <w:numPr>
                <w:ilvl w:val="0"/>
                <w:numId w:val="88"/>
              </w:numPr>
              <w:rPr>
                <w:rFonts w:cs="Arial"/>
              </w:rPr>
            </w:pPr>
            <w:r w:rsidRPr="00D5341B">
              <w:rPr>
                <w:rFonts w:cs="Arial"/>
              </w:rPr>
              <w:t>in respect of NHSPS Eligible Employees, the standard employer contribution rate applicable to NHS Pension Scheme employers during the Term and payable by the Supplier (but no other costs, contributions, charges or surcharges payable by the Supplier to or in respect of the NHS Pension Scheme or in respect of any NHS Premature Retirement Rights, unless otherwise agreed in writing by the Authority);</w:t>
            </w:r>
          </w:p>
          <w:p w14:paraId="01D60132" w14:textId="77777777" w:rsidR="00F67E9E" w:rsidRPr="00D5341B" w:rsidRDefault="00F67E9E" w:rsidP="00F13933">
            <w:pPr>
              <w:pStyle w:val="DefinitionList"/>
              <w:numPr>
                <w:ilvl w:val="0"/>
                <w:numId w:val="88"/>
              </w:numPr>
              <w:rPr>
                <w:rFonts w:cs="Arial"/>
              </w:rPr>
            </w:pPr>
            <w:r w:rsidRPr="00D5341B">
              <w:rPr>
                <w:rFonts w:cs="Arial"/>
              </w:rPr>
              <w:t>in respect of LGPS Eligible Employees the standard employer contribution rate applicable to LGPS Eligible Employees during the Term and payable by the Supplier (but no other costs, contributions, charges or surcharges payable by the Supplier to or in respect of the LGPS or in respect of any Beckmann Liabilities, unless otherwise agreed in writing by the Authority); and</w:t>
            </w:r>
          </w:p>
          <w:p w14:paraId="09F890AB" w14:textId="77777777" w:rsidR="00F67E9E" w:rsidRPr="00D5341B" w:rsidRDefault="00F67E9E" w:rsidP="0052486C">
            <w:pPr>
              <w:pStyle w:val="StdBodyText"/>
              <w:rPr>
                <w:rFonts w:cs="Arial"/>
              </w:rPr>
            </w:pPr>
            <w:r w:rsidRPr="00D5341B">
              <w:rPr>
                <w:rFonts w:cs="Arial"/>
              </w:rPr>
              <w:t xml:space="preserve">such other employer pension contributions, charges or costs incurred by the Supplier which have been expressly agreed by the Authority in writing to constitute </w:t>
            </w:r>
            <w:r>
              <w:rPr>
                <w:rFonts w:cs="Arial"/>
              </w:rPr>
              <w:t>‘</w:t>
            </w:r>
            <w:r w:rsidRPr="00D5341B">
              <w:rPr>
                <w:rFonts w:cs="Arial"/>
              </w:rPr>
              <w:t>Employer Pension Contributions</w:t>
            </w:r>
            <w:r>
              <w:rPr>
                <w:rFonts w:cs="Arial"/>
              </w:rPr>
              <w:t>’</w:t>
            </w:r>
            <w:r w:rsidRPr="00D5341B">
              <w:rPr>
                <w:rFonts w:cs="Arial"/>
              </w:rPr>
              <w:t xml:space="preserve">; </w:t>
            </w:r>
          </w:p>
        </w:tc>
      </w:tr>
      <w:tr w:rsidR="00F67E9E" w:rsidRPr="00D5341B" w14:paraId="2FC400D9" w14:textId="77777777" w:rsidTr="0052486C">
        <w:tc>
          <w:tcPr>
            <w:tcW w:w="2835" w:type="dxa"/>
          </w:tcPr>
          <w:p w14:paraId="6D14E1AE" w14:textId="77777777" w:rsidR="00F67E9E" w:rsidRPr="00D5341B" w:rsidRDefault="00F67E9E" w:rsidP="0052486C">
            <w:pPr>
              <w:pStyle w:val="StdBodyTextBold"/>
              <w:rPr>
                <w:rFonts w:cs="Arial"/>
              </w:rPr>
            </w:pPr>
            <w:r>
              <w:rPr>
                <w:rFonts w:cs="Arial"/>
              </w:rPr>
              <w:t>“</w:t>
            </w:r>
            <w:r w:rsidRPr="00D5341B">
              <w:rPr>
                <w:rFonts w:cs="Arial"/>
              </w:rPr>
              <w:t>European Standard</w:t>
            </w:r>
            <w:r>
              <w:rPr>
                <w:rFonts w:cs="Arial"/>
              </w:rPr>
              <w:t>”</w:t>
            </w:r>
          </w:p>
        </w:tc>
        <w:tc>
          <w:tcPr>
            <w:tcW w:w="6803" w:type="dxa"/>
          </w:tcPr>
          <w:p w14:paraId="5522B699" w14:textId="77777777" w:rsidR="00F67E9E" w:rsidRPr="00D5341B" w:rsidRDefault="00F67E9E" w:rsidP="0052486C">
            <w:pPr>
              <w:pStyle w:val="StdBodyText"/>
              <w:rPr>
                <w:rFonts w:cs="Arial"/>
              </w:rPr>
            </w:pPr>
            <w:r w:rsidRPr="00D5341B">
              <w:rPr>
                <w:rFonts w:cs="Arial"/>
              </w:rPr>
              <w:t>in relation to an electronic invoice means the European standard and any of the syntaxes published in Commission Implementing Decision (EU) 2017/1870.</w:t>
            </w:r>
          </w:p>
        </w:tc>
      </w:tr>
      <w:tr w:rsidR="00F67E9E" w:rsidRPr="00D5341B" w14:paraId="2F5BC0EC" w14:textId="77777777" w:rsidTr="0052486C">
        <w:tc>
          <w:tcPr>
            <w:tcW w:w="2835" w:type="dxa"/>
          </w:tcPr>
          <w:p w14:paraId="0D614294" w14:textId="77777777" w:rsidR="00F67E9E" w:rsidRPr="00D5341B" w:rsidRDefault="00F67E9E" w:rsidP="0052486C">
            <w:pPr>
              <w:pStyle w:val="StdBodyTextBold"/>
              <w:rPr>
                <w:rFonts w:cs="Arial"/>
              </w:rPr>
            </w:pPr>
            <w:r>
              <w:rPr>
                <w:rFonts w:cs="Arial"/>
              </w:rPr>
              <w:t>“</w:t>
            </w:r>
            <w:r w:rsidRPr="00D5341B">
              <w:rPr>
                <w:rFonts w:cs="Arial"/>
              </w:rPr>
              <w:t>Forecast Contingency Costs</w:t>
            </w:r>
            <w:r>
              <w:rPr>
                <w:rFonts w:cs="Arial"/>
              </w:rPr>
              <w:t>”</w:t>
            </w:r>
          </w:p>
        </w:tc>
        <w:tc>
          <w:tcPr>
            <w:tcW w:w="6803" w:type="dxa"/>
          </w:tcPr>
          <w:p w14:paraId="6743CEA7" w14:textId="77777777" w:rsidR="00F67E9E" w:rsidRPr="00D5341B" w:rsidRDefault="00F67E9E" w:rsidP="0052486C">
            <w:pPr>
              <w:pStyle w:val="StdBodyText"/>
              <w:rPr>
                <w:rFonts w:cs="Arial"/>
              </w:rPr>
            </w:pPr>
            <w:r w:rsidRPr="00D5341B">
              <w:rPr>
                <w:rFonts w:cs="Arial"/>
              </w:rPr>
              <w:t xml:space="preserve">the costs which the Supplier forecasts may be incurred in relation to the risks and contingencies that are identified in the Risk Register, such costs being those set out in the column headed </w:t>
            </w:r>
            <w:r>
              <w:rPr>
                <w:rFonts w:cs="Arial"/>
              </w:rPr>
              <w:t>‘</w:t>
            </w:r>
            <w:r w:rsidRPr="00D5341B">
              <w:rPr>
                <w:rFonts w:cs="Arial"/>
              </w:rPr>
              <w:t>Forecast Contingency Costs</w:t>
            </w:r>
            <w:r>
              <w:rPr>
                <w:rFonts w:cs="Arial"/>
              </w:rPr>
              <w:t>’</w:t>
            </w:r>
            <w:r w:rsidRPr="00D5341B">
              <w:rPr>
                <w:rFonts w:cs="Arial"/>
              </w:rPr>
              <w:t xml:space="preserve"> in the Risk Register (as such costs are updated from time to time);</w:t>
            </w:r>
          </w:p>
        </w:tc>
      </w:tr>
      <w:tr w:rsidR="00F67E9E" w:rsidRPr="00D5341B" w14:paraId="3922E853" w14:textId="77777777" w:rsidTr="0052486C">
        <w:tc>
          <w:tcPr>
            <w:tcW w:w="2835" w:type="dxa"/>
          </w:tcPr>
          <w:p w14:paraId="6E04F8EB" w14:textId="77777777" w:rsidR="00F67E9E" w:rsidRPr="00D5341B" w:rsidRDefault="00F67E9E" w:rsidP="0052486C">
            <w:pPr>
              <w:pStyle w:val="StdBodyTextBold"/>
              <w:rPr>
                <w:rFonts w:cs="Arial"/>
              </w:rPr>
            </w:pPr>
            <w:r>
              <w:rPr>
                <w:rFonts w:cs="Arial"/>
              </w:rPr>
              <w:t>“</w:t>
            </w:r>
            <w:r w:rsidRPr="00D5341B">
              <w:rPr>
                <w:rFonts w:cs="Arial"/>
              </w:rPr>
              <w:t>Guaranteed Maximum Price</w:t>
            </w:r>
            <w:r>
              <w:rPr>
                <w:rFonts w:cs="Arial"/>
              </w:rPr>
              <w:t>”</w:t>
            </w:r>
          </w:p>
        </w:tc>
        <w:tc>
          <w:tcPr>
            <w:tcW w:w="6803" w:type="dxa"/>
          </w:tcPr>
          <w:p w14:paraId="4FCE51BF" w14:textId="77777777" w:rsidR="00F67E9E" w:rsidRPr="00D5341B" w:rsidRDefault="00F67E9E" w:rsidP="0052486C">
            <w:pPr>
              <w:pStyle w:val="StdBodyText"/>
              <w:rPr>
                <w:rFonts w:cs="Arial"/>
              </w:rPr>
            </w:pPr>
            <w:r w:rsidRPr="00D5341B">
              <w:rPr>
                <w:rFonts w:cs="Arial"/>
              </w:rPr>
              <w:t>in relation to a Milestone, 110% of the Target Price for the relevant Milestone;</w:t>
            </w:r>
          </w:p>
        </w:tc>
      </w:tr>
      <w:tr w:rsidR="00F67E9E" w:rsidRPr="00D5341B" w14:paraId="04590216" w14:textId="77777777" w:rsidTr="0052486C">
        <w:tc>
          <w:tcPr>
            <w:tcW w:w="2835" w:type="dxa"/>
          </w:tcPr>
          <w:p w14:paraId="0B378D20" w14:textId="77777777" w:rsidR="00F67E9E" w:rsidRPr="00D5341B" w:rsidRDefault="00F67E9E" w:rsidP="0052486C">
            <w:pPr>
              <w:pStyle w:val="StdBodyTextBold"/>
              <w:rPr>
                <w:rFonts w:cs="Arial"/>
              </w:rPr>
            </w:pPr>
            <w:r>
              <w:rPr>
                <w:rFonts w:cs="Arial"/>
              </w:rPr>
              <w:t>“</w:t>
            </w:r>
            <w:r w:rsidRPr="00D5341B">
              <w:rPr>
                <w:rFonts w:cs="Arial"/>
              </w:rPr>
              <w:t>Incurred Costs</w:t>
            </w:r>
            <w:r>
              <w:rPr>
                <w:rFonts w:cs="Arial"/>
              </w:rPr>
              <w:t>”</w:t>
            </w:r>
          </w:p>
        </w:tc>
        <w:tc>
          <w:tcPr>
            <w:tcW w:w="6803" w:type="dxa"/>
          </w:tcPr>
          <w:p w14:paraId="6D2DB759" w14:textId="77777777" w:rsidR="00F67E9E" w:rsidRPr="00D5341B" w:rsidRDefault="00F67E9E" w:rsidP="0052486C">
            <w:pPr>
              <w:pStyle w:val="StdBodyText"/>
              <w:rPr>
                <w:rFonts w:cs="Arial"/>
              </w:rPr>
            </w:pPr>
            <w:r w:rsidRPr="00D5341B">
              <w:rPr>
                <w:rFonts w:cs="Arial"/>
              </w:rPr>
              <w:t>in relation to a Milestone, the sum of:</w:t>
            </w:r>
          </w:p>
          <w:p w14:paraId="0DDFD06A" w14:textId="1D07609C" w:rsidR="00F67E9E" w:rsidRPr="00C53AE0" w:rsidRDefault="00F67E9E" w:rsidP="00F13933">
            <w:pPr>
              <w:pStyle w:val="DefinitionList"/>
              <w:numPr>
                <w:ilvl w:val="0"/>
                <w:numId w:val="89"/>
              </w:numPr>
              <w:rPr>
                <w:rFonts w:cs="Arial"/>
              </w:rPr>
            </w:pPr>
            <w:r w:rsidRPr="00C53AE0">
              <w:rPr>
                <w:rFonts w:cs="Arial"/>
              </w:rPr>
              <w:t xml:space="preserve">the fixed day costs set out in </w:t>
            </w:r>
            <w:bookmarkStart w:id="765" w:name="_9kR3WTr2CC5CFdIXjn6"/>
            <w:r w:rsidRPr="00C53AE0">
              <w:rPr>
                <w:rFonts w:cs="Arial"/>
              </w:rPr>
              <w:t>Table 3</w:t>
            </w:r>
            <w:bookmarkEnd w:id="765"/>
            <w:r w:rsidRPr="00C53AE0">
              <w:rPr>
                <w:rFonts w:cs="Arial"/>
              </w:rPr>
              <w:t xml:space="preserve"> of Annex </w:t>
            </w:r>
            <w:r w:rsidRPr="00C53AE0">
              <w:rPr>
                <w:rFonts w:cs="Arial"/>
              </w:rPr>
              <w:fldChar w:fldCharType="begin"/>
            </w:r>
            <w:r w:rsidRPr="00C53AE0">
              <w:rPr>
                <w:rFonts w:cs="Arial"/>
              </w:rPr>
              <w:instrText xml:space="preserve"> REF ANNEX1_SCHEDULE15 \h  \* MERGEFORMAT </w:instrText>
            </w:r>
            <w:r w:rsidRPr="00C53AE0">
              <w:rPr>
                <w:rFonts w:cs="Arial"/>
              </w:rPr>
            </w:r>
            <w:r w:rsidRPr="00C53AE0">
              <w:rPr>
                <w:rFonts w:cs="Arial"/>
              </w:rPr>
              <w:fldChar w:fldCharType="separate"/>
            </w:r>
            <w:r w:rsidR="007A1473" w:rsidRPr="007A1473">
              <w:rPr>
                <w:rFonts w:cs="Arial"/>
              </w:rPr>
              <w:t>1</w:t>
            </w:r>
            <w:r w:rsidRPr="00C53AE0">
              <w:rPr>
                <w:rFonts w:cs="Arial"/>
              </w:rPr>
              <w:fldChar w:fldCharType="end"/>
            </w:r>
            <w:r w:rsidRPr="00C53AE0">
              <w:rPr>
                <w:rFonts w:cs="Arial"/>
              </w:rPr>
              <w:t xml:space="preserve"> multiplied by the number of Work Days that have been expended by the Supplier Personnel in Achieving the relevant Milestone; and</w:t>
            </w:r>
          </w:p>
          <w:p w14:paraId="5E4B2861" w14:textId="60F34A56" w:rsidR="00F67E9E" w:rsidRPr="00D5341B" w:rsidRDefault="00F67E9E" w:rsidP="00F13933">
            <w:pPr>
              <w:pStyle w:val="DefinitionList"/>
              <w:numPr>
                <w:ilvl w:val="0"/>
                <w:numId w:val="89"/>
              </w:numPr>
              <w:rPr>
                <w:rFonts w:cs="Arial"/>
              </w:rPr>
            </w:pPr>
            <w:bookmarkStart w:id="766" w:name="_9kR3WTrAG955FiJfifw5qDOJbVw4KI6tSYLRSBu"/>
            <w:r w:rsidRPr="00D5341B">
              <w:rPr>
                <w:rFonts w:cs="Arial"/>
              </w:rPr>
              <w:lastRenderedPageBreak/>
              <w:t>any amount that would fall within limbs</w:t>
            </w:r>
            <w:bookmarkEnd w:id="766"/>
            <w:r w:rsidRPr="00D5341B">
              <w:rPr>
                <w:rFonts w:cs="Arial"/>
              </w:rPr>
              <w:t xml:space="preserve"> </w:t>
            </w:r>
            <w:bookmarkStart w:id="767" w:name="_9kMHG5YVtCIB77HkLhkhy7sFQLdXy6MK8vUaNTU"/>
            <w:r w:rsidRPr="00D5341B">
              <w:rPr>
                <w:rFonts w:cs="Arial"/>
              </w:rPr>
              <w:fldChar w:fldCharType="begin"/>
            </w:r>
            <w:r w:rsidRPr="00D5341B">
              <w:rPr>
                <w:rFonts w:cs="Arial"/>
              </w:rPr>
              <w:instrText xml:space="preserve"> REF _Ref_ContractCompanion_9kb9Us119 \w \n \h \t \* MERGEFORMAT </w:instrText>
            </w:r>
            <w:r w:rsidRPr="00D5341B">
              <w:rPr>
                <w:rFonts w:cs="Arial"/>
              </w:rPr>
            </w:r>
            <w:r w:rsidRPr="00D5341B">
              <w:rPr>
                <w:rFonts w:cs="Arial"/>
              </w:rPr>
              <w:fldChar w:fldCharType="separate"/>
            </w:r>
            <w:r w:rsidR="007A1473">
              <w:rPr>
                <w:rFonts w:cs="Arial"/>
              </w:rPr>
              <w:t>(b)</w:t>
            </w:r>
            <w:r w:rsidRPr="00D5341B">
              <w:rPr>
                <w:rFonts w:cs="Arial"/>
              </w:rPr>
              <w:fldChar w:fldCharType="end"/>
            </w:r>
            <w:bookmarkEnd w:id="767"/>
            <w:r w:rsidRPr="00D5341B">
              <w:rPr>
                <w:rFonts w:cs="Arial"/>
              </w:rPr>
              <w:t xml:space="preserve"> or </w:t>
            </w:r>
            <w:bookmarkStart w:id="768" w:name="_9kMHG5YVtCIB78BdLhkhy7sFQLXSFLM5q4I9C9C"/>
            <w:r w:rsidRPr="00D5341B">
              <w:rPr>
                <w:rFonts w:cs="Arial"/>
              </w:rPr>
              <w:fldChar w:fldCharType="begin"/>
            </w:r>
            <w:r w:rsidRPr="00D5341B">
              <w:rPr>
                <w:rFonts w:cs="Arial"/>
              </w:rPr>
              <w:instrText xml:space="preserve"> REF _Ref_ContractCompanion_9kb9Us123 \w \n \h \t \* MERGEFORMAT </w:instrText>
            </w:r>
            <w:r w:rsidRPr="00D5341B">
              <w:rPr>
                <w:rFonts w:cs="Arial"/>
              </w:rPr>
            </w:r>
            <w:r w:rsidRPr="00D5341B">
              <w:rPr>
                <w:rFonts w:cs="Arial"/>
              </w:rPr>
              <w:fldChar w:fldCharType="separate"/>
            </w:r>
            <w:r w:rsidR="007A1473">
              <w:rPr>
                <w:rFonts w:cs="Arial"/>
              </w:rPr>
              <w:t>(c)</w:t>
            </w:r>
            <w:r w:rsidRPr="00D5341B">
              <w:rPr>
                <w:rFonts w:cs="Arial"/>
              </w:rPr>
              <w:fldChar w:fldCharType="end"/>
            </w:r>
            <w:bookmarkEnd w:id="768"/>
            <w:r w:rsidRPr="00D5341B">
              <w:rPr>
                <w:rFonts w:cs="Arial"/>
              </w:rPr>
              <w:t xml:space="preserve"> of the definition of </w:t>
            </w:r>
            <w:r>
              <w:rPr>
                <w:rFonts w:cs="Arial"/>
              </w:rPr>
              <w:t>“</w:t>
            </w:r>
            <w:r w:rsidRPr="00D5341B">
              <w:rPr>
                <w:rFonts w:cs="Arial"/>
              </w:rPr>
              <w:t>Costs</w:t>
            </w:r>
            <w:r>
              <w:rPr>
                <w:rFonts w:cs="Arial"/>
              </w:rPr>
              <w:t>”</w:t>
            </w:r>
            <w:r w:rsidRPr="00D5341B">
              <w:rPr>
                <w:rFonts w:cs="Arial"/>
              </w:rPr>
              <w:t xml:space="preserve"> (but subject to exceptions </w:t>
            </w:r>
            <w:bookmarkStart w:id="769" w:name="_9kR3WTr2BC56Cu"/>
            <w:r w:rsidRPr="00D5341B">
              <w:rPr>
                <w:rFonts w:cs="Arial"/>
              </w:rPr>
              <w:fldChar w:fldCharType="begin"/>
            </w:r>
            <w:r w:rsidRPr="00D5341B">
              <w:rPr>
                <w:rFonts w:cs="Arial"/>
              </w:rPr>
              <w:instrText xml:space="preserve"> REF _Ref_ContractCompanion_9kb9Us126 \w \n \h \t \* MERGEFORMAT </w:instrText>
            </w:r>
            <w:r w:rsidRPr="00D5341B">
              <w:rPr>
                <w:rFonts w:cs="Arial"/>
              </w:rPr>
            </w:r>
            <w:r w:rsidRPr="00D5341B">
              <w:rPr>
                <w:rFonts w:cs="Arial"/>
              </w:rPr>
              <w:fldChar w:fldCharType="separate"/>
            </w:r>
            <w:r w:rsidR="007A1473">
              <w:rPr>
                <w:rFonts w:cs="Arial"/>
              </w:rPr>
              <w:t>(i)</w:t>
            </w:r>
            <w:r w:rsidRPr="00D5341B">
              <w:rPr>
                <w:rFonts w:cs="Arial"/>
              </w:rPr>
              <w:fldChar w:fldCharType="end"/>
            </w:r>
            <w:bookmarkEnd w:id="769"/>
            <w:r w:rsidRPr="00D5341B">
              <w:rPr>
                <w:rFonts w:cs="Arial"/>
              </w:rPr>
              <w:t xml:space="preserve"> to </w:t>
            </w:r>
            <w:bookmarkStart w:id="770" w:name="_9kR3WTr2BC56FAym"/>
            <w:r w:rsidRPr="00D5341B">
              <w:rPr>
                <w:rFonts w:cs="Arial"/>
              </w:rPr>
              <w:fldChar w:fldCharType="begin"/>
            </w:r>
            <w:r w:rsidRPr="00D5341B">
              <w:rPr>
                <w:rFonts w:cs="Arial"/>
              </w:rPr>
              <w:instrText xml:space="preserve"> REF _Ref_ContractCompanion_9kb9Us129 \w \n \h \t \* MERGEFORMAT </w:instrText>
            </w:r>
            <w:r w:rsidRPr="00D5341B">
              <w:rPr>
                <w:rFonts w:cs="Arial"/>
              </w:rPr>
            </w:r>
            <w:r w:rsidRPr="00D5341B">
              <w:rPr>
                <w:rFonts w:cs="Arial"/>
              </w:rPr>
              <w:fldChar w:fldCharType="separate"/>
            </w:r>
            <w:r w:rsidR="007A1473">
              <w:rPr>
                <w:rFonts w:cs="Arial"/>
              </w:rPr>
              <w:t>(vii)</w:t>
            </w:r>
            <w:r w:rsidRPr="00D5341B">
              <w:rPr>
                <w:rFonts w:cs="Arial"/>
              </w:rPr>
              <w:fldChar w:fldCharType="end"/>
            </w:r>
            <w:bookmarkEnd w:id="770"/>
            <w:r w:rsidRPr="00D5341B">
              <w:rPr>
                <w:rFonts w:cs="Arial"/>
              </w:rPr>
              <w:t xml:space="preserve"> in that definition), to the extent that such amount has been incurred in Achieving the relevant Milestone;</w:t>
            </w:r>
          </w:p>
        </w:tc>
      </w:tr>
      <w:tr w:rsidR="00F67E9E" w:rsidRPr="00D5341B" w14:paraId="0991A13E" w14:textId="77777777" w:rsidTr="0052486C">
        <w:tc>
          <w:tcPr>
            <w:tcW w:w="2835" w:type="dxa"/>
          </w:tcPr>
          <w:p w14:paraId="65B1A83C" w14:textId="77777777" w:rsidR="00F67E9E" w:rsidRPr="00D5341B" w:rsidRDefault="00F67E9E" w:rsidP="0052486C">
            <w:pPr>
              <w:pStyle w:val="StdBodyTextBold"/>
              <w:rPr>
                <w:rFonts w:cs="Arial"/>
              </w:rPr>
            </w:pPr>
            <w:r>
              <w:rPr>
                <w:rFonts w:cs="Arial"/>
              </w:rPr>
              <w:lastRenderedPageBreak/>
              <w:t>“</w:t>
            </w:r>
            <w:r w:rsidRPr="00D5341B">
              <w:rPr>
                <w:rFonts w:cs="Arial"/>
              </w:rPr>
              <w:t>Indexation</w:t>
            </w:r>
            <w:r>
              <w:rPr>
                <w:rFonts w:cs="Arial"/>
              </w:rPr>
              <w:t>”</w:t>
            </w:r>
            <w:r w:rsidRPr="00D5341B">
              <w:rPr>
                <w:rFonts w:cs="Arial"/>
              </w:rPr>
              <w:t xml:space="preserve"> and </w:t>
            </w:r>
            <w:r>
              <w:rPr>
                <w:rFonts w:cs="Arial"/>
              </w:rPr>
              <w:t>“</w:t>
            </w:r>
            <w:r w:rsidRPr="00D5341B">
              <w:rPr>
                <w:rFonts w:cs="Arial"/>
              </w:rPr>
              <w:t>Index</w:t>
            </w:r>
            <w:r>
              <w:rPr>
                <w:rFonts w:cs="Arial"/>
              </w:rPr>
              <w:t>”</w:t>
            </w:r>
          </w:p>
        </w:tc>
        <w:tc>
          <w:tcPr>
            <w:tcW w:w="6803" w:type="dxa"/>
          </w:tcPr>
          <w:p w14:paraId="6B8FE002" w14:textId="4AABD1B1" w:rsidR="00F67E9E" w:rsidRPr="00D5341B" w:rsidRDefault="00F67E9E" w:rsidP="0052486C">
            <w:pPr>
              <w:pStyle w:val="StdBodyText"/>
              <w:rPr>
                <w:rFonts w:cs="Arial"/>
              </w:rPr>
            </w:pPr>
            <w:r w:rsidRPr="00D5341B">
              <w:rPr>
                <w:rFonts w:cs="Arial"/>
              </w:rPr>
              <w:t xml:space="preserve">the adjustment of an amount or sum in accordance with </w:t>
            </w:r>
            <w:bookmarkStart w:id="771" w:name="_9kR3WTr2CC5CJdEnoewrqyF"/>
            <w:r w:rsidRPr="00D5341B">
              <w:rPr>
                <w:rFonts w:cs="Arial"/>
              </w:rPr>
              <w:t xml:space="preserve">Paragraph </w:t>
            </w:r>
            <w:bookmarkEnd w:id="771"/>
            <w:r w:rsidRPr="00D5341B">
              <w:rPr>
                <w:rFonts w:cs="Arial"/>
              </w:rPr>
              <w:fldChar w:fldCharType="begin"/>
            </w:r>
            <w:r w:rsidRPr="00D5341B">
              <w:rPr>
                <w:rFonts w:cs="Arial"/>
              </w:rPr>
              <w:instrText xml:space="preserve"> REF _Ref_ContractCompanion_9kb9Ur18D \w \h </w:instrText>
            </w:r>
            <w:r>
              <w:rPr>
                <w:rFonts w:cs="Arial"/>
              </w:rPr>
              <w:instrText xml:space="preserve"> \* MERGEFORMAT </w:instrText>
            </w:r>
            <w:r w:rsidRPr="00D5341B">
              <w:rPr>
                <w:rFonts w:cs="Arial"/>
              </w:rPr>
            </w:r>
            <w:r w:rsidRPr="00D5341B">
              <w:rPr>
                <w:rFonts w:cs="Arial"/>
              </w:rPr>
              <w:fldChar w:fldCharType="separate"/>
            </w:r>
            <w:r w:rsidR="007A1473">
              <w:rPr>
                <w:rFonts w:cs="Arial"/>
              </w:rPr>
              <w:t>5</w:t>
            </w:r>
            <w:r w:rsidRPr="00D5341B">
              <w:rPr>
                <w:rFonts w:cs="Arial"/>
              </w:rPr>
              <w:fldChar w:fldCharType="end"/>
            </w:r>
            <w:r w:rsidRPr="00D5341B">
              <w:rPr>
                <w:rFonts w:cs="Arial"/>
              </w:rPr>
              <w:t xml:space="preserve"> of </w:t>
            </w:r>
            <w:r w:rsidRPr="00D5341B">
              <w:rPr>
                <w:rFonts w:cs="Arial"/>
              </w:rPr>
              <w:fldChar w:fldCharType="begin"/>
            </w:r>
            <w:r w:rsidRPr="00D5341B">
              <w:rPr>
                <w:rFonts w:cs="Arial"/>
              </w:rPr>
              <w:instrText xml:space="preserve"> REF Sch15PartC \h  \* MERGEFORMAT </w:instrText>
            </w:r>
            <w:r w:rsidRPr="00D5341B">
              <w:rPr>
                <w:rFonts w:cs="Arial"/>
              </w:rPr>
            </w:r>
            <w:r w:rsidRPr="00D5341B">
              <w:rPr>
                <w:rFonts w:cs="Arial"/>
              </w:rPr>
              <w:fldChar w:fldCharType="separate"/>
            </w:r>
            <w:r w:rsidR="007A1473" w:rsidRPr="007A1473">
              <w:rPr>
                <w:rFonts w:cs="Arial"/>
              </w:rPr>
              <w:t>Part C</w:t>
            </w:r>
            <w:r w:rsidRPr="00D5341B">
              <w:rPr>
                <w:rFonts w:cs="Arial"/>
              </w:rPr>
              <w:fldChar w:fldCharType="end"/>
            </w:r>
            <w:r w:rsidRPr="00D5341B">
              <w:rPr>
                <w:rFonts w:cs="Arial"/>
              </w:rPr>
              <w:t>;</w:t>
            </w:r>
          </w:p>
        </w:tc>
      </w:tr>
      <w:tr w:rsidR="00F67E9E" w:rsidRPr="00D5341B" w14:paraId="710F1681" w14:textId="77777777" w:rsidTr="0052486C">
        <w:tc>
          <w:tcPr>
            <w:tcW w:w="2835" w:type="dxa"/>
          </w:tcPr>
          <w:p w14:paraId="32E38C62" w14:textId="77777777" w:rsidR="00F67E9E" w:rsidRPr="00D5341B" w:rsidRDefault="00F67E9E" w:rsidP="0052486C">
            <w:pPr>
              <w:pStyle w:val="StdBodyTextBold"/>
              <w:rPr>
                <w:rFonts w:cs="Arial"/>
              </w:rPr>
            </w:pPr>
            <w:r>
              <w:rPr>
                <w:rFonts w:cs="Arial"/>
              </w:rPr>
              <w:t>“</w:t>
            </w:r>
            <w:r w:rsidRPr="00D5341B">
              <w:rPr>
                <w:rFonts w:cs="Arial"/>
              </w:rPr>
              <w:t>Maximum Permitted Profit Margin</w:t>
            </w:r>
            <w:r>
              <w:rPr>
                <w:rFonts w:cs="Arial"/>
              </w:rPr>
              <w:t>”</w:t>
            </w:r>
          </w:p>
        </w:tc>
        <w:tc>
          <w:tcPr>
            <w:tcW w:w="6803" w:type="dxa"/>
          </w:tcPr>
          <w:p w14:paraId="5E8D62AB" w14:textId="77777777" w:rsidR="00F67E9E" w:rsidRPr="00D5341B" w:rsidRDefault="00F67E9E" w:rsidP="0052486C">
            <w:pPr>
              <w:pStyle w:val="StdBodyText"/>
              <w:rPr>
                <w:rFonts w:cs="Arial"/>
              </w:rPr>
            </w:pPr>
            <w:r w:rsidRPr="00D5341B">
              <w:rPr>
                <w:rFonts w:cs="Arial"/>
              </w:rPr>
              <w:t>the Anticipated Contract Life Profit Margin plus 5%;</w:t>
            </w:r>
          </w:p>
        </w:tc>
      </w:tr>
      <w:tr w:rsidR="00F67E9E" w:rsidRPr="00D5341B" w14:paraId="3EF57660" w14:textId="77777777" w:rsidTr="0052486C">
        <w:tc>
          <w:tcPr>
            <w:tcW w:w="2835" w:type="dxa"/>
          </w:tcPr>
          <w:p w14:paraId="6ADF51A4" w14:textId="77777777" w:rsidR="00F67E9E" w:rsidRPr="00D5341B" w:rsidRDefault="00F67E9E" w:rsidP="0052486C">
            <w:pPr>
              <w:pStyle w:val="StdBodyTextBold"/>
              <w:rPr>
                <w:rFonts w:cs="Arial"/>
              </w:rPr>
            </w:pPr>
            <w:r>
              <w:rPr>
                <w:rFonts w:cs="Arial"/>
              </w:rPr>
              <w:t>“</w:t>
            </w:r>
            <w:r w:rsidRPr="00D5341B">
              <w:rPr>
                <w:rFonts w:cs="Arial"/>
              </w:rPr>
              <w:t>Milestone Group</w:t>
            </w:r>
            <w:r>
              <w:rPr>
                <w:rFonts w:cs="Arial"/>
              </w:rPr>
              <w:t>”</w:t>
            </w:r>
          </w:p>
        </w:tc>
        <w:tc>
          <w:tcPr>
            <w:tcW w:w="6803" w:type="dxa"/>
          </w:tcPr>
          <w:p w14:paraId="144BE74F" w14:textId="574CCB2D" w:rsidR="00F67E9E" w:rsidRPr="00D5341B" w:rsidRDefault="00F67E9E" w:rsidP="0052486C">
            <w:pPr>
              <w:pStyle w:val="StdBodyText"/>
              <w:rPr>
                <w:rFonts w:cs="Arial"/>
              </w:rPr>
            </w:pPr>
            <w:r w:rsidRPr="00D5341B">
              <w:rPr>
                <w:rFonts w:cs="Arial"/>
              </w:rPr>
              <w:t xml:space="preserve">has the meaning given in </w:t>
            </w:r>
            <w:bookmarkStart w:id="772" w:name="_9kMHG5YVt4EE6BDZGpqgyts0DP"/>
            <w:r w:rsidRPr="00D5341B">
              <w:rPr>
                <w:rFonts w:cs="Arial"/>
              </w:rPr>
              <w:t xml:space="preserve">Paragraph </w:t>
            </w:r>
            <w:r w:rsidRPr="00D5341B">
              <w:rPr>
                <w:rFonts w:cs="Arial"/>
              </w:rPr>
              <w:fldChar w:fldCharType="begin"/>
            </w:r>
            <w:r w:rsidRPr="00D5341B">
              <w:rPr>
                <w:rFonts w:cs="Arial"/>
              </w:rPr>
              <w:instrText xml:space="preserve"> REF _Ref_ContractCompanion_9kb9Ur04E \n \h \t \* MERGEFORMAT </w:instrText>
            </w:r>
            <w:r w:rsidRPr="00D5341B">
              <w:rPr>
                <w:rFonts w:cs="Arial"/>
              </w:rPr>
            </w:r>
            <w:r w:rsidRPr="00D5341B">
              <w:rPr>
                <w:rFonts w:cs="Arial"/>
              </w:rPr>
              <w:fldChar w:fldCharType="separate"/>
            </w:r>
            <w:r w:rsidR="007A1473">
              <w:rPr>
                <w:rFonts w:cs="Arial"/>
              </w:rPr>
              <w:t>1.4.3</w:t>
            </w:r>
            <w:r w:rsidRPr="00D5341B">
              <w:rPr>
                <w:rFonts w:cs="Arial"/>
              </w:rPr>
              <w:fldChar w:fldCharType="end"/>
            </w:r>
            <w:bookmarkEnd w:id="772"/>
            <w:r w:rsidRPr="00D5341B">
              <w:rPr>
                <w:rFonts w:cs="Arial"/>
              </w:rPr>
              <w:t xml:space="preserve"> of </w:t>
            </w:r>
            <w:r w:rsidRPr="00D5341B">
              <w:rPr>
                <w:rFonts w:cs="Arial"/>
              </w:rPr>
              <w:fldChar w:fldCharType="begin"/>
            </w:r>
            <w:r w:rsidRPr="00D5341B">
              <w:rPr>
                <w:rFonts w:cs="Arial"/>
              </w:rPr>
              <w:instrText xml:space="preserve"> REF Sch15PartB \h  \* MERGEFORMAT </w:instrText>
            </w:r>
            <w:r w:rsidRPr="00D5341B">
              <w:rPr>
                <w:rFonts w:cs="Arial"/>
              </w:rPr>
            </w:r>
            <w:r w:rsidRPr="00D5341B">
              <w:rPr>
                <w:rFonts w:cs="Arial"/>
              </w:rPr>
              <w:fldChar w:fldCharType="separate"/>
            </w:r>
            <w:r w:rsidR="007A1473" w:rsidRPr="007A1473">
              <w:rPr>
                <w:rFonts w:cs="Arial"/>
              </w:rPr>
              <w:t>Part B</w:t>
            </w:r>
            <w:r w:rsidRPr="00D5341B">
              <w:rPr>
                <w:rFonts w:cs="Arial"/>
              </w:rPr>
              <w:fldChar w:fldCharType="end"/>
            </w:r>
            <w:r w:rsidRPr="00D5341B">
              <w:rPr>
                <w:rFonts w:cs="Arial"/>
              </w:rPr>
              <w:t>;</w:t>
            </w:r>
          </w:p>
        </w:tc>
      </w:tr>
      <w:tr w:rsidR="00F67E9E" w:rsidRPr="00D5341B" w14:paraId="395FB0B9" w14:textId="77777777" w:rsidTr="0052486C">
        <w:tc>
          <w:tcPr>
            <w:tcW w:w="2835" w:type="dxa"/>
          </w:tcPr>
          <w:p w14:paraId="69CB0EF3" w14:textId="77777777" w:rsidR="00F67E9E" w:rsidRPr="00D5341B" w:rsidRDefault="00F67E9E" w:rsidP="0052486C">
            <w:pPr>
              <w:pStyle w:val="StdBodyTextBold"/>
              <w:rPr>
                <w:rFonts w:cs="Arial"/>
              </w:rPr>
            </w:pPr>
            <w:r>
              <w:rPr>
                <w:rFonts w:cs="Arial"/>
              </w:rPr>
              <w:t>“</w:t>
            </w:r>
            <w:r w:rsidRPr="00D5341B">
              <w:rPr>
                <w:rFonts w:cs="Arial"/>
              </w:rPr>
              <w:t>Milestone Retention</w:t>
            </w:r>
            <w:r>
              <w:rPr>
                <w:rFonts w:cs="Arial"/>
              </w:rPr>
              <w:t>”</w:t>
            </w:r>
          </w:p>
        </w:tc>
        <w:tc>
          <w:tcPr>
            <w:tcW w:w="6803" w:type="dxa"/>
          </w:tcPr>
          <w:p w14:paraId="2E096475" w14:textId="7B37E332" w:rsidR="00F67E9E" w:rsidRPr="00D5341B" w:rsidRDefault="00F67E9E" w:rsidP="0052486C">
            <w:pPr>
              <w:pStyle w:val="StdBodyText"/>
              <w:rPr>
                <w:rFonts w:cs="Arial"/>
              </w:rPr>
            </w:pPr>
            <w:r w:rsidRPr="00D5341B">
              <w:rPr>
                <w:rFonts w:cs="Arial"/>
              </w:rPr>
              <w:t xml:space="preserve">has the meaning given in </w:t>
            </w:r>
            <w:bookmarkStart w:id="773" w:name="_9kR3WTr2CC5DHaEnoewrqyBL"/>
            <w:r w:rsidRPr="00D5341B">
              <w:rPr>
                <w:rFonts w:cs="Arial"/>
              </w:rPr>
              <w:t xml:space="preserve">Paragraph </w:t>
            </w:r>
            <w:bookmarkEnd w:id="773"/>
            <w:r w:rsidRPr="00D5341B">
              <w:rPr>
                <w:rFonts w:cs="Arial"/>
              </w:rPr>
              <w:fldChar w:fldCharType="begin"/>
            </w:r>
            <w:r w:rsidRPr="00D5341B">
              <w:rPr>
                <w:rFonts w:cs="Arial"/>
              </w:rPr>
              <w:instrText xml:space="preserve"> REF _Ref_ContractCompanion_9kb9Ur18G \w \h </w:instrText>
            </w:r>
            <w:r>
              <w:rPr>
                <w:rFonts w:cs="Arial"/>
              </w:rPr>
              <w:instrText xml:space="preserve"> \* MERGEFORMAT </w:instrText>
            </w:r>
            <w:r w:rsidRPr="00D5341B">
              <w:rPr>
                <w:rFonts w:cs="Arial"/>
              </w:rPr>
            </w:r>
            <w:r w:rsidRPr="00D5341B">
              <w:rPr>
                <w:rFonts w:cs="Arial"/>
              </w:rPr>
              <w:fldChar w:fldCharType="separate"/>
            </w:r>
            <w:r w:rsidR="007A1473">
              <w:rPr>
                <w:rFonts w:cs="Arial"/>
              </w:rPr>
              <w:t>1.3</w:t>
            </w:r>
            <w:r w:rsidRPr="00D5341B">
              <w:rPr>
                <w:rFonts w:cs="Arial"/>
              </w:rPr>
              <w:fldChar w:fldCharType="end"/>
            </w:r>
            <w:r w:rsidRPr="00D5341B">
              <w:rPr>
                <w:rFonts w:cs="Arial"/>
              </w:rPr>
              <w:t xml:space="preserve"> of </w:t>
            </w:r>
            <w:r w:rsidRPr="00D5341B">
              <w:rPr>
                <w:rFonts w:cs="Arial"/>
              </w:rPr>
              <w:fldChar w:fldCharType="begin"/>
            </w:r>
            <w:r w:rsidRPr="00D5341B">
              <w:rPr>
                <w:rFonts w:cs="Arial"/>
              </w:rPr>
              <w:instrText xml:space="preserve"> REF Sch15PartB \h  \* MERGEFORMAT </w:instrText>
            </w:r>
            <w:r w:rsidRPr="00D5341B">
              <w:rPr>
                <w:rFonts w:cs="Arial"/>
              </w:rPr>
            </w:r>
            <w:r w:rsidRPr="00D5341B">
              <w:rPr>
                <w:rFonts w:cs="Arial"/>
              </w:rPr>
              <w:fldChar w:fldCharType="separate"/>
            </w:r>
            <w:r w:rsidR="007A1473" w:rsidRPr="007A1473">
              <w:rPr>
                <w:rFonts w:cs="Arial"/>
              </w:rPr>
              <w:t>Part B</w:t>
            </w:r>
            <w:r w:rsidRPr="00D5341B">
              <w:rPr>
                <w:rFonts w:cs="Arial"/>
              </w:rPr>
              <w:fldChar w:fldCharType="end"/>
            </w:r>
            <w:r w:rsidRPr="00D5341B">
              <w:rPr>
                <w:rFonts w:cs="Arial"/>
              </w:rPr>
              <w:t>;</w:t>
            </w:r>
          </w:p>
        </w:tc>
      </w:tr>
      <w:tr w:rsidR="00F67E9E" w:rsidRPr="00D5341B" w14:paraId="2EAD0C1D" w14:textId="77777777" w:rsidTr="0052486C">
        <w:tc>
          <w:tcPr>
            <w:tcW w:w="2835" w:type="dxa"/>
          </w:tcPr>
          <w:p w14:paraId="270B8958" w14:textId="77777777" w:rsidR="00F67E9E" w:rsidRPr="00D5341B" w:rsidRDefault="00F67E9E" w:rsidP="0052486C">
            <w:pPr>
              <w:pStyle w:val="StdBodyTextBold"/>
              <w:rPr>
                <w:rFonts w:cs="Arial"/>
              </w:rPr>
            </w:pPr>
            <w:r>
              <w:rPr>
                <w:rFonts w:cs="Arial"/>
              </w:rPr>
              <w:t>“</w:t>
            </w:r>
            <w:r w:rsidRPr="00D5341B">
              <w:rPr>
                <w:rFonts w:cs="Arial"/>
              </w:rPr>
              <w:t>Overhead</w:t>
            </w:r>
            <w:r>
              <w:rPr>
                <w:rFonts w:cs="Arial"/>
              </w:rPr>
              <w:t>”</w:t>
            </w:r>
          </w:p>
        </w:tc>
        <w:tc>
          <w:tcPr>
            <w:tcW w:w="6803" w:type="dxa"/>
          </w:tcPr>
          <w:p w14:paraId="00A0AA2C" w14:textId="38A0C86F" w:rsidR="00F67E9E" w:rsidRPr="00D5341B" w:rsidRDefault="00F67E9E" w:rsidP="0052486C">
            <w:pPr>
              <w:pStyle w:val="StdBodyText"/>
              <w:rPr>
                <w:rFonts w:cs="Arial"/>
              </w:rPr>
            </w:pPr>
            <w:r w:rsidRPr="00D5341B">
              <w:rPr>
                <w:rFonts w:cs="Arial"/>
              </w:rPr>
              <w:t>those amounts which are intended to recover a proportion of the Supplier</w:t>
            </w:r>
            <w:r>
              <w:rPr>
                <w:rFonts w:cs="Arial"/>
              </w:rPr>
              <w:t>’</w:t>
            </w:r>
            <w:r w:rsidRPr="00D5341B">
              <w:rPr>
                <w:rFonts w:cs="Arial"/>
              </w:rPr>
              <w:t>s or the Key Sub-contractor</w:t>
            </w:r>
            <w:r>
              <w:rPr>
                <w:rFonts w:cs="Arial"/>
              </w:rPr>
              <w:t>’</w:t>
            </w:r>
            <w:r w:rsidRPr="00D5341B">
              <w:rPr>
                <w:rFonts w:cs="Arial"/>
              </w:rPr>
              <w:t xml:space="preserve">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w:t>
            </w:r>
            <w:r w:rsidRPr="00D5341B">
              <w:rPr>
                <w:rFonts w:cs="Arial"/>
              </w:rPr>
              <w:fldChar w:fldCharType="begin"/>
            </w:r>
            <w:r w:rsidRPr="00D5341B">
              <w:rPr>
                <w:rFonts w:cs="Arial"/>
              </w:rPr>
              <w:instrText xml:space="preserve"> REF _Ref_ContractCompanion_9kb9Ur9ID \r \h  \* MERGEFORMAT </w:instrText>
            </w:r>
            <w:r w:rsidRPr="00D5341B">
              <w:rPr>
                <w:rFonts w:cs="Arial"/>
              </w:rPr>
            </w:r>
            <w:r w:rsidRPr="00D5341B">
              <w:rPr>
                <w:rFonts w:cs="Arial"/>
              </w:rPr>
              <w:fldChar w:fldCharType="separate"/>
            </w:r>
            <w:r w:rsidR="007A1473">
              <w:rPr>
                <w:rFonts w:cs="Arial"/>
              </w:rPr>
              <w:t>(a)</w:t>
            </w:r>
            <w:r w:rsidRPr="00D5341B">
              <w:rPr>
                <w:rFonts w:cs="Arial"/>
              </w:rPr>
              <w:fldChar w:fldCharType="end"/>
            </w:r>
            <w:r w:rsidRPr="00D5341B">
              <w:rPr>
                <w:rFonts w:cs="Arial"/>
              </w:rPr>
              <w:t xml:space="preserve"> of the definition of </w:t>
            </w:r>
            <w:r>
              <w:rPr>
                <w:rFonts w:cs="Arial"/>
              </w:rPr>
              <w:t>“</w:t>
            </w:r>
            <w:r w:rsidRPr="00D5341B">
              <w:rPr>
                <w:rFonts w:cs="Arial"/>
              </w:rPr>
              <w:t>Costs</w:t>
            </w:r>
            <w:r>
              <w:rPr>
                <w:rFonts w:cs="Arial"/>
              </w:rPr>
              <w:t>”</w:t>
            </w:r>
            <w:r w:rsidRPr="00D5341B">
              <w:rPr>
                <w:rFonts w:cs="Arial"/>
              </w:rPr>
              <w:t xml:space="preserve"> or the day cost set out in </w:t>
            </w:r>
            <w:bookmarkStart w:id="774" w:name="_9kMHG5YVt4EE7EHfKZlp8"/>
            <w:r w:rsidRPr="00D5341B">
              <w:rPr>
                <w:rFonts w:cs="Arial"/>
              </w:rPr>
              <w:t>Table 3</w:t>
            </w:r>
            <w:bookmarkEnd w:id="774"/>
            <w:r w:rsidRPr="00D5341B">
              <w:rPr>
                <w:rFonts w:cs="Arial"/>
              </w:rPr>
              <w:t xml:space="preserve"> of Annex </w:t>
            </w:r>
            <w:r w:rsidRPr="00D5341B">
              <w:rPr>
                <w:rFonts w:cs="Arial"/>
              </w:rPr>
              <w:fldChar w:fldCharType="begin"/>
            </w:r>
            <w:r w:rsidRPr="00D5341B">
              <w:rPr>
                <w:rFonts w:cs="Arial"/>
              </w:rPr>
              <w:instrText xml:space="preserve"> REF ANNEX1_SCHEDULE15 \h </w:instrText>
            </w:r>
            <w:r>
              <w:rPr>
                <w:rFonts w:cs="Arial"/>
              </w:rPr>
              <w:instrText xml:space="preserve"> \* MERGEFORMAT </w:instrText>
            </w:r>
            <w:r w:rsidRPr="00D5341B">
              <w:rPr>
                <w:rFonts w:cs="Arial"/>
              </w:rPr>
            </w:r>
            <w:r w:rsidRPr="00D5341B">
              <w:rPr>
                <w:rFonts w:cs="Arial"/>
              </w:rPr>
              <w:fldChar w:fldCharType="separate"/>
            </w:r>
            <w:r w:rsidR="007A1473" w:rsidRPr="007A1473">
              <w:rPr>
                <w:rFonts w:cs="Arial"/>
              </w:rPr>
              <w:t>1</w:t>
            </w:r>
            <w:r w:rsidRPr="00D5341B">
              <w:rPr>
                <w:rFonts w:cs="Arial"/>
              </w:rPr>
              <w:fldChar w:fldCharType="end"/>
            </w:r>
            <w:r w:rsidRPr="00D5341B">
              <w:rPr>
                <w:rFonts w:cs="Arial"/>
              </w:rPr>
              <w:t>;</w:t>
            </w:r>
          </w:p>
        </w:tc>
      </w:tr>
      <w:tr w:rsidR="00F67E9E" w:rsidRPr="00D5341B" w14:paraId="1FDCAB01" w14:textId="77777777" w:rsidTr="0052486C">
        <w:tc>
          <w:tcPr>
            <w:tcW w:w="2835" w:type="dxa"/>
          </w:tcPr>
          <w:p w14:paraId="3FB67BDE" w14:textId="77777777" w:rsidR="00F67E9E" w:rsidRPr="00D5341B" w:rsidRDefault="00F67E9E" w:rsidP="0052486C">
            <w:pPr>
              <w:pStyle w:val="StdBodyTextBold"/>
              <w:rPr>
                <w:rFonts w:cs="Arial"/>
              </w:rPr>
            </w:pPr>
            <w:r>
              <w:rPr>
                <w:rFonts w:cs="Arial"/>
              </w:rPr>
              <w:t>“</w:t>
            </w:r>
            <w:r w:rsidRPr="00D5341B">
              <w:rPr>
                <w:rFonts w:cs="Arial"/>
              </w:rPr>
              <w:t>Reimbursable Expenses</w:t>
            </w:r>
            <w:r>
              <w:rPr>
                <w:rFonts w:cs="Arial"/>
              </w:rPr>
              <w:t>”</w:t>
            </w:r>
          </w:p>
        </w:tc>
        <w:tc>
          <w:tcPr>
            <w:tcW w:w="6803" w:type="dxa"/>
          </w:tcPr>
          <w:p w14:paraId="56BAD5FE" w14:textId="77777777" w:rsidR="00F67E9E" w:rsidRPr="00D5341B" w:rsidRDefault="00F67E9E" w:rsidP="0052486C">
            <w:pPr>
              <w:pStyle w:val="StdBodyText"/>
              <w:rPr>
                <w:rFonts w:cs="Arial"/>
              </w:rPr>
            </w:pPr>
            <w:r w:rsidRPr="00D5341B">
              <w:rPr>
                <w:rFonts w:cs="Arial"/>
              </w:rPr>
              <w:t>reasonable out of pocket travel and subsistence (for example, hotel and food) expenses, properly and necessarily incurred in the performance of the Services, calculated at the rates and in accordance with the Authority</w:t>
            </w:r>
            <w:r>
              <w:rPr>
                <w:rFonts w:cs="Arial"/>
              </w:rPr>
              <w:t>’</w:t>
            </w:r>
            <w:r w:rsidRPr="00D5341B">
              <w:rPr>
                <w:rFonts w:cs="Arial"/>
              </w:rPr>
              <w:t>s expenses policy current from time to time, but not including:</w:t>
            </w:r>
          </w:p>
          <w:p w14:paraId="58B04771" w14:textId="77777777" w:rsidR="00F67E9E" w:rsidRPr="00C53AE0" w:rsidRDefault="00F67E9E" w:rsidP="00F13933">
            <w:pPr>
              <w:pStyle w:val="DefinitionList"/>
              <w:numPr>
                <w:ilvl w:val="0"/>
                <w:numId w:val="90"/>
              </w:numPr>
              <w:rPr>
                <w:rFonts w:cs="Arial"/>
              </w:rPr>
            </w:pPr>
            <w:r w:rsidRPr="00C53AE0">
              <w:rPr>
                <w:rFonts w:cs="Arial"/>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7DB18F8A" w14:textId="77777777" w:rsidR="00F67E9E" w:rsidRPr="00D5341B" w:rsidRDefault="00F67E9E" w:rsidP="00F13933">
            <w:pPr>
              <w:pStyle w:val="DefinitionList"/>
              <w:numPr>
                <w:ilvl w:val="0"/>
                <w:numId w:val="90"/>
              </w:numPr>
              <w:rPr>
                <w:rFonts w:cs="Arial"/>
              </w:rPr>
            </w:pPr>
            <w:r w:rsidRPr="00D5341B">
              <w:rPr>
                <w:rFonts w:cs="Arial"/>
              </w:rPr>
              <w:t>subsistence expenses incurred by Supplier Personnel whilst performing the Services at their usual place of work, or to and from the premises at which the Services are principally to be performed;</w:t>
            </w:r>
          </w:p>
        </w:tc>
      </w:tr>
      <w:tr w:rsidR="00F67E9E" w:rsidRPr="00D5341B" w14:paraId="7EDDFC95" w14:textId="77777777" w:rsidTr="0052486C">
        <w:tc>
          <w:tcPr>
            <w:tcW w:w="2835" w:type="dxa"/>
          </w:tcPr>
          <w:p w14:paraId="6F99013A" w14:textId="77777777" w:rsidR="00F67E9E" w:rsidRPr="00D5341B" w:rsidRDefault="00F67E9E" w:rsidP="0052486C">
            <w:pPr>
              <w:pStyle w:val="StdBodyTextBold"/>
              <w:rPr>
                <w:rFonts w:cs="Arial"/>
              </w:rPr>
            </w:pPr>
            <w:r>
              <w:rPr>
                <w:rFonts w:cs="Arial"/>
              </w:rPr>
              <w:t>“</w:t>
            </w:r>
            <w:r w:rsidRPr="00D5341B">
              <w:rPr>
                <w:rFonts w:cs="Arial"/>
              </w:rPr>
              <w:t>Supplier Profit</w:t>
            </w:r>
            <w:r>
              <w:rPr>
                <w:rFonts w:cs="Arial"/>
              </w:rPr>
              <w:t>”</w:t>
            </w:r>
          </w:p>
        </w:tc>
        <w:tc>
          <w:tcPr>
            <w:tcW w:w="6803" w:type="dxa"/>
          </w:tcPr>
          <w:p w14:paraId="5BD1134B" w14:textId="77777777" w:rsidR="00F67E9E" w:rsidRPr="00D5341B" w:rsidRDefault="00F67E9E" w:rsidP="0052486C">
            <w:pPr>
              <w:pStyle w:val="StdBodyText"/>
              <w:rPr>
                <w:rFonts w:cs="Arial"/>
              </w:rPr>
            </w:pPr>
            <w:r w:rsidRPr="00D5341B">
              <w:rPr>
                <w:rFonts w:cs="Arial"/>
              </w:rPr>
              <w:t>in relation to a period or a Milestone (as the context requires), the difference between the total Charges (in nominal cash flow terms but excluding any Deductions) and total Costs (in nominal cash flow terms) for the relevant period or in relation to the relevant Milestone;</w:t>
            </w:r>
          </w:p>
        </w:tc>
      </w:tr>
      <w:tr w:rsidR="00F67E9E" w:rsidRPr="00D5341B" w14:paraId="7135DDB7" w14:textId="77777777" w:rsidTr="0052486C">
        <w:tc>
          <w:tcPr>
            <w:tcW w:w="2835" w:type="dxa"/>
          </w:tcPr>
          <w:p w14:paraId="252FE641" w14:textId="77777777" w:rsidR="00F67E9E" w:rsidRPr="00D5341B" w:rsidRDefault="00F67E9E" w:rsidP="0052486C">
            <w:pPr>
              <w:pStyle w:val="StdBodyTextBold"/>
              <w:rPr>
                <w:rFonts w:cs="Arial"/>
              </w:rPr>
            </w:pPr>
            <w:r>
              <w:rPr>
                <w:rFonts w:cs="Arial"/>
              </w:rPr>
              <w:lastRenderedPageBreak/>
              <w:t>“</w:t>
            </w:r>
            <w:r w:rsidRPr="00D5341B">
              <w:rPr>
                <w:rFonts w:cs="Arial"/>
              </w:rPr>
              <w:t>Supplier Profit Margin</w:t>
            </w:r>
            <w:r>
              <w:rPr>
                <w:rFonts w:cs="Arial"/>
              </w:rPr>
              <w:t>”</w:t>
            </w:r>
          </w:p>
        </w:tc>
        <w:tc>
          <w:tcPr>
            <w:tcW w:w="6803" w:type="dxa"/>
          </w:tcPr>
          <w:p w14:paraId="39A1047C" w14:textId="77777777" w:rsidR="00F67E9E" w:rsidRPr="00D5341B" w:rsidRDefault="00F67E9E" w:rsidP="0052486C">
            <w:pPr>
              <w:pStyle w:val="StdBodyText"/>
              <w:rPr>
                <w:rFonts w:cs="Arial"/>
              </w:rPr>
            </w:pPr>
            <w:r w:rsidRPr="00D5341B">
              <w:rPr>
                <w:rFonts w:cs="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F67E9E" w:rsidRPr="00D5341B" w14:paraId="670643E9" w14:textId="77777777" w:rsidTr="0052486C">
        <w:tc>
          <w:tcPr>
            <w:tcW w:w="2835" w:type="dxa"/>
          </w:tcPr>
          <w:p w14:paraId="3A879910" w14:textId="77777777" w:rsidR="00F67E9E" w:rsidRPr="00D5341B" w:rsidRDefault="00F67E9E" w:rsidP="0052486C">
            <w:pPr>
              <w:pStyle w:val="StdBodyTextBold"/>
              <w:rPr>
                <w:rFonts w:cs="Arial"/>
              </w:rPr>
            </w:pPr>
            <w:r>
              <w:rPr>
                <w:rFonts w:cs="Arial"/>
              </w:rPr>
              <w:t>“</w:t>
            </w:r>
            <w:bookmarkStart w:id="775" w:name="_9kR3WTr2AC7DDZb5114A2xwNQw3Ez1H56FBH"/>
            <w:r w:rsidRPr="00D5341B">
              <w:rPr>
                <w:rFonts w:cs="Arial"/>
              </w:rPr>
              <w:t>Supporting Documentation</w:t>
            </w:r>
            <w:bookmarkEnd w:id="775"/>
            <w:r>
              <w:rPr>
                <w:rFonts w:cs="Arial"/>
              </w:rPr>
              <w:t>”</w:t>
            </w:r>
          </w:p>
        </w:tc>
        <w:tc>
          <w:tcPr>
            <w:tcW w:w="6803" w:type="dxa"/>
          </w:tcPr>
          <w:p w14:paraId="7F07BDB8" w14:textId="77777777" w:rsidR="00F67E9E" w:rsidRPr="00D5341B" w:rsidRDefault="00F67E9E" w:rsidP="0052486C">
            <w:pPr>
              <w:pStyle w:val="StdBodyText"/>
              <w:rPr>
                <w:rFonts w:cs="Arial"/>
              </w:rPr>
            </w:pPr>
            <w:r w:rsidRPr="00D5341B">
              <w:rPr>
                <w:rFonts w:cs="Arial"/>
              </w:rPr>
              <w:t>sufficient information in writing to enable the Authority reasonably to assess whether the Charges, Reimbursable Expenses and other sums due from the Authority detailed in the information are properly payable, including copies of any applicable Milestone Achievement Certificates or receipts;</w:t>
            </w:r>
          </w:p>
        </w:tc>
      </w:tr>
      <w:tr w:rsidR="00F67E9E" w:rsidRPr="00D5341B" w14:paraId="2066AD47" w14:textId="77777777" w:rsidTr="0052486C">
        <w:tc>
          <w:tcPr>
            <w:tcW w:w="2835" w:type="dxa"/>
          </w:tcPr>
          <w:p w14:paraId="76683C73" w14:textId="77777777" w:rsidR="00F67E9E" w:rsidRPr="00D5341B" w:rsidRDefault="00F67E9E" w:rsidP="0052486C">
            <w:pPr>
              <w:pStyle w:val="StdBodyTextBold"/>
              <w:rPr>
                <w:rFonts w:cs="Arial"/>
              </w:rPr>
            </w:pPr>
            <w:r>
              <w:rPr>
                <w:rFonts w:cs="Arial"/>
              </w:rPr>
              <w:t>“</w:t>
            </w:r>
            <w:r w:rsidRPr="00D5341B">
              <w:rPr>
                <w:rFonts w:cs="Arial"/>
              </w:rPr>
              <w:t>Target Cost</w:t>
            </w:r>
            <w:r>
              <w:rPr>
                <w:rFonts w:cs="Arial"/>
              </w:rPr>
              <w:t>”</w:t>
            </w:r>
          </w:p>
        </w:tc>
        <w:tc>
          <w:tcPr>
            <w:tcW w:w="6803" w:type="dxa"/>
          </w:tcPr>
          <w:p w14:paraId="17E3FCD1" w14:textId="7083DEF5" w:rsidR="00F67E9E" w:rsidRPr="00D5341B" w:rsidRDefault="00F67E9E" w:rsidP="0052486C">
            <w:pPr>
              <w:pStyle w:val="StdBodyText"/>
              <w:rPr>
                <w:rFonts w:cs="Arial"/>
              </w:rPr>
            </w:pPr>
            <w:r w:rsidRPr="00D5341B">
              <w:rPr>
                <w:rFonts w:cs="Arial"/>
              </w:rPr>
              <w:t xml:space="preserve">has the meaning given in </w:t>
            </w:r>
            <w:bookmarkStart w:id="776" w:name="_9kMHG5YVt4EE6BKgGpqgyts0FN"/>
            <w:r w:rsidRPr="00D5341B">
              <w:rPr>
                <w:rFonts w:cs="Arial"/>
              </w:rPr>
              <w:t xml:space="preserve">Paragraph </w:t>
            </w:r>
            <w:r w:rsidRPr="00D5341B">
              <w:rPr>
                <w:rFonts w:cs="Arial"/>
              </w:rPr>
              <w:fldChar w:fldCharType="begin"/>
            </w:r>
            <w:r w:rsidRPr="00D5341B">
              <w:rPr>
                <w:rFonts w:cs="Arial"/>
              </w:rPr>
              <w:instrText xml:space="preserve"> REF _Ref_ContractCompanion_9kb9Ur05A \n \h \t \* MERGEFORMAT </w:instrText>
            </w:r>
            <w:r w:rsidRPr="00D5341B">
              <w:rPr>
                <w:rFonts w:cs="Arial"/>
              </w:rPr>
            </w:r>
            <w:r w:rsidRPr="00D5341B">
              <w:rPr>
                <w:rFonts w:cs="Arial"/>
              </w:rPr>
              <w:fldChar w:fldCharType="separate"/>
            </w:r>
            <w:r w:rsidR="007A1473">
              <w:rPr>
                <w:rFonts w:cs="Arial"/>
              </w:rPr>
              <w:t>3.1</w:t>
            </w:r>
            <w:r w:rsidRPr="00D5341B">
              <w:rPr>
                <w:rFonts w:cs="Arial"/>
              </w:rPr>
              <w:fldChar w:fldCharType="end"/>
            </w:r>
            <w:bookmarkEnd w:id="776"/>
            <w:r w:rsidRPr="00D5341B">
              <w:rPr>
                <w:rFonts w:cs="Arial"/>
              </w:rPr>
              <w:t xml:space="preserve"> of </w:t>
            </w:r>
            <w:r w:rsidRPr="00D5341B">
              <w:rPr>
                <w:rFonts w:cs="Arial"/>
              </w:rPr>
              <w:fldChar w:fldCharType="begin"/>
            </w:r>
            <w:r w:rsidRPr="00D5341B">
              <w:rPr>
                <w:rFonts w:cs="Arial"/>
              </w:rPr>
              <w:instrText xml:space="preserve"> REF Sch15PartA \h  \* MERGEFORMAT </w:instrText>
            </w:r>
            <w:r w:rsidRPr="00D5341B">
              <w:rPr>
                <w:rFonts w:cs="Arial"/>
              </w:rPr>
            </w:r>
            <w:r w:rsidRPr="00D5341B">
              <w:rPr>
                <w:rFonts w:cs="Arial"/>
              </w:rPr>
              <w:fldChar w:fldCharType="separate"/>
            </w:r>
            <w:r w:rsidR="007A1473" w:rsidRPr="007A1473">
              <w:rPr>
                <w:rFonts w:cs="Arial"/>
              </w:rPr>
              <w:t>Part A</w:t>
            </w:r>
            <w:r w:rsidRPr="00D5341B">
              <w:rPr>
                <w:rFonts w:cs="Arial"/>
              </w:rPr>
              <w:fldChar w:fldCharType="end"/>
            </w:r>
            <w:r w:rsidRPr="00D5341B">
              <w:rPr>
                <w:rFonts w:cs="Arial"/>
              </w:rPr>
              <w:t>;</w:t>
            </w:r>
          </w:p>
        </w:tc>
      </w:tr>
      <w:tr w:rsidR="00F67E9E" w:rsidRPr="00D5341B" w14:paraId="1090160B" w14:textId="77777777" w:rsidTr="0052486C">
        <w:tc>
          <w:tcPr>
            <w:tcW w:w="2835" w:type="dxa"/>
          </w:tcPr>
          <w:p w14:paraId="1E123DFC" w14:textId="77777777" w:rsidR="00F67E9E" w:rsidRPr="00D5341B" w:rsidRDefault="00F67E9E" w:rsidP="0052486C">
            <w:pPr>
              <w:pStyle w:val="StdBodyTextBold"/>
              <w:rPr>
                <w:rFonts w:cs="Arial"/>
              </w:rPr>
            </w:pPr>
            <w:r>
              <w:rPr>
                <w:rFonts w:cs="Arial"/>
              </w:rPr>
              <w:t>“</w:t>
            </w:r>
            <w:r w:rsidRPr="00D5341B">
              <w:rPr>
                <w:rFonts w:cs="Arial"/>
              </w:rPr>
              <w:t>Target Price</w:t>
            </w:r>
            <w:r>
              <w:rPr>
                <w:rFonts w:cs="Arial"/>
              </w:rPr>
              <w:t>”</w:t>
            </w:r>
          </w:p>
        </w:tc>
        <w:tc>
          <w:tcPr>
            <w:tcW w:w="6803" w:type="dxa"/>
          </w:tcPr>
          <w:p w14:paraId="3CE0A112" w14:textId="3606EC1F" w:rsidR="00F67E9E" w:rsidRPr="00D5341B" w:rsidRDefault="00F67E9E" w:rsidP="0052486C">
            <w:pPr>
              <w:pStyle w:val="StdBodyText"/>
              <w:rPr>
                <w:rFonts w:cs="Arial"/>
              </w:rPr>
            </w:pPr>
            <w:r w:rsidRPr="00D5341B">
              <w:rPr>
                <w:rFonts w:cs="Arial"/>
              </w:rPr>
              <w:t xml:space="preserve">has the meaning given in </w:t>
            </w:r>
            <w:bookmarkStart w:id="777" w:name="_9kMIH5YVt4EE6BKgGpqgyts0FN"/>
            <w:r w:rsidRPr="00D5341B">
              <w:rPr>
                <w:rFonts w:cs="Arial"/>
              </w:rPr>
              <w:t xml:space="preserve">Paragraph </w:t>
            </w:r>
            <w:bookmarkEnd w:id="777"/>
            <w:r w:rsidRPr="00D5341B">
              <w:rPr>
                <w:rFonts w:cs="Arial"/>
              </w:rPr>
              <w:fldChar w:fldCharType="begin"/>
            </w:r>
            <w:r w:rsidRPr="00D5341B">
              <w:rPr>
                <w:rFonts w:cs="Arial"/>
              </w:rPr>
              <w:instrText xml:space="preserve"> REF _Ref_ContractCompanion_9kb9Ur05A \n \h \t \* MERGEFORMAT </w:instrText>
            </w:r>
            <w:r w:rsidRPr="00D5341B">
              <w:rPr>
                <w:rFonts w:cs="Arial"/>
              </w:rPr>
            </w:r>
            <w:r w:rsidRPr="00D5341B">
              <w:rPr>
                <w:rFonts w:cs="Arial"/>
              </w:rPr>
              <w:fldChar w:fldCharType="separate"/>
            </w:r>
            <w:r w:rsidR="007A1473">
              <w:rPr>
                <w:rFonts w:cs="Arial"/>
              </w:rPr>
              <w:t>3.1</w:t>
            </w:r>
            <w:r w:rsidRPr="00D5341B">
              <w:rPr>
                <w:rFonts w:cs="Arial"/>
              </w:rPr>
              <w:fldChar w:fldCharType="end"/>
            </w:r>
            <w:r w:rsidRPr="00D5341B">
              <w:rPr>
                <w:rFonts w:cs="Arial"/>
              </w:rPr>
              <w:t xml:space="preserve"> of </w:t>
            </w:r>
            <w:r w:rsidRPr="00D5341B">
              <w:rPr>
                <w:rFonts w:cs="Arial"/>
              </w:rPr>
              <w:fldChar w:fldCharType="begin"/>
            </w:r>
            <w:r w:rsidRPr="00D5341B">
              <w:rPr>
                <w:rFonts w:cs="Arial"/>
              </w:rPr>
              <w:instrText xml:space="preserve"> REF Sch15PartA \h  \* MERGEFORMAT </w:instrText>
            </w:r>
            <w:r w:rsidRPr="00D5341B">
              <w:rPr>
                <w:rFonts w:cs="Arial"/>
              </w:rPr>
            </w:r>
            <w:r w:rsidRPr="00D5341B">
              <w:rPr>
                <w:rFonts w:cs="Arial"/>
              </w:rPr>
              <w:fldChar w:fldCharType="separate"/>
            </w:r>
            <w:r w:rsidR="007A1473" w:rsidRPr="007A1473">
              <w:rPr>
                <w:rFonts w:cs="Arial"/>
              </w:rPr>
              <w:t>Part A</w:t>
            </w:r>
            <w:r w:rsidRPr="00D5341B">
              <w:rPr>
                <w:rFonts w:cs="Arial"/>
              </w:rPr>
              <w:fldChar w:fldCharType="end"/>
            </w:r>
            <w:r w:rsidRPr="00D5341B">
              <w:rPr>
                <w:rFonts w:cs="Arial"/>
              </w:rPr>
              <w:t>;</w:t>
            </w:r>
          </w:p>
        </w:tc>
      </w:tr>
      <w:tr w:rsidR="00F67E9E" w:rsidRPr="00D5341B" w14:paraId="24A524C4" w14:textId="77777777" w:rsidTr="0052486C">
        <w:tc>
          <w:tcPr>
            <w:tcW w:w="2835" w:type="dxa"/>
          </w:tcPr>
          <w:p w14:paraId="02AA6A0F" w14:textId="77777777" w:rsidR="00F67E9E" w:rsidRPr="00D5341B" w:rsidRDefault="00F67E9E" w:rsidP="0052486C">
            <w:pPr>
              <w:pStyle w:val="StdBodyTextBold"/>
              <w:rPr>
                <w:rFonts w:cs="Arial"/>
              </w:rPr>
            </w:pPr>
            <w:r>
              <w:rPr>
                <w:rFonts w:cs="Arial"/>
              </w:rPr>
              <w:t>“</w:t>
            </w:r>
            <w:r w:rsidRPr="00D5341B">
              <w:rPr>
                <w:rFonts w:cs="Arial"/>
              </w:rPr>
              <w:t>Verification Period</w:t>
            </w:r>
            <w:r>
              <w:rPr>
                <w:rFonts w:cs="Arial"/>
              </w:rPr>
              <w:t>”</w:t>
            </w:r>
          </w:p>
        </w:tc>
        <w:tc>
          <w:tcPr>
            <w:tcW w:w="6803" w:type="dxa"/>
          </w:tcPr>
          <w:p w14:paraId="5EB36E8E" w14:textId="5B48AA34" w:rsidR="00F67E9E" w:rsidRPr="00D5341B" w:rsidRDefault="00F67E9E" w:rsidP="0052486C">
            <w:pPr>
              <w:pStyle w:val="StdBodyText"/>
              <w:rPr>
                <w:rFonts w:cs="Arial"/>
              </w:rPr>
            </w:pPr>
            <w:r w:rsidRPr="00D5341B">
              <w:rPr>
                <w:rFonts w:cs="Arial"/>
              </w:rPr>
              <w:t xml:space="preserve">in relation to an Allowable Assumption, the period from (and including) the Effective Date to (and including) the date at which the relevant Allowable Assumption expires, as set out against the relevant Allowable Assumption in column 11 in the table in </w:t>
            </w:r>
            <w:bookmarkStart w:id="778" w:name="_9kMHG5YVtCIB79BKEyq1TUs48K7nz3t8RUPLTNJ"/>
            <w:r w:rsidRPr="00D5341B">
              <w:rPr>
                <w:rFonts w:cs="Arial"/>
              </w:rPr>
              <w:t xml:space="preserve">Annex </w:t>
            </w:r>
            <w:bookmarkEnd w:id="778"/>
            <w:r w:rsidRPr="00D5341B">
              <w:rPr>
                <w:rFonts w:cs="Arial"/>
              </w:rPr>
              <w:fldChar w:fldCharType="begin"/>
            </w:r>
            <w:r w:rsidRPr="00D5341B">
              <w:rPr>
                <w:rFonts w:cs="Arial"/>
              </w:rPr>
              <w:instrText xml:space="preserve"> REF ANNEX5_SCHEDULE15 \h </w:instrText>
            </w:r>
            <w:r>
              <w:rPr>
                <w:rFonts w:cs="Arial"/>
              </w:rPr>
              <w:instrText xml:space="preserve"> \* MERGEFORMAT </w:instrText>
            </w:r>
            <w:r w:rsidRPr="00D5341B">
              <w:rPr>
                <w:rFonts w:cs="Arial"/>
              </w:rPr>
            </w:r>
            <w:r w:rsidRPr="00D5341B">
              <w:rPr>
                <w:rFonts w:cs="Arial"/>
              </w:rPr>
              <w:fldChar w:fldCharType="separate"/>
            </w:r>
            <w:r w:rsidR="007A1473" w:rsidRPr="007A1473">
              <w:rPr>
                <w:rFonts w:cs="Arial"/>
              </w:rPr>
              <w:t>5</w:t>
            </w:r>
            <w:r w:rsidRPr="00D5341B">
              <w:rPr>
                <w:rFonts w:cs="Arial"/>
              </w:rPr>
              <w:fldChar w:fldCharType="end"/>
            </w:r>
            <w:r w:rsidRPr="00D5341B">
              <w:rPr>
                <w:rFonts w:cs="Arial"/>
              </w:rPr>
              <w:t>;</w:t>
            </w:r>
          </w:p>
        </w:tc>
      </w:tr>
      <w:tr w:rsidR="00F67E9E" w:rsidRPr="00D5341B" w14:paraId="7C0B9967" w14:textId="77777777" w:rsidTr="0052486C">
        <w:tc>
          <w:tcPr>
            <w:tcW w:w="2835" w:type="dxa"/>
          </w:tcPr>
          <w:p w14:paraId="6E804240" w14:textId="77777777" w:rsidR="00F67E9E" w:rsidRPr="00D5341B" w:rsidRDefault="00F67E9E" w:rsidP="0052486C">
            <w:pPr>
              <w:pStyle w:val="StdBodyTextBold"/>
              <w:rPr>
                <w:rFonts w:cs="Arial"/>
              </w:rPr>
            </w:pPr>
            <w:r>
              <w:rPr>
                <w:rFonts w:cs="Arial"/>
              </w:rPr>
              <w:t>“</w:t>
            </w:r>
            <w:r w:rsidRPr="00D5341B">
              <w:rPr>
                <w:rFonts w:cs="Arial"/>
              </w:rPr>
              <w:t>Work Day</w:t>
            </w:r>
            <w:r>
              <w:rPr>
                <w:rFonts w:cs="Arial"/>
              </w:rPr>
              <w:t>”</w:t>
            </w:r>
          </w:p>
        </w:tc>
        <w:tc>
          <w:tcPr>
            <w:tcW w:w="6803" w:type="dxa"/>
          </w:tcPr>
          <w:p w14:paraId="497A834A" w14:textId="77777777" w:rsidR="00F67E9E" w:rsidRPr="00D5341B" w:rsidRDefault="00F67E9E" w:rsidP="0052486C">
            <w:pPr>
              <w:pStyle w:val="StdBodyText"/>
              <w:rPr>
                <w:rFonts w:cs="Arial"/>
              </w:rPr>
            </w:pPr>
            <w:r w:rsidRPr="00D5341B">
              <w:rPr>
                <w:rFonts w:cs="Arial"/>
              </w:rPr>
              <w:t>7.5 Work Hours, whether or not such hours are worked consecutively and whether or not they are worked on the same day;</w:t>
            </w:r>
            <w:r>
              <w:rPr>
                <w:rFonts w:cs="Arial"/>
              </w:rPr>
              <w:t xml:space="preserve"> and</w:t>
            </w:r>
          </w:p>
        </w:tc>
      </w:tr>
      <w:tr w:rsidR="00F67E9E" w:rsidRPr="00D5341B" w14:paraId="584A19CE" w14:textId="77777777" w:rsidTr="0052486C">
        <w:tc>
          <w:tcPr>
            <w:tcW w:w="2835" w:type="dxa"/>
          </w:tcPr>
          <w:p w14:paraId="6408F75B" w14:textId="77777777" w:rsidR="00F67E9E" w:rsidRPr="00D5341B" w:rsidRDefault="00F67E9E" w:rsidP="0052486C">
            <w:pPr>
              <w:pStyle w:val="StdBodyTextBold"/>
              <w:rPr>
                <w:rFonts w:cs="Arial"/>
              </w:rPr>
            </w:pPr>
            <w:r>
              <w:rPr>
                <w:rFonts w:cs="Arial"/>
              </w:rPr>
              <w:t>“</w:t>
            </w:r>
            <w:r w:rsidRPr="00D5341B">
              <w:rPr>
                <w:rFonts w:cs="Arial"/>
              </w:rPr>
              <w:t>Work Hours</w:t>
            </w:r>
            <w:r>
              <w:rPr>
                <w:rFonts w:cs="Arial"/>
              </w:rPr>
              <w:t>”</w:t>
            </w:r>
          </w:p>
        </w:tc>
        <w:tc>
          <w:tcPr>
            <w:tcW w:w="6803" w:type="dxa"/>
          </w:tcPr>
          <w:p w14:paraId="47065079" w14:textId="77777777" w:rsidR="00F67E9E" w:rsidRPr="00D5341B" w:rsidRDefault="00F67E9E" w:rsidP="0052486C">
            <w:pPr>
              <w:pStyle w:val="StdBodyText"/>
              <w:rPr>
                <w:rFonts w:cs="Arial"/>
              </w:rPr>
            </w:pPr>
            <w:r w:rsidRPr="00D5341B">
              <w:rPr>
                <w:rFonts w:cs="Arial"/>
              </w:rPr>
              <w:t>the hours spent by the Supplier Personnel properly working on the Services including time spent travelling (other than to and from the Supplier</w:t>
            </w:r>
            <w:r>
              <w:rPr>
                <w:rFonts w:cs="Arial"/>
              </w:rPr>
              <w:t>’</w:t>
            </w:r>
            <w:r w:rsidRPr="00D5341B">
              <w:rPr>
                <w:rFonts w:cs="Arial"/>
              </w:rPr>
              <w:t>s offices, or to and from the Sites) but excluding lunch breaks</w:t>
            </w:r>
            <w:r>
              <w:rPr>
                <w:rFonts w:cs="Arial"/>
              </w:rPr>
              <w:t>.</w:t>
            </w:r>
          </w:p>
        </w:tc>
      </w:tr>
    </w:tbl>
    <w:p w14:paraId="2DCCEA99" w14:textId="77777777" w:rsidR="00F67E9E" w:rsidRDefault="00F67E9E" w:rsidP="00F67E9E">
      <w:pPr>
        <w:rPr>
          <w:lang w:eastAsia="en-GB"/>
        </w:rPr>
      </w:pPr>
    </w:p>
    <w:p w14:paraId="2950C59A" w14:textId="77777777" w:rsidR="00F67E9E" w:rsidRDefault="00F67E9E" w:rsidP="00F67E9E">
      <w:pPr>
        <w:pStyle w:val="Heading2"/>
        <w:pageBreakBefore/>
      </w:pPr>
      <w:bookmarkStart w:id="779" w:name="Sch15PartA"/>
      <w:bookmarkStart w:id="780" w:name="_Ref_ContractCompanion_9kb9Ur46A"/>
      <w:bookmarkStart w:id="781" w:name="_Toc145412771"/>
      <w:r w:rsidRPr="000038E2">
        <w:lastRenderedPageBreak/>
        <w:t>Part</w:t>
      </w:r>
      <w:r w:rsidRPr="00D5341B">
        <w:t xml:space="preserve"> A</w:t>
      </w:r>
      <w:bookmarkEnd w:id="779"/>
      <w:r w:rsidRPr="00D5341B">
        <w:t>: Pricing</w:t>
      </w:r>
      <w:bookmarkEnd w:id="780"/>
      <w:bookmarkEnd w:id="781"/>
    </w:p>
    <w:p w14:paraId="1AB96C81" w14:textId="77777777" w:rsidR="00F67E9E" w:rsidRPr="00D5341B" w:rsidRDefault="00F67E9E" w:rsidP="00F13933">
      <w:pPr>
        <w:pStyle w:val="Numbered1"/>
        <w:numPr>
          <w:ilvl w:val="0"/>
          <w:numId w:val="122"/>
        </w:numPr>
      </w:pPr>
      <w:r w:rsidRPr="00772237">
        <w:t>Applicable</w:t>
      </w:r>
      <w:r w:rsidRPr="00D5341B">
        <w:t xml:space="preserve"> Pricing Mechanism </w:t>
      </w:r>
    </w:p>
    <w:p w14:paraId="5684563F" w14:textId="1E448A37" w:rsidR="00F67E9E" w:rsidRPr="00772237" w:rsidRDefault="00F67E9E" w:rsidP="00F67E9E">
      <w:pPr>
        <w:pStyle w:val="Numbered11"/>
      </w:pPr>
      <w:r w:rsidRPr="00D5341B">
        <w:t xml:space="preserve">Milestone Payments and Service Charges shall be calculated using the pricing mechanism specified in Annex </w:t>
      </w:r>
      <w:r w:rsidRPr="00D5341B">
        <w:fldChar w:fldCharType="begin"/>
      </w:r>
      <w:r w:rsidRPr="00D5341B">
        <w:instrText xml:space="preserve"> REF ANNEX2_SCHEDULE15 \h </w:instrText>
      </w:r>
      <w:r>
        <w:instrText xml:space="preserve"> \* MERGEFORMAT </w:instrText>
      </w:r>
      <w:r w:rsidRPr="00D5341B">
        <w:fldChar w:fldCharType="separate"/>
      </w:r>
      <w:r w:rsidR="007A1473" w:rsidRPr="00BA56A1">
        <w:t>2</w:t>
      </w:r>
      <w:r w:rsidRPr="00D5341B">
        <w:fldChar w:fldCharType="end"/>
      </w:r>
      <w:r w:rsidRPr="00D5341B">
        <w:t xml:space="preserve"> and on the basis of the rates and prices specified in Annex </w:t>
      </w:r>
      <w:r w:rsidRPr="00D5341B">
        <w:fldChar w:fldCharType="begin"/>
      </w:r>
      <w:r w:rsidRPr="00D5341B">
        <w:instrText xml:space="preserve"> REF ANNEX1_SCHEDULE15 \h </w:instrText>
      </w:r>
      <w:r>
        <w:instrText xml:space="preserve"> \* MERGEFORMAT </w:instrText>
      </w:r>
      <w:r w:rsidRPr="00D5341B">
        <w:fldChar w:fldCharType="separate"/>
      </w:r>
      <w:r w:rsidR="007A1473" w:rsidRPr="00C7787A">
        <w:t>1</w:t>
      </w:r>
      <w:r w:rsidRPr="00D5341B">
        <w:fldChar w:fldCharType="end"/>
      </w:r>
      <w:r w:rsidRPr="00D5341B">
        <w:t xml:space="preserve"> as more </w:t>
      </w:r>
      <w:r w:rsidRPr="00772237">
        <w:t>particularly set out in this Schedule.</w:t>
      </w:r>
    </w:p>
    <w:p w14:paraId="2DED905F" w14:textId="0F7338CC" w:rsidR="00F67E9E" w:rsidRPr="00D5341B" w:rsidRDefault="00F67E9E" w:rsidP="00F67E9E">
      <w:pPr>
        <w:pStyle w:val="Numbered11"/>
      </w:pPr>
      <w:bookmarkStart w:id="782" w:name="_9kR3WTr2CC5DIfIXjn4"/>
      <w:r w:rsidRPr="00772237">
        <w:t>Table 1</w:t>
      </w:r>
      <w:bookmarkEnd w:id="782"/>
      <w:r w:rsidRPr="00772237">
        <w:t xml:space="preserve"> o</w:t>
      </w:r>
      <w:r w:rsidRPr="00D5341B">
        <w:t xml:space="preserve">f Annex </w:t>
      </w:r>
      <w:r w:rsidRPr="00D5341B">
        <w:fldChar w:fldCharType="begin"/>
      </w:r>
      <w:r w:rsidRPr="00D5341B">
        <w:instrText xml:space="preserve"> REF ANNEX2_SCHEDULE15 \h </w:instrText>
      </w:r>
      <w:r>
        <w:instrText xml:space="preserve"> \* MERGEFORMAT </w:instrText>
      </w:r>
      <w:r w:rsidRPr="00D5341B">
        <w:fldChar w:fldCharType="separate"/>
      </w:r>
      <w:r w:rsidR="007A1473" w:rsidRPr="00BA56A1">
        <w:t>2</w:t>
      </w:r>
      <w:r w:rsidRPr="00D5341B">
        <w:fldChar w:fldCharType="end"/>
      </w:r>
      <w:r w:rsidRPr="00D5341B">
        <w:t xml:space="preserve"> sets out which pricing mechanism shall be used to calculate each Milestone Payment, which shall be one or more of the following:</w:t>
      </w:r>
    </w:p>
    <w:p w14:paraId="0DC84C0E" w14:textId="60ABCC5E" w:rsidR="00F67E9E" w:rsidRPr="00D5341B" w:rsidRDefault="00F67E9E" w:rsidP="00F67E9E">
      <w:pPr>
        <w:pStyle w:val="Numbered111"/>
        <w:tabs>
          <w:tab w:val="clear" w:pos="1800"/>
          <w:tab w:val="num" w:pos="2160"/>
        </w:tabs>
      </w:pPr>
      <w:r>
        <w:t>“</w:t>
      </w:r>
      <w:r w:rsidRPr="00D5341B">
        <w:rPr>
          <w:rStyle w:val="StdBodyTextBoldChar"/>
          <w:rFonts w:eastAsia="Arial" w:cs="Arial"/>
        </w:rPr>
        <w:t>Time and Materials</w:t>
      </w:r>
      <w:r>
        <w:t>”</w:t>
      </w:r>
      <w:r w:rsidRPr="00D5341B">
        <w:t xml:space="preserve">, in which case the provisions of </w:t>
      </w:r>
      <w:bookmarkStart w:id="783" w:name="_9kMHG5YVtCIB79GhLhkhy7sFQLkR0KeivJDAz9D"/>
      <w:r w:rsidRPr="00D5341B">
        <w:t xml:space="preserve">Paragraph </w:t>
      </w:r>
      <w:bookmarkEnd w:id="783"/>
      <w:r w:rsidRPr="00D5341B">
        <w:fldChar w:fldCharType="begin"/>
      </w:r>
      <w:r w:rsidRPr="00D5341B">
        <w:instrText xml:space="preserve"> REF _Ref_ContractCompanion_9kb9Us138 \w \h </w:instrText>
      </w:r>
      <w:r>
        <w:instrText xml:space="preserve"> \* MERGEFORMAT </w:instrText>
      </w:r>
      <w:r w:rsidRPr="00D5341B">
        <w:fldChar w:fldCharType="separate"/>
      </w:r>
      <w:r w:rsidR="007A1473">
        <w:t>2</w:t>
      </w:r>
      <w:r w:rsidRPr="00D5341B">
        <w:fldChar w:fldCharType="end"/>
      </w:r>
      <w:r w:rsidRPr="00D5341B">
        <w:t xml:space="preserve"> shall apply;</w:t>
      </w:r>
    </w:p>
    <w:p w14:paraId="581A69C2" w14:textId="67E2CD51" w:rsidR="00F67E9E" w:rsidRPr="00D5341B" w:rsidRDefault="00F67E9E" w:rsidP="00F67E9E">
      <w:pPr>
        <w:pStyle w:val="Numbered111"/>
        <w:tabs>
          <w:tab w:val="clear" w:pos="1800"/>
          <w:tab w:val="num" w:pos="2160"/>
        </w:tabs>
      </w:pPr>
      <w:r>
        <w:t>“</w:t>
      </w:r>
      <w:r w:rsidRPr="00D5341B">
        <w:rPr>
          <w:rStyle w:val="StdBodyTextBoldChar"/>
          <w:rFonts w:eastAsia="Arial" w:cs="Arial"/>
        </w:rPr>
        <w:t>Guaranteed Maximum Price with Target Cost</w:t>
      </w:r>
      <w:r>
        <w:t>”</w:t>
      </w:r>
      <w:r w:rsidRPr="00D5341B">
        <w:t xml:space="preserve">, in which case the provisions of </w:t>
      </w:r>
      <w:bookmarkStart w:id="784" w:name="_9kMHG5YVtCIB79JkLhkhy7sFQLkR0KejjIDBC9T"/>
      <w:r w:rsidRPr="00D5341B">
        <w:t xml:space="preserve">Paragraph </w:t>
      </w:r>
      <w:bookmarkEnd w:id="784"/>
      <w:r w:rsidRPr="00D5341B">
        <w:fldChar w:fldCharType="begin"/>
      </w:r>
      <w:r w:rsidRPr="00D5341B">
        <w:instrText xml:space="preserve"> REF _Ref_ContractCompanion_9kb9Us13B \w \h </w:instrText>
      </w:r>
      <w:r>
        <w:instrText xml:space="preserve"> \* MERGEFORMAT </w:instrText>
      </w:r>
      <w:r w:rsidRPr="00D5341B">
        <w:fldChar w:fldCharType="separate"/>
      </w:r>
      <w:r w:rsidR="007A1473">
        <w:t>3</w:t>
      </w:r>
      <w:r w:rsidRPr="00D5341B">
        <w:fldChar w:fldCharType="end"/>
      </w:r>
      <w:r w:rsidRPr="00D5341B">
        <w:t xml:space="preserve"> shall apply;</w:t>
      </w:r>
    </w:p>
    <w:p w14:paraId="08582BEB" w14:textId="2063C683" w:rsidR="00F67E9E" w:rsidRPr="00D5341B" w:rsidRDefault="00F67E9E" w:rsidP="00F67E9E">
      <w:pPr>
        <w:pStyle w:val="Numbered111"/>
        <w:tabs>
          <w:tab w:val="clear" w:pos="1800"/>
          <w:tab w:val="num" w:pos="2160"/>
        </w:tabs>
      </w:pPr>
      <w:r>
        <w:t>“</w:t>
      </w:r>
      <w:r w:rsidRPr="00D5341B">
        <w:rPr>
          <w:rStyle w:val="StdBodyTextBoldChar"/>
          <w:rFonts w:eastAsia="Arial" w:cs="Arial"/>
        </w:rPr>
        <w:t>Fixed Price</w:t>
      </w:r>
      <w:r>
        <w:t>”</w:t>
      </w:r>
      <w:r w:rsidRPr="00D5341B">
        <w:t xml:space="preserve">, in which case the provisions of </w:t>
      </w:r>
      <w:bookmarkStart w:id="785" w:name="_9kMHG5YVtCIB7ADdLhkhy7sFQLkR0Kekj5OL2ET"/>
      <w:r w:rsidRPr="00D5341B">
        <w:t xml:space="preserve">Paragraph </w:t>
      </w:r>
      <w:r w:rsidRPr="00D5341B">
        <w:fldChar w:fldCharType="begin"/>
      </w:r>
      <w:r w:rsidRPr="00D5341B">
        <w:instrText xml:space="preserve"> REF _Ref_ContractCompanion_9kb9Us145 \w \n \h \t \* MERGEFORMAT </w:instrText>
      </w:r>
      <w:r w:rsidRPr="00D5341B">
        <w:fldChar w:fldCharType="separate"/>
      </w:r>
      <w:r w:rsidR="007A1473">
        <w:t>4</w:t>
      </w:r>
      <w:r w:rsidRPr="00D5341B">
        <w:fldChar w:fldCharType="end"/>
      </w:r>
      <w:bookmarkEnd w:id="785"/>
      <w:r w:rsidRPr="00D5341B">
        <w:t xml:space="preserve"> shall apply; or </w:t>
      </w:r>
    </w:p>
    <w:p w14:paraId="39999430" w14:textId="16D66A7D" w:rsidR="00F67E9E" w:rsidRPr="00D5341B" w:rsidRDefault="00F67E9E" w:rsidP="00F67E9E">
      <w:pPr>
        <w:pStyle w:val="Numbered111"/>
        <w:tabs>
          <w:tab w:val="clear" w:pos="1800"/>
          <w:tab w:val="num" w:pos="2160"/>
        </w:tabs>
      </w:pPr>
      <w:r>
        <w:t>“</w:t>
      </w:r>
      <w:r w:rsidRPr="00D5341B">
        <w:rPr>
          <w:rStyle w:val="StdBodyTextBoldChar"/>
          <w:rFonts w:eastAsia="Arial" w:cs="Arial"/>
        </w:rPr>
        <w:t>Firm Price</w:t>
      </w:r>
      <w:r>
        <w:t>”</w:t>
      </w:r>
      <w:r w:rsidRPr="00D5341B">
        <w:t xml:space="preserve">, in which case the provisions of </w:t>
      </w:r>
      <w:bookmarkStart w:id="786" w:name="_9kMHG5YVtCIB7AGgLhkhy7sFQLkR0Kelk5INMSM"/>
      <w:r w:rsidRPr="00D5341B">
        <w:t xml:space="preserve">Paragraph </w:t>
      </w:r>
      <w:r w:rsidRPr="00D5341B">
        <w:fldChar w:fldCharType="begin"/>
      </w:r>
      <w:r w:rsidRPr="00D5341B">
        <w:instrText xml:space="preserve"> REF _Ref_ContractCompanion_9kb9Us148 \w \n \h \t \* MERGEFORMAT </w:instrText>
      </w:r>
      <w:r w:rsidRPr="00D5341B">
        <w:fldChar w:fldCharType="separate"/>
      </w:r>
      <w:r w:rsidR="007A1473">
        <w:t>5</w:t>
      </w:r>
      <w:r w:rsidRPr="00D5341B">
        <w:fldChar w:fldCharType="end"/>
      </w:r>
      <w:bookmarkEnd w:id="786"/>
      <w:r w:rsidRPr="00D5341B">
        <w:t xml:space="preserve"> shall apply.</w:t>
      </w:r>
    </w:p>
    <w:p w14:paraId="53D6C9A8" w14:textId="5DE13BE3" w:rsidR="00F67E9E" w:rsidRPr="00D5341B" w:rsidRDefault="00F67E9E" w:rsidP="00F67E9E">
      <w:pPr>
        <w:pStyle w:val="Numbered11"/>
      </w:pPr>
      <w:bookmarkStart w:id="787" w:name="_9kR3WTr2CC5DJgIXjn5"/>
      <w:r w:rsidRPr="00D5341B">
        <w:t>Table 2</w:t>
      </w:r>
      <w:bookmarkEnd w:id="787"/>
      <w:r w:rsidRPr="00D5341B">
        <w:t xml:space="preserve"> of Annex </w:t>
      </w:r>
      <w:r w:rsidRPr="00D5341B">
        <w:fldChar w:fldCharType="begin"/>
      </w:r>
      <w:r w:rsidRPr="00D5341B">
        <w:instrText xml:space="preserve"> REF ANNEX2_SCHEDULE15 \h </w:instrText>
      </w:r>
      <w:r>
        <w:instrText xml:space="preserve"> \* MERGEFORMAT </w:instrText>
      </w:r>
      <w:r w:rsidRPr="00D5341B">
        <w:fldChar w:fldCharType="separate"/>
      </w:r>
      <w:r w:rsidR="007A1473" w:rsidRPr="00BA56A1">
        <w:t>2</w:t>
      </w:r>
      <w:r w:rsidRPr="00D5341B">
        <w:fldChar w:fldCharType="end"/>
      </w:r>
      <w:r w:rsidRPr="00D5341B">
        <w:t xml:space="preserve"> sets out which pricing mechanism shall be used to calculate each Service </w:t>
      </w:r>
      <w:r w:rsidRPr="00772237">
        <w:t>Charge</w:t>
      </w:r>
      <w:r w:rsidRPr="00D5341B">
        <w:t>, which shall be one or more of the following:</w:t>
      </w:r>
    </w:p>
    <w:p w14:paraId="72031229" w14:textId="72D5B961" w:rsidR="00F67E9E" w:rsidRPr="00D5341B" w:rsidRDefault="00F67E9E" w:rsidP="00F67E9E">
      <w:pPr>
        <w:pStyle w:val="Numbered111"/>
        <w:tabs>
          <w:tab w:val="clear" w:pos="1800"/>
          <w:tab w:val="num" w:pos="2160"/>
        </w:tabs>
      </w:pPr>
      <w:r>
        <w:t>“</w:t>
      </w:r>
      <w:r w:rsidRPr="00D5341B">
        <w:rPr>
          <w:rStyle w:val="StdBodyTextBoldChar"/>
          <w:rFonts w:eastAsia="Arial" w:cs="Arial"/>
        </w:rPr>
        <w:t>Time and Materials</w:t>
      </w:r>
      <w:r>
        <w:t>”</w:t>
      </w:r>
      <w:r w:rsidRPr="00D5341B">
        <w:t xml:space="preserve">, in which case the provisions of </w:t>
      </w:r>
      <w:bookmarkStart w:id="788" w:name="_9kMIH5YVtCIB79GhLhkhy7sFQLkR0KeivJDAz9D"/>
      <w:r w:rsidRPr="00D5341B">
        <w:t xml:space="preserve">Paragraph </w:t>
      </w:r>
      <w:r w:rsidRPr="00D5341B">
        <w:fldChar w:fldCharType="begin"/>
      </w:r>
      <w:r w:rsidRPr="00D5341B">
        <w:instrText xml:space="preserve"> REF _Ref_ContractCompanion_9kb9Us138 \w \n \h \t \* MERGEFORMAT </w:instrText>
      </w:r>
      <w:r w:rsidRPr="00D5341B">
        <w:fldChar w:fldCharType="separate"/>
      </w:r>
      <w:r w:rsidR="007A1473">
        <w:t>2</w:t>
      </w:r>
      <w:r w:rsidRPr="00D5341B">
        <w:fldChar w:fldCharType="end"/>
      </w:r>
      <w:bookmarkEnd w:id="788"/>
      <w:r w:rsidRPr="00D5341B">
        <w:t xml:space="preserve"> shall apply;</w:t>
      </w:r>
    </w:p>
    <w:p w14:paraId="7ADCB0D1" w14:textId="041FCF14" w:rsidR="00F67E9E" w:rsidRPr="00D5341B" w:rsidRDefault="00F67E9E" w:rsidP="00F67E9E">
      <w:pPr>
        <w:pStyle w:val="Numbered111"/>
        <w:tabs>
          <w:tab w:val="clear" w:pos="1800"/>
          <w:tab w:val="num" w:pos="2160"/>
        </w:tabs>
      </w:pPr>
      <w:r>
        <w:t>“</w:t>
      </w:r>
      <w:r w:rsidRPr="00D5341B">
        <w:rPr>
          <w:rStyle w:val="StdBodyTextBoldChar"/>
          <w:rFonts w:eastAsia="Arial" w:cs="Arial"/>
        </w:rPr>
        <w:t>Volume Based</w:t>
      </w:r>
      <w:r>
        <w:t>”</w:t>
      </w:r>
      <w:r w:rsidRPr="00D5341B">
        <w:t xml:space="preserve"> pricing, in which case the provisions of </w:t>
      </w:r>
      <w:bookmarkStart w:id="789" w:name="_9kMHG5YVtCIB7AJjLhkhy7sFQLkR0Kem1RIPRC2"/>
      <w:r w:rsidRPr="00D5341B">
        <w:t>Paragraph</w:t>
      </w:r>
      <w:bookmarkEnd w:id="789"/>
      <w:r w:rsidRPr="00D5341B">
        <w:t> </w:t>
      </w:r>
      <w:r w:rsidRPr="00D5341B">
        <w:fldChar w:fldCharType="begin"/>
      </w:r>
      <w:r w:rsidRPr="00D5341B">
        <w:instrText xml:space="preserve"> REF _Ref_ContractCompanion_9kb9Us14B \w \h </w:instrText>
      </w:r>
      <w:r>
        <w:instrText xml:space="preserve"> \* MERGEFORMAT </w:instrText>
      </w:r>
      <w:r w:rsidRPr="00D5341B">
        <w:fldChar w:fldCharType="separate"/>
      </w:r>
      <w:r w:rsidR="007A1473">
        <w:t>6</w:t>
      </w:r>
      <w:r w:rsidRPr="00D5341B">
        <w:fldChar w:fldCharType="end"/>
      </w:r>
      <w:r w:rsidRPr="00D5341B">
        <w:t xml:space="preserve"> shall apply; or</w:t>
      </w:r>
    </w:p>
    <w:p w14:paraId="7F7840ED" w14:textId="6E5798B8" w:rsidR="00F67E9E" w:rsidRPr="00D5341B" w:rsidRDefault="00F67E9E" w:rsidP="00F67E9E">
      <w:pPr>
        <w:pStyle w:val="Numbered111"/>
        <w:tabs>
          <w:tab w:val="clear" w:pos="1800"/>
          <w:tab w:val="num" w:pos="2160"/>
        </w:tabs>
      </w:pPr>
      <w:r>
        <w:t>“</w:t>
      </w:r>
      <w:r w:rsidRPr="00D5341B">
        <w:rPr>
          <w:rStyle w:val="StdBodyTextBoldChar"/>
          <w:rFonts w:eastAsia="Arial" w:cs="Arial"/>
        </w:rPr>
        <w:t>Fixed Price</w:t>
      </w:r>
      <w:r>
        <w:t>”</w:t>
      </w:r>
      <w:r w:rsidRPr="00D5341B">
        <w:t xml:space="preserve"> in which case the provisions of </w:t>
      </w:r>
      <w:bookmarkStart w:id="790" w:name="_9kMIH5YVtCIB7ADdLhkhy7sFQLkR0Kekj5OL2ET"/>
      <w:r w:rsidRPr="00D5341B">
        <w:t xml:space="preserve">Paragraph </w:t>
      </w:r>
      <w:bookmarkEnd w:id="790"/>
      <w:r w:rsidRPr="00D5341B">
        <w:fldChar w:fldCharType="begin"/>
      </w:r>
      <w:r w:rsidRPr="00D5341B">
        <w:instrText xml:space="preserve"> REF _Ref_ContractCompanion_9kb9Us145 \w \h </w:instrText>
      </w:r>
      <w:r>
        <w:instrText xml:space="preserve"> \* MERGEFORMAT </w:instrText>
      </w:r>
      <w:r w:rsidRPr="00D5341B">
        <w:fldChar w:fldCharType="separate"/>
      </w:r>
      <w:r w:rsidR="007A1473">
        <w:t>4</w:t>
      </w:r>
      <w:r w:rsidRPr="00D5341B">
        <w:fldChar w:fldCharType="end"/>
      </w:r>
      <w:r w:rsidRPr="00D5341B">
        <w:t xml:space="preserve"> shall apply.</w:t>
      </w:r>
    </w:p>
    <w:p w14:paraId="435FBFCE" w14:textId="77777777" w:rsidR="00F67E9E" w:rsidRDefault="00F67E9E" w:rsidP="00F67E9E">
      <w:pPr>
        <w:pStyle w:val="Numbered1"/>
      </w:pPr>
      <w:bookmarkStart w:id="791" w:name="_Ref_ContractCompanion_9kb9Us138"/>
      <w:bookmarkStart w:id="792" w:name="_9kR3WTrAG957EfJfifw5qDOJiPyIcgtHB8x7BB9"/>
      <w:r w:rsidRPr="00D5341B">
        <w:t xml:space="preserve">Time </w:t>
      </w:r>
      <w:r>
        <w:t>a</w:t>
      </w:r>
      <w:r w:rsidRPr="00D5341B">
        <w:t xml:space="preserve">nd Materials </w:t>
      </w:r>
      <w:r w:rsidRPr="00772237">
        <w:t>Milestone</w:t>
      </w:r>
      <w:r w:rsidRPr="00D5341B">
        <w:t xml:space="preserve"> Payments </w:t>
      </w:r>
      <w:r>
        <w:t>o</w:t>
      </w:r>
      <w:r w:rsidRPr="00D5341B">
        <w:t>r Service Charges</w:t>
      </w:r>
      <w:bookmarkEnd w:id="791"/>
      <w:bookmarkEnd w:id="792"/>
    </w:p>
    <w:p w14:paraId="4B4E177B" w14:textId="78C730C0" w:rsidR="00F67E9E" w:rsidRPr="00D5341B" w:rsidRDefault="00F67E9E" w:rsidP="00F67E9E">
      <w:pPr>
        <w:pStyle w:val="Numbered11"/>
      </w:pPr>
      <w:r w:rsidRPr="00D5341B">
        <w:t xml:space="preserve">Where </w:t>
      </w:r>
      <w:bookmarkStart w:id="793" w:name="_9kMHG5YVt4EE7FKhKZlp6"/>
      <w:r w:rsidRPr="00D5341B">
        <w:t>Table 1</w:t>
      </w:r>
      <w:bookmarkEnd w:id="793"/>
      <w:r w:rsidRPr="00D5341B">
        <w:t xml:space="preserve"> or </w:t>
      </w:r>
      <w:bookmarkStart w:id="794" w:name="_9kMHG5YVt4EE7FLiKZlp7"/>
      <w:r w:rsidRPr="00D5341B">
        <w:t>Table 2</w:t>
      </w:r>
      <w:bookmarkEnd w:id="794"/>
      <w:r w:rsidRPr="00D5341B">
        <w:t xml:space="preserve"> of Annex </w:t>
      </w:r>
      <w:r w:rsidRPr="00D5341B">
        <w:fldChar w:fldCharType="begin"/>
      </w:r>
      <w:r w:rsidRPr="00D5341B">
        <w:instrText xml:space="preserve"> REF ANNEX2_SCHEDULE15 \h </w:instrText>
      </w:r>
      <w:r>
        <w:instrText xml:space="preserve"> \* MERGEFORMAT </w:instrText>
      </w:r>
      <w:r w:rsidRPr="00D5341B">
        <w:fldChar w:fldCharType="separate"/>
      </w:r>
      <w:r w:rsidR="007A1473" w:rsidRPr="00BA56A1">
        <w:t>2</w:t>
      </w:r>
      <w:r w:rsidRPr="00D5341B">
        <w:fldChar w:fldCharType="end"/>
      </w:r>
      <w:r w:rsidRPr="00D5341B">
        <w:t xml:space="preserve"> indicates that a Milestone Payment or Service Charge (as applicable) is to be calculated by reference to a Time and Materials pricing mechanism:</w:t>
      </w:r>
    </w:p>
    <w:p w14:paraId="0DE794C4" w14:textId="44DBB162" w:rsidR="00F67E9E" w:rsidRPr="00D5341B" w:rsidRDefault="00F67E9E" w:rsidP="00F67E9E">
      <w:pPr>
        <w:pStyle w:val="Numbered111"/>
        <w:tabs>
          <w:tab w:val="clear" w:pos="1800"/>
          <w:tab w:val="num" w:pos="2160"/>
        </w:tabs>
      </w:pPr>
      <w:r w:rsidRPr="00D5341B">
        <w:t xml:space="preserve">the day rates set out in </w:t>
      </w:r>
      <w:bookmarkStart w:id="795" w:name="_9kMIH5YVt4EE7FKhKZlp6"/>
      <w:r w:rsidRPr="00D5341B">
        <w:t>Table 1</w:t>
      </w:r>
      <w:bookmarkEnd w:id="795"/>
      <w:r w:rsidRPr="00D5341B">
        <w:t xml:space="preserve"> of Annex </w:t>
      </w:r>
      <w:r w:rsidRPr="00D5341B">
        <w:fldChar w:fldCharType="begin"/>
      </w:r>
      <w:r w:rsidRPr="00D5341B">
        <w:instrText xml:space="preserve"> REF ANNEX1_SCHEDULE15 \h </w:instrText>
      </w:r>
      <w:r>
        <w:instrText xml:space="preserve"> \* MERGEFORMAT </w:instrText>
      </w:r>
      <w:r w:rsidRPr="00D5341B">
        <w:fldChar w:fldCharType="separate"/>
      </w:r>
      <w:r w:rsidR="007A1473" w:rsidRPr="00C7787A">
        <w:t>1</w:t>
      </w:r>
      <w:r w:rsidRPr="00D5341B">
        <w:fldChar w:fldCharType="end"/>
      </w:r>
      <w:r w:rsidRPr="00D5341B">
        <w:t xml:space="preserve"> shall be used to calculate the relevant Charges, provided that the Supplier (or its Sub-contractor) shall:</w:t>
      </w:r>
    </w:p>
    <w:p w14:paraId="0842D6D5" w14:textId="77777777" w:rsidR="00F67E9E" w:rsidRPr="00D5341B" w:rsidRDefault="00F67E9E" w:rsidP="00F67E9E">
      <w:pPr>
        <w:pStyle w:val="Numbered111a"/>
        <w:tabs>
          <w:tab w:val="clear" w:pos="2520"/>
          <w:tab w:val="num" w:pos="2880"/>
        </w:tabs>
      </w:pPr>
      <w:r w:rsidRPr="00D5341B">
        <w:t>not be entitled to include any uplift for risks or contingencies within its day rates;</w:t>
      </w:r>
    </w:p>
    <w:p w14:paraId="073862A1" w14:textId="257C1AB9" w:rsidR="00F67E9E" w:rsidRPr="00D5341B" w:rsidRDefault="00F67E9E" w:rsidP="00F67E9E">
      <w:pPr>
        <w:pStyle w:val="Numbered111a"/>
        <w:tabs>
          <w:tab w:val="clear" w:pos="2520"/>
          <w:tab w:val="num" w:pos="2880"/>
        </w:tabs>
      </w:pPr>
      <w:r w:rsidRPr="00D5341B">
        <w:t xml:space="preserve">not be paid any Charges to the extent that they would otherwise exceed the cap specified against the relevant Charge in </w:t>
      </w:r>
      <w:bookmarkStart w:id="796" w:name="_9kMIH5YVt4EE7FLiKZlp7"/>
      <w:r w:rsidRPr="00D5341B">
        <w:t>Table 2</w:t>
      </w:r>
      <w:bookmarkEnd w:id="796"/>
      <w:r w:rsidRPr="00D5341B">
        <w:t xml:space="preserve"> of Annex </w:t>
      </w:r>
      <w:r w:rsidRPr="00D5341B">
        <w:fldChar w:fldCharType="begin"/>
      </w:r>
      <w:r w:rsidRPr="00D5341B">
        <w:instrText xml:space="preserve"> REF ANNEX1_SCHEDULE15 \h </w:instrText>
      </w:r>
      <w:r>
        <w:instrText xml:space="preserve"> \* MERGEFORMAT </w:instrText>
      </w:r>
      <w:r w:rsidRPr="00D5341B">
        <w:fldChar w:fldCharType="separate"/>
      </w:r>
      <w:r w:rsidR="007A1473" w:rsidRPr="00C7787A">
        <w:t>1</w:t>
      </w:r>
      <w:r w:rsidRPr="00D5341B">
        <w:fldChar w:fldCharType="end"/>
      </w:r>
      <w:r w:rsidRPr="00D5341B">
        <w:t xml:space="preserve"> unless the Supplier has obtained the Authority</w:t>
      </w:r>
      <w:r>
        <w:t>’</w:t>
      </w:r>
      <w:r w:rsidRPr="00D5341B">
        <w:t>s prior written consent. The Supplier shall monitor the amount of each Charge incurred in relation to the relevant cap and notify the Authority immediately in the event of any risk that the cap may be exceeded and the Authority shall instruct the Supplier on how to proceed;</w:t>
      </w:r>
    </w:p>
    <w:p w14:paraId="192C6546" w14:textId="77777777" w:rsidR="00F67E9E" w:rsidRPr="00D5341B" w:rsidRDefault="00F67E9E" w:rsidP="00F67E9E">
      <w:pPr>
        <w:pStyle w:val="Numbered111a"/>
        <w:keepNext/>
        <w:tabs>
          <w:tab w:val="clear" w:pos="2520"/>
          <w:tab w:val="num" w:pos="2880"/>
        </w:tabs>
      </w:pPr>
      <w:r w:rsidRPr="00D5341B">
        <w:t xml:space="preserve">unless otherwise agreed by the Authority in relation to the relevant Milestone Payment or Service Charge (as the case may be), not be paid any Charges to the extent that they would otherwise exceed the amount </w:t>
      </w:r>
      <w:r w:rsidRPr="00D5341B">
        <w:lastRenderedPageBreak/>
        <w:t>calculated by multiplying:</w:t>
      </w:r>
    </w:p>
    <w:p w14:paraId="5735FD67" w14:textId="77777777" w:rsidR="00F67E9E" w:rsidRPr="00D5341B" w:rsidRDefault="00F67E9E" w:rsidP="00F67E9E">
      <w:pPr>
        <w:pStyle w:val="Numbered111ai"/>
        <w:tabs>
          <w:tab w:val="clear" w:pos="3240"/>
          <w:tab w:val="num" w:pos="3600"/>
        </w:tabs>
      </w:pPr>
      <w:r w:rsidRPr="00D5341B">
        <w:t>the total number of days expended by the Supplier in relation to the relevant Milestone; or</w:t>
      </w:r>
    </w:p>
    <w:p w14:paraId="4D47437D" w14:textId="77777777" w:rsidR="00F67E9E" w:rsidRPr="00D5341B" w:rsidRDefault="00F67E9E" w:rsidP="00F67E9E">
      <w:pPr>
        <w:pStyle w:val="Numbered111ai"/>
        <w:tabs>
          <w:tab w:val="clear" w:pos="3240"/>
          <w:tab w:val="num" w:pos="3600"/>
        </w:tabs>
      </w:pPr>
      <w:r w:rsidRPr="00D5341B">
        <w:t>the total number of days expended by the Supplier during the relevant Service Period in relation to the relevant Service,</w:t>
      </w:r>
    </w:p>
    <w:p w14:paraId="41F501E7" w14:textId="77777777" w:rsidR="00F67E9E" w:rsidRPr="00D5341B" w:rsidRDefault="00F67E9E" w:rsidP="00F67E9E">
      <w:pPr>
        <w:pStyle w:val="StdBodyText5"/>
        <w:ind w:left="2520"/>
        <w:rPr>
          <w:rFonts w:cs="Arial"/>
        </w:rPr>
      </w:pPr>
      <w:r w:rsidRPr="00D5341B">
        <w:rPr>
          <w:rFonts w:cs="Arial"/>
        </w:rPr>
        <w:t>by the Capped ADR; and</w:t>
      </w:r>
    </w:p>
    <w:p w14:paraId="6F56DF8B" w14:textId="77777777" w:rsidR="00F67E9E" w:rsidRPr="00D5341B" w:rsidRDefault="00F67E9E" w:rsidP="00F67E9E">
      <w:pPr>
        <w:pStyle w:val="Numbered111a"/>
      </w:pPr>
      <w:r w:rsidRPr="00D5341B">
        <w:t xml:space="preserve">only be entitled to be paid Charges that have been properly and reasonably </w:t>
      </w:r>
      <w:r w:rsidRPr="00772237">
        <w:t>incurred</w:t>
      </w:r>
      <w:r w:rsidRPr="00D5341B">
        <w:t>, taking into account the Supplier</w:t>
      </w:r>
      <w:r>
        <w:t>’</w:t>
      </w:r>
      <w:r w:rsidRPr="00D5341B">
        <w:t>s obligation to deliver the Services in a proportionate and efficient manner; and</w:t>
      </w:r>
    </w:p>
    <w:p w14:paraId="72CAD586" w14:textId="77777777" w:rsidR="00F67E9E" w:rsidRPr="00D5341B" w:rsidRDefault="00F67E9E" w:rsidP="00F67E9E">
      <w:pPr>
        <w:pStyle w:val="Numbered111"/>
      </w:pPr>
      <w:r w:rsidRPr="00D5341B">
        <w:t>the Supplier shall keep records of hours properly worked by Supplier Personnel (in the form of timesheets) and expenses incurred and submit a summary of the relevant records with each invoice. If the Authority requests copies of such records, the Supplier shall make them available to the Authority within 10 Working Days of the Authority</w:t>
      </w:r>
      <w:r>
        <w:t>’</w:t>
      </w:r>
      <w:r w:rsidRPr="00D5341B">
        <w:t>s request.</w:t>
      </w:r>
    </w:p>
    <w:p w14:paraId="6A6E6399" w14:textId="7E8A2D80" w:rsidR="00F67E9E" w:rsidRPr="00D5341B" w:rsidRDefault="00F67E9E" w:rsidP="00F67E9E">
      <w:pPr>
        <w:pStyle w:val="Numbered11"/>
      </w:pPr>
      <w:r w:rsidRPr="00D5341B">
        <w:t xml:space="preserve">The Supplier shall be entitled to Index the rates set out in </w:t>
      </w:r>
      <w:bookmarkStart w:id="797" w:name="_9kMJI5YVt4EE7FKhKZlp6"/>
      <w:r w:rsidRPr="00D5341B">
        <w:t>Table 1</w:t>
      </w:r>
      <w:bookmarkEnd w:id="797"/>
      <w:r w:rsidRPr="00D5341B">
        <w:t xml:space="preserve"> of Annex </w:t>
      </w:r>
      <w:r w:rsidRPr="00D5341B">
        <w:fldChar w:fldCharType="begin"/>
      </w:r>
      <w:r w:rsidRPr="00D5341B">
        <w:instrText xml:space="preserve"> REF ANNEX1_SCHEDULE15 \h </w:instrText>
      </w:r>
      <w:r>
        <w:instrText xml:space="preserve"> \* MERGEFORMAT </w:instrText>
      </w:r>
      <w:r w:rsidRPr="00D5341B">
        <w:fldChar w:fldCharType="separate"/>
      </w:r>
      <w:r w:rsidR="007A1473" w:rsidRPr="00C7787A">
        <w:t>1</w:t>
      </w:r>
      <w:r w:rsidRPr="00D5341B">
        <w:fldChar w:fldCharType="end"/>
      </w:r>
      <w:r w:rsidRPr="00D5341B">
        <w:t xml:space="preserve"> and the Capped ADR in accordance with </w:t>
      </w:r>
      <w:bookmarkStart w:id="798" w:name="_9kMHG5YVt4EE7ELfGpqgyts0H"/>
      <w:r w:rsidRPr="00D5341B">
        <w:t xml:space="preserve">Paragraph </w:t>
      </w:r>
      <w:bookmarkEnd w:id="798"/>
      <w:r w:rsidRPr="00D5341B">
        <w:fldChar w:fldCharType="begin"/>
      </w:r>
      <w:r w:rsidRPr="00D5341B">
        <w:instrText xml:space="preserve"> REF _Ref_ContractCompanion_9kb9Ur18D \w \h </w:instrText>
      </w:r>
      <w:r>
        <w:instrText xml:space="preserve"> \* MERGEFORMAT </w:instrText>
      </w:r>
      <w:r w:rsidRPr="00D5341B">
        <w:fldChar w:fldCharType="separate"/>
      </w:r>
      <w:r w:rsidR="007A1473">
        <w:t>5</w:t>
      </w:r>
      <w:r w:rsidRPr="00D5341B">
        <w:fldChar w:fldCharType="end"/>
      </w:r>
      <w:r w:rsidRPr="00D5341B">
        <w:t xml:space="preserve"> of </w:t>
      </w:r>
      <w:r w:rsidRPr="00D5341B">
        <w:fldChar w:fldCharType="begin"/>
      </w:r>
      <w:r w:rsidRPr="00D5341B">
        <w:instrText xml:space="preserve"> REF Sch15PartC \h  \* MERGEFORMAT </w:instrText>
      </w:r>
      <w:r w:rsidRPr="00D5341B">
        <w:fldChar w:fldCharType="separate"/>
      </w:r>
      <w:r w:rsidR="007A1473" w:rsidRPr="000038E2">
        <w:t>Part </w:t>
      </w:r>
      <w:r w:rsidR="007A1473" w:rsidRPr="00D5341B">
        <w:t>C</w:t>
      </w:r>
      <w:r w:rsidRPr="00D5341B">
        <w:fldChar w:fldCharType="end"/>
      </w:r>
      <w:r w:rsidRPr="00D5341B">
        <w:t xml:space="preserve">, but any caps set out in </w:t>
      </w:r>
      <w:bookmarkStart w:id="799" w:name="_9kMJI5YVt4EE7FLiKZlp7"/>
      <w:r w:rsidRPr="00D5341B">
        <w:t>Table 2</w:t>
      </w:r>
      <w:bookmarkEnd w:id="799"/>
      <w:r w:rsidRPr="00D5341B">
        <w:t xml:space="preserve"> of Annex </w:t>
      </w:r>
      <w:r w:rsidRPr="00D5341B">
        <w:fldChar w:fldCharType="begin"/>
      </w:r>
      <w:r w:rsidRPr="00D5341B">
        <w:instrText xml:space="preserve"> REF ANNEX1_SCHEDULE15 \h </w:instrText>
      </w:r>
      <w:r>
        <w:instrText xml:space="preserve"> \* MERGEFORMAT </w:instrText>
      </w:r>
      <w:r w:rsidRPr="00D5341B">
        <w:fldChar w:fldCharType="separate"/>
      </w:r>
      <w:r w:rsidR="007A1473" w:rsidRPr="00C7787A">
        <w:t>1</w:t>
      </w:r>
      <w:r w:rsidRPr="00D5341B">
        <w:fldChar w:fldCharType="end"/>
      </w:r>
      <w:r w:rsidRPr="00D5341B">
        <w:t xml:space="preserve"> shall not be </w:t>
      </w:r>
      <w:r w:rsidRPr="00772237">
        <w:t>subject</w:t>
      </w:r>
      <w:r w:rsidRPr="00D5341B">
        <w:t xml:space="preserve"> to Indexation. </w:t>
      </w:r>
    </w:p>
    <w:p w14:paraId="27EFD068" w14:textId="77777777" w:rsidR="00F67E9E" w:rsidRPr="00D5341B" w:rsidRDefault="00F67E9E" w:rsidP="00F67E9E">
      <w:pPr>
        <w:pStyle w:val="Numbered1"/>
      </w:pPr>
      <w:bookmarkStart w:id="800" w:name="_Ref_ContractCompanion_9kb9Us13B"/>
      <w:bookmarkStart w:id="801" w:name="_9kR3WTrAG957HiJfifw5qDOJiPyIchhGB9A7RJ5"/>
      <w:r w:rsidRPr="00D5341B">
        <w:t xml:space="preserve">Guaranteed Maximum Price </w:t>
      </w:r>
      <w:r>
        <w:t>w</w:t>
      </w:r>
      <w:r w:rsidRPr="00D5341B">
        <w:t>ith Target Cost Incentive Milestone Payments</w:t>
      </w:r>
      <w:bookmarkEnd w:id="800"/>
      <w:bookmarkEnd w:id="801"/>
    </w:p>
    <w:p w14:paraId="361AE7DE" w14:textId="0E9706BE" w:rsidR="00F67E9E" w:rsidRPr="00772237" w:rsidRDefault="00F67E9E" w:rsidP="00F67E9E">
      <w:pPr>
        <w:pStyle w:val="Numbered11"/>
      </w:pPr>
      <w:bookmarkStart w:id="802" w:name="_Ref_ContractCompanion_9kb9Ur05A"/>
      <w:bookmarkStart w:id="803" w:name="_Ref_ContractCompanion_9kb9Ur05C"/>
      <w:r w:rsidRPr="00D5341B">
        <w:t xml:space="preserve">Where </w:t>
      </w:r>
      <w:bookmarkStart w:id="804" w:name="_9kMKJ5YVt4EE7FKhKZlp6"/>
      <w:r w:rsidRPr="00D5341B">
        <w:t>Table 1</w:t>
      </w:r>
      <w:bookmarkEnd w:id="804"/>
      <w:r w:rsidRPr="00D5341B">
        <w:t xml:space="preserve"> of Annex </w:t>
      </w:r>
      <w:r w:rsidRPr="00D5341B">
        <w:fldChar w:fldCharType="begin"/>
      </w:r>
      <w:r w:rsidRPr="00D5341B">
        <w:instrText xml:space="preserve"> REF ANNEX2_SCHEDULE15 \h </w:instrText>
      </w:r>
      <w:r>
        <w:instrText xml:space="preserve"> \* MERGEFORMAT </w:instrText>
      </w:r>
      <w:r w:rsidRPr="00D5341B">
        <w:fldChar w:fldCharType="separate"/>
      </w:r>
      <w:r w:rsidR="007A1473" w:rsidRPr="00BA56A1">
        <w:t>2</w:t>
      </w:r>
      <w:r w:rsidRPr="00D5341B">
        <w:fldChar w:fldCharType="end"/>
      </w:r>
      <w:r w:rsidRPr="00D5341B">
        <w:t xml:space="preserve"> indicates that a Milestone Payment is to be calculated by reference to the Guaranteed Maximum Price with Target Cost pricing mechanism, the target Costs (the </w:t>
      </w:r>
      <w:r>
        <w:t>“</w:t>
      </w:r>
      <w:r w:rsidRPr="00D5341B">
        <w:rPr>
          <w:rStyle w:val="StdBodyTextBoldChar"/>
          <w:rFonts w:eastAsia="Arial" w:cs="Arial"/>
        </w:rPr>
        <w:t>Target Cost</w:t>
      </w:r>
      <w:r>
        <w:t>”</w:t>
      </w:r>
      <w:r w:rsidRPr="00D5341B">
        <w:t xml:space="preserve">) and the target Charge (the </w:t>
      </w:r>
      <w:r>
        <w:t>“</w:t>
      </w:r>
      <w:r w:rsidRPr="00D5341B">
        <w:rPr>
          <w:rStyle w:val="StdBodyTextBoldChar"/>
          <w:rFonts w:eastAsia="Arial" w:cs="Arial"/>
        </w:rPr>
        <w:t>Target Price</w:t>
      </w:r>
      <w:r>
        <w:t>”</w:t>
      </w:r>
      <w:r w:rsidRPr="00D5341B">
        <w:t xml:space="preserve">) for the relevant Milestone shall </w:t>
      </w:r>
      <w:r w:rsidRPr="00772237">
        <w:t xml:space="preserve">be as set out in </w:t>
      </w:r>
      <w:bookmarkStart w:id="805" w:name="_9kR3WTr2CC5DKhIXjn7"/>
      <w:r w:rsidRPr="00772237">
        <w:t>Table 4</w:t>
      </w:r>
      <w:bookmarkEnd w:id="805"/>
      <w:r w:rsidRPr="00772237">
        <w:t xml:space="preserve"> of Annex </w:t>
      </w:r>
      <w:r w:rsidRPr="00772237">
        <w:fldChar w:fldCharType="begin"/>
      </w:r>
      <w:r w:rsidRPr="00772237">
        <w:instrText xml:space="preserve"> REF ANNEX1_SCHEDULE15 \h  \* MERGEFORMAT </w:instrText>
      </w:r>
      <w:r w:rsidRPr="00772237">
        <w:fldChar w:fldCharType="separate"/>
      </w:r>
      <w:r w:rsidR="007A1473" w:rsidRPr="00C7787A">
        <w:t>1</w:t>
      </w:r>
      <w:r w:rsidRPr="00772237">
        <w:fldChar w:fldCharType="end"/>
      </w:r>
      <w:r w:rsidRPr="00772237">
        <w:t>.</w:t>
      </w:r>
      <w:bookmarkEnd w:id="802"/>
      <w:bookmarkEnd w:id="803"/>
    </w:p>
    <w:p w14:paraId="413E116E" w14:textId="77777777" w:rsidR="00F67E9E" w:rsidRPr="00D5341B" w:rsidRDefault="00F67E9E" w:rsidP="00F67E9E">
      <w:pPr>
        <w:pStyle w:val="Numbered11"/>
      </w:pPr>
      <w:r w:rsidRPr="00772237">
        <w:t>If the Incurred C</w:t>
      </w:r>
      <w:r w:rsidRPr="00D5341B">
        <w:t>osts relating to a Milestone are lower than the Target Cost for that Milestone, the difference between the Incurred Costs and the Target Cost shall be shared equally between the Authority and the Supplier (resulting in the Supplier receiving a higher Supplier Profit Margin in relation to that Milestone), and the Milestone Payment shall be calculated as follows:</w:t>
      </w:r>
    </w:p>
    <w:p w14:paraId="052F8461" w14:textId="77777777" w:rsidR="00F67E9E" w:rsidRPr="00D5341B" w:rsidRDefault="00F67E9E" w:rsidP="00F67E9E">
      <w:pPr>
        <w:pStyle w:val="StdBodyText2"/>
        <w:rPr>
          <w:rFonts w:cs="Arial"/>
        </w:rPr>
      </w:pPr>
      <w:r w:rsidRPr="00D5341B">
        <w:rPr>
          <w:rFonts w:cs="Arial"/>
        </w:rPr>
        <w:t xml:space="preserve">Milestone Payment = TP – ((TC – </w:t>
      </w:r>
      <w:bookmarkStart w:id="806" w:name="_9kR3WTr2CC5DLXj"/>
      <w:r w:rsidRPr="00D5341B">
        <w:rPr>
          <w:rFonts w:cs="Arial"/>
        </w:rPr>
        <w:t>IC</w:t>
      </w:r>
      <w:bookmarkEnd w:id="806"/>
      <w:r w:rsidRPr="00D5341B">
        <w:rPr>
          <w:rFonts w:cs="Arial"/>
        </w:rPr>
        <w:t>)/2)</w:t>
      </w:r>
    </w:p>
    <w:p w14:paraId="0AF6216F" w14:textId="77777777" w:rsidR="00F67E9E" w:rsidRPr="00D5341B" w:rsidRDefault="00F67E9E" w:rsidP="00F67E9E">
      <w:pPr>
        <w:pStyle w:val="StdBodyText2"/>
        <w:rPr>
          <w:rFonts w:cs="Arial"/>
        </w:rPr>
      </w:pPr>
      <w:r w:rsidRPr="00D5341B">
        <w:rPr>
          <w:rFonts w:cs="Arial"/>
        </w:rPr>
        <w:t>where:</w:t>
      </w:r>
    </w:p>
    <w:tbl>
      <w:tblPr>
        <w:tblStyle w:val="MSAdefinitions"/>
        <w:tblW w:w="9638" w:type="dxa"/>
        <w:tblLook w:val="04A0" w:firstRow="1" w:lastRow="0" w:firstColumn="1" w:lastColumn="0" w:noHBand="0" w:noVBand="1"/>
      </w:tblPr>
      <w:tblGrid>
        <w:gridCol w:w="1134"/>
        <w:gridCol w:w="8504"/>
      </w:tblGrid>
      <w:tr w:rsidR="00F67E9E" w:rsidRPr="00D5341B" w14:paraId="7D103DCE" w14:textId="77777777" w:rsidTr="0052486C">
        <w:tc>
          <w:tcPr>
            <w:tcW w:w="1134" w:type="dxa"/>
          </w:tcPr>
          <w:p w14:paraId="1F6D4889" w14:textId="77777777" w:rsidR="00F67E9E" w:rsidRPr="00D5341B" w:rsidRDefault="00F67E9E" w:rsidP="0052486C">
            <w:pPr>
              <w:pStyle w:val="StdBodyText2"/>
              <w:ind w:left="0"/>
              <w:rPr>
                <w:rFonts w:cs="Arial"/>
              </w:rPr>
            </w:pPr>
            <w:r w:rsidRPr="00D5341B">
              <w:rPr>
                <w:rFonts w:cs="Arial"/>
              </w:rPr>
              <w:t>TP</w:t>
            </w:r>
          </w:p>
        </w:tc>
        <w:tc>
          <w:tcPr>
            <w:tcW w:w="8504" w:type="dxa"/>
          </w:tcPr>
          <w:p w14:paraId="3E8485DD" w14:textId="77777777" w:rsidR="00F67E9E" w:rsidRPr="00D5341B" w:rsidRDefault="00F67E9E" w:rsidP="0052486C">
            <w:pPr>
              <w:pStyle w:val="StdBodyText2"/>
              <w:ind w:left="0"/>
              <w:rPr>
                <w:rFonts w:cs="Arial"/>
              </w:rPr>
            </w:pPr>
            <w:r w:rsidRPr="00D5341B">
              <w:rPr>
                <w:rFonts w:cs="Arial"/>
              </w:rPr>
              <w:t>is the Target Price for the relevant Milestone;</w:t>
            </w:r>
          </w:p>
        </w:tc>
      </w:tr>
      <w:tr w:rsidR="00F67E9E" w:rsidRPr="00D5341B" w14:paraId="53FF3A8D" w14:textId="77777777" w:rsidTr="0052486C">
        <w:tc>
          <w:tcPr>
            <w:tcW w:w="1134" w:type="dxa"/>
          </w:tcPr>
          <w:p w14:paraId="732015D2" w14:textId="77777777" w:rsidR="00F67E9E" w:rsidRPr="00D5341B" w:rsidRDefault="00F67E9E" w:rsidP="0052486C">
            <w:pPr>
              <w:pStyle w:val="StdBodyText2"/>
              <w:ind w:left="0"/>
              <w:rPr>
                <w:rFonts w:cs="Arial"/>
              </w:rPr>
            </w:pPr>
            <w:r w:rsidRPr="00D5341B">
              <w:rPr>
                <w:rFonts w:cs="Arial"/>
              </w:rPr>
              <w:t>TC</w:t>
            </w:r>
          </w:p>
        </w:tc>
        <w:tc>
          <w:tcPr>
            <w:tcW w:w="8504" w:type="dxa"/>
          </w:tcPr>
          <w:p w14:paraId="30F22196" w14:textId="77777777" w:rsidR="00F67E9E" w:rsidRPr="00D5341B" w:rsidRDefault="00F67E9E" w:rsidP="0052486C">
            <w:pPr>
              <w:pStyle w:val="StdBodyText2"/>
              <w:ind w:left="0"/>
              <w:rPr>
                <w:rFonts w:cs="Arial"/>
              </w:rPr>
            </w:pPr>
            <w:r w:rsidRPr="00D5341B">
              <w:rPr>
                <w:rFonts w:cs="Arial"/>
              </w:rPr>
              <w:t>is the Target Cost for the relevant Milestone; and</w:t>
            </w:r>
          </w:p>
        </w:tc>
      </w:tr>
      <w:tr w:rsidR="00F67E9E" w:rsidRPr="00D5341B" w14:paraId="0C23FCA0" w14:textId="77777777" w:rsidTr="0052486C">
        <w:tc>
          <w:tcPr>
            <w:tcW w:w="1134" w:type="dxa"/>
          </w:tcPr>
          <w:p w14:paraId="017622DF" w14:textId="77777777" w:rsidR="00F67E9E" w:rsidRPr="00D5341B" w:rsidRDefault="00F67E9E" w:rsidP="0052486C">
            <w:pPr>
              <w:pStyle w:val="StdBodyText2"/>
              <w:ind w:left="0"/>
              <w:rPr>
                <w:rFonts w:cs="Arial"/>
              </w:rPr>
            </w:pPr>
            <w:r w:rsidRPr="00D5341B">
              <w:rPr>
                <w:rFonts w:cs="Arial"/>
              </w:rPr>
              <w:t>IC</w:t>
            </w:r>
          </w:p>
        </w:tc>
        <w:tc>
          <w:tcPr>
            <w:tcW w:w="8504" w:type="dxa"/>
          </w:tcPr>
          <w:p w14:paraId="2C246ADA" w14:textId="77777777" w:rsidR="00F67E9E" w:rsidRPr="00D5341B" w:rsidRDefault="00F67E9E" w:rsidP="0052486C">
            <w:pPr>
              <w:pStyle w:val="StdBodyText2"/>
              <w:ind w:left="0"/>
              <w:rPr>
                <w:rFonts w:cs="Arial"/>
              </w:rPr>
            </w:pPr>
            <w:r w:rsidRPr="00D5341B">
              <w:rPr>
                <w:rFonts w:cs="Arial"/>
              </w:rPr>
              <w:t>is the Incurred Costs relating to the relevant Milestone.</w:t>
            </w:r>
          </w:p>
        </w:tc>
      </w:tr>
    </w:tbl>
    <w:p w14:paraId="5B9F336B" w14:textId="00396DA2" w:rsidR="00F67E9E" w:rsidRPr="00D5341B" w:rsidRDefault="00F67E9E" w:rsidP="00F67E9E">
      <w:pPr>
        <w:pStyle w:val="Numbered11"/>
      </w:pPr>
      <w:r w:rsidRPr="00D5341B">
        <w:t xml:space="preserve">If the Incurred Costs relating to a Milestone are greater than the Target Cost for that Milestone, the difference between the Incurred Costs and the Target Cost shall be borne equally between the Authority and the Supplier (resulting in the Supplier receiving a lower Supplier Profit Margin in relation to </w:t>
      </w:r>
      <w:r w:rsidRPr="00772237">
        <w:t>that</w:t>
      </w:r>
      <w:r w:rsidRPr="00D5341B">
        <w:t xml:space="preserve"> Milestone), provided that the maximum Milestone Payment payable by the Authority for the relevant Milestone shall not exceed an amount equal to the guaranteed maximum price for that Milestone as set out in </w:t>
      </w:r>
      <w:bookmarkStart w:id="807" w:name="_9kMHG5YVt4EE7FMjKZlp9"/>
      <w:r w:rsidRPr="00D5341B">
        <w:t>Table 4</w:t>
      </w:r>
      <w:bookmarkEnd w:id="807"/>
      <w:r w:rsidRPr="00D5341B">
        <w:t xml:space="preserve"> of </w:t>
      </w:r>
      <w:r w:rsidRPr="00D5341B">
        <w:lastRenderedPageBreak/>
        <w:t>Annex</w:t>
      </w:r>
      <w:r>
        <w:t> </w:t>
      </w:r>
      <w:r w:rsidRPr="00D5341B">
        <w:fldChar w:fldCharType="begin"/>
      </w:r>
      <w:r w:rsidRPr="00D5341B">
        <w:instrText xml:space="preserve"> REF ANNEX1_SCHEDULE15 \h </w:instrText>
      </w:r>
      <w:r>
        <w:instrText xml:space="preserve"> \* MERGEFORMAT </w:instrText>
      </w:r>
      <w:r w:rsidRPr="00D5341B">
        <w:fldChar w:fldCharType="separate"/>
      </w:r>
      <w:r w:rsidR="007A1473" w:rsidRPr="00C7787A">
        <w:t>1</w:t>
      </w:r>
      <w:r w:rsidRPr="00D5341B">
        <w:fldChar w:fldCharType="end"/>
      </w:r>
      <w:r w:rsidRPr="00D5341B">
        <w:t xml:space="preserve"> (the </w:t>
      </w:r>
      <w:r>
        <w:t>“</w:t>
      </w:r>
      <w:r w:rsidRPr="00D5341B">
        <w:rPr>
          <w:rStyle w:val="StdBodyTextBoldChar"/>
          <w:rFonts w:eastAsia="Arial" w:cs="Arial"/>
        </w:rPr>
        <w:t>Guaranteed Maximum Price</w:t>
      </w:r>
      <w:r>
        <w:t>”</w:t>
      </w:r>
      <w:r w:rsidRPr="00D5341B">
        <w:t>)</w:t>
      </w:r>
      <w:r>
        <w:t xml:space="preserve"> </w:t>
      </w:r>
      <w:r w:rsidRPr="00D5341B">
        <w:t>Represented numerically:</w:t>
      </w:r>
    </w:p>
    <w:p w14:paraId="0584754A" w14:textId="77777777" w:rsidR="00F67E9E" w:rsidRPr="00D5341B" w:rsidRDefault="00F67E9E" w:rsidP="00F67E9E">
      <w:pPr>
        <w:pStyle w:val="Numbered111"/>
      </w:pPr>
      <w:r w:rsidRPr="00D5341B">
        <w:t>if:</w:t>
      </w:r>
    </w:p>
    <w:p w14:paraId="459458C5" w14:textId="77777777" w:rsidR="00F67E9E" w:rsidRPr="00D5341B" w:rsidRDefault="00F67E9E" w:rsidP="00F67E9E">
      <w:pPr>
        <w:pStyle w:val="Numbered111a"/>
        <w:tabs>
          <w:tab w:val="clear" w:pos="2520"/>
          <w:tab w:val="num" w:pos="2880"/>
        </w:tabs>
      </w:pPr>
      <w:r w:rsidRPr="00D5341B">
        <w:t>IC &gt; TC; and</w:t>
      </w:r>
    </w:p>
    <w:p w14:paraId="671E62F1" w14:textId="77777777" w:rsidR="00F67E9E" w:rsidRPr="00D5341B" w:rsidRDefault="00F67E9E" w:rsidP="00F67E9E">
      <w:pPr>
        <w:pStyle w:val="Numbered111a"/>
        <w:tabs>
          <w:tab w:val="clear" w:pos="2520"/>
          <w:tab w:val="num" w:pos="2880"/>
        </w:tabs>
      </w:pPr>
      <w:r w:rsidRPr="00D5341B">
        <w:t>TP + ((IC - TC)/2) &lt; GMP,</w:t>
      </w:r>
    </w:p>
    <w:p w14:paraId="13C6AE8A" w14:textId="77777777" w:rsidR="00F67E9E" w:rsidRPr="00D5341B" w:rsidRDefault="00F67E9E" w:rsidP="00F67E9E">
      <w:pPr>
        <w:pStyle w:val="StdBodyText4"/>
        <w:ind w:left="1800"/>
        <w:rPr>
          <w:rFonts w:cs="Arial"/>
        </w:rPr>
      </w:pPr>
      <w:r w:rsidRPr="00D5341B">
        <w:rPr>
          <w:rFonts w:cs="Arial"/>
        </w:rPr>
        <w:t>then Milestone Payment = TP + ((IC - TC)/2); or</w:t>
      </w:r>
    </w:p>
    <w:p w14:paraId="4822A8B1" w14:textId="77777777" w:rsidR="00F67E9E" w:rsidRPr="00D5341B" w:rsidRDefault="00F67E9E" w:rsidP="00F67E9E">
      <w:pPr>
        <w:pStyle w:val="Numbered111"/>
        <w:tabs>
          <w:tab w:val="clear" w:pos="1800"/>
          <w:tab w:val="num" w:pos="2160"/>
        </w:tabs>
      </w:pPr>
      <w:r w:rsidRPr="00D5341B">
        <w:t>if:</w:t>
      </w:r>
    </w:p>
    <w:p w14:paraId="74AE6FDB" w14:textId="77777777" w:rsidR="00F67E9E" w:rsidRPr="00D5341B" w:rsidRDefault="00F67E9E" w:rsidP="00F67E9E">
      <w:pPr>
        <w:pStyle w:val="Numbered111a"/>
        <w:tabs>
          <w:tab w:val="clear" w:pos="2520"/>
          <w:tab w:val="num" w:pos="2880"/>
        </w:tabs>
      </w:pPr>
      <w:r w:rsidRPr="00D5341B">
        <w:t>IC &gt; TC; and</w:t>
      </w:r>
    </w:p>
    <w:p w14:paraId="6306116D" w14:textId="77777777" w:rsidR="00F67E9E" w:rsidRPr="00D5341B" w:rsidRDefault="00F67E9E" w:rsidP="00F67E9E">
      <w:pPr>
        <w:pStyle w:val="Numbered111a"/>
        <w:tabs>
          <w:tab w:val="clear" w:pos="2520"/>
          <w:tab w:val="num" w:pos="2880"/>
        </w:tabs>
      </w:pPr>
      <w:r w:rsidRPr="00D5341B">
        <w:t xml:space="preserve">TP + ((IC - TC)/2) ≥ GMP, </w:t>
      </w:r>
    </w:p>
    <w:p w14:paraId="7AD77FF3" w14:textId="77777777" w:rsidR="00F67E9E" w:rsidRPr="00D5341B" w:rsidRDefault="00F67E9E" w:rsidP="00F67E9E">
      <w:pPr>
        <w:pStyle w:val="StdBodyText4"/>
        <w:ind w:left="1800"/>
        <w:rPr>
          <w:rFonts w:cs="Arial"/>
        </w:rPr>
      </w:pPr>
      <w:r w:rsidRPr="00D5341B">
        <w:rPr>
          <w:rFonts w:cs="Arial"/>
        </w:rPr>
        <w:t>then Milestone Payment = GMP</w:t>
      </w:r>
    </w:p>
    <w:p w14:paraId="3854890F" w14:textId="77777777" w:rsidR="00F67E9E" w:rsidRPr="00D5341B" w:rsidRDefault="00F67E9E" w:rsidP="00F67E9E">
      <w:pPr>
        <w:pStyle w:val="StdBodyText2"/>
        <w:rPr>
          <w:rFonts w:cs="Arial"/>
        </w:rPr>
      </w:pPr>
      <w:r w:rsidRPr="00D5341B">
        <w:rPr>
          <w:rFonts w:cs="Arial"/>
        </w:rPr>
        <w:t>where:</w:t>
      </w:r>
    </w:p>
    <w:tbl>
      <w:tblPr>
        <w:tblStyle w:val="MSAdefinitions"/>
        <w:tblW w:w="9638" w:type="dxa"/>
        <w:tblLook w:val="04A0" w:firstRow="1" w:lastRow="0" w:firstColumn="1" w:lastColumn="0" w:noHBand="0" w:noVBand="1"/>
      </w:tblPr>
      <w:tblGrid>
        <w:gridCol w:w="1134"/>
        <w:gridCol w:w="8504"/>
      </w:tblGrid>
      <w:tr w:rsidR="00F67E9E" w:rsidRPr="00D5341B" w14:paraId="1C269B0B" w14:textId="77777777" w:rsidTr="0052486C">
        <w:tc>
          <w:tcPr>
            <w:tcW w:w="1134" w:type="dxa"/>
          </w:tcPr>
          <w:p w14:paraId="1E1AE0FD" w14:textId="77777777" w:rsidR="00F67E9E" w:rsidRPr="00D5341B" w:rsidRDefault="00F67E9E" w:rsidP="0052486C">
            <w:pPr>
              <w:pStyle w:val="StdBodyText2"/>
              <w:ind w:left="0"/>
              <w:rPr>
                <w:rFonts w:cs="Arial"/>
              </w:rPr>
            </w:pPr>
            <w:r w:rsidRPr="00D5341B">
              <w:rPr>
                <w:rFonts w:cs="Arial"/>
              </w:rPr>
              <w:t>IC</w:t>
            </w:r>
          </w:p>
        </w:tc>
        <w:tc>
          <w:tcPr>
            <w:tcW w:w="8504" w:type="dxa"/>
          </w:tcPr>
          <w:p w14:paraId="083609E7" w14:textId="77777777" w:rsidR="00F67E9E" w:rsidRPr="00D5341B" w:rsidRDefault="00F67E9E" w:rsidP="0052486C">
            <w:pPr>
              <w:pStyle w:val="StdBodyText2"/>
              <w:ind w:left="0"/>
              <w:rPr>
                <w:rFonts w:cs="Arial"/>
              </w:rPr>
            </w:pPr>
            <w:r w:rsidRPr="00D5341B">
              <w:rPr>
                <w:rFonts w:cs="Arial"/>
              </w:rPr>
              <w:t>is the Incurred Costs relating to the relevant Milestone;</w:t>
            </w:r>
          </w:p>
        </w:tc>
      </w:tr>
      <w:tr w:rsidR="00F67E9E" w:rsidRPr="00D5341B" w14:paraId="06278026" w14:textId="77777777" w:rsidTr="0052486C">
        <w:tc>
          <w:tcPr>
            <w:tcW w:w="1134" w:type="dxa"/>
          </w:tcPr>
          <w:p w14:paraId="1016AA59" w14:textId="77777777" w:rsidR="00F67E9E" w:rsidRPr="00D5341B" w:rsidRDefault="00F67E9E" w:rsidP="0052486C">
            <w:pPr>
              <w:pStyle w:val="StdBodyText2"/>
              <w:ind w:left="0"/>
              <w:rPr>
                <w:rFonts w:cs="Arial"/>
              </w:rPr>
            </w:pPr>
            <w:r w:rsidRPr="00D5341B">
              <w:rPr>
                <w:rFonts w:cs="Arial"/>
              </w:rPr>
              <w:t>TC</w:t>
            </w:r>
          </w:p>
        </w:tc>
        <w:tc>
          <w:tcPr>
            <w:tcW w:w="8504" w:type="dxa"/>
          </w:tcPr>
          <w:p w14:paraId="5091D865" w14:textId="77777777" w:rsidR="00F67E9E" w:rsidRPr="00D5341B" w:rsidRDefault="00F67E9E" w:rsidP="0052486C">
            <w:pPr>
              <w:pStyle w:val="StdBodyText2"/>
              <w:ind w:left="0"/>
              <w:rPr>
                <w:rFonts w:cs="Arial"/>
              </w:rPr>
            </w:pPr>
            <w:r w:rsidRPr="00D5341B">
              <w:rPr>
                <w:rFonts w:cs="Arial"/>
              </w:rPr>
              <w:t>is the Target Cost for the relevant Milestone;</w:t>
            </w:r>
          </w:p>
        </w:tc>
      </w:tr>
      <w:tr w:rsidR="00F67E9E" w:rsidRPr="00D5341B" w14:paraId="334951B0" w14:textId="77777777" w:rsidTr="0052486C">
        <w:tc>
          <w:tcPr>
            <w:tcW w:w="1134" w:type="dxa"/>
          </w:tcPr>
          <w:p w14:paraId="346BE309" w14:textId="77777777" w:rsidR="00F67E9E" w:rsidRPr="00D5341B" w:rsidRDefault="00F67E9E" w:rsidP="0052486C">
            <w:pPr>
              <w:pStyle w:val="StdBodyText2"/>
              <w:ind w:left="0"/>
              <w:rPr>
                <w:rFonts w:cs="Arial"/>
              </w:rPr>
            </w:pPr>
            <w:r w:rsidRPr="00D5341B">
              <w:rPr>
                <w:rFonts w:cs="Arial"/>
              </w:rPr>
              <w:t>TP</w:t>
            </w:r>
          </w:p>
        </w:tc>
        <w:tc>
          <w:tcPr>
            <w:tcW w:w="8504" w:type="dxa"/>
          </w:tcPr>
          <w:p w14:paraId="29F190B6" w14:textId="77777777" w:rsidR="00F67E9E" w:rsidRPr="00D5341B" w:rsidRDefault="00F67E9E" w:rsidP="0052486C">
            <w:pPr>
              <w:pStyle w:val="StdBodyText2"/>
              <w:ind w:left="0"/>
              <w:rPr>
                <w:rFonts w:cs="Arial"/>
              </w:rPr>
            </w:pPr>
            <w:r w:rsidRPr="00D5341B">
              <w:rPr>
                <w:rFonts w:cs="Arial"/>
              </w:rPr>
              <w:t>is the Target Price for the relevant Milestone; and</w:t>
            </w:r>
          </w:p>
        </w:tc>
      </w:tr>
      <w:tr w:rsidR="00F67E9E" w:rsidRPr="00D5341B" w14:paraId="44944178" w14:textId="77777777" w:rsidTr="0052486C">
        <w:tc>
          <w:tcPr>
            <w:tcW w:w="1134" w:type="dxa"/>
          </w:tcPr>
          <w:p w14:paraId="1ECF8FED" w14:textId="77777777" w:rsidR="00F67E9E" w:rsidRPr="00D5341B" w:rsidRDefault="00F67E9E" w:rsidP="0052486C">
            <w:pPr>
              <w:pStyle w:val="StdBodyText2"/>
              <w:ind w:left="0"/>
              <w:rPr>
                <w:rFonts w:cs="Arial"/>
              </w:rPr>
            </w:pPr>
            <w:r w:rsidRPr="00D5341B">
              <w:rPr>
                <w:rFonts w:cs="Arial"/>
              </w:rPr>
              <w:t>GMP</w:t>
            </w:r>
          </w:p>
        </w:tc>
        <w:tc>
          <w:tcPr>
            <w:tcW w:w="8504" w:type="dxa"/>
          </w:tcPr>
          <w:p w14:paraId="1BD13969" w14:textId="77777777" w:rsidR="00F67E9E" w:rsidRPr="00D5341B" w:rsidRDefault="00F67E9E" w:rsidP="0052486C">
            <w:pPr>
              <w:pStyle w:val="StdBodyText2"/>
              <w:ind w:left="0"/>
              <w:rPr>
                <w:rFonts w:cs="Arial"/>
              </w:rPr>
            </w:pPr>
            <w:r w:rsidRPr="00D5341B">
              <w:rPr>
                <w:rFonts w:cs="Arial"/>
              </w:rPr>
              <w:t>is TP * 1.1, being the Guaranteed Maximum Price for the relevant Milestone.</w:t>
            </w:r>
          </w:p>
        </w:tc>
      </w:tr>
    </w:tbl>
    <w:p w14:paraId="06A067A6" w14:textId="5595E9E1" w:rsidR="00F67E9E" w:rsidRPr="00D5341B" w:rsidRDefault="00F67E9E" w:rsidP="00F67E9E">
      <w:pPr>
        <w:pStyle w:val="Numbered11"/>
      </w:pPr>
      <w:r w:rsidRPr="00D5341B">
        <w:t xml:space="preserve">The Supplier shall be entitled to Index the day costs set out in </w:t>
      </w:r>
      <w:bookmarkStart w:id="808" w:name="_9kMIH5YVt4EE7EHfKZlp8"/>
      <w:r w:rsidRPr="00D5341B">
        <w:t>Table 3</w:t>
      </w:r>
      <w:bookmarkEnd w:id="808"/>
      <w:r w:rsidRPr="00D5341B">
        <w:t xml:space="preserve"> of Annex </w:t>
      </w:r>
      <w:r w:rsidRPr="00D5341B">
        <w:fldChar w:fldCharType="begin"/>
      </w:r>
      <w:r w:rsidRPr="00D5341B">
        <w:instrText xml:space="preserve"> REF ANNEX1_SCHEDULE15 \h </w:instrText>
      </w:r>
      <w:r>
        <w:instrText xml:space="preserve"> \* MERGEFORMAT </w:instrText>
      </w:r>
      <w:r w:rsidRPr="00D5341B">
        <w:fldChar w:fldCharType="separate"/>
      </w:r>
      <w:r w:rsidR="007A1473" w:rsidRPr="00C7787A">
        <w:t>1</w:t>
      </w:r>
      <w:r w:rsidRPr="00D5341B">
        <w:fldChar w:fldCharType="end"/>
      </w:r>
      <w:r w:rsidRPr="00D5341B">
        <w:t xml:space="preserve"> annually, but the Target Cost, Target Price and Guaranteed Maximum Price shall not be subject to Indexation. </w:t>
      </w:r>
    </w:p>
    <w:p w14:paraId="52B4F09E" w14:textId="77777777" w:rsidR="00F67E9E" w:rsidRPr="00D5341B" w:rsidRDefault="00F67E9E" w:rsidP="00F67E9E">
      <w:pPr>
        <w:pStyle w:val="Numbered1"/>
      </w:pPr>
      <w:bookmarkStart w:id="809" w:name="_Ref_ContractCompanion_9kb9Us145"/>
      <w:bookmarkStart w:id="810" w:name="_9kR3WTrAG958BbJfifw5qDOJiPyIcih3MJ0CRL7"/>
      <w:r w:rsidRPr="00D5341B">
        <w:t xml:space="preserve">Fixed </w:t>
      </w:r>
      <w:r w:rsidRPr="00772237">
        <w:t>Price</w:t>
      </w:r>
      <w:r w:rsidRPr="00D5341B">
        <w:t xml:space="preserve"> Milestone Payments </w:t>
      </w:r>
      <w:r>
        <w:t>o</w:t>
      </w:r>
      <w:r w:rsidRPr="00D5341B">
        <w:t>r Service Charges</w:t>
      </w:r>
      <w:bookmarkEnd w:id="809"/>
      <w:bookmarkEnd w:id="810"/>
    </w:p>
    <w:p w14:paraId="027FC8C6" w14:textId="72A7AB2B" w:rsidR="00F67E9E" w:rsidRPr="00772237" w:rsidRDefault="00F67E9E" w:rsidP="00F67E9E">
      <w:pPr>
        <w:pStyle w:val="Numbered11"/>
      </w:pPr>
      <w:r w:rsidRPr="00D5341B">
        <w:t xml:space="preserve">Where </w:t>
      </w:r>
      <w:bookmarkStart w:id="811" w:name="_9kMLK5YVt4EE7FKhKZlp6"/>
      <w:r w:rsidRPr="00D5341B">
        <w:t>Table 1</w:t>
      </w:r>
      <w:bookmarkEnd w:id="811"/>
      <w:r w:rsidRPr="00D5341B">
        <w:t xml:space="preserve"> or </w:t>
      </w:r>
      <w:bookmarkStart w:id="812" w:name="_9kMKJ5YVt4EE7FLiKZlp7"/>
      <w:r w:rsidRPr="00D5341B">
        <w:t>Table 2</w:t>
      </w:r>
      <w:bookmarkEnd w:id="812"/>
      <w:r w:rsidRPr="00D5341B">
        <w:t xml:space="preserve"> of Annex </w:t>
      </w:r>
      <w:r w:rsidRPr="00D5341B">
        <w:fldChar w:fldCharType="begin"/>
      </w:r>
      <w:r w:rsidRPr="00D5341B">
        <w:instrText xml:space="preserve"> REF ANNEX2_SCHEDULE15 \h </w:instrText>
      </w:r>
      <w:r>
        <w:instrText xml:space="preserve"> \* MERGEFORMAT </w:instrText>
      </w:r>
      <w:r w:rsidRPr="00D5341B">
        <w:fldChar w:fldCharType="separate"/>
      </w:r>
      <w:r w:rsidR="007A1473" w:rsidRPr="00BA56A1">
        <w:t>2</w:t>
      </w:r>
      <w:r w:rsidRPr="00D5341B">
        <w:fldChar w:fldCharType="end"/>
      </w:r>
      <w:r w:rsidRPr="00D5341B">
        <w:t xml:space="preserve"> indicates that a Milestone Payment or Service Charge is to be calculated by reference to a Fixed Price pricing mechanism, the relevant Charge shall be the amount set out </w:t>
      </w:r>
      <w:r w:rsidRPr="00772237">
        <w:t xml:space="preserve">against that Charge in </w:t>
      </w:r>
      <w:bookmarkStart w:id="813" w:name="_9kR3WTr2CC5DMjIXjn8"/>
      <w:r w:rsidRPr="00772237">
        <w:t>Table 5</w:t>
      </w:r>
      <w:bookmarkEnd w:id="813"/>
      <w:r w:rsidRPr="00772237">
        <w:t xml:space="preserve"> of Annex </w:t>
      </w:r>
      <w:r w:rsidRPr="00772237">
        <w:fldChar w:fldCharType="begin"/>
      </w:r>
      <w:r w:rsidRPr="00772237">
        <w:instrText xml:space="preserve"> REF ANNEX1_SCHEDULE15 \h  \* MERGEFORMAT </w:instrText>
      </w:r>
      <w:r w:rsidRPr="00772237">
        <w:fldChar w:fldCharType="separate"/>
      </w:r>
      <w:r w:rsidR="007A1473" w:rsidRPr="00C7787A">
        <w:t>1</w:t>
      </w:r>
      <w:r w:rsidRPr="00772237">
        <w:fldChar w:fldCharType="end"/>
      </w:r>
      <w:r w:rsidRPr="00772237">
        <w:t xml:space="preserve">. </w:t>
      </w:r>
    </w:p>
    <w:p w14:paraId="7B461291" w14:textId="77777777" w:rsidR="00F67E9E" w:rsidRPr="00772237" w:rsidRDefault="00F67E9E" w:rsidP="00F67E9E">
      <w:pPr>
        <w:pStyle w:val="Numbered11"/>
      </w:pPr>
      <w:r w:rsidRPr="00772237">
        <w:t xml:space="preserve">Charges calculated by reference to a Fixed Price pricing mechanism shall be subject to </w:t>
      </w:r>
      <w:r>
        <w:t>adjustment</w:t>
      </w:r>
      <w:r w:rsidRPr="00772237">
        <w:t xml:space="preserve"> by way of Indexation.</w:t>
      </w:r>
    </w:p>
    <w:p w14:paraId="4A433F30" w14:textId="77777777" w:rsidR="00F67E9E" w:rsidRPr="00D5341B" w:rsidRDefault="00F67E9E" w:rsidP="00F67E9E">
      <w:pPr>
        <w:pStyle w:val="Numbered1"/>
      </w:pPr>
      <w:bookmarkStart w:id="814" w:name="_Ref_ContractCompanion_9kb9Us148"/>
      <w:bookmarkStart w:id="815" w:name="_9kR3WTrAG958EeJfifw5qDOJiPyIcji3GLKQK63"/>
      <w:r w:rsidRPr="00D5341B">
        <w:t xml:space="preserve">Firm </w:t>
      </w:r>
      <w:r w:rsidRPr="00772237">
        <w:t>Price</w:t>
      </w:r>
      <w:r w:rsidRPr="00D5341B">
        <w:t xml:space="preserve"> Milestone Payments</w:t>
      </w:r>
      <w:bookmarkEnd w:id="814"/>
      <w:bookmarkEnd w:id="815"/>
    </w:p>
    <w:p w14:paraId="10DBDE3F" w14:textId="55B3A204" w:rsidR="00F67E9E" w:rsidRPr="00772237" w:rsidRDefault="00F67E9E" w:rsidP="00F67E9E">
      <w:pPr>
        <w:pStyle w:val="Numbered11"/>
      </w:pPr>
      <w:r w:rsidRPr="00D5341B">
        <w:t xml:space="preserve">Where </w:t>
      </w:r>
      <w:bookmarkStart w:id="816" w:name="_9kMML5YVt4EE7FKhKZlp6"/>
      <w:r w:rsidRPr="00D5341B">
        <w:t>Table 1</w:t>
      </w:r>
      <w:bookmarkEnd w:id="816"/>
      <w:r w:rsidRPr="00D5341B">
        <w:t xml:space="preserve"> of Annex </w:t>
      </w:r>
      <w:r w:rsidRPr="00D5341B">
        <w:fldChar w:fldCharType="begin"/>
      </w:r>
      <w:r w:rsidRPr="00D5341B">
        <w:instrText xml:space="preserve"> REF ANNEX2_SCHEDULE15 \h </w:instrText>
      </w:r>
      <w:r>
        <w:instrText xml:space="preserve"> \* MERGEFORMAT </w:instrText>
      </w:r>
      <w:r w:rsidRPr="00D5341B">
        <w:fldChar w:fldCharType="separate"/>
      </w:r>
      <w:r w:rsidR="007A1473" w:rsidRPr="00BA56A1">
        <w:t>2</w:t>
      </w:r>
      <w:r w:rsidRPr="00D5341B">
        <w:fldChar w:fldCharType="end"/>
      </w:r>
      <w:r w:rsidRPr="00D5341B">
        <w:t xml:space="preserve"> indicates that a Milestone Payment is to be calculated by reference to a Firm Price pricing mechanism, the relevant Charge shall be the amount set out against that </w:t>
      </w:r>
      <w:r w:rsidRPr="00772237">
        <w:t xml:space="preserve">Charge in </w:t>
      </w:r>
      <w:bookmarkStart w:id="817" w:name="_9kR3WTr2CC5EEaIXjn9"/>
      <w:r w:rsidRPr="00772237">
        <w:t>Table 6</w:t>
      </w:r>
      <w:bookmarkEnd w:id="817"/>
      <w:r w:rsidRPr="00772237">
        <w:t xml:space="preserve"> of Annex </w:t>
      </w:r>
      <w:r w:rsidRPr="00772237">
        <w:fldChar w:fldCharType="begin"/>
      </w:r>
      <w:r w:rsidRPr="00772237">
        <w:instrText xml:space="preserve"> REF ANNEX1_SCHEDULE15 \h  \* MERGEFORMAT </w:instrText>
      </w:r>
      <w:r w:rsidRPr="00772237">
        <w:fldChar w:fldCharType="separate"/>
      </w:r>
      <w:r w:rsidR="007A1473" w:rsidRPr="00C7787A">
        <w:t>1</w:t>
      </w:r>
      <w:r w:rsidRPr="00772237">
        <w:fldChar w:fldCharType="end"/>
      </w:r>
      <w:r w:rsidRPr="00772237">
        <w:t>.</w:t>
      </w:r>
    </w:p>
    <w:p w14:paraId="5DE9C724" w14:textId="77777777" w:rsidR="00F67E9E" w:rsidRPr="00D5341B" w:rsidRDefault="00F67E9E" w:rsidP="00F67E9E">
      <w:pPr>
        <w:pStyle w:val="Numbered11"/>
      </w:pPr>
      <w:r w:rsidRPr="00772237">
        <w:t>Charges calculated</w:t>
      </w:r>
      <w:r w:rsidRPr="00D5341B">
        <w:t xml:space="preserve"> by reference to a Firm Price pricing mechanism shall not be subject to </w:t>
      </w:r>
      <w:r>
        <w:t>adjustment</w:t>
      </w:r>
      <w:r w:rsidRPr="00D5341B">
        <w:t xml:space="preserve"> by way of Indexation.</w:t>
      </w:r>
    </w:p>
    <w:p w14:paraId="6C898904" w14:textId="77777777" w:rsidR="00F67E9E" w:rsidRPr="00D5341B" w:rsidRDefault="00F67E9E" w:rsidP="00F67E9E">
      <w:pPr>
        <w:pStyle w:val="Numbered1"/>
      </w:pPr>
      <w:bookmarkStart w:id="818" w:name="_Ref_ContractCompanion_9kb9Us14B"/>
      <w:bookmarkStart w:id="819" w:name="_9kR3WTrAG958HhJfifw5qDOJiPyIckzPGNPA0xF"/>
      <w:r w:rsidRPr="00D5341B">
        <w:t xml:space="preserve">Volume Based Service </w:t>
      </w:r>
      <w:r w:rsidRPr="00772237">
        <w:t>Charges</w:t>
      </w:r>
      <w:bookmarkEnd w:id="818"/>
      <w:bookmarkEnd w:id="819"/>
    </w:p>
    <w:p w14:paraId="735A4F98" w14:textId="12B89408" w:rsidR="00F67E9E" w:rsidRPr="00772237" w:rsidRDefault="00F67E9E" w:rsidP="00F67E9E">
      <w:pPr>
        <w:pStyle w:val="Numbered11"/>
      </w:pPr>
      <w:r w:rsidRPr="00D5341B">
        <w:t xml:space="preserve">Where </w:t>
      </w:r>
      <w:bookmarkStart w:id="820" w:name="_9kMLK5YVt4EE7FLiKZlp7"/>
      <w:r w:rsidRPr="00D5341B">
        <w:t>Table 2</w:t>
      </w:r>
      <w:bookmarkEnd w:id="820"/>
      <w:r w:rsidRPr="00D5341B">
        <w:t xml:space="preserve"> of Annex </w:t>
      </w:r>
      <w:r w:rsidRPr="00D5341B">
        <w:fldChar w:fldCharType="begin"/>
      </w:r>
      <w:r w:rsidRPr="00D5341B">
        <w:instrText xml:space="preserve"> REF ANNEX2_SCHEDULE15 \h </w:instrText>
      </w:r>
      <w:r>
        <w:instrText xml:space="preserve"> \* MERGEFORMAT </w:instrText>
      </w:r>
      <w:r w:rsidRPr="00D5341B">
        <w:fldChar w:fldCharType="separate"/>
      </w:r>
      <w:r w:rsidR="007A1473" w:rsidRPr="00BA56A1">
        <w:t>2</w:t>
      </w:r>
      <w:r w:rsidRPr="00D5341B">
        <w:fldChar w:fldCharType="end"/>
      </w:r>
      <w:r w:rsidRPr="00D5341B">
        <w:t xml:space="preserve"> indicates that a Service Charge is to be calculated by reference to a Volume </w:t>
      </w:r>
      <w:r w:rsidRPr="00772237">
        <w:t xml:space="preserve">Based pricing mechanism, the relevant Charges shall be </w:t>
      </w:r>
      <w:r w:rsidRPr="00772237">
        <w:lastRenderedPageBreak/>
        <w:t xml:space="preserve">calculated on the basis of the unit costs set out against that Service Charge in </w:t>
      </w:r>
      <w:bookmarkStart w:id="821" w:name="_9kR3WTr2CC5EFbIXjnA"/>
      <w:r w:rsidRPr="00772237">
        <w:t>Table 7</w:t>
      </w:r>
      <w:bookmarkEnd w:id="821"/>
      <w:r w:rsidRPr="00772237">
        <w:t xml:space="preserve"> of Annex </w:t>
      </w:r>
      <w:r w:rsidRPr="00772237">
        <w:fldChar w:fldCharType="begin"/>
      </w:r>
      <w:r w:rsidRPr="00772237">
        <w:instrText xml:space="preserve"> REF ANNEX1_SCHEDULE15 \h  \* MERGEFORMAT </w:instrText>
      </w:r>
      <w:r w:rsidRPr="00772237">
        <w:fldChar w:fldCharType="separate"/>
      </w:r>
      <w:r w:rsidR="007A1473" w:rsidRPr="00C7787A">
        <w:t>1</w:t>
      </w:r>
      <w:r w:rsidRPr="00772237">
        <w:fldChar w:fldCharType="end"/>
      </w:r>
      <w:r w:rsidRPr="00772237">
        <w:t xml:space="preserve">. </w:t>
      </w:r>
    </w:p>
    <w:p w14:paraId="6AAC5ED8" w14:textId="174EEC7E" w:rsidR="00F67E9E" w:rsidRPr="00772237" w:rsidRDefault="00F67E9E" w:rsidP="00F67E9E">
      <w:pPr>
        <w:pStyle w:val="Numbered11"/>
      </w:pPr>
      <w:r w:rsidRPr="00772237">
        <w:t xml:space="preserve">In the event that the volume of any Services that are to be calculated by reference to a Volume Based pricing mechanism fall outside the relevant volume bands set out against that Service Charge in </w:t>
      </w:r>
      <w:bookmarkStart w:id="822" w:name="_9kMHG5YVt4EE7GHdKZlpC"/>
      <w:r w:rsidRPr="00772237">
        <w:t>Table 7</w:t>
      </w:r>
      <w:bookmarkEnd w:id="822"/>
      <w:r w:rsidRPr="00772237">
        <w:t xml:space="preserve"> of Annex </w:t>
      </w:r>
      <w:r w:rsidRPr="00772237">
        <w:fldChar w:fldCharType="begin"/>
      </w:r>
      <w:r w:rsidRPr="00772237">
        <w:instrText xml:space="preserve"> REF ANNEX1_SCHEDULE15 \h  \* MERGEFORMAT </w:instrText>
      </w:r>
      <w:r w:rsidRPr="00772237">
        <w:fldChar w:fldCharType="separate"/>
      </w:r>
      <w:r w:rsidR="007A1473" w:rsidRPr="00C7787A">
        <w:t>1</w:t>
      </w:r>
      <w:r w:rsidRPr="00772237">
        <w:fldChar w:fldCharType="end"/>
      </w:r>
      <w:r w:rsidRPr="00772237">
        <w:t xml:space="preserve">, the relevant Service Charges shall be calculated in accordance with the Change Control Procedure and </w:t>
      </w:r>
      <w:bookmarkStart w:id="823" w:name="_9kR3WTr2CC5EIaEnoewrqyE"/>
      <w:r w:rsidRPr="00772237">
        <w:t xml:space="preserve">Paragraph </w:t>
      </w:r>
      <w:bookmarkEnd w:id="823"/>
      <w:r w:rsidRPr="00772237">
        <w:fldChar w:fldCharType="begin"/>
      </w:r>
      <w:r w:rsidRPr="00772237">
        <w:instrText xml:space="preserve"> REF _Ref99025606 \w \h  \* MERGEFORMAT </w:instrText>
      </w:r>
      <w:r w:rsidRPr="00772237">
        <w:fldChar w:fldCharType="separate"/>
      </w:r>
      <w:r w:rsidR="007A1473">
        <w:t>4</w:t>
      </w:r>
      <w:r w:rsidRPr="00772237">
        <w:fldChar w:fldCharType="end"/>
      </w:r>
      <w:r w:rsidRPr="00772237">
        <w:t xml:space="preserve"> of </w:t>
      </w:r>
      <w:bookmarkStart w:id="824" w:name="_9kR3WTr2BC58IfEn7T"/>
      <w:bookmarkEnd w:id="824"/>
      <w:r w:rsidRPr="00772237">
        <w:fldChar w:fldCharType="begin"/>
      </w:r>
      <w:r w:rsidRPr="00772237">
        <w:instrText xml:space="preserve"> REF Sch15PartC \h  \* MERGEFORMAT </w:instrText>
      </w:r>
      <w:r w:rsidRPr="00772237">
        <w:fldChar w:fldCharType="separate"/>
      </w:r>
      <w:r w:rsidR="007A1473" w:rsidRPr="000038E2">
        <w:t>Part </w:t>
      </w:r>
      <w:r w:rsidR="007A1473" w:rsidRPr="00D5341B">
        <w:t>C</w:t>
      </w:r>
      <w:r w:rsidRPr="00772237">
        <w:fldChar w:fldCharType="end"/>
      </w:r>
      <w:r w:rsidRPr="00772237">
        <w:t xml:space="preserve">. </w:t>
      </w:r>
    </w:p>
    <w:p w14:paraId="71BF8292" w14:textId="19BE85B9" w:rsidR="00F67E9E" w:rsidRPr="00D5341B" w:rsidRDefault="00F67E9E" w:rsidP="00F67E9E">
      <w:pPr>
        <w:pStyle w:val="Numbered11"/>
      </w:pPr>
      <w:r w:rsidRPr="00772237">
        <w:t>The Charge</w:t>
      </w:r>
      <w:r w:rsidRPr="00D5341B">
        <w:t xml:space="preserve"> per unit set out in </w:t>
      </w:r>
      <w:bookmarkStart w:id="825" w:name="_9kMIH5YVt4EE7GHdKZlpC"/>
      <w:r w:rsidRPr="00D5341B">
        <w:t>Table 7</w:t>
      </w:r>
      <w:bookmarkEnd w:id="825"/>
      <w:r w:rsidRPr="00D5341B">
        <w:t xml:space="preserve"> of Annex </w:t>
      </w:r>
      <w:r w:rsidRPr="00D5341B">
        <w:fldChar w:fldCharType="begin"/>
      </w:r>
      <w:r w:rsidRPr="00D5341B">
        <w:instrText xml:space="preserve"> REF ANNEX1_SCHEDULE15 \h </w:instrText>
      </w:r>
      <w:r>
        <w:instrText xml:space="preserve"> \* MERGEFORMAT </w:instrText>
      </w:r>
      <w:r w:rsidRPr="00D5341B">
        <w:fldChar w:fldCharType="separate"/>
      </w:r>
      <w:r w:rsidR="007A1473" w:rsidRPr="00C7787A">
        <w:t>1</w:t>
      </w:r>
      <w:r w:rsidRPr="00D5341B">
        <w:fldChar w:fldCharType="end"/>
      </w:r>
      <w:r w:rsidRPr="00D5341B">
        <w:t xml:space="preserve"> shall be subject to annual Indexation.</w:t>
      </w:r>
    </w:p>
    <w:p w14:paraId="5B010FC7" w14:textId="77777777" w:rsidR="00F67E9E" w:rsidRPr="00D5341B" w:rsidRDefault="00F67E9E" w:rsidP="00F67E9E">
      <w:pPr>
        <w:pStyle w:val="Numbered1"/>
      </w:pPr>
      <w:r w:rsidRPr="00D5341B">
        <w:t>Reimbursable Expenses</w:t>
      </w:r>
    </w:p>
    <w:p w14:paraId="52C71F22" w14:textId="77777777" w:rsidR="00F67E9E" w:rsidRPr="00D5341B" w:rsidRDefault="00F67E9E" w:rsidP="00F67E9E">
      <w:pPr>
        <w:pStyle w:val="Numbered11"/>
        <w:keepNext/>
      </w:pPr>
      <w:bookmarkStart w:id="826" w:name="_Ref_ContractCompanion_9kb9Us156"/>
      <w:bookmarkStart w:id="827" w:name="_9kR3WTrAG959CGGgUjuv"/>
      <w:bookmarkStart w:id="828" w:name="_9kR3WTrAG959GKGgUjuv"/>
      <w:r w:rsidRPr="00772237">
        <w:t>Where</w:t>
      </w:r>
      <w:r w:rsidRPr="00D5341B">
        <w:t>:</w:t>
      </w:r>
      <w:bookmarkEnd w:id="826"/>
      <w:bookmarkEnd w:id="827"/>
      <w:bookmarkEnd w:id="828"/>
    </w:p>
    <w:p w14:paraId="3C022D06" w14:textId="77777777" w:rsidR="00F67E9E" w:rsidRPr="00772237" w:rsidRDefault="00F67E9E" w:rsidP="00F67E9E">
      <w:pPr>
        <w:pStyle w:val="Numbered111"/>
      </w:pPr>
      <w:r w:rsidRPr="00D5341B">
        <w:t xml:space="preserve">Services are to be charged using the Time and Materials or Guaranteed Maximum Price with </w:t>
      </w:r>
      <w:r w:rsidRPr="00772237">
        <w:t>Target Cost pricing mechanism; and</w:t>
      </w:r>
    </w:p>
    <w:p w14:paraId="3A861892" w14:textId="77777777" w:rsidR="00F67E9E" w:rsidRPr="00D5341B" w:rsidRDefault="00F67E9E" w:rsidP="00F67E9E">
      <w:pPr>
        <w:pStyle w:val="Numbered111"/>
      </w:pPr>
      <w:r w:rsidRPr="00772237">
        <w:t>the Authority s</w:t>
      </w:r>
      <w:r w:rsidRPr="00D5341B">
        <w:t>o agrees in writing,</w:t>
      </w:r>
    </w:p>
    <w:p w14:paraId="45696744" w14:textId="2851681A" w:rsidR="00F67E9E" w:rsidRPr="00D5341B" w:rsidRDefault="00F67E9E" w:rsidP="00F67E9E">
      <w:pPr>
        <w:pStyle w:val="StdBodyText2"/>
        <w:rPr>
          <w:rFonts w:cs="Arial"/>
        </w:rPr>
      </w:pPr>
      <w:r w:rsidRPr="00D5341B">
        <w:rPr>
          <w:rFonts w:cs="Arial"/>
        </w:rPr>
        <w:t xml:space="preserve">the Supplier shall be entitled to be reimbursed by the Authority for Reimbursable Expenses (in addition to being paid the relevant Charges), provided that such Reimbursable Expenses are supported by </w:t>
      </w:r>
      <w:bookmarkStart w:id="829" w:name="_9kMHG5YVt4CE9FFbd7336C4zyPSy5G13J78HDJ"/>
      <w:r w:rsidRPr="00D5341B">
        <w:rPr>
          <w:rFonts w:cs="Arial"/>
        </w:rPr>
        <w:t>Supporting Documentation</w:t>
      </w:r>
      <w:bookmarkEnd w:id="829"/>
      <w:r w:rsidRPr="00D5341B">
        <w:rPr>
          <w:rFonts w:cs="Arial"/>
        </w:rPr>
        <w:t>.</w:t>
      </w:r>
      <w:r w:rsidR="00A65CAC">
        <w:rPr>
          <w:rFonts w:cs="Arial"/>
        </w:rPr>
        <w:t xml:space="preserve"> For the avoidance of any doubt, none of the Charges as set out in this Contract as at the Effective Date are charged using </w:t>
      </w:r>
      <w:r w:rsidR="00A65CAC" w:rsidRPr="00D5341B">
        <w:t xml:space="preserve">using the Time and Materials or Guaranteed Maximum Price with </w:t>
      </w:r>
      <w:r w:rsidR="00A65CAC" w:rsidRPr="00772237">
        <w:t>Target Cost pricing mechanism</w:t>
      </w:r>
      <w:r w:rsidR="00A65CAC">
        <w:t xml:space="preserve"> and, as a result, no Reimbursable Expenses are payable to the Supplier.</w:t>
      </w:r>
      <w:r w:rsidR="00A65CAC">
        <w:rPr>
          <w:rFonts w:cs="Arial"/>
        </w:rPr>
        <w:t xml:space="preserve"> </w:t>
      </w:r>
    </w:p>
    <w:p w14:paraId="77AB6774" w14:textId="77777777" w:rsidR="00F67E9E" w:rsidRPr="00772237" w:rsidRDefault="00F67E9E" w:rsidP="00F67E9E">
      <w:pPr>
        <w:pStyle w:val="Numbered11"/>
      </w:pPr>
      <w:r w:rsidRPr="00D5341B">
        <w:t>The Authority shall provide a copy of its current expenses policy to the Supplier upon request.</w:t>
      </w:r>
    </w:p>
    <w:p w14:paraId="05ACBF7C" w14:textId="164ECA17" w:rsidR="00F67E9E" w:rsidRPr="00D5341B" w:rsidRDefault="00F67E9E" w:rsidP="00F67E9E">
      <w:pPr>
        <w:pStyle w:val="Numbered11"/>
      </w:pPr>
      <w:r w:rsidRPr="00772237">
        <w:t xml:space="preserve">Except as expressly set out in </w:t>
      </w:r>
      <w:bookmarkStart w:id="830" w:name="_9kMHG5YVtCIB7BEIIiWlwx"/>
      <w:bookmarkStart w:id="831" w:name="_9kMHG5YVtCIB7BIMIiWlwx"/>
      <w:r w:rsidRPr="00772237">
        <w:t xml:space="preserve">Paragraph </w:t>
      </w:r>
      <w:bookmarkEnd w:id="830"/>
      <w:bookmarkEnd w:id="831"/>
      <w:r w:rsidRPr="00772237">
        <w:fldChar w:fldCharType="begin"/>
      </w:r>
      <w:r w:rsidRPr="00772237">
        <w:instrText xml:space="preserve"> REF _Ref_ContractCompanion_9kb9Us156 \w \h  \* MERGEFORMAT </w:instrText>
      </w:r>
      <w:r w:rsidRPr="00772237">
        <w:fldChar w:fldCharType="separate"/>
      </w:r>
      <w:r w:rsidR="007A1473">
        <w:t>7.1</w:t>
      </w:r>
      <w:r w:rsidRPr="00772237">
        <w:fldChar w:fldCharType="end"/>
      </w:r>
      <w:r w:rsidRPr="00772237">
        <w:t>, the Charges shall include all costs and expenses relating to</w:t>
      </w:r>
      <w:r w:rsidRPr="00D5341B">
        <w:t xml:space="preserve"> the Deliverables, the Services and/or the Supplier</w:t>
      </w:r>
      <w:r>
        <w:t>’</w:t>
      </w:r>
      <w:r w:rsidRPr="00D5341B">
        <w:t>s performance of its obligations under this Contract and no further amounts shall be payable by the Authority to the Supplier in respect of such performance, including in respect of matters such as:</w:t>
      </w:r>
    </w:p>
    <w:p w14:paraId="4F3AB2B7" w14:textId="77777777" w:rsidR="00F67E9E" w:rsidRPr="00D5341B" w:rsidRDefault="00F67E9E" w:rsidP="00F67E9E">
      <w:pPr>
        <w:pStyle w:val="Numbered111"/>
        <w:tabs>
          <w:tab w:val="clear" w:pos="1800"/>
          <w:tab w:val="num" w:pos="2160"/>
        </w:tabs>
      </w:pPr>
      <w:r w:rsidRPr="00D5341B">
        <w:t>any incidental expenses that the Supplier incurs, including travel, subsistence and lodging, document and report reproduction, shipping, desktop and office equipment costs required by the Supplier Personnel, including network or data interchange costs or other telecommunications charges; or</w:t>
      </w:r>
    </w:p>
    <w:p w14:paraId="19E6F8F0" w14:textId="77777777" w:rsidR="00F67E9E" w:rsidRDefault="00F67E9E" w:rsidP="00F67E9E">
      <w:pPr>
        <w:pStyle w:val="Numbered111"/>
        <w:tabs>
          <w:tab w:val="clear" w:pos="1800"/>
          <w:tab w:val="num" w:pos="2160"/>
        </w:tabs>
      </w:pPr>
      <w:r w:rsidRPr="00D5341B">
        <w:t>any amount for any services provided or costs incurred by the Supplier prior to the Effective Date.</w:t>
      </w:r>
    </w:p>
    <w:p w14:paraId="4CE8DC97" w14:textId="77777777" w:rsidR="00F67E9E" w:rsidRDefault="00F67E9E" w:rsidP="00F67E9E"/>
    <w:p w14:paraId="1C6358AF" w14:textId="77777777" w:rsidR="00F67E9E" w:rsidRDefault="00F67E9E" w:rsidP="00F67E9E">
      <w:pPr>
        <w:pStyle w:val="Heading2"/>
        <w:pageBreakBefore/>
      </w:pPr>
      <w:bookmarkStart w:id="832" w:name="Sch15PartB"/>
      <w:bookmarkStart w:id="833" w:name="_Ref_ContractCompanion_9kb9Ur4BH"/>
      <w:bookmarkStart w:id="834" w:name="_Ref_ContractCompanion_9kb9Ur4DE"/>
      <w:bookmarkStart w:id="835" w:name="_Ref_ContractCompanion_9kb9Ur4DG"/>
      <w:bookmarkStart w:id="836" w:name="_Toc145412772"/>
      <w:r w:rsidRPr="000038E2">
        <w:lastRenderedPageBreak/>
        <w:t xml:space="preserve">Part </w:t>
      </w:r>
      <w:r w:rsidRPr="00D5341B">
        <w:t>B</w:t>
      </w:r>
      <w:bookmarkEnd w:id="832"/>
      <w:r w:rsidRPr="00D5341B">
        <w:t>: Charging Mechanisms</w:t>
      </w:r>
      <w:bookmarkEnd w:id="833"/>
      <w:bookmarkEnd w:id="834"/>
      <w:bookmarkEnd w:id="835"/>
      <w:bookmarkEnd w:id="836"/>
    </w:p>
    <w:p w14:paraId="2A4E0486" w14:textId="77777777" w:rsidR="00F67E9E" w:rsidRPr="00D5341B" w:rsidRDefault="00F67E9E" w:rsidP="00F13933">
      <w:pPr>
        <w:pStyle w:val="Numbered1"/>
        <w:numPr>
          <w:ilvl w:val="0"/>
          <w:numId w:val="91"/>
        </w:numPr>
      </w:pPr>
      <w:bookmarkStart w:id="837" w:name="_9kR3WTrAG969EeJfifw5qDOJiPyIdglAA7FVSNE"/>
      <w:r w:rsidRPr="00D5341B">
        <w:t xml:space="preserve">Milestone </w:t>
      </w:r>
      <w:r w:rsidRPr="00772237">
        <w:t>Payments</w:t>
      </w:r>
      <w:bookmarkEnd w:id="837"/>
    </w:p>
    <w:p w14:paraId="0E103F15" w14:textId="0BA36602" w:rsidR="00F67E9E" w:rsidRPr="00772237" w:rsidRDefault="00F67E9E" w:rsidP="00F67E9E">
      <w:pPr>
        <w:pStyle w:val="Numbered11"/>
      </w:pPr>
      <w:r w:rsidRPr="00D5341B">
        <w:t xml:space="preserve">Subject to the provisions of </w:t>
      </w:r>
      <w:bookmarkStart w:id="838" w:name="_9kMHG5YVt4EE7FJcGpqgyts0DN"/>
      <w:r w:rsidRPr="00D5341B">
        <w:t xml:space="preserve">Paragraph </w:t>
      </w:r>
      <w:bookmarkEnd w:id="838"/>
      <w:r w:rsidRPr="00D5341B">
        <w:fldChar w:fldCharType="begin"/>
      </w:r>
      <w:r w:rsidRPr="00D5341B">
        <w:instrText xml:space="preserve"> REF _Ref_ContractCompanion_9kb9Ur199 \w \h </w:instrText>
      </w:r>
      <w:r>
        <w:instrText xml:space="preserve"> \* MERGEFORMAT </w:instrText>
      </w:r>
      <w:r w:rsidRPr="00D5341B">
        <w:fldChar w:fldCharType="separate"/>
      </w:r>
      <w:r w:rsidR="007A1473">
        <w:t>1.3</w:t>
      </w:r>
      <w:r w:rsidRPr="00D5341B">
        <w:fldChar w:fldCharType="end"/>
      </w:r>
      <w:r w:rsidRPr="00D5341B">
        <w:t xml:space="preserve"> of </w:t>
      </w:r>
      <w:r w:rsidRPr="00D5341B">
        <w:fldChar w:fldCharType="begin"/>
      </w:r>
      <w:r w:rsidRPr="00D5341B">
        <w:instrText xml:space="preserve"> REF Sch15PartC \h  \* MERGEFORMAT </w:instrText>
      </w:r>
      <w:r w:rsidRPr="00D5341B">
        <w:fldChar w:fldCharType="separate"/>
      </w:r>
      <w:r w:rsidR="007A1473" w:rsidRPr="000038E2">
        <w:t>Part </w:t>
      </w:r>
      <w:r w:rsidR="007A1473" w:rsidRPr="00D5341B">
        <w:t>C</w:t>
      </w:r>
      <w:r w:rsidRPr="00D5341B">
        <w:fldChar w:fldCharType="end"/>
      </w:r>
      <w:r w:rsidRPr="00D5341B">
        <w:t xml:space="preserve"> in relation to the deduction of Delay Payments, on the Achievement of a Milestone the Supplier shall be entitled to invoice the Authority for the Milestone Payment associated with that Milestone less the applicable Milestone Retention in </w:t>
      </w:r>
      <w:r w:rsidRPr="00772237">
        <w:t xml:space="preserve">accordance with this </w:t>
      </w:r>
      <w:r w:rsidRPr="00772237">
        <w:fldChar w:fldCharType="begin"/>
      </w:r>
      <w:r w:rsidRPr="00772237">
        <w:instrText xml:space="preserve"> REF Sch15PartB \h  \* MERGEFORMAT </w:instrText>
      </w:r>
      <w:r w:rsidRPr="00772237">
        <w:fldChar w:fldCharType="separate"/>
      </w:r>
      <w:r w:rsidR="007A1473" w:rsidRPr="000038E2">
        <w:t xml:space="preserve">Part </w:t>
      </w:r>
      <w:r w:rsidR="007A1473" w:rsidRPr="00D5341B">
        <w:t>B</w:t>
      </w:r>
      <w:r w:rsidRPr="00772237">
        <w:fldChar w:fldCharType="end"/>
      </w:r>
      <w:r w:rsidRPr="00772237">
        <w:t xml:space="preserve">. </w:t>
      </w:r>
    </w:p>
    <w:p w14:paraId="2050B729" w14:textId="77777777" w:rsidR="00F67E9E" w:rsidRPr="00D5341B" w:rsidRDefault="00F67E9E" w:rsidP="00F67E9E">
      <w:pPr>
        <w:pStyle w:val="Numbered11"/>
      </w:pPr>
      <w:bookmarkStart w:id="839" w:name="_Ref_ContractCompanion_9kb9Us16B"/>
      <w:bookmarkStart w:id="840" w:name="_9kR3WTrAG95AHEBP5aipwAC0pm23yv4D87EN5eh"/>
      <w:r w:rsidRPr="00772237">
        <w:t>Each invoice relating to</w:t>
      </w:r>
      <w:r w:rsidRPr="00D5341B">
        <w:t xml:space="preserve"> a Milestone Payment shall be supported by:</w:t>
      </w:r>
      <w:bookmarkEnd w:id="839"/>
      <w:bookmarkEnd w:id="840"/>
    </w:p>
    <w:p w14:paraId="538F7204" w14:textId="77777777" w:rsidR="00F67E9E" w:rsidRPr="00772237" w:rsidRDefault="00F67E9E" w:rsidP="00F67E9E">
      <w:pPr>
        <w:pStyle w:val="Numbered111"/>
      </w:pPr>
      <w:r w:rsidRPr="00D5341B">
        <w:t xml:space="preserve">a Milestone Achievement </w:t>
      </w:r>
      <w:r w:rsidRPr="00772237">
        <w:t>Certificate; and</w:t>
      </w:r>
    </w:p>
    <w:p w14:paraId="4115E04A" w14:textId="77777777" w:rsidR="00F67E9E" w:rsidRPr="00D5341B" w:rsidRDefault="00F67E9E" w:rsidP="00F67E9E">
      <w:pPr>
        <w:pStyle w:val="Numbered111"/>
      </w:pPr>
      <w:r w:rsidRPr="00772237">
        <w:t>where the Milestone Payme</w:t>
      </w:r>
      <w:r w:rsidRPr="00D5341B">
        <w:t xml:space="preserve">nt is to be calculated by reference to a Guaranteed Maximum Price with Target Cost or Time and Materials pricing mechanism, a Certificate of Costs with </w:t>
      </w:r>
      <w:bookmarkStart w:id="841" w:name="_9kMIH5YVt4CE9FFbd7336C4zyPSy5G13J78HDJ"/>
      <w:r w:rsidRPr="00D5341B">
        <w:t>Supporting Documentation</w:t>
      </w:r>
      <w:bookmarkEnd w:id="841"/>
      <w:r w:rsidRPr="00D5341B">
        <w:t>.</w:t>
      </w:r>
    </w:p>
    <w:p w14:paraId="7F4A52BE" w14:textId="77777777" w:rsidR="00F67E9E" w:rsidRPr="00D5341B" w:rsidRDefault="00F67E9E" w:rsidP="00F67E9E">
      <w:pPr>
        <w:pStyle w:val="Numbered11"/>
      </w:pPr>
      <w:bookmarkStart w:id="842" w:name="_Ref_ContractCompanion_9kb9Ur18G"/>
      <w:r w:rsidRPr="00D5341B">
        <w:t xml:space="preserve">The </w:t>
      </w:r>
      <w:r>
        <w:t>“</w:t>
      </w:r>
      <w:r w:rsidRPr="00D5341B">
        <w:rPr>
          <w:rStyle w:val="StdBodyTextBoldChar"/>
          <w:rFonts w:eastAsia="Arial" w:cs="Arial"/>
        </w:rPr>
        <w:t>Milestone Retention</w:t>
      </w:r>
      <w:r>
        <w:t>”</w:t>
      </w:r>
      <w:r w:rsidRPr="00D5341B">
        <w:t xml:space="preserve"> for </w:t>
      </w:r>
      <w:r w:rsidRPr="00772237">
        <w:t>each</w:t>
      </w:r>
      <w:r w:rsidRPr="00D5341B">
        <w:t xml:space="preserve"> Milestone shall be calculated as follows:</w:t>
      </w:r>
      <w:bookmarkEnd w:id="842"/>
    </w:p>
    <w:p w14:paraId="61553763" w14:textId="77777777" w:rsidR="00F67E9E" w:rsidRPr="00D5341B" w:rsidRDefault="00F67E9E" w:rsidP="00F67E9E">
      <w:pPr>
        <w:pStyle w:val="Numbered111"/>
        <w:tabs>
          <w:tab w:val="clear" w:pos="1800"/>
          <w:tab w:val="num" w:pos="2160"/>
        </w:tabs>
      </w:pPr>
      <w:bookmarkStart w:id="843" w:name="_Ref_ContractCompanion_9kb9Us159"/>
      <w:bookmarkStart w:id="844" w:name="_9kR3WTrAG959FDCmt1kvwz3pVU0x5LID4hYER8A"/>
      <w:bookmarkStart w:id="845" w:name="_9kR3WTrAG959HFCmt1kvwz3pVU0x5LID4hYER8A"/>
      <w:r w:rsidRPr="00D5341B">
        <w:t>where the Milestone Payment for the relevant Milestone is determined by reference to a Guaranteed Maximum Price with Target Cost pricing mechanism, 10% of the Target Price for the Milestone;</w:t>
      </w:r>
      <w:bookmarkEnd w:id="843"/>
      <w:bookmarkEnd w:id="844"/>
      <w:bookmarkEnd w:id="845"/>
    </w:p>
    <w:p w14:paraId="1D3AAE41" w14:textId="77777777" w:rsidR="00F67E9E" w:rsidRPr="00D5341B" w:rsidRDefault="00F67E9E" w:rsidP="00F67E9E">
      <w:pPr>
        <w:pStyle w:val="Numbered111"/>
        <w:tabs>
          <w:tab w:val="clear" w:pos="1800"/>
          <w:tab w:val="num" w:pos="2160"/>
        </w:tabs>
      </w:pPr>
      <w:r w:rsidRPr="00D5341B">
        <w:t>where the Milestone Payment for the relevant Milestone is determined by reference to a Time and Materials, Fixed Price or Firm Price pricing mechanism, 10% of the Charges for that Milestone,</w:t>
      </w:r>
    </w:p>
    <w:p w14:paraId="6F3BAC8E" w14:textId="7AC65611" w:rsidR="00F67E9E" w:rsidRPr="00D5341B" w:rsidRDefault="00F67E9E" w:rsidP="00F67E9E">
      <w:pPr>
        <w:pStyle w:val="StdBodyText2"/>
        <w:rPr>
          <w:rFonts w:cs="Arial"/>
        </w:rPr>
      </w:pPr>
      <w:r w:rsidRPr="00D5341B">
        <w:rPr>
          <w:rFonts w:cs="Arial"/>
        </w:rPr>
        <w:t xml:space="preserve">and, in the case of a Key Milestone, prior to deduction from the Milestone Payment of any Delay Payment attributable to that Key Milestone and without taking account of any amount payable by the Supplier pursuant to </w:t>
      </w:r>
      <w:bookmarkStart w:id="846" w:name="_9kMIH5YVt4EE7FJcGpqgyts0DN"/>
      <w:r w:rsidRPr="00D5341B">
        <w:rPr>
          <w:rFonts w:cs="Arial"/>
        </w:rPr>
        <w:t>Paragraph </w:t>
      </w:r>
      <w:r w:rsidRPr="00D5341B">
        <w:rPr>
          <w:rFonts w:cs="Arial"/>
        </w:rPr>
        <w:fldChar w:fldCharType="begin"/>
      </w:r>
      <w:r w:rsidRPr="00D5341B">
        <w:rPr>
          <w:rFonts w:cs="Arial"/>
        </w:rPr>
        <w:instrText xml:space="preserve"> REF _Ref_ContractCompanion_9kb9Ur19B \n \h \t \* MERGEFORMAT </w:instrText>
      </w:r>
      <w:r w:rsidRPr="00D5341B">
        <w:rPr>
          <w:rFonts w:cs="Arial"/>
        </w:rPr>
      </w:r>
      <w:r w:rsidRPr="00D5341B">
        <w:rPr>
          <w:rFonts w:cs="Arial"/>
        </w:rPr>
        <w:fldChar w:fldCharType="separate"/>
      </w:r>
      <w:r w:rsidR="007A1473">
        <w:rPr>
          <w:rFonts w:cs="Arial"/>
        </w:rPr>
        <w:t>1.3</w:t>
      </w:r>
      <w:r w:rsidRPr="00D5341B">
        <w:rPr>
          <w:rFonts w:cs="Arial"/>
        </w:rPr>
        <w:fldChar w:fldCharType="end"/>
      </w:r>
      <w:bookmarkEnd w:id="846"/>
      <w:r w:rsidRPr="00D5341B">
        <w:rPr>
          <w:rFonts w:cs="Arial"/>
        </w:rPr>
        <w:t xml:space="preserve"> of </w:t>
      </w:r>
      <w:bookmarkStart w:id="847" w:name="_9kMHG5YVt4DE7AKhGp9V"/>
      <w:bookmarkEnd w:id="847"/>
      <w:r w:rsidRPr="00D5341B">
        <w:rPr>
          <w:rFonts w:cs="Arial"/>
        </w:rPr>
        <w:fldChar w:fldCharType="begin"/>
      </w:r>
      <w:r w:rsidRPr="00D5341B">
        <w:rPr>
          <w:rFonts w:cs="Arial"/>
        </w:rPr>
        <w:instrText xml:space="preserve"> REF Sch15PartC \h  \* MERGEFORMAT </w:instrText>
      </w:r>
      <w:r w:rsidRPr="00D5341B">
        <w:rPr>
          <w:rFonts w:cs="Arial"/>
        </w:rPr>
      </w:r>
      <w:r w:rsidRPr="00D5341B">
        <w:rPr>
          <w:rFonts w:cs="Arial"/>
        </w:rPr>
        <w:fldChar w:fldCharType="separate"/>
      </w:r>
      <w:r w:rsidR="007A1473" w:rsidRPr="007A1473">
        <w:rPr>
          <w:rFonts w:cs="Arial"/>
        </w:rPr>
        <w:t>Part C</w:t>
      </w:r>
      <w:r w:rsidRPr="00D5341B">
        <w:rPr>
          <w:rFonts w:cs="Arial"/>
        </w:rPr>
        <w:fldChar w:fldCharType="end"/>
      </w:r>
      <w:r w:rsidRPr="00D5341B">
        <w:rPr>
          <w:rFonts w:cs="Arial"/>
        </w:rPr>
        <w:t>.</w:t>
      </w:r>
    </w:p>
    <w:p w14:paraId="5F57C596" w14:textId="77777777" w:rsidR="00F67E9E" w:rsidRPr="00D5341B" w:rsidRDefault="00F67E9E" w:rsidP="00F67E9E">
      <w:pPr>
        <w:pStyle w:val="StdBodyText1"/>
        <w:rPr>
          <w:rFonts w:cs="Arial"/>
        </w:rPr>
      </w:pPr>
      <w:r w:rsidRPr="00D5341B">
        <w:rPr>
          <w:rStyle w:val="StdBodyTextBoldChar"/>
          <w:rFonts w:cs="Arial"/>
        </w:rPr>
        <w:t>Guaranteed Maximum Price with Target Cost pricing</w:t>
      </w:r>
      <w:r w:rsidRPr="00D5341B">
        <w:rPr>
          <w:rFonts w:cs="Arial"/>
        </w:rPr>
        <w:t xml:space="preserve"> </w:t>
      </w:r>
      <w:r w:rsidRPr="00D5341B">
        <w:rPr>
          <w:rStyle w:val="StdBodyTextBoldChar"/>
          <w:rFonts w:cs="Arial"/>
        </w:rPr>
        <w:t>mechanism</w:t>
      </w:r>
    </w:p>
    <w:p w14:paraId="4543EB07" w14:textId="77777777" w:rsidR="00F67E9E" w:rsidRPr="00D5341B" w:rsidRDefault="00F67E9E" w:rsidP="00F67E9E">
      <w:pPr>
        <w:pStyle w:val="Numbered11"/>
      </w:pPr>
      <w:r w:rsidRPr="00D5341B">
        <w:t xml:space="preserve">Where a Milestone Payment relating to a single Milestone is to be calculated by reference to a Guaranteed Maximum Price with Target Cost pricing mechanism, then the following payment </w:t>
      </w:r>
      <w:r w:rsidRPr="00772237">
        <w:t>process</w:t>
      </w:r>
      <w:r w:rsidRPr="00D5341B">
        <w:t xml:space="preserve"> shall apply:</w:t>
      </w:r>
    </w:p>
    <w:p w14:paraId="599C35B9" w14:textId="77777777" w:rsidR="00F67E9E" w:rsidRPr="00D5341B" w:rsidRDefault="00F67E9E" w:rsidP="00F67E9E">
      <w:pPr>
        <w:pStyle w:val="Numbered111"/>
        <w:tabs>
          <w:tab w:val="clear" w:pos="1800"/>
          <w:tab w:val="num" w:pos="2160"/>
        </w:tabs>
      </w:pPr>
      <w:r w:rsidRPr="00D5341B">
        <w:t>upon the issue of a Milestone Achievement Certificate for the Milestone, the Supplier may invoice the Authority for the Target Price for the relevant Milestone, less the Milestone Retention calculated using such Target Price; and</w:t>
      </w:r>
    </w:p>
    <w:p w14:paraId="58C5CD4D" w14:textId="3D532AE1" w:rsidR="00F67E9E" w:rsidRPr="00D5341B" w:rsidRDefault="00F67E9E" w:rsidP="00F67E9E">
      <w:pPr>
        <w:pStyle w:val="Numbered111"/>
        <w:tabs>
          <w:tab w:val="clear" w:pos="1800"/>
          <w:tab w:val="num" w:pos="2160"/>
        </w:tabs>
      </w:pPr>
      <w:r w:rsidRPr="00D5341B">
        <w:t xml:space="preserve">no later than 60 Working Days after the invoice referred to in </w:t>
      </w:r>
      <w:bookmarkStart w:id="848" w:name="_9kMHG5YVtCIB7BHFEov3mxy15rXW2z7NKF6jaGT"/>
      <w:bookmarkStart w:id="849" w:name="_9kMHG5YVtCIB7BJHEov3mxy15rXW2z7NKF6jaGT"/>
      <w:r w:rsidRPr="00D5341B">
        <w:t xml:space="preserve">Paragraph </w:t>
      </w:r>
      <w:r w:rsidRPr="00D5341B">
        <w:fldChar w:fldCharType="begin"/>
      </w:r>
      <w:r w:rsidRPr="00D5341B">
        <w:instrText xml:space="preserve"> REF _Ref_ContractCompanion_9kb9Us159 \w \h \t \* MERGEFORMAT </w:instrText>
      </w:r>
      <w:r w:rsidRPr="00D5341B">
        <w:fldChar w:fldCharType="separate"/>
      </w:r>
      <w:r w:rsidR="007A1473">
        <w:t>1.3.1</w:t>
      </w:r>
      <w:r w:rsidRPr="00D5341B">
        <w:fldChar w:fldCharType="end"/>
      </w:r>
      <w:bookmarkEnd w:id="848"/>
      <w:bookmarkEnd w:id="849"/>
      <w:r w:rsidRPr="00D5341B">
        <w:t xml:space="preserve"> has been issued, the Supplier shall:</w:t>
      </w:r>
    </w:p>
    <w:p w14:paraId="3761EDAC" w14:textId="77777777" w:rsidR="00F67E9E" w:rsidRPr="00D5341B" w:rsidRDefault="00F67E9E" w:rsidP="00F67E9E">
      <w:pPr>
        <w:pStyle w:val="Numbered111a"/>
        <w:tabs>
          <w:tab w:val="clear" w:pos="2520"/>
          <w:tab w:val="num" w:pos="2880"/>
        </w:tabs>
      </w:pPr>
      <w:r w:rsidRPr="00D5341B">
        <w:t>submit to the Authority a report setting out the Incurred Costs and actual Milestone Payment for the Milestone;</w:t>
      </w:r>
    </w:p>
    <w:p w14:paraId="42E7AC23" w14:textId="77777777" w:rsidR="00F67E9E" w:rsidRPr="00D5341B" w:rsidRDefault="00F67E9E" w:rsidP="00F67E9E">
      <w:pPr>
        <w:pStyle w:val="Numbered111a"/>
      </w:pPr>
      <w:bookmarkStart w:id="850" w:name="_Ref_ContractCompanion_9kb9Us15E"/>
      <w:bookmarkStart w:id="851" w:name="_9kR3WTrAG95AB8Dogop0BE11CD7tNYOC8JEHYG6"/>
      <w:r w:rsidRPr="00D5341B">
        <w:t>issue to the Authority an invoice or credit note for the difference between the actual Milestone Payment payable and the Target Price invoiced for the Milestone (in each case, after deducting the applicable Milestone Retention);</w:t>
      </w:r>
      <w:bookmarkEnd w:id="850"/>
      <w:bookmarkEnd w:id="851"/>
    </w:p>
    <w:p w14:paraId="4CC38D96" w14:textId="47A23DC6" w:rsidR="00F67E9E" w:rsidRPr="00D5341B" w:rsidRDefault="00F67E9E" w:rsidP="00F67E9E">
      <w:pPr>
        <w:pStyle w:val="Numbered111a"/>
      </w:pPr>
      <w:bookmarkStart w:id="852" w:name="_9kR3WTrAG95AKHDogop44nyzji03qvCIELC2HTQ"/>
      <w:bookmarkStart w:id="853" w:name="_Ref_ContractCompanion_9kb9Us16E"/>
      <w:r w:rsidRPr="00D5341B">
        <w:t xml:space="preserve">where a credit note is to be issued to the Authority pursuant to </w:t>
      </w:r>
      <w:bookmarkStart w:id="854" w:name="_9kMHG5YVtCIB7CDAFqiqr2DG33EF9vPaQEALGJa"/>
      <w:r w:rsidRPr="00D5341B">
        <w:lastRenderedPageBreak/>
        <w:t xml:space="preserve">Paragraph </w:t>
      </w:r>
      <w:r w:rsidRPr="00D5341B">
        <w:fldChar w:fldCharType="begin"/>
      </w:r>
      <w:r w:rsidRPr="00D5341B">
        <w:instrText xml:space="preserve"> REF _Ref_ContractCompanion_9kb9Us15E \w \h \t \* MERGEFORMAT </w:instrText>
      </w:r>
      <w:r w:rsidRPr="00D5341B">
        <w:fldChar w:fldCharType="separate"/>
      </w:r>
      <w:r w:rsidR="007A1473">
        <w:t>1.4.2(b)</w:t>
      </w:r>
      <w:r w:rsidRPr="00D5341B">
        <w:fldChar w:fldCharType="end"/>
      </w:r>
      <w:bookmarkEnd w:id="854"/>
      <w:r w:rsidRPr="00D5341B">
        <w:t>, repay to the Authority a sum equal to such difference as a debt within 10 Working Days of issue of the credit note;</w:t>
      </w:r>
      <w:bookmarkEnd w:id="852"/>
      <w:r w:rsidRPr="00D5341B">
        <w:t xml:space="preserve"> and</w:t>
      </w:r>
      <w:bookmarkEnd w:id="853"/>
    </w:p>
    <w:p w14:paraId="051B894A" w14:textId="77777777" w:rsidR="00F67E9E" w:rsidRPr="00D5341B" w:rsidRDefault="00F67E9E" w:rsidP="00F67E9E">
      <w:pPr>
        <w:pStyle w:val="Numbered111a"/>
        <w:tabs>
          <w:tab w:val="clear" w:pos="2520"/>
          <w:tab w:val="num" w:pos="2880"/>
        </w:tabs>
      </w:pPr>
      <w:r w:rsidRPr="00D5341B">
        <w:t xml:space="preserve">issue a Certificate of Costs with </w:t>
      </w:r>
      <w:bookmarkStart w:id="855" w:name="_9kMJI5YVt4CE9FFbd7336C4zyPSy5G13J78HDJ"/>
      <w:r w:rsidRPr="00D5341B">
        <w:t>Supporting Documentation</w:t>
      </w:r>
      <w:bookmarkEnd w:id="855"/>
      <w:r w:rsidRPr="00D5341B">
        <w:t>, which shall exclude any accruals, prepayments and provisions.</w:t>
      </w:r>
    </w:p>
    <w:p w14:paraId="0C6E8E8A" w14:textId="29337C0D" w:rsidR="00F67E9E" w:rsidRPr="00D5341B" w:rsidRDefault="00F67E9E" w:rsidP="00F67E9E">
      <w:pPr>
        <w:pStyle w:val="Numbered111"/>
        <w:tabs>
          <w:tab w:val="clear" w:pos="1800"/>
          <w:tab w:val="num" w:pos="2160"/>
        </w:tabs>
      </w:pPr>
      <w:bookmarkStart w:id="856" w:name="_Ref_ContractCompanion_9kb9Ur04E"/>
      <w:r w:rsidRPr="00D5341B">
        <w:t xml:space="preserve">Where Milestones are stated in </w:t>
      </w:r>
      <w:bookmarkStart w:id="857" w:name="_9kMIH5YVt4EE7FMjKZlp9"/>
      <w:r w:rsidRPr="00D5341B">
        <w:t>Table 4</w:t>
      </w:r>
      <w:bookmarkEnd w:id="857"/>
      <w:r w:rsidRPr="00D5341B">
        <w:t xml:space="preserve"> of Annex </w:t>
      </w:r>
      <w:r w:rsidRPr="00D5341B">
        <w:fldChar w:fldCharType="begin"/>
      </w:r>
      <w:r w:rsidRPr="00D5341B">
        <w:instrText xml:space="preserve"> REF ANNEX1_SCHEDULE15 \h </w:instrText>
      </w:r>
      <w:r>
        <w:instrText xml:space="preserve"> \* MERGEFORMAT </w:instrText>
      </w:r>
      <w:r w:rsidRPr="00D5341B">
        <w:fldChar w:fldCharType="separate"/>
      </w:r>
      <w:r w:rsidR="007A1473" w:rsidRPr="00C7787A">
        <w:t>1</w:t>
      </w:r>
      <w:r w:rsidRPr="00D5341B">
        <w:fldChar w:fldCharType="end"/>
      </w:r>
      <w:r w:rsidRPr="00D5341B">
        <w:t xml:space="preserve"> to constitute a group of Milestones (a </w:t>
      </w:r>
      <w:r>
        <w:t>“</w:t>
      </w:r>
      <w:r w:rsidRPr="00D5341B">
        <w:rPr>
          <w:rStyle w:val="StdBodyTextBoldChar"/>
          <w:rFonts w:eastAsia="Arial" w:cs="Arial"/>
        </w:rPr>
        <w:t>Milestone Group</w:t>
      </w:r>
      <w:r>
        <w:t>”</w:t>
      </w:r>
      <w:r w:rsidRPr="00D5341B">
        <w:t>) and the Milestone Payments relating to the Milestones in that Milestone Group are each to be calculated by reference to a Guaranteed Maximum Price with Target Cost pricing mechanism, then the following payment process shall apply:</w:t>
      </w:r>
      <w:bookmarkEnd w:id="856"/>
    </w:p>
    <w:p w14:paraId="085EEF85" w14:textId="77777777" w:rsidR="00F67E9E" w:rsidRPr="00D5341B" w:rsidRDefault="00F67E9E" w:rsidP="00F67E9E">
      <w:pPr>
        <w:pStyle w:val="Numbered111"/>
        <w:tabs>
          <w:tab w:val="clear" w:pos="1800"/>
          <w:tab w:val="num" w:pos="2160"/>
        </w:tabs>
      </w:pPr>
      <w:r w:rsidRPr="00D5341B">
        <w:t>in respect of each Milestone within the Milestone Group, the Supplier may invoice the Authority for the Target Price for the relevant Milestone, less the Milestone Retention calculated using such Target Price, upon the issue of the associated Milestone Achievement Certificate; and</w:t>
      </w:r>
    </w:p>
    <w:p w14:paraId="3D177B50" w14:textId="77777777" w:rsidR="00F67E9E" w:rsidRPr="00D5341B" w:rsidRDefault="00F67E9E" w:rsidP="00F67E9E">
      <w:pPr>
        <w:pStyle w:val="Numbered111"/>
        <w:tabs>
          <w:tab w:val="clear" w:pos="1800"/>
          <w:tab w:val="num" w:pos="2160"/>
        </w:tabs>
      </w:pPr>
      <w:r w:rsidRPr="00D5341B">
        <w:t>no later than 60 Working Days after the issue of the invoice for the final Milestone Payment relating to the Milestone Group, the Supplier shall:</w:t>
      </w:r>
    </w:p>
    <w:p w14:paraId="48E2762B" w14:textId="77777777" w:rsidR="00F67E9E" w:rsidRPr="00D5341B" w:rsidRDefault="00F67E9E" w:rsidP="00F67E9E">
      <w:pPr>
        <w:pStyle w:val="Numbered111a"/>
        <w:tabs>
          <w:tab w:val="clear" w:pos="2520"/>
          <w:tab w:val="num" w:pos="2880"/>
        </w:tabs>
      </w:pPr>
      <w:r w:rsidRPr="00D5341B">
        <w:t>submit to the Authority a report setting out the Incurred Costs and actual Milestone Payments for the Milestone Group;</w:t>
      </w:r>
    </w:p>
    <w:p w14:paraId="32DC1BC0" w14:textId="77777777" w:rsidR="00F67E9E" w:rsidRPr="00D5341B" w:rsidRDefault="00F67E9E" w:rsidP="00F67E9E">
      <w:pPr>
        <w:pStyle w:val="Numbered111a"/>
      </w:pPr>
      <w:bookmarkStart w:id="858" w:name="_Ref_ContractCompanion_9kb9Us168"/>
      <w:bookmarkStart w:id="859" w:name="_9kR3WTrAG95AEBEpgop0BE11CD7tNYOC8JEHYG6"/>
      <w:r w:rsidRPr="00D5341B">
        <w:t>issue to the Authority an invoice or credit note for the difference between the aggregate of the actual Milestone Payments payable and Target Prices invoiced for Milestones in the Milestone Group (in each case, after deducting all Milestone Retentions relating to that Milestone Group);</w:t>
      </w:r>
      <w:bookmarkEnd w:id="858"/>
      <w:bookmarkEnd w:id="859"/>
    </w:p>
    <w:p w14:paraId="41215D35" w14:textId="5091FB13" w:rsidR="00F67E9E" w:rsidRPr="00D5341B" w:rsidRDefault="00F67E9E" w:rsidP="00F67E9E">
      <w:pPr>
        <w:pStyle w:val="Numbered111a"/>
      </w:pPr>
      <w:bookmarkStart w:id="860" w:name="_9kR3WTrAG95BEAEpgop44nyzji03qvCIELC2HTQ"/>
      <w:bookmarkStart w:id="861" w:name="_Ref_ContractCompanion_9kb9Us178"/>
      <w:r w:rsidRPr="00D5341B">
        <w:t xml:space="preserve">where a credit note is to be issued to the Authority pursuant to </w:t>
      </w:r>
      <w:bookmarkStart w:id="862" w:name="_9kMHG5YVtCIB7CGDGriqr2DG33EF9vPaQEALGJa"/>
      <w:r w:rsidRPr="00D5341B">
        <w:t xml:space="preserve">Paragraph </w:t>
      </w:r>
      <w:r w:rsidRPr="00D5341B">
        <w:fldChar w:fldCharType="begin"/>
      </w:r>
      <w:r w:rsidRPr="00D5341B">
        <w:instrText xml:space="preserve"> REF _Ref_ContractCompanion_9kb9Us168 \w \h \t \* MERGEFORMAT </w:instrText>
      </w:r>
      <w:r w:rsidRPr="00D5341B">
        <w:fldChar w:fldCharType="separate"/>
      </w:r>
      <w:r w:rsidR="007A1473">
        <w:t>1.4.5(b)</w:t>
      </w:r>
      <w:r w:rsidRPr="00D5341B">
        <w:fldChar w:fldCharType="end"/>
      </w:r>
      <w:bookmarkEnd w:id="862"/>
      <w:r w:rsidRPr="00D5341B">
        <w:t>, repay to the Authority a sum equal to such difference as a debt within 10 Working Days of issue of the credit note;</w:t>
      </w:r>
      <w:bookmarkEnd w:id="860"/>
      <w:r w:rsidRPr="00D5341B">
        <w:t xml:space="preserve"> and</w:t>
      </w:r>
      <w:bookmarkEnd w:id="861"/>
    </w:p>
    <w:p w14:paraId="38018688" w14:textId="77777777" w:rsidR="00F67E9E" w:rsidRPr="00D5341B" w:rsidRDefault="00F67E9E" w:rsidP="00F67E9E">
      <w:pPr>
        <w:pStyle w:val="Numbered111a"/>
      </w:pPr>
      <w:r w:rsidRPr="00D5341B">
        <w:t xml:space="preserve">issue a Certificate of Costs with </w:t>
      </w:r>
      <w:bookmarkStart w:id="863" w:name="_9kMKJ5YVt4CE9FFbd7336C4zyPSy5G13J78HDJ"/>
      <w:r w:rsidRPr="00D5341B">
        <w:t>Supporting Documentation</w:t>
      </w:r>
      <w:bookmarkEnd w:id="863"/>
      <w:r w:rsidRPr="00D5341B">
        <w:t>, which shall exclude any accruals, prepayments and provisions.</w:t>
      </w:r>
    </w:p>
    <w:p w14:paraId="2D92E5CD" w14:textId="6D867664" w:rsidR="00F67E9E" w:rsidRPr="00772237" w:rsidRDefault="00F67E9E" w:rsidP="00F67E9E">
      <w:pPr>
        <w:pStyle w:val="Numbered11"/>
      </w:pPr>
      <w:r w:rsidRPr="00D5341B">
        <w:t xml:space="preserve">If the Supplier does not repay any such sum as is referred to in </w:t>
      </w:r>
      <w:bookmarkStart w:id="864" w:name="_9kMIH5YVtCIB7CDAFqiqr2DG33EF9vPaQEALGJa"/>
      <w:r w:rsidRPr="00D5341B">
        <w:t xml:space="preserve">Paragraph </w:t>
      </w:r>
      <w:r w:rsidRPr="00D5341B">
        <w:fldChar w:fldCharType="begin"/>
      </w:r>
      <w:r w:rsidRPr="00D5341B">
        <w:instrText xml:space="preserve"> REF _Ref_ContractCompanion_9kb9Us15E \w \h \t \* MERGEFORMAT </w:instrText>
      </w:r>
      <w:r w:rsidRPr="00D5341B">
        <w:fldChar w:fldCharType="separate"/>
      </w:r>
      <w:r w:rsidR="007A1473">
        <w:t>1.4.2(b)</w:t>
      </w:r>
      <w:r w:rsidRPr="00D5341B">
        <w:fldChar w:fldCharType="end"/>
      </w:r>
      <w:bookmarkEnd w:id="864"/>
      <w:r w:rsidRPr="00D5341B">
        <w:t xml:space="preserve"> or </w:t>
      </w:r>
      <w:bookmarkStart w:id="865" w:name="_9kMIH5YVtCIB7CGDGriqr2DG33EF9vPaQEALGJa"/>
      <w:r w:rsidRPr="00D5341B">
        <w:fldChar w:fldCharType="begin"/>
      </w:r>
      <w:r w:rsidRPr="00D5341B">
        <w:instrText xml:space="preserve"> REF _Ref_ContractCompanion_9kb9Us168 \w \h \t \* MERGEFORMAT </w:instrText>
      </w:r>
      <w:r w:rsidRPr="00D5341B">
        <w:fldChar w:fldCharType="separate"/>
      </w:r>
      <w:r w:rsidR="007A1473">
        <w:t>1.4.5(b)</w:t>
      </w:r>
      <w:r w:rsidRPr="00D5341B">
        <w:fldChar w:fldCharType="end"/>
      </w:r>
      <w:bookmarkEnd w:id="865"/>
      <w:r w:rsidRPr="00D5341B">
        <w:t xml:space="preserve"> within 10 Working Days of issue of the relevant credit note, it shall repay such sum together with interest </w:t>
      </w:r>
      <w:r w:rsidRPr="00772237">
        <w:t>on such sum at the applicable rate under the Late Payment of Commercial Debts (Interest) Act 1998, accruing on a daily basis from (and including) the due date up to (but excluding) the date of actual payment, whether before or after judgment.</w:t>
      </w:r>
    </w:p>
    <w:p w14:paraId="7786AD81" w14:textId="45AF2844" w:rsidR="00F67E9E" w:rsidRPr="00D5341B" w:rsidRDefault="00F67E9E" w:rsidP="00F67E9E">
      <w:pPr>
        <w:pStyle w:val="Numbered11"/>
      </w:pPr>
      <w:r w:rsidRPr="00772237">
        <w:t xml:space="preserve">Following the issue of a Certificate of Costs in accordance with </w:t>
      </w:r>
      <w:bookmarkStart w:id="866" w:name="_9kMHG5YVtCIB7CJGDR7ckryCE2ro450x6FA9GP7"/>
      <w:r w:rsidRPr="00772237">
        <w:t xml:space="preserve">Paragraph </w:t>
      </w:r>
      <w:r w:rsidRPr="00772237">
        <w:fldChar w:fldCharType="begin"/>
      </w:r>
      <w:r w:rsidRPr="00772237">
        <w:instrText xml:space="preserve"> REF _Ref_ContractCompanion_9kb9Us16B \n \h \t \* MERGEFORMAT </w:instrText>
      </w:r>
      <w:r w:rsidRPr="00772237">
        <w:fldChar w:fldCharType="separate"/>
      </w:r>
      <w:r w:rsidR="007A1473">
        <w:t>1.2</w:t>
      </w:r>
      <w:r w:rsidRPr="00772237">
        <w:fldChar w:fldCharType="end"/>
      </w:r>
      <w:bookmarkEnd w:id="866"/>
      <w:r w:rsidRPr="00772237">
        <w:t xml:space="preserve">, </w:t>
      </w:r>
      <w:bookmarkStart w:id="867" w:name="_9kMHG5YVtCIB7CMJFqiqr66p01lk25sxEKGNE4J"/>
      <w:r w:rsidRPr="00772237">
        <w:fldChar w:fldCharType="begin"/>
      </w:r>
      <w:r w:rsidRPr="00772237">
        <w:instrText xml:space="preserve"> REF _Ref_ContractCompanion_9kb9Us16E \w \h \t \* MERGEFORMAT </w:instrText>
      </w:r>
      <w:r w:rsidRPr="00772237">
        <w:fldChar w:fldCharType="separate"/>
      </w:r>
      <w:r w:rsidR="007A1473">
        <w:t>1.4.2(c)</w:t>
      </w:r>
      <w:r w:rsidRPr="00772237">
        <w:fldChar w:fldCharType="end"/>
      </w:r>
      <w:bookmarkEnd w:id="867"/>
      <w:r w:rsidRPr="00772237">
        <w:t xml:space="preserve"> or </w:t>
      </w:r>
      <w:bookmarkStart w:id="868" w:name="_9kMHG5YVtCIB7DGCGriqr66p01lk25sxEKGNE4J"/>
      <w:r w:rsidRPr="00772237">
        <w:fldChar w:fldCharType="begin"/>
      </w:r>
      <w:r w:rsidRPr="00772237">
        <w:instrText xml:space="preserve"> REF _Ref_ContractCompanion_9kb9Us178 \w \h \t \* MERGEFORMAT </w:instrText>
      </w:r>
      <w:r w:rsidRPr="00772237">
        <w:fldChar w:fldCharType="separate"/>
      </w:r>
      <w:r w:rsidR="007A1473">
        <w:t>1.4.5(c)</w:t>
      </w:r>
      <w:r w:rsidRPr="00772237">
        <w:fldChar w:fldCharType="end"/>
      </w:r>
      <w:bookmarkEnd w:id="868"/>
      <w:r w:rsidRPr="00772237">
        <w:t>, the Supplier shall not be entitled to invoice the Authority for any additional Charges relating to the Milestone or</w:t>
      </w:r>
      <w:r w:rsidRPr="00D5341B">
        <w:t xml:space="preserve"> Milestone Group (as applicable) save as provided in </w:t>
      </w:r>
      <w:bookmarkStart w:id="869" w:name="_9kMHG5YVtCIB7DJFJhUN7lsq45xy0GI5sQAOMgC"/>
      <w:r w:rsidRPr="00D5341B">
        <w:t xml:space="preserve">Paragraph </w:t>
      </w:r>
      <w:r w:rsidRPr="00D5341B">
        <w:fldChar w:fldCharType="begin"/>
      </w:r>
      <w:r w:rsidRPr="00D5341B">
        <w:instrText xml:space="preserve"> REF _Ref_ContractCompanion_9kb9Us17B \n \h \t \* MERGEFORMAT </w:instrText>
      </w:r>
      <w:r w:rsidRPr="00D5341B">
        <w:fldChar w:fldCharType="separate"/>
      </w:r>
      <w:r w:rsidR="007A1473">
        <w:t>1.7</w:t>
      </w:r>
      <w:r w:rsidRPr="00D5341B">
        <w:fldChar w:fldCharType="end"/>
      </w:r>
      <w:bookmarkEnd w:id="869"/>
      <w:r w:rsidRPr="00D5341B">
        <w:t>.</w:t>
      </w:r>
    </w:p>
    <w:p w14:paraId="04BB2B5F" w14:textId="77777777" w:rsidR="00F67E9E" w:rsidRPr="00D5341B" w:rsidRDefault="00F67E9E" w:rsidP="00F67E9E">
      <w:pPr>
        <w:pStyle w:val="StdBodyText1"/>
        <w:rPr>
          <w:rFonts w:cs="Arial"/>
        </w:rPr>
      </w:pPr>
      <w:r w:rsidRPr="00D5341B">
        <w:rPr>
          <w:rStyle w:val="StdBodyTextBoldChar"/>
          <w:rFonts w:cs="Arial"/>
        </w:rPr>
        <w:t>Release of Milestone</w:t>
      </w:r>
      <w:r w:rsidRPr="00D5341B">
        <w:rPr>
          <w:rFonts w:cs="Arial"/>
        </w:rPr>
        <w:t xml:space="preserve"> </w:t>
      </w:r>
      <w:r w:rsidRPr="00D5341B">
        <w:rPr>
          <w:rStyle w:val="StdBodyTextBoldChar"/>
          <w:rFonts w:cs="Arial"/>
        </w:rPr>
        <w:t>Retentions</w:t>
      </w:r>
    </w:p>
    <w:p w14:paraId="1B7B9895" w14:textId="6C10180D" w:rsidR="00F67E9E" w:rsidRPr="00D5341B" w:rsidRDefault="00F67E9E" w:rsidP="00F67E9E">
      <w:pPr>
        <w:pStyle w:val="Numbered11"/>
      </w:pPr>
      <w:bookmarkStart w:id="870" w:name="_Ref_ContractCompanion_9kb9Us17B"/>
      <w:bookmarkStart w:id="871" w:name="_9kR3WTrAG95BHDHfSL5jqo23vwyEG3qO8MKeA7F"/>
      <w:r w:rsidRPr="00D5341B">
        <w:t xml:space="preserve">On Achievement of a CPP Milestone relating to the Supplier Solution or one or more Services (as the case may be), the Supplier shall be entitled to invoice the Authority for </w:t>
      </w:r>
      <w:r w:rsidRPr="00D5341B">
        <w:lastRenderedPageBreak/>
        <w:t xml:space="preserve">an amount equal to all Milestone Retentions that relate to Milestones identified in the </w:t>
      </w:r>
      <w:r>
        <w:rPr>
          <w:i/>
        </w:rPr>
        <w:t>“</w:t>
      </w:r>
      <w:r w:rsidRPr="00D5341B">
        <w:rPr>
          <w:i/>
        </w:rPr>
        <w:t>CPP Milestone Charge Number</w:t>
      </w:r>
      <w:r>
        <w:rPr>
          <w:i/>
        </w:rPr>
        <w:t>”</w:t>
      </w:r>
      <w:r w:rsidRPr="00D5341B">
        <w:t xml:space="preserve"> column of </w:t>
      </w:r>
      <w:bookmarkStart w:id="872" w:name="_9kMNM5YVt4EE7FKhKZlp6"/>
      <w:r w:rsidRPr="00D5341B">
        <w:t>Table 1</w:t>
      </w:r>
      <w:bookmarkEnd w:id="872"/>
      <w:r w:rsidRPr="00D5341B">
        <w:t xml:space="preserve"> (or, in relation to Milestone Retentions in respect of Optional Services, </w:t>
      </w:r>
      <w:bookmarkStart w:id="873" w:name="_9kMJI5YVt4EE7FMjKZlp9"/>
      <w:r w:rsidRPr="00D5341B">
        <w:t>Table 4</w:t>
      </w:r>
      <w:bookmarkEnd w:id="873"/>
      <w:r w:rsidRPr="00D5341B">
        <w:t xml:space="preserve">) of Annex </w:t>
      </w:r>
      <w:r w:rsidRPr="00D5341B">
        <w:fldChar w:fldCharType="begin"/>
      </w:r>
      <w:r w:rsidRPr="00D5341B">
        <w:instrText xml:space="preserve"> REF ANNEX2_SCHEDULE15 \h </w:instrText>
      </w:r>
      <w:r>
        <w:instrText xml:space="preserve"> \* MERGEFORMAT </w:instrText>
      </w:r>
      <w:r w:rsidRPr="00D5341B">
        <w:fldChar w:fldCharType="separate"/>
      </w:r>
      <w:r w:rsidR="007A1473" w:rsidRPr="00BA56A1">
        <w:t>2</w:t>
      </w:r>
      <w:r w:rsidRPr="00D5341B">
        <w:fldChar w:fldCharType="end"/>
      </w:r>
      <w:r w:rsidRPr="00D5341B">
        <w:t xml:space="preserve"> and corresponding CPP Milestone Charge Number identified in </w:t>
      </w:r>
      <w:bookmarkStart w:id="874" w:name="_9kMML5YVt4EE7FLiKZlp7"/>
      <w:r w:rsidRPr="00D5341B">
        <w:t>Table 2</w:t>
      </w:r>
      <w:bookmarkEnd w:id="874"/>
      <w:r w:rsidRPr="00D5341B">
        <w:t xml:space="preserve"> of </w:t>
      </w:r>
      <w:bookmarkStart w:id="875" w:name="_9kR3WTr2CC5ELOCwozQ"/>
      <w:r w:rsidRPr="00D5341B">
        <w:t xml:space="preserve">Annex </w:t>
      </w:r>
      <w:r w:rsidRPr="00D5341B">
        <w:fldChar w:fldCharType="begin"/>
      </w:r>
      <w:r w:rsidRPr="00D5341B">
        <w:instrText xml:space="preserve"> REF ANNEX4_SCHEDULE14 \h </w:instrText>
      </w:r>
      <w:r>
        <w:instrText xml:space="preserve"> \* MERGEFORMAT </w:instrText>
      </w:r>
      <w:r w:rsidRPr="00D5341B">
        <w:fldChar w:fldCharType="separate"/>
      </w:r>
      <w:r w:rsidR="007A1473" w:rsidRPr="00D5341B">
        <w:t>4</w:t>
      </w:r>
      <w:r w:rsidRPr="00D5341B">
        <w:fldChar w:fldCharType="end"/>
      </w:r>
      <w:bookmarkEnd w:id="875"/>
      <w:r w:rsidRPr="00D5341B">
        <w:t xml:space="preserve"> of </w:t>
      </w:r>
      <w:r>
        <w:rPr>
          <w:rFonts w:cs="Arial"/>
        </w:rPr>
        <w:fldChar w:fldCharType="begin"/>
      </w:r>
      <w:r>
        <w:rPr>
          <w:rFonts w:cs="Arial"/>
        </w:rPr>
        <w:instrText xml:space="preserve"> REF Schedule14 \h </w:instrText>
      </w:r>
      <w:r>
        <w:rPr>
          <w:rFonts w:cs="Arial"/>
        </w:rPr>
      </w:r>
      <w:r>
        <w:rPr>
          <w:rFonts w:cs="Arial"/>
        </w:rPr>
        <w:fldChar w:fldCharType="separate"/>
      </w:r>
      <w:r w:rsidR="007A1473" w:rsidRPr="005D0525">
        <w:t>Schedule</w:t>
      </w:r>
      <w:r w:rsidR="007A1473">
        <w:t> </w:t>
      </w:r>
      <w:r w:rsidR="007A1473" w:rsidRPr="005D0525">
        <w:t>14</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Schedule14Heading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Testing Procedures</w:t>
      </w:r>
      <w:r w:rsidRPr="00B91437">
        <w:rPr>
          <w:rFonts w:cs="Arial"/>
          <w:i/>
          <w:iCs/>
        </w:rPr>
        <w:fldChar w:fldCharType="end"/>
      </w:r>
      <w:r>
        <w:rPr>
          <w:rFonts w:cs="Arial"/>
        </w:rPr>
        <w:t>)</w:t>
      </w:r>
      <w:r w:rsidRPr="00D5341B">
        <w:t xml:space="preserve"> as being payable in respect of that CPP Milestone and have not been paid before such CPP Milestone.</w:t>
      </w:r>
      <w:bookmarkEnd w:id="870"/>
      <w:bookmarkEnd w:id="871"/>
    </w:p>
    <w:p w14:paraId="6F994107" w14:textId="77777777" w:rsidR="00F67E9E" w:rsidRPr="00D5341B" w:rsidRDefault="00F67E9E" w:rsidP="00F67E9E">
      <w:pPr>
        <w:pStyle w:val="Numbered1"/>
      </w:pPr>
      <w:bookmarkStart w:id="876" w:name="_9kR3WTrAG969FfJfifw5qDOJiPyIdhsCCUM4126"/>
      <w:r w:rsidRPr="00D5341B">
        <w:t>Service Charges</w:t>
      </w:r>
      <w:bookmarkEnd w:id="876"/>
    </w:p>
    <w:p w14:paraId="65608C85" w14:textId="39F81C5F" w:rsidR="00F67E9E" w:rsidRPr="00772237" w:rsidRDefault="00F67E9E" w:rsidP="00F67E9E">
      <w:pPr>
        <w:pStyle w:val="Numbered11"/>
      </w:pPr>
      <w:r w:rsidRPr="00D5341B">
        <w:t xml:space="preserve">Each Service to which a Service Charge relates shall commence on the Achievement of the Milestone set out against that Service in the </w:t>
      </w:r>
      <w:r>
        <w:t>“</w:t>
      </w:r>
      <w:r w:rsidRPr="00D5341B">
        <w:rPr>
          <w:i/>
        </w:rPr>
        <w:t>Service</w:t>
      </w:r>
      <w:r w:rsidRPr="00D5341B">
        <w:t xml:space="preserve"> </w:t>
      </w:r>
      <w:r w:rsidRPr="00D5341B">
        <w:rPr>
          <w:i/>
        </w:rPr>
        <w:t>Charge Trigger Event</w:t>
      </w:r>
      <w:r>
        <w:t>”</w:t>
      </w:r>
      <w:r w:rsidRPr="00D5341B">
        <w:t xml:space="preserve"> column of </w:t>
      </w:r>
      <w:bookmarkStart w:id="877" w:name="_9kMNM5YVt4EE7FLiKZlp7"/>
      <w:r w:rsidRPr="00D5341B">
        <w:t>Table 2</w:t>
      </w:r>
      <w:bookmarkEnd w:id="877"/>
      <w:r w:rsidRPr="00D5341B">
        <w:t xml:space="preserve"> of </w:t>
      </w:r>
      <w:r w:rsidRPr="00772237">
        <w:t xml:space="preserve">Annex </w:t>
      </w:r>
      <w:r w:rsidRPr="00772237">
        <w:fldChar w:fldCharType="begin"/>
      </w:r>
      <w:r w:rsidRPr="00772237">
        <w:instrText xml:space="preserve"> REF ANNEX2_SCHEDULE15 \h  \* MERGEFORMAT </w:instrText>
      </w:r>
      <w:r w:rsidRPr="00772237">
        <w:fldChar w:fldCharType="separate"/>
      </w:r>
      <w:r w:rsidR="007A1473" w:rsidRPr="00BA56A1">
        <w:t>2</w:t>
      </w:r>
      <w:r w:rsidRPr="00772237">
        <w:fldChar w:fldCharType="end"/>
      </w:r>
      <w:r w:rsidRPr="00772237">
        <w:t>.</w:t>
      </w:r>
    </w:p>
    <w:p w14:paraId="43FBC892" w14:textId="466BFEC4" w:rsidR="00F67E9E" w:rsidRPr="00772237" w:rsidRDefault="00F67E9E" w:rsidP="00F67E9E">
      <w:pPr>
        <w:pStyle w:val="Numbered11"/>
      </w:pPr>
      <w:r w:rsidRPr="00772237">
        <w:t xml:space="preserve">Service Charges shall be invoiced by the Supplier for each Service Period in arrear in accordance with the requirements of </w:t>
      </w:r>
      <w:r w:rsidRPr="00772237">
        <w:fldChar w:fldCharType="begin"/>
      </w:r>
      <w:r w:rsidRPr="00772237">
        <w:instrText xml:space="preserve"> REF Sch15PartE \h  \* MERGEFORMAT </w:instrText>
      </w:r>
      <w:r w:rsidRPr="00772237">
        <w:fldChar w:fldCharType="separate"/>
      </w:r>
      <w:r w:rsidR="007A1473" w:rsidRPr="00D5341B">
        <w:t>P</w:t>
      </w:r>
      <w:r w:rsidR="007A1473">
        <w:t>art</w:t>
      </w:r>
      <w:r w:rsidR="007A1473" w:rsidRPr="00D5341B">
        <w:t xml:space="preserve"> E</w:t>
      </w:r>
      <w:r w:rsidRPr="00772237">
        <w:fldChar w:fldCharType="end"/>
      </w:r>
      <w:r w:rsidRPr="00772237">
        <w:t>.</w:t>
      </w:r>
    </w:p>
    <w:p w14:paraId="2D4A655A" w14:textId="77777777" w:rsidR="00F67E9E" w:rsidRPr="00D5341B" w:rsidRDefault="00F67E9E" w:rsidP="00F67E9E">
      <w:pPr>
        <w:pStyle w:val="Numbered11"/>
      </w:pPr>
      <w:r w:rsidRPr="00772237">
        <w:t>If a Service Charge is to be calculated by reference to a Fixed Price pricing mechanism and the relevant</w:t>
      </w:r>
      <w:r w:rsidRPr="00D5341B">
        <w:t xml:space="preserve"> Service:</w:t>
      </w:r>
    </w:p>
    <w:p w14:paraId="1A1EFF25" w14:textId="77777777" w:rsidR="00F67E9E" w:rsidRPr="00D5341B" w:rsidRDefault="00F67E9E" w:rsidP="00F67E9E">
      <w:pPr>
        <w:pStyle w:val="Numbered111"/>
        <w:tabs>
          <w:tab w:val="clear" w:pos="1800"/>
          <w:tab w:val="num" w:pos="2160"/>
        </w:tabs>
      </w:pPr>
      <w:r w:rsidRPr="00D5341B">
        <w:t>commences on a day other than the first day of a month; and/or</w:t>
      </w:r>
    </w:p>
    <w:p w14:paraId="322EF2ED" w14:textId="77777777" w:rsidR="00F67E9E" w:rsidRPr="00D5341B" w:rsidRDefault="00F67E9E" w:rsidP="00F67E9E">
      <w:pPr>
        <w:pStyle w:val="Numbered111"/>
        <w:tabs>
          <w:tab w:val="clear" w:pos="1800"/>
          <w:tab w:val="num" w:pos="2160"/>
        </w:tabs>
      </w:pPr>
      <w:r w:rsidRPr="00D5341B">
        <w:t xml:space="preserve">ends on a day other than the last day of a month, </w:t>
      </w:r>
    </w:p>
    <w:p w14:paraId="4E2A48AF" w14:textId="77777777" w:rsidR="00F67E9E" w:rsidRPr="00D5341B" w:rsidRDefault="00F67E9E" w:rsidP="00F67E9E">
      <w:pPr>
        <w:pStyle w:val="StdBodyText2"/>
        <w:rPr>
          <w:rFonts w:cs="Arial"/>
        </w:rPr>
      </w:pPr>
      <w:r w:rsidRPr="00D5341B">
        <w:rPr>
          <w:rFonts w:cs="Arial"/>
        </w:rPr>
        <w:t xml:space="preserve">the Service Charge for the relevant Service Period shall be pro-rated based on the proportion which the number of days in the month for which the Service is provided bears to the total number of days in that month. </w:t>
      </w:r>
    </w:p>
    <w:p w14:paraId="47335291" w14:textId="77777777" w:rsidR="00F67E9E" w:rsidRPr="00D5341B" w:rsidRDefault="00F67E9E" w:rsidP="00F67E9E">
      <w:pPr>
        <w:pStyle w:val="Numbered11"/>
      </w:pPr>
      <w:r w:rsidRPr="00D5341B">
        <w:t>Any Service Credits that accrue during a Service Period shall be deducted from the Service Charges payable for the next following Service Period.</w:t>
      </w:r>
      <w:r>
        <w:t xml:space="preserve"> </w:t>
      </w:r>
      <w:r w:rsidRPr="00D5341B">
        <w:t xml:space="preserve">An invoice for a Service Charge shall not be </w:t>
      </w:r>
      <w:r w:rsidRPr="00772237">
        <w:t>payable</w:t>
      </w:r>
      <w:r w:rsidRPr="00D5341B">
        <w:t xml:space="preserve"> by the Authority unless all adjustments (including Service Credits) relating to the Service Charges for the immediately preceding Service Period have been agreed.</w:t>
      </w:r>
    </w:p>
    <w:p w14:paraId="16F35B39" w14:textId="77777777" w:rsidR="00F67E9E" w:rsidRPr="00D5341B" w:rsidRDefault="00F67E9E" w:rsidP="00F67E9E">
      <w:pPr>
        <w:pStyle w:val="Numbered1"/>
      </w:pPr>
      <w:bookmarkStart w:id="878" w:name="_9kR3WTrAG969GgJfifw5qDOJiPyIdipJPJFL87Q"/>
      <w:r w:rsidRPr="00772237">
        <w:t>Optional</w:t>
      </w:r>
      <w:r w:rsidRPr="00D5341B">
        <w:t xml:space="preserve"> Services</w:t>
      </w:r>
      <w:bookmarkEnd w:id="878"/>
    </w:p>
    <w:p w14:paraId="10FF4552" w14:textId="77777777" w:rsidR="00F67E9E" w:rsidRPr="00D5341B" w:rsidRDefault="00F67E9E" w:rsidP="00F67E9E">
      <w:pPr>
        <w:pStyle w:val="Numbered11"/>
      </w:pPr>
      <w:r w:rsidRPr="00D5341B">
        <w:t xml:space="preserve">If the Authority gives notice pursuant to </w:t>
      </w:r>
      <w:bookmarkStart w:id="879" w:name="_9kMHG5YVtCIB7EIHGCMHCeY3l2HaPAJJJLKlmNK"/>
      <w:r w:rsidRPr="00772237">
        <w:t>Clause</w:t>
      </w:r>
      <w:r w:rsidRPr="00D5341B">
        <w:t xml:space="preserve"> 5.10</w:t>
      </w:r>
      <w:bookmarkEnd w:id="879"/>
      <w:r w:rsidRPr="00D5341B">
        <w:t xml:space="preserve"> (</w:t>
      </w:r>
      <w:r w:rsidRPr="00D5341B">
        <w:rPr>
          <w:i/>
        </w:rPr>
        <w:t>Optional Services</w:t>
      </w:r>
      <w:r w:rsidRPr="00D5341B">
        <w:t>) that it requires the Supplier to provide any or all of the Optional Services:</w:t>
      </w:r>
    </w:p>
    <w:p w14:paraId="2C130354" w14:textId="702BDBD4" w:rsidR="00F67E9E" w:rsidRPr="00772237" w:rsidRDefault="00F67E9E" w:rsidP="00F67E9E">
      <w:pPr>
        <w:pStyle w:val="Numbered111"/>
      </w:pPr>
      <w:r w:rsidRPr="00D5341B">
        <w:t xml:space="preserve">the Milestone Payments (if any) for the relevant Optional Services shall be calculated by reference to the pricing mechanism for those Optional Services set out in </w:t>
      </w:r>
      <w:bookmarkStart w:id="880" w:name="_9kMJI5YVt4EE7EHfKZlp8"/>
      <w:r w:rsidRPr="00D5341B">
        <w:t>Table 3</w:t>
      </w:r>
      <w:bookmarkEnd w:id="880"/>
      <w:r w:rsidRPr="00D5341B">
        <w:t xml:space="preserve"> </w:t>
      </w:r>
      <w:r w:rsidRPr="00772237">
        <w:t xml:space="preserve">of Annex </w:t>
      </w:r>
      <w:r w:rsidRPr="00772237">
        <w:fldChar w:fldCharType="begin"/>
      </w:r>
      <w:r w:rsidRPr="00772237">
        <w:instrText xml:space="preserve"> REF ANNEX2_SCHEDULE15 \h  \* MERGEFORMAT </w:instrText>
      </w:r>
      <w:r w:rsidRPr="00772237">
        <w:fldChar w:fldCharType="separate"/>
      </w:r>
      <w:r w:rsidR="007A1473" w:rsidRPr="00BA56A1">
        <w:t>2</w:t>
      </w:r>
      <w:r w:rsidRPr="00772237">
        <w:fldChar w:fldCharType="end"/>
      </w:r>
      <w:r w:rsidRPr="00772237">
        <w:t>; and</w:t>
      </w:r>
    </w:p>
    <w:p w14:paraId="70736B41" w14:textId="209A5D21" w:rsidR="00F67E9E" w:rsidRPr="00D5341B" w:rsidRDefault="00F67E9E" w:rsidP="00F67E9E">
      <w:pPr>
        <w:pStyle w:val="Numbered111"/>
      </w:pPr>
      <w:r w:rsidRPr="00772237">
        <w:t>the Service Char</w:t>
      </w:r>
      <w:r w:rsidRPr="00D5341B">
        <w:t xml:space="preserve">ges for the relevant Optional Services shall be calculated by reference to the pricing mechanism for those Optional Services set out in </w:t>
      </w:r>
      <w:bookmarkStart w:id="881" w:name="_9kMKJ5YVt4EE7FMjKZlp9"/>
      <w:r w:rsidRPr="00D5341B">
        <w:t>Table 4</w:t>
      </w:r>
      <w:bookmarkEnd w:id="881"/>
      <w:r w:rsidRPr="00D5341B">
        <w:t xml:space="preserve"> of Annex </w:t>
      </w:r>
      <w:r w:rsidRPr="00D5341B">
        <w:fldChar w:fldCharType="begin"/>
      </w:r>
      <w:r w:rsidRPr="00D5341B">
        <w:instrText xml:space="preserve"> REF ANNEX2_SCHEDULE15 \h </w:instrText>
      </w:r>
      <w:r>
        <w:instrText xml:space="preserve"> \* MERGEFORMAT </w:instrText>
      </w:r>
      <w:r w:rsidRPr="00D5341B">
        <w:fldChar w:fldCharType="separate"/>
      </w:r>
      <w:r w:rsidR="007A1473" w:rsidRPr="00BA56A1">
        <w:t>2</w:t>
      </w:r>
      <w:r w:rsidRPr="00D5341B">
        <w:fldChar w:fldCharType="end"/>
      </w:r>
      <w:r w:rsidRPr="00D5341B">
        <w:t>,</w:t>
      </w:r>
    </w:p>
    <w:p w14:paraId="16E6903B" w14:textId="22861588" w:rsidR="00F67E9E" w:rsidRDefault="00F67E9E" w:rsidP="00F67E9E">
      <w:pPr>
        <w:pStyle w:val="StdBodyText1"/>
        <w:rPr>
          <w:rFonts w:cs="Arial"/>
        </w:rPr>
      </w:pPr>
      <w:r w:rsidRPr="00D5341B">
        <w:rPr>
          <w:rFonts w:cs="Arial"/>
        </w:rPr>
        <w:t xml:space="preserve">in both cases using the relevant rates and prices specified in Annex </w:t>
      </w:r>
      <w:r w:rsidRPr="00D5341B">
        <w:rPr>
          <w:rFonts w:cs="Arial"/>
        </w:rPr>
        <w:fldChar w:fldCharType="begin"/>
      </w:r>
      <w:r w:rsidRPr="00D5341B">
        <w:rPr>
          <w:rFonts w:cs="Arial"/>
        </w:rPr>
        <w:instrText xml:space="preserve"> REF ANNEX1_SCHEDULE15 \h </w:instrText>
      </w:r>
      <w:r>
        <w:rPr>
          <w:rFonts w:cs="Arial"/>
        </w:rPr>
        <w:instrText xml:space="preserve"> \* MERGEFORMAT </w:instrText>
      </w:r>
      <w:r w:rsidRPr="00D5341B">
        <w:rPr>
          <w:rFonts w:cs="Arial"/>
        </w:rPr>
      </w:r>
      <w:r w:rsidRPr="00D5341B">
        <w:rPr>
          <w:rFonts w:cs="Arial"/>
        </w:rPr>
        <w:fldChar w:fldCharType="separate"/>
      </w:r>
      <w:r w:rsidR="007A1473" w:rsidRPr="007A1473">
        <w:rPr>
          <w:rFonts w:cs="Arial"/>
        </w:rPr>
        <w:t>1</w:t>
      </w:r>
      <w:r w:rsidRPr="00D5341B">
        <w:rPr>
          <w:rFonts w:cs="Arial"/>
        </w:rPr>
        <w:fldChar w:fldCharType="end"/>
      </w:r>
      <w:r w:rsidRPr="00D5341B">
        <w:rPr>
          <w:rFonts w:cs="Arial"/>
        </w:rPr>
        <w:t>.</w:t>
      </w:r>
    </w:p>
    <w:p w14:paraId="2637E567" w14:textId="77777777" w:rsidR="00F67E9E" w:rsidRDefault="00F67E9E" w:rsidP="00F67E9E"/>
    <w:p w14:paraId="49685C36" w14:textId="77777777" w:rsidR="00F67E9E" w:rsidRDefault="00F67E9E" w:rsidP="00F67E9E">
      <w:pPr>
        <w:pStyle w:val="Heading2"/>
        <w:pageBreakBefore/>
      </w:pPr>
      <w:bookmarkStart w:id="882" w:name="Sch15PartC"/>
      <w:bookmarkStart w:id="883" w:name="_Ref_ContractCompanion_9kb9Ur9JC"/>
      <w:bookmarkStart w:id="884" w:name="_Ref_ContractCompanion_9kb9Ur9JE"/>
      <w:bookmarkStart w:id="885" w:name="_Ref_ContractCompanion_9kb9Ur9JG"/>
      <w:bookmarkStart w:id="886" w:name="_Ref_ContractCompanion_9kb9Ur9JI"/>
      <w:bookmarkStart w:id="887" w:name="_Toc145412773"/>
      <w:r w:rsidRPr="000038E2">
        <w:lastRenderedPageBreak/>
        <w:t>Part </w:t>
      </w:r>
      <w:r w:rsidRPr="00D5341B">
        <w:t>C</w:t>
      </w:r>
      <w:bookmarkEnd w:id="882"/>
      <w:r w:rsidRPr="00D5341B">
        <w:t>: Adjustments To The Charges And Risk Register</w:t>
      </w:r>
      <w:bookmarkEnd w:id="883"/>
      <w:bookmarkEnd w:id="884"/>
      <w:bookmarkEnd w:id="885"/>
      <w:bookmarkEnd w:id="886"/>
      <w:bookmarkEnd w:id="887"/>
    </w:p>
    <w:p w14:paraId="43A65B82" w14:textId="77777777" w:rsidR="00F67E9E" w:rsidRPr="00D5341B" w:rsidRDefault="00F67E9E" w:rsidP="00F13933">
      <w:pPr>
        <w:pStyle w:val="Numbered1"/>
        <w:numPr>
          <w:ilvl w:val="0"/>
          <w:numId w:val="123"/>
        </w:numPr>
      </w:pPr>
      <w:bookmarkStart w:id="888" w:name="_Ref44509569"/>
      <w:r w:rsidRPr="00FD31FC">
        <w:t>Delay</w:t>
      </w:r>
      <w:r w:rsidRPr="00D5341B">
        <w:t xml:space="preserve"> Payments</w:t>
      </w:r>
      <w:bookmarkEnd w:id="888"/>
    </w:p>
    <w:p w14:paraId="60116689" w14:textId="77777777" w:rsidR="00F67E9E" w:rsidRPr="00D5341B" w:rsidRDefault="00F67E9E" w:rsidP="00F67E9E">
      <w:pPr>
        <w:pStyle w:val="Numbered11"/>
      </w:pPr>
      <w:r w:rsidRPr="00D5341B">
        <w:t>If a Key Milestone has not been Achieved on or before the relevant Milestone Date, the Supplier shall pay a Delay Payment to the Authority in respect of that Key Milestone. Delay Payments shall accrue:</w:t>
      </w:r>
    </w:p>
    <w:p w14:paraId="16978D95" w14:textId="2D21BBC7" w:rsidR="00F67E9E" w:rsidRPr="00D5341B" w:rsidRDefault="00F67E9E" w:rsidP="00F67E9E">
      <w:pPr>
        <w:pStyle w:val="Numbered111"/>
        <w:tabs>
          <w:tab w:val="clear" w:pos="1800"/>
          <w:tab w:val="num" w:pos="2160"/>
        </w:tabs>
      </w:pPr>
      <w:bookmarkStart w:id="889" w:name="_Ref_ContractCompanion_9kb9Ur049"/>
      <w:r w:rsidRPr="00D5341B">
        <w:t xml:space="preserve">at the daily rate (the </w:t>
      </w:r>
      <w:r>
        <w:t>“</w:t>
      </w:r>
      <w:r w:rsidRPr="00D5341B">
        <w:rPr>
          <w:rStyle w:val="StdBodyTextBoldChar"/>
          <w:rFonts w:eastAsia="Arial" w:cs="Arial"/>
        </w:rPr>
        <w:t>Delay Payment Rate</w:t>
      </w:r>
      <w:r>
        <w:t>”</w:t>
      </w:r>
      <w:r w:rsidRPr="00D5341B">
        <w:t xml:space="preserve">) determined in accordance with </w:t>
      </w:r>
      <w:bookmarkStart w:id="890" w:name="_9kMHG5YVtCIB7ENIDjWlwxhHGvs6wT9M35LHHP8"/>
      <w:r w:rsidRPr="00D5341B">
        <w:t xml:space="preserve">Paragraph </w:t>
      </w:r>
      <w:r w:rsidRPr="00D5341B">
        <w:fldChar w:fldCharType="begin"/>
      </w:r>
      <w:r w:rsidRPr="00D5341B">
        <w:instrText xml:space="preserve"> REF _Ref_ContractCompanion_9kb9Us18F \n \h \t \* MERGEFORMAT </w:instrText>
      </w:r>
      <w:r w:rsidRPr="00D5341B">
        <w:fldChar w:fldCharType="separate"/>
      </w:r>
      <w:r w:rsidR="007A1473">
        <w:t>1.2</w:t>
      </w:r>
      <w:r w:rsidRPr="00D5341B">
        <w:fldChar w:fldCharType="end"/>
      </w:r>
      <w:bookmarkEnd w:id="890"/>
      <w:r w:rsidRPr="00D5341B">
        <w:t>;</w:t>
      </w:r>
      <w:bookmarkEnd w:id="889"/>
    </w:p>
    <w:p w14:paraId="4F1F519D" w14:textId="77777777" w:rsidR="00F67E9E" w:rsidRPr="00D5341B" w:rsidRDefault="00F67E9E" w:rsidP="00F67E9E">
      <w:pPr>
        <w:pStyle w:val="Numbered111"/>
        <w:tabs>
          <w:tab w:val="clear" w:pos="1800"/>
          <w:tab w:val="num" w:pos="2160"/>
        </w:tabs>
      </w:pPr>
      <w:r w:rsidRPr="00D5341B">
        <w:t>from (but excluding) the relevant Milestone Date to (and including) the later of:</w:t>
      </w:r>
    </w:p>
    <w:p w14:paraId="7F8ACE9F" w14:textId="77777777" w:rsidR="00F67E9E" w:rsidRPr="00D5341B" w:rsidRDefault="00F67E9E" w:rsidP="00F67E9E">
      <w:pPr>
        <w:pStyle w:val="Numbered111a"/>
        <w:tabs>
          <w:tab w:val="clear" w:pos="2520"/>
          <w:tab w:val="num" w:pos="2880"/>
        </w:tabs>
      </w:pPr>
      <w:r w:rsidRPr="00D5341B">
        <w:t xml:space="preserve">the date on which the Key Milestone is Achieved; and </w:t>
      </w:r>
    </w:p>
    <w:p w14:paraId="0B259AC2" w14:textId="77777777" w:rsidR="00F67E9E" w:rsidRPr="00D5341B" w:rsidRDefault="00F67E9E" w:rsidP="00F67E9E">
      <w:pPr>
        <w:pStyle w:val="Numbered111a"/>
        <w:tabs>
          <w:tab w:val="clear" w:pos="2520"/>
          <w:tab w:val="num" w:pos="2880"/>
        </w:tabs>
      </w:pPr>
      <w:r w:rsidRPr="00D5341B">
        <w:t>the expiry of the Delay Deduction Period; and</w:t>
      </w:r>
    </w:p>
    <w:p w14:paraId="3CAEB4A8" w14:textId="77777777" w:rsidR="00F67E9E" w:rsidRPr="00D5341B" w:rsidRDefault="00F67E9E" w:rsidP="00F67E9E">
      <w:pPr>
        <w:pStyle w:val="Numbered111"/>
        <w:tabs>
          <w:tab w:val="clear" w:pos="1800"/>
          <w:tab w:val="num" w:pos="2160"/>
        </w:tabs>
      </w:pPr>
      <w:r w:rsidRPr="00D5341B">
        <w:t>on a daily basis, with any part day</w:t>
      </w:r>
      <w:r>
        <w:t>’</w:t>
      </w:r>
      <w:r w:rsidRPr="00D5341B">
        <w:t>s Delay counting as a day.</w:t>
      </w:r>
    </w:p>
    <w:p w14:paraId="15556301" w14:textId="77777777" w:rsidR="00F67E9E" w:rsidRPr="00D5341B" w:rsidRDefault="00F67E9E" w:rsidP="00F67E9E">
      <w:pPr>
        <w:pStyle w:val="Numbered11"/>
      </w:pPr>
      <w:bookmarkStart w:id="891" w:name="_Ref_ContractCompanion_9kb9Us18F"/>
      <w:bookmarkStart w:id="892" w:name="_9kR3WTrAG95CLGBhUjuvfFEtq4uR7K13JFFN6GH"/>
      <w:r w:rsidRPr="00D5341B">
        <w:t>Where a Delay Payment is payable in respect of a Key Milestone, the Delay Payment Rate shall be:</w:t>
      </w:r>
      <w:bookmarkEnd w:id="891"/>
      <w:bookmarkEnd w:id="892"/>
    </w:p>
    <w:p w14:paraId="07C3EC44" w14:textId="52B92941" w:rsidR="00F67E9E" w:rsidRPr="00FD31FC" w:rsidRDefault="00F67E9E" w:rsidP="00F67E9E">
      <w:pPr>
        <w:pStyle w:val="Numbered111"/>
      </w:pPr>
      <w:r w:rsidRPr="00D5341B">
        <w:t>where the Supplier has given the Authority less than 3 months</w:t>
      </w:r>
      <w:r>
        <w:t>’</w:t>
      </w:r>
      <w:r w:rsidRPr="00D5341B">
        <w:t xml:space="preserve"> prior notice of the Delay</w:t>
      </w:r>
      <w:r w:rsidRPr="00FD31FC">
        <w:t xml:space="preserve">, the amount set out in column 4 of </w:t>
      </w:r>
      <w:bookmarkStart w:id="893" w:name="_9kMON5YVt4EE7FKhKZlp6"/>
      <w:r w:rsidRPr="00FD31FC">
        <w:t>Table 1</w:t>
      </w:r>
      <w:bookmarkEnd w:id="893"/>
      <w:r w:rsidRPr="00FD31FC">
        <w:t xml:space="preserve"> of Annex </w:t>
      </w:r>
      <w:r w:rsidRPr="00FD31FC">
        <w:fldChar w:fldCharType="begin"/>
      </w:r>
      <w:r w:rsidRPr="00FD31FC">
        <w:instrText xml:space="preserve"> REF ANNEX2_SCHEDULE15 \h  \* MERGEFORMAT </w:instrText>
      </w:r>
      <w:r w:rsidRPr="00FD31FC">
        <w:fldChar w:fldCharType="separate"/>
      </w:r>
      <w:r w:rsidR="007A1473" w:rsidRPr="00BA56A1">
        <w:t>2</w:t>
      </w:r>
      <w:r w:rsidRPr="00FD31FC">
        <w:fldChar w:fldCharType="end"/>
      </w:r>
      <w:r w:rsidRPr="00FD31FC">
        <w:t xml:space="preserve"> for the Key Milestone;</w:t>
      </w:r>
    </w:p>
    <w:p w14:paraId="024BAA73" w14:textId="1A6F4785" w:rsidR="00F67E9E" w:rsidRPr="00FD31FC" w:rsidRDefault="00F67E9E" w:rsidP="00F67E9E">
      <w:pPr>
        <w:pStyle w:val="Numbered111"/>
      </w:pPr>
      <w:bookmarkStart w:id="894" w:name="_9kR3WTrAG95DHBBmu1kvwz3pbmGC93x7Bv7E5LI"/>
      <w:bookmarkStart w:id="895" w:name="_Ref_ContractCompanion_9kb9Us18I"/>
      <w:bookmarkStart w:id="896" w:name="_Ref_ContractCompanion_9kb9Us19B"/>
      <w:r w:rsidRPr="00FD31FC">
        <w:t xml:space="preserve">where the Supplier has given the Authority between three (3) months’ and six (6) months’ prior notice of the Delay, the amount set out in column 5 of </w:t>
      </w:r>
      <w:bookmarkStart w:id="897" w:name="_9kMPO5YVt4EE7FKhKZlp6"/>
      <w:r w:rsidRPr="00FD31FC">
        <w:t>Table 1</w:t>
      </w:r>
      <w:bookmarkEnd w:id="897"/>
      <w:r w:rsidRPr="00FD31FC">
        <w:t xml:space="preserve"> of Annex </w:t>
      </w:r>
      <w:r w:rsidRPr="00FD31FC">
        <w:fldChar w:fldCharType="begin"/>
      </w:r>
      <w:r w:rsidRPr="00FD31FC">
        <w:instrText xml:space="preserve"> REF ANNEX2_SCHEDULE15 \h  \* MERGEFORMAT </w:instrText>
      </w:r>
      <w:r w:rsidRPr="00FD31FC">
        <w:fldChar w:fldCharType="separate"/>
      </w:r>
      <w:r w:rsidR="007A1473" w:rsidRPr="00BA56A1">
        <w:t>2</w:t>
      </w:r>
      <w:r w:rsidRPr="00FD31FC">
        <w:fldChar w:fldCharType="end"/>
      </w:r>
      <w:r w:rsidRPr="00FD31FC">
        <w:t xml:space="preserve"> for the Key Milestone;</w:t>
      </w:r>
      <w:bookmarkEnd w:id="894"/>
      <w:r w:rsidRPr="00FD31FC">
        <w:t xml:space="preserve"> or</w:t>
      </w:r>
      <w:bookmarkEnd w:id="895"/>
      <w:bookmarkEnd w:id="896"/>
    </w:p>
    <w:p w14:paraId="2BD6A4AB" w14:textId="0AB05814" w:rsidR="00F67E9E" w:rsidRPr="00D5341B" w:rsidRDefault="00F67E9E" w:rsidP="00F67E9E">
      <w:pPr>
        <w:pStyle w:val="Numbered111"/>
      </w:pPr>
      <w:bookmarkStart w:id="898" w:name="_Ref_ContractCompanion_9kb9Us19E"/>
      <w:bookmarkStart w:id="899" w:name="_9kR3WTrAG95DKEBnv1kvwz3pbmGC93x7Bv7E5LI"/>
      <w:r w:rsidRPr="00FD31FC">
        <w:t>where the Supplier has given the Authority more than 6 months’ prior notice of the Delay</w:t>
      </w:r>
      <w:r w:rsidRPr="00D5341B">
        <w:t xml:space="preserve">, the amount set out in column 6 of </w:t>
      </w:r>
      <w:bookmarkStart w:id="900" w:name="_9kMHzG6ZWu5FF8GLiLamq7"/>
      <w:r w:rsidRPr="00D5341B">
        <w:t>Table 1</w:t>
      </w:r>
      <w:bookmarkEnd w:id="900"/>
      <w:r w:rsidRPr="00D5341B">
        <w:t xml:space="preserve"> of Annex </w:t>
      </w:r>
      <w:r w:rsidRPr="00D5341B">
        <w:fldChar w:fldCharType="begin"/>
      </w:r>
      <w:r w:rsidRPr="00D5341B">
        <w:instrText xml:space="preserve"> REF ANNEX2_SCHEDULE15 \h </w:instrText>
      </w:r>
      <w:r>
        <w:instrText xml:space="preserve"> \* MERGEFORMAT </w:instrText>
      </w:r>
      <w:r w:rsidRPr="00D5341B">
        <w:fldChar w:fldCharType="separate"/>
      </w:r>
      <w:r w:rsidR="007A1473" w:rsidRPr="00BA56A1">
        <w:t>2</w:t>
      </w:r>
      <w:r w:rsidRPr="00D5341B">
        <w:fldChar w:fldCharType="end"/>
      </w:r>
      <w:r w:rsidRPr="00D5341B">
        <w:t xml:space="preserve"> for the Key Milestone.</w:t>
      </w:r>
      <w:bookmarkEnd w:id="898"/>
      <w:bookmarkEnd w:id="899"/>
    </w:p>
    <w:p w14:paraId="6477F203" w14:textId="001DDF10" w:rsidR="00F67E9E" w:rsidRPr="00D5341B" w:rsidRDefault="00F67E9E" w:rsidP="00F67E9E">
      <w:pPr>
        <w:pStyle w:val="Numbered11"/>
      </w:pPr>
      <w:bookmarkStart w:id="901" w:name="_Ref_ContractCompanion_9kb9Ur199"/>
      <w:bookmarkStart w:id="902" w:name="_Ref_ContractCompanion_9kb9Ur19B"/>
      <w:bookmarkStart w:id="903" w:name="_Ref_ContractCompanion_9kb9Us1AB"/>
      <w:bookmarkStart w:id="904" w:name="_9kR3WTrAG95EHACiUjuvy2oalFB82w6L99RFDA6"/>
      <w:r w:rsidRPr="00D5341B">
        <w:t xml:space="preserve">Where the Supplier serves a notice pursuant to </w:t>
      </w:r>
      <w:bookmarkStart w:id="905" w:name="_9kMHG5YVtCIB7FJDDow3mxy15rdoIEB5z9Dx9G7"/>
      <w:r w:rsidRPr="00D5341B">
        <w:t xml:space="preserve">Paragraph </w:t>
      </w:r>
      <w:r w:rsidRPr="00D5341B">
        <w:fldChar w:fldCharType="begin"/>
      </w:r>
      <w:r w:rsidRPr="00D5341B">
        <w:instrText xml:space="preserve"> REF _Ref_ContractCompanion_9kb9Us18I \w \h \t \* MERGEFORMAT </w:instrText>
      </w:r>
      <w:r w:rsidRPr="00D5341B">
        <w:fldChar w:fldCharType="separate"/>
      </w:r>
      <w:r w:rsidR="007A1473">
        <w:t>1.2.2</w:t>
      </w:r>
      <w:r w:rsidRPr="00D5341B">
        <w:fldChar w:fldCharType="end"/>
      </w:r>
      <w:bookmarkEnd w:id="905"/>
      <w:r w:rsidRPr="00D5341B">
        <w:t xml:space="preserve"> or </w:t>
      </w:r>
      <w:bookmarkStart w:id="906" w:name="_9kMHG5YVtCIB7FMGDpx3mxy15rdoIEB5z9Dx9G7"/>
      <w:r w:rsidRPr="00D5341B">
        <w:fldChar w:fldCharType="begin"/>
      </w:r>
      <w:r w:rsidRPr="00D5341B">
        <w:instrText xml:space="preserve"> REF _Ref_ContractCompanion_9kb9Us19E \w \h \t \* MERGEFORMAT </w:instrText>
      </w:r>
      <w:r w:rsidRPr="00D5341B">
        <w:fldChar w:fldCharType="separate"/>
      </w:r>
      <w:r w:rsidR="007A1473">
        <w:t>1.2.3</w:t>
      </w:r>
      <w:r w:rsidRPr="00D5341B">
        <w:fldChar w:fldCharType="end"/>
      </w:r>
      <w:bookmarkEnd w:id="906"/>
      <w:r w:rsidRPr="00D5341B">
        <w:t xml:space="preserve">, the Supplier shall, within 5 Working </w:t>
      </w:r>
      <w:r w:rsidRPr="00FD31FC">
        <w:t>Days</w:t>
      </w:r>
      <w:r w:rsidRPr="00D5341B">
        <w:t xml:space="preserve"> of the date the notice is served:</w:t>
      </w:r>
      <w:bookmarkEnd w:id="901"/>
      <w:bookmarkEnd w:id="902"/>
      <w:bookmarkEnd w:id="903"/>
      <w:bookmarkEnd w:id="904"/>
    </w:p>
    <w:p w14:paraId="688C4F47" w14:textId="2FE03DB8" w:rsidR="00F67E9E" w:rsidRPr="00D5341B" w:rsidRDefault="00F67E9E" w:rsidP="00F67E9E">
      <w:pPr>
        <w:pStyle w:val="Numbered111"/>
        <w:tabs>
          <w:tab w:val="clear" w:pos="1800"/>
          <w:tab w:val="num" w:pos="2160"/>
        </w:tabs>
      </w:pPr>
      <w:bookmarkStart w:id="907" w:name="_Ref_ContractCompanion_9kb9Us1AE"/>
      <w:bookmarkStart w:id="908" w:name="_9kR3WTrAG95EKDCmmnxH893pJUK84FADUKA547x"/>
      <w:r w:rsidRPr="00D5341B">
        <w:t xml:space="preserve">pay to the Authority in cleared funds on account of the relevant Delay Payment (but subject always to </w:t>
      </w:r>
      <w:bookmarkStart w:id="909" w:name="_9kMHG5YVtCIB7FPJFPGBzo3CCCIFysw8KLF1VgW"/>
      <w:r w:rsidRPr="00D5341B">
        <w:t xml:space="preserve">Paragraph </w:t>
      </w:r>
      <w:bookmarkEnd w:id="909"/>
      <w:r w:rsidRPr="00D5341B">
        <w:fldChar w:fldCharType="begin"/>
      </w:r>
      <w:r w:rsidRPr="00D5341B">
        <w:instrText xml:space="preserve"> REF _Ref_ContractCompanion_9kb9Us19H \w \h </w:instrText>
      </w:r>
      <w:r>
        <w:instrText xml:space="preserve"> \* MERGEFORMAT </w:instrText>
      </w:r>
      <w:r w:rsidRPr="00D5341B">
        <w:fldChar w:fldCharType="separate"/>
      </w:r>
      <w:r w:rsidR="007A1473">
        <w:t>1.5</w:t>
      </w:r>
      <w:r w:rsidRPr="00D5341B">
        <w:fldChar w:fldCharType="end"/>
      </w:r>
      <w:r w:rsidRPr="00D5341B">
        <w:t>) an amount equal to:</w:t>
      </w:r>
      <w:bookmarkEnd w:id="907"/>
      <w:bookmarkEnd w:id="908"/>
    </w:p>
    <w:p w14:paraId="69CA501A" w14:textId="1F53539F" w:rsidR="00F67E9E" w:rsidRPr="00D5341B" w:rsidRDefault="00F67E9E" w:rsidP="00F67E9E">
      <w:pPr>
        <w:pStyle w:val="Numbered111a"/>
        <w:tabs>
          <w:tab w:val="clear" w:pos="2520"/>
          <w:tab w:val="num" w:pos="2880"/>
        </w:tabs>
      </w:pPr>
      <w:r w:rsidRPr="00D5341B">
        <w:t xml:space="preserve">in the case of a notice served pursuant to </w:t>
      </w:r>
      <w:bookmarkStart w:id="910" w:name="_9kMIH5YVtCIB7FJDDow3mxy15rdoIEB5z9Dx9G7"/>
      <w:r w:rsidRPr="00D5341B">
        <w:t xml:space="preserve">Paragraph </w:t>
      </w:r>
      <w:r w:rsidRPr="00D5341B">
        <w:fldChar w:fldCharType="begin"/>
      </w:r>
      <w:r w:rsidRPr="00D5341B">
        <w:instrText xml:space="preserve"> REF _Ref_ContractCompanion_9kb9Us19B \w \h \t \* MERGEFORMAT </w:instrText>
      </w:r>
      <w:r w:rsidRPr="00D5341B">
        <w:fldChar w:fldCharType="separate"/>
      </w:r>
      <w:r w:rsidR="007A1473">
        <w:t>1.2.2</w:t>
      </w:r>
      <w:r w:rsidRPr="00D5341B">
        <w:fldChar w:fldCharType="end"/>
      </w:r>
      <w:bookmarkEnd w:id="910"/>
      <w:r w:rsidRPr="00D5341B">
        <w:t xml:space="preserve">, five (5) </w:t>
      </w:r>
      <w:r w:rsidRPr="007F2FC9">
        <w:t>days</w:t>
      </w:r>
      <w:r w:rsidRPr="00D5341B">
        <w:t xml:space="preserve"> of Delay Payments; or </w:t>
      </w:r>
    </w:p>
    <w:p w14:paraId="116FD236" w14:textId="703C267F" w:rsidR="00F67E9E" w:rsidRPr="00D5341B" w:rsidRDefault="00F67E9E" w:rsidP="00F67E9E">
      <w:pPr>
        <w:pStyle w:val="Numbered111a"/>
        <w:tabs>
          <w:tab w:val="clear" w:pos="2520"/>
          <w:tab w:val="num" w:pos="2880"/>
        </w:tabs>
      </w:pPr>
      <w:r w:rsidRPr="00D5341B">
        <w:t xml:space="preserve">in the case of a notice served pursuant to </w:t>
      </w:r>
      <w:bookmarkStart w:id="911" w:name="_9kMIH5YVtCIB7FMGDpx3mxy15rdoIEB5z9Dx9G7"/>
      <w:r w:rsidRPr="00D5341B">
        <w:t xml:space="preserve">Paragraph </w:t>
      </w:r>
      <w:bookmarkEnd w:id="911"/>
      <w:r w:rsidRPr="00D5341B">
        <w:fldChar w:fldCharType="begin"/>
      </w:r>
      <w:r w:rsidRPr="00D5341B">
        <w:instrText xml:space="preserve"> REF _Ref_ContractCompanion_9kb9Us19E \w \h </w:instrText>
      </w:r>
      <w:r>
        <w:instrText xml:space="preserve"> \* MERGEFORMAT </w:instrText>
      </w:r>
      <w:r w:rsidRPr="00D5341B">
        <w:fldChar w:fldCharType="separate"/>
      </w:r>
      <w:r w:rsidR="007A1473">
        <w:t>1.2.3</w:t>
      </w:r>
      <w:r w:rsidRPr="00D5341B">
        <w:fldChar w:fldCharType="end"/>
      </w:r>
      <w:r w:rsidRPr="00D5341B">
        <w:t xml:space="preserve">, ten (10) days of Delay Payments in accordance with </w:t>
      </w:r>
      <w:bookmarkStart w:id="912" w:name="_9kMIH5YVtCIB7FPJFPGBzo3CCCIFysw8KLF1VgW"/>
      <w:r w:rsidRPr="00D5341B">
        <w:t xml:space="preserve">Paragraph </w:t>
      </w:r>
      <w:r w:rsidRPr="00D5341B">
        <w:fldChar w:fldCharType="begin"/>
      </w:r>
      <w:r w:rsidRPr="00D5341B">
        <w:instrText xml:space="preserve"> REF _Ref_ContractCompanion_9kb9Us19H \n \h \t \* MERGEFORMAT </w:instrText>
      </w:r>
      <w:r w:rsidRPr="00D5341B">
        <w:fldChar w:fldCharType="separate"/>
      </w:r>
      <w:r w:rsidR="007A1473">
        <w:t>1.5</w:t>
      </w:r>
      <w:r w:rsidRPr="00D5341B">
        <w:fldChar w:fldCharType="end"/>
      </w:r>
      <w:bookmarkEnd w:id="912"/>
      <w:r w:rsidRPr="00D5341B">
        <w:t>,</w:t>
      </w:r>
    </w:p>
    <w:p w14:paraId="09E01027" w14:textId="77777777" w:rsidR="00F67E9E" w:rsidRPr="00D5341B" w:rsidRDefault="00F67E9E" w:rsidP="00F67E9E">
      <w:pPr>
        <w:pStyle w:val="StdBodyText3"/>
        <w:ind w:left="1800"/>
        <w:rPr>
          <w:rFonts w:cs="Arial"/>
        </w:rPr>
      </w:pPr>
      <w:r w:rsidRPr="00D5341B">
        <w:rPr>
          <w:rFonts w:cs="Arial"/>
        </w:rPr>
        <w:t>in each case calculated at the applicable Delay Payment Rate; and</w:t>
      </w:r>
    </w:p>
    <w:p w14:paraId="73D853EC" w14:textId="77777777" w:rsidR="00F67E9E" w:rsidRPr="00D5341B" w:rsidRDefault="00F67E9E" w:rsidP="00F67E9E">
      <w:pPr>
        <w:pStyle w:val="Numbered111"/>
        <w:tabs>
          <w:tab w:val="clear" w:pos="1800"/>
          <w:tab w:val="num" w:pos="2160"/>
        </w:tabs>
      </w:pPr>
      <w:bookmarkStart w:id="913" w:name="_Ref_ContractCompanion_9kb9Us1AH"/>
      <w:bookmarkStart w:id="914" w:name="_9kR3WTrAG95ENGCngy9Czgfx0ns9FBI9ALMG2Wh"/>
      <w:r w:rsidRPr="00D5341B">
        <w:t>issue a credit note to the Authority in respect of the relevant amount.</w:t>
      </w:r>
      <w:bookmarkEnd w:id="913"/>
      <w:bookmarkEnd w:id="914"/>
    </w:p>
    <w:p w14:paraId="4D1887EF" w14:textId="77777777" w:rsidR="00F67E9E" w:rsidRPr="00FD31FC" w:rsidRDefault="00F67E9E" w:rsidP="00F67E9E">
      <w:pPr>
        <w:pStyle w:val="Numbered11"/>
      </w:pPr>
      <w:r w:rsidRPr="00FD31FC">
        <w:t>Failure to make payment within 10 Working Days of the Supplier’s notice shall invalidate the notice.</w:t>
      </w:r>
    </w:p>
    <w:p w14:paraId="4123B7C3" w14:textId="0A99DD5C" w:rsidR="00F67E9E" w:rsidRPr="00D5341B" w:rsidRDefault="00F67E9E" w:rsidP="00F67E9E">
      <w:pPr>
        <w:pStyle w:val="Numbered11"/>
      </w:pPr>
      <w:bookmarkStart w:id="915" w:name="_Ref_ContractCompanion_9kb9Us19H"/>
      <w:bookmarkStart w:id="916" w:name="_9kR3WTrAG95DNHDNE9xm1AAAGDwqu6IJDzTeUIE"/>
      <w:r w:rsidRPr="00FD31FC">
        <w:t xml:space="preserve">Any amounts paid to the Authority pursuant to </w:t>
      </w:r>
      <w:bookmarkStart w:id="917" w:name="_9kMHG5YVtCIB7GJCEkWlwx04qcnHDA4y8NBBTHF"/>
      <w:r w:rsidRPr="00FD31FC">
        <w:t xml:space="preserve">Paragraph </w:t>
      </w:r>
      <w:bookmarkEnd w:id="917"/>
      <w:r w:rsidRPr="00FD31FC">
        <w:fldChar w:fldCharType="begin"/>
      </w:r>
      <w:r w:rsidRPr="00FD31FC">
        <w:instrText xml:space="preserve"> REF _Ref_ContractCompanion_9kb9Ur199 \w \h  \* MERGEFORMAT </w:instrText>
      </w:r>
      <w:r w:rsidRPr="00FD31FC">
        <w:fldChar w:fldCharType="separate"/>
      </w:r>
      <w:r w:rsidR="007A1473">
        <w:t>1.3</w:t>
      </w:r>
      <w:r w:rsidRPr="00FD31FC">
        <w:fldChar w:fldCharType="end"/>
      </w:r>
      <w:r w:rsidRPr="00FD31FC">
        <w:t xml:space="preserve"> shall not be refundable to the Supplier</w:t>
      </w:r>
      <w:r w:rsidRPr="00D5341B">
        <w:t xml:space="preserve"> in any circumstances, including where a Delay as referred to in the </w:t>
      </w:r>
      <w:r w:rsidRPr="00D5341B">
        <w:lastRenderedPageBreak/>
        <w:t>Supplier</w:t>
      </w:r>
      <w:r>
        <w:t>’</w:t>
      </w:r>
      <w:r w:rsidRPr="00D5341B">
        <w:t>s notice:</w:t>
      </w:r>
      <w:bookmarkEnd w:id="915"/>
      <w:bookmarkEnd w:id="916"/>
    </w:p>
    <w:p w14:paraId="124D88D0" w14:textId="77777777" w:rsidR="00F67E9E" w:rsidRPr="00D5341B" w:rsidRDefault="00F67E9E" w:rsidP="00F67E9E">
      <w:pPr>
        <w:pStyle w:val="Numbered111"/>
        <w:tabs>
          <w:tab w:val="clear" w:pos="1800"/>
          <w:tab w:val="num" w:pos="2160"/>
        </w:tabs>
      </w:pPr>
      <w:r w:rsidRPr="00D5341B">
        <w:t>does not occur; or</w:t>
      </w:r>
    </w:p>
    <w:p w14:paraId="4386464A" w14:textId="39E64E8C" w:rsidR="00F67E9E" w:rsidRPr="00D5341B" w:rsidRDefault="00F67E9E" w:rsidP="00F67E9E">
      <w:pPr>
        <w:pStyle w:val="Numbered111"/>
        <w:tabs>
          <w:tab w:val="clear" w:pos="1800"/>
          <w:tab w:val="num" w:pos="2160"/>
        </w:tabs>
      </w:pPr>
      <w:r w:rsidRPr="00D5341B">
        <w:t xml:space="preserve">does occur but continues for fewer days during the relevant Delay Deduction Period than the number of days referred to in </w:t>
      </w:r>
      <w:bookmarkStart w:id="918" w:name="_9kMHG5YVtCIB7GMFEoopzJAB5rLWMA6HCFWMC76"/>
      <w:r w:rsidRPr="00D5341B">
        <w:t>Paragraph </w:t>
      </w:r>
      <w:r w:rsidRPr="00D5341B">
        <w:fldChar w:fldCharType="begin"/>
      </w:r>
      <w:r w:rsidRPr="00D5341B">
        <w:instrText xml:space="preserve"> REF _Ref_ContractCompanion_9kb9Us1AE \w \h \t \* MERGEFORMAT </w:instrText>
      </w:r>
      <w:r w:rsidRPr="00D5341B">
        <w:fldChar w:fldCharType="separate"/>
      </w:r>
      <w:r w:rsidR="007A1473">
        <w:t>1.3.1</w:t>
      </w:r>
      <w:r w:rsidRPr="00D5341B">
        <w:fldChar w:fldCharType="end"/>
      </w:r>
      <w:bookmarkEnd w:id="918"/>
      <w:r w:rsidRPr="00D5341B">
        <w:t xml:space="preserve"> or </w:t>
      </w:r>
      <w:bookmarkStart w:id="919" w:name="_9kMHG5YVtCIB7GPIEpi0BE1ihz2puBHDKBCNOI4"/>
      <w:r w:rsidRPr="00D5341B">
        <w:fldChar w:fldCharType="begin"/>
      </w:r>
      <w:r w:rsidRPr="00D5341B">
        <w:instrText xml:space="preserve"> REF _Ref_ContractCompanion_9kb9Us1AH \w \h \t \* MERGEFORMAT </w:instrText>
      </w:r>
      <w:r w:rsidRPr="00D5341B">
        <w:fldChar w:fldCharType="separate"/>
      </w:r>
      <w:r w:rsidR="007A1473">
        <w:t>1.3.2</w:t>
      </w:r>
      <w:r w:rsidRPr="00D5341B">
        <w:fldChar w:fldCharType="end"/>
      </w:r>
      <w:bookmarkEnd w:id="919"/>
      <w:r w:rsidRPr="00D5341B">
        <w:t xml:space="preserve"> as the case may be.</w:t>
      </w:r>
    </w:p>
    <w:p w14:paraId="11435D9A" w14:textId="77777777" w:rsidR="00F67E9E" w:rsidRPr="00FD31FC" w:rsidRDefault="00F67E9E" w:rsidP="00F67E9E">
      <w:pPr>
        <w:pStyle w:val="Numbered11"/>
      </w:pPr>
      <w:r w:rsidRPr="00D5341B">
        <w:t xml:space="preserve">The Parties agree that Delay Payments calculated in accordance with the applicable Delay </w:t>
      </w:r>
      <w:r w:rsidRPr="00FD31FC">
        <w:t>Payment Rates are in each case a genuine pre-estimate of the Losses which the Authority will incur as a result of any failure by the Supplier to Achieve the relevant Key Milestone by the Milestone Date. Delay Payment Rates are stated exclusive of VAT.</w:t>
      </w:r>
    </w:p>
    <w:p w14:paraId="606A92D1" w14:textId="29F1569C" w:rsidR="00F67E9E" w:rsidRPr="00D5341B" w:rsidRDefault="00F67E9E" w:rsidP="00F67E9E">
      <w:pPr>
        <w:pStyle w:val="Numbered11"/>
      </w:pPr>
      <w:r w:rsidRPr="00FD31FC">
        <w:t xml:space="preserve">The Delay Payment in respect of a Key Milestone (net of any payment made in respect of that Key Milestone pursuant to </w:t>
      </w:r>
      <w:bookmarkStart w:id="920" w:name="_9kMIH5YVtCIB7GJCEkWlwx04qcnHDA4y8NBBTHF"/>
      <w:r w:rsidRPr="00FD31FC">
        <w:t xml:space="preserve">Paragraph </w:t>
      </w:r>
      <w:r w:rsidRPr="00FD31FC">
        <w:fldChar w:fldCharType="begin"/>
      </w:r>
      <w:r w:rsidRPr="00FD31FC">
        <w:instrText xml:space="preserve"> REF _Ref_ContractCompanion_9kb9Us1AB \n \h \t \* MERGEFORMAT </w:instrText>
      </w:r>
      <w:r w:rsidRPr="00FD31FC">
        <w:fldChar w:fldCharType="separate"/>
      </w:r>
      <w:r w:rsidR="007A1473">
        <w:t>1.3</w:t>
      </w:r>
      <w:r w:rsidRPr="00FD31FC">
        <w:fldChar w:fldCharType="end"/>
      </w:r>
      <w:bookmarkEnd w:id="920"/>
      <w:r w:rsidRPr="00FD31FC">
        <w:t>) shall be shown as a deduction from the amount due from the Authority to the Supplier in the next invoice due to be issued by the Supplier after the date on which the relevant Key Milestone is Achieved or the expiry of the Delay Deduction Period (as the case may be). If the relevant Key Milestone is not Achieved by the expiry of the Delay Deduction Period and no invoice is due to be issued by the Supplier within 10 Working Days of expiry of the Delay Deduction Period, then the Supplier shall withi</w:t>
      </w:r>
      <w:r w:rsidRPr="00D5341B">
        <w:t>n 10 Working Days of expiry of the Delay Deduction Period:</w:t>
      </w:r>
    </w:p>
    <w:p w14:paraId="738F4CC4" w14:textId="18486029" w:rsidR="00F67E9E" w:rsidRPr="00FD31FC" w:rsidRDefault="00F67E9E" w:rsidP="00F67E9E">
      <w:pPr>
        <w:pStyle w:val="Numbered111"/>
      </w:pPr>
      <w:r w:rsidRPr="00D5341B">
        <w:t xml:space="preserve">issue a credit note to the Authority in respect of the total amount of the Delay Payment in respect of </w:t>
      </w:r>
      <w:r w:rsidRPr="00FD31FC">
        <w:t xml:space="preserve">the Key Milestone (net of any payment made in respect of the Key Milestone pursuant to </w:t>
      </w:r>
      <w:bookmarkStart w:id="921" w:name="_9kMJI5YVtCIB7GJCEkWlwx04qcnHDA4y8NBBTHF"/>
      <w:r w:rsidRPr="00FD31FC">
        <w:t xml:space="preserve">Paragraph </w:t>
      </w:r>
      <w:bookmarkEnd w:id="921"/>
      <w:r w:rsidRPr="00FD31FC">
        <w:fldChar w:fldCharType="begin"/>
      </w:r>
      <w:r w:rsidRPr="00FD31FC">
        <w:instrText xml:space="preserve"> REF _Ref_ContractCompanion_9kb9Us1AB \n \h \t \* MERGEFORMAT </w:instrText>
      </w:r>
      <w:r w:rsidRPr="00FD31FC">
        <w:fldChar w:fldCharType="separate"/>
      </w:r>
      <w:r w:rsidR="007A1473">
        <w:t>1.3</w:t>
      </w:r>
      <w:r w:rsidRPr="00FD31FC">
        <w:fldChar w:fldCharType="end"/>
      </w:r>
      <w:r w:rsidRPr="00FD31FC">
        <w:t>); and</w:t>
      </w:r>
    </w:p>
    <w:p w14:paraId="5B80EA2C" w14:textId="77777777" w:rsidR="00F67E9E" w:rsidRPr="00D5341B" w:rsidRDefault="00F67E9E" w:rsidP="00F67E9E">
      <w:pPr>
        <w:pStyle w:val="Numbered111"/>
      </w:pPr>
      <w:r w:rsidRPr="00FD31FC">
        <w:t>pay to the Authority as a debt a sum equal to the total amount of the Delay Payment in respect of the Key Milestone together with interest on such amount at the applicable</w:t>
      </w:r>
      <w:r w:rsidRPr="00D5341B">
        <w:t xml:space="preserve"> rate under the Late Payment of Commercial Debts (Interest) Act 1998, accruing on a daily basis from (and including) the due date up to (but excluding) the date of actual payment, whether before or after judgment.</w:t>
      </w:r>
    </w:p>
    <w:p w14:paraId="7BA47445" w14:textId="77777777" w:rsidR="00F67E9E" w:rsidRPr="00D5341B" w:rsidRDefault="00F67E9E" w:rsidP="00F67E9E">
      <w:pPr>
        <w:pStyle w:val="Numbered1"/>
      </w:pPr>
      <w:bookmarkStart w:id="922" w:name="_Ref_ContractCompanion_9kb9Us224"/>
      <w:bookmarkStart w:id="923" w:name="_9kR3WTrAG966AdJfifw5qDOJiPyIeip5FS9BRXK"/>
      <w:r w:rsidRPr="00D5341B">
        <w:t xml:space="preserve">Payments </w:t>
      </w:r>
      <w:r>
        <w:t>f</w:t>
      </w:r>
      <w:r w:rsidRPr="00D5341B">
        <w:t xml:space="preserve">or Delays </w:t>
      </w:r>
      <w:r>
        <w:t>d</w:t>
      </w:r>
      <w:r w:rsidRPr="00D5341B">
        <w:t xml:space="preserve">ue </w:t>
      </w:r>
      <w:r>
        <w:t>t</w:t>
      </w:r>
      <w:r w:rsidRPr="00D5341B">
        <w:t>o Authority Cause</w:t>
      </w:r>
      <w:bookmarkEnd w:id="922"/>
      <w:bookmarkEnd w:id="923"/>
    </w:p>
    <w:p w14:paraId="6F0D768C" w14:textId="77777777" w:rsidR="00F67E9E" w:rsidRPr="00D5341B" w:rsidRDefault="00F67E9E" w:rsidP="00F67E9E">
      <w:pPr>
        <w:pStyle w:val="Numbered11"/>
      </w:pPr>
      <w:r w:rsidRPr="00D5341B">
        <w:t xml:space="preserve">If the Supplier is entitled in accordance with </w:t>
      </w:r>
      <w:bookmarkStart w:id="924" w:name="_9kR3WTr2CC5EMRChrAv7IHzuvR"/>
      <w:r w:rsidRPr="00D5341B">
        <w:t>Clause 29.1(iii)(D)</w:t>
      </w:r>
      <w:bookmarkEnd w:id="924"/>
      <w:r w:rsidRPr="00D5341B">
        <w:t xml:space="preserve"> (</w:t>
      </w:r>
      <w:r w:rsidRPr="00D5341B">
        <w:rPr>
          <w:i/>
        </w:rPr>
        <w:t>Authority</w:t>
      </w:r>
      <w:r w:rsidRPr="00D5341B">
        <w:t xml:space="preserve"> </w:t>
      </w:r>
      <w:r w:rsidRPr="00D5341B">
        <w:rPr>
          <w:i/>
        </w:rPr>
        <w:t>Cause</w:t>
      </w:r>
      <w:r w:rsidRPr="00D5341B">
        <w:t xml:space="preserve">) to compensation for failure to Achieve a Milestone by its Milestone Date, then, subject always to </w:t>
      </w:r>
      <w:bookmarkStart w:id="925" w:name="_9kR3WTr2CC5ENSChrAv6L"/>
      <w:r w:rsidRPr="00FD31FC">
        <w:t>Clause</w:t>
      </w:r>
      <w:r w:rsidRPr="00D5341B">
        <w:t xml:space="preserve"> 23</w:t>
      </w:r>
      <w:bookmarkEnd w:id="925"/>
      <w:r w:rsidRPr="00D5341B">
        <w:t xml:space="preserve"> (</w:t>
      </w:r>
      <w:r w:rsidRPr="00D5341B">
        <w:rPr>
          <w:i/>
        </w:rPr>
        <w:t>Limitations on Liability</w:t>
      </w:r>
      <w:r w:rsidRPr="00D5341B">
        <w:t>), such compensation shall be determined in accordance with the following principles:</w:t>
      </w:r>
    </w:p>
    <w:p w14:paraId="7289BFE2" w14:textId="77777777" w:rsidR="00F67E9E" w:rsidRPr="00D5341B" w:rsidRDefault="00F67E9E" w:rsidP="00F67E9E">
      <w:pPr>
        <w:pStyle w:val="Numbered111"/>
      </w:pPr>
      <w:r w:rsidRPr="00D5341B">
        <w:t>the compensation shall reimburse the Supplier for additional Costs incurred by the Supplier that the Supplier:</w:t>
      </w:r>
    </w:p>
    <w:p w14:paraId="29933804" w14:textId="77777777" w:rsidR="00F67E9E" w:rsidRPr="00FD31FC" w:rsidRDefault="00F67E9E" w:rsidP="00F67E9E">
      <w:pPr>
        <w:pStyle w:val="Numbered111a"/>
      </w:pPr>
      <w:r w:rsidRPr="00D5341B">
        <w:t xml:space="preserve">can demonstrate it has incurred solely and directly as a result of the </w:t>
      </w:r>
      <w:r w:rsidRPr="00FD31FC">
        <w:t xml:space="preserve">Authority Cause; and </w:t>
      </w:r>
    </w:p>
    <w:p w14:paraId="0FD8AF1F" w14:textId="77777777" w:rsidR="00F67E9E" w:rsidRPr="00D5341B" w:rsidRDefault="00F67E9E" w:rsidP="00F67E9E">
      <w:pPr>
        <w:pStyle w:val="Numbered111a"/>
      </w:pPr>
      <w:r w:rsidRPr="00FD31FC">
        <w:t>is, has been, or will be unable to mitigate, having complied with its obligations</w:t>
      </w:r>
      <w:r w:rsidRPr="00D5341B">
        <w:t xml:space="preserve"> under </w:t>
      </w:r>
      <w:bookmarkStart w:id="926" w:name="_9kR3WTr2CC5FFJChrAv7IH"/>
      <w:r w:rsidRPr="00D5341B">
        <w:t>Clause 29.1</w:t>
      </w:r>
      <w:bookmarkEnd w:id="926"/>
      <w:r w:rsidRPr="00D5341B">
        <w:t xml:space="preserve"> (</w:t>
      </w:r>
      <w:r w:rsidRPr="00D5341B">
        <w:rPr>
          <w:i/>
        </w:rPr>
        <w:t>Authority Cause</w:t>
      </w:r>
      <w:r w:rsidRPr="00D5341B">
        <w:t>)</w:t>
      </w:r>
    </w:p>
    <w:p w14:paraId="06C2FE8C" w14:textId="77777777" w:rsidR="00F67E9E" w:rsidRPr="00D5341B" w:rsidRDefault="00F67E9E" w:rsidP="00F67E9E">
      <w:pPr>
        <w:pStyle w:val="StdBodyText3"/>
        <w:ind w:left="1800"/>
        <w:rPr>
          <w:rFonts w:cs="Arial"/>
        </w:rPr>
      </w:pPr>
      <w:r w:rsidRPr="00D5341B">
        <w:rPr>
          <w:rFonts w:cs="Arial"/>
        </w:rPr>
        <w:t>together with an amount equal to the Anticipated Contract Life Profit Margin thereon;</w:t>
      </w:r>
    </w:p>
    <w:p w14:paraId="01AC02E0" w14:textId="77777777" w:rsidR="00F67E9E" w:rsidRPr="00D5341B" w:rsidRDefault="00F67E9E" w:rsidP="00F67E9E">
      <w:pPr>
        <w:pStyle w:val="Numbered111"/>
      </w:pPr>
      <w:r w:rsidRPr="00D5341B">
        <w:t xml:space="preserve">the compensation shall not operate so as to put the Supplier in a better position than it would </w:t>
      </w:r>
      <w:r w:rsidRPr="00FD31FC">
        <w:t>have</w:t>
      </w:r>
      <w:r w:rsidRPr="00D5341B">
        <w:t xml:space="preserve"> been in but for the occurrence of the Authority Cause;</w:t>
      </w:r>
    </w:p>
    <w:p w14:paraId="3EF6FFD3" w14:textId="77777777" w:rsidR="00F67E9E" w:rsidRPr="00D5341B" w:rsidRDefault="00F67E9E" w:rsidP="00F67E9E">
      <w:pPr>
        <w:pStyle w:val="Numbered111"/>
      </w:pPr>
      <w:r w:rsidRPr="00D5341B">
        <w:lastRenderedPageBreak/>
        <w:t xml:space="preserve">where the Milestone Payment for the relevant Milestone is to be calculated by </w:t>
      </w:r>
      <w:r w:rsidRPr="00FD31FC">
        <w:t>reference</w:t>
      </w:r>
      <w:r w:rsidRPr="00D5341B">
        <w:t xml:space="preserve"> to the Guaranteed Maximum Price with Target Cost pricing mechanism, then: </w:t>
      </w:r>
    </w:p>
    <w:p w14:paraId="24C12131" w14:textId="77777777" w:rsidR="00F67E9E" w:rsidRPr="00D5341B" w:rsidRDefault="00F67E9E" w:rsidP="00F67E9E">
      <w:pPr>
        <w:pStyle w:val="Numbered111a"/>
      </w:pPr>
      <w:bookmarkStart w:id="927" w:name="_Ref_ContractCompanion_9kb9Us1AK"/>
      <w:bookmarkStart w:id="928" w:name="_9kR3WTrAG9667ABmhzzlYPu1p3pi8urv6JPG2ih"/>
      <w:r w:rsidRPr="00D5341B">
        <w:t xml:space="preserve">the Target </w:t>
      </w:r>
      <w:r w:rsidRPr="00FD31FC">
        <w:t>Price</w:t>
      </w:r>
      <w:r w:rsidRPr="00D5341B">
        <w:t xml:space="preserve"> for the Milestone shall be increased in accordance with the following formula:</w:t>
      </w:r>
      <w:bookmarkEnd w:id="927"/>
      <w:bookmarkEnd w:id="928"/>
    </w:p>
    <w:p w14:paraId="20230F9F" w14:textId="77777777" w:rsidR="00F67E9E" w:rsidRPr="0048716D" w:rsidRDefault="00F67E9E" w:rsidP="00F67E9E">
      <w:pPr>
        <w:pStyle w:val="StdBodyText"/>
        <w:ind w:left="2520"/>
        <w:rPr>
          <w:rFonts w:cs="Arial"/>
        </w:rPr>
      </w:pPr>
      <m:oMathPara>
        <m:oMathParaPr>
          <m:jc m:val="left"/>
        </m:oMathParaPr>
        <m:oMath>
          <m:r>
            <w:rPr>
              <w:rFonts w:ascii="Cambria Math" w:hAnsi="Cambria Math" w:cs="Arial"/>
            </w:rPr>
            <m:t>NTP</m:t>
          </m:r>
          <m:r>
            <m:rPr>
              <m:sty m:val="p"/>
            </m:rPr>
            <w:rPr>
              <w:rFonts w:ascii="Cambria Math" w:hAnsi="Cambria Math" w:cs="Arial"/>
            </w:rPr>
            <m:t>=</m:t>
          </m:r>
          <m:r>
            <w:rPr>
              <w:rFonts w:ascii="Cambria Math" w:hAnsi="Cambria Math" w:cs="Arial"/>
            </w:rPr>
            <m:t>TP</m:t>
          </m:r>
          <m:r>
            <m:rPr>
              <m:sty m:val="p"/>
            </m:rPr>
            <w:rPr>
              <w:rFonts w:ascii="Cambria Math" w:hAnsi="Cambria Math" w:cs="Arial"/>
            </w:rPr>
            <m:t>+(</m:t>
          </m:r>
          <m:r>
            <w:rPr>
              <w:rFonts w:ascii="Cambria Math" w:hAnsi="Cambria Math" w:cs="Arial"/>
            </w:rPr>
            <m:t>AC</m:t>
          </m:r>
          <m:r>
            <m:rPr>
              <m:sty m:val="p"/>
            </m:rPr>
            <w:rPr>
              <w:rFonts w:ascii="Cambria Math" w:hAnsi="Cambria Math" w:cs="Arial"/>
            </w:rPr>
            <m:t>×1.</m:t>
          </m:r>
          <m:r>
            <w:rPr>
              <w:rFonts w:ascii="Cambria Math" w:hAnsi="Cambria Math" w:cs="Arial"/>
            </w:rPr>
            <m:t>x</m:t>
          </m:r>
          <m:r>
            <m:rPr>
              <m:sty m:val="p"/>
            </m:rPr>
            <w:rPr>
              <w:rFonts w:ascii="Cambria Math" w:hAnsi="Cambria Math" w:cs="Arial"/>
            </w:rPr>
            <m:t>)</m:t>
          </m:r>
        </m:oMath>
      </m:oMathPara>
    </w:p>
    <w:p w14:paraId="7C1B10CA" w14:textId="77777777" w:rsidR="00F67E9E" w:rsidRPr="00D5341B" w:rsidRDefault="00F67E9E" w:rsidP="00F67E9E">
      <w:pPr>
        <w:pStyle w:val="StdBodyText5"/>
        <w:ind w:left="2520"/>
        <w:rPr>
          <w:rFonts w:cs="Arial"/>
        </w:rPr>
      </w:pPr>
      <w:r w:rsidRPr="00D5341B">
        <w:rPr>
          <w:rFonts w:cs="Arial"/>
        </w:rPr>
        <w:t>where:</w:t>
      </w:r>
    </w:p>
    <w:tbl>
      <w:tblPr>
        <w:tblStyle w:val="MSAdefinitions"/>
        <w:tblW w:w="0" w:type="auto"/>
        <w:tblInd w:w="2438" w:type="dxa"/>
        <w:tblLook w:val="04A0" w:firstRow="1" w:lastRow="0" w:firstColumn="1" w:lastColumn="0" w:noHBand="0" w:noVBand="1"/>
      </w:tblPr>
      <w:tblGrid>
        <w:gridCol w:w="850"/>
        <w:gridCol w:w="6803"/>
      </w:tblGrid>
      <w:tr w:rsidR="00F67E9E" w:rsidRPr="00D5341B" w14:paraId="5337F3B2" w14:textId="77777777" w:rsidTr="0052486C">
        <w:tc>
          <w:tcPr>
            <w:tcW w:w="850" w:type="dxa"/>
          </w:tcPr>
          <w:p w14:paraId="356000E8" w14:textId="77777777" w:rsidR="00F67E9E" w:rsidRPr="00D5341B" w:rsidRDefault="00F67E9E" w:rsidP="0052486C">
            <w:pPr>
              <w:pStyle w:val="StdBodyText5"/>
              <w:ind w:left="0"/>
              <w:rPr>
                <w:rFonts w:cs="Arial"/>
              </w:rPr>
            </w:pPr>
            <w:r w:rsidRPr="00D5341B">
              <w:rPr>
                <w:rFonts w:cs="Arial"/>
              </w:rPr>
              <w:t>NTP</w:t>
            </w:r>
          </w:p>
        </w:tc>
        <w:tc>
          <w:tcPr>
            <w:tcW w:w="6803" w:type="dxa"/>
          </w:tcPr>
          <w:p w14:paraId="3F0F90EF" w14:textId="77777777" w:rsidR="00F67E9E" w:rsidRPr="00D5341B" w:rsidRDefault="00F67E9E" w:rsidP="0052486C">
            <w:pPr>
              <w:pStyle w:val="StdBodyText5"/>
              <w:ind w:left="0"/>
              <w:rPr>
                <w:rFonts w:cs="Arial"/>
              </w:rPr>
            </w:pPr>
            <w:r w:rsidRPr="00D5341B">
              <w:rPr>
                <w:rFonts w:cs="Arial"/>
              </w:rPr>
              <w:t>is the revised Target Price for the relevant Milestone;</w:t>
            </w:r>
          </w:p>
        </w:tc>
      </w:tr>
      <w:tr w:rsidR="00F67E9E" w:rsidRPr="00D5341B" w14:paraId="117ECE11" w14:textId="77777777" w:rsidTr="0052486C">
        <w:tc>
          <w:tcPr>
            <w:tcW w:w="850" w:type="dxa"/>
          </w:tcPr>
          <w:p w14:paraId="248CC975" w14:textId="77777777" w:rsidR="00F67E9E" w:rsidRPr="00D5341B" w:rsidRDefault="00F67E9E" w:rsidP="0052486C">
            <w:pPr>
              <w:pStyle w:val="StdBodyText5"/>
              <w:ind w:left="0"/>
              <w:rPr>
                <w:rFonts w:cs="Arial"/>
              </w:rPr>
            </w:pPr>
            <w:r w:rsidRPr="00D5341B">
              <w:rPr>
                <w:rFonts w:cs="Arial"/>
              </w:rPr>
              <w:t>TP</w:t>
            </w:r>
          </w:p>
        </w:tc>
        <w:tc>
          <w:tcPr>
            <w:tcW w:w="6803" w:type="dxa"/>
          </w:tcPr>
          <w:p w14:paraId="48196685" w14:textId="77777777" w:rsidR="00F67E9E" w:rsidRPr="00D5341B" w:rsidRDefault="00F67E9E" w:rsidP="0052486C">
            <w:pPr>
              <w:pStyle w:val="StdBodyText5"/>
              <w:ind w:left="0"/>
              <w:rPr>
                <w:rFonts w:cs="Arial"/>
              </w:rPr>
            </w:pPr>
            <w:r w:rsidRPr="00D5341B">
              <w:rPr>
                <w:rFonts w:cs="Arial"/>
              </w:rPr>
              <w:t>is the original Target Price for the relevant Milestone;</w:t>
            </w:r>
          </w:p>
        </w:tc>
      </w:tr>
      <w:tr w:rsidR="00F67E9E" w:rsidRPr="00D5341B" w14:paraId="43BCD47C" w14:textId="77777777" w:rsidTr="0052486C">
        <w:tc>
          <w:tcPr>
            <w:tcW w:w="850" w:type="dxa"/>
          </w:tcPr>
          <w:p w14:paraId="48B41C2C" w14:textId="77777777" w:rsidR="00F67E9E" w:rsidRPr="00D5341B" w:rsidRDefault="00F67E9E" w:rsidP="0052486C">
            <w:pPr>
              <w:pStyle w:val="StdBodyText5"/>
              <w:ind w:left="0"/>
              <w:rPr>
                <w:rFonts w:cs="Arial"/>
              </w:rPr>
            </w:pPr>
            <w:r w:rsidRPr="00D5341B">
              <w:rPr>
                <w:rFonts w:cs="Arial"/>
              </w:rPr>
              <w:t>AC</w:t>
            </w:r>
          </w:p>
        </w:tc>
        <w:tc>
          <w:tcPr>
            <w:tcW w:w="6803" w:type="dxa"/>
          </w:tcPr>
          <w:p w14:paraId="40A98E17" w14:textId="77777777" w:rsidR="00F67E9E" w:rsidRPr="00D5341B" w:rsidRDefault="00F67E9E" w:rsidP="0052486C">
            <w:pPr>
              <w:pStyle w:val="StdBodyText5"/>
              <w:ind w:left="0"/>
              <w:rPr>
                <w:rFonts w:cs="Arial"/>
              </w:rPr>
            </w:pPr>
            <w:r w:rsidRPr="00D5341B">
              <w:rPr>
                <w:rFonts w:cs="Arial"/>
              </w:rPr>
              <w:t>is an amount equal to any additional Costs incurred by the Supplier in Achieving the Milestone to the extent that the Supplier can demonstrate that such additional Costs were caused by the Authority Cause; and</w:t>
            </w:r>
          </w:p>
        </w:tc>
      </w:tr>
      <w:tr w:rsidR="00F67E9E" w:rsidRPr="00D5341B" w14:paraId="253D6179" w14:textId="77777777" w:rsidTr="0052486C">
        <w:tc>
          <w:tcPr>
            <w:tcW w:w="850" w:type="dxa"/>
          </w:tcPr>
          <w:p w14:paraId="3E306181" w14:textId="77777777" w:rsidR="00F67E9E" w:rsidRPr="00D5341B" w:rsidRDefault="00F67E9E" w:rsidP="0052486C">
            <w:pPr>
              <w:pStyle w:val="StdBodyText5"/>
              <w:ind w:left="0"/>
              <w:rPr>
                <w:rFonts w:cs="Arial"/>
              </w:rPr>
            </w:pPr>
            <w:r w:rsidRPr="00D5341B">
              <w:rPr>
                <w:rFonts w:cs="Arial"/>
              </w:rPr>
              <w:t>x</w:t>
            </w:r>
          </w:p>
        </w:tc>
        <w:tc>
          <w:tcPr>
            <w:tcW w:w="6803" w:type="dxa"/>
          </w:tcPr>
          <w:p w14:paraId="61195E23" w14:textId="51F8D58C" w:rsidR="00F67E9E" w:rsidRPr="00D5341B" w:rsidRDefault="00F67E9E" w:rsidP="0052486C">
            <w:pPr>
              <w:pStyle w:val="StdBodyText5"/>
              <w:ind w:left="0"/>
              <w:rPr>
                <w:rFonts w:cs="Arial"/>
              </w:rPr>
            </w:pPr>
            <w:r w:rsidRPr="00D5341B">
              <w:rPr>
                <w:rFonts w:cs="Arial"/>
              </w:rPr>
              <w:t xml:space="preserve">is the Supplier Profit Margin that the Supplier would have received in respect of the relevant Milestone on the basis of the unadjusted Target Cost and unadjusted Target Price for that Milestone, as set out in </w:t>
            </w:r>
            <w:bookmarkStart w:id="929" w:name="_9kMLK5YVt4EE7FMjKZlp9"/>
            <w:r w:rsidRPr="00D5341B">
              <w:rPr>
                <w:rFonts w:cs="Arial"/>
              </w:rPr>
              <w:t>Table 4</w:t>
            </w:r>
            <w:bookmarkEnd w:id="929"/>
            <w:r w:rsidRPr="00D5341B">
              <w:rPr>
                <w:rFonts w:cs="Arial"/>
              </w:rPr>
              <w:t xml:space="preserve"> of Annex </w:t>
            </w:r>
            <w:r w:rsidRPr="00D5341B">
              <w:rPr>
                <w:rFonts w:cs="Arial"/>
              </w:rPr>
              <w:fldChar w:fldCharType="begin"/>
            </w:r>
            <w:r w:rsidRPr="00D5341B">
              <w:rPr>
                <w:rFonts w:cs="Arial"/>
              </w:rPr>
              <w:instrText xml:space="preserve"> REF ANNEX1_SCHEDULE15 \h </w:instrText>
            </w:r>
            <w:r>
              <w:rPr>
                <w:rFonts w:cs="Arial"/>
              </w:rPr>
              <w:instrText xml:space="preserve"> \* MERGEFORMAT </w:instrText>
            </w:r>
            <w:r w:rsidRPr="00D5341B">
              <w:rPr>
                <w:rFonts w:cs="Arial"/>
              </w:rPr>
            </w:r>
            <w:r w:rsidRPr="00D5341B">
              <w:rPr>
                <w:rFonts w:cs="Arial"/>
              </w:rPr>
              <w:fldChar w:fldCharType="separate"/>
            </w:r>
            <w:r w:rsidR="007A1473" w:rsidRPr="007A1473">
              <w:rPr>
                <w:rFonts w:cs="Arial"/>
              </w:rPr>
              <w:t>1</w:t>
            </w:r>
            <w:r w:rsidRPr="00D5341B">
              <w:rPr>
                <w:rFonts w:cs="Arial"/>
              </w:rPr>
              <w:fldChar w:fldCharType="end"/>
            </w:r>
            <w:r w:rsidRPr="00D5341B">
              <w:rPr>
                <w:rFonts w:cs="Arial"/>
              </w:rPr>
              <w:t>, expressed as a decimal; and</w:t>
            </w:r>
          </w:p>
        </w:tc>
      </w:tr>
    </w:tbl>
    <w:p w14:paraId="3ED122FE" w14:textId="79C33799" w:rsidR="00F67E9E" w:rsidRPr="00D5341B" w:rsidRDefault="00F67E9E" w:rsidP="00F67E9E">
      <w:pPr>
        <w:pStyle w:val="Numbered111a"/>
      </w:pPr>
      <w:r w:rsidRPr="00D5341B">
        <w:t xml:space="preserve">the </w:t>
      </w:r>
      <w:r w:rsidRPr="00FD31FC">
        <w:t>Guaranteed</w:t>
      </w:r>
      <w:r w:rsidRPr="00D5341B">
        <w:t xml:space="preserve"> Maximum Price shall be increased to an amount equal to 110% of the Target Price as adjusted pursuant to </w:t>
      </w:r>
      <w:bookmarkStart w:id="930" w:name="_9kMHG5YVtCIB889CDoj11naRw3r5rkAwtx8LRI4"/>
      <w:r w:rsidRPr="00D5341B">
        <w:t xml:space="preserve">Paragraph </w:t>
      </w:r>
      <w:bookmarkEnd w:id="930"/>
      <w:r w:rsidRPr="00D5341B">
        <w:fldChar w:fldCharType="begin"/>
      </w:r>
      <w:r w:rsidRPr="00D5341B">
        <w:instrText xml:space="preserve"> REF _Ref_ContractCompanion_9kb9Us1AK \w \h </w:instrText>
      </w:r>
      <w:r>
        <w:instrText xml:space="preserve"> \* MERGEFORMAT </w:instrText>
      </w:r>
      <w:r w:rsidRPr="00D5341B">
        <w:fldChar w:fldCharType="separate"/>
      </w:r>
      <w:r w:rsidR="007A1473">
        <w:t>2.1.3(a)</w:t>
      </w:r>
      <w:r w:rsidRPr="00D5341B">
        <w:fldChar w:fldCharType="end"/>
      </w:r>
      <w:r w:rsidRPr="00D5341B">
        <w:t>;</w:t>
      </w:r>
    </w:p>
    <w:p w14:paraId="78384169" w14:textId="5FFF704D" w:rsidR="00F67E9E" w:rsidRPr="00FD31FC" w:rsidRDefault="00F67E9E" w:rsidP="00F67E9E">
      <w:pPr>
        <w:pStyle w:val="Numbered111"/>
      </w:pPr>
      <w:r w:rsidRPr="00D5341B">
        <w:t xml:space="preserve">where the relevant Milestone Payment is to be calculated based upon a Fixed Price or a Firm Price pricing mechanism, the compensation shall include such amount as is appropriate to maintain the Supplier Profit Margin set out in respect of the </w:t>
      </w:r>
      <w:r w:rsidRPr="00FD31FC">
        <w:t xml:space="preserve">relevant Milestone in </w:t>
      </w:r>
      <w:bookmarkStart w:id="931" w:name="_9kMHG5YVt4EE7FOlKZlpA"/>
      <w:r w:rsidRPr="00FD31FC">
        <w:t>Table 5</w:t>
      </w:r>
      <w:bookmarkEnd w:id="931"/>
      <w:r w:rsidRPr="00FD31FC">
        <w:t xml:space="preserve"> or </w:t>
      </w:r>
      <w:bookmarkStart w:id="932" w:name="_9kMHG5YVt4EE7GGcKZlpB"/>
      <w:r w:rsidRPr="00FD31FC">
        <w:t>Table 6</w:t>
      </w:r>
      <w:bookmarkEnd w:id="932"/>
      <w:r w:rsidRPr="00FD31FC">
        <w:t xml:space="preserve"> of Annex </w:t>
      </w:r>
      <w:r w:rsidRPr="00FD31FC">
        <w:fldChar w:fldCharType="begin"/>
      </w:r>
      <w:r w:rsidRPr="00FD31FC">
        <w:instrText xml:space="preserve"> REF ANNEX1_SCHEDULE15 \h  \* MERGEFORMAT </w:instrText>
      </w:r>
      <w:r w:rsidRPr="00FD31FC">
        <w:fldChar w:fldCharType="separate"/>
      </w:r>
      <w:r w:rsidR="007A1473" w:rsidRPr="00C7787A">
        <w:t>1</w:t>
      </w:r>
      <w:r w:rsidRPr="00FD31FC">
        <w:fldChar w:fldCharType="end"/>
      </w:r>
      <w:r w:rsidRPr="00FD31FC">
        <w:t xml:space="preserve">; and </w:t>
      </w:r>
    </w:p>
    <w:p w14:paraId="213262DD" w14:textId="19FE2173" w:rsidR="00F67E9E" w:rsidRPr="00D5341B" w:rsidRDefault="00F67E9E" w:rsidP="00F67E9E">
      <w:pPr>
        <w:pStyle w:val="Numbered111"/>
      </w:pPr>
      <w:r w:rsidRPr="00FD31FC">
        <w:t xml:space="preserve">where the Milestone Payment includes any Charges which are capped, then to the extent that the compensation agreed pursuant to this </w:t>
      </w:r>
      <w:bookmarkStart w:id="933" w:name="_9kMHG5YVtCIB88CfLhkhy7sFQLkR0Kgkr7HUBDT"/>
      <w:r w:rsidRPr="00FD31FC">
        <w:t xml:space="preserve">Paragraph </w:t>
      </w:r>
      <w:r w:rsidRPr="00FD31FC">
        <w:fldChar w:fldCharType="begin"/>
      </w:r>
      <w:r w:rsidRPr="00FD31FC">
        <w:instrText xml:space="preserve"> REF _Ref_ContractCompanion_9kb9Us224 \w \n \h \t \* MERGEFORMAT </w:instrText>
      </w:r>
      <w:r w:rsidRPr="00FD31FC">
        <w:fldChar w:fldCharType="separate"/>
      </w:r>
      <w:r w:rsidR="007A1473">
        <w:t>2</w:t>
      </w:r>
      <w:r w:rsidRPr="00FD31FC">
        <w:fldChar w:fldCharType="end"/>
      </w:r>
      <w:bookmarkEnd w:id="933"/>
      <w:r w:rsidRPr="00FD31FC">
        <w:t xml:space="preserve"> results in the Authority paying</w:t>
      </w:r>
      <w:r w:rsidRPr="00D5341B">
        <w:t xml:space="preserve"> additional Time and Materials Charges for resources or effort which the Supplier demonstrates are required as a result of the Authority Cause, such additional Time and Materials Charges shall be disregarded for the purposes of calculating the relevant cap.</w:t>
      </w:r>
    </w:p>
    <w:p w14:paraId="25078CBB" w14:textId="77777777" w:rsidR="00F67E9E" w:rsidRPr="00D5341B" w:rsidRDefault="00F67E9E" w:rsidP="00F67E9E">
      <w:pPr>
        <w:pStyle w:val="Numbered11"/>
      </w:pPr>
      <w:r w:rsidRPr="00D5341B">
        <w:t xml:space="preserve">The Supplier shall provide the Authority with any information the Authority may require in </w:t>
      </w:r>
      <w:r w:rsidRPr="00FD31FC">
        <w:t>order</w:t>
      </w:r>
      <w:r w:rsidRPr="00D5341B">
        <w:t xml:space="preserve"> to assess the validity of the Supplier</w:t>
      </w:r>
      <w:r>
        <w:t>’</w:t>
      </w:r>
      <w:r w:rsidRPr="00D5341B">
        <w:t>s claim to compensation.</w:t>
      </w:r>
    </w:p>
    <w:p w14:paraId="2DAEB09C" w14:textId="77777777" w:rsidR="00F67E9E" w:rsidRPr="00D5341B" w:rsidRDefault="00F67E9E" w:rsidP="00F67E9E">
      <w:pPr>
        <w:pStyle w:val="Numbered1"/>
      </w:pPr>
      <w:bookmarkStart w:id="934" w:name="_Ref44570785"/>
      <w:r w:rsidRPr="00FD31FC">
        <w:t>Service</w:t>
      </w:r>
      <w:r w:rsidRPr="00D5341B">
        <w:t xml:space="preserve"> Credits</w:t>
      </w:r>
      <w:bookmarkEnd w:id="934"/>
    </w:p>
    <w:p w14:paraId="21BA1FE0" w14:textId="6291AD53" w:rsidR="00F67E9E" w:rsidRPr="00FD31FC" w:rsidRDefault="00F67E9E" w:rsidP="00F67E9E">
      <w:pPr>
        <w:pStyle w:val="Numbered11"/>
      </w:pPr>
      <w:r w:rsidRPr="00FD31FC">
        <w:t xml:space="preserve">Service Credits shall be calculated by reference to the number of Service Points accrued in any one Service Period pursuant to the provisions of </w:t>
      </w:r>
      <w:r w:rsidRPr="00FD31FC">
        <w:fldChar w:fldCharType="begin"/>
      </w:r>
      <w:r w:rsidRPr="00FD31FC">
        <w:instrText xml:space="preserve"> REF Schedule3 \h </w:instrText>
      </w:r>
      <w:r>
        <w:instrText xml:space="preserve"> \* MERGEFORMAT </w:instrText>
      </w:r>
      <w:r w:rsidRPr="00FD31FC">
        <w:fldChar w:fldCharType="separate"/>
      </w:r>
      <w:r w:rsidR="007A1473" w:rsidRPr="005D0525">
        <w:t>Schedule</w:t>
      </w:r>
      <w:r w:rsidR="007A1473">
        <w:t> </w:t>
      </w:r>
      <w:r w:rsidR="007A1473" w:rsidRPr="005D0525">
        <w:t>3</w:t>
      </w:r>
      <w:r w:rsidRPr="00FD31FC">
        <w:fldChar w:fldCharType="end"/>
      </w:r>
      <w:r w:rsidRPr="00FD31FC">
        <w:t xml:space="preserve"> (</w:t>
      </w:r>
      <w:r w:rsidRPr="00FD31FC">
        <w:fldChar w:fldCharType="begin"/>
      </w:r>
      <w:r w:rsidRPr="00FD31FC">
        <w:instrText xml:space="preserve"> REF Schedule3Heading \h  \* MERGEFORMAT </w:instrText>
      </w:r>
      <w:r w:rsidRPr="00FD31FC">
        <w:fldChar w:fldCharType="separate"/>
      </w:r>
      <w:r w:rsidR="007A1473" w:rsidRPr="00F97284">
        <w:t>Performance Levels</w:t>
      </w:r>
      <w:r w:rsidRPr="00FD31FC">
        <w:fldChar w:fldCharType="end"/>
      </w:r>
      <w:r w:rsidRPr="00FD31FC">
        <w:t>).</w:t>
      </w:r>
    </w:p>
    <w:p w14:paraId="7C65879F" w14:textId="77777777" w:rsidR="00F67E9E" w:rsidRPr="00D5341B" w:rsidRDefault="00F67E9E" w:rsidP="00F67E9E">
      <w:pPr>
        <w:pStyle w:val="Numbered11"/>
      </w:pPr>
      <w:r w:rsidRPr="00FD31FC">
        <w:t>For eac</w:t>
      </w:r>
      <w:r w:rsidRPr="00D5341B">
        <w:t>h Service Period:</w:t>
      </w:r>
    </w:p>
    <w:p w14:paraId="5E10E841" w14:textId="44378AC4" w:rsidR="00F67E9E" w:rsidRPr="00FD31FC" w:rsidRDefault="00F67E9E" w:rsidP="00F67E9E">
      <w:pPr>
        <w:pStyle w:val="Numbered111"/>
      </w:pPr>
      <w:r w:rsidRPr="00D5341B">
        <w:t xml:space="preserve">the Service </w:t>
      </w:r>
      <w:r w:rsidRPr="00FD31FC">
        <w:t xml:space="preserve">Points accrued shall be converted to a percentage deduction from </w:t>
      </w:r>
      <w:r w:rsidRPr="00FD31FC">
        <w:lastRenderedPageBreak/>
        <w:t xml:space="preserve">the Service Charges for the relevant Service Period on the basis of one point equating to a </w:t>
      </w:r>
      <w:r w:rsidR="002D30B3">
        <w:t>0.75</w:t>
      </w:r>
      <w:r w:rsidRPr="00FD31FC">
        <w:t>% deduction in the Service Charges; and</w:t>
      </w:r>
    </w:p>
    <w:p w14:paraId="49AAEB71" w14:textId="77777777" w:rsidR="00F67E9E" w:rsidRPr="00277440" w:rsidRDefault="00F67E9E" w:rsidP="00F67E9E">
      <w:pPr>
        <w:pStyle w:val="Numbered111"/>
      </w:pPr>
      <w:r w:rsidRPr="00FD31FC">
        <w:t>the total Service Credits applicable for the Service Period shall be calculated in accordance with the following</w:t>
      </w:r>
      <w:r w:rsidRPr="00277440">
        <w:t xml:space="preserve"> formula:</w:t>
      </w:r>
    </w:p>
    <w:p w14:paraId="3D17221F" w14:textId="77777777" w:rsidR="00F67E9E" w:rsidRPr="0048716D" w:rsidRDefault="00F67E9E" w:rsidP="00F67E9E">
      <w:pPr>
        <w:pStyle w:val="StdBodyText"/>
        <w:ind w:left="1800"/>
        <w:rPr>
          <w:rFonts w:cs="Arial"/>
        </w:rPr>
      </w:pPr>
      <m:oMathPara>
        <m:oMathParaPr>
          <m:jc m:val="left"/>
        </m:oMathParaPr>
        <m:oMath>
          <m:r>
            <w:rPr>
              <w:rFonts w:ascii="Cambria Math" w:hAnsi="Cambria Math" w:cs="Arial"/>
            </w:rPr>
            <m:t>SC</m:t>
          </m:r>
          <m:r>
            <m:rPr>
              <m:sty m:val="p"/>
            </m:rPr>
            <w:rPr>
              <w:rFonts w:ascii="Cambria Math" w:hAnsi="Cambria Math" w:cs="Arial"/>
            </w:rPr>
            <m:t>=</m:t>
          </m:r>
          <m:r>
            <w:rPr>
              <w:rFonts w:ascii="Cambria Math" w:hAnsi="Cambria Math" w:cs="Arial"/>
            </w:rPr>
            <m:t>TSP</m:t>
          </m:r>
          <m:r>
            <m:rPr>
              <m:sty m:val="p"/>
            </m:rPr>
            <w:rPr>
              <w:rFonts w:ascii="Cambria Math" w:hAnsi="Cambria Math" w:cs="Arial"/>
            </w:rPr>
            <m:t>×</m:t>
          </m:r>
          <m:r>
            <w:rPr>
              <w:rFonts w:ascii="Cambria Math" w:hAnsi="Cambria Math" w:cs="Arial"/>
            </w:rPr>
            <m:t>x</m:t>
          </m:r>
          <m:r>
            <m:rPr>
              <m:sty m:val="p"/>
            </m:rPr>
            <w:rPr>
              <w:rFonts w:ascii="Cambria Math" w:hAnsi="Cambria Math" w:cs="Arial"/>
            </w:rPr>
            <m:t>×</m:t>
          </m:r>
          <m:r>
            <w:rPr>
              <w:rFonts w:ascii="Cambria Math" w:hAnsi="Cambria Math" w:cs="Arial"/>
            </w:rPr>
            <m:t>AC</m:t>
          </m:r>
        </m:oMath>
      </m:oMathPara>
    </w:p>
    <w:p w14:paraId="3B84D175" w14:textId="77777777" w:rsidR="00F67E9E" w:rsidRPr="00277440" w:rsidRDefault="00F67E9E" w:rsidP="00F67E9E">
      <w:pPr>
        <w:pStyle w:val="StdBodyText4"/>
        <w:ind w:left="1800"/>
        <w:rPr>
          <w:rFonts w:cs="Arial"/>
        </w:rPr>
      </w:pPr>
      <w:r w:rsidRPr="00277440">
        <w:rPr>
          <w:rFonts w:cs="Arial"/>
        </w:rPr>
        <w:t>where:</w:t>
      </w:r>
    </w:p>
    <w:tbl>
      <w:tblPr>
        <w:tblStyle w:val="TableGrid"/>
        <w:tblW w:w="0" w:type="auto"/>
        <w:tblInd w:w="1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654"/>
      </w:tblGrid>
      <w:tr w:rsidR="00F67E9E" w:rsidRPr="00277440" w14:paraId="2167D481" w14:textId="77777777" w:rsidTr="0052486C">
        <w:tc>
          <w:tcPr>
            <w:tcW w:w="850" w:type="dxa"/>
          </w:tcPr>
          <w:p w14:paraId="7164594E" w14:textId="77777777" w:rsidR="00F67E9E" w:rsidRPr="00277440" w:rsidRDefault="00F67E9E" w:rsidP="0052486C">
            <w:pPr>
              <w:pStyle w:val="StdBodyText4"/>
              <w:ind w:left="0"/>
              <w:rPr>
                <w:rFonts w:cs="Arial"/>
                <w:sz w:val="24"/>
              </w:rPr>
            </w:pPr>
            <w:r w:rsidRPr="00277440">
              <w:rPr>
                <w:rFonts w:cs="Arial"/>
                <w:sz w:val="24"/>
              </w:rPr>
              <w:t>SC</w:t>
            </w:r>
          </w:p>
        </w:tc>
        <w:tc>
          <w:tcPr>
            <w:tcW w:w="7654" w:type="dxa"/>
          </w:tcPr>
          <w:p w14:paraId="31C30371" w14:textId="77777777" w:rsidR="00F67E9E" w:rsidRPr="00277440" w:rsidRDefault="00F67E9E" w:rsidP="0052486C">
            <w:pPr>
              <w:pStyle w:val="StdBodyText4"/>
              <w:ind w:left="0"/>
              <w:rPr>
                <w:rFonts w:cs="Arial"/>
                <w:sz w:val="24"/>
              </w:rPr>
            </w:pPr>
            <w:r w:rsidRPr="00277440">
              <w:rPr>
                <w:rFonts w:cs="Arial"/>
                <w:sz w:val="24"/>
              </w:rPr>
              <w:t>is the total Service Credits for the relevant Service Period;</w:t>
            </w:r>
          </w:p>
        </w:tc>
      </w:tr>
      <w:tr w:rsidR="00F67E9E" w:rsidRPr="00277440" w14:paraId="67BB1C3B" w14:textId="77777777" w:rsidTr="0052486C">
        <w:tc>
          <w:tcPr>
            <w:tcW w:w="850" w:type="dxa"/>
          </w:tcPr>
          <w:p w14:paraId="27501329" w14:textId="77777777" w:rsidR="00F67E9E" w:rsidRPr="00277440" w:rsidRDefault="00F67E9E" w:rsidP="0052486C">
            <w:pPr>
              <w:pStyle w:val="StdBodyText4"/>
              <w:ind w:left="0"/>
              <w:rPr>
                <w:rFonts w:cs="Arial"/>
                <w:sz w:val="24"/>
              </w:rPr>
            </w:pPr>
            <w:r w:rsidRPr="00277440">
              <w:rPr>
                <w:rFonts w:cs="Arial"/>
                <w:sz w:val="24"/>
              </w:rPr>
              <w:t>TSP</w:t>
            </w:r>
          </w:p>
        </w:tc>
        <w:tc>
          <w:tcPr>
            <w:tcW w:w="7654" w:type="dxa"/>
          </w:tcPr>
          <w:p w14:paraId="45FBCB82" w14:textId="77777777" w:rsidR="00F67E9E" w:rsidRPr="00277440" w:rsidRDefault="00F67E9E" w:rsidP="0052486C">
            <w:pPr>
              <w:pStyle w:val="StdBodyText4"/>
              <w:ind w:left="0"/>
              <w:rPr>
                <w:rFonts w:cs="Arial"/>
                <w:sz w:val="24"/>
              </w:rPr>
            </w:pPr>
            <w:r w:rsidRPr="00277440">
              <w:rPr>
                <w:rFonts w:cs="Arial"/>
                <w:sz w:val="24"/>
              </w:rPr>
              <w:t>is the total Service Points that have accrued for the relevant Service Period;</w:t>
            </w:r>
          </w:p>
        </w:tc>
      </w:tr>
      <w:tr w:rsidR="00F67E9E" w:rsidRPr="00277440" w14:paraId="42030E09" w14:textId="77777777" w:rsidTr="0052486C">
        <w:tc>
          <w:tcPr>
            <w:tcW w:w="850" w:type="dxa"/>
          </w:tcPr>
          <w:p w14:paraId="1036F3C1" w14:textId="77777777" w:rsidR="00F67E9E" w:rsidRPr="00277440" w:rsidRDefault="00F67E9E" w:rsidP="0052486C">
            <w:pPr>
              <w:pStyle w:val="StdBodyText4"/>
              <w:ind w:left="0"/>
              <w:rPr>
                <w:rFonts w:cs="Arial"/>
                <w:sz w:val="24"/>
              </w:rPr>
            </w:pPr>
            <w:r w:rsidRPr="00277440">
              <w:rPr>
                <w:rFonts w:cs="Arial"/>
                <w:sz w:val="24"/>
              </w:rPr>
              <w:t>X</w:t>
            </w:r>
          </w:p>
        </w:tc>
        <w:tc>
          <w:tcPr>
            <w:tcW w:w="7654" w:type="dxa"/>
          </w:tcPr>
          <w:p w14:paraId="2731F14E" w14:textId="43B1CE2B" w:rsidR="00F67E9E" w:rsidRPr="00277440" w:rsidRDefault="00F67E9E" w:rsidP="0013420F">
            <w:pPr>
              <w:pStyle w:val="StdBodyText4"/>
              <w:ind w:left="0"/>
              <w:rPr>
                <w:rFonts w:cs="Arial"/>
                <w:sz w:val="24"/>
              </w:rPr>
            </w:pPr>
            <w:r w:rsidRPr="00277440">
              <w:rPr>
                <w:rFonts w:cs="Arial"/>
                <w:sz w:val="24"/>
              </w:rPr>
              <w:t xml:space="preserve">is </w:t>
            </w:r>
            <w:r w:rsidR="0013420F">
              <w:rPr>
                <w:rFonts w:cs="Arial"/>
                <w:sz w:val="24"/>
              </w:rPr>
              <w:t>0.75</w:t>
            </w:r>
            <w:r w:rsidRPr="00AA5727">
              <w:rPr>
                <w:rFonts w:cs="Arial"/>
                <w:sz w:val="24"/>
              </w:rPr>
              <w:t>%;</w:t>
            </w:r>
            <w:r w:rsidRPr="00277440">
              <w:rPr>
                <w:rFonts w:cs="Arial"/>
                <w:sz w:val="24"/>
              </w:rPr>
              <w:t xml:space="preserve"> and</w:t>
            </w:r>
          </w:p>
        </w:tc>
      </w:tr>
      <w:tr w:rsidR="00F67E9E" w:rsidRPr="00277440" w14:paraId="2E109EBE" w14:textId="77777777" w:rsidTr="0052486C">
        <w:tc>
          <w:tcPr>
            <w:tcW w:w="850" w:type="dxa"/>
          </w:tcPr>
          <w:p w14:paraId="0A3E3ACD" w14:textId="77777777" w:rsidR="00F67E9E" w:rsidRPr="00277440" w:rsidRDefault="00F67E9E" w:rsidP="0052486C">
            <w:pPr>
              <w:pStyle w:val="StdBodyText4"/>
              <w:ind w:left="0"/>
              <w:rPr>
                <w:rFonts w:cs="Arial"/>
                <w:sz w:val="24"/>
              </w:rPr>
            </w:pPr>
            <w:r w:rsidRPr="00277440">
              <w:rPr>
                <w:rFonts w:cs="Arial"/>
                <w:sz w:val="24"/>
              </w:rPr>
              <w:t>AC</w:t>
            </w:r>
          </w:p>
        </w:tc>
        <w:tc>
          <w:tcPr>
            <w:tcW w:w="7654" w:type="dxa"/>
          </w:tcPr>
          <w:p w14:paraId="1062818C" w14:textId="77777777" w:rsidR="00F67E9E" w:rsidRPr="00277440" w:rsidRDefault="00F67E9E" w:rsidP="0052486C">
            <w:pPr>
              <w:pStyle w:val="StdBodyText4"/>
              <w:ind w:left="0"/>
              <w:rPr>
                <w:rFonts w:cs="Arial"/>
                <w:sz w:val="24"/>
              </w:rPr>
            </w:pPr>
            <w:r w:rsidRPr="00277440">
              <w:rPr>
                <w:rFonts w:cs="Arial"/>
                <w:sz w:val="24"/>
              </w:rPr>
              <w:t>is the total Services Charges payable for the relevant Service Period (prior to deduction of applicable Service Credits).</w:t>
            </w:r>
          </w:p>
        </w:tc>
      </w:tr>
    </w:tbl>
    <w:p w14:paraId="4EA6B26B" w14:textId="64941F38" w:rsidR="00F67E9E" w:rsidRPr="00FD31FC" w:rsidRDefault="00F67E9E" w:rsidP="00F67E9E">
      <w:pPr>
        <w:pStyle w:val="Numbered11"/>
      </w:pPr>
      <w:r w:rsidRPr="00D5341B">
        <w:t xml:space="preserve">The liability of the Supplier in respect of Service Credits shall be subject to </w:t>
      </w:r>
      <w:bookmarkStart w:id="935" w:name="_9kR3WTr2CC5FGKChrAv6LOw"/>
      <w:r w:rsidRPr="00D5341B">
        <w:t>Clause 23.4(c)</w:t>
      </w:r>
      <w:bookmarkEnd w:id="935"/>
      <w:r w:rsidRPr="00D5341B">
        <w:t xml:space="preserve"> (</w:t>
      </w:r>
      <w:r w:rsidRPr="00D5341B">
        <w:rPr>
          <w:i/>
        </w:rPr>
        <w:t>Financial and other Limits</w:t>
      </w:r>
      <w:r w:rsidRPr="00D5341B">
        <w:t xml:space="preserve">) provided that, for the avoidance of doubt, the operation of the Service Credit Cap shall not affect the continued accrual of Service Points in excess of such </w:t>
      </w:r>
      <w:r w:rsidRPr="00FD31FC">
        <w:t xml:space="preserve">financial limit in accordance with the provisions of </w:t>
      </w:r>
      <w:r w:rsidRPr="00FD31FC">
        <w:fldChar w:fldCharType="begin"/>
      </w:r>
      <w:r w:rsidRPr="00FD31FC">
        <w:instrText xml:space="preserve"> REF Schedule3 \h </w:instrText>
      </w:r>
      <w:r>
        <w:instrText xml:space="preserve"> \* MERGEFORMAT </w:instrText>
      </w:r>
      <w:r w:rsidRPr="00FD31FC">
        <w:fldChar w:fldCharType="separate"/>
      </w:r>
      <w:r w:rsidR="007A1473" w:rsidRPr="005D0525">
        <w:t>Schedule</w:t>
      </w:r>
      <w:r w:rsidR="007A1473">
        <w:t> </w:t>
      </w:r>
      <w:r w:rsidR="007A1473" w:rsidRPr="005D0525">
        <w:t>3</w:t>
      </w:r>
      <w:r w:rsidRPr="00FD31FC">
        <w:fldChar w:fldCharType="end"/>
      </w:r>
      <w:r w:rsidRPr="00FD31FC">
        <w:t xml:space="preserve"> (</w:t>
      </w:r>
      <w:r w:rsidRPr="00FD31FC">
        <w:rPr>
          <w:i/>
          <w:iCs/>
        </w:rPr>
        <w:fldChar w:fldCharType="begin"/>
      </w:r>
      <w:r w:rsidRPr="00FD31FC">
        <w:rPr>
          <w:i/>
          <w:iCs/>
        </w:rPr>
        <w:instrText xml:space="preserve"> REF Schedule3Heading \h  \* MERGEFORMAT </w:instrText>
      </w:r>
      <w:r w:rsidRPr="00FD31FC">
        <w:rPr>
          <w:i/>
          <w:iCs/>
        </w:rPr>
      </w:r>
      <w:r w:rsidRPr="00FD31FC">
        <w:rPr>
          <w:i/>
          <w:iCs/>
        </w:rPr>
        <w:fldChar w:fldCharType="separate"/>
      </w:r>
      <w:r w:rsidR="007A1473" w:rsidRPr="007A1473">
        <w:rPr>
          <w:i/>
          <w:iCs/>
        </w:rPr>
        <w:t>Performance Levels</w:t>
      </w:r>
      <w:r w:rsidRPr="00FD31FC">
        <w:rPr>
          <w:i/>
          <w:iCs/>
        </w:rPr>
        <w:fldChar w:fldCharType="end"/>
      </w:r>
      <w:r w:rsidRPr="00FD31FC">
        <w:t>).</w:t>
      </w:r>
    </w:p>
    <w:p w14:paraId="6C179314" w14:textId="77777777" w:rsidR="00F67E9E" w:rsidRPr="00FD31FC" w:rsidRDefault="00F67E9E" w:rsidP="00F67E9E">
      <w:pPr>
        <w:pStyle w:val="Numbered11"/>
      </w:pPr>
      <w:r w:rsidRPr="00FD31FC">
        <w:t>Service Credits are a reduction of the Service Charges payable in respect of the relevant Services to reflect the reduced value of the Services actually received and are stated exclusive of VAT.</w:t>
      </w:r>
    </w:p>
    <w:p w14:paraId="5F7248CB" w14:textId="77777777" w:rsidR="00F67E9E" w:rsidRPr="00D5341B" w:rsidRDefault="00F67E9E" w:rsidP="00F67E9E">
      <w:pPr>
        <w:pStyle w:val="Numbered11"/>
      </w:pPr>
      <w:r w:rsidRPr="00FD31FC">
        <w:t>Service Credits shall be shown as a deduction from the amount due from the Authority to the Supplier in the invoice for the Service Period immediately succeeding the Service Period to which they</w:t>
      </w:r>
      <w:r w:rsidRPr="00D5341B">
        <w:t xml:space="preserve"> relate.</w:t>
      </w:r>
    </w:p>
    <w:p w14:paraId="3E5F8E8E" w14:textId="77777777" w:rsidR="00F67E9E" w:rsidRPr="00D5341B" w:rsidRDefault="00F67E9E" w:rsidP="00F67E9E">
      <w:pPr>
        <w:pStyle w:val="Numbered1"/>
      </w:pPr>
      <w:bookmarkStart w:id="936" w:name="_Ref99025606"/>
      <w:bookmarkStart w:id="937" w:name="_Ref_ContractCompanion_9kb9Ur1AC"/>
      <w:r w:rsidRPr="00FD31FC">
        <w:t>Changes</w:t>
      </w:r>
      <w:r w:rsidRPr="00D5341B">
        <w:t xml:space="preserve"> </w:t>
      </w:r>
      <w:r>
        <w:t>t</w:t>
      </w:r>
      <w:r w:rsidRPr="00D5341B">
        <w:t>o Charges</w:t>
      </w:r>
      <w:bookmarkEnd w:id="936"/>
      <w:bookmarkEnd w:id="937"/>
    </w:p>
    <w:p w14:paraId="72ECAC42" w14:textId="5D978479" w:rsidR="00F67E9E" w:rsidRPr="00D5341B" w:rsidRDefault="00F67E9E" w:rsidP="00F67E9E">
      <w:pPr>
        <w:pStyle w:val="Numbered11"/>
      </w:pPr>
      <w:r w:rsidRPr="00D5341B">
        <w:t xml:space="preserve">Any Changes to the Charges shall be developed and agreed by the Parties in accordance with </w:t>
      </w:r>
      <w:r>
        <w:rPr>
          <w:rFonts w:cs="Arial"/>
        </w:rPr>
        <w:fldChar w:fldCharType="begin"/>
      </w:r>
      <w:r>
        <w:rPr>
          <w:rFonts w:cs="Arial"/>
        </w:rPr>
        <w:instrText xml:space="preserve"> REF Schedule22 \h </w:instrText>
      </w:r>
      <w:r>
        <w:rPr>
          <w:rFonts w:cs="Arial"/>
        </w:rPr>
      </w:r>
      <w:r>
        <w:rPr>
          <w:rFonts w:cs="Arial"/>
        </w:rPr>
        <w:fldChar w:fldCharType="separate"/>
      </w:r>
      <w:r w:rsidR="007A1473" w:rsidRPr="005D0525">
        <w:t>Schedule</w:t>
      </w:r>
      <w:r w:rsidR="007A1473">
        <w:t> </w:t>
      </w:r>
      <w:r w:rsidR="007A1473" w:rsidRPr="005D0525">
        <w:t>22</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Schedule22Heading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Change Control Procedure</w:t>
      </w:r>
      <w:r w:rsidRPr="002F30DB">
        <w:rPr>
          <w:rFonts w:cs="Arial"/>
          <w:i/>
          <w:iCs/>
        </w:rPr>
        <w:fldChar w:fldCharType="end"/>
      </w:r>
      <w:r>
        <w:rPr>
          <w:rFonts w:cs="Arial"/>
        </w:rPr>
        <w:t>)</w:t>
      </w:r>
      <w:r w:rsidRPr="00D5341B">
        <w:t xml:space="preserve"> and on the basis that the Supplier Profit </w:t>
      </w:r>
      <w:r w:rsidRPr="00FD31FC">
        <w:t>Margin</w:t>
      </w:r>
      <w:r w:rsidRPr="00D5341B">
        <w:t xml:space="preserve"> on such Charges shall:</w:t>
      </w:r>
    </w:p>
    <w:p w14:paraId="7C995589" w14:textId="77777777" w:rsidR="00F67E9E" w:rsidRPr="00D5341B" w:rsidRDefault="00F67E9E" w:rsidP="00F67E9E">
      <w:pPr>
        <w:pStyle w:val="Numbered111"/>
        <w:tabs>
          <w:tab w:val="clear" w:pos="1800"/>
          <w:tab w:val="num" w:pos="2160"/>
        </w:tabs>
      </w:pPr>
      <w:r w:rsidRPr="00D5341B">
        <w:t>be no greater than that applying to Charges using the same pricing mechanism as at the Effective Date (as set out in the Contract Inception Report); and</w:t>
      </w:r>
    </w:p>
    <w:p w14:paraId="217368D3" w14:textId="77777777" w:rsidR="00F67E9E" w:rsidRPr="00D5341B" w:rsidRDefault="00F67E9E" w:rsidP="00F67E9E">
      <w:pPr>
        <w:pStyle w:val="Numbered111"/>
        <w:tabs>
          <w:tab w:val="clear" w:pos="1800"/>
          <w:tab w:val="num" w:pos="2160"/>
        </w:tabs>
      </w:pPr>
      <w:r w:rsidRPr="00D5341B">
        <w:t xml:space="preserve">in no event exceed the Maximum Permitted Profit Margin. </w:t>
      </w:r>
    </w:p>
    <w:p w14:paraId="63892A76" w14:textId="77777777" w:rsidR="00F67E9E" w:rsidRPr="00D5341B" w:rsidRDefault="00F67E9E" w:rsidP="00F67E9E">
      <w:pPr>
        <w:pStyle w:val="Numbered11"/>
      </w:pPr>
      <w:r w:rsidRPr="00D5341B">
        <w:t xml:space="preserve">The Authority may request that any Impact Assessment presents Charges without Indexation for the </w:t>
      </w:r>
      <w:r w:rsidRPr="00FD31FC">
        <w:t>purposes</w:t>
      </w:r>
      <w:r w:rsidRPr="00D5341B">
        <w:t xml:space="preserve"> of comparison. </w:t>
      </w:r>
    </w:p>
    <w:p w14:paraId="202ED978" w14:textId="77777777" w:rsidR="00F67E9E" w:rsidRDefault="00F67E9E" w:rsidP="00F67E9E">
      <w:pPr>
        <w:pStyle w:val="Numbered1"/>
      </w:pPr>
      <w:bookmarkStart w:id="938" w:name="_Ref_ContractCompanion_9kb9Ur18D"/>
      <w:bookmarkStart w:id="939" w:name="_Ref_ContractCompanion_9kb9Us22A"/>
      <w:bookmarkStart w:id="940" w:name="_9kR3WTrAG9677ZJfifw5qDOJiPyIellB7zKHENJ"/>
      <w:r w:rsidRPr="00D5341B">
        <w:t>Indexation</w:t>
      </w:r>
      <w:bookmarkEnd w:id="938"/>
      <w:bookmarkEnd w:id="939"/>
      <w:bookmarkEnd w:id="940"/>
    </w:p>
    <w:p w14:paraId="08E79B0E" w14:textId="6E4FF56F" w:rsidR="00F67E9E" w:rsidRDefault="007B11F6" w:rsidP="00F67E9E">
      <w:pPr>
        <w:pStyle w:val="Numbered11"/>
      </w:pPr>
      <w:r>
        <w:t>N</w:t>
      </w:r>
      <w:r w:rsidR="00F67E9E" w:rsidRPr="00D5341B">
        <w:t xml:space="preserve">either the Charges nor any other costs, expenses, fees or charges </w:t>
      </w:r>
      <w:r w:rsidR="00802598">
        <w:t xml:space="preserve">(whether relating to the Operational Services, the Implementation Services or otherwise) </w:t>
      </w:r>
      <w:r w:rsidR="00F67E9E" w:rsidRPr="00D5341B">
        <w:t xml:space="preserve">shall be adjusted </w:t>
      </w:r>
      <w:r w:rsidR="00DF527B">
        <w:t xml:space="preserve">at any time </w:t>
      </w:r>
      <w:r w:rsidR="00F67E9E" w:rsidRPr="00D5341B">
        <w:t xml:space="preserve">to take account of any inflation, change to exchange rate, change to </w:t>
      </w:r>
      <w:r w:rsidR="00F67E9E" w:rsidRPr="00FD31FC">
        <w:t>interest</w:t>
      </w:r>
      <w:r w:rsidR="00F67E9E" w:rsidRPr="00D5341B">
        <w:t xml:space="preserve"> </w:t>
      </w:r>
      <w:r w:rsidR="00F67E9E" w:rsidRPr="00D5341B">
        <w:lastRenderedPageBreak/>
        <w:t>rate or any other factor or element which might otherwise increase the cost to the Supplier or Sub-contractors of the performance of their obligations.</w:t>
      </w:r>
    </w:p>
    <w:p w14:paraId="08002C4B" w14:textId="5C6DFACC" w:rsidR="00F67E9E" w:rsidRPr="00D5341B" w:rsidRDefault="00DF527B" w:rsidP="00F67E9E">
      <w:pPr>
        <w:pStyle w:val="Numbered1"/>
      </w:pPr>
      <w:r>
        <w:t>Not Used</w:t>
      </w:r>
    </w:p>
    <w:p w14:paraId="3F79D468" w14:textId="23FF58A8" w:rsidR="00F67E9E" w:rsidRPr="00D5341B" w:rsidRDefault="00F67E9E" w:rsidP="00DF527B">
      <w:pPr>
        <w:pStyle w:val="Numbered111"/>
        <w:numPr>
          <w:ilvl w:val="0"/>
          <w:numId w:val="0"/>
        </w:numPr>
        <w:ind w:left="1800"/>
      </w:pPr>
      <w:bookmarkStart w:id="941" w:name="_Ref_ContractCompanion_9kb9Us237"/>
      <w:r w:rsidRPr="00D5341B">
        <w:t xml:space="preserve"> </w:t>
      </w:r>
      <w:bookmarkEnd w:id="941"/>
    </w:p>
    <w:p w14:paraId="3FD67D36" w14:textId="77777777" w:rsidR="00F67E9E" w:rsidRPr="00D5341B" w:rsidRDefault="00F67E9E" w:rsidP="00F67E9E">
      <w:pPr>
        <w:pStyle w:val="Numbered1"/>
      </w:pPr>
      <w:r w:rsidRPr="00FD31FC">
        <w:t>Risk</w:t>
      </w:r>
      <w:r w:rsidRPr="00D5341B">
        <w:t xml:space="preserve"> Register</w:t>
      </w:r>
    </w:p>
    <w:p w14:paraId="228E5BE2" w14:textId="58345CD0" w:rsidR="00F67E9E" w:rsidRDefault="00F67E9E" w:rsidP="00F67E9E">
      <w:pPr>
        <w:pStyle w:val="Numbered11"/>
      </w:pPr>
      <w:r w:rsidRPr="00D5341B">
        <w:t xml:space="preserve">The Parties shall review the Risk Register set out in Annex </w:t>
      </w:r>
      <w:r w:rsidRPr="00D5341B">
        <w:fldChar w:fldCharType="begin"/>
      </w:r>
      <w:r w:rsidRPr="00D5341B">
        <w:instrText xml:space="preserve"> REF ANNEX4_SCHEDULE15 \h </w:instrText>
      </w:r>
      <w:r>
        <w:instrText xml:space="preserve"> \* MERGEFORMAT </w:instrText>
      </w:r>
      <w:r w:rsidRPr="00D5341B">
        <w:fldChar w:fldCharType="separate"/>
      </w:r>
      <w:r w:rsidR="007A1473" w:rsidRPr="00BA56A1">
        <w:t>4</w:t>
      </w:r>
      <w:r w:rsidRPr="00D5341B">
        <w:fldChar w:fldCharType="end"/>
      </w:r>
      <w:r w:rsidRPr="00D5341B">
        <w:t xml:space="preserve"> from time to time and as </w:t>
      </w:r>
      <w:r w:rsidRPr="00FD31FC">
        <w:t>otherwise</w:t>
      </w:r>
      <w:r w:rsidRPr="00D5341B">
        <w:t xml:space="preserve"> required for the purposes of </w:t>
      </w:r>
      <w:r>
        <w:rPr>
          <w:rFonts w:cs="Arial"/>
        </w:rPr>
        <w:fldChar w:fldCharType="begin"/>
      </w:r>
      <w:r>
        <w:rPr>
          <w:rFonts w:cs="Arial"/>
        </w:rPr>
        <w:instrText xml:space="preserve"> REF Schedule21 \h </w:instrText>
      </w:r>
      <w:r>
        <w:rPr>
          <w:rFonts w:cs="Arial"/>
        </w:rPr>
      </w:r>
      <w:r>
        <w:rPr>
          <w:rFonts w:cs="Arial"/>
        </w:rPr>
        <w:fldChar w:fldCharType="separate"/>
      </w:r>
      <w:r w:rsidR="007A1473" w:rsidRPr="005D0525">
        <w:t>Schedule</w:t>
      </w:r>
      <w:r w:rsidR="007A1473">
        <w:t> </w:t>
      </w:r>
      <w:r w:rsidR="007A1473" w:rsidRPr="005D0525">
        <w:t>21</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Schedule21Heading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Governance</w:t>
      </w:r>
      <w:r w:rsidRPr="002F30DB">
        <w:rPr>
          <w:rFonts w:cs="Arial"/>
          <w:i/>
          <w:iCs/>
        </w:rPr>
        <w:fldChar w:fldCharType="end"/>
      </w:r>
      <w:r>
        <w:rPr>
          <w:rFonts w:cs="Arial"/>
        </w:rPr>
        <w:t>)</w:t>
      </w:r>
      <w:r w:rsidRPr="00D5341B">
        <w:t xml:space="preserve">. </w:t>
      </w:r>
    </w:p>
    <w:p w14:paraId="4A67A9B8" w14:textId="77777777" w:rsidR="00F67E9E" w:rsidRDefault="00F67E9E" w:rsidP="00F67E9E"/>
    <w:p w14:paraId="05E6CFAA" w14:textId="77777777" w:rsidR="00F67E9E" w:rsidRDefault="00F67E9E" w:rsidP="00F67E9E">
      <w:pPr>
        <w:pStyle w:val="Heading2"/>
        <w:pageBreakBefore/>
      </w:pPr>
      <w:bookmarkStart w:id="942" w:name="Sch15PartD"/>
      <w:bookmarkStart w:id="943" w:name="_Ref_ContractCompanion_9kb9Ur49D"/>
      <w:bookmarkStart w:id="944" w:name="_Ref_ContractCompanion_9kb9Ur49F"/>
      <w:bookmarkStart w:id="945" w:name="_Ref_ContractCompanion_9kb9Us27F"/>
      <w:bookmarkStart w:id="946" w:name="_9kR3WTrAG96CCZJfifw5qDOJiPyIfvGFxETKOLJ"/>
      <w:bookmarkStart w:id="947" w:name="_Toc145412774"/>
      <w:r w:rsidRPr="000038E2">
        <w:lastRenderedPageBreak/>
        <w:t>Part</w:t>
      </w:r>
      <w:r w:rsidRPr="00D5341B">
        <w:t> D</w:t>
      </w:r>
      <w:bookmarkEnd w:id="942"/>
      <w:r w:rsidRPr="00D5341B">
        <w:t>: Excessive Supplier Profit Margin</w:t>
      </w:r>
      <w:bookmarkEnd w:id="943"/>
      <w:bookmarkEnd w:id="944"/>
      <w:bookmarkEnd w:id="945"/>
      <w:bookmarkEnd w:id="946"/>
      <w:bookmarkEnd w:id="947"/>
    </w:p>
    <w:p w14:paraId="02B95BBE" w14:textId="77777777" w:rsidR="00F67E9E" w:rsidRPr="00D5341B" w:rsidRDefault="00F67E9E" w:rsidP="00F13933">
      <w:pPr>
        <w:pStyle w:val="Numbered1"/>
        <w:numPr>
          <w:ilvl w:val="0"/>
          <w:numId w:val="125"/>
        </w:numPr>
      </w:pPr>
      <w:r w:rsidRPr="00D5341B">
        <w:t xml:space="preserve">Limit </w:t>
      </w:r>
      <w:r w:rsidRPr="00FD31FC">
        <w:t>on</w:t>
      </w:r>
      <w:r w:rsidRPr="00D5341B">
        <w:t xml:space="preserve"> Supplier Profit Margin</w:t>
      </w:r>
    </w:p>
    <w:p w14:paraId="1C01373B" w14:textId="77777777" w:rsidR="00F67E9E" w:rsidRPr="00FD31FC" w:rsidRDefault="00F67E9E" w:rsidP="00F67E9E">
      <w:pPr>
        <w:pStyle w:val="Numbered11"/>
      </w:pPr>
      <w:r w:rsidRPr="00D5341B">
        <w:t xml:space="preserve">The Supplier acknowledges that the Achieved Profit Margin applicable over the Term shall not exceed the </w:t>
      </w:r>
      <w:r w:rsidRPr="00FD31FC">
        <w:t xml:space="preserve">Maximum Permitted Profit Margin. </w:t>
      </w:r>
    </w:p>
    <w:p w14:paraId="75B0968B" w14:textId="13379B79" w:rsidR="00F67E9E" w:rsidRPr="00D5341B" w:rsidRDefault="00F67E9E" w:rsidP="00F67E9E">
      <w:pPr>
        <w:pStyle w:val="Numbered11"/>
      </w:pPr>
      <w:r w:rsidRPr="00FD31FC">
        <w:t>The Supplier shall include in each Annual Contract Report the Achieved Profit Margin as at the end of the Contract</w:t>
      </w:r>
      <w:r w:rsidRPr="00D5341B">
        <w:t xml:space="preserve"> Year to which the Annual Contract Report is made up and the provisions of </w:t>
      </w:r>
      <w:bookmarkStart w:id="948" w:name="_9kR3WTr2CC5FIZEnoewrqyC"/>
      <w:r w:rsidRPr="00D5341B">
        <w:t xml:space="preserve">Paragraph </w:t>
      </w:r>
      <w:bookmarkEnd w:id="948"/>
      <w:r w:rsidRPr="00D5341B">
        <w:fldChar w:fldCharType="begin"/>
      </w:r>
      <w:r w:rsidRPr="00D5341B">
        <w:instrText xml:space="preserve"> REF _Ref41641505 \r \h  \* MERGEFORMAT </w:instrText>
      </w:r>
      <w:r w:rsidRPr="00D5341B">
        <w:fldChar w:fldCharType="separate"/>
      </w:r>
      <w:r w:rsidR="007A1473">
        <w:t>2</w:t>
      </w:r>
      <w:r w:rsidRPr="00D5341B">
        <w:fldChar w:fldCharType="end"/>
      </w:r>
      <w:r w:rsidRPr="00D5341B">
        <w:t xml:space="preserve"> of </w:t>
      </w:r>
      <w:r w:rsidRPr="00D5341B">
        <w:fldChar w:fldCharType="begin"/>
      </w:r>
      <w:r w:rsidRPr="00D5341B">
        <w:instrText xml:space="preserve"> REF Sch19PartB \h  \* MERGEFORMAT </w:instrText>
      </w:r>
      <w:r w:rsidRPr="00D5341B">
        <w:fldChar w:fldCharType="separate"/>
      </w:r>
      <w:r w:rsidR="007A1473" w:rsidRPr="000038E2">
        <w:t>Part</w:t>
      </w:r>
      <w:r w:rsidR="007A1473">
        <w:t> </w:t>
      </w:r>
      <w:r w:rsidR="007A1473" w:rsidRPr="00D00D9A">
        <w:t>B</w:t>
      </w:r>
      <w:r w:rsidRPr="00D5341B">
        <w:fldChar w:fldCharType="end"/>
      </w:r>
      <w:r w:rsidRPr="00D5341B">
        <w:t xml:space="preserve"> of </w:t>
      </w:r>
      <w:r>
        <w:rPr>
          <w:rFonts w:cs="Arial"/>
        </w:rPr>
        <w:fldChar w:fldCharType="begin"/>
      </w:r>
      <w:r>
        <w:rPr>
          <w:rFonts w:cs="Arial"/>
        </w:rPr>
        <w:instrText xml:space="preserve"> REF Schedule19 \h </w:instrText>
      </w:r>
      <w:r>
        <w:rPr>
          <w:rFonts w:cs="Arial"/>
        </w:rPr>
      </w:r>
      <w:r>
        <w:rPr>
          <w:rFonts w:cs="Arial"/>
        </w:rPr>
        <w:fldChar w:fldCharType="separate"/>
      </w:r>
      <w:r w:rsidR="007A1473" w:rsidRPr="005D0525">
        <w:t>Schedule</w:t>
      </w:r>
      <w:r w:rsidR="007A1473">
        <w:t> </w:t>
      </w:r>
      <w:r w:rsidR="007A1473" w:rsidRPr="005D0525">
        <w:t>19</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Schedule19Heading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Reports and Audit Rights</w:t>
      </w:r>
      <w:r w:rsidRPr="002F30DB">
        <w:rPr>
          <w:rFonts w:cs="Arial"/>
          <w:i/>
          <w:iCs/>
        </w:rPr>
        <w:fldChar w:fldCharType="end"/>
      </w:r>
      <w:r>
        <w:rPr>
          <w:rFonts w:cs="Arial"/>
        </w:rPr>
        <w:t>)</w:t>
      </w:r>
      <w:r w:rsidRPr="00D5341B">
        <w:t xml:space="preserve"> shall apply to the approval of the Annual Contract Report.</w:t>
      </w:r>
    </w:p>
    <w:p w14:paraId="128C479D" w14:textId="77777777" w:rsidR="00F67E9E" w:rsidRPr="00D5341B" w:rsidRDefault="00F67E9E" w:rsidP="00F67E9E">
      <w:pPr>
        <w:pStyle w:val="Numbered1"/>
      </w:pPr>
      <w:r w:rsidRPr="00FD31FC">
        <w:t>Adjustment</w:t>
      </w:r>
      <w:r w:rsidRPr="00D5341B">
        <w:t xml:space="preserve"> </w:t>
      </w:r>
      <w:r>
        <w:t>t</w:t>
      </w:r>
      <w:r w:rsidRPr="00D5341B">
        <w:t xml:space="preserve">o </w:t>
      </w:r>
      <w:r>
        <w:t>t</w:t>
      </w:r>
      <w:r w:rsidRPr="00D5341B">
        <w:t xml:space="preserve">he Charges </w:t>
      </w:r>
      <w:r>
        <w:t>i</w:t>
      </w:r>
      <w:r w:rsidRPr="00D5341B">
        <w:t xml:space="preserve">n </w:t>
      </w:r>
      <w:r>
        <w:t>t</w:t>
      </w:r>
      <w:r w:rsidRPr="00D5341B">
        <w:t xml:space="preserve">he Event </w:t>
      </w:r>
      <w:r>
        <w:t>o</w:t>
      </w:r>
      <w:r w:rsidRPr="00D5341B">
        <w:t>f Excess Supplier Profit</w:t>
      </w:r>
    </w:p>
    <w:p w14:paraId="2AA401EA" w14:textId="0ED531C5" w:rsidR="00F67E9E" w:rsidRPr="00D5341B" w:rsidRDefault="00F67E9E" w:rsidP="00F67E9E">
      <w:pPr>
        <w:pStyle w:val="Numbered11"/>
      </w:pPr>
      <w:bookmarkStart w:id="949" w:name="_Ref_ContractCompanion_9kb9Us244"/>
      <w:bookmarkStart w:id="950" w:name="_9kR3WTrAG968ABBSEdmNI2AyqTR9FK2o8ye9KNT"/>
      <w:r w:rsidRPr="00D5341B">
        <w:t xml:space="preserve">If an Annual Contract Report demonstrates (or it is otherwise determined pursuant to </w:t>
      </w:r>
      <w:bookmarkStart w:id="951" w:name="_9kMHG5YVt4EE7HKbGpqgyts0E"/>
      <w:r w:rsidRPr="00D5341B">
        <w:t xml:space="preserve">Paragraph </w:t>
      </w:r>
      <w:bookmarkEnd w:id="951"/>
      <w:r w:rsidRPr="00D5341B">
        <w:fldChar w:fldCharType="begin"/>
      </w:r>
      <w:r w:rsidRPr="00D5341B">
        <w:instrText xml:space="preserve"> REF _Ref41641505 \r \h  \* MERGEFORMAT </w:instrText>
      </w:r>
      <w:r w:rsidRPr="00D5341B">
        <w:fldChar w:fldCharType="separate"/>
      </w:r>
      <w:r w:rsidR="007A1473">
        <w:t>2</w:t>
      </w:r>
      <w:r w:rsidRPr="00D5341B">
        <w:fldChar w:fldCharType="end"/>
      </w:r>
      <w:r w:rsidRPr="00D5341B">
        <w:t xml:space="preserve"> of </w:t>
      </w:r>
      <w:r w:rsidRPr="00D5341B">
        <w:fldChar w:fldCharType="begin"/>
      </w:r>
      <w:r w:rsidRPr="00D5341B">
        <w:instrText xml:space="preserve"> REF Sch19PartB \h  \* MERGEFORMAT </w:instrText>
      </w:r>
      <w:r w:rsidRPr="00D5341B">
        <w:fldChar w:fldCharType="separate"/>
      </w:r>
      <w:r w:rsidR="007A1473" w:rsidRPr="000038E2">
        <w:t>Part</w:t>
      </w:r>
      <w:r w:rsidR="007A1473">
        <w:t> </w:t>
      </w:r>
      <w:r w:rsidR="007A1473" w:rsidRPr="00D00D9A">
        <w:t>B</w:t>
      </w:r>
      <w:r w:rsidRPr="00D5341B">
        <w:fldChar w:fldCharType="end"/>
      </w:r>
      <w:r w:rsidRPr="00D5341B">
        <w:t xml:space="preserve"> of </w:t>
      </w:r>
      <w:r>
        <w:rPr>
          <w:rFonts w:cs="Arial"/>
        </w:rPr>
        <w:fldChar w:fldCharType="begin"/>
      </w:r>
      <w:r>
        <w:rPr>
          <w:rFonts w:cs="Arial"/>
        </w:rPr>
        <w:instrText xml:space="preserve"> REF Schedule19 \h </w:instrText>
      </w:r>
      <w:r>
        <w:rPr>
          <w:rFonts w:cs="Arial"/>
        </w:rPr>
      </w:r>
      <w:r>
        <w:rPr>
          <w:rFonts w:cs="Arial"/>
        </w:rPr>
        <w:fldChar w:fldCharType="separate"/>
      </w:r>
      <w:r w:rsidR="007A1473" w:rsidRPr="005D0525">
        <w:t>Schedule</w:t>
      </w:r>
      <w:r w:rsidR="007A1473">
        <w:t> </w:t>
      </w:r>
      <w:r w:rsidR="007A1473" w:rsidRPr="005D0525">
        <w:t>19</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Schedule19Heading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Reports and Audit Rights</w:t>
      </w:r>
      <w:r w:rsidRPr="002F30DB">
        <w:rPr>
          <w:rFonts w:cs="Arial"/>
          <w:i/>
          <w:iCs/>
        </w:rPr>
        <w:fldChar w:fldCharType="end"/>
      </w:r>
      <w:r>
        <w:rPr>
          <w:rFonts w:cs="Arial"/>
        </w:rPr>
        <w:t>)</w:t>
      </w:r>
      <w:r w:rsidRPr="00D5341B">
        <w:t xml:space="preserve">) that the </w:t>
      </w:r>
      <w:r w:rsidRPr="00FD31FC">
        <w:t>Achieved</w:t>
      </w:r>
      <w:r w:rsidRPr="00D5341B">
        <w:t xml:space="preserve"> Profit Margin as at the end of the Contract Year to which the Annual Contract Report is made up exceeds the Maximum Permitted Profit Margin:</w:t>
      </w:r>
      <w:bookmarkEnd w:id="949"/>
      <w:bookmarkEnd w:id="950"/>
    </w:p>
    <w:p w14:paraId="70EA4A77" w14:textId="77777777" w:rsidR="00F67E9E" w:rsidRPr="00D5341B" w:rsidRDefault="00F67E9E" w:rsidP="00F67E9E">
      <w:pPr>
        <w:pStyle w:val="Numbered111"/>
        <w:tabs>
          <w:tab w:val="clear" w:pos="1800"/>
          <w:tab w:val="num" w:pos="2160"/>
        </w:tabs>
      </w:pPr>
      <w:bookmarkStart w:id="952" w:name="_Ref99026459"/>
      <w:bookmarkStart w:id="953" w:name="_Ref_ContractCompanion_9kb9Ur23A"/>
      <w:r w:rsidRPr="00D5341B">
        <w:t>the Supplier shall, within 5 Working Days of delivery to the Authority of the Annual Contract Report, propose such adjustments to the Charges as will ensure that the Achieved Profit Margin both over the Contract Year to which the next Annual Contract Report will relate and over the Term will not exceed the Maximum Permitted Profit Margin;</w:t>
      </w:r>
      <w:bookmarkEnd w:id="952"/>
      <w:r w:rsidRPr="00D5341B">
        <w:t xml:space="preserve"> </w:t>
      </w:r>
      <w:bookmarkEnd w:id="953"/>
    </w:p>
    <w:p w14:paraId="6737BCFA" w14:textId="77777777" w:rsidR="00F67E9E" w:rsidRPr="00D5341B" w:rsidRDefault="00F67E9E" w:rsidP="00F67E9E">
      <w:pPr>
        <w:pStyle w:val="Numbered111"/>
        <w:tabs>
          <w:tab w:val="clear" w:pos="1800"/>
          <w:tab w:val="num" w:pos="2160"/>
        </w:tabs>
      </w:pPr>
      <w:r w:rsidRPr="00D5341B">
        <w:t>the Authority (acting reasonably) may agree or reject the proposed adjustments;</w:t>
      </w:r>
    </w:p>
    <w:p w14:paraId="6059A580" w14:textId="77777777" w:rsidR="00F67E9E" w:rsidRPr="00D5341B" w:rsidRDefault="00F67E9E" w:rsidP="00F67E9E">
      <w:pPr>
        <w:pStyle w:val="Numbered111"/>
        <w:tabs>
          <w:tab w:val="clear" w:pos="1800"/>
          <w:tab w:val="num" w:pos="2160"/>
        </w:tabs>
      </w:pPr>
      <w:r w:rsidRPr="00D5341B">
        <w:t>if the Authority rejects the proposed adjustments it shall give reasons and the Supplier shall propose revised adjustments within 10 Working Days of receiving those reasons; and</w:t>
      </w:r>
    </w:p>
    <w:p w14:paraId="6A2F01CE" w14:textId="77777777" w:rsidR="00F67E9E" w:rsidRPr="00D5341B" w:rsidRDefault="00F67E9E" w:rsidP="00F67E9E">
      <w:pPr>
        <w:pStyle w:val="Numbered111"/>
        <w:tabs>
          <w:tab w:val="clear" w:pos="1800"/>
          <w:tab w:val="num" w:pos="2160"/>
        </w:tabs>
      </w:pPr>
      <w:r w:rsidRPr="00D5341B">
        <w:t xml:space="preserve">if the Parties cannot agree such revised adjustments and the Authority terminates this Contract by issuing a </w:t>
      </w:r>
      <w:bookmarkStart w:id="954" w:name="_9kMLK5YVt4CE9ELjOt2uwpw517hdGBvs"/>
      <w:r w:rsidRPr="00D5341B">
        <w:t>Termination Notice</w:t>
      </w:r>
      <w:bookmarkEnd w:id="954"/>
      <w:r w:rsidRPr="00D5341B">
        <w:t xml:space="preserve"> to the Supplier pursuant to </w:t>
      </w:r>
      <w:bookmarkStart w:id="955" w:name="_9kR3WTr2CC5FHLChrAv7KJr"/>
      <w:r w:rsidRPr="00D5341B">
        <w:t>Clause 31.1(a)</w:t>
      </w:r>
      <w:bookmarkEnd w:id="955"/>
      <w:r w:rsidRPr="00D5341B">
        <w:t xml:space="preserve"> (</w:t>
      </w:r>
      <w:r w:rsidRPr="00D5341B">
        <w:rPr>
          <w:i/>
        </w:rPr>
        <w:t>Termination by the</w:t>
      </w:r>
      <w:r w:rsidRPr="00D5341B">
        <w:t xml:space="preserve"> </w:t>
      </w:r>
      <w:r w:rsidRPr="00D5341B">
        <w:rPr>
          <w:i/>
        </w:rPr>
        <w:t>Authority</w:t>
      </w:r>
      <w:r w:rsidRPr="00D5341B">
        <w:t xml:space="preserve">), then for the purpose of calculating any Compensation Payment due to the Supplier, the </w:t>
      </w:r>
      <w:bookmarkStart w:id="956" w:name="_9kMML5YVt4CE9ELjOt2uwpw517hdGBvs"/>
      <w:r w:rsidRPr="00D5341B">
        <w:t>Termination Notice</w:t>
      </w:r>
      <w:bookmarkEnd w:id="956"/>
      <w:r w:rsidRPr="00D5341B">
        <w:t xml:space="preserve"> shall be deemed to have been served as at the date of receipt by the Authority of the relevant Annual Contract Report. </w:t>
      </w:r>
    </w:p>
    <w:p w14:paraId="286521AA" w14:textId="5909930B" w:rsidR="00F67E9E" w:rsidRDefault="00F67E9E" w:rsidP="00F67E9E">
      <w:pPr>
        <w:pStyle w:val="Numbered11"/>
      </w:pPr>
      <w:bookmarkStart w:id="957" w:name="_9kR3WTr3435CGaInnjuthi0znwxzFH4r2KKJKOF"/>
      <w:bookmarkStart w:id="958" w:name="_Ref41640294"/>
      <w:r w:rsidRPr="00D5341B">
        <w:t>Pending agreement of a proposed adjustment to the Charges</w:t>
      </w:r>
      <w:bookmarkEnd w:id="957"/>
      <w:r w:rsidRPr="00D5341B">
        <w:t xml:space="preserve"> pursuant to this </w:t>
      </w:r>
      <w:r w:rsidRPr="00D5341B">
        <w:fldChar w:fldCharType="begin"/>
      </w:r>
      <w:r w:rsidRPr="00D5341B">
        <w:instrText xml:space="preserve"> REF Sch15PartD \h  \* MERGEFORMAT </w:instrText>
      </w:r>
      <w:r w:rsidRPr="00D5341B">
        <w:fldChar w:fldCharType="separate"/>
      </w:r>
      <w:r w:rsidR="007A1473" w:rsidRPr="000038E2">
        <w:t>Part</w:t>
      </w:r>
      <w:r w:rsidR="007A1473" w:rsidRPr="00D5341B">
        <w:t> D</w:t>
      </w:r>
      <w:r w:rsidRPr="00D5341B">
        <w:fldChar w:fldCharType="end"/>
      </w:r>
      <w:r w:rsidRPr="00D5341B">
        <w:t xml:space="preserve">, the Charges then in force shall continue to apply. Once the adjustments to the Charges are agreed in accordance with </w:t>
      </w:r>
      <w:bookmarkStart w:id="959" w:name="_9kMHG5YVtCIB8ACDDUGfoPK4C0sVTBHM4qA0gBM"/>
      <w:r w:rsidRPr="00D5341B">
        <w:t xml:space="preserve">Paragraph </w:t>
      </w:r>
      <w:r w:rsidRPr="00D5341B">
        <w:fldChar w:fldCharType="begin"/>
      </w:r>
      <w:r w:rsidRPr="00D5341B">
        <w:instrText xml:space="preserve"> REF _Ref_ContractCompanion_9kb9Us244 \n \h \t \* MERGEFORMAT </w:instrText>
      </w:r>
      <w:r w:rsidRPr="00D5341B">
        <w:fldChar w:fldCharType="separate"/>
      </w:r>
      <w:r w:rsidR="007A1473">
        <w:t>2.1</w:t>
      </w:r>
      <w:r w:rsidRPr="00D5341B">
        <w:fldChar w:fldCharType="end"/>
      </w:r>
      <w:bookmarkEnd w:id="959"/>
      <w:r w:rsidRPr="00D5341B">
        <w:t xml:space="preserve">, the Parties shall document the adjustment in a Change </w:t>
      </w:r>
      <w:r w:rsidRPr="00FD31FC">
        <w:t>Authorisation</w:t>
      </w:r>
      <w:r w:rsidRPr="00D5341B">
        <w:t xml:space="preserve"> Note and the adjusted Charges shall apply with effect from the first day of the Service Period that immediately follows the Service Period in which the Change Authorisation Note is executed or such other date as is specified in the Change Authorisation Note.</w:t>
      </w:r>
      <w:bookmarkEnd w:id="958"/>
    </w:p>
    <w:p w14:paraId="4AC94AD4" w14:textId="77777777" w:rsidR="00F67E9E" w:rsidRDefault="00F67E9E" w:rsidP="00F67E9E"/>
    <w:p w14:paraId="27487937" w14:textId="77777777" w:rsidR="00F67E9E" w:rsidRDefault="00F67E9E" w:rsidP="00F67E9E">
      <w:pPr>
        <w:pStyle w:val="Heading2"/>
        <w:pageBreakBefore/>
      </w:pPr>
      <w:bookmarkStart w:id="960" w:name="Sch15PartE"/>
      <w:bookmarkStart w:id="961" w:name="_Ref_ContractCompanion_9kb9Ur3CI"/>
      <w:bookmarkStart w:id="962" w:name="_Ref_ContractCompanion_9kb9Ur3DB"/>
      <w:bookmarkStart w:id="963" w:name="_Ref_ContractCompanion_9kb9Ur3DD"/>
      <w:bookmarkStart w:id="964" w:name="_Ref_ContractCompanion_9kb9Us17E"/>
      <w:bookmarkStart w:id="965" w:name="_Toc145412775"/>
      <w:r w:rsidRPr="00D5341B">
        <w:lastRenderedPageBreak/>
        <w:t>P</w:t>
      </w:r>
      <w:r>
        <w:t>art</w:t>
      </w:r>
      <w:r w:rsidRPr="00D5341B">
        <w:t xml:space="preserve"> E</w:t>
      </w:r>
      <w:bookmarkEnd w:id="960"/>
      <w:r w:rsidRPr="00D5341B">
        <w:t xml:space="preserve">: Invoicing </w:t>
      </w:r>
      <w:r>
        <w:t>a</w:t>
      </w:r>
      <w:r w:rsidRPr="00D5341B">
        <w:t>nd Payment Terms</w:t>
      </w:r>
      <w:bookmarkEnd w:id="961"/>
      <w:bookmarkEnd w:id="962"/>
      <w:bookmarkEnd w:id="963"/>
      <w:bookmarkEnd w:id="964"/>
      <w:bookmarkEnd w:id="965"/>
    </w:p>
    <w:p w14:paraId="225EF06C" w14:textId="77777777" w:rsidR="00F67E9E" w:rsidRPr="00D5341B" w:rsidRDefault="00F67E9E" w:rsidP="00F13933">
      <w:pPr>
        <w:pStyle w:val="Numbered1"/>
        <w:numPr>
          <w:ilvl w:val="0"/>
          <w:numId w:val="126"/>
        </w:numPr>
      </w:pPr>
      <w:r w:rsidRPr="00FD31FC">
        <w:t>Supplier</w:t>
      </w:r>
      <w:r w:rsidRPr="00D5341B">
        <w:t xml:space="preserve"> Invoices</w:t>
      </w:r>
    </w:p>
    <w:p w14:paraId="2F3A36FA" w14:textId="77777777" w:rsidR="00F67E9E" w:rsidRPr="00FD31FC" w:rsidRDefault="00F67E9E" w:rsidP="00F67E9E">
      <w:pPr>
        <w:pStyle w:val="Numbered11"/>
      </w:pPr>
      <w:bookmarkStart w:id="966" w:name="_9kR3WTr29B88ABAdRjDOE2y947OO8rw8yqtwAQH"/>
      <w:bookmarkStart w:id="967" w:name="_Ref_ContractCompanion_9kb9Us7BB"/>
      <w:r w:rsidRPr="00D5341B">
        <w:t>The Authority shall accept for processing any electronic invoice that complies with the European Standard</w:t>
      </w:r>
      <w:r w:rsidRPr="00FD31FC">
        <w:t>, provided that it is valid and undisputed.</w:t>
      </w:r>
      <w:bookmarkEnd w:id="966"/>
      <w:r w:rsidRPr="00FD31FC">
        <w:t xml:space="preserve"> </w:t>
      </w:r>
      <w:bookmarkEnd w:id="967"/>
    </w:p>
    <w:p w14:paraId="675BE331" w14:textId="77777777" w:rsidR="00F67E9E" w:rsidRPr="00D5341B" w:rsidRDefault="00F67E9E" w:rsidP="00F67E9E">
      <w:pPr>
        <w:pStyle w:val="Numbered11"/>
      </w:pPr>
      <w:r w:rsidRPr="00FD31FC">
        <w:t>If the Supplier proposes to submit for payment an invoice that does not comply with the European standard t</w:t>
      </w:r>
      <w:r w:rsidRPr="00D5341B">
        <w:t>he Supplier shall:</w:t>
      </w:r>
    </w:p>
    <w:p w14:paraId="4B27CEDA" w14:textId="77777777" w:rsidR="00F67E9E" w:rsidRPr="00D5341B" w:rsidRDefault="00F67E9E" w:rsidP="00F67E9E">
      <w:pPr>
        <w:pStyle w:val="Numbered111"/>
        <w:tabs>
          <w:tab w:val="clear" w:pos="1800"/>
          <w:tab w:val="num" w:pos="2160"/>
        </w:tabs>
      </w:pPr>
      <w:r w:rsidRPr="00D5341B">
        <w:t>comply with the requirements of the Authority</w:t>
      </w:r>
      <w:r>
        <w:t>’</w:t>
      </w:r>
      <w:r w:rsidRPr="00D5341B">
        <w:t xml:space="preserve">s e-invoicing system; </w:t>
      </w:r>
    </w:p>
    <w:p w14:paraId="51376B4B" w14:textId="50DB9572" w:rsidR="00F67E9E" w:rsidRPr="00D5341B" w:rsidRDefault="00F67E9E" w:rsidP="00F67E9E">
      <w:pPr>
        <w:pStyle w:val="Numbered111"/>
      </w:pPr>
      <w:bookmarkStart w:id="968" w:name="_Ref99026157"/>
      <w:r w:rsidRPr="00D5341B">
        <w:t xml:space="preserve">prepare and provide to the Authority for approval of the format a template invoice within 10 Working Days of the Effective Date which shall include, as a minimum the details set out in </w:t>
      </w:r>
      <w:bookmarkStart w:id="969" w:name="_9kMHG5YVtCIB8AFFEhTlXiC85zt3I9sx936LTTE"/>
      <w:r w:rsidRPr="00D5341B">
        <w:t xml:space="preserve">Paragraph </w:t>
      </w:r>
      <w:r w:rsidRPr="00D5341B">
        <w:fldChar w:fldCharType="begin"/>
      </w:r>
      <w:r w:rsidRPr="00D5341B">
        <w:instrText xml:space="preserve"> REF _Ref_ContractCompanion_9kb9Us247 \n \h \t \* MERGEFORMAT </w:instrText>
      </w:r>
      <w:r w:rsidRPr="00D5341B">
        <w:fldChar w:fldCharType="separate"/>
      </w:r>
      <w:r w:rsidR="007A1473">
        <w:t>1.3</w:t>
      </w:r>
      <w:r w:rsidRPr="00D5341B">
        <w:fldChar w:fldCharType="end"/>
      </w:r>
      <w:bookmarkEnd w:id="969"/>
      <w:r w:rsidRPr="00D5341B">
        <w:t xml:space="preserve"> together with such other information as the Authority may reasonably require to assess whether the Charges that will be detailed therein are properly payable; and</w:t>
      </w:r>
      <w:bookmarkEnd w:id="968"/>
      <w:r w:rsidRPr="00D5341B">
        <w:t xml:space="preserve"> </w:t>
      </w:r>
    </w:p>
    <w:p w14:paraId="561BFDE0" w14:textId="2BC514AF" w:rsidR="00F67E9E" w:rsidRPr="00D5341B" w:rsidRDefault="00F67E9E" w:rsidP="00F67E9E">
      <w:pPr>
        <w:pStyle w:val="Numbered111"/>
      </w:pPr>
      <w:r w:rsidRPr="00D5341B">
        <w:t xml:space="preserve">make such amendments as may be reasonably required by the Authority if the template invoice outlined in </w:t>
      </w:r>
      <w:r w:rsidRPr="00D5341B">
        <w:fldChar w:fldCharType="begin"/>
      </w:r>
      <w:r w:rsidRPr="00D5341B">
        <w:instrText xml:space="preserve"> REF _Ref99026157 \n \h </w:instrText>
      </w:r>
      <w:r>
        <w:instrText xml:space="preserve"> \* MERGEFORMAT </w:instrText>
      </w:r>
      <w:r w:rsidRPr="00D5341B">
        <w:fldChar w:fldCharType="separate"/>
      </w:r>
      <w:r w:rsidR="007A1473">
        <w:t>1.2.2</w:t>
      </w:r>
      <w:r w:rsidRPr="00D5341B">
        <w:fldChar w:fldCharType="end"/>
      </w:r>
      <w:r w:rsidRPr="00D5341B">
        <w:t xml:space="preserve"> is not approved by the Authority.</w:t>
      </w:r>
    </w:p>
    <w:p w14:paraId="0AE76E38" w14:textId="77777777" w:rsidR="00F67E9E" w:rsidRPr="00D5341B" w:rsidRDefault="00F67E9E" w:rsidP="00F67E9E">
      <w:pPr>
        <w:pStyle w:val="Numbered11"/>
      </w:pPr>
      <w:bookmarkStart w:id="970" w:name="_Ref_ContractCompanion_9kb9Us247"/>
      <w:bookmarkStart w:id="971" w:name="_9kR3WTrAG968DDCfRjVgA63xr1G7qv714JRRCFJ"/>
      <w:r w:rsidRPr="00D5341B">
        <w:t xml:space="preserve">The </w:t>
      </w:r>
      <w:r w:rsidRPr="00FD31FC">
        <w:t>Supplier</w:t>
      </w:r>
      <w:r w:rsidRPr="00D5341B">
        <w:t xml:space="preserve"> shall ensure that each invoice is submitted in the correct format for the Authority</w:t>
      </w:r>
      <w:r>
        <w:t>’</w:t>
      </w:r>
      <w:r w:rsidRPr="00D5341B">
        <w:t>s e-invoicing system, or that it contains the following information:</w:t>
      </w:r>
      <w:bookmarkEnd w:id="970"/>
      <w:bookmarkEnd w:id="971"/>
    </w:p>
    <w:p w14:paraId="6B7C06C6" w14:textId="77777777" w:rsidR="00F67E9E" w:rsidRPr="00D5341B" w:rsidRDefault="00F67E9E" w:rsidP="00F67E9E">
      <w:pPr>
        <w:pStyle w:val="Numbered111"/>
        <w:tabs>
          <w:tab w:val="clear" w:pos="1800"/>
          <w:tab w:val="num" w:pos="2160"/>
        </w:tabs>
      </w:pPr>
      <w:bookmarkStart w:id="972" w:name="_Ref_ContractCompanion_9kb9Ur1BF"/>
      <w:r w:rsidRPr="00D5341B">
        <w:t>the date of the invoice;</w:t>
      </w:r>
      <w:bookmarkEnd w:id="972"/>
    </w:p>
    <w:p w14:paraId="101CCF1F" w14:textId="77777777" w:rsidR="00F67E9E" w:rsidRPr="00D5341B" w:rsidRDefault="00F67E9E" w:rsidP="00F67E9E">
      <w:pPr>
        <w:pStyle w:val="Numbered111"/>
      </w:pPr>
      <w:r w:rsidRPr="00D5341B">
        <w:t>a unique invoice number;</w:t>
      </w:r>
    </w:p>
    <w:p w14:paraId="3C428F09" w14:textId="77777777" w:rsidR="00F67E9E" w:rsidRPr="00D5341B" w:rsidRDefault="00F67E9E" w:rsidP="00F67E9E">
      <w:pPr>
        <w:pStyle w:val="Numbered111"/>
      </w:pPr>
      <w:r w:rsidRPr="00D5341B">
        <w:t>the Service Period or other period(s) to which the relevant Charge(s) relate;</w:t>
      </w:r>
    </w:p>
    <w:p w14:paraId="60761DA4" w14:textId="77777777" w:rsidR="00F67E9E" w:rsidRPr="00D5341B" w:rsidRDefault="00F67E9E" w:rsidP="00F67E9E">
      <w:pPr>
        <w:pStyle w:val="Numbered111"/>
      </w:pPr>
      <w:r w:rsidRPr="00D5341B">
        <w:t>the correct reference for this Contract;</w:t>
      </w:r>
    </w:p>
    <w:p w14:paraId="2E5C0075" w14:textId="1564B448" w:rsidR="00F67E9E" w:rsidRPr="00D5341B" w:rsidRDefault="00F67E9E" w:rsidP="00F67E9E">
      <w:pPr>
        <w:pStyle w:val="Numbered111"/>
      </w:pPr>
      <w:r w:rsidRPr="00D5341B">
        <w:t>the reference number of the purchase order to which it relates;</w:t>
      </w:r>
    </w:p>
    <w:p w14:paraId="1A8A6737" w14:textId="77777777" w:rsidR="00F67E9E" w:rsidRPr="00D5341B" w:rsidRDefault="00F67E9E" w:rsidP="00F67E9E">
      <w:pPr>
        <w:pStyle w:val="Numbered111"/>
      </w:pPr>
      <w:r w:rsidRPr="00D5341B">
        <w:t>the dates between which the Services subject of each of the Charges detailed on the invoice were performed;</w:t>
      </w:r>
    </w:p>
    <w:p w14:paraId="518143DB" w14:textId="427EA5E8" w:rsidR="00DF527B" w:rsidRDefault="00DF527B" w:rsidP="00F67E9E">
      <w:pPr>
        <w:pStyle w:val="Numbered111"/>
      </w:pPr>
      <w:r>
        <w:t xml:space="preserve">relevant Change Request </w:t>
      </w:r>
      <w:r w:rsidR="004C7B2D">
        <w:t xml:space="preserve">reference number </w:t>
      </w:r>
      <w:r>
        <w:t>(if applicable);</w:t>
      </w:r>
    </w:p>
    <w:p w14:paraId="4AA6733C" w14:textId="6A9AD8EF" w:rsidR="00F67E9E" w:rsidRPr="00D5341B" w:rsidRDefault="00F67E9E" w:rsidP="00F67E9E">
      <w:pPr>
        <w:pStyle w:val="Numbered111"/>
      </w:pPr>
      <w:r w:rsidRPr="00D5341B">
        <w:t>a description of the Services;</w:t>
      </w:r>
    </w:p>
    <w:p w14:paraId="6E9F9EDC" w14:textId="77777777" w:rsidR="00F67E9E" w:rsidRPr="00D5341B" w:rsidRDefault="00F67E9E" w:rsidP="00F67E9E">
      <w:pPr>
        <w:pStyle w:val="Numbered111"/>
      </w:pPr>
      <w:r w:rsidRPr="00D5341B">
        <w:t>the pricing mechanism used to calculate the Charges (such as Guaranteed Maximum Price with Target Cost, Fixed Price, Time and Materials);</w:t>
      </w:r>
    </w:p>
    <w:p w14:paraId="7C9E447F" w14:textId="77777777" w:rsidR="00F67E9E" w:rsidRPr="00D5341B" w:rsidRDefault="00F67E9E" w:rsidP="00F67E9E">
      <w:pPr>
        <w:pStyle w:val="Numbered111"/>
      </w:pPr>
      <w:r w:rsidRPr="00D5341B">
        <w:t>any payments due in respect of Achievement of a Milestone, including the Milestone Achievement Certificate number for each relevant Milestone;</w:t>
      </w:r>
    </w:p>
    <w:p w14:paraId="5EB6AF9A" w14:textId="77777777" w:rsidR="00F67E9E" w:rsidRPr="00D5341B" w:rsidRDefault="00F67E9E" w:rsidP="00F67E9E">
      <w:pPr>
        <w:pStyle w:val="Numbered111"/>
      </w:pPr>
      <w:r w:rsidRPr="00D5341B">
        <w:t>the total Charges gross and net of any applicable deductions and, separately, the amount of any Reimbursable Expenses properly chargeable to the Authority under the terms of this Contract, and, separately, any VAT or other sales tax payable in respect of each of the same;</w:t>
      </w:r>
    </w:p>
    <w:p w14:paraId="217B7D57" w14:textId="77777777" w:rsidR="00F67E9E" w:rsidRPr="00D5341B" w:rsidRDefault="00F67E9E" w:rsidP="00F67E9E">
      <w:pPr>
        <w:pStyle w:val="Numbered111"/>
      </w:pPr>
      <w:r w:rsidRPr="00D5341B">
        <w:t xml:space="preserve">details of any Service Credits or Delay Payments or similar deductions that shall apply to the Charges detailed on the invoice; </w:t>
      </w:r>
    </w:p>
    <w:p w14:paraId="198436A5" w14:textId="77777777" w:rsidR="00F67E9E" w:rsidRPr="00D5341B" w:rsidRDefault="00F67E9E" w:rsidP="00F67E9E">
      <w:pPr>
        <w:pStyle w:val="Numbered111"/>
      </w:pPr>
      <w:r w:rsidRPr="00D5341B">
        <w:lastRenderedPageBreak/>
        <w:t>reference to any reports required by the Authority in respect of the Services to which the Charges detailed on the invoice relate (or in the case of reports issued by the Supplier for validation by the Authority, then to any such reports as are validated by the Authority in respect of the Services);</w:t>
      </w:r>
    </w:p>
    <w:p w14:paraId="003108B9" w14:textId="77777777" w:rsidR="00F67E9E" w:rsidRPr="00D5341B" w:rsidRDefault="00F67E9E" w:rsidP="00F67E9E">
      <w:pPr>
        <w:pStyle w:val="Numbered111"/>
      </w:pPr>
      <w:r w:rsidRPr="00D5341B">
        <w:t>a contact name and telephone number of a responsible person in the Supplier</w:t>
      </w:r>
      <w:r>
        <w:t>’</w:t>
      </w:r>
      <w:r w:rsidRPr="00D5341B">
        <w:t>s finance department in the event of administrative queries;</w:t>
      </w:r>
    </w:p>
    <w:p w14:paraId="74285E32" w14:textId="77777777" w:rsidR="00F67E9E" w:rsidRPr="00D5341B" w:rsidRDefault="00F67E9E" w:rsidP="00F67E9E">
      <w:pPr>
        <w:pStyle w:val="Numbered111"/>
      </w:pPr>
      <w:bookmarkStart w:id="973" w:name="_Ref_ContractCompanion_9kb9Ur1BH"/>
      <w:r w:rsidRPr="00D5341B">
        <w:t>the banking details for payment to the Supplier via electronic transfer of funds (i.e. name and address of bank, sort code, account name and number); and</w:t>
      </w:r>
      <w:bookmarkEnd w:id="973"/>
    </w:p>
    <w:p w14:paraId="4BB29ED3" w14:textId="518FF582" w:rsidR="00F67E9E" w:rsidRPr="00D5341B" w:rsidRDefault="00F67E9E" w:rsidP="00F67E9E">
      <w:pPr>
        <w:pStyle w:val="Numbered111"/>
      </w:pPr>
      <w:r w:rsidRPr="00D5341B">
        <w:t xml:space="preserve">where the Services have been structured into separate Service lines, the information at </w:t>
      </w:r>
      <w:r w:rsidRPr="00D5341B">
        <w:fldChar w:fldCharType="begin"/>
      </w:r>
      <w:r w:rsidRPr="00D5341B">
        <w:instrText xml:space="preserve"> REF _Ref_ContractCompanion_9kb9Ur1BF \w \n \h \t \* MERGEFORMAT </w:instrText>
      </w:r>
      <w:r w:rsidRPr="00D5341B">
        <w:fldChar w:fldCharType="separate"/>
      </w:r>
      <w:r w:rsidR="007A1473">
        <w:t>1.3.1</w:t>
      </w:r>
      <w:r w:rsidRPr="00D5341B">
        <w:fldChar w:fldCharType="end"/>
      </w:r>
      <w:r w:rsidRPr="00D5341B">
        <w:t xml:space="preserve"> to </w:t>
      </w:r>
      <w:bookmarkStart w:id="974" w:name="_9kR3WTr2CC5FN2"/>
      <w:r w:rsidRPr="00D5341B">
        <w:fldChar w:fldCharType="begin"/>
      </w:r>
      <w:r w:rsidRPr="00D5341B">
        <w:instrText xml:space="preserve"> REF _Ref_ContractCompanion_9kb9Ur1BH \w \n \h \t \* MERGEFORMAT </w:instrText>
      </w:r>
      <w:r w:rsidRPr="00D5341B">
        <w:fldChar w:fldCharType="separate"/>
      </w:r>
      <w:r w:rsidR="007A1473">
        <w:t>1.3.15</w:t>
      </w:r>
      <w:r w:rsidRPr="00D5341B">
        <w:fldChar w:fldCharType="end"/>
      </w:r>
      <w:bookmarkEnd w:id="974"/>
      <w:r w:rsidRPr="00D5341B">
        <w:t xml:space="preserve"> of this </w:t>
      </w:r>
      <w:bookmarkStart w:id="975" w:name="_9kMIH5YVtCIB8AFFEhTlXiC85zt3I9sx936LTTE"/>
      <w:r w:rsidRPr="00D5341B">
        <w:t xml:space="preserve">Paragraph </w:t>
      </w:r>
      <w:r w:rsidRPr="00D5341B">
        <w:fldChar w:fldCharType="begin"/>
      </w:r>
      <w:r w:rsidRPr="00D5341B">
        <w:instrText xml:space="preserve"> REF _Ref_ContractCompanion_9kb9Us247 \n \h \t \* MERGEFORMAT </w:instrText>
      </w:r>
      <w:r w:rsidRPr="00D5341B">
        <w:fldChar w:fldCharType="separate"/>
      </w:r>
      <w:r w:rsidR="007A1473">
        <w:t>1.3</w:t>
      </w:r>
      <w:r w:rsidRPr="00D5341B">
        <w:fldChar w:fldCharType="end"/>
      </w:r>
      <w:bookmarkEnd w:id="975"/>
      <w:r w:rsidRPr="00D5341B">
        <w:t xml:space="preserve"> shall be broken down in each invoice per Service line.</w:t>
      </w:r>
    </w:p>
    <w:p w14:paraId="1E83D3DB" w14:textId="3A9E5322" w:rsidR="00F67E9E" w:rsidRPr="00277440" w:rsidRDefault="00F67E9E" w:rsidP="00F67E9E">
      <w:pPr>
        <w:pStyle w:val="Numbered11"/>
      </w:pPr>
      <w:bookmarkStart w:id="976" w:name="_9kR3WTrAG968GGDgRjVgA63xr1G7qv758MOC1yG"/>
      <w:bookmarkStart w:id="977" w:name="_Ref_ContractCompanion_9kb9Us24A"/>
      <w:r w:rsidRPr="00D5341B">
        <w:t>The Supplier shall invoice the Authority in respect</w:t>
      </w:r>
      <w:r w:rsidRPr="00277440">
        <w:t xml:space="preserve"> of Services in accordance with the requirements of </w:t>
      </w:r>
      <w:r w:rsidRPr="00FE1CB1">
        <w:fldChar w:fldCharType="begin"/>
      </w:r>
      <w:r w:rsidRPr="00FE1CB1">
        <w:instrText xml:space="preserve"> REF Sch15PartB \h  \* MERGEFORMAT </w:instrText>
      </w:r>
      <w:r w:rsidRPr="00FE1CB1">
        <w:fldChar w:fldCharType="separate"/>
      </w:r>
      <w:r w:rsidR="007A1473" w:rsidRPr="000038E2">
        <w:t xml:space="preserve">Part </w:t>
      </w:r>
      <w:r w:rsidR="007A1473" w:rsidRPr="00D5341B">
        <w:t>B</w:t>
      </w:r>
      <w:r w:rsidRPr="00FE1CB1">
        <w:fldChar w:fldCharType="end"/>
      </w:r>
      <w:r w:rsidRPr="00277440">
        <w:t>.</w:t>
      </w:r>
      <w:bookmarkEnd w:id="976"/>
      <w:r w:rsidRPr="00277440">
        <w:t xml:space="preserve"> The Supplier shall first submit to the Authority a draft invoice setting out the Charges payable. The Parties shall endeavour to agree the draft invoice within 5 Working Days of its receipt by the Authority, following which the Supplier shall be entitled to submit its invoice. </w:t>
      </w:r>
      <w:bookmarkEnd w:id="977"/>
    </w:p>
    <w:p w14:paraId="42632BCF" w14:textId="77777777" w:rsidR="00F67E9E" w:rsidRPr="00277440" w:rsidRDefault="00F67E9E" w:rsidP="00F67E9E">
      <w:pPr>
        <w:pStyle w:val="Numbered11"/>
      </w:pPr>
      <w:r w:rsidRPr="00277440">
        <w:t xml:space="preserve">Each invoice shall at all times be accompanied by </w:t>
      </w:r>
      <w:bookmarkStart w:id="978" w:name="_9kMLK5YVt4CE9FFbd7336C4zyPSy5G13J78HDJ"/>
      <w:r w:rsidRPr="00277440">
        <w:t>Supporting Documentation</w:t>
      </w:r>
      <w:bookmarkEnd w:id="978"/>
      <w:r w:rsidRPr="00277440">
        <w:t xml:space="preserve">. Any assessment by the Authority as to what constitutes </w:t>
      </w:r>
      <w:bookmarkStart w:id="979" w:name="_9kMML5YVt4CE9FFbd7336C4zyPSy5G13J78HDJ"/>
      <w:r w:rsidRPr="00277440">
        <w:t>Supporting Documentation</w:t>
      </w:r>
      <w:bookmarkEnd w:id="979"/>
      <w:r w:rsidRPr="00277440">
        <w:t xml:space="preserve"> shall not be conclusive and the Supplier undertakes to provide to the Authority any other documentation reasonably required by the Authority from time to time to substantiate an</w:t>
      </w:r>
      <w:r>
        <w:t> </w:t>
      </w:r>
      <w:r w:rsidRPr="00277440">
        <w:t>invoice.</w:t>
      </w:r>
    </w:p>
    <w:p w14:paraId="71948754" w14:textId="2A27892D" w:rsidR="00F67E9E" w:rsidRPr="005959B7" w:rsidRDefault="00F67E9E" w:rsidP="00F67E9E">
      <w:pPr>
        <w:pStyle w:val="Numbered11"/>
      </w:pPr>
      <w:r w:rsidRPr="00277440">
        <w:t xml:space="preserve">The Supplier shall </w:t>
      </w:r>
      <w:r w:rsidRPr="005959B7">
        <w:t xml:space="preserve">submit all invoices and </w:t>
      </w:r>
      <w:bookmarkStart w:id="980" w:name="_9kMNM5YVt4CE9FFbd7336C4zyPSy5G13J78HDJ"/>
      <w:r w:rsidRPr="005959B7">
        <w:t>Supporting Documentation</w:t>
      </w:r>
      <w:bookmarkEnd w:id="980"/>
      <w:r w:rsidRPr="005959B7">
        <w:t xml:space="preserve"> to:</w:t>
      </w:r>
    </w:p>
    <w:p w14:paraId="6A188744" w14:textId="3D98F068" w:rsidR="00F67E9E" w:rsidRPr="005959B7" w:rsidRDefault="005959B7" w:rsidP="005959B7">
      <w:pPr>
        <w:pStyle w:val="Numbered11"/>
        <w:rPr>
          <w:rFonts w:cs="Arial"/>
          <w:b/>
          <w:bCs/>
          <w:iCs/>
        </w:rPr>
      </w:pPr>
      <w:r w:rsidRPr="005959B7">
        <w:rPr>
          <w:rStyle w:val="StdBodyTextBoldChar"/>
          <w:rFonts w:eastAsia="Arial" w:cs="Arial"/>
          <w:bCs/>
          <w:iCs/>
        </w:rPr>
        <w:t>gbsfinance@cabinetoffice.gov.uk</w:t>
      </w:r>
    </w:p>
    <w:p w14:paraId="4A0A2F51" w14:textId="77777777" w:rsidR="00F67E9E" w:rsidRPr="00277440" w:rsidRDefault="00F67E9E" w:rsidP="00F67E9E">
      <w:pPr>
        <w:pStyle w:val="Numbered11"/>
        <w:rPr>
          <w:rFonts w:cs="Arial"/>
        </w:rPr>
      </w:pPr>
      <w:r w:rsidRPr="005959B7">
        <w:rPr>
          <w:rFonts w:cs="Arial"/>
        </w:rPr>
        <w:t xml:space="preserve">with a copy (again including any </w:t>
      </w:r>
      <w:bookmarkStart w:id="981" w:name="_9kMON5YVt4CE9FFbd7336C4zyPSy5G13J78HDJ"/>
      <w:r w:rsidRPr="005959B7">
        <w:rPr>
          <w:rFonts w:cs="Arial"/>
        </w:rPr>
        <w:t>Supporting</w:t>
      </w:r>
      <w:r w:rsidRPr="00277440">
        <w:rPr>
          <w:rFonts w:cs="Arial"/>
        </w:rPr>
        <w:t xml:space="preserve"> Documentation</w:t>
      </w:r>
      <w:bookmarkEnd w:id="981"/>
      <w:r w:rsidRPr="00277440">
        <w:rPr>
          <w:rFonts w:cs="Arial"/>
        </w:rPr>
        <w:t>) to such other person and at such place as the Authority may notify to the Supplier from time to time.</w:t>
      </w:r>
      <w:r>
        <w:rPr>
          <w:rFonts w:cs="Arial"/>
        </w:rPr>
        <w:t xml:space="preserve"> </w:t>
      </w:r>
    </w:p>
    <w:p w14:paraId="03C61AAF" w14:textId="77777777" w:rsidR="00F67E9E" w:rsidRPr="00277440" w:rsidRDefault="00F67E9E" w:rsidP="00F67E9E">
      <w:pPr>
        <w:pStyle w:val="Numbered11"/>
      </w:pPr>
      <w:r w:rsidRPr="00277440">
        <w:t>All Supplier invoices shall be expressed in sterling or such other currency as shall be permitted by the Authority in writing.</w:t>
      </w:r>
    </w:p>
    <w:p w14:paraId="61FA6066" w14:textId="605F06A5" w:rsidR="00F67E9E" w:rsidRPr="00277440" w:rsidRDefault="00F67E9E" w:rsidP="00F67E9E">
      <w:pPr>
        <w:pStyle w:val="Numbered11"/>
      </w:pPr>
      <w:bookmarkStart w:id="982" w:name="_9kR3WTrAG969A9HkRjDOE2y947OO8rw8F9zw8Cw"/>
      <w:bookmarkStart w:id="983" w:name="_Ref_ContractCompanion_9kb9Us24D"/>
      <w:r w:rsidRPr="00277440">
        <w:t xml:space="preserve">The Authority shall regard an invoice as valid only if it complies with the provisions of this </w:t>
      </w:r>
      <w:r w:rsidRPr="00892D64">
        <w:fldChar w:fldCharType="begin"/>
      </w:r>
      <w:r w:rsidRPr="00892D64">
        <w:instrText xml:space="preserve"> REF Sch15PartE \h  \* MERGEFORMAT </w:instrText>
      </w:r>
      <w:r w:rsidRPr="00892D64">
        <w:fldChar w:fldCharType="separate"/>
      </w:r>
      <w:r w:rsidR="007A1473" w:rsidRPr="00D5341B">
        <w:t>P</w:t>
      </w:r>
      <w:r w:rsidR="007A1473">
        <w:t>art</w:t>
      </w:r>
      <w:r w:rsidR="007A1473" w:rsidRPr="00D5341B">
        <w:t xml:space="preserve"> E</w:t>
      </w:r>
      <w:r w:rsidRPr="00892D64">
        <w:fldChar w:fldCharType="end"/>
      </w:r>
      <w:r w:rsidRPr="00277440">
        <w:t>.</w:t>
      </w:r>
      <w:bookmarkEnd w:id="982"/>
      <w:r>
        <w:t xml:space="preserve"> </w:t>
      </w:r>
      <w:r w:rsidRPr="00277440">
        <w:t>Where any invoice does not conform to the Authority</w:t>
      </w:r>
      <w:r>
        <w:t>’</w:t>
      </w:r>
      <w:r w:rsidRPr="00277440">
        <w:t xml:space="preserve">s requirements set out in this </w:t>
      </w:r>
      <w:r w:rsidRPr="00892D64">
        <w:fldChar w:fldCharType="begin"/>
      </w:r>
      <w:r w:rsidRPr="00892D64">
        <w:instrText xml:space="preserve"> REF Sch15PartE \h  \* MERGEFORMAT </w:instrText>
      </w:r>
      <w:r w:rsidRPr="00892D64">
        <w:fldChar w:fldCharType="separate"/>
      </w:r>
      <w:r w:rsidR="007A1473" w:rsidRPr="00D5341B">
        <w:t>P</w:t>
      </w:r>
      <w:r w:rsidR="007A1473">
        <w:t>art</w:t>
      </w:r>
      <w:r w:rsidR="007A1473" w:rsidRPr="00D5341B">
        <w:t xml:space="preserve"> E</w:t>
      </w:r>
      <w:r w:rsidRPr="00892D64">
        <w:fldChar w:fldCharType="end"/>
      </w:r>
      <w:r w:rsidRPr="00277440">
        <w:t>, the Authority shall promptly return the disputed invoice to the Supplier and the Supplier shall promptly issue a replacement invoice which shall comply with such requirements.</w:t>
      </w:r>
      <w:bookmarkEnd w:id="983"/>
    </w:p>
    <w:p w14:paraId="5D510511" w14:textId="3595176D" w:rsidR="00F67E9E" w:rsidRPr="00277440" w:rsidRDefault="00F67E9E" w:rsidP="00F67E9E">
      <w:pPr>
        <w:pStyle w:val="Numbered11"/>
      </w:pPr>
      <w:r w:rsidRPr="005959B7">
        <w:t xml:space="preserve">If the Authority fails to consider and verify an invoice in accordance with </w:t>
      </w:r>
      <w:bookmarkStart w:id="984" w:name="_9kMHG5YVtCIB8AIIFiTlXiC85zt3I9sx97AOQE3"/>
      <w:r w:rsidRPr="005959B7">
        <w:t xml:space="preserve">Paragraphs </w:t>
      </w:r>
      <w:r w:rsidRPr="005959B7">
        <w:fldChar w:fldCharType="begin"/>
      </w:r>
      <w:r w:rsidRPr="005959B7">
        <w:instrText xml:space="preserve"> REF _Ref_ContractCompanion_9kb9Us24A \n \h \t \* MERGEFORMAT </w:instrText>
      </w:r>
      <w:r w:rsidRPr="005959B7">
        <w:fldChar w:fldCharType="separate"/>
      </w:r>
      <w:r w:rsidR="007A1473">
        <w:t>1.4</w:t>
      </w:r>
      <w:r w:rsidRPr="005959B7">
        <w:fldChar w:fldCharType="end"/>
      </w:r>
      <w:bookmarkEnd w:id="984"/>
      <w:r w:rsidRPr="005959B7">
        <w:t xml:space="preserve"> and </w:t>
      </w:r>
      <w:bookmarkStart w:id="985" w:name="_9kMHG5YVtCIB8BCBJmTlFQG40B69QQAtyAHB1yA"/>
      <w:r w:rsidRPr="005959B7">
        <w:fldChar w:fldCharType="begin"/>
      </w:r>
      <w:r w:rsidRPr="005959B7">
        <w:instrText xml:space="preserve"> REF _Ref_ContractCompanion_9kb9Us24D \n \h \t \* MERGEFORMAT </w:instrText>
      </w:r>
      <w:r w:rsidRPr="005959B7">
        <w:fldChar w:fldCharType="separate"/>
      </w:r>
      <w:r w:rsidR="007A1473">
        <w:t>1.10</w:t>
      </w:r>
      <w:r w:rsidRPr="005959B7">
        <w:fldChar w:fldCharType="end"/>
      </w:r>
      <w:bookmarkEnd w:id="985"/>
      <w:r w:rsidRPr="005959B7">
        <w:t xml:space="preserve">, the invoice shall be regarded as valid and undisputed for the purpose of </w:t>
      </w:r>
      <w:bookmarkStart w:id="986" w:name="_9kMHG5YVtCIB8BFFDefvlpjzHDE8u5612DA3NQP"/>
      <w:r w:rsidRPr="005959B7">
        <w:t xml:space="preserve">Paragraph </w:t>
      </w:r>
      <w:r w:rsidRPr="005959B7">
        <w:fldChar w:fldCharType="begin"/>
      </w:r>
      <w:r w:rsidRPr="005959B7">
        <w:instrText xml:space="preserve"> REF _Ref_ContractCompanion_9kb9Us257 \n \h \t \* MERGEFORMAT </w:instrText>
      </w:r>
      <w:r w:rsidRPr="005959B7">
        <w:fldChar w:fldCharType="separate"/>
      </w:r>
      <w:r w:rsidR="007A1473">
        <w:t>2.1</w:t>
      </w:r>
      <w:r w:rsidRPr="005959B7">
        <w:fldChar w:fldCharType="end"/>
      </w:r>
      <w:bookmarkEnd w:id="986"/>
      <w:r w:rsidRPr="005959B7">
        <w:t xml:space="preserve"> </w:t>
      </w:r>
      <w:r w:rsidR="005959B7" w:rsidRPr="005959B7">
        <w:t>(</w:t>
      </w:r>
      <w:r w:rsidRPr="005959B7">
        <w:t>Payment in 30 days</w:t>
      </w:r>
      <w:r w:rsidR="005959B7" w:rsidRPr="005959B7">
        <w:t>)</w:t>
      </w:r>
      <w:r w:rsidRPr="00277440">
        <w:t xml:space="preserve"> after a reasonable time has passed.</w:t>
      </w:r>
    </w:p>
    <w:p w14:paraId="083C391E" w14:textId="77777777" w:rsidR="00F67E9E" w:rsidRPr="00277440" w:rsidRDefault="00F67E9E" w:rsidP="00F67E9E">
      <w:pPr>
        <w:pStyle w:val="Numbered1"/>
      </w:pPr>
      <w:r w:rsidRPr="00FD31FC">
        <w:t>Payment</w:t>
      </w:r>
      <w:r w:rsidRPr="00277440">
        <w:t xml:space="preserve"> Terms</w:t>
      </w:r>
    </w:p>
    <w:p w14:paraId="0967E282" w14:textId="77777777" w:rsidR="00F67E9E" w:rsidRPr="00FD31FC" w:rsidRDefault="00F67E9E" w:rsidP="00F67E9E">
      <w:pPr>
        <w:pStyle w:val="Numbered11"/>
      </w:pPr>
      <w:bookmarkStart w:id="987" w:name="_9kR3WTrAG969DDBcdtjnhxFBC6s34z0B81LONNS"/>
      <w:bookmarkStart w:id="988" w:name="_Ref_ContractCompanion_9kb9Us257"/>
      <w:r w:rsidRPr="00277440">
        <w:t xml:space="preserve">Subject to the relevant provisions </w:t>
      </w:r>
      <w:r w:rsidRPr="00BA56A1">
        <w:t>of this Schedule, the Authority shall make payment to the Supplier within thirty (30</w:t>
      </w:r>
      <w:r w:rsidRPr="00FD31FC">
        <w:t>) days of verifying that the invoice is valid and undisputed.</w:t>
      </w:r>
      <w:bookmarkEnd w:id="987"/>
      <w:r w:rsidRPr="00FD31FC">
        <w:t xml:space="preserve"> </w:t>
      </w:r>
      <w:bookmarkEnd w:id="988"/>
    </w:p>
    <w:p w14:paraId="716947F3" w14:textId="77777777" w:rsidR="00F67E9E" w:rsidRDefault="00F67E9E" w:rsidP="00F67E9E">
      <w:pPr>
        <w:pStyle w:val="Numbered11"/>
      </w:pPr>
      <w:r w:rsidRPr="00FD31FC">
        <w:t>Unless the Parties agree otherwise in writing, all Supplier invoices shall be paid in sterling by electronic transfer of funds to</w:t>
      </w:r>
      <w:r w:rsidRPr="0051062F">
        <w:t xml:space="preserve"> the bank account that the Supplier has specified </w:t>
      </w:r>
      <w:r w:rsidRPr="0051062F">
        <w:lastRenderedPageBreak/>
        <w:t>on its invoice.</w:t>
      </w:r>
    </w:p>
    <w:p w14:paraId="6EFA345A" w14:textId="77777777" w:rsidR="00F67E9E" w:rsidRPr="00C7787A" w:rsidRDefault="00F67E9E" w:rsidP="00F67E9E">
      <w:pPr>
        <w:pStyle w:val="Heading2"/>
        <w:pageBreakBefore/>
      </w:pPr>
      <w:bookmarkStart w:id="989" w:name="_Ref_ContractCompanion_9kb9Ur4CE"/>
      <w:bookmarkStart w:id="990" w:name="_Ref_ContractCompanion_9kb9Ur4CG"/>
      <w:bookmarkStart w:id="991" w:name="_Ref_ContractCompanion_9kb9Ur4CI"/>
      <w:bookmarkStart w:id="992" w:name="_Ref_ContractCompanion_9kb9Ur6A7"/>
      <w:bookmarkStart w:id="993" w:name="_Ref_ContractCompanion_9kb9Ur6A9"/>
      <w:bookmarkStart w:id="994" w:name="_Ref_ContractCompanion_9kb9Ur6CC"/>
      <w:bookmarkStart w:id="995" w:name="_Ref_ContractCompanion_9kb9Ur6CE"/>
      <w:bookmarkStart w:id="996" w:name="_Ref_ContractCompanion_9kb9Ur6CG"/>
      <w:bookmarkStart w:id="997" w:name="_Ref_ContractCompanion_9kb9Ur6D9"/>
      <w:bookmarkStart w:id="998" w:name="_Ref_ContractCompanion_9kb9Ur6DB"/>
      <w:bookmarkStart w:id="999" w:name="_Ref_ContractCompanion_9kb9Ur6DD"/>
      <w:bookmarkStart w:id="1000" w:name="_Ref_ContractCompanion_9kb9Ur6DF"/>
      <w:bookmarkStart w:id="1001" w:name="_Ref_ContractCompanion_9kb9Ur6DH"/>
      <w:bookmarkStart w:id="1002" w:name="_Ref_ContractCompanion_9kb9Ur7A4"/>
      <w:bookmarkStart w:id="1003" w:name="_Ref_ContractCompanion_9kb9Ur7A6"/>
      <w:bookmarkStart w:id="1004" w:name="_Ref_ContractCompanion_9kb9Ur7A8"/>
      <w:bookmarkStart w:id="1005" w:name="_Ref_ContractCompanion_9kb9Ur7AA"/>
      <w:bookmarkStart w:id="1006" w:name="_Ref_ContractCompanion_9kb9Ur7AC"/>
      <w:bookmarkStart w:id="1007" w:name="_Ref_ContractCompanion_9kb9Ur7B5"/>
      <w:bookmarkStart w:id="1008" w:name="_Toc145412776"/>
      <w:r w:rsidRPr="00C7787A">
        <w:lastRenderedPageBreak/>
        <w:t xml:space="preserve">Annex </w:t>
      </w:r>
      <w:bookmarkStart w:id="1009" w:name="ANNEX1_SCHEDULE15"/>
      <w:r w:rsidRPr="00C7787A">
        <w:t>1</w:t>
      </w:r>
      <w:bookmarkEnd w:id="1009"/>
      <w:r w:rsidRPr="00C7787A">
        <w:t>: Pricing Mechanism</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507FE332" w14:textId="30F0153B" w:rsidR="00D07EF2" w:rsidRDefault="00D07EF2" w:rsidP="00C7787A">
      <w:pPr>
        <w:pStyle w:val="AppendixText1"/>
        <w:numPr>
          <w:ilvl w:val="0"/>
          <w:numId w:val="0"/>
        </w:numPr>
        <w:ind w:left="720" w:hanging="720"/>
        <w:rPr>
          <w:b w:val="0"/>
        </w:rPr>
      </w:pPr>
      <w:bookmarkStart w:id="1010" w:name="_9kR3WTr2CC5FOjsbnrY"/>
      <w:r w:rsidRPr="00F95340">
        <w:rPr>
          <w:b w:val="0"/>
          <w:color w:val="FFFF00"/>
          <w:highlight w:val="black"/>
        </w:rPr>
        <w:t>Redacted</w:t>
      </w:r>
      <w:r w:rsidRPr="00F95340">
        <w:rPr>
          <w:b w:val="0"/>
          <w:highlight w:val="black"/>
        </w:rPr>
        <w:t xml:space="preserve"> </w:t>
      </w:r>
      <w:r w:rsidRPr="00F95340">
        <w:rPr>
          <w:b w:val="0"/>
          <w:color w:val="FFFFFF" w:themeColor="background1"/>
          <w:highlight w:val="black"/>
        </w:rPr>
        <w:t xml:space="preserve">Under FOIA Section </w:t>
      </w:r>
      <w:r>
        <w:rPr>
          <w:b w:val="0"/>
          <w:color w:val="FFFFFF" w:themeColor="background1"/>
          <w:highlight w:val="black"/>
        </w:rPr>
        <w:t>43</w:t>
      </w:r>
      <w:r w:rsidRPr="009E775F">
        <w:rPr>
          <w:b w:val="0"/>
          <w:color w:val="FFFFFF" w:themeColor="background1"/>
          <w:highlight w:val="black"/>
        </w:rPr>
        <w:t>, Commercial Interests</w:t>
      </w:r>
    </w:p>
    <w:bookmarkEnd w:id="1010"/>
    <w:p w14:paraId="6D5F1541" w14:textId="2EFCB891" w:rsidR="00503EB0" w:rsidRDefault="00503EB0" w:rsidP="00FB2507">
      <w:pPr>
        <w:ind w:left="720" w:hanging="720"/>
      </w:pPr>
    </w:p>
    <w:p w14:paraId="4C2400A2" w14:textId="77777777" w:rsidR="00F67E9E" w:rsidRDefault="00F67E9E" w:rsidP="00F67E9E">
      <w:pPr>
        <w:rPr>
          <w:lang w:eastAsia="en-GB"/>
        </w:rPr>
      </w:pPr>
    </w:p>
    <w:p w14:paraId="1C393273" w14:textId="77777777" w:rsidR="00F67E9E" w:rsidRDefault="00F67E9E" w:rsidP="00F67E9E">
      <w:pPr>
        <w:pStyle w:val="Heading2"/>
        <w:pageBreakBefore/>
      </w:pPr>
      <w:bookmarkStart w:id="1011" w:name="_Ref_ContractCompanion_9kb9Ur3CE"/>
      <w:bookmarkStart w:id="1012" w:name="_Ref_ContractCompanion_9kb9Us136"/>
      <w:bookmarkStart w:id="1013" w:name="_Ref_ContractCompanion_9kb9Us18D"/>
      <w:bookmarkStart w:id="1014" w:name="_Toc145412777"/>
      <w:r w:rsidRPr="00BA56A1">
        <w:lastRenderedPageBreak/>
        <w:t xml:space="preserve">Annex </w:t>
      </w:r>
      <w:bookmarkStart w:id="1015" w:name="ANNEX2_SCHEDULE15"/>
      <w:r w:rsidRPr="00BA56A1">
        <w:t>2</w:t>
      </w:r>
      <w:bookmarkEnd w:id="1015"/>
      <w:r w:rsidRPr="00BA56A1">
        <w:t>: Charging</w:t>
      </w:r>
      <w:r w:rsidRPr="00F11CD2">
        <w:t xml:space="preserve"> Mechanism </w:t>
      </w:r>
      <w:r>
        <w:t>a</w:t>
      </w:r>
      <w:r w:rsidRPr="00F11CD2">
        <w:t>nd Adjustments</w:t>
      </w:r>
      <w:bookmarkEnd w:id="1011"/>
      <w:bookmarkEnd w:id="1012"/>
      <w:bookmarkEnd w:id="1013"/>
      <w:bookmarkEnd w:id="1014"/>
    </w:p>
    <w:p w14:paraId="59513952" w14:textId="2AAF034F" w:rsidR="00F67E9E" w:rsidRDefault="00F67E9E" w:rsidP="00F13933">
      <w:pPr>
        <w:pStyle w:val="AppendixText1"/>
        <w:numPr>
          <w:ilvl w:val="0"/>
          <w:numId w:val="40"/>
        </w:numPr>
      </w:pPr>
      <w:bookmarkStart w:id="1016" w:name="_9kMHG5YVtCIB8BGgLhkhy7sFQLkR0KfinCC9HXU"/>
      <w:r w:rsidRPr="0073455F">
        <w:t>Table 1</w:t>
      </w:r>
      <w:bookmarkEnd w:id="1016"/>
      <w:r w:rsidRPr="0073455F">
        <w:t xml:space="preserve">: Milestone Payments </w:t>
      </w:r>
      <w:r>
        <w:t>a</w:t>
      </w:r>
      <w:r w:rsidRPr="0073455F">
        <w:t xml:space="preserve">nd </w:t>
      </w:r>
      <w:r w:rsidRPr="00FD31FC">
        <w:t>Delay</w:t>
      </w:r>
      <w:r w:rsidRPr="0073455F">
        <w:t xml:space="preserve"> Payments</w:t>
      </w:r>
    </w:p>
    <w:p w14:paraId="171EC72B" w14:textId="7DACD6B8" w:rsidR="00D07EF2" w:rsidRPr="00D07EF2" w:rsidRDefault="00D07EF2" w:rsidP="00D07EF2">
      <w:pPr>
        <w:pStyle w:val="StdBodyText1"/>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5CA2062C" w14:textId="77777777" w:rsidR="00D738F6" w:rsidRDefault="00F67E9E" w:rsidP="00F67E9E">
      <w:pPr>
        <w:pStyle w:val="AppendixText1"/>
      </w:pPr>
      <w:bookmarkStart w:id="1017" w:name="_9kMHG5YVtCIB8BHhLhkhy7sFQLkR0KfjuEEWO63"/>
      <w:r w:rsidRPr="00277440">
        <w:t>Table 2</w:t>
      </w:r>
      <w:bookmarkEnd w:id="1017"/>
      <w:r w:rsidRPr="00277440">
        <w:t>: Service Charges</w:t>
      </w:r>
    </w:p>
    <w:p w14:paraId="61B019DB" w14:textId="61D1840F" w:rsidR="00F67E9E" w:rsidRPr="00277440" w:rsidRDefault="00D07EF2" w:rsidP="00D07EF2">
      <w:pPr>
        <w:ind w:firstLine="720"/>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07C411FC" w14:textId="77777777" w:rsidR="00D738F6" w:rsidRDefault="00F67E9E" w:rsidP="00F67E9E">
      <w:pPr>
        <w:pStyle w:val="AppendixText1"/>
      </w:pPr>
      <w:bookmarkStart w:id="1018" w:name="_9kMHG5YVtCIB8BIiLhkhy7sFQLkR0KfkrLRLHNA"/>
      <w:r w:rsidRPr="00277440">
        <w:t>Table 3</w:t>
      </w:r>
      <w:bookmarkEnd w:id="1018"/>
      <w:r w:rsidRPr="00277440">
        <w:t xml:space="preserve">: </w:t>
      </w:r>
      <w:r w:rsidRPr="000A7B06">
        <w:t>Optional</w:t>
      </w:r>
      <w:r w:rsidRPr="00277440">
        <w:t xml:space="preserve"> Services Milestone Payments</w:t>
      </w:r>
    </w:p>
    <w:p w14:paraId="18965899" w14:textId="5B1679BE" w:rsidR="00D07EF2" w:rsidRDefault="00D07EF2" w:rsidP="00D738F6">
      <w:pPr>
        <w:pStyle w:val="AppendixText1"/>
        <w:numPr>
          <w:ilvl w:val="0"/>
          <w:numId w:val="0"/>
        </w:numPr>
        <w:ind w:left="720"/>
        <w:rPr>
          <w:b w:val="0"/>
        </w:rPr>
      </w:pPr>
      <w:r w:rsidRPr="00D07EF2">
        <w:rPr>
          <w:color w:val="FFFF00"/>
          <w:highlight w:val="black"/>
        </w:rPr>
        <w:t>Redacted</w:t>
      </w:r>
      <w:r w:rsidRPr="00F95340">
        <w:rPr>
          <w:b w:val="0"/>
          <w:highlight w:val="black"/>
        </w:rPr>
        <w:t xml:space="preserve"> </w:t>
      </w:r>
      <w:r w:rsidRPr="00F95340">
        <w:rPr>
          <w:b w:val="0"/>
          <w:color w:val="FFFFFF" w:themeColor="background1"/>
          <w:highlight w:val="black"/>
        </w:rPr>
        <w:t xml:space="preserve">Under FOIA Section </w:t>
      </w:r>
      <w:r>
        <w:rPr>
          <w:b w:val="0"/>
          <w:color w:val="FFFFFF" w:themeColor="background1"/>
          <w:highlight w:val="black"/>
        </w:rPr>
        <w:t>43</w:t>
      </w:r>
      <w:r w:rsidRPr="009E775F">
        <w:rPr>
          <w:b w:val="0"/>
          <w:color w:val="FFFFFF" w:themeColor="background1"/>
          <w:highlight w:val="black"/>
        </w:rPr>
        <w:t>, Commercial Interests</w:t>
      </w:r>
    </w:p>
    <w:p w14:paraId="3FD1F491" w14:textId="77777777" w:rsidR="00D738F6" w:rsidRDefault="00F67E9E" w:rsidP="00F67E9E">
      <w:pPr>
        <w:pStyle w:val="AppendixText1"/>
      </w:pPr>
      <w:bookmarkStart w:id="1019" w:name="_9kR3WTr2CC67Bfsbnrb"/>
      <w:r w:rsidRPr="00277440">
        <w:t>Table 4</w:t>
      </w:r>
      <w:bookmarkEnd w:id="1019"/>
      <w:r w:rsidRPr="00277440">
        <w:t xml:space="preserve">: </w:t>
      </w:r>
      <w:r w:rsidRPr="000A7B06">
        <w:t>Optional</w:t>
      </w:r>
      <w:r w:rsidRPr="00277440">
        <w:t xml:space="preserve"> Services Service Charges</w:t>
      </w:r>
    </w:p>
    <w:p w14:paraId="6B8D475A" w14:textId="167FA36E" w:rsidR="00F67E9E" w:rsidRPr="00277440" w:rsidRDefault="00D07EF2" w:rsidP="00D738F6">
      <w:pPr>
        <w:pStyle w:val="AppendixText1"/>
        <w:numPr>
          <w:ilvl w:val="0"/>
          <w:numId w:val="0"/>
        </w:numPr>
        <w:ind w:left="720"/>
      </w:pPr>
      <w:r w:rsidRPr="00D07EF2">
        <w:rPr>
          <w:color w:val="FFFF00"/>
          <w:highlight w:val="black"/>
        </w:rPr>
        <w:t>Redacted</w:t>
      </w:r>
      <w:r w:rsidRPr="00D07EF2">
        <w:rPr>
          <w:highlight w:val="black"/>
        </w:rPr>
        <w:t xml:space="preserve"> </w:t>
      </w:r>
      <w:r w:rsidRPr="00D07EF2">
        <w:rPr>
          <w:color w:val="FFFFFF" w:themeColor="background1"/>
          <w:highlight w:val="black"/>
        </w:rPr>
        <w:t>Under FOIA Section 43, Commercial Interests</w:t>
      </w:r>
      <w:r w:rsidRPr="00D07EF2">
        <w:t xml:space="preserve"> </w:t>
      </w:r>
    </w:p>
    <w:p w14:paraId="123B1A3A" w14:textId="77777777" w:rsidR="00F67E9E" w:rsidRDefault="00F67E9E" w:rsidP="00F67E9E"/>
    <w:p w14:paraId="0069D461" w14:textId="77777777" w:rsidR="00F67E9E" w:rsidRPr="005679CD" w:rsidRDefault="00F67E9E" w:rsidP="00F67E9E">
      <w:pPr>
        <w:pStyle w:val="Heading2"/>
        <w:pageBreakBefore/>
      </w:pPr>
      <w:bookmarkStart w:id="1020" w:name="_Ref_ContractCompanion_9kb9Ur788"/>
      <w:bookmarkStart w:id="1021" w:name="_Toc145412778"/>
      <w:r w:rsidRPr="00BA56A1">
        <w:lastRenderedPageBreak/>
        <w:t xml:space="preserve">Annex </w:t>
      </w:r>
      <w:bookmarkStart w:id="1022" w:name="ANNEX3_SCHEDULE15"/>
      <w:r w:rsidRPr="00BA56A1">
        <w:t>3</w:t>
      </w:r>
      <w:bookmarkEnd w:id="1022"/>
      <w:r w:rsidRPr="00BA56A1">
        <w:t>: Pro</w:t>
      </w:r>
      <w:r w:rsidRPr="00F11CD2">
        <w:t>-</w:t>
      </w:r>
      <w:r>
        <w:t>f</w:t>
      </w:r>
      <w:r w:rsidRPr="00F11CD2">
        <w:t xml:space="preserve">orma Certificate </w:t>
      </w:r>
      <w:r>
        <w:t>o</w:t>
      </w:r>
      <w:r w:rsidRPr="00F11CD2">
        <w:t>f Costs</w:t>
      </w:r>
      <w:bookmarkEnd w:id="1020"/>
      <w:bookmarkEnd w:id="1021"/>
    </w:p>
    <w:p w14:paraId="77052E47" w14:textId="77777777" w:rsidR="00F67E9E" w:rsidRPr="00277440" w:rsidRDefault="00F67E9E" w:rsidP="00F67E9E">
      <w:pPr>
        <w:pStyle w:val="StdBodyText"/>
        <w:rPr>
          <w:rFonts w:cs="Arial"/>
        </w:rPr>
      </w:pPr>
      <w:r w:rsidRPr="00277440">
        <w:rPr>
          <w:rFonts w:cs="Arial"/>
        </w:rPr>
        <w:t xml:space="preserve">I </w:t>
      </w:r>
      <w:r w:rsidRPr="00277440">
        <w:rPr>
          <w:rFonts w:cs="Arial"/>
          <w:highlight w:val="yellow"/>
        </w:rPr>
        <w:t>[</w:t>
      </w:r>
      <w:r w:rsidRPr="003053E3">
        <w:rPr>
          <w:rStyle w:val="StdBodyTextBoldChar"/>
          <w:rFonts w:cs="Arial"/>
          <w:b w:val="0"/>
          <w:bCs/>
          <w:iCs/>
          <w:highlight w:val="yellow"/>
        </w:rPr>
        <w:t>name of CFO or Director of Finance or equivalent as agreed in advance in writing with the Authority</w:t>
      </w:r>
      <w:r w:rsidRPr="00277440">
        <w:rPr>
          <w:rFonts w:cs="Arial"/>
          <w:highlight w:val="yellow"/>
        </w:rPr>
        <w:t>]</w:t>
      </w:r>
      <w:r w:rsidRPr="00277440">
        <w:rPr>
          <w:rFonts w:cs="Arial"/>
        </w:rPr>
        <w:t xml:space="preserve"> of </w:t>
      </w:r>
      <w:r w:rsidRPr="00B73DD6">
        <w:rPr>
          <w:rFonts w:cs="Arial"/>
          <w:b/>
          <w:highlight w:val="yellow"/>
        </w:rPr>
        <w:t>[insert</w:t>
      </w:r>
      <w:r w:rsidRPr="003053E3">
        <w:rPr>
          <w:rStyle w:val="StdBodyTextBoldChar"/>
          <w:rFonts w:cs="Arial"/>
          <w:b w:val="0"/>
          <w:bCs/>
          <w:iCs/>
          <w:highlight w:val="yellow"/>
        </w:rPr>
        <w:t xml:space="preserve"> name of Supplier</w:t>
      </w:r>
      <w:r w:rsidRPr="00277440">
        <w:rPr>
          <w:rFonts w:cs="Arial"/>
          <w:highlight w:val="yellow"/>
        </w:rPr>
        <w:t>]</w:t>
      </w:r>
      <w:r w:rsidRPr="00277440">
        <w:rPr>
          <w:rFonts w:cs="Arial"/>
        </w:rPr>
        <w:t xml:space="preserve">, certify that the financial information provided as part of this Certificate of Costs, incurred in relation to the </w:t>
      </w:r>
      <w:r w:rsidRPr="00B73DD6">
        <w:rPr>
          <w:rFonts w:cs="Arial"/>
          <w:b/>
          <w:highlight w:val="yellow"/>
        </w:rPr>
        <w:t>[insert</w:t>
      </w:r>
      <w:r w:rsidRPr="003053E3">
        <w:rPr>
          <w:rStyle w:val="StdBodyTextBoldChar"/>
          <w:rFonts w:cs="Arial"/>
          <w:b w:val="0"/>
          <w:bCs/>
          <w:iCs/>
          <w:highlight w:val="yellow"/>
        </w:rPr>
        <w:t xml:space="preserve"> name/reference for the Contract</w:t>
      </w:r>
      <w:r w:rsidRPr="00BA56A1">
        <w:rPr>
          <w:rFonts w:cs="Arial"/>
          <w:highlight w:val="yellow"/>
        </w:rPr>
        <w:t>]</w:t>
      </w:r>
      <w:r w:rsidRPr="00277440">
        <w:rPr>
          <w:rFonts w:cs="Arial"/>
        </w:rPr>
        <w:t xml:space="preserve"> (the </w:t>
      </w:r>
      <w:r>
        <w:rPr>
          <w:rFonts w:cs="Arial"/>
        </w:rPr>
        <w:t>“</w:t>
      </w:r>
      <w:r w:rsidRPr="00BA56A1">
        <w:rPr>
          <w:rStyle w:val="StdBodyTextBoldChar"/>
          <w:rFonts w:cs="Arial"/>
        </w:rPr>
        <w:t>Contract</w:t>
      </w:r>
      <w:r>
        <w:rPr>
          <w:rFonts w:cs="Arial"/>
        </w:rPr>
        <w:t>”</w:t>
      </w:r>
      <w:r w:rsidRPr="00BA56A1">
        <w:rPr>
          <w:rFonts w:cs="Arial"/>
        </w:rPr>
        <w:t>) in relation</w:t>
      </w:r>
      <w:r w:rsidRPr="00277440">
        <w:rPr>
          <w:rFonts w:cs="Arial"/>
        </w:rPr>
        <w:t xml:space="preserve"> to the following </w:t>
      </w:r>
      <w:r w:rsidRPr="00277440">
        <w:rPr>
          <w:rFonts w:cs="Arial"/>
          <w:highlight w:val="yellow"/>
        </w:rPr>
        <w:t>[</w:t>
      </w:r>
      <w:r w:rsidRPr="003053E3">
        <w:rPr>
          <w:rFonts w:cs="Arial"/>
          <w:highlight w:val="yellow"/>
        </w:rPr>
        <w:t>Milestone/Milestone Group</w:t>
      </w:r>
      <w:r w:rsidRPr="00277440">
        <w:rPr>
          <w:rFonts w:cs="Arial"/>
          <w:highlight w:val="yellow"/>
        </w:rPr>
        <w:t>]</w:t>
      </w:r>
      <w:r w:rsidRPr="00277440">
        <w:rPr>
          <w:rFonts w:cs="Arial"/>
        </w:rPr>
        <w:t>:</w:t>
      </w:r>
    </w:p>
    <w:p w14:paraId="1CCD5DF8" w14:textId="77777777" w:rsidR="00F67E9E" w:rsidRPr="00277440" w:rsidRDefault="00F67E9E" w:rsidP="00F67E9E">
      <w:pPr>
        <w:pStyle w:val="StdBodyText"/>
        <w:rPr>
          <w:rFonts w:cs="Arial"/>
          <w:highlight w:val="yellow"/>
        </w:rPr>
      </w:pPr>
      <w:r w:rsidRPr="00B73DD6">
        <w:rPr>
          <w:rFonts w:cs="Arial"/>
          <w:b/>
          <w:highlight w:val="yellow"/>
        </w:rPr>
        <w:t>[insert</w:t>
      </w:r>
      <w:r w:rsidRPr="003053E3">
        <w:rPr>
          <w:rStyle w:val="StdBodyTextBoldChar"/>
          <w:rFonts w:cs="Arial"/>
          <w:b w:val="0"/>
          <w:bCs/>
          <w:iCs/>
          <w:highlight w:val="yellow"/>
        </w:rPr>
        <w:t xml:space="preserve"> details of Milestone/Milestone Group</w:t>
      </w:r>
      <w:r w:rsidRPr="00277440">
        <w:rPr>
          <w:rFonts w:cs="Arial"/>
          <w:highlight w:val="yellow"/>
        </w:rPr>
        <w:t>]</w:t>
      </w:r>
    </w:p>
    <w:p w14:paraId="0D9AC4D8" w14:textId="77777777" w:rsidR="00F67E9E" w:rsidRPr="00264138" w:rsidRDefault="00F67E9E" w:rsidP="00F13933">
      <w:pPr>
        <w:pStyle w:val="AppendixText1"/>
        <w:numPr>
          <w:ilvl w:val="0"/>
          <w:numId w:val="41"/>
        </w:numPr>
        <w:tabs>
          <w:tab w:val="clear" w:pos="720"/>
          <w:tab w:val="num" w:pos="1080"/>
        </w:tabs>
        <w:rPr>
          <w:b w:val="0"/>
          <w:bCs/>
        </w:rPr>
      </w:pPr>
      <w:r w:rsidRPr="00264138">
        <w:rPr>
          <w:b w:val="0"/>
          <w:bCs/>
        </w:rPr>
        <w:t xml:space="preserve">has been reasonably and properly incurred in accordance with </w:t>
      </w:r>
      <w:r w:rsidRPr="00264138">
        <w:rPr>
          <w:b w:val="0"/>
          <w:bCs/>
          <w:highlight w:val="yellow"/>
        </w:rPr>
        <w:t>[</w:t>
      </w:r>
      <w:r w:rsidRPr="00264138">
        <w:rPr>
          <w:b w:val="0"/>
          <w:bCs/>
          <w:iCs/>
          <w:highlight w:val="yellow"/>
        </w:rPr>
        <w:t>name of Supplier</w:t>
      </w:r>
      <w:r w:rsidRPr="00264138">
        <w:rPr>
          <w:b w:val="0"/>
          <w:bCs/>
          <w:highlight w:val="yellow"/>
        </w:rPr>
        <w:t>]</w:t>
      </w:r>
      <w:r w:rsidRPr="00264138">
        <w:rPr>
          <w:b w:val="0"/>
          <w:bCs/>
        </w:rPr>
        <w:t>’s books, accounts, other documents and records;</w:t>
      </w:r>
    </w:p>
    <w:p w14:paraId="057E4C78" w14:textId="77777777" w:rsidR="00F67E9E" w:rsidRPr="00264138" w:rsidRDefault="00F67E9E" w:rsidP="00F67E9E">
      <w:pPr>
        <w:pStyle w:val="AppendixText1"/>
        <w:keepNext w:val="0"/>
        <w:tabs>
          <w:tab w:val="clear" w:pos="720"/>
          <w:tab w:val="num" w:pos="1080"/>
        </w:tabs>
        <w:rPr>
          <w:b w:val="0"/>
          <w:bCs/>
        </w:rPr>
      </w:pPr>
      <w:r w:rsidRPr="00264138">
        <w:rPr>
          <w:b w:val="0"/>
          <w:bCs/>
        </w:rPr>
        <w:t>is accurate and not misleading in all key respects; and</w:t>
      </w:r>
    </w:p>
    <w:p w14:paraId="59483B55" w14:textId="77777777" w:rsidR="00F67E9E" w:rsidRPr="00264138" w:rsidRDefault="00F67E9E" w:rsidP="00F67E9E">
      <w:pPr>
        <w:pStyle w:val="AppendixText1"/>
        <w:keepNext w:val="0"/>
        <w:tabs>
          <w:tab w:val="clear" w:pos="720"/>
          <w:tab w:val="num" w:pos="1080"/>
        </w:tabs>
        <w:rPr>
          <w:b w:val="0"/>
          <w:bCs/>
        </w:rPr>
      </w:pPr>
      <w:r w:rsidRPr="00264138">
        <w:rPr>
          <w:b w:val="0"/>
          <w:bCs/>
        </w:rPr>
        <w:t>is in conformity with the Contract and with all generally accepted accounting principles within the United Kingdom.</w:t>
      </w:r>
    </w:p>
    <w:p w14:paraId="43191E5F" w14:textId="77777777" w:rsidR="00F67E9E" w:rsidRPr="00277440" w:rsidRDefault="00F67E9E" w:rsidP="00F67E9E">
      <w:pPr>
        <w:pStyle w:val="StdBodyText"/>
        <w:rPr>
          <w:rFonts w:cs="Arial"/>
          <w:highlight w:val="yellow"/>
        </w:rPr>
      </w:pPr>
      <w:r w:rsidRPr="00277440">
        <w:rPr>
          <w:rFonts w:cs="Arial"/>
        </w:rPr>
        <w:t xml:space="preserve">Signed </w:t>
      </w:r>
      <w:r w:rsidRPr="00277440">
        <w:rPr>
          <w:rFonts w:cs="Arial"/>
          <w:highlight w:val="yellow"/>
        </w:rPr>
        <w:t>[</w:t>
      </w:r>
      <w:r w:rsidRPr="003053E3">
        <w:rPr>
          <w:rStyle w:val="StdBodyTextBoldChar"/>
          <w:rFonts w:cs="Arial"/>
          <w:b w:val="0"/>
          <w:bCs/>
          <w:iCs/>
          <w:highlight w:val="yellow"/>
        </w:rPr>
        <w:t>Director of Finance or equivalent</w:t>
      </w:r>
      <w:r w:rsidRPr="00277440">
        <w:rPr>
          <w:rFonts w:cs="Arial"/>
          <w:highlight w:val="yellow"/>
        </w:rPr>
        <w:t>]</w:t>
      </w:r>
    </w:p>
    <w:p w14:paraId="35AEEAF8" w14:textId="77777777" w:rsidR="00F67E9E" w:rsidRPr="00277440" w:rsidRDefault="00F67E9E" w:rsidP="00F67E9E">
      <w:pPr>
        <w:pStyle w:val="StdBodyText"/>
        <w:rPr>
          <w:rFonts w:cs="Arial"/>
        </w:rPr>
      </w:pPr>
    </w:p>
    <w:p w14:paraId="1278F860" w14:textId="77777777" w:rsidR="00F67E9E" w:rsidRPr="003053E3" w:rsidRDefault="00F67E9E" w:rsidP="00F67E9E">
      <w:pPr>
        <w:pStyle w:val="StdBodyText"/>
        <w:rPr>
          <w:rFonts w:cs="Arial"/>
          <w:highlight w:val="yellow"/>
        </w:rPr>
      </w:pPr>
      <w:r w:rsidRPr="003053E3">
        <w:rPr>
          <w:rFonts w:cs="Arial"/>
          <w:highlight w:val="yellow"/>
        </w:rPr>
        <w:t>[</w:t>
      </w:r>
      <w:r w:rsidRPr="003053E3">
        <w:rPr>
          <w:rStyle w:val="StdBodyTextBoldChar"/>
          <w:rFonts w:cs="Arial"/>
          <w:b w:val="0"/>
          <w:bCs/>
          <w:iCs/>
          <w:highlight w:val="yellow"/>
        </w:rPr>
        <w:t>Name of Supplier</w:t>
      </w:r>
      <w:r w:rsidRPr="003053E3">
        <w:rPr>
          <w:rFonts w:cs="Arial"/>
          <w:highlight w:val="yellow"/>
        </w:rPr>
        <w:t>]</w:t>
      </w:r>
    </w:p>
    <w:p w14:paraId="45DD2AE7" w14:textId="77777777" w:rsidR="00F67E9E" w:rsidRDefault="00F67E9E" w:rsidP="00F67E9E">
      <w:pPr>
        <w:rPr>
          <w:highlight w:val="yellow"/>
        </w:rPr>
      </w:pPr>
    </w:p>
    <w:p w14:paraId="50C3CA51" w14:textId="77777777" w:rsidR="00F67E9E" w:rsidRPr="00277440" w:rsidRDefault="00F67E9E" w:rsidP="00F67E9E">
      <w:pPr>
        <w:rPr>
          <w:highlight w:val="yellow"/>
        </w:rPr>
      </w:pPr>
    </w:p>
    <w:p w14:paraId="02355C92" w14:textId="77777777" w:rsidR="00F67E9E" w:rsidRPr="00277440" w:rsidRDefault="00F67E9E" w:rsidP="00F67E9E">
      <w:pPr>
        <w:rPr>
          <w:highlight w:val="yellow"/>
        </w:rPr>
        <w:sectPr w:rsidR="00F67E9E" w:rsidRPr="00277440" w:rsidSect="00240D26">
          <w:headerReference w:type="default" r:id="rId118"/>
          <w:footerReference w:type="default" r:id="rId119"/>
          <w:pgSz w:w="11909" w:h="16834" w:code="9"/>
          <w:pgMar w:top="1701" w:right="851" w:bottom="1134" w:left="851" w:header="567" w:footer="567" w:gutter="0"/>
          <w:cols w:space="720"/>
          <w:docGrid w:linePitch="326"/>
        </w:sectPr>
      </w:pPr>
    </w:p>
    <w:p w14:paraId="542D0A08" w14:textId="77777777" w:rsidR="00F67E9E" w:rsidRPr="00F11CD2" w:rsidRDefault="00F67E9E" w:rsidP="00F67E9E">
      <w:pPr>
        <w:pStyle w:val="Heading2"/>
      </w:pPr>
      <w:bookmarkStart w:id="1023" w:name="_Ref_ContractCompanion_9kb9Ur6B6"/>
      <w:bookmarkStart w:id="1024" w:name="_Ref_ContractCompanion_9kb9Ur6BC"/>
      <w:bookmarkStart w:id="1025" w:name="_Toc145412779"/>
      <w:r w:rsidRPr="00BA56A1">
        <w:lastRenderedPageBreak/>
        <w:t xml:space="preserve">Annex </w:t>
      </w:r>
      <w:bookmarkStart w:id="1026" w:name="ANNEX4_SCHEDULE15"/>
      <w:r w:rsidRPr="00BA56A1">
        <w:t>4</w:t>
      </w:r>
      <w:bookmarkEnd w:id="1026"/>
      <w:r w:rsidRPr="00BA56A1">
        <w:t>: Risk</w:t>
      </w:r>
      <w:r w:rsidRPr="00F11CD2">
        <w:t xml:space="preserve"> Register</w:t>
      </w:r>
      <w:bookmarkEnd w:id="1023"/>
      <w:bookmarkEnd w:id="1024"/>
      <w:bookmarkEnd w:id="1025"/>
    </w:p>
    <w:tbl>
      <w:tblPr>
        <w:tblStyle w:val="MSATable-header"/>
        <w:tblW w:w="0" w:type="auto"/>
        <w:tblLook w:val="04A0" w:firstRow="1" w:lastRow="0" w:firstColumn="1" w:lastColumn="0" w:noHBand="0" w:noVBand="1"/>
      </w:tblPr>
      <w:tblGrid>
        <w:gridCol w:w="1021"/>
        <w:gridCol w:w="1008"/>
        <w:gridCol w:w="1435"/>
        <w:gridCol w:w="1008"/>
        <w:gridCol w:w="1314"/>
        <w:gridCol w:w="1008"/>
        <w:gridCol w:w="1568"/>
        <w:gridCol w:w="1568"/>
        <w:gridCol w:w="1261"/>
        <w:gridCol w:w="1289"/>
        <w:gridCol w:w="1616"/>
        <w:gridCol w:w="1032"/>
      </w:tblGrid>
      <w:tr w:rsidR="00F67E9E" w:rsidRPr="003B034F" w14:paraId="68BE0D4E"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021" w:type="dxa"/>
          </w:tcPr>
          <w:p w14:paraId="5EE6A934" w14:textId="77777777" w:rsidR="00F67E9E" w:rsidRPr="003B034F" w:rsidRDefault="00F67E9E" w:rsidP="0052486C">
            <w:pPr>
              <w:pStyle w:val="StdBodyText"/>
              <w:spacing w:before="0" w:after="0"/>
              <w:rPr>
                <w:rFonts w:cs="Arial"/>
                <w:szCs w:val="20"/>
              </w:rPr>
            </w:pPr>
            <w:r w:rsidRPr="003B034F">
              <w:rPr>
                <w:rFonts w:cs="Arial"/>
                <w:szCs w:val="20"/>
              </w:rPr>
              <w:t>Column 1</w:t>
            </w:r>
          </w:p>
        </w:tc>
        <w:tc>
          <w:tcPr>
            <w:tcW w:w="1008" w:type="dxa"/>
          </w:tcPr>
          <w:p w14:paraId="51F607A2" w14:textId="77777777" w:rsidR="00F67E9E" w:rsidRPr="003B034F" w:rsidRDefault="00F67E9E" w:rsidP="0052486C">
            <w:pPr>
              <w:pStyle w:val="StdBodyText"/>
              <w:spacing w:before="0" w:after="0"/>
              <w:rPr>
                <w:rFonts w:cs="Arial"/>
                <w:szCs w:val="20"/>
              </w:rPr>
            </w:pPr>
            <w:r w:rsidRPr="003B034F">
              <w:rPr>
                <w:rFonts w:cs="Arial"/>
                <w:szCs w:val="20"/>
              </w:rPr>
              <w:t>Column 2</w:t>
            </w:r>
          </w:p>
        </w:tc>
        <w:tc>
          <w:tcPr>
            <w:tcW w:w="1435" w:type="dxa"/>
          </w:tcPr>
          <w:p w14:paraId="668FA039" w14:textId="77777777" w:rsidR="00F67E9E" w:rsidRPr="003B034F" w:rsidRDefault="00F67E9E" w:rsidP="0052486C">
            <w:pPr>
              <w:pStyle w:val="StdBodyText"/>
              <w:spacing w:before="0" w:after="0"/>
              <w:rPr>
                <w:rFonts w:cs="Arial"/>
                <w:szCs w:val="20"/>
              </w:rPr>
            </w:pPr>
            <w:r w:rsidRPr="003B034F">
              <w:rPr>
                <w:rFonts w:cs="Arial"/>
                <w:szCs w:val="20"/>
              </w:rPr>
              <w:t>Column 3</w:t>
            </w:r>
          </w:p>
        </w:tc>
        <w:tc>
          <w:tcPr>
            <w:tcW w:w="1008" w:type="dxa"/>
          </w:tcPr>
          <w:p w14:paraId="2F02AAC3" w14:textId="77777777" w:rsidR="00F67E9E" w:rsidRPr="003B034F" w:rsidRDefault="00F67E9E" w:rsidP="0052486C">
            <w:pPr>
              <w:pStyle w:val="StdBodyText"/>
              <w:spacing w:before="0" w:after="0"/>
              <w:rPr>
                <w:rFonts w:cs="Arial"/>
                <w:szCs w:val="20"/>
              </w:rPr>
            </w:pPr>
            <w:r w:rsidRPr="003B034F">
              <w:rPr>
                <w:rFonts w:cs="Arial"/>
                <w:szCs w:val="20"/>
              </w:rPr>
              <w:t>Column 4</w:t>
            </w:r>
          </w:p>
        </w:tc>
        <w:tc>
          <w:tcPr>
            <w:tcW w:w="1314" w:type="dxa"/>
          </w:tcPr>
          <w:p w14:paraId="145DBE94" w14:textId="77777777" w:rsidR="00F67E9E" w:rsidRPr="003B034F" w:rsidRDefault="00F67E9E" w:rsidP="0052486C">
            <w:pPr>
              <w:pStyle w:val="StdBodyText"/>
              <w:spacing w:before="0" w:after="0"/>
              <w:rPr>
                <w:rFonts w:cs="Arial"/>
                <w:szCs w:val="20"/>
              </w:rPr>
            </w:pPr>
            <w:r w:rsidRPr="003B034F">
              <w:rPr>
                <w:rFonts w:cs="Arial"/>
                <w:szCs w:val="20"/>
              </w:rPr>
              <w:t>Column 5</w:t>
            </w:r>
          </w:p>
        </w:tc>
        <w:tc>
          <w:tcPr>
            <w:tcW w:w="1008" w:type="dxa"/>
          </w:tcPr>
          <w:p w14:paraId="6B64EF08" w14:textId="77777777" w:rsidR="00F67E9E" w:rsidRPr="003B034F" w:rsidRDefault="00F67E9E" w:rsidP="0052486C">
            <w:pPr>
              <w:pStyle w:val="StdBodyText"/>
              <w:spacing w:before="0" w:after="0"/>
              <w:rPr>
                <w:rFonts w:cs="Arial"/>
                <w:szCs w:val="20"/>
              </w:rPr>
            </w:pPr>
            <w:r w:rsidRPr="003B034F">
              <w:rPr>
                <w:rFonts w:cs="Arial"/>
                <w:szCs w:val="20"/>
              </w:rPr>
              <w:t>Column 6</w:t>
            </w:r>
          </w:p>
        </w:tc>
        <w:tc>
          <w:tcPr>
            <w:tcW w:w="1568" w:type="dxa"/>
          </w:tcPr>
          <w:p w14:paraId="1A32F9BF" w14:textId="77777777" w:rsidR="00F67E9E" w:rsidRPr="003B034F" w:rsidRDefault="00F67E9E" w:rsidP="0052486C">
            <w:pPr>
              <w:pStyle w:val="StdBodyText"/>
              <w:spacing w:before="0" w:after="0"/>
              <w:rPr>
                <w:rFonts w:cs="Arial"/>
                <w:szCs w:val="20"/>
              </w:rPr>
            </w:pPr>
            <w:r w:rsidRPr="003B034F">
              <w:rPr>
                <w:rFonts w:cs="Arial"/>
                <w:szCs w:val="20"/>
              </w:rPr>
              <w:t>Column 7</w:t>
            </w:r>
          </w:p>
        </w:tc>
        <w:tc>
          <w:tcPr>
            <w:tcW w:w="1568" w:type="dxa"/>
          </w:tcPr>
          <w:p w14:paraId="30A3E755" w14:textId="77777777" w:rsidR="00F67E9E" w:rsidRPr="003B034F" w:rsidRDefault="00F67E9E" w:rsidP="0052486C">
            <w:pPr>
              <w:pStyle w:val="StdBodyText"/>
              <w:spacing w:before="0" w:after="0"/>
              <w:rPr>
                <w:rFonts w:cs="Arial"/>
                <w:szCs w:val="20"/>
              </w:rPr>
            </w:pPr>
            <w:r w:rsidRPr="003B034F">
              <w:rPr>
                <w:rFonts w:cs="Arial"/>
                <w:szCs w:val="20"/>
              </w:rPr>
              <w:t>Column 8</w:t>
            </w:r>
          </w:p>
        </w:tc>
        <w:tc>
          <w:tcPr>
            <w:tcW w:w="1261" w:type="dxa"/>
          </w:tcPr>
          <w:p w14:paraId="1AEE84A5" w14:textId="77777777" w:rsidR="00F67E9E" w:rsidRPr="003B034F" w:rsidRDefault="00F67E9E" w:rsidP="0052486C">
            <w:pPr>
              <w:pStyle w:val="StdBodyText"/>
              <w:spacing w:before="0" w:after="0"/>
              <w:rPr>
                <w:rFonts w:cs="Arial"/>
                <w:szCs w:val="20"/>
              </w:rPr>
            </w:pPr>
            <w:r w:rsidRPr="003B034F">
              <w:rPr>
                <w:rFonts w:cs="Arial"/>
                <w:szCs w:val="20"/>
              </w:rPr>
              <w:t>Column 9</w:t>
            </w:r>
          </w:p>
        </w:tc>
        <w:tc>
          <w:tcPr>
            <w:tcW w:w="1289" w:type="dxa"/>
          </w:tcPr>
          <w:p w14:paraId="4B635C79" w14:textId="77777777" w:rsidR="00F67E9E" w:rsidRPr="003B034F" w:rsidRDefault="00F67E9E" w:rsidP="0052486C">
            <w:pPr>
              <w:pStyle w:val="StdBodyText"/>
              <w:spacing w:before="0" w:after="0"/>
              <w:rPr>
                <w:rFonts w:cs="Arial"/>
                <w:szCs w:val="20"/>
              </w:rPr>
            </w:pPr>
            <w:r w:rsidRPr="003B034F">
              <w:rPr>
                <w:rFonts w:cs="Arial"/>
                <w:szCs w:val="20"/>
              </w:rPr>
              <w:t>Column 10</w:t>
            </w:r>
          </w:p>
        </w:tc>
        <w:tc>
          <w:tcPr>
            <w:tcW w:w="1616" w:type="dxa"/>
          </w:tcPr>
          <w:p w14:paraId="3DDF6014" w14:textId="77777777" w:rsidR="00F67E9E" w:rsidRPr="003B034F" w:rsidRDefault="00F67E9E" w:rsidP="0052486C">
            <w:pPr>
              <w:pStyle w:val="StdBodyText"/>
              <w:spacing w:before="0" w:after="0"/>
              <w:rPr>
                <w:rFonts w:cs="Arial"/>
                <w:szCs w:val="20"/>
              </w:rPr>
            </w:pPr>
            <w:r w:rsidRPr="003B034F">
              <w:rPr>
                <w:rFonts w:cs="Arial"/>
                <w:szCs w:val="20"/>
              </w:rPr>
              <w:t>Column 11</w:t>
            </w:r>
          </w:p>
        </w:tc>
        <w:tc>
          <w:tcPr>
            <w:tcW w:w="1032" w:type="dxa"/>
          </w:tcPr>
          <w:p w14:paraId="3D75BC1A" w14:textId="77777777" w:rsidR="00F67E9E" w:rsidRPr="003B034F" w:rsidRDefault="00F67E9E" w:rsidP="0052486C">
            <w:pPr>
              <w:pStyle w:val="StdBodyText"/>
              <w:spacing w:before="0" w:after="0"/>
              <w:rPr>
                <w:rFonts w:cs="Arial"/>
                <w:szCs w:val="20"/>
              </w:rPr>
            </w:pPr>
            <w:r w:rsidRPr="003B034F">
              <w:rPr>
                <w:rFonts w:cs="Arial"/>
                <w:szCs w:val="20"/>
              </w:rPr>
              <w:t>Column 12</w:t>
            </w:r>
          </w:p>
        </w:tc>
      </w:tr>
      <w:tr w:rsidR="00F67E9E" w:rsidRPr="003B034F" w14:paraId="283AC9BF"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021" w:type="dxa"/>
          </w:tcPr>
          <w:p w14:paraId="5E115DB3" w14:textId="77777777" w:rsidR="00F67E9E" w:rsidRPr="003B034F" w:rsidRDefault="00F67E9E" w:rsidP="0052486C">
            <w:pPr>
              <w:pStyle w:val="StdBodyText"/>
              <w:spacing w:before="0" w:after="0"/>
              <w:rPr>
                <w:rFonts w:cs="Arial"/>
                <w:szCs w:val="20"/>
              </w:rPr>
            </w:pPr>
            <w:r w:rsidRPr="003B034F">
              <w:rPr>
                <w:rFonts w:cs="Arial"/>
                <w:szCs w:val="20"/>
              </w:rPr>
              <w:t>Risk Number</w:t>
            </w:r>
          </w:p>
        </w:tc>
        <w:tc>
          <w:tcPr>
            <w:tcW w:w="1008" w:type="dxa"/>
          </w:tcPr>
          <w:p w14:paraId="5B44793D" w14:textId="77777777" w:rsidR="00F67E9E" w:rsidRPr="003B034F" w:rsidRDefault="00F67E9E" w:rsidP="0052486C">
            <w:pPr>
              <w:pStyle w:val="StdBodyText"/>
              <w:spacing w:before="0" w:after="0"/>
              <w:rPr>
                <w:rFonts w:cs="Arial"/>
                <w:szCs w:val="20"/>
              </w:rPr>
            </w:pPr>
            <w:r w:rsidRPr="003B034F">
              <w:rPr>
                <w:rFonts w:cs="Arial"/>
                <w:szCs w:val="20"/>
              </w:rPr>
              <w:t>Risk Name</w:t>
            </w:r>
          </w:p>
        </w:tc>
        <w:tc>
          <w:tcPr>
            <w:tcW w:w="1435" w:type="dxa"/>
          </w:tcPr>
          <w:p w14:paraId="6CEBF180" w14:textId="77777777" w:rsidR="00F67E9E" w:rsidRPr="003B034F" w:rsidRDefault="00F67E9E" w:rsidP="0052486C">
            <w:pPr>
              <w:pStyle w:val="StdBodyText"/>
              <w:spacing w:before="0" w:after="0"/>
              <w:rPr>
                <w:rFonts w:cs="Arial"/>
                <w:szCs w:val="20"/>
              </w:rPr>
            </w:pPr>
            <w:r w:rsidRPr="003B034F">
              <w:rPr>
                <w:rFonts w:cs="Arial"/>
                <w:szCs w:val="20"/>
              </w:rPr>
              <w:t>Description of risk</w:t>
            </w:r>
          </w:p>
        </w:tc>
        <w:tc>
          <w:tcPr>
            <w:tcW w:w="1008" w:type="dxa"/>
          </w:tcPr>
          <w:p w14:paraId="329C9B42" w14:textId="77777777" w:rsidR="00F67E9E" w:rsidRPr="003B034F" w:rsidRDefault="00F67E9E" w:rsidP="0052486C">
            <w:pPr>
              <w:pStyle w:val="StdBodyText"/>
              <w:spacing w:before="0" w:after="0"/>
              <w:rPr>
                <w:rFonts w:cs="Arial"/>
                <w:szCs w:val="20"/>
              </w:rPr>
            </w:pPr>
            <w:r w:rsidRPr="003B034F">
              <w:rPr>
                <w:rFonts w:cs="Arial"/>
                <w:szCs w:val="20"/>
              </w:rPr>
              <w:t>Timing</w:t>
            </w:r>
          </w:p>
        </w:tc>
        <w:tc>
          <w:tcPr>
            <w:tcW w:w="1314" w:type="dxa"/>
          </w:tcPr>
          <w:p w14:paraId="3CFD1236" w14:textId="77777777" w:rsidR="00F67E9E" w:rsidRPr="003B034F" w:rsidRDefault="00F67E9E" w:rsidP="0052486C">
            <w:pPr>
              <w:pStyle w:val="StdBodyText"/>
              <w:spacing w:before="0" w:after="0"/>
              <w:rPr>
                <w:rFonts w:cs="Arial"/>
                <w:szCs w:val="20"/>
              </w:rPr>
            </w:pPr>
            <w:r w:rsidRPr="003B034F">
              <w:rPr>
                <w:rFonts w:cs="Arial"/>
                <w:szCs w:val="20"/>
              </w:rPr>
              <w:t>Likelihood</w:t>
            </w:r>
          </w:p>
        </w:tc>
        <w:tc>
          <w:tcPr>
            <w:tcW w:w="1008" w:type="dxa"/>
          </w:tcPr>
          <w:p w14:paraId="53B07649" w14:textId="77777777" w:rsidR="00F67E9E" w:rsidRPr="003B034F" w:rsidRDefault="00F67E9E" w:rsidP="0052486C">
            <w:pPr>
              <w:pStyle w:val="StdBodyText"/>
              <w:spacing w:before="0" w:after="0"/>
              <w:rPr>
                <w:rFonts w:cs="Arial"/>
                <w:szCs w:val="20"/>
              </w:rPr>
            </w:pPr>
            <w:r w:rsidRPr="003B034F">
              <w:rPr>
                <w:rFonts w:cs="Arial"/>
                <w:szCs w:val="20"/>
              </w:rPr>
              <w:t>Impact (£)</w:t>
            </w:r>
          </w:p>
        </w:tc>
        <w:tc>
          <w:tcPr>
            <w:tcW w:w="1568" w:type="dxa"/>
          </w:tcPr>
          <w:p w14:paraId="33B6B21A" w14:textId="77777777" w:rsidR="00F67E9E" w:rsidRPr="003B034F" w:rsidRDefault="00F67E9E" w:rsidP="0052486C">
            <w:pPr>
              <w:pStyle w:val="StdBodyText"/>
              <w:spacing w:before="0" w:after="0"/>
              <w:rPr>
                <w:rFonts w:cs="Arial"/>
                <w:szCs w:val="20"/>
              </w:rPr>
            </w:pPr>
            <w:r w:rsidRPr="003B034F">
              <w:rPr>
                <w:rFonts w:cs="Arial"/>
                <w:szCs w:val="20"/>
              </w:rPr>
              <w:t>Impact (description)</w:t>
            </w:r>
          </w:p>
        </w:tc>
        <w:tc>
          <w:tcPr>
            <w:tcW w:w="1568" w:type="dxa"/>
          </w:tcPr>
          <w:p w14:paraId="02DB5249" w14:textId="77777777" w:rsidR="00F67E9E" w:rsidRPr="003B034F" w:rsidRDefault="00F67E9E" w:rsidP="0052486C">
            <w:pPr>
              <w:pStyle w:val="StdBodyText"/>
              <w:spacing w:before="0" w:after="0"/>
              <w:rPr>
                <w:rFonts w:cs="Arial"/>
                <w:szCs w:val="20"/>
              </w:rPr>
            </w:pPr>
            <w:r w:rsidRPr="003B034F">
              <w:rPr>
                <w:rFonts w:cs="Arial"/>
                <w:szCs w:val="20"/>
              </w:rPr>
              <w:t>Mitigation (description)</w:t>
            </w:r>
          </w:p>
        </w:tc>
        <w:tc>
          <w:tcPr>
            <w:tcW w:w="1261" w:type="dxa"/>
          </w:tcPr>
          <w:p w14:paraId="32F06EE5" w14:textId="77777777" w:rsidR="00F67E9E" w:rsidRPr="003B034F" w:rsidRDefault="00F67E9E" w:rsidP="0052486C">
            <w:pPr>
              <w:pStyle w:val="StdBodyText"/>
              <w:spacing w:before="0" w:after="0"/>
              <w:rPr>
                <w:rFonts w:cs="Arial"/>
                <w:szCs w:val="20"/>
              </w:rPr>
            </w:pPr>
            <w:r w:rsidRPr="003B034F">
              <w:rPr>
                <w:rFonts w:cs="Arial"/>
                <w:szCs w:val="20"/>
              </w:rPr>
              <w:t>Cost of mitigation</w:t>
            </w:r>
          </w:p>
        </w:tc>
        <w:tc>
          <w:tcPr>
            <w:tcW w:w="1289" w:type="dxa"/>
          </w:tcPr>
          <w:p w14:paraId="4CDB1FC2" w14:textId="77777777" w:rsidR="00F67E9E" w:rsidRPr="003B034F" w:rsidRDefault="00F67E9E" w:rsidP="0052486C">
            <w:pPr>
              <w:pStyle w:val="StdBodyText"/>
              <w:spacing w:before="0" w:after="0"/>
              <w:rPr>
                <w:rFonts w:cs="Arial"/>
                <w:szCs w:val="20"/>
              </w:rPr>
            </w:pPr>
            <w:r w:rsidRPr="003B034F">
              <w:rPr>
                <w:rFonts w:cs="Arial"/>
                <w:szCs w:val="20"/>
              </w:rPr>
              <w:t>Post-mitigation impact (£)</w:t>
            </w:r>
          </w:p>
        </w:tc>
        <w:tc>
          <w:tcPr>
            <w:tcW w:w="1616" w:type="dxa"/>
          </w:tcPr>
          <w:p w14:paraId="0D5E3AC8" w14:textId="77777777" w:rsidR="00F67E9E" w:rsidRPr="003B034F" w:rsidRDefault="00F67E9E" w:rsidP="0052486C">
            <w:pPr>
              <w:pStyle w:val="StdBodyText"/>
              <w:spacing w:before="0" w:after="0"/>
              <w:rPr>
                <w:rFonts w:cs="Arial"/>
                <w:szCs w:val="20"/>
              </w:rPr>
            </w:pPr>
            <w:r w:rsidRPr="003B034F">
              <w:rPr>
                <w:rFonts w:cs="Arial"/>
                <w:szCs w:val="20"/>
              </w:rPr>
              <w:t>Forecast Contingency Costs</w:t>
            </w:r>
          </w:p>
        </w:tc>
        <w:tc>
          <w:tcPr>
            <w:tcW w:w="1032" w:type="dxa"/>
          </w:tcPr>
          <w:p w14:paraId="7301D44F" w14:textId="77777777" w:rsidR="00F67E9E" w:rsidRPr="003B034F" w:rsidRDefault="00F67E9E" w:rsidP="0052486C">
            <w:pPr>
              <w:pStyle w:val="StdBodyText"/>
              <w:spacing w:before="0" w:after="0"/>
              <w:rPr>
                <w:rFonts w:cs="Arial"/>
                <w:szCs w:val="20"/>
              </w:rPr>
            </w:pPr>
            <w:r w:rsidRPr="003B034F">
              <w:rPr>
                <w:rFonts w:cs="Arial"/>
                <w:szCs w:val="20"/>
              </w:rPr>
              <w:t>Owner</w:t>
            </w:r>
          </w:p>
        </w:tc>
      </w:tr>
      <w:tr w:rsidR="00F67E9E" w:rsidRPr="003B034F" w14:paraId="3A7702AD" w14:textId="77777777" w:rsidTr="0052486C">
        <w:tc>
          <w:tcPr>
            <w:tcW w:w="1021" w:type="dxa"/>
          </w:tcPr>
          <w:p w14:paraId="725A5F5A" w14:textId="77777777" w:rsidR="00F67E9E" w:rsidRPr="003B034F" w:rsidRDefault="00F67E9E" w:rsidP="0052486C">
            <w:pPr>
              <w:pStyle w:val="StdBodyText"/>
              <w:spacing w:before="0" w:after="0"/>
              <w:rPr>
                <w:rFonts w:cs="Arial"/>
                <w:szCs w:val="20"/>
              </w:rPr>
            </w:pPr>
          </w:p>
        </w:tc>
        <w:tc>
          <w:tcPr>
            <w:tcW w:w="1008" w:type="dxa"/>
          </w:tcPr>
          <w:p w14:paraId="1008FE07" w14:textId="77777777" w:rsidR="00F67E9E" w:rsidRPr="003B034F" w:rsidRDefault="00F67E9E" w:rsidP="0052486C">
            <w:pPr>
              <w:pStyle w:val="StdBodyText"/>
              <w:spacing w:before="0" w:after="0"/>
              <w:rPr>
                <w:rFonts w:cs="Arial"/>
                <w:szCs w:val="20"/>
              </w:rPr>
            </w:pPr>
          </w:p>
        </w:tc>
        <w:tc>
          <w:tcPr>
            <w:tcW w:w="1435" w:type="dxa"/>
          </w:tcPr>
          <w:p w14:paraId="44060F9C" w14:textId="77777777" w:rsidR="00F67E9E" w:rsidRPr="003B034F" w:rsidRDefault="00F67E9E" w:rsidP="0052486C">
            <w:pPr>
              <w:pStyle w:val="StdBodyText"/>
              <w:spacing w:before="0" w:after="0"/>
              <w:rPr>
                <w:rFonts w:cs="Arial"/>
                <w:szCs w:val="20"/>
              </w:rPr>
            </w:pPr>
          </w:p>
        </w:tc>
        <w:tc>
          <w:tcPr>
            <w:tcW w:w="1008" w:type="dxa"/>
          </w:tcPr>
          <w:p w14:paraId="3791AEEF" w14:textId="77777777" w:rsidR="00F67E9E" w:rsidRPr="003B034F" w:rsidRDefault="00F67E9E" w:rsidP="0052486C">
            <w:pPr>
              <w:pStyle w:val="StdBodyText"/>
              <w:spacing w:before="0" w:after="0"/>
              <w:rPr>
                <w:rFonts w:cs="Arial"/>
                <w:szCs w:val="20"/>
              </w:rPr>
            </w:pPr>
          </w:p>
        </w:tc>
        <w:tc>
          <w:tcPr>
            <w:tcW w:w="1314" w:type="dxa"/>
          </w:tcPr>
          <w:p w14:paraId="6AF0E9CD" w14:textId="77777777" w:rsidR="00F67E9E" w:rsidRPr="003B034F" w:rsidRDefault="00F67E9E" w:rsidP="0052486C">
            <w:pPr>
              <w:pStyle w:val="StdBodyText"/>
              <w:spacing w:before="0" w:after="0"/>
              <w:rPr>
                <w:rFonts w:cs="Arial"/>
                <w:szCs w:val="20"/>
              </w:rPr>
            </w:pPr>
          </w:p>
        </w:tc>
        <w:tc>
          <w:tcPr>
            <w:tcW w:w="1008" w:type="dxa"/>
          </w:tcPr>
          <w:p w14:paraId="37465BA7" w14:textId="77777777" w:rsidR="00F67E9E" w:rsidRPr="003B034F" w:rsidRDefault="00F67E9E" w:rsidP="0052486C">
            <w:pPr>
              <w:pStyle w:val="StdBodyText"/>
              <w:spacing w:before="0" w:after="0"/>
              <w:rPr>
                <w:rFonts w:cs="Arial"/>
                <w:szCs w:val="20"/>
              </w:rPr>
            </w:pPr>
          </w:p>
        </w:tc>
        <w:tc>
          <w:tcPr>
            <w:tcW w:w="1568" w:type="dxa"/>
          </w:tcPr>
          <w:p w14:paraId="2136EB03" w14:textId="77777777" w:rsidR="00F67E9E" w:rsidRPr="003B034F" w:rsidRDefault="00F67E9E" w:rsidP="0052486C">
            <w:pPr>
              <w:pStyle w:val="StdBodyText"/>
              <w:spacing w:before="0" w:after="0"/>
              <w:rPr>
                <w:rFonts w:cs="Arial"/>
                <w:szCs w:val="20"/>
              </w:rPr>
            </w:pPr>
          </w:p>
        </w:tc>
        <w:tc>
          <w:tcPr>
            <w:tcW w:w="1568" w:type="dxa"/>
          </w:tcPr>
          <w:p w14:paraId="52E2A7A8" w14:textId="77777777" w:rsidR="00F67E9E" w:rsidRPr="003B034F" w:rsidRDefault="00F67E9E" w:rsidP="0052486C">
            <w:pPr>
              <w:pStyle w:val="StdBodyText"/>
              <w:spacing w:before="0" w:after="0"/>
              <w:rPr>
                <w:rFonts w:cs="Arial"/>
                <w:szCs w:val="20"/>
              </w:rPr>
            </w:pPr>
          </w:p>
        </w:tc>
        <w:tc>
          <w:tcPr>
            <w:tcW w:w="1261" w:type="dxa"/>
          </w:tcPr>
          <w:p w14:paraId="5C46C281" w14:textId="77777777" w:rsidR="00F67E9E" w:rsidRPr="003B034F" w:rsidRDefault="00F67E9E" w:rsidP="0052486C">
            <w:pPr>
              <w:pStyle w:val="StdBodyText"/>
              <w:spacing w:before="0" w:after="0"/>
              <w:rPr>
                <w:rFonts w:cs="Arial"/>
                <w:szCs w:val="20"/>
              </w:rPr>
            </w:pPr>
          </w:p>
        </w:tc>
        <w:tc>
          <w:tcPr>
            <w:tcW w:w="1289" w:type="dxa"/>
          </w:tcPr>
          <w:p w14:paraId="21A0ACFA" w14:textId="77777777" w:rsidR="00F67E9E" w:rsidRPr="003B034F" w:rsidRDefault="00F67E9E" w:rsidP="0052486C">
            <w:pPr>
              <w:pStyle w:val="StdBodyText"/>
              <w:spacing w:before="0" w:after="0"/>
              <w:rPr>
                <w:rFonts w:cs="Arial"/>
                <w:szCs w:val="20"/>
              </w:rPr>
            </w:pPr>
          </w:p>
        </w:tc>
        <w:tc>
          <w:tcPr>
            <w:tcW w:w="1616" w:type="dxa"/>
          </w:tcPr>
          <w:p w14:paraId="2C18ABB1" w14:textId="77777777" w:rsidR="00F67E9E" w:rsidRPr="003B034F" w:rsidRDefault="00F67E9E" w:rsidP="0052486C">
            <w:pPr>
              <w:pStyle w:val="StdBodyText"/>
              <w:spacing w:before="0" w:after="0"/>
              <w:rPr>
                <w:rFonts w:cs="Arial"/>
                <w:szCs w:val="20"/>
              </w:rPr>
            </w:pPr>
          </w:p>
        </w:tc>
        <w:tc>
          <w:tcPr>
            <w:tcW w:w="1032" w:type="dxa"/>
          </w:tcPr>
          <w:p w14:paraId="497F79F8" w14:textId="77777777" w:rsidR="00F67E9E" w:rsidRPr="003B034F" w:rsidRDefault="00F67E9E" w:rsidP="0052486C">
            <w:pPr>
              <w:pStyle w:val="StdBodyText"/>
              <w:spacing w:before="0" w:after="0"/>
              <w:rPr>
                <w:rFonts w:cs="Arial"/>
                <w:szCs w:val="20"/>
              </w:rPr>
            </w:pPr>
          </w:p>
        </w:tc>
      </w:tr>
      <w:tr w:rsidR="00F67E9E" w:rsidRPr="003B034F" w14:paraId="72128C25" w14:textId="77777777" w:rsidTr="0052486C">
        <w:tc>
          <w:tcPr>
            <w:tcW w:w="1021" w:type="dxa"/>
          </w:tcPr>
          <w:p w14:paraId="02AE69B0" w14:textId="77777777" w:rsidR="00F67E9E" w:rsidRPr="003B034F" w:rsidRDefault="00F67E9E" w:rsidP="0052486C">
            <w:pPr>
              <w:pStyle w:val="StdBodyText"/>
              <w:spacing w:before="0" w:after="0"/>
              <w:rPr>
                <w:rFonts w:cs="Arial"/>
                <w:szCs w:val="20"/>
              </w:rPr>
            </w:pPr>
          </w:p>
        </w:tc>
        <w:tc>
          <w:tcPr>
            <w:tcW w:w="1008" w:type="dxa"/>
          </w:tcPr>
          <w:p w14:paraId="7819394F" w14:textId="77777777" w:rsidR="00F67E9E" w:rsidRPr="003B034F" w:rsidRDefault="00F67E9E" w:rsidP="0052486C">
            <w:pPr>
              <w:pStyle w:val="StdBodyText"/>
              <w:spacing w:before="0" w:after="0"/>
              <w:rPr>
                <w:rFonts w:cs="Arial"/>
                <w:szCs w:val="20"/>
              </w:rPr>
            </w:pPr>
          </w:p>
        </w:tc>
        <w:tc>
          <w:tcPr>
            <w:tcW w:w="1435" w:type="dxa"/>
          </w:tcPr>
          <w:p w14:paraId="7AB88AA0" w14:textId="77777777" w:rsidR="00F67E9E" w:rsidRPr="003B034F" w:rsidRDefault="00F67E9E" w:rsidP="0052486C">
            <w:pPr>
              <w:pStyle w:val="StdBodyText"/>
              <w:spacing w:before="0" w:after="0"/>
              <w:rPr>
                <w:rFonts w:cs="Arial"/>
                <w:szCs w:val="20"/>
              </w:rPr>
            </w:pPr>
          </w:p>
        </w:tc>
        <w:tc>
          <w:tcPr>
            <w:tcW w:w="1008" w:type="dxa"/>
          </w:tcPr>
          <w:p w14:paraId="14AB27DF" w14:textId="77777777" w:rsidR="00F67E9E" w:rsidRPr="003B034F" w:rsidRDefault="00F67E9E" w:rsidP="0052486C">
            <w:pPr>
              <w:pStyle w:val="StdBodyText"/>
              <w:spacing w:before="0" w:after="0"/>
              <w:rPr>
                <w:rFonts w:cs="Arial"/>
                <w:szCs w:val="20"/>
              </w:rPr>
            </w:pPr>
          </w:p>
        </w:tc>
        <w:tc>
          <w:tcPr>
            <w:tcW w:w="1314" w:type="dxa"/>
          </w:tcPr>
          <w:p w14:paraId="0525405A" w14:textId="77777777" w:rsidR="00F67E9E" w:rsidRPr="003B034F" w:rsidRDefault="00F67E9E" w:rsidP="0052486C">
            <w:pPr>
              <w:pStyle w:val="StdBodyText"/>
              <w:spacing w:before="0" w:after="0"/>
              <w:rPr>
                <w:rFonts w:cs="Arial"/>
                <w:szCs w:val="20"/>
              </w:rPr>
            </w:pPr>
          </w:p>
        </w:tc>
        <w:tc>
          <w:tcPr>
            <w:tcW w:w="1008" w:type="dxa"/>
          </w:tcPr>
          <w:p w14:paraId="012261DD" w14:textId="77777777" w:rsidR="00F67E9E" w:rsidRPr="003B034F" w:rsidRDefault="00F67E9E" w:rsidP="0052486C">
            <w:pPr>
              <w:pStyle w:val="StdBodyText"/>
              <w:spacing w:before="0" w:after="0"/>
              <w:rPr>
                <w:rFonts w:cs="Arial"/>
                <w:szCs w:val="20"/>
              </w:rPr>
            </w:pPr>
          </w:p>
        </w:tc>
        <w:tc>
          <w:tcPr>
            <w:tcW w:w="1568" w:type="dxa"/>
          </w:tcPr>
          <w:p w14:paraId="1F11125C" w14:textId="77777777" w:rsidR="00F67E9E" w:rsidRPr="003B034F" w:rsidRDefault="00F67E9E" w:rsidP="0052486C">
            <w:pPr>
              <w:pStyle w:val="StdBodyText"/>
              <w:spacing w:before="0" w:after="0"/>
              <w:rPr>
                <w:rFonts w:cs="Arial"/>
                <w:szCs w:val="20"/>
              </w:rPr>
            </w:pPr>
          </w:p>
        </w:tc>
        <w:tc>
          <w:tcPr>
            <w:tcW w:w="1568" w:type="dxa"/>
          </w:tcPr>
          <w:p w14:paraId="6CFA1A4E" w14:textId="77777777" w:rsidR="00F67E9E" w:rsidRPr="003B034F" w:rsidRDefault="00F67E9E" w:rsidP="0052486C">
            <w:pPr>
              <w:pStyle w:val="StdBodyText"/>
              <w:spacing w:before="0" w:after="0"/>
              <w:rPr>
                <w:rFonts w:cs="Arial"/>
                <w:szCs w:val="20"/>
              </w:rPr>
            </w:pPr>
          </w:p>
        </w:tc>
        <w:tc>
          <w:tcPr>
            <w:tcW w:w="1261" w:type="dxa"/>
          </w:tcPr>
          <w:p w14:paraId="51D0013B" w14:textId="77777777" w:rsidR="00F67E9E" w:rsidRPr="003B034F" w:rsidRDefault="00F67E9E" w:rsidP="0052486C">
            <w:pPr>
              <w:pStyle w:val="StdBodyText"/>
              <w:spacing w:before="0" w:after="0"/>
              <w:rPr>
                <w:rFonts w:cs="Arial"/>
                <w:szCs w:val="20"/>
              </w:rPr>
            </w:pPr>
          </w:p>
        </w:tc>
        <w:tc>
          <w:tcPr>
            <w:tcW w:w="1289" w:type="dxa"/>
          </w:tcPr>
          <w:p w14:paraId="33CC2367" w14:textId="77777777" w:rsidR="00F67E9E" w:rsidRPr="003B034F" w:rsidRDefault="00F67E9E" w:rsidP="0052486C">
            <w:pPr>
              <w:pStyle w:val="StdBodyText"/>
              <w:spacing w:before="0" w:after="0"/>
              <w:rPr>
                <w:rFonts w:cs="Arial"/>
                <w:szCs w:val="20"/>
              </w:rPr>
            </w:pPr>
          </w:p>
        </w:tc>
        <w:tc>
          <w:tcPr>
            <w:tcW w:w="1616" w:type="dxa"/>
          </w:tcPr>
          <w:p w14:paraId="397700A2" w14:textId="77777777" w:rsidR="00F67E9E" w:rsidRPr="003B034F" w:rsidRDefault="00F67E9E" w:rsidP="0052486C">
            <w:pPr>
              <w:pStyle w:val="StdBodyText"/>
              <w:spacing w:before="0" w:after="0"/>
              <w:rPr>
                <w:rFonts w:cs="Arial"/>
                <w:szCs w:val="20"/>
              </w:rPr>
            </w:pPr>
          </w:p>
        </w:tc>
        <w:tc>
          <w:tcPr>
            <w:tcW w:w="1032" w:type="dxa"/>
          </w:tcPr>
          <w:p w14:paraId="25601501" w14:textId="77777777" w:rsidR="00F67E9E" w:rsidRPr="003B034F" w:rsidRDefault="00F67E9E" w:rsidP="0052486C">
            <w:pPr>
              <w:pStyle w:val="StdBodyText"/>
              <w:spacing w:before="0" w:after="0"/>
              <w:rPr>
                <w:rFonts w:cs="Arial"/>
                <w:szCs w:val="20"/>
              </w:rPr>
            </w:pPr>
          </w:p>
        </w:tc>
      </w:tr>
      <w:tr w:rsidR="00F67E9E" w:rsidRPr="003B034F" w14:paraId="22929C4E" w14:textId="77777777" w:rsidTr="0052486C">
        <w:tc>
          <w:tcPr>
            <w:tcW w:w="1021" w:type="dxa"/>
          </w:tcPr>
          <w:p w14:paraId="4C975DE7" w14:textId="77777777" w:rsidR="00F67E9E" w:rsidRPr="003B034F" w:rsidRDefault="00F67E9E" w:rsidP="0052486C">
            <w:pPr>
              <w:pStyle w:val="StdBodyText"/>
              <w:spacing w:before="0" w:after="0"/>
              <w:rPr>
                <w:rFonts w:cs="Arial"/>
                <w:szCs w:val="20"/>
              </w:rPr>
            </w:pPr>
          </w:p>
        </w:tc>
        <w:tc>
          <w:tcPr>
            <w:tcW w:w="1008" w:type="dxa"/>
          </w:tcPr>
          <w:p w14:paraId="65FA4780" w14:textId="77777777" w:rsidR="00F67E9E" w:rsidRPr="003B034F" w:rsidRDefault="00F67E9E" w:rsidP="0052486C">
            <w:pPr>
              <w:pStyle w:val="StdBodyText"/>
              <w:spacing w:before="0" w:after="0"/>
              <w:rPr>
                <w:rFonts w:cs="Arial"/>
                <w:szCs w:val="20"/>
              </w:rPr>
            </w:pPr>
          </w:p>
        </w:tc>
        <w:tc>
          <w:tcPr>
            <w:tcW w:w="1435" w:type="dxa"/>
          </w:tcPr>
          <w:p w14:paraId="4D95D882" w14:textId="77777777" w:rsidR="00F67E9E" w:rsidRPr="003B034F" w:rsidRDefault="00F67E9E" w:rsidP="0052486C">
            <w:pPr>
              <w:pStyle w:val="StdBodyText"/>
              <w:spacing w:before="0" w:after="0"/>
              <w:rPr>
                <w:rFonts w:cs="Arial"/>
                <w:szCs w:val="20"/>
              </w:rPr>
            </w:pPr>
          </w:p>
        </w:tc>
        <w:tc>
          <w:tcPr>
            <w:tcW w:w="1008" w:type="dxa"/>
          </w:tcPr>
          <w:p w14:paraId="089FD95C" w14:textId="77777777" w:rsidR="00F67E9E" w:rsidRPr="003B034F" w:rsidRDefault="00F67E9E" w:rsidP="0052486C">
            <w:pPr>
              <w:pStyle w:val="StdBodyText"/>
              <w:spacing w:before="0" w:after="0"/>
              <w:rPr>
                <w:rFonts w:cs="Arial"/>
                <w:szCs w:val="20"/>
              </w:rPr>
            </w:pPr>
          </w:p>
        </w:tc>
        <w:tc>
          <w:tcPr>
            <w:tcW w:w="1314" w:type="dxa"/>
          </w:tcPr>
          <w:p w14:paraId="776241A3" w14:textId="77777777" w:rsidR="00F67E9E" w:rsidRPr="003B034F" w:rsidRDefault="00F67E9E" w:rsidP="0052486C">
            <w:pPr>
              <w:pStyle w:val="StdBodyText"/>
              <w:spacing w:before="0" w:after="0"/>
              <w:rPr>
                <w:rFonts w:cs="Arial"/>
                <w:szCs w:val="20"/>
              </w:rPr>
            </w:pPr>
          </w:p>
        </w:tc>
        <w:tc>
          <w:tcPr>
            <w:tcW w:w="1008" w:type="dxa"/>
          </w:tcPr>
          <w:p w14:paraId="0F7CF24B" w14:textId="77777777" w:rsidR="00F67E9E" w:rsidRPr="003B034F" w:rsidRDefault="00F67E9E" w:rsidP="0052486C">
            <w:pPr>
              <w:pStyle w:val="StdBodyText"/>
              <w:spacing w:before="0" w:after="0"/>
              <w:rPr>
                <w:rFonts w:cs="Arial"/>
                <w:szCs w:val="20"/>
              </w:rPr>
            </w:pPr>
          </w:p>
        </w:tc>
        <w:tc>
          <w:tcPr>
            <w:tcW w:w="1568" w:type="dxa"/>
          </w:tcPr>
          <w:p w14:paraId="4767E643" w14:textId="77777777" w:rsidR="00F67E9E" w:rsidRPr="003B034F" w:rsidRDefault="00F67E9E" w:rsidP="0052486C">
            <w:pPr>
              <w:pStyle w:val="StdBodyText"/>
              <w:spacing w:before="0" w:after="0"/>
              <w:rPr>
                <w:rFonts w:cs="Arial"/>
                <w:szCs w:val="20"/>
              </w:rPr>
            </w:pPr>
          </w:p>
        </w:tc>
        <w:tc>
          <w:tcPr>
            <w:tcW w:w="1568" w:type="dxa"/>
          </w:tcPr>
          <w:p w14:paraId="77F968F6" w14:textId="77777777" w:rsidR="00F67E9E" w:rsidRPr="003B034F" w:rsidRDefault="00F67E9E" w:rsidP="0052486C">
            <w:pPr>
              <w:pStyle w:val="StdBodyText"/>
              <w:spacing w:before="0" w:after="0"/>
              <w:rPr>
                <w:rFonts w:cs="Arial"/>
                <w:szCs w:val="20"/>
              </w:rPr>
            </w:pPr>
          </w:p>
        </w:tc>
        <w:tc>
          <w:tcPr>
            <w:tcW w:w="1261" w:type="dxa"/>
          </w:tcPr>
          <w:p w14:paraId="363C904A" w14:textId="77777777" w:rsidR="00F67E9E" w:rsidRPr="003B034F" w:rsidRDefault="00F67E9E" w:rsidP="0052486C">
            <w:pPr>
              <w:pStyle w:val="StdBodyText"/>
              <w:spacing w:before="0" w:after="0"/>
              <w:rPr>
                <w:rFonts w:cs="Arial"/>
                <w:szCs w:val="20"/>
              </w:rPr>
            </w:pPr>
          </w:p>
        </w:tc>
        <w:tc>
          <w:tcPr>
            <w:tcW w:w="1289" w:type="dxa"/>
          </w:tcPr>
          <w:p w14:paraId="4C784884" w14:textId="77777777" w:rsidR="00F67E9E" w:rsidRPr="003B034F" w:rsidRDefault="00F67E9E" w:rsidP="0052486C">
            <w:pPr>
              <w:pStyle w:val="StdBodyText"/>
              <w:spacing w:before="0" w:after="0"/>
              <w:rPr>
                <w:rFonts w:cs="Arial"/>
                <w:szCs w:val="20"/>
              </w:rPr>
            </w:pPr>
          </w:p>
        </w:tc>
        <w:tc>
          <w:tcPr>
            <w:tcW w:w="1616" w:type="dxa"/>
          </w:tcPr>
          <w:p w14:paraId="3D82BD6E" w14:textId="77777777" w:rsidR="00F67E9E" w:rsidRPr="003B034F" w:rsidRDefault="00F67E9E" w:rsidP="0052486C">
            <w:pPr>
              <w:pStyle w:val="StdBodyText"/>
              <w:spacing w:before="0" w:after="0"/>
              <w:rPr>
                <w:rFonts w:cs="Arial"/>
                <w:szCs w:val="20"/>
              </w:rPr>
            </w:pPr>
          </w:p>
        </w:tc>
        <w:tc>
          <w:tcPr>
            <w:tcW w:w="1032" w:type="dxa"/>
          </w:tcPr>
          <w:p w14:paraId="5BA9F7C1" w14:textId="77777777" w:rsidR="00F67E9E" w:rsidRPr="003B034F" w:rsidRDefault="00F67E9E" w:rsidP="0052486C">
            <w:pPr>
              <w:pStyle w:val="StdBodyText"/>
              <w:spacing w:before="0" w:after="0"/>
              <w:rPr>
                <w:rFonts w:cs="Arial"/>
                <w:szCs w:val="20"/>
              </w:rPr>
            </w:pPr>
          </w:p>
        </w:tc>
      </w:tr>
      <w:tr w:rsidR="00F67E9E" w:rsidRPr="003B034F" w14:paraId="4AF2D926" w14:textId="77777777" w:rsidTr="0052486C">
        <w:tc>
          <w:tcPr>
            <w:tcW w:w="1021" w:type="dxa"/>
          </w:tcPr>
          <w:p w14:paraId="6D83131B" w14:textId="77777777" w:rsidR="00F67E9E" w:rsidRPr="003B034F" w:rsidRDefault="00F67E9E" w:rsidP="0052486C">
            <w:pPr>
              <w:pStyle w:val="StdBodyText"/>
              <w:spacing w:before="0" w:after="0"/>
              <w:rPr>
                <w:rFonts w:cs="Arial"/>
                <w:szCs w:val="20"/>
              </w:rPr>
            </w:pPr>
          </w:p>
        </w:tc>
        <w:tc>
          <w:tcPr>
            <w:tcW w:w="1008" w:type="dxa"/>
          </w:tcPr>
          <w:p w14:paraId="5880EA8B" w14:textId="77777777" w:rsidR="00F67E9E" w:rsidRPr="003B034F" w:rsidRDefault="00F67E9E" w:rsidP="0052486C">
            <w:pPr>
              <w:pStyle w:val="StdBodyText"/>
              <w:spacing w:before="0" w:after="0"/>
              <w:rPr>
                <w:rFonts w:cs="Arial"/>
                <w:szCs w:val="20"/>
              </w:rPr>
            </w:pPr>
          </w:p>
        </w:tc>
        <w:tc>
          <w:tcPr>
            <w:tcW w:w="1435" w:type="dxa"/>
          </w:tcPr>
          <w:p w14:paraId="64B2BA86" w14:textId="77777777" w:rsidR="00F67E9E" w:rsidRPr="003B034F" w:rsidRDefault="00F67E9E" w:rsidP="0052486C">
            <w:pPr>
              <w:pStyle w:val="StdBodyText"/>
              <w:spacing w:before="0" w:after="0"/>
              <w:rPr>
                <w:rFonts w:cs="Arial"/>
                <w:szCs w:val="20"/>
              </w:rPr>
            </w:pPr>
          </w:p>
        </w:tc>
        <w:tc>
          <w:tcPr>
            <w:tcW w:w="1008" w:type="dxa"/>
          </w:tcPr>
          <w:p w14:paraId="37AA9354" w14:textId="77777777" w:rsidR="00F67E9E" w:rsidRPr="003B034F" w:rsidRDefault="00F67E9E" w:rsidP="0052486C">
            <w:pPr>
              <w:pStyle w:val="StdBodyText"/>
              <w:spacing w:before="0" w:after="0"/>
              <w:rPr>
                <w:rFonts w:cs="Arial"/>
                <w:szCs w:val="20"/>
              </w:rPr>
            </w:pPr>
          </w:p>
        </w:tc>
        <w:tc>
          <w:tcPr>
            <w:tcW w:w="1314" w:type="dxa"/>
          </w:tcPr>
          <w:p w14:paraId="25E2BF88" w14:textId="77777777" w:rsidR="00F67E9E" w:rsidRPr="003B034F" w:rsidRDefault="00F67E9E" w:rsidP="0052486C">
            <w:pPr>
              <w:pStyle w:val="StdBodyText"/>
              <w:spacing w:before="0" w:after="0"/>
              <w:rPr>
                <w:rFonts w:cs="Arial"/>
                <w:szCs w:val="20"/>
              </w:rPr>
            </w:pPr>
          </w:p>
        </w:tc>
        <w:tc>
          <w:tcPr>
            <w:tcW w:w="1008" w:type="dxa"/>
          </w:tcPr>
          <w:p w14:paraId="06DA78DC" w14:textId="77777777" w:rsidR="00F67E9E" w:rsidRPr="003B034F" w:rsidRDefault="00F67E9E" w:rsidP="0052486C">
            <w:pPr>
              <w:pStyle w:val="StdBodyText"/>
              <w:spacing w:before="0" w:after="0"/>
              <w:rPr>
                <w:rFonts w:cs="Arial"/>
                <w:szCs w:val="20"/>
              </w:rPr>
            </w:pPr>
          </w:p>
        </w:tc>
        <w:tc>
          <w:tcPr>
            <w:tcW w:w="1568" w:type="dxa"/>
          </w:tcPr>
          <w:p w14:paraId="065B4919" w14:textId="77777777" w:rsidR="00F67E9E" w:rsidRPr="003B034F" w:rsidRDefault="00F67E9E" w:rsidP="0052486C">
            <w:pPr>
              <w:pStyle w:val="StdBodyText"/>
              <w:spacing w:before="0" w:after="0"/>
              <w:rPr>
                <w:rFonts w:cs="Arial"/>
                <w:szCs w:val="20"/>
              </w:rPr>
            </w:pPr>
          </w:p>
        </w:tc>
        <w:tc>
          <w:tcPr>
            <w:tcW w:w="1568" w:type="dxa"/>
          </w:tcPr>
          <w:p w14:paraId="770FE7E5" w14:textId="77777777" w:rsidR="00F67E9E" w:rsidRPr="003B034F" w:rsidRDefault="00F67E9E" w:rsidP="0052486C">
            <w:pPr>
              <w:pStyle w:val="StdBodyText"/>
              <w:spacing w:before="0" w:after="0"/>
              <w:rPr>
                <w:rFonts w:cs="Arial"/>
                <w:szCs w:val="20"/>
              </w:rPr>
            </w:pPr>
          </w:p>
        </w:tc>
        <w:tc>
          <w:tcPr>
            <w:tcW w:w="1261" w:type="dxa"/>
          </w:tcPr>
          <w:p w14:paraId="384035A7" w14:textId="77777777" w:rsidR="00F67E9E" w:rsidRPr="003B034F" w:rsidRDefault="00F67E9E" w:rsidP="0052486C">
            <w:pPr>
              <w:pStyle w:val="StdBodyText"/>
              <w:spacing w:before="0" w:after="0"/>
              <w:rPr>
                <w:rFonts w:cs="Arial"/>
                <w:szCs w:val="20"/>
              </w:rPr>
            </w:pPr>
          </w:p>
        </w:tc>
        <w:tc>
          <w:tcPr>
            <w:tcW w:w="1289" w:type="dxa"/>
          </w:tcPr>
          <w:p w14:paraId="12570C15" w14:textId="77777777" w:rsidR="00F67E9E" w:rsidRPr="003B034F" w:rsidRDefault="00F67E9E" w:rsidP="0052486C">
            <w:pPr>
              <w:pStyle w:val="StdBodyText"/>
              <w:spacing w:before="0" w:after="0"/>
              <w:rPr>
                <w:rFonts w:cs="Arial"/>
                <w:szCs w:val="20"/>
              </w:rPr>
            </w:pPr>
          </w:p>
        </w:tc>
        <w:tc>
          <w:tcPr>
            <w:tcW w:w="1616" w:type="dxa"/>
          </w:tcPr>
          <w:p w14:paraId="30772EE3" w14:textId="77777777" w:rsidR="00F67E9E" w:rsidRPr="003B034F" w:rsidRDefault="00F67E9E" w:rsidP="0052486C">
            <w:pPr>
              <w:pStyle w:val="StdBodyText"/>
              <w:spacing w:before="0" w:after="0"/>
              <w:rPr>
                <w:rFonts w:cs="Arial"/>
                <w:szCs w:val="20"/>
              </w:rPr>
            </w:pPr>
          </w:p>
        </w:tc>
        <w:tc>
          <w:tcPr>
            <w:tcW w:w="1032" w:type="dxa"/>
          </w:tcPr>
          <w:p w14:paraId="674E8936" w14:textId="77777777" w:rsidR="00F67E9E" w:rsidRPr="003B034F" w:rsidRDefault="00F67E9E" w:rsidP="0052486C">
            <w:pPr>
              <w:pStyle w:val="StdBodyText"/>
              <w:spacing w:before="0" w:after="0"/>
              <w:rPr>
                <w:rFonts w:cs="Arial"/>
                <w:szCs w:val="20"/>
              </w:rPr>
            </w:pPr>
          </w:p>
        </w:tc>
      </w:tr>
    </w:tbl>
    <w:p w14:paraId="61815C4C" w14:textId="77777777" w:rsidR="00F67E9E" w:rsidRDefault="00F67E9E" w:rsidP="00F67E9E"/>
    <w:p w14:paraId="3ABEB31D" w14:textId="77777777" w:rsidR="00F67E9E" w:rsidRDefault="00F67E9E" w:rsidP="00F67E9E">
      <w:r>
        <w:br w:type="page"/>
      </w:r>
    </w:p>
    <w:p w14:paraId="40EA41C4" w14:textId="20D28F16" w:rsidR="00F67E9E" w:rsidRDefault="00F67E9E" w:rsidP="00F67E9E">
      <w:pPr>
        <w:pStyle w:val="Heading2"/>
      </w:pPr>
      <w:bookmarkStart w:id="1027" w:name="_Ref_ContractCompanion_9kb9Us12C"/>
      <w:bookmarkStart w:id="1028" w:name="_9kR3WTrAG9579ICwozRSq26I5lx1r6PSNJRLHNS"/>
      <w:bookmarkStart w:id="1029" w:name="_Toc145412780"/>
      <w:r w:rsidRPr="00BA56A1">
        <w:lastRenderedPageBreak/>
        <w:t xml:space="preserve">Annex </w:t>
      </w:r>
      <w:bookmarkStart w:id="1030" w:name="ANNEX5_SCHEDULE15"/>
      <w:r w:rsidRPr="00BA56A1">
        <w:t>5</w:t>
      </w:r>
      <w:bookmarkEnd w:id="1030"/>
      <w:r w:rsidRPr="00F11CD2">
        <w:t xml:space="preserve">: </w:t>
      </w:r>
      <w:r w:rsidR="00D738F6">
        <w:t>Not Used</w:t>
      </w:r>
      <w:bookmarkEnd w:id="1027"/>
      <w:bookmarkEnd w:id="1028"/>
      <w:bookmarkEnd w:id="1029"/>
    </w:p>
    <w:p w14:paraId="44FF1D44" w14:textId="77777777" w:rsidR="00F67E9E" w:rsidRPr="00277440" w:rsidRDefault="00F67E9E" w:rsidP="00F67E9E">
      <w:pPr>
        <w:rPr>
          <w:rFonts w:cs="Arial"/>
          <w:szCs w:val="24"/>
        </w:rPr>
      </w:pPr>
    </w:p>
    <w:p w14:paraId="0A12992A" w14:textId="77777777" w:rsidR="00F67E9E" w:rsidRDefault="00F67E9E" w:rsidP="00F67E9E"/>
    <w:p w14:paraId="068AA379" w14:textId="77777777" w:rsidR="00F67E9E" w:rsidRDefault="00F67E9E" w:rsidP="00F67E9E"/>
    <w:p w14:paraId="0FAE09D0" w14:textId="77777777" w:rsidR="00F67E9E" w:rsidRDefault="00F67E9E" w:rsidP="00F67E9E">
      <w:pPr>
        <w:sectPr w:rsidR="00F67E9E" w:rsidSect="00240D26">
          <w:footerReference w:type="default" r:id="rId120"/>
          <w:pgSz w:w="16840" w:h="11900" w:orient="landscape" w:code="9"/>
          <w:pgMar w:top="1701" w:right="851" w:bottom="1134" w:left="851" w:header="567" w:footer="567" w:gutter="0"/>
          <w:cols w:space="720"/>
          <w:docGrid w:linePitch="360"/>
        </w:sectPr>
      </w:pPr>
    </w:p>
    <w:p w14:paraId="22BB3486" w14:textId="77777777" w:rsidR="00F67E9E" w:rsidRPr="00174F30" w:rsidRDefault="00F67E9E" w:rsidP="00F67E9E">
      <w:pPr>
        <w:pStyle w:val="Dividername"/>
      </w:pPr>
      <w:r w:rsidRPr="00174F30">
        <w:lastRenderedPageBreak/>
        <w:t>Schedule 16</w:t>
      </w:r>
    </w:p>
    <w:p w14:paraId="02DAC8DB" w14:textId="77777777" w:rsidR="00F67E9E" w:rsidRPr="00174F30" w:rsidRDefault="00F67E9E" w:rsidP="00F67E9E">
      <w:pPr>
        <w:pStyle w:val="Dividername"/>
      </w:pPr>
      <w:r w:rsidRPr="00174F30">
        <w:t xml:space="preserve">Payments </w:t>
      </w:r>
      <w:r>
        <w:t>o</w:t>
      </w:r>
      <w:r w:rsidRPr="00174F30">
        <w:t>n Termination</w:t>
      </w:r>
    </w:p>
    <w:p w14:paraId="1E583AAC" w14:textId="77777777" w:rsidR="00F67E9E" w:rsidRDefault="00F67E9E" w:rsidP="00F67E9E"/>
    <w:p w14:paraId="39CFAC68" w14:textId="77777777" w:rsidR="00F67E9E" w:rsidRDefault="00F67E9E" w:rsidP="00F67E9E">
      <w:r>
        <w:br w:type="page"/>
      </w:r>
    </w:p>
    <w:p w14:paraId="6F15ED0B" w14:textId="77777777" w:rsidR="00F67E9E" w:rsidRPr="005D0525" w:rsidRDefault="00F67E9E" w:rsidP="00F67E9E">
      <w:pPr>
        <w:pStyle w:val="Heading1"/>
      </w:pPr>
      <w:bookmarkStart w:id="1031" w:name="Schedule16"/>
      <w:bookmarkStart w:id="1032" w:name="_Ref92199967"/>
      <w:bookmarkStart w:id="1033" w:name="_Toc145412781"/>
      <w:r w:rsidRPr="005D0525">
        <w:lastRenderedPageBreak/>
        <w:t>Schedule</w:t>
      </w:r>
      <w:r>
        <w:t> </w:t>
      </w:r>
      <w:r w:rsidRPr="005D0525">
        <w:t>16</w:t>
      </w:r>
      <w:bookmarkEnd w:id="1031"/>
      <w:r>
        <w:t xml:space="preserve">: </w:t>
      </w:r>
      <w:bookmarkStart w:id="1034" w:name="Schedule16Heading"/>
      <w:r w:rsidRPr="005F1047">
        <w:t>Payments on Termination</w:t>
      </w:r>
      <w:bookmarkEnd w:id="1032"/>
      <w:bookmarkEnd w:id="1033"/>
      <w:bookmarkEnd w:id="1034"/>
    </w:p>
    <w:p w14:paraId="3733A1FA" w14:textId="77777777" w:rsidR="00F67E9E" w:rsidRPr="00BA56A1" w:rsidRDefault="00F67E9E" w:rsidP="00F13933">
      <w:pPr>
        <w:pStyle w:val="Numbered1"/>
        <w:numPr>
          <w:ilvl w:val="0"/>
          <w:numId w:val="127"/>
        </w:numPr>
      </w:pPr>
      <w:r w:rsidRPr="000A7B06">
        <w:t>Definitions</w:t>
      </w:r>
    </w:p>
    <w:p w14:paraId="52D9CBB6" w14:textId="77777777" w:rsidR="00F67E9E" w:rsidRPr="00BA56A1" w:rsidRDefault="00F67E9E" w:rsidP="00F67E9E">
      <w:pPr>
        <w:pStyle w:val="Numbered11"/>
      </w:pPr>
      <w:r w:rsidRPr="00BA56A1">
        <w:t>In this Schedule, the following definitions shall apply:</w:t>
      </w:r>
    </w:p>
    <w:tbl>
      <w:tblPr>
        <w:tblStyle w:val="MSAdefinitions"/>
        <w:tblW w:w="9638" w:type="dxa"/>
        <w:tblLook w:val="04A0" w:firstRow="1" w:lastRow="0" w:firstColumn="1" w:lastColumn="0" w:noHBand="0" w:noVBand="1"/>
      </w:tblPr>
      <w:tblGrid>
        <w:gridCol w:w="2835"/>
        <w:gridCol w:w="6803"/>
      </w:tblGrid>
      <w:tr w:rsidR="00F67E9E" w:rsidRPr="00BA56A1" w14:paraId="2180168F" w14:textId="77777777" w:rsidTr="0052486C">
        <w:tc>
          <w:tcPr>
            <w:tcW w:w="2835" w:type="dxa"/>
          </w:tcPr>
          <w:p w14:paraId="0868E16F" w14:textId="77777777" w:rsidR="00F67E9E" w:rsidRPr="00BA56A1" w:rsidRDefault="00F67E9E" w:rsidP="0052486C">
            <w:pPr>
              <w:pStyle w:val="StdBodyTextBold"/>
              <w:rPr>
                <w:rFonts w:cs="Arial"/>
              </w:rPr>
            </w:pPr>
            <w:r>
              <w:rPr>
                <w:rFonts w:cs="Arial"/>
              </w:rPr>
              <w:t>“</w:t>
            </w:r>
            <w:r w:rsidRPr="00BA56A1">
              <w:rPr>
                <w:rFonts w:cs="Arial"/>
              </w:rPr>
              <w:t>Applicable Supplier Personnel</w:t>
            </w:r>
            <w:r>
              <w:rPr>
                <w:rFonts w:cs="Arial"/>
              </w:rPr>
              <w:t>”</w:t>
            </w:r>
          </w:p>
        </w:tc>
        <w:tc>
          <w:tcPr>
            <w:tcW w:w="6803" w:type="dxa"/>
          </w:tcPr>
          <w:p w14:paraId="3A9D0A69" w14:textId="77777777" w:rsidR="00F67E9E" w:rsidRPr="00BA56A1" w:rsidRDefault="00F67E9E" w:rsidP="0052486C">
            <w:pPr>
              <w:pStyle w:val="StdBodyText"/>
              <w:rPr>
                <w:rFonts w:cs="Arial"/>
              </w:rPr>
            </w:pPr>
            <w:r w:rsidRPr="00BA56A1">
              <w:rPr>
                <w:rFonts w:cs="Arial"/>
              </w:rPr>
              <w:t>any Supplier Personnel who:</w:t>
            </w:r>
          </w:p>
          <w:p w14:paraId="35A522A1" w14:textId="77777777" w:rsidR="00F67E9E" w:rsidRPr="0007705F" w:rsidRDefault="00F67E9E" w:rsidP="00F13933">
            <w:pPr>
              <w:pStyle w:val="DefinitionList"/>
              <w:numPr>
                <w:ilvl w:val="0"/>
                <w:numId w:val="128"/>
              </w:numPr>
              <w:rPr>
                <w:rFonts w:cs="Arial"/>
              </w:rPr>
            </w:pPr>
            <w:r w:rsidRPr="0007705F">
              <w:rPr>
                <w:rFonts w:cs="Arial"/>
              </w:rPr>
              <w:t>at the Termination Date:</w:t>
            </w:r>
          </w:p>
          <w:p w14:paraId="1B2E5514" w14:textId="77777777" w:rsidR="00F67E9E" w:rsidRPr="00BA56A1" w:rsidRDefault="00F67E9E" w:rsidP="00F13933">
            <w:pPr>
              <w:pStyle w:val="DefinitionListLevel1"/>
              <w:numPr>
                <w:ilvl w:val="1"/>
                <w:numId w:val="78"/>
              </w:numPr>
            </w:pPr>
            <w:r w:rsidRPr="00BA56A1">
              <w:t xml:space="preserve">are employees of the Supplier; </w:t>
            </w:r>
          </w:p>
          <w:p w14:paraId="5B82AAE5" w14:textId="77777777" w:rsidR="00F67E9E" w:rsidRPr="00BA56A1" w:rsidRDefault="00F67E9E" w:rsidP="00F13933">
            <w:pPr>
              <w:pStyle w:val="DefinitionListLevel1"/>
              <w:numPr>
                <w:ilvl w:val="1"/>
                <w:numId w:val="78"/>
              </w:numPr>
              <w:rPr>
                <w:rFonts w:cs="Arial"/>
              </w:rPr>
            </w:pPr>
            <w:r w:rsidRPr="00BA56A1">
              <w:rPr>
                <w:rFonts w:cs="Arial"/>
              </w:rPr>
              <w:t xml:space="preserve">are Dedicated Supplier Personnel; </w:t>
            </w:r>
          </w:p>
          <w:p w14:paraId="3EE2E9BC" w14:textId="77777777" w:rsidR="00F67E9E" w:rsidRPr="00BA56A1" w:rsidRDefault="00F67E9E" w:rsidP="00F13933">
            <w:pPr>
              <w:pStyle w:val="DefinitionListLevel1"/>
              <w:numPr>
                <w:ilvl w:val="1"/>
                <w:numId w:val="78"/>
              </w:numPr>
              <w:rPr>
                <w:rFonts w:cs="Arial"/>
              </w:rPr>
            </w:pPr>
            <w:r w:rsidRPr="00BA56A1">
              <w:rPr>
                <w:rFonts w:cs="Arial"/>
              </w:rPr>
              <w:t>have not transferred (and are not in scope to transfer at a later date) to the Authority or the Replacement Supplier by virtue of the Employment Regulations; and</w:t>
            </w:r>
          </w:p>
          <w:p w14:paraId="222DA345" w14:textId="77777777" w:rsidR="00F67E9E" w:rsidRPr="00BA56A1" w:rsidRDefault="00F67E9E" w:rsidP="00F13933">
            <w:pPr>
              <w:pStyle w:val="DefinitionList"/>
              <w:numPr>
                <w:ilvl w:val="0"/>
                <w:numId w:val="128"/>
              </w:numPr>
              <w:rPr>
                <w:rFonts w:cs="Arial"/>
              </w:rPr>
            </w:pPr>
            <w:r w:rsidRPr="00BA56A1">
              <w:rPr>
                <w:rFonts w:cs="Arial"/>
              </w:rPr>
              <w:t>are dismissed or given notice of dismissal by the Supplier within:</w:t>
            </w:r>
          </w:p>
          <w:p w14:paraId="4BDD5CF7" w14:textId="77777777" w:rsidR="00F67E9E" w:rsidRPr="00BA56A1" w:rsidRDefault="00F67E9E" w:rsidP="00F13933">
            <w:pPr>
              <w:pStyle w:val="DefinitionListLevel1"/>
              <w:numPr>
                <w:ilvl w:val="1"/>
                <w:numId w:val="78"/>
              </w:numPr>
              <w:rPr>
                <w:rFonts w:cs="Arial"/>
              </w:rPr>
            </w:pPr>
            <w:r w:rsidRPr="00BA56A1">
              <w:rPr>
                <w:rFonts w:cs="Arial"/>
              </w:rPr>
              <w:t xml:space="preserve">40 Working Days of the Termination Date; or </w:t>
            </w:r>
          </w:p>
          <w:p w14:paraId="064453D7" w14:textId="77777777" w:rsidR="00F67E9E" w:rsidRPr="00BA56A1" w:rsidRDefault="00F67E9E" w:rsidP="00F13933">
            <w:pPr>
              <w:pStyle w:val="DefinitionListLevel1"/>
              <w:numPr>
                <w:ilvl w:val="1"/>
                <w:numId w:val="78"/>
              </w:numPr>
              <w:rPr>
                <w:rFonts w:cs="Arial"/>
              </w:rPr>
            </w:pPr>
            <w:r w:rsidRPr="00BA56A1">
              <w:rPr>
                <w:rFonts w:cs="Arial"/>
              </w:rPr>
              <w:t>such longer period required by Law, their employment contract (as at the Termination Date) or an applicable collective agreement; and</w:t>
            </w:r>
          </w:p>
          <w:p w14:paraId="065105FF" w14:textId="77777777" w:rsidR="00F67E9E" w:rsidRPr="00BA56A1" w:rsidRDefault="00F67E9E" w:rsidP="00F13933">
            <w:pPr>
              <w:pStyle w:val="DefinitionList"/>
              <w:numPr>
                <w:ilvl w:val="0"/>
                <w:numId w:val="128"/>
              </w:numPr>
              <w:rPr>
                <w:rFonts w:cs="Arial"/>
              </w:rPr>
            </w:pPr>
            <w:r w:rsidRPr="00BA56A1">
              <w:rPr>
                <w:rFonts w:cs="Arial"/>
              </w:rPr>
              <w:t>have not resigned or given notice of resignation prior to the date of their dismissal by the Supplier; and</w:t>
            </w:r>
          </w:p>
          <w:p w14:paraId="6D5FC586" w14:textId="77777777" w:rsidR="00F67E9E" w:rsidRPr="00BA56A1" w:rsidRDefault="00F67E9E" w:rsidP="00F13933">
            <w:pPr>
              <w:pStyle w:val="DefinitionList"/>
              <w:numPr>
                <w:ilvl w:val="0"/>
                <w:numId w:val="128"/>
              </w:numPr>
              <w:rPr>
                <w:rFonts w:cs="Arial"/>
              </w:rPr>
            </w:pPr>
            <w:r w:rsidRPr="00BA56A1">
              <w:rPr>
                <w:rFonts w:cs="Arial"/>
              </w:rPr>
              <w:t>the Supplier can demonstrate to the satisfaction of the Authority:</w:t>
            </w:r>
          </w:p>
          <w:p w14:paraId="0E29A73C" w14:textId="77777777" w:rsidR="00F67E9E" w:rsidRPr="00BA56A1" w:rsidRDefault="00F67E9E" w:rsidP="00F13933">
            <w:pPr>
              <w:pStyle w:val="DefinitionListLevel1"/>
              <w:numPr>
                <w:ilvl w:val="1"/>
                <w:numId w:val="78"/>
              </w:numPr>
              <w:rPr>
                <w:rFonts w:cs="Arial"/>
              </w:rPr>
            </w:pPr>
            <w:r w:rsidRPr="00BA56A1">
              <w:rPr>
                <w:rFonts w:cs="Arial"/>
              </w:rPr>
              <w:t>are surplus to the Supplier</w:t>
            </w:r>
            <w:r>
              <w:rPr>
                <w:rFonts w:cs="Arial"/>
              </w:rPr>
              <w:t>’</w:t>
            </w:r>
            <w:r w:rsidRPr="00BA56A1">
              <w:rPr>
                <w:rFonts w:cs="Arial"/>
              </w:rPr>
              <w:t>s requirements after the Termination Date notwithstanding its obligation to provide services to its other customers;</w:t>
            </w:r>
          </w:p>
          <w:p w14:paraId="6F015E85" w14:textId="77777777" w:rsidR="00F67E9E" w:rsidRPr="00BA56A1" w:rsidRDefault="00F67E9E" w:rsidP="00F13933">
            <w:pPr>
              <w:pStyle w:val="DefinitionListLevel1"/>
              <w:numPr>
                <w:ilvl w:val="1"/>
                <w:numId w:val="78"/>
              </w:numPr>
              <w:rPr>
                <w:rFonts w:cs="Arial"/>
              </w:rPr>
            </w:pPr>
            <w:r w:rsidRPr="00BA56A1">
              <w:rPr>
                <w:rFonts w:cs="Arial"/>
              </w:rPr>
              <w:t>are genuinely being dismissed for reasons of redundancy; and</w:t>
            </w:r>
          </w:p>
          <w:p w14:paraId="2293F739" w14:textId="77777777" w:rsidR="00F67E9E" w:rsidRPr="00BA56A1" w:rsidRDefault="00F67E9E" w:rsidP="00F13933">
            <w:pPr>
              <w:pStyle w:val="DefinitionListLevel1"/>
              <w:numPr>
                <w:ilvl w:val="1"/>
                <w:numId w:val="78"/>
              </w:numPr>
              <w:rPr>
                <w:rFonts w:cs="Arial"/>
              </w:rPr>
            </w:pPr>
            <w:r w:rsidRPr="00BA56A1">
              <w:rPr>
                <w:rFonts w:cs="Arial"/>
              </w:rPr>
              <w:t>have been selected for redundancy by the Supplier on objective grounds other than the fact that the Supplier is entitled to reimbursement under this provision in respect of such employees;</w:t>
            </w:r>
          </w:p>
        </w:tc>
      </w:tr>
      <w:tr w:rsidR="00F67E9E" w:rsidRPr="00BA56A1" w14:paraId="1AF1A101" w14:textId="77777777" w:rsidTr="0052486C">
        <w:tc>
          <w:tcPr>
            <w:tcW w:w="2835" w:type="dxa"/>
          </w:tcPr>
          <w:p w14:paraId="49EE1F0D" w14:textId="77777777" w:rsidR="00F67E9E" w:rsidRPr="00BA56A1" w:rsidRDefault="00F67E9E" w:rsidP="0052486C">
            <w:pPr>
              <w:pStyle w:val="StdBodyTextBold"/>
              <w:rPr>
                <w:rFonts w:cs="Arial"/>
              </w:rPr>
            </w:pPr>
            <w:r>
              <w:rPr>
                <w:rFonts w:cs="Arial"/>
              </w:rPr>
              <w:t>“</w:t>
            </w:r>
            <w:r w:rsidRPr="00BA56A1">
              <w:rPr>
                <w:rFonts w:cs="Arial"/>
              </w:rPr>
              <w:t>Breakage Costs Payment</w:t>
            </w:r>
            <w:r>
              <w:rPr>
                <w:rFonts w:cs="Arial"/>
              </w:rPr>
              <w:t>”</w:t>
            </w:r>
          </w:p>
        </w:tc>
        <w:tc>
          <w:tcPr>
            <w:tcW w:w="6803" w:type="dxa"/>
          </w:tcPr>
          <w:p w14:paraId="4F2A0AEA" w14:textId="168ADE90" w:rsidR="00F67E9E" w:rsidRPr="00BA56A1" w:rsidRDefault="00F67E9E" w:rsidP="0052486C">
            <w:pPr>
              <w:pStyle w:val="StdBodyText"/>
              <w:rPr>
                <w:rFonts w:cs="Arial"/>
              </w:rPr>
            </w:pPr>
            <w:r w:rsidRPr="00BA56A1">
              <w:rPr>
                <w:rFonts w:cs="Arial"/>
              </w:rPr>
              <w:t xml:space="preserve">an amount equal to the Redundancy Costs and the Contract Breakage Costs as at the Termination Date as determined in accordance with </w:t>
            </w:r>
            <w:bookmarkStart w:id="1035" w:name="_9kMHG5YVtCIB8CCbLhkhy7sFROY48sz0x2zARXY"/>
            <w:r w:rsidRPr="00BA56A1">
              <w:rPr>
                <w:rFonts w:cs="Arial"/>
              </w:rPr>
              <w:t xml:space="preserve">Paragraph </w:t>
            </w:r>
            <w:bookmarkEnd w:id="1035"/>
            <w:r w:rsidRPr="00BA56A1">
              <w:rPr>
                <w:rFonts w:cs="Arial"/>
              </w:rPr>
              <w:fldChar w:fldCharType="begin"/>
            </w:r>
            <w:r w:rsidRPr="00BA56A1">
              <w:rPr>
                <w:rFonts w:cs="Arial"/>
              </w:rPr>
              <w:instrText xml:space="preserve"> REF _Ref_ContractCompanion_9kb9Us25D \n \h </w:instrText>
            </w:r>
            <w:r>
              <w:rPr>
                <w:rFonts w:cs="Arial"/>
              </w:rPr>
              <w:instrText xml:space="preserve"> \* MERGEFORMAT </w:instrText>
            </w:r>
            <w:r w:rsidRPr="00BA56A1">
              <w:rPr>
                <w:rFonts w:cs="Arial"/>
              </w:rPr>
            </w:r>
            <w:r w:rsidRPr="00BA56A1">
              <w:rPr>
                <w:rFonts w:cs="Arial"/>
              </w:rPr>
              <w:fldChar w:fldCharType="separate"/>
            </w:r>
            <w:r w:rsidR="007A1473">
              <w:rPr>
                <w:rFonts w:cs="Arial"/>
              </w:rPr>
              <w:t>3</w:t>
            </w:r>
            <w:r w:rsidRPr="00BA56A1">
              <w:rPr>
                <w:rFonts w:cs="Arial"/>
              </w:rPr>
              <w:fldChar w:fldCharType="end"/>
            </w:r>
            <w:r w:rsidRPr="00BA56A1">
              <w:rPr>
                <w:rFonts w:cs="Arial"/>
              </w:rPr>
              <w:t>;</w:t>
            </w:r>
          </w:p>
        </w:tc>
      </w:tr>
      <w:tr w:rsidR="00F67E9E" w:rsidRPr="00BA56A1" w14:paraId="4CF9CA62" w14:textId="77777777" w:rsidTr="0052486C">
        <w:tc>
          <w:tcPr>
            <w:tcW w:w="2835" w:type="dxa"/>
          </w:tcPr>
          <w:p w14:paraId="42BA6FB7" w14:textId="77777777" w:rsidR="00F67E9E" w:rsidRPr="00BA56A1" w:rsidRDefault="00F67E9E" w:rsidP="0052486C">
            <w:pPr>
              <w:pStyle w:val="StdBodyTextBold"/>
              <w:rPr>
                <w:rFonts w:cs="Arial"/>
              </w:rPr>
            </w:pPr>
            <w:r>
              <w:rPr>
                <w:rFonts w:cs="Arial"/>
              </w:rPr>
              <w:lastRenderedPageBreak/>
              <w:t>“</w:t>
            </w:r>
            <w:r w:rsidRPr="00BA56A1">
              <w:rPr>
                <w:rFonts w:cs="Arial"/>
              </w:rPr>
              <w:t>Compensation Payment</w:t>
            </w:r>
            <w:r>
              <w:rPr>
                <w:rFonts w:cs="Arial"/>
              </w:rPr>
              <w:t>”</w:t>
            </w:r>
          </w:p>
        </w:tc>
        <w:tc>
          <w:tcPr>
            <w:tcW w:w="6803" w:type="dxa"/>
          </w:tcPr>
          <w:p w14:paraId="055C9CD8" w14:textId="67061C57" w:rsidR="00F67E9E" w:rsidRPr="00BA56A1" w:rsidRDefault="00F67E9E" w:rsidP="0052486C">
            <w:pPr>
              <w:pStyle w:val="StdBodyText"/>
              <w:rPr>
                <w:rFonts w:cs="Arial"/>
              </w:rPr>
            </w:pPr>
            <w:r w:rsidRPr="00BA56A1">
              <w:rPr>
                <w:rFonts w:cs="Arial"/>
              </w:rPr>
              <w:t xml:space="preserve">the payment calculated in accordance with </w:t>
            </w:r>
            <w:bookmarkStart w:id="1036" w:name="_9kMHG5YVtCIB8CFeLhkhy7sFRRc2DF87MACLHNP"/>
            <w:r w:rsidRPr="00BA56A1">
              <w:rPr>
                <w:rFonts w:cs="Arial"/>
              </w:rPr>
              <w:t xml:space="preserve">Paragraph </w:t>
            </w:r>
            <w:r w:rsidRPr="00BA56A1">
              <w:rPr>
                <w:rFonts w:cs="Arial"/>
              </w:rPr>
              <w:fldChar w:fldCharType="begin"/>
            </w:r>
            <w:r w:rsidRPr="00BA56A1">
              <w:rPr>
                <w:rFonts w:cs="Arial"/>
              </w:rPr>
              <w:instrText xml:space="preserve"> REF _Ref_ContractCompanion_9kb9Us267 \w \n \h \t \* MERGEFORMAT </w:instrText>
            </w:r>
            <w:r w:rsidRPr="00BA56A1">
              <w:rPr>
                <w:rFonts w:cs="Arial"/>
              </w:rPr>
            </w:r>
            <w:r w:rsidRPr="00BA56A1">
              <w:rPr>
                <w:rFonts w:cs="Arial"/>
              </w:rPr>
              <w:fldChar w:fldCharType="separate"/>
            </w:r>
            <w:r w:rsidR="007A1473">
              <w:rPr>
                <w:rFonts w:cs="Arial"/>
              </w:rPr>
              <w:t>9</w:t>
            </w:r>
            <w:r w:rsidRPr="00BA56A1">
              <w:rPr>
                <w:rFonts w:cs="Arial"/>
              </w:rPr>
              <w:fldChar w:fldCharType="end"/>
            </w:r>
            <w:bookmarkEnd w:id="1036"/>
            <w:r w:rsidRPr="00BA56A1">
              <w:rPr>
                <w:rFonts w:cs="Arial"/>
              </w:rPr>
              <w:t>;</w:t>
            </w:r>
          </w:p>
        </w:tc>
      </w:tr>
      <w:tr w:rsidR="00F67E9E" w:rsidRPr="00BA56A1" w14:paraId="7D6502FC" w14:textId="77777777" w:rsidTr="0052486C">
        <w:tc>
          <w:tcPr>
            <w:tcW w:w="2835" w:type="dxa"/>
          </w:tcPr>
          <w:p w14:paraId="25D5E91F" w14:textId="77777777" w:rsidR="00F67E9E" w:rsidRPr="00BA56A1" w:rsidRDefault="00F67E9E" w:rsidP="0052486C">
            <w:pPr>
              <w:pStyle w:val="StdBodyTextBold"/>
              <w:rPr>
                <w:rFonts w:cs="Arial"/>
              </w:rPr>
            </w:pPr>
            <w:r>
              <w:rPr>
                <w:rFonts w:cs="Arial"/>
              </w:rPr>
              <w:t>“</w:t>
            </w:r>
            <w:r w:rsidRPr="00BA56A1">
              <w:rPr>
                <w:rFonts w:cs="Arial"/>
              </w:rPr>
              <w:t>Contract Breakage Costs</w:t>
            </w:r>
            <w:r>
              <w:rPr>
                <w:rFonts w:cs="Arial"/>
              </w:rPr>
              <w:t>”</w:t>
            </w:r>
          </w:p>
        </w:tc>
        <w:tc>
          <w:tcPr>
            <w:tcW w:w="6803" w:type="dxa"/>
          </w:tcPr>
          <w:p w14:paraId="1A5D03BC" w14:textId="77777777" w:rsidR="00F67E9E" w:rsidRPr="00BA56A1" w:rsidRDefault="00F67E9E" w:rsidP="0052486C">
            <w:pPr>
              <w:pStyle w:val="StdBodyText"/>
              <w:rPr>
                <w:rFonts w:cs="Arial"/>
              </w:rPr>
            </w:pPr>
            <w:r w:rsidRPr="00BA56A1">
              <w:rPr>
                <w:rFonts w:cs="Arial"/>
              </w:rPr>
              <w:t>the amounts payable by the Supplier to its Key Sub-contractors or other third parties (as applicable) for terminating all relevant Key Sub-contracts or Third Party Contracts as a direct result of the early termination of this Contract;</w:t>
            </w:r>
          </w:p>
        </w:tc>
      </w:tr>
      <w:tr w:rsidR="00F67E9E" w:rsidRPr="00BA56A1" w14:paraId="70BCAE63" w14:textId="77777777" w:rsidTr="0052486C">
        <w:tc>
          <w:tcPr>
            <w:tcW w:w="2835" w:type="dxa"/>
          </w:tcPr>
          <w:p w14:paraId="27306686" w14:textId="77777777" w:rsidR="00F67E9E" w:rsidRPr="00BA56A1" w:rsidRDefault="00F67E9E" w:rsidP="0052486C">
            <w:pPr>
              <w:pStyle w:val="StdBodyTextBold"/>
              <w:rPr>
                <w:rFonts w:cs="Arial"/>
              </w:rPr>
            </w:pPr>
            <w:r>
              <w:rPr>
                <w:rFonts w:cs="Arial"/>
              </w:rPr>
              <w:t>“</w:t>
            </w:r>
            <w:r w:rsidRPr="00BA56A1">
              <w:rPr>
                <w:rFonts w:cs="Arial"/>
              </w:rPr>
              <w:t>Dedicated Supplier Personnel</w:t>
            </w:r>
            <w:r>
              <w:rPr>
                <w:rFonts w:cs="Arial"/>
              </w:rPr>
              <w:t>”</w:t>
            </w:r>
          </w:p>
        </w:tc>
        <w:tc>
          <w:tcPr>
            <w:tcW w:w="6803" w:type="dxa"/>
          </w:tcPr>
          <w:p w14:paraId="06D9E897" w14:textId="77777777" w:rsidR="00F67E9E" w:rsidRPr="00BA56A1" w:rsidRDefault="00F67E9E" w:rsidP="0052486C">
            <w:pPr>
              <w:pStyle w:val="StdBodyText"/>
              <w:rPr>
                <w:rFonts w:cs="Arial"/>
              </w:rPr>
            </w:pPr>
            <w:r w:rsidRPr="00BA56A1">
              <w:rPr>
                <w:rFonts w:cs="Arial"/>
              </w:rPr>
              <w:t>all Supplier Personnel then assigned to the Services or any part of the Services. If the Supplier is unsure as to whether Supplier Personnel are or should be regarded as so assigned, it shall consult with the Authority whose view shall be determinative provided that the employee has been materially involved in the provision of the Services or any part of the Services;</w:t>
            </w:r>
          </w:p>
        </w:tc>
      </w:tr>
      <w:tr w:rsidR="00F67E9E" w:rsidRPr="00BA56A1" w14:paraId="54E811FF" w14:textId="77777777" w:rsidTr="0052486C">
        <w:tc>
          <w:tcPr>
            <w:tcW w:w="2835" w:type="dxa"/>
          </w:tcPr>
          <w:p w14:paraId="117AFB63" w14:textId="77777777" w:rsidR="00F67E9E" w:rsidRPr="00BA56A1" w:rsidRDefault="00F67E9E" w:rsidP="0052486C">
            <w:pPr>
              <w:pStyle w:val="StdBodyTextBold"/>
              <w:rPr>
                <w:rFonts w:cs="Arial"/>
              </w:rPr>
            </w:pPr>
            <w:r>
              <w:rPr>
                <w:rFonts w:cs="Arial"/>
              </w:rPr>
              <w:t>“</w:t>
            </w:r>
            <w:r w:rsidRPr="00BA56A1">
              <w:rPr>
                <w:rFonts w:cs="Arial"/>
              </w:rPr>
              <w:t>Profit Already Paid</w:t>
            </w:r>
            <w:r>
              <w:rPr>
                <w:rFonts w:cs="Arial"/>
              </w:rPr>
              <w:t>”</w:t>
            </w:r>
          </w:p>
        </w:tc>
        <w:tc>
          <w:tcPr>
            <w:tcW w:w="6803" w:type="dxa"/>
          </w:tcPr>
          <w:p w14:paraId="360ABC56" w14:textId="77777777" w:rsidR="00F67E9E" w:rsidRPr="00BA56A1" w:rsidRDefault="00F67E9E" w:rsidP="0052486C">
            <w:pPr>
              <w:pStyle w:val="StdBodyText"/>
              <w:rPr>
                <w:rFonts w:cs="Arial"/>
              </w:rPr>
            </w:pPr>
            <w:r w:rsidRPr="00BA56A1">
              <w:rPr>
                <w:rFonts w:cs="Arial"/>
              </w:rPr>
              <w:t>the Supplier Profit paid or payable to the Supplier under this Contract for the period from the Effective Date up to (and including) the Termination Date;</w:t>
            </w:r>
          </w:p>
        </w:tc>
      </w:tr>
      <w:tr w:rsidR="00F67E9E" w:rsidRPr="00BA56A1" w14:paraId="07A6E351" w14:textId="77777777" w:rsidTr="0052486C">
        <w:tc>
          <w:tcPr>
            <w:tcW w:w="2835" w:type="dxa"/>
          </w:tcPr>
          <w:p w14:paraId="66074CE9" w14:textId="77777777" w:rsidR="00F67E9E" w:rsidRPr="00BA56A1" w:rsidRDefault="00F67E9E" w:rsidP="0052486C">
            <w:pPr>
              <w:pStyle w:val="StdBodyTextBold"/>
              <w:rPr>
                <w:rFonts w:cs="Arial"/>
              </w:rPr>
            </w:pPr>
            <w:r>
              <w:rPr>
                <w:rFonts w:cs="Arial"/>
              </w:rPr>
              <w:t>“</w:t>
            </w:r>
            <w:r w:rsidRPr="00BA56A1">
              <w:rPr>
                <w:rFonts w:cs="Arial"/>
              </w:rPr>
              <w:t>Redundancy Costs</w:t>
            </w:r>
            <w:r>
              <w:rPr>
                <w:rFonts w:cs="Arial"/>
              </w:rPr>
              <w:t>”</w:t>
            </w:r>
          </w:p>
        </w:tc>
        <w:tc>
          <w:tcPr>
            <w:tcW w:w="6803" w:type="dxa"/>
          </w:tcPr>
          <w:p w14:paraId="411E685A" w14:textId="77777777" w:rsidR="00F67E9E" w:rsidRPr="00BA56A1" w:rsidRDefault="00F67E9E" w:rsidP="0052486C">
            <w:pPr>
              <w:pStyle w:val="StdBodyText"/>
              <w:rPr>
                <w:rFonts w:cs="Arial"/>
              </w:rPr>
            </w:pPr>
            <w:r w:rsidRPr="00BA56A1">
              <w:rPr>
                <w:rFonts w:cs="Arial"/>
              </w:rPr>
              <w:t>the total sum of any of the following sums paid to Applicable Supplier Personnel, each amount apportioned between the Supplier and the Authority based on the time spent by such employee on the Services as a proportion of the total Service duration:</w:t>
            </w:r>
          </w:p>
          <w:p w14:paraId="46961924" w14:textId="77777777" w:rsidR="00F67E9E" w:rsidRPr="00E5161E" w:rsidRDefault="00F67E9E" w:rsidP="00F13933">
            <w:pPr>
              <w:pStyle w:val="DefinitionList"/>
              <w:numPr>
                <w:ilvl w:val="0"/>
                <w:numId w:val="129"/>
              </w:numPr>
            </w:pPr>
            <w:r w:rsidRPr="00E5161E">
              <w:t xml:space="preserve">any statutory redundancy payment; and </w:t>
            </w:r>
          </w:p>
          <w:p w14:paraId="074F48C2" w14:textId="77777777" w:rsidR="00F67E9E" w:rsidRPr="00BA56A1" w:rsidRDefault="00F67E9E" w:rsidP="00F13933">
            <w:pPr>
              <w:pStyle w:val="DefinitionList"/>
              <w:numPr>
                <w:ilvl w:val="0"/>
                <w:numId w:val="78"/>
              </w:numPr>
            </w:pPr>
            <w:r w:rsidRPr="00BA56A1">
              <w:t>in respect of an employee who was a Transferring Former Supplier Employee or a Transferring Authority Employee, any contractual redundancy payment (or where such a contractual benefit on redundancy is a benefit payable from a pension scheme, the increase in cost to the Supplier as a net present value compared to the benefit payable on termination of employment without redundancy), provided that such employee was entitled to such contractual redundancy payment immediately prior to his or her transfer to the Supplier under the Employment Regulations;</w:t>
            </w:r>
          </w:p>
        </w:tc>
      </w:tr>
      <w:tr w:rsidR="00F67E9E" w:rsidRPr="00BA56A1" w14:paraId="221E0493" w14:textId="77777777" w:rsidTr="0052486C">
        <w:tc>
          <w:tcPr>
            <w:tcW w:w="2835" w:type="dxa"/>
          </w:tcPr>
          <w:p w14:paraId="286B4DAE" w14:textId="77777777" w:rsidR="00F67E9E" w:rsidRPr="00BA56A1" w:rsidRDefault="00F67E9E" w:rsidP="0052486C">
            <w:pPr>
              <w:pStyle w:val="StdBodyTextBold"/>
              <w:rPr>
                <w:rFonts w:cs="Arial"/>
              </w:rPr>
            </w:pPr>
            <w:r>
              <w:rPr>
                <w:rFonts w:cs="Arial"/>
              </w:rPr>
              <w:t>“</w:t>
            </w:r>
            <w:r w:rsidRPr="00BA56A1">
              <w:rPr>
                <w:rFonts w:cs="Arial"/>
              </w:rPr>
              <w:t>Request for Estimate</w:t>
            </w:r>
            <w:r>
              <w:rPr>
                <w:rFonts w:cs="Arial"/>
              </w:rPr>
              <w:t>”</w:t>
            </w:r>
          </w:p>
        </w:tc>
        <w:tc>
          <w:tcPr>
            <w:tcW w:w="6803" w:type="dxa"/>
          </w:tcPr>
          <w:p w14:paraId="378FC8FB" w14:textId="77777777" w:rsidR="00F67E9E" w:rsidRPr="00BA56A1" w:rsidRDefault="00F67E9E" w:rsidP="0052486C">
            <w:pPr>
              <w:pStyle w:val="StdBodyText"/>
              <w:rPr>
                <w:rFonts w:cs="Arial"/>
              </w:rPr>
            </w:pPr>
            <w:r w:rsidRPr="00BA56A1">
              <w:rPr>
                <w:rFonts w:cs="Arial"/>
              </w:rPr>
              <w:t xml:space="preserve">a written request sent by the Authority to the Supplier, requiring that the Supplier provide it with an accurate estimate of the Termination Payment and Compensation Payment that would be payable if the Authority exercised its right under </w:t>
            </w:r>
            <w:bookmarkStart w:id="1037" w:name="_9kMHG5YVt4EE7HJNEjtCx9MLt"/>
            <w:r w:rsidRPr="00BA56A1">
              <w:rPr>
                <w:rFonts w:cs="Arial"/>
              </w:rPr>
              <w:t>Clause 31.1(a)</w:t>
            </w:r>
            <w:bookmarkEnd w:id="1037"/>
            <w:r w:rsidRPr="00BA56A1">
              <w:rPr>
                <w:rFonts w:cs="Arial"/>
              </w:rPr>
              <w:t xml:space="preserve"> (</w:t>
            </w:r>
            <w:r w:rsidRPr="00BA56A1">
              <w:rPr>
                <w:rFonts w:cs="Arial"/>
                <w:i/>
              </w:rPr>
              <w:t>Termination by the Authority</w:t>
            </w:r>
            <w:r w:rsidRPr="00BA56A1">
              <w:rPr>
                <w:rFonts w:cs="Arial"/>
              </w:rPr>
              <w:t>) to terminate this Contract for convenience on a specified Termination Date;</w:t>
            </w:r>
          </w:p>
        </w:tc>
      </w:tr>
      <w:tr w:rsidR="00F67E9E" w:rsidRPr="00BA56A1" w14:paraId="56B7EF24" w14:textId="77777777" w:rsidTr="0052486C">
        <w:tc>
          <w:tcPr>
            <w:tcW w:w="2835" w:type="dxa"/>
          </w:tcPr>
          <w:p w14:paraId="74A24880" w14:textId="77777777" w:rsidR="00F67E9E" w:rsidRPr="00BA56A1" w:rsidRDefault="00F67E9E" w:rsidP="0052486C">
            <w:pPr>
              <w:pStyle w:val="StdBodyTextBold"/>
              <w:rPr>
                <w:rFonts w:cs="Arial"/>
              </w:rPr>
            </w:pPr>
            <w:r>
              <w:rPr>
                <w:rFonts w:cs="Arial"/>
              </w:rPr>
              <w:t>“</w:t>
            </w:r>
            <w:r w:rsidRPr="00BA56A1">
              <w:rPr>
                <w:rFonts w:cs="Arial"/>
              </w:rPr>
              <w:t>Shortfall Period</w:t>
            </w:r>
            <w:r>
              <w:rPr>
                <w:rFonts w:cs="Arial"/>
              </w:rPr>
              <w:t>”</w:t>
            </w:r>
          </w:p>
        </w:tc>
        <w:tc>
          <w:tcPr>
            <w:tcW w:w="6803" w:type="dxa"/>
          </w:tcPr>
          <w:p w14:paraId="10C4532F" w14:textId="3E1C7CC6" w:rsidR="00F67E9E" w:rsidRPr="00BA56A1" w:rsidRDefault="00F67E9E" w:rsidP="0052486C">
            <w:pPr>
              <w:pStyle w:val="StdBodyText"/>
              <w:rPr>
                <w:rFonts w:cs="Arial"/>
              </w:rPr>
            </w:pPr>
            <w:r w:rsidRPr="00BA56A1">
              <w:rPr>
                <w:rFonts w:cs="Arial"/>
              </w:rPr>
              <w:t xml:space="preserve">has the meaning given in </w:t>
            </w:r>
            <w:bookmarkStart w:id="1038" w:name="_9kMHG5YVtCIB8CILISM5B2oxEHDBF67I6iY78yG"/>
            <w:bookmarkStart w:id="1039" w:name="_9kMHG5YVtCJC8CJMISM5B2oxEHDBF67I6iY78yG"/>
            <w:r w:rsidRPr="00BA56A1">
              <w:rPr>
                <w:rFonts w:cs="Arial"/>
              </w:rPr>
              <w:t xml:space="preserve">Paragraph </w:t>
            </w:r>
            <w:r w:rsidRPr="00BA56A1">
              <w:rPr>
                <w:rFonts w:cs="Arial"/>
              </w:rPr>
              <w:fldChar w:fldCharType="begin"/>
            </w:r>
            <w:r w:rsidRPr="00BA56A1">
              <w:rPr>
                <w:rFonts w:cs="Arial"/>
              </w:rPr>
              <w:instrText xml:space="preserve"> REF _Ref_ContractCompanion_9kb9Us26A \n \h \t \* MERGEFORMAT </w:instrText>
            </w:r>
            <w:r w:rsidRPr="00BA56A1">
              <w:rPr>
                <w:rFonts w:cs="Arial"/>
              </w:rPr>
            </w:r>
            <w:r w:rsidRPr="00BA56A1">
              <w:rPr>
                <w:rFonts w:cs="Arial"/>
              </w:rPr>
              <w:fldChar w:fldCharType="separate"/>
            </w:r>
            <w:r w:rsidR="007A1473">
              <w:rPr>
                <w:rFonts w:cs="Arial"/>
              </w:rPr>
              <w:t>9.2</w:t>
            </w:r>
            <w:r w:rsidRPr="00BA56A1">
              <w:rPr>
                <w:rFonts w:cs="Arial"/>
              </w:rPr>
              <w:fldChar w:fldCharType="end"/>
            </w:r>
            <w:bookmarkEnd w:id="1038"/>
            <w:bookmarkEnd w:id="1039"/>
            <w:r w:rsidRPr="00BA56A1">
              <w:rPr>
                <w:rFonts w:cs="Arial"/>
              </w:rPr>
              <w:t>;</w:t>
            </w:r>
          </w:p>
        </w:tc>
      </w:tr>
      <w:tr w:rsidR="00F67E9E" w:rsidRPr="00BA56A1" w14:paraId="2879F94F" w14:textId="77777777" w:rsidTr="0052486C">
        <w:tc>
          <w:tcPr>
            <w:tcW w:w="2835" w:type="dxa"/>
          </w:tcPr>
          <w:p w14:paraId="695E1357" w14:textId="77777777" w:rsidR="00F67E9E" w:rsidRPr="00BA56A1" w:rsidRDefault="00F67E9E" w:rsidP="0052486C">
            <w:pPr>
              <w:pStyle w:val="StdBodyTextBold"/>
              <w:rPr>
                <w:rFonts w:cs="Arial"/>
              </w:rPr>
            </w:pPr>
            <w:r>
              <w:rPr>
                <w:rFonts w:cs="Arial"/>
              </w:rPr>
              <w:lastRenderedPageBreak/>
              <w:t>“</w:t>
            </w:r>
            <w:r w:rsidRPr="00BA56A1">
              <w:rPr>
                <w:rFonts w:cs="Arial"/>
              </w:rPr>
              <w:t>Termination Estimate</w:t>
            </w:r>
            <w:r>
              <w:rPr>
                <w:rFonts w:cs="Arial"/>
              </w:rPr>
              <w:t>”</w:t>
            </w:r>
          </w:p>
        </w:tc>
        <w:tc>
          <w:tcPr>
            <w:tcW w:w="6803" w:type="dxa"/>
          </w:tcPr>
          <w:p w14:paraId="5918D396" w14:textId="1608297D" w:rsidR="00F67E9E" w:rsidRPr="00BA56A1" w:rsidRDefault="00F67E9E" w:rsidP="0052486C">
            <w:pPr>
              <w:pStyle w:val="StdBodyText"/>
              <w:rPr>
                <w:rFonts w:cs="Arial"/>
              </w:rPr>
            </w:pPr>
            <w:r w:rsidRPr="00BA56A1">
              <w:rPr>
                <w:rFonts w:cs="Arial"/>
              </w:rPr>
              <w:t xml:space="preserve">has the meaning given in </w:t>
            </w:r>
            <w:bookmarkStart w:id="1040" w:name="_9kMHG5YVtCIB8DDACEhUmYjD960u4JAtyAMKII8"/>
            <w:bookmarkStart w:id="1041" w:name="_9kMHG5YVtCJC8DEBCEhUmYjD960u4JAtyAMKII8"/>
            <w:r w:rsidRPr="00BA56A1">
              <w:rPr>
                <w:rFonts w:cs="Arial"/>
              </w:rPr>
              <w:t xml:space="preserve">Paragraph </w:t>
            </w:r>
            <w:bookmarkEnd w:id="1040"/>
            <w:bookmarkEnd w:id="1041"/>
            <w:r w:rsidRPr="00BA56A1">
              <w:rPr>
                <w:rFonts w:cs="Arial"/>
              </w:rPr>
              <w:fldChar w:fldCharType="begin"/>
            </w:r>
            <w:r w:rsidRPr="00BA56A1">
              <w:rPr>
                <w:rFonts w:cs="Arial"/>
              </w:rPr>
              <w:instrText xml:space="preserve"> REF _Ref_ContractCompanion_9kb9Us26E \n \h </w:instrText>
            </w:r>
            <w:r>
              <w:rPr>
                <w:rFonts w:cs="Arial"/>
              </w:rPr>
              <w:instrText xml:space="preserve"> \* MERGEFORMAT </w:instrText>
            </w:r>
            <w:r w:rsidRPr="00BA56A1">
              <w:rPr>
                <w:rFonts w:cs="Arial"/>
              </w:rPr>
            </w:r>
            <w:r w:rsidRPr="00BA56A1">
              <w:rPr>
                <w:rFonts w:cs="Arial"/>
              </w:rPr>
              <w:fldChar w:fldCharType="separate"/>
            </w:r>
            <w:r w:rsidR="007A1473">
              <w:rPr>
                <w:rFonts w:cs="Arial"/>
              </w:rPr>
              <w:t>14.2</w:t>
            </w:r>
            <w:r w:rsidRPr="00BA56A1">
              <w:rPr>
                <w:rFonts w:cs="Arial"/>
              </w:rPr>
              <w:fldChar w:fldCharType="end"/>
            </w:r>
            <w:r w:rsidRPr="00BA56A1">
              <w:rPr>
                <w:rFonts w:cs="Arial"/>
              </w:rPr>
              <w:t>;</w:t>
            </w:r>
          </w:p>
        </w:tc>
      </w:tr>
      <w:tr w:rsidR="00F67E9E" w:rsidRPr="00BA56A1" w14:paraId="36EC16C9" w14:textId="77777777" w:rsidTr="0052486C">
        <w:tc>
          <w:tcPr>
            <w:tcW w:w="2835" w:type="dxa"/>
          </w:tcPr>
          <w:p w14:paraId="6A5E210A" w14:textId="77777777" w:rsidR="00F67E9E" w:rsidRPr="00BA56A1" w:rsidRDefault="00F67E9E" w:rsidP="0052486C">
            <w:pPr>
              <w:pStyle w:val="StdBodyTextBold"/>
              <w:rPr>
                <w:rFonts w:cs="Arial"/>
              </w:rPr>
            </w:pPr>
            <w:r>
              <w:rPr>
                <w:rFonts w:cs="Arial"/>
              </w:rPr>
              <w:t>“</w:t>
            </w:r>
            <w:r w:rsidRPr="00BA56A1">
              <w:rPr>
                <w:rFonts w:cs="Arial"/>
              </w:rPr>
              <w:t>Third Party Contract</w:t>
            </w:r>
            <w:r>
              <w:rPr>
                <w:rFonts w:cs="Arial"/>
              </w:rPr>
              <w:t>”</w:t>
            </w:r>
          </w:p>
        </w:tc>
        <w:tc>
          <w:tcPr>
            <w:tcW w:w="6803" w:type="dxa"/>
          </w:tcPr>
          <w:p w14:paraId="38267891" w14:textId="6DA270F2" w:rsidR="00F67E9E" w:rsidRPr="00BA56A1" w:rsidRDefault="00F67E9E" w:rsidP="0052486C">
            <w:pPr>
              <w:pStyle w:val="StdBodyText"/>
              <w:rPr>
                <w:rFonts w:cs="Arial"/>
              </w:rPr>
            </w:pPr>
            <w:r w:rsidRPr="00BA56A1">
              <w:rPr>
                <w:rFonts w:cs="Arial"/>
              </w:rPr>
              <w:t xml:space="preserve">a contract with a third party entered into by the Supplier exclusively for the purpose of delivering the Services, as listed in </w:t>
            </w:r>
            <w:r>
              <w:rPr>
                <w:rFonts w:cs="Arial"/>
              </w:rPr>
              <w:fldChar w:fldCharType="begin"/>
            </w:r>
            <w:r>
              <w:rPr>
                <w:rFonts w:cs="Arial"/>
              </w:rPr>
              <w:instrText xml:space="preserve"> REF Schedule11 \h </w:instrText>
            </w:r>
            <w:r>
              <w:rPr>
                <w:rFonts w:cs="Arial"/>
              </w:rPr>
            </w:r>
            <w:r>
              <w:rPr>
                <w:rFonts w:cs="Arial"/>
              </w:rPr>
              <w:fldChar w:fldCharType="separate"/>
            </w:r>
            <w:r w:rsidR="007A1473" w:rsidRPr="005D0525">
              <w:t>Schedule</w:t>
            </w:r>
            <w:r w:rsidR="007A1473">
              <w:t> </w:t>
            </w:r>
            <w:r w:rsidR="007A1473" w:rsidRPr="005D0525">
              <w:t>11</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Schedule11Heading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Third Party Contracts</w:t>
            </w:r>
            <w:r w:rsidRPr="00B91437">
              <w:rPr>
                <w:rFonts w:cs="Arial"/>
                <w:i/>
                <w:iCs/>
              </w:rPr>
              <w:fldChar w:fldCharType="end"/>
            </w:r>
            <w:r>
              <w:rPr>
                <w:rFonts w:cs="Arial"/>
              </w:rPr>
              <w:t>)</w:t>
            </w:r>
            <w:r w:rsidRPr="00BA56A1">
              <w:rPr>
                <w:rFonts w:cs="Arial"/>
              </w:rPr>
              <w:t>;</w:t>
            </w:r>
          </w:p>
        </w:tc>
      </w:tr>
      <w:tr w:rsidR="00F67E9E" w:rsidRPr="00BA56A1" w14:paraId="0FEA5F61" w14:textId="77777777" w:rsidTr="0052486C">
        <w:tc>
          <w:tcPr>
            <w:tcW w:w="2835" w:type="dxa"/>
          </w:tcPr>
          <w:p w14:paraId="1A32FB22" w14:textId="77777777" w:rsidR="00F67E9E" w:rsidRPr="00BA56A1" w:rsidRDefault="00F67E9E" w:rsidP="0052486C">
            <w:pPr>
              <w:pStyle w:val="StdBodyTextBold"/>
              <w:rPr>
                <w:rFonts w:cs="Arial"/>
              </w:rPr>
            </w:pPr>
            <w:r>
              <w:rPr>
                <w:rFonts w:cs="Arial"/>
              </w:rPr>
              <w:t>“</w:t>
            </w:r>
            <w:r w:rsidRPr="00BA56A1">
              <w:rPr>
                <w:rFonts w:cs="Arial"/>
              </w:rPr>
              <w:t>Total Costs Incurred</w:t>
            </w:r>
            <w:r>
              <w:rPr>
                <w:rFonts w:cs="Arial"/>
              </w:rPr>
              <w:t>”</w:t>
            </w:r>
          </w:p>
        </w:tc>
        <w:tc>
          <w:tcPr>
            <w:tcW w:w="6803" w:type="dxa"/>
          </w:tcPr>
          <w:p w14:paraId="30D90039" w14:textId="77777777" w:rsidR="00F67E9E" w:rsidRPr="00BA56A1" w:rsidRDefault="00F67E9E" w:rsidP="0052486C">
            <w:pPr>
              <w:pStyle w:val="StdBodyText"/>
              <w:rPr>
                <w:rFonts w:cs="Arial"/>
              </w:rPr>
            </w:pPr>
            <w:r w:rsidRPr="00BA56A1">
              <w:rPr>
                <w:rFonts w:cs="Arial"/>
              </w:rPr>
              <w:t>the Costs incurred by the Supplier up to the Termination Date in the performance of this Contract and detailed in the Financial Model (but excluding Contract Breakage Costs, Redundancy Costs and any costs the Supplier would not otherwise be able to recover through the Charges) less any Deductions up to (and including) the Termination Date;</w:t>
            </w:r>
          </w:p>
        </w:tc>
      </w:tr>
      <w:tr w:rsidR="00F67E9E" w:rsidRPr="00BA56A1" w14:paraId="5020F458" w14:textId="77777777" w:rsidTr="0052486C">
        <w:tc>
          <w:tcPr>
            <w:tcW w:w="2835" w:type="dxa"/>
          </w:tcPr>
          <w:p w14:paraId="2D59C975" w14:textId="77777777" w:rsidR="00F67E9E" w:rsidRPr="00BA56A1" w:rsidRDefault="00F67E9E" w:rsidP="0052486C">
            <w:pPr>
              <w:pStyle w:val="StdBodyTextBold"/>
              <w:rPr>
                <w:rFonts w:cs="Arial"/>
              </w:rPr>
            </w:pPr>
            <w:r>
              <w:rPr>
                <w:rFonts w:cs="Arial"/>
              </w:rPr>
              <w:t>“</w:t>
            </w:r>
            <w:r w:rsidRPr="00BA56A1">
              <w:rPr>
                <w:rFonts w:cs="Arial"/>
              </w:rPr>
              <w:t>Unrecovered Costs</w:t>
            </w:r>
            <w:r>
              <w:rPr>
                <w:rFonts w:cs="Arial"/>
              </w:rPr>
              <w:t>”</w:t>
            </w:r>
          </w:p>
        </w:tc>
        <w:tc>
          <w:tcPr>
            <w:tcW w:w="6803" w:type="dxa"/>
          </w:tcPr>
          <w:p w14:paraId="68925056" w14:textId="46E6F254" w:rsidR="00F67E9E" w:rsidRPr="00BA56A1" w:rsidRDefault="00F67E9E" w:rsidP="0052486C">
            <w:pPr>
              <w:pStyle w:val="StdBodyText"/>
              <w:rPr>
                <w:rFonts w:cs="Arial"/>
              </w:rPr>
            </w:pPr>
            <w:r w:rsidRPr="00BA56A1">
              <w:rPr>
                <w:rFonts w:cs="Arial"/>
              </w:rPr>
              <w:t xml:space="preserve">the Costs incurred by the Supplier in the performance of this Contract (as summarised in the Financial Model) to the extent that the same remain at the Termination Date to be recovered through Charges that but for the termination of this Contract would have been payable by the Authority after the Termination Date in accordance with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BA56A1">
              <w:rPr>
                <w:rFonts w:cs="Arial"/>
              </w:rPr>
              <w:t xml:space="preserve"> as such Costs and Charges are forecast in the Financial Model;</w:t>
            </w:r>
          </w:p>
        </w:tc>
      </w:tr>
      <w:tr w:rsidR="00F67E9E" w:rsidRPr="00BA56A1" w14:paraId="0CEC306D" w14:textId="77777777" w:rsidTr="0052486C">
        <w:tc>
          <w:tcPr>
            <w:tcW w:w="2835" w:type="dxa"/>
          </w:tcPr>
          <w:p w14:paraId="1B4AAC89" w14:textId="77777777" w:rsidR="00F67E9E" w:rsidRPr="00BA56A1" w:rsidRDefault="00F67E9E" w:rsidP="0052486C">
            <w:pPr>
              <w:pStyle w:val="StdBodyTextBold"/>
              <w:rPr>
                <w:rFonts w:cs="Arial"/>
              </w:rPr>
            </w:pPr>
            <w:r>
              <w:rPr>
                <w:rFonts w:cs="Arial"/>
              </w:rPr>
              <w:t>“</w:t>
            </w:r>
            <w:r w:rsidRPr="00BA56A1">
              <w:rPr>
                <w:rFonts w:cs="Arial"/>
              </w:rPr>
              <w:t>Unrecovered Payment</w:t>
            </w:r>
            <w:r>
              <w:rPr>
                <w:rFonts w:cs="Arial"/>
              </w:rPr>
              <w:t>”</w:t>
            </w:r>
          </w:p>
        </w:tc>
        <w:tc>
          <w:tcPr>
            <w:tcW w:w="6803" w:type="dxa"/>
          </w:tcPr>
          <w:p w14:paraId="1AC9D212" w14:textId="77777777" w:rsidR="00F67E9E" w:rsidRPr="00BA56A1" w:rsidRDefault="00F67E9E" w:rsidP="0052486C">
            <w:pPr>
              <w:pStyle w:val="StdBodyText"/>
              <w:rPr>
                <w:rFonts w:cs="Arial"/>
              </w:rPr>
            </w:pPr>
            <w:r w:rsidRPr="00BA56A1">
              <w:rPr>
                <w:rFonts w:cs="Arial"/>
              </w:rPr>
              <w:t>an amount equal to the lower of:</w:t>
            </w:r>
          </w:p>
          <w:p w14:paraId="4B8CCF42" w14:textId="77777777" w:rsidR="00F67E9E" w:rsidRPr="0007705F" w:rsidRDefault="00F67E9E" w:rsidP="00F13933">
            <w:pPr>
              <w:pStyle w:val="DefinitionList"/>
              <w:numPr>
                <w:ilvl w:val="0"/>
                <w:numId w:val="130"/>
              </w:numPr>
              <w:rPr>
                <w:rFonts w:cs="Arial"/>
              </w:rPr>
            </w:pPr>
            <w:r w:rsidRPr="0007705F">
              <w:rPr>
                <w:rFonts w:cs="Arial"/>
              </w:rPr>
              <w:t>the sum of the Unrecovered Costs and the Unrecovered Profit; and</w:t>
            </w:r>
          </w:p>
          <w:p w14:paraId="73F80531" w14:textId="73F346DB" w:rsidR="00F67E9E" w:rsidRPr="00BA56A1" w:rsidRDefault="00F67E9E" w:rsidP="00F13933">
            <w:pPr>
              <w:pStyle w:val="DefinitionList"/>
              <w:numPr>
                <w:ilvl w:val="0"/>
                <w:numId w:val="78"/>
              </w:numPr>
              <w:rPr>
                <w:rFonts w:cs="Arial"/>
              </w:rPr>
            </w:pPr>
            <w:r w:rsidRPr="00BA56A1">
              <w:rPr>
                <w:rFonts w:cs="Arial"/>
              </w:rPr>
              <w:t xml:space="preserve">the amount specified in </w:t>
            </w:r>
            <w:bookmarkStart w:id="1042" w:name="_9kMLK5YVt4DDCMKbGpqgyts0G"/>
            <w:r w:rsidRPr="00BA56A1">
              <w:rPr>
                <w:rFonts w:cs="Arial"/>
              </w:rPr>
              <w:t xml:space="preserve">Paragraph </w:t>
            </w:r>
            <w:r w:rsidRPr="00BA56A1">
              <w:rPr>
                <w:rFonts w:cs="Arial"/>
              </w:rPr>
              <w:fldChar w:fldCharType="begin"/>
            </w:r>
            <w:r w:rsidRPr="00BA56A1">
              <w:rPr>
                <w:rFonts w:cs="Arial"/>
              </w:rPr>
              <w:instrText xml:space="preserve"> REF _Ref_ContractCompanion_9kb9Ur6FJ \w \n \h \t \* MERGEFORMAT </w:instrText>
            </w:r>
            <w:r w:rsidRPr="00BA56A1">
              <w:rPr>
                <w:rFonts w:cs="Arial"/>
              </w:rPr>
            </w:r>
            <w:r w:rsidRPr="00BA56A1">
              <w:rPr>
                <w:rFonts w:cs="Arial"/>
              </w:rPr>
              <w:fldChar w:fldCharType="separate"/>
            </w:r>
            <w:r w:rsidR="007A1473">
              <w:rPr>
                <w:rFonts w:cs="Arial"/>
              </w:rPr>
              <w:t>7</w:t>
            </w:r>
            <w:r w:rsidRPr="00BA56A1">
              <w:rPr>
                <w:rFonts w:cs="Arial"/>
              </w:rPr>
              <w:fldChar w:fldCharType="end"/>
            </w:r>
            <w:bookmarkEnd w:id="1042"/>
            <w:r w:rsidRPr="00BA56A1">
              <w:rPr>
                <w:rFonts w:cs="Arial"/>
              </w:rPr>
              <w:t>; and</w:t>
            </w:r>
          </w:p>
        </w:tc>
      </w:tr>
      <w:tr w:rsidR="00F67E9E" w:rsidRPr="00BA56A1" w14:paraId="11B5A87A" w14:textId="77777777" w:rsidTr="0052486C">
        <w:tc>
          <w:tcPr>
            <w:tcW w:w="2835" w:type="dxa"/>
          </w:tcPr>
          <w:p w14:paraId="5C0A7061" w14:textId="77777777" w:rsidR="00F67E9E" w:rsidRPr="00BA56A1" w:rsidRDefault="00F67E9E" w:rsidP="0052486C">
            <w:pPr>
              <w:pStyle w:val="StdBodyTextBold"/>
              <w:rPr>
                <w:rFonts w:cs="Arial"/>
              </w:rPr>
            </w:pPr>
            <w:r>
              <w:rPr>
                <w:rFonts w:cs="Arial"/>
              </w:rPr>
              <w:t>“</w:t>
            </w:r>
            <w:r w:rsidRPr="00BA56A1">
              <w:rPr>
                <w:rFonts w:cs="Arial"/>
              </w:rPr>
              <w:t>Unrecovered Profit</w:t>
            </w:r>
            <w:r>
              <w:rPr>
                <w:rFonts w:cs="Arial"/>
              </w:rPr>
              <w:t>”</w:t>
            </w:r>
          </w:p>
        </w:tc>
        <w:tc>
          <w:tcPr>
            <w:tcW w:w="6803" w:type="dxa"/>
          </w:tcPr>
          <w:p w14:paraId="17862E94" w14:textId="77777777" w:rsidR="00F67E9E" w:rsidRPr="00BA56A1" w:rsidRDefault="00F67E9E" w:rsidP="0052486C">
            <w:pPr>
              <w:pStyle w:val="StdBodyText"/>
              <w:rPr>
                <w:rFonts w:cs="Arial"/>
              </w:rPr>
            </w:pPr>
            <w:r w:rsidRPr="00BA56A1">
              <w:rPr>
                <w:rFonts w:cs="Arial"/>
              </w:rPr>
              <w:t>(Total Costs Incurred x Anticipated Contract Life Profit Margin) - Profit Already Paid + Milestone Retentions remaining unpaid at the Termination Date.</w:t>
            </w:r>
          </w:p>
        </w:tc>
      </w:tr>
    </w:tbl>
    <w:p w14:paraId="010D1974" w14:textId="77777777" w:rsidR="00F67E9E" w:rsidRPr="00BA56A1" w:rsidRDefault="00F67E9E" w:rsidP="00F67E9E">
      <w:pPr>
        <w:pStyle w:val="Numbered1"/>
      </w:pPr>
      <w:r w:rsidRPr="00BA56A1">
        <w:t>Termination Payment</w:t>
      </w:r>
    </w:p>
    <w:p w14:paraId="6E963567" w14:textId="77777777" w:rsidR="00F67E9E" w:rsidRPr="00BA56A1" w:rsidRDefault="00F67E9E" w:rsidP="00F67E9E">
      <w:pPr>
        <w:pStyle w:val="Numbered11"/>
      </w:pPr>
      <w:r w:rsidRPr="00BA56A1">
        <w:t xml:space="preserve">The Termination Payment </w:t>
      </w:r>
      <w:r w:rsidRPr="000A7B06">
        <w:t>payable</w:t>
      </w:r>
      <w:r w:rsidRPr="00BA56A1">
        <w:t xml:space="preserve"> pursuant to </w:t>
      </w:r>
      <w:bookmarkStart w:id="1043" w:name="_9kR3WTr2CC67CPChrAv7LMt"/>
      <w:r w:rsidRPr="00BA56A1">
        <w:t>Clause 32.3(a)</w:t>
      </w:r>
      <w:bookmarkEnd w:id="1043"/>
      <w:r w:rsidRPr="00BA56A1">
        <w:t xml:space="preserve"> (</w:t>
      </w:r>
      <w:r w:rsidRPr="00BA56A1">
        <w:rPr>
          <w:i/>
        </w:rPr>
        <w:t>Payments by</w:t>
      </w:r>
      <w:r w:rsidRPr="00BA56A1">
        <w:t xml:space="preserve"> </w:t>
      </w:r>
      <w:r w:rsidRPr="00BA56A1">
        <w:rPr>
          <w:i/>
        </w:rPr>
        <w:t>the Authority</w:t>
      </w:r>
      <w:r w:rsidRPr="00BA56A1">
        <w:t xml:space="preserve">) shall be an amount equal to the aggregate of the Breakage Costs Payment and the Unrecovered Payment. </w:t>
      </w:r>
    </w:p>
    <w:p w14:paraId="138BAE74" w14:textId="77777777" w:rsidR="00F67E9E" w:rsidRPr="00BA56A1" w:rsidRDefault="00F67E9E" w:rsidP="00F67E9E">
      <w:pPr>
        <w:pStyle w:val="Numbered1"/>
      </w:pPr>
      <w:bookmarkStart w:id="1044" w:name="_Ref_ContractCompanion_9kb9Us25D"/>
      <w:bookmarkStart w:id="1045" w:name="_9kR3WTrAG96AAZJfifw5qDPMW26qxyv0x8PVWTC"/>
      <w:r w:rsidRPr="00BA56A1">
        <w:t>Breakage Costs Payment</w:t>
      </w:r>
      <w:bookmarkEnd w:id="1044"/>
      <w:bookmarkEnd w:id="1045"/>
    </w:p>
    <w:p w14:paraId="70B044B8" w14:textId="77777777" w:rsidR="00F67E9E" w:rsidRPr="00BA56A1" w:rsidRDefault="00F67E9E" w:rsidP="00F67E9E">
      <w:pPr>
        <w:pStyle w:val="Numbered11"/>
      </w:pPr>
      <w:r w:rsidRPr="00BA56A1">
        <w:t xml:space="preserve">The Supplier may recover </w:t>
      </w:r>
      <w:r w:rsidRPr="000A7B06">
        <w:t>through</w:t>
      </w:r>
      <w:r w:rsidRPr="00BA56A1">
        <w:t xml:space="preserve"> the Breakage Costs Payment only those costs incurred by the Supplier directly as a result of the termination of this Contract which:</w:t>
      </w:r>
    </w:p>
    <w:p w14:paraId="354949F8" w14:textId="77777777" w:rsidR="00F67E9E" w:rsidRPr="00BA56A1" w:rsidRDefault="00F67E9E" w:rsidP="00F67E9E">
      <w:pPr>
        <w:pStyle w:val="Numbered111"/>
        <w:tabs>
          <w:tab w:val="clear" w:pos="1800"/>
          <w:tab w:val="num" w:pos="2160"/>
        </w:tabs>
      </w:pPr>
      <w:r w:rsidRPr="00BA56A1">
        <w:t xml:space="preserve">would not have been incurred had this Contract continued until expiry of the Initial Term, or in the event that the Term has been extended, the expiry of the Extension Period; </w:t>
      </w:r>
    </w:p>
    <w:p w14:paraId="57A78423" w14:textId="77777777" w:rsidR="00F67E9E" w:rsidRPr="00BA56A1" w:rsidRDefault="00F67E9E" w:rsidP="00F67E9E">
      <w:pPr>
        <w:pStyle w:val="Numbered111"/>
        <w:tabs>
          <w:tab w:val="clear" w:pos="1800"/>
          <w:tab w:val="num" w:pos="2160"/>
        </w:tabs>
      </w:pPr>
      <w:r w:rsidRPr="00BA56A1">
        <w:t>are unavoidable, proven, reasonable, and not capable of recovery;</w:t>
      </w:r>
    </w:p>
    <w:p w14:paraId="508512C6" w14:textId="77777777" w:rsidR="00F67E9E" w:rsidRPr="00BA56A1" w:rsidRDefault="00F67E9E" w:rsidP="00F67E9E">
      <w:pPr>
        <w:pStyle w:val="Numbered111"/>
        <w:tabs>
          <w:tab w:val="clear" w:pos="1800"/>
          <w:tab w:val="num" w:pos="2160"/>
        </w:tabs>
      </w:pPr>
      <w:r w:rsidRPr="00BA56A1">
        <w:t>are incurred under arrangements or agreements that are directly associated with this Contract;</w:t>
      </w:r>
    </w:p>
    <w:p w14:paraId="1C2E0A87" w14:textId="77777777" w:rsidR="00F67E9E" w:rsidRPr="00BA56A1" w:rsidRDefault="00F67E9E" w:rsidP="00F67E9E">
      <w:pPr>
        <w:pStyle w:val="Numbered111"/>
        <w:tabs>
          <w:tab w:val="clear" w:pos="1800"/>
          <w:tab w:val="num" w:pos="2160"/>
        </w:tabs>
      </w:pPr>
      <w:r w:rsidRPr="00BA56A1">
        <w:lastRenderedPageBreak/>
        <w:t>are not Contract Breakage Costs relating to contracts or Sub-contracts with Affiliates of the Supplier; and</w:t>
      </w:r>
    </w:p>
    <w:p w14:paraId="2D56934B" w14:textId="77777777" w:rsidR="00F67E9E" w:rsidRPr="00BA56A1" w:rsidRDefault="00F67E9E" w:rsidP="00F67E9E">
      <w:pPr>
        <w:pStyle w:val="Numbered111"/>
        <w:tabs>
          <w:tab w:val="clear" w:pos="1800"/>
          <w:tab w:val="num" w:pos="2160"/>
        </w:tabs>
      </w:pPr>
      <w:r w:rsidRPr="00BA56A1">
        <w:t xml:space="preserve">relate directly to the termination of the Services. </w:t>
      </w:r>
    </w:p>
    <w:p w14:paraId="6D5D6B33" w14:textId="77777777" w:rsidR="00F67E9E" w:rsidRPr="00BA56A1" w:rsidRDefault="00F67E9E" w:rsidP="00F67E9E">
      <w:pPr>
        <w:pStyle w:val="Numbered1"/>
      </w:pPr>
      <w:r w:rsidRPr="00BA56A1">
        <w:t xml:space="preserve">Limitation </w:t>
      </w:r>
      <w:r w:rsidRPr="000A7B06">
        <w:t>on</w:t>
      </w:r>
      <w:r w:rsidRPr="00BA56A1">
        <w:t xml:space="preserve"> Breakage Costs Payment</w:t>
      </w:r>
    </w:p>
    <w:p w14:paraId="33E68441" w14:textId="77777777" w:rsidR="00F67E9E" w:rsidRPr="00BA56A1" w:rsidRDefault="00F67E9E" w:rsidP="00F67E9E">
      <w:pPr>
        <w:pStyle w:val="Numbered11"/>
      </w:pPr>
      <w:r w:rsidRPr="00BA56A1">
        <w:t xml:space="preserve">The Breakage Costs </w:t>
      </w:r>
      <w:r w:rsidRPr="000A7B06">
        <w:t>Payment</w:t>
      </w:r>
      <w:r w:rsidRPr="00BA56A1">
        <w:t xml:space="preserve"> shall not exceed the lower of:</w:t>
      </w:r>
    </w:p>
    <w:p w14:paraId="2D6C8DDA" w14:textId="1E0D2C59" w:rsidR="00F67E9E" w:rsidRPr="00BA56A1" w:rsidRDefault="00F67E9E" w:rsidP="00F67E9E">
      <w:pPr>
        <w:pStyle w:val="Numbered111"/>
        <w:tabs>
          <w:tab w:val="clear" w:pos="1800"/>
          <w:tab w:val="num" w:pos="2160"/>
        </w:tabs>
      </w:pPr>
      <w:r w:rsidRPr="00BA56A1">
        <w:t xml:space="preserve">the relevant limit set out in Annex </w:t>
      </w:r>
      <w:r w:rsidRPr="00BA56A1">
        <w:fldChar w:fldCharType="begin"/>
      </w:r>
      <w:r w:rsidRPr="00BA56A1">
        <w:instrText xml:space="preserve"> REF ANNEX1_SCHEDULE16 \h </w:instrText>
      </w:r>
      <w:r>
        <w:instrText xml:space="preserve"> \* MERGEFORMAT </w:instrText>
      </w:r>
      <w:r w:rsidRPr="00BA56A1">
        <w:fldChar w:fldCharType="separate"/>
      </w:r>
      <w:r w:rsidR="007A1473" w:rsidRPr="00BA56A1">
        <w:t>1</w:t>
      </w:r>
      <w:r w:rsidRPr="00BA56A1">
        <w:fldChar w:fldCharType="end"/>
      </w:r>
      <w:r w:rsidRPr="00BA56A1">
        <w:t>; and</w:t>
      </w:r>
    </w:p>
    <w:p w14:paraId="388AAEAD" w14:textId="77777777" w:rsidR="00F67E9E" w:rsidRPr="00BA56A1" w:rsidRDefault="00F67E9E" w:rsidP="00F67E9E">
      <w:pPr>
        <w:pStyle w:val="Numbered111"/>
        <w:tabs>
          <w:tab w:val="clear" w:pos="1800"/>
          <w:tab w:val="num" w:pos="2160"/>
        </w:tabs>
      </w:pPr>
      <w:r w:rsidRPr="00BA56A1">
        <w:t>120% of the estimate for the Breakage Costs Payment set out in any relevant Termination Estimate.</w:t>
      </w:r>
    </w:p>
    <w:p w14:paraId="3B5BEB74" w14:textId="77777777" w:rsidR="00F67E9E" w:rsidRPr="00BA56A1" w:rsidRDefault="00F67E9E" w:rsidP="00F67E9E">
      <w:pPr>
        <w:pStyle w:val="Numbered1"/>
      </w:pPr>
      <w:r w:rsidRPr="000A7B06">
        <w:t>Redundancy</w:t>
      </w:r>
      <w:r w:rsidRPr="00BA56A1">
        <w:t xml:space="preserve"> Costs</w:t>
      </w:r>
    </w:p>
    <w:p w14:paraId="50649B5B" w14:textId="77777777" w:rsidR="00F67E9E" w:rsidRPr="000A7B06" w:rsidRDefault="00F67E9E" w:rsidP="00F67E9E">
      <w:pPr>
        <w:pStyle w:val="Numbered11"/>
      </w:pPr>
      <w:r w:rsidRPr="00BA56A1">
        <w:t xml:space="preserve">The Authority shall not be liable under this Schedule for any costs associated with Supplier Personnel (whether relating to redundancy, redeployment or otherwise) other than the Redundancy </w:t>
      </w:r>
      <w:r w:rsidRPr="000A7B06">
        <w:t>Costs.</w:t>
      </w:r>
    </w:p>
    <w:p w14:paraId="3EA8C036" w14:textId="77777777" w:rsidR="00F67E9E" w:rsidRPr="00BA56A1" w:rsidRDefault="00F67E9E" w:rsidP="00F67E9E">
      <w:pPr>
        <w:pStyle w:val="Numbered11"/>
      </w:pPr>
      <w:r w:rsidRPr="000A7B06">
        <w:t>Where the Supplier can demonstrate that a member of Supplier Personnel will be made redundant following termination of this Contract, but redeployment of such person is possible and would offer va</w:t>
      </w:r>
      <w:r w:rsidRPr="00BA56A1">
        <w:t xml:space="preserve">lue for money to the Authority when compared with redundancy, then the Authority shall pay the Supplier the actual direct costs incurred by the Supplier or its Sub-contractor arising out of the redeployment of such person (including retraining and relocation costs) subject to a maximum amount of £30,000 per relevant member of the Supplier Personnel. </w:t>
      </w:r>
    </w:p>
    <w:p w14:paraId="6AE29C66" w14:textId="77777777" w:rsidR="00F67E9E" w:rsidRPr="00BA56A1" w:rsidRDefault="00F67E9E" w:rsidP="00F67E9E">
      <w:pPr>
        <w:pStyle w:val="Numbered1"/>
      </w:pPr>
      <w:r w:rsidRPr="00BA56A1">
        <w:t xml:space="preserve">Contract Breakage </w:t>
      </w:r>
      <w:r w:rsidRPr="000A7B06">
        <w:t>Costs</w:t>
      </w:r>
    </w:p>
    <w:p w14:paraId="1296EB85" w14:textId="77777777" w:rsidR="00F67E9E" w:rsidRPr="00BA56A1" w:rsidRDefault="00F67E9E" w:rsidP="00F67E9E">
      <w:pPr>
        <w:pStyle w:val="Numbered11"/>
      </w:pPr>
      <w:r w:rsidRPr="00BA56A1">
        <w:t xml:space="preserve">The Supplier shall be entitled to Contract Breakage Costs only in respect of </w:t>
      </w:r>
      <w:bookmarkStart w:id="1046" w:name="_9kR3WTr2AC7CHfPlwsRJsCKeP7DI0m6NJJywC"/>
      <w:r w:rsidRPr="00BA56A1">
        <w:t>Third Party Contracts or Sub</w:t>
      </w:r>
      <w:bookmarkEnd w:id="1046"/>
      <w:r w:rsidRPr="00BA56A1">
        <w:t>-</w:t>
      </w:r>
      <w:r w:rsidRPr="000A7B06">
        <w:t>contracts</w:t>
      </w:r>
      <w:r w:rsidRPr="00BA56A1">
        <w:t xml:space="preserve"> which:</w:t>
      </w:r>
    </w:p>
    <w:p w14:paraId="42D60789" w14:textId="0A3EB852" w:rsidR="00F67E9E" w:rsidRPr="00BA56A1" w:rsidRDefault="00F67E9E" w:rsidP="00F67E9E">
      <w:pPr>
        <w:pStyle w:val="Numbered111"/>
        <w:tabs>
          <w:tab w:val="clear" w:pos="1800"/>
          <w:tab w:val="num" w:pos="2160"/>
        </w:tabs>
      </w:pPr>
      <w:r w:rsidRPr="00BA56A1">
        <w:t xml:space="preserve">are not assigned or novated to a Replacement Supplier at the request of the Authority in accordance with </w:t>
      </w:r>
      <w:r>
        <w:fldChar w:fldCharType="begin"/>
      </w:r>
      <w:r>
        <w:instrText xml:space="preserve"> REF Schedule25 \h </w:instrText>
      </w:r>
      <w:r>
        <w:fldChar w:fldCharType="separate"/>
      </w:r>
      <w:r w:rsidR="007A1473" w:rsidRPr="005D0525">
        <w:t>Schedule 25</w:t>
      </w:r>
      <w:r>
        <w:fldChar w:fldCharType="end"/>
      </w:r>
      <w:r>
        <w:t xml:space="preserve"> (</w:t>
      </w:r>
      <w:r w:rsidRPr="00A22335">
        <w:rPr>
          <w:i/>
          <w:iCs/>
        </w:rPr>
        <w:fldChar w:fldCharType="begin"/>
      </w:r>
      <w:r w:rsidRPr="00A22335">
        <w:rPr>
          <w:i/>
          <w:iCs/>
        </w:rPr>
        <w:instrText xml:space="preserve"> REF Schedule25Heading \h </w:instrText>
      </w:r>
      <w:r>
        <w:rPr>
          <w:i/>
          <w:iCs/>
        </w:rPr>
        <w:instrText xml:space="preserve"> \* MERGEFORMAT </w:instrText>
      </w:r>
      <w:r w:rsidRPr="00A22335">
        <w:rPr>
          <w:i/>
          <w:iCs/>
        </w:rPr>
      </w:r>
      <w:r w:rsidRPr="00A22335">
        <w:rPr>
          <w:i/>
          <w:iCs/>
        </w:rPr>
        <w:fldChar w:fldCharType="separate"/>
      </w:r>
      <w:r w:rsidR="007A1473" w:rsidRPr="007A1473">
        <w:rPr>
          <w:i/>
          <w:iCs/>
        </w:rPr>
        <w:t>Exit Management</w:t>
      </w:r>
      <w:r w:rsidRPr="00A22335">
        <w:rPr>
          <w:i/>
          <w:iCs/>
        </w:rPr>
        <w:fldChar w:fldCharType="end"/>
      </w:r>
      <w:r>
        <w:t>)</w:t>
      </w:r>
      <w:r w:rsidRPr="00BA56A1">
        <w:t>; and</w:t>
      </w:r>
    </w:p>
    <w:p w14:paraId="27EBF1C8" w14:textId="77777777" w:rsidR="00F67E9E" w:rsidRPr="00BA56A1" w:rsidRDefault="00F67E9E" w:rsidP="00F67E9E">
      <w:pPr>
        <w:pStyle w:val="Numbered111"/>
        <w:tabs>
          <w:tab w:val="clear" w:pos="1800"/>
          <w:tab w:val="num" w:pos="2160"/>
        </w:tabs>
      </w:pPr>
      <w:r w:rsidRPr="00BA56A1">
        <w:t>the Supplier can demonstrate:</w:t>
      </w:r>
    </w:p>
    <w:p w14:paraId="21A7456C" w14:textId="77777777" w:rsidR="00F67E9E" w:rsidRPr="000A7B06" w:rsidRDefault="00F67E9E" w:rsidP="00F67E9E">
      <w:pPr>
        <w:pStyle w:val="Numbered111a"/>
      </w:pPr>
      <w:r w:rsidRPr="00BA56A1">
        <w:t>are surplus to the Supplier</w:t>
      </w:r>
      <w:r>
        <w:t>’</w:t>
      </w:r>
      <w:r w:rsidRPr="00BA56A1">
        <w:t xml:space="preserve">s requirements after the Termination Date, whether in relation to use internally within its business or in providing </w:t>
      </w:r>
      <w:r w:rsidRPr="000A7B06">
        <w:t>services to any of its other customers; and</w:t>
      </w:r>
    </w:p>
    <w:p w14:paraId="291F09D1" w14:textId="77777777" w:rsidR="00F67E9E" w:rsidRPr="00BA56A1" w:rsidRDefault="00F67E9E" w:rsidP="00F67E9E">
      <w:pPr>
        <w:pStyle w:val="Numbered111a"/>
      </w:pPr>
      <w:r w:rsidRPr="000A7B06">
        <w:t>have bee</w:t>
      </w:r>
      <w:r w:rsidRPr="00BA56A1">
        <w:t xml:space="preserve">n entered into by it in the ordinary course of business. </w:t>
      </w:r>
    </w:p>
    <w:p w14:paraId="26C858A4" w14:textId="77777777" w:rsidR="00F67E9E" w:rsidRPr="000A7B06" w:rsidRDefault="00F67E9E" w:rsidP="00F67E9E">
      <w:pPr>
        <w:pStyle w:val="Numbered11"/>
      </w:pPr>
      <w:r w:rsidRPr="00BA56A1">
        <w:t xml:space="preserve">The Supplier shall seek to negotiate termination of any </w:t>
      </w:r>
      <w:bookmarkStart w:id="1047" w:name="_9kMHG5YVt4CE9EJhRnyuTLuEMgR9FK2o8PLL0yE"/>
      <w:r w:rsidRPr="00BA56A1">
        <w:t>Third Party Contracts or Sub</w:t>
      </w:r>
      <w:bookmarkEnd w:id="1047"/>
      <w:r w:rsidRPr="00BA56A1">
        <w:t xml:space="preserve">-contracts with the relevant third party or Sub-contractor (as the case may be) using all </w:t>
      </w:r>
      <w:r w:rsidRPr="000A7B06">
        <w:t>reasonable endeavours to minimise the cancellation or termination charges.</w:t>
      </w:r>
    </w:p>
    <w:p w14:paraId="6EFD4A84" w14:textId="77777777" w:rsidR="00F67E9E" w:rsidRPr="00BA56A1" w:rsidRDefault="00F67E9E" w:rsidP="00F67E9E">
      <w:pPr>
        <w:pStyle w:val="Numbered11"/>
      </w:pPr>
      <w:r w:rsidRPr="000A7B06">
        <w:t>Except with the prior written agreement of the Authority, the Authority shall not be liable for any costs</w:t>
      </w:r>
      <w:r w:rsidRPr="00BA56A1">
        <w:t xml:space="preserve"> (including cancellation or termination charges) that the Supplier is obliged to pay in respect of:</w:t>
      </w:r>
    </w:p>
    <w:p w14:paraId="062099FA" w14:textId="77777777" w:rsidR="00F67E9E" w:rsidRPr="00BA56A1" w:rsidRDefault="00F67E9E" w:rsidP="00F67E9E">
      <w:pPr>
        <w:pStyle w:val="Numbered111"/>
        <w:tabs>
          <w:tab w:val="clear" w:pos="1800"/>
          <w:tab w:val="num" w:pos="2160"/>
        </w:tabs>
      </w:pPr>
      <w:r w:rsidRPr="00BA56A1">
        <w:t>the termination of any contractual arrangements for occupation of, support of and/or services provided for Supplier premises which may arise as a consequence of the termination of this Contract; and/or</w:t>
      </w:r>
    </w:p>
    <w:p w14:paraId="2BBFAE37" w14:textId="77777777" w:rsidR="00F67E9E" w:rsidRPr="00BA56A1" w:rsidRDefault="00F67E9E" w:rsidP="00F67E9E">
      <w:pPr>
        <w:pStyle w:val="Numbered111"/>
        <w:tabs>
          <w:tab w:val="clear" w:pos="1800"/>
          <w:tab w:val="num" w:pos="2160"/>
        </w:tabs>
      </w:pPr>
      <w:r w:rsidRPr="00BA56A1">
        <w:lastRenderedPageBreak/>
        <w:t>Assets not yet installed at the Termination Date.</w:t>
      </w:r>
    </w:p>
    <w:p w14:paraId="738B35C4" w14:textId="77777777" w:rsidR="00F67E9E" w:rsidRPr="00BA56A1" w:rsidRDefault="00F67E9E" w:rsidP="00F67E9E">
      <w:pPr>
        <w:pStyle w:val="Numbered1"/>
      </w:pPr>
      <w:bookmarkStart w:id="1048" w:name="_Ref_ContractCompanion_9kb9Ur6FJ"/>
      <w:r w:rsidRPr="00BA56A1">
        <w:t>Unrecovered Payment</w:t>
      </w:r>
      <w:bookmarkEnd w:id="1048"/>
    </w:p>
    <w:p w14:paraId="3E9A8C7A" w14:textId="77777777" w:rsidR="00F67E9E" w:rsidRPr="00BA56A1" w:rsidRDefault="00F67E9E" w:rsidP="00F67E9E">
      <w:pPr>
        <w:pStyle w:val="Numbered11"/>
      </w:pPr>
      <w:r w:rsidRPr="00BA56A1">
        <w:t>The Unrecovered Payment shall not exceed the lowest of:</w:t>
      </w:r>
    </w:p>
    <w:p w14:paraId="4A0BE9EE" w14:textId="4EC0EC03" w:rsidR="00F67E9E" w:rsidRPr="00BA56A1" w:rsidRDefault="00F67E9E" w:rsidP="00F67E9E">
      <w:pPr>
        <w:pStyle w:val="Numbered111"/>
        <w:tabs>
          <w:tab w:val="clear" w:pos="1800"/>
          <w:tab w:val="num" w:pos="2160"/>
        </w:tabs>
      </w:pPr>
      <w:r w:rsidRPr="00BA56A1">
        <w:t xml:space="preserve">the relevant limit set out in Annex </w:t>
      </w:r>
      <w:r w:rsidRPr="00BA56A1">
        <w:fldChar w:fldCharType="begin"/>
      </w:r>
      <w:r w:rsidRPr="00BA56A1">
        <w:instrText xml:space="preserve"> REF ANNEX1_SCHEDULE16 \h </w:instrText>
      </w:r>
      <w:r>
        <w:instrText xml:space="preserve"> \* MERGEFORMAT </w:instrText>
      </w:r>
      <w:r w:rsidRPr="00BA56A1">
        <w:fldChar w:fldCharType="separate"/>
      </w:r>
      <w:r w:rsidR="007A1473" w:rsidRPr="00BA56A1">
        <w:t>1</w:t>
      </w:r>
      <w:r w:rsidRPr="00BA56A1">
        <w:fldChar w:fldCharType="end"/>
      </w:r>
      <w:r w:rsidRPr="00BA56A1">
        <w:t xml:space="preserve">; </w:t>
      </w:r>
    </w:p>
    <w:p w14:paraId="461A1F7C" w14:textId="77777777" w:rsidR="00F67E9E" w:rsidRPr="00BA56A1" w:rsidRDefault="00F67E9E" w:rsidP="00F67E9E">
      <w:pPr>
        <w:pStyle w:val="Numbered111"/>
        <w:tabs>
          <w:tab w:val="clear" w:pos="1800"/>
          <w:tab w:val="num" w:pos="2160"/>
        </w:tabs>
      </w:pPr>
      <w:r w:rsidRPr="00BA56A1">
        <w:t>120% of the estimate for the Unrecovered Payment set out in any relevant Termination Estimate; and</w:t>
      </w:r>
    </w:p>
    <w:p w14:paraId="7336B195" w14:textId="2CDE7622" w:rsidR="00F67E9E" w:rsidRPr="00BA56A1" w:rsidRDefault="00F67E9E" w:rsidP="00F67E9E">
      <w:pPr>
        <w:pStyle w:val="Numbered111"/>
        <w:tabs>
          <w:tab w:val="clear" w:pos="1800"/>
          <w:tab w:val="num" w:pos="2160"/>
        </w:tabs>
      </w:pPr>
      <w:r w:rsidRPr="00BA56A1">
        <w:t xml:space="preserve">the Charges that but for the termination of this Contract would have been payable by the Authority after the Termination Date in accordance with </w:t>
      </w:r>
      <w:r>
        <w:fldChar w:fldCharType="begin"/>
      </w:r>
      <w:r>
        <w:instrText xml:space="preserve"> REF Schedule15 \h </w:instrText>
      </w:r>
      <w:r>
        <w:fldChar w:fldCharType="separate"/>
      </w:r>
      <w:r w:rsidR="007A1473" w:rsidRPr="005D0525">
        <w:t>Schedule</w:t>
      </w:r>
      <w:r w:rsidR="007A1473">
        <w:t> </w:t>
      </w:r>
      <w:r w:rsidR="007A1473" w:rsidRPr="005D0525">
        <w:t>15</w:t>
      </w:r>
      <w:r>
        <w:fldChar w:fldCharType="end"/>
      </w:r>
      <w:r>
        <w:t xml:space="preserve"> (</w:t>
      </w:r>
      <w:r w:rsidRPr="00B91437">
        <w:rPr>
          <w:i/>
          <w:iCs/>
        </w:rPr>
        <w:fldChar w:fldCharType="begin"/>
      </w:r>
      <w:r w:rsidRPr="00B91437">
        <w:rPr>
          <w:i/>
          <w:iCs/>
        </w:rPr>
        <w:instrText xml:space="preserve"> REF Schedule15Heading \h </w:instrText>
      </w:r>
      <w:r>
        <w:rPr>
          <w:i/>
          <w:iCs/>
        </w:rPr>
        <w:instrText xml:space="preserve"> \* MERGEFORMAT </w:instrText>
      </w:r>
      <w:r w:rsidRPr="00B91437">
        <w:rPr>
          <w:i/>
          <w:iCs/>
        </w:rPr>
      </w:r>
      <w:r w:rsidRPr="00B91437">
        <w:rPr>
          <w:i/>
          <w:iCs/>
        </w:rPr>
        <w:fldChar w:fldCharType="separate"/>
      </w:r>
      <w:r w:rsidR="007A1473" w:rsidRPr="007A1473">
        <w:rPr>
          <w:i/>
          <w:iCs/>
        </w:rPr>
        <w:t>Charges and Invoicing</w:t>
      </w:r>
      <w:r w:rsidRPr="00B91437">
        <w:rPr>
          <w:i/>
          <w:iCs/>
        </w:rPr>
        <w:fldChar w:fldCharType="end"/>
      </w:r>
      <w:r>
        <w:t>)</w:t>
      </w:r>
      <w:r w:rsidRPr="00BA56A1">
        <w:t xml:space="preserve"> as forecast in the Financial Model.</w:t>
      </w:r>
    </w:p>
    <w:p w14:paraId="1447A3A8" w14:textId="77777777" w:rsidR="00F67E9E" w:rsidRPr="00BA56A1" w:rsidRDefault="00F67E9E" w:rsidP="00F67E9E">
      <w:pPr>
        <w:pStyle w:val="Numbered1"/>
      </w:pPr>
      <w:bookmarkStart w:id="1049" w:name="_Ref_ContractCompanion_9kb9Us77A"/>
      <w:r w:rsidRPr="000A7B06">
        <w:t>Mitigation</w:t>
      </w:r>
      <w:r w:rsidRPr="00BA56A1">
        <w:t xml:space="preserve"> </w:t>
      </w:r>
      <w:r>
        <w:t>o</w:t>
      </w:r>
      <w:r w:rsidRPr="00BA56A1">
        <w:t xml:space="preserve">f Contract Breakage Costs, Redundancy Costs </w:t>
      </w:r>
      <w:r>
        <w:t>a</w:t>
      </w:r>
      <w:r w:rsidRPr="00BA56A1">
        <w:t>nd Unrecovered Costs</w:t>
      </w:r>
      <w:bookmarkEnd w:id="1049"/>
    </w:p>
    <w:p w14:paraId="1B5E27B2" w14:textId="77777777" w:rsidR="00F67E9E" w:rsidRPr="00BA56A1" w:rsidRDefault="00F67E9E" w:rsidP="00F67E9E">
      <w:pPr>
        <w:pStyle w:val="Numbered11"/>
      </w:pPr>
      <w:r w:rsidRPr="00BA56A1">
        <w:t xml:space="preserve">The Supplier agrees to use all reasonable endeavours to minimise and mitigate Contract Breakage </w:t>
      </w:r>
      <w:r w:rsidRPr="000A7B06">
        <w:t>Costs</w:t>
      </w:r>
      <w:r w:rsidRPr="00BA56A1">
        <w:t>, Redundancy Costs and Unrecovered Costs by:</w:t>
      </w:r>
    </w:p>
    <w:p w14:paraId="06258BF8" w14:textId="77777777" w:rsidR="00F67E9E" w:rsidRPr="00BA56A1" w:rsidRDefault="00F67E9E" w:rsidP="00F67E9E">
      <w:pPr>
        <w:pStyle w:val="Numbered111"/>
        <w:tabs>
          <w:tab w:val="clear" w:pos="1800"/>
          <w:tab w:val="num" w:pos="2160"/>
        </w:tabs>
      </w:pPr>
      <w:r w:rsidRPr="00BA56A1">
        <w:t xml:space="preserve">the appropriation of Assets, employees and resources for other purposes; </w:t>
      </w:r>
    </w:p>
    <w:p w14:paraId="69775453" w14:textId="77777777" w:rsidR="00F67E9E" w:rsidRPr="00BA56A1" w:rsidRDefault="00F67E9E" w:rsidP="00F67E9E">
      <w:pPr>
        <w:pStyle w:val="Numbered111"/>
        <w:tabs>
          <w:tab w:val="clear" w:pos="1800"/>
          <w:tab w:val="num" w:pos="2160"/>
        </w:tabs>
      </w:pPr>
      <w:r w:rsidRPr="00BA56A1">
        <w:t>at the Authority</w:t>
      </w:r>
      <w:r>
        <w:t>’</w:t>
      </w:r>
      <w:r w:rsidRPr="00BA56A1">
        <w:t>s request, assigning any Third Party Contracts and Sub-contracts to the Authority or a third party acting on behalf of the Authority; and</w:t>
      </w:r>
    </w:p>
    <w:p w14:paraId="21EAECF0" w14:textId="77777777" w:rsidR="00F67E9E" w:rsidRPr="00BA56A1" w:rsidRDefault="00F67E9E" w:rsidP="00F67E9E">
      <w:pPr>
        <w:pStyle w:val="Numbered111"/>
        <w:tabs>
          <w:tab w:val="clear" w:pos="1800"/>
          <w:tab w:val="num" w:pos="2160"/>
        </w:tabs>
      </w:pPr>
      <w:r w:rsidRPr="00BA56A1">
        <w:t>in relation Third Party Contracts and Sub-contract that are not to be assigned to the Authority or to another third party, terminating those contracts at the earliest possible date without breach or where contractually permitted.</w:t>
      </w:r>
    </w:p>
    <w:p w14:paraId="4C908589" w14:textId="1A22FA57" w:rsidR="00F67E9E" w:rsidRPr="00BA56A1" w:rsidRDefault="00F67E9E" w:rsidP="00F67E9E">
      <w:pPr>
        <w:pStyle w:val="Numbered11"/>
      </w:pPr>
      <w:r w:rsidRPr="00BA56A1">
        <w:t>If Assets, employees and resources can be used by the Supplier for other purposes, then there shall be an equitable reduction in the Contract Breakage Costs, Redundancy Costs and Unrecovered Costs payable by the Authority or a third party to the Supplier.</w:t>
      </w:r>
      <w:r>
        <w:t xml:space="preserve"> </w:t>
      </w:r>
      <w:r w:rsidRPr="00BA56A1">
        <w:t xml:space="preserve">In the event of any Dispute </w:t>
      </w:r>
      <w:r w:rsidRPr="000A7B06">
        <w:t>arising</w:t>
      </w:r>
      <w:r w:rsidRPr="00BA56A1">
        <w:t xml:space="preserve"> over whether the Supplier can use any Assets, employees and/or resources for other purposes and/or over the amount of the relevant equitable reduction, the Dispute shall be referred to an Expert for determination in accordance with the procedure detailed in </w:t>
      </w:r>
      <w:r>
        <w:rPr>
          <w:rFonts w:cs="Arial"/>
        </w:rPr>
        <w:fldChar w:fldCharType="begin"/>
      </w:r>
      <w:r>
        <w:rPr>
          <w:rFonts w:cs="Arial"/>
        </w:rPr>
        <w:instrText xml:space="preserve"> REF Schedule23 \h </w:instrText>
      </w:r>
      <w:r>
        <w:rPr>
          <w:rFonts w:cs="Arial"/>
        </w:rPr>
      </w:r>
      <w:r>
        <w:rPr>
          <w:rFonts w:cs="Arial"/>
        </w:rPr>
        <w:fldChar w:fldCharType="separate"/>
      </w:r>
      <w:r w:rsidR="007A1473" w:rsidRPr="005D0525">
        <w:t>Schedule</w:t>
      </w:r>
      <w:r w:rsidR="007A1473">
        <w:t> </w:t>
      </w:r>
      <w:r w:rsidR="007A1473" w:rsidRPr="005D0525">
        <w:t>23</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Schedule23Heading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Dispute Resolution Procedure</w:t>
      </w:r>
      <w:r w:rsidRPr="002F30DB">
        <w:rPr>
          <w:rFonts w:cs="Arial"/>
          <w:i/>
          <w:iCs/>
        </w:rPr>
        <w:fldChar w:fldCharType="end"/>
      </w:r>
      <w:r>
        <w:rPr>
          <w:rFonts w:cs="Arial"/>
        </w:rPr>
        <w:t>)</w:t>
      </w:r>
      <w:r w:rsidRPr="00BA56A1">
        <w:t>.</w:t>
      </w:r>
    </w:p>
    <w:p w14:paraId="5F5FA425" w14:textId="77777777" w:rsidR="00F67E9E" w:rsidRPr="00BA56A1" w:rsidRDefault="00F67E9E" w:rsidP="00F67E9E">
      <w:pPr>
        <w:pStyle w:val="Numbered1"/>
      </w:pPr>
      <w:bookmarkStart w:id="1050" w:name="_Ref_ContractCompanion_9kb9Us267"/>
      <w:bookmarkStart w:id="1051" w:name="_9kR3WTrAG96ADcJfifw5qDPPa0BD65K8AJFLNBL"/>
      <w:r w:rsidRPr="00BA56A1">
        <w:t xml:space="preserve">Compensation </w:t>
      </w:r>
      <w:r w:rsidRPr="000A7B06">
        <w:t>Payment</w:t>
      </w:r>
      <w:bookmarkEnd w:id="1050"/>
      <w:bookmarkEnd w:id="1051"/>
    </w:p>
    <w:p w14:paraId="7329154D" w14:textId="77777777" w:rsidR="00F67E9E" w:rsidRPr="000A7B06" w:rsidRDefault="00F67E9E" w:rsidP="00F67E9E">
      <w:pPr>
        <w:pStyle w:val="Numbered11"/>
      </w:pPr>
      <w:bookmarkStart w:id="1052" w:name="_Ref_ContractCompanion_9kb9Us27C"/>
      <w:bookmarkStart w:id="1053" w:name="_9kR3WTrAG96BIKFdRjFK13wvAy095BnVBO57NQ8"/>
      <w:r w:rsidRPr="00BA56A1">
        <w:t xml:space="preserve">The Compensation Payment payable pursuant to </w:t>
      </w:r>
      <w:bookmarkStart w:id="1054" w:name="_9kR3WTr2CC67DQChrAv7LMu"/>
      <w:r w:rsidRPr="00BA56A1">
        <w:t>Clause 32.3(b)</w:t>
      </w:r>
      <w:bookmarkEnd w:id="1054"/>
      <w:r w:rsidRPr="00BA56A1">
        <w:t xml:space="preserve"> (</w:t>
      </w:r>
      <w:r w:rsidRPr="00BA56A1">
        <w:rPr>
          <w:i/>
        </w:rPr>
        <w:t>Payments</w:t>
      </w:r>
      <w:r w:rsidRPr="00BA56A1">
        <w:t xml:space="preserve"> </w:t>
      </w:r>
      <w:r w:rsidRPr="00BA56A1">
        <w:rPr>
          <w:i/>
        </w:rPr>
        <w:t>by the Authority</w:t>
      </w:r>
      <w:r w:rsidRPr="00BA56A1">
        <w:t xml:space="preserve">) shall be an amount equal to the total forecast Charges over the Shortfall Period (as stated in the </w:t>
      </w:r>
      <w:r w:rsidRPr="000A7B06">
        <w:t>Financial Model) multiplied by the Anticipated Contract Life Profit Margin.</w:t>
      </w:r>
      <w:bookmarkEnd w:id="1052"/>
      <w:bookmarkEnd w:id="1053"/>
    </w:p>
    <w:p w14:paraId="0A232077" w14:textId="16CBED49" w:rsidR="00F67E9E" w:rsidRPr="00BA56A1" w:rsidRDefault="00F67E9E" w:rsidP="00F67E9E">
      <w:pPr>
        <w:pStyle w:val="Numbered11"/>
      </w:pPr>
      <w:bookmarkStart w:id="1055" w:name="_Ref_ContractCompanion_9kb9Us26A"/>
      <w:bookmarkStart w:id="1056" w:name="_9kR3WTrAG96AGJGQK390mvCFB9D45G4gW56wE98"/>
      <w:bookmarkStart w:id="1057" w:name="_9kR3WTrAHA6AHKGQK390mvCFB9D45G4gW56wE98"/>
      <w:r w:rsidRPr="000A7B06">
        <w:t>For the purposes of</w:t>
      </w:r>
      <w:r w:rsidRPr="00BA56A1">
        <w:t xml:space="preserve"> </w:t>
      </w:r>
      <w:bookmarkStart w:id="1058" w:name="_9kMHG5YVtCIB8DKMHfTlHM35yxC02B7DpXDQ79P"/>
      <w:r w:rsidRPr="00BA56A1">
        <w:t xml:space="preserve">Paragraph </w:t>
      </w:r>
      <w:r w:rsidRPr="00BA56A1">
        <w:fldChar w:fldCharType="begin"/>
      </w:r>
      <w:r w:rsidRPr="00BA56A1">
        <w:instrText xml:space="preserve"> REF _Ref_ContractCompanion_9kb9Us27C \n \h \t \* MERGEFORMAT </w:instrText>
      </w:r>
      <w:r w:rsidRPr="00BA56A1">
        <w:fldChar w:fldCharType="separate"/>
      </w:r>
      <w:r w:rsidR="007A1473">
        <w:t>9.1</w:t>
      </w:r>
      <w:r w:rsidRPr="00BA56A1">
        <w:fldChar w:fldCharType="end"/>
      </w:r>
      <w:bookmarkEnd w:id="1058"/>
      <w:r w:rsidRPr="00BA56A1">
        <w:t xml:space="preserve">, the </w:t>
      </w:r>
      <w:r>
        <w:t>“</w:t>
      </w:r>
      <w:r w:rsidRPr="00BA56A1">
        <w:rPr>
          <w:rStyle w:val="StdBodyTextBoldChar"/>
          <w:rFonts w:eastAsiaTheme="majorEastAsia" w:cs="Arial"/>
        </w:rPr>
        <w:t>Shortfall Period</w:t>
      </w:r>
      <w:r>
        <w:t>”</w:t>
      </w:r>
      <w:r w:rsidRPr="00BA56A1">
        <w:t xml:space="preserve"> means:</w:t>
      </w:r>
      <w:bookmarkEnd w:id="1055"/>
      <w:bookmarkEnd w:id="1056"/>
      <w:bookmarkEnd w:id="1057"/>
    </w:p>
    <w:p w14:paraId="00A12184" w14:textId="27087A5D" w:rsidR="00F67E9E" w:rsidRPr="00BA56A1" w:rsidRDefault="00F67E9E" w:rsidP="00F67E9E">
      <w:pPr>
        <w:pStyle w:val="Numbered111"/>
        <w:tabs>
          <w:tab w:val="clear" w:pos="1800"/>
          <w:tab w:val="num" w:pos="2160"/>
        </w:tabs>
      </w:pPr>
      <w:r w:rsidRPr="00BA56A1">
        <w:t xml:space="preserve">where the Authority terminates this Contract pursuant to </w:t>
      </w:r>
      <w:bookmarkStart w:id="1059" w:name="_9kMIH5YVt4EE7HJNEjtCx9MLt"/>
      <w:r w:rsidRPr="00BA56A1">
        <w:t>Clause 31.1(a)</w:t>
      </w:r>
      <w:bookmarkEnd w:id="1059"/>
      <w:r w:rsidRPr="00BA56A1">
        <w:t xml:space="preserve"> (</w:t>
      </w:r>
      <w:r w:rsidRPr="00BA56A1">
        <w:rPr>
          <w:i/>
        </w:rPr>
        <w:t>Termination by the Authority</w:t>
      </w:r>
      <w:r w:rsidRPr="00BA56A1">
        <w:t xml:space="preserve">), a number of days equal to the number of days by which the notice given (or deemed given pursuant to </w:t>
      </w:r>
      <w:bookmarkStart w:id="1060" w:name="_9kR3WTr2CC687WEnoewrqyCKt"/>
      <w:r w:rsidRPr="00BA56A1">
        <w:t xml:space="preserve">Paragraph </w:t>
      </w:r>
      <w:bookmarkEnd w:id="1060"/>
      <w:r w:rsidRPr="00BA56A1">
        <w:fldChar w:fldCharType="begin"/>
      </w:r>
      <w:r w:rsidRPr="00BA56A1">
        <w:instrText xml:space="preserve"> REF _Ref99026459 \w \h </w:instrText>
      </w:r>
      <w:r>
        <w:instrText xml:space="preserve"> \* MERGEFORMAT </w:instrText>
      </w:r>
      <w:r w:rsidRPr="00BA56A1">
        <w:fldChar w:fldCharType="separate"/>
      </w:r>
      <w:r w:rsidR="007A1473">
        <w:t>2.1.1</w:t>
      </w:r>
      <w:r w:rsidRPr="00BA56A1">
        <w:fldChar w:fldCharType="end"/>
      </w:r>
      <w:r w:rsidRPr="00BA56A1">
        <w:t xml:space="preserve"> of </w:t>
      </w:r>
      <w:r w:rsidRPr="00BA56A1">
        <w:fldChar w:fldCharType="begin"/>
      </w:r>
      <w:r w:rsidRPr="00BA56A1">
        <w:instrText xml:space="preserve"> REF Sch15PartD \h  \* MERGEFORMAT </w:instrText>
      </w:r>
      <w:r w:rsidRPr="00BA56A1">
        <w:fldChar w:fldCharType="separate"/>
      </w:r>
      <w:r w:rsidR="007A1473" w:rsidRPr="000038E2">
        <w:t>Part</w:t>
      </w:r>
      <w:r w:rsidR="007A1473" w:rsidRPr="00D5341B">
        <w:t> D</w:t>
      </w:r>
      <w:r w:rsidRPr="00BA56A1">
        <w:fldChar w:fldCharType="end"/>
      </w:r>
      <w:r w:rsidRPr="00BA56A1">
        <w:t xml:space="preserve"> of </w:t>
      </w:r>
      <w:r>
        <w:fldChar w:fldCharType="begin"/>
      </w:r>
      <w:r>
        <w:instrText xml:space="preserve"> REF Schedule15 \h </w:instrText>
      </w:r>
      <w:r>
        <w:fldChar w:fldCharType="separate"/>
      </w:r>
      <w:r w:rsidR="007A1473" w:rsidRPr="005D0525">
        <w:t>Schedule</w:t>
      </w:r>
      <w:r w:rsidR="007A1473">
        <w:t> </w:t>
      </w:r>
      <w:r w:rsidR="007A1473" w:rsidRPr="005D0525">
        <w:t>15</w:t>
      </w:r>
      <w:r>
        <w:fldChar w:fldCharType="end"/>
      </w:r>
      <w:r>
        <w:t xml:space="preserve"> (</w:t>
      </w:r>
      <w:r w:rsidRPr="00B91437">
        <w:rPr>
          <w:i/>
          <w:iCs/>
        </w:rPr>
        <w:fldChar w:fldCharType="begin"/>
      </w:r>
      <w:r w:rsidRPr="00B91437">
        <w:rPr>
          <w:i/>
          <w:iCs/>
        </w:rPr>
        <w:instrText xml:space="preserve"> REF Schedule15Heading \h </w:instrText>
      </w:r>
      <w:r>
        <w:rPr>
          <w:i/>
          <w:iCs/>
        </w:rPr>
        <w:instrText xml:space="preserve"> \* MERGEFORMAT </w:instrText>
      </w:r>
      <w:r w:rsidRPr="00B91437">
        <w:rPr>
          <w:i/>
          <w:iCs/>
        </w:rPr>
      </w:r>
      <w:r w:rsidRPr="00B91437">
        <w:rPr>
          <w:i/>
          <w:iCs/>
        </w:rPr>
        <w:fldChar w:fldCharType="separate"/>
      </w:r>
      <w:r w:rsidR="007A1473" w:rsidRPr="007A1473">
        <w:rPr>
          <w:i/>
          <w:iCs/>
        </w:rPr>
        <w:t>Charges and Invoicing</w:t>
      </w:r>
      <w:r w:rsidRPr="00B91437">
        <w:rPr>
          <w:i/>
          <w:iCs/>
        </w:rPr>
        <w:fldChar w:fldCharType="end"/>
      </w:r>
      <w:r>
        <w:t>)</w:t>
      </w:r>
      <w:r w:rsidRPr="00BA56A1">
        <w:t>) falls short of three hundred and sixty-five (365) days; or</w:t>
      </w:r>
    </w:p>
    <w:p w14:paraId="408F85D7" w14:textId="77777777" w:rsidR="00F67E9E" w:rsidRPr="00BA56A1" w:rsidRDefault="00F67E9E" w:rsidP="00F67E9E">
      <w:pPr>
        <w:pStyle w:val="Numbered111"/>
        <w:tabs>
          <w:tab w:val="clear" w:pos="1800"/>
          <w:tab w:val="num" w:pos="2160"/>
        </w:tabs>
      </w:pPr>
      <w:r w:rsidRPr="00BA56A1">
        <w:t xml:space="preserve">where the Supplier terminates this Contract pursuant to </w:t>
      </w:r>
      <w:bookmarkStart w:id="1061" w:name="_9kR3WTr2CC688KChrAv7KLt"/>
      <w:r w:rsidRPr="00BA56A1">
        <w:t>Clause 31.3(a)</w:t>
      </w:r>
      <w:bookmarkEnd w:id="1061"/>
      <w:r w:rsidRPr="00BA56A1">
        <w:t xml:space="preserve"> (</w:t>
      </w:r>
      <w:r w:rsidRPr="00BA56A1">
        <w:rPr>
          <w:i/>
        </w:rPr>
        <w:t>Termination by the Supplier</w:t>
      </w:r>
      <w:r w:rsidRPr="00BA56A1">
        <w:t xml:space="preserve">), a number of days equal to the number of days by which the period from (and including) the date of the non-payment by the </w:t>
      </w:r>
      <w:r w:rsidRPr="00BA56A1">
        <w:lastRenderedPageBreak/>
        <w:t>Authority to (and including) the Termination Date falls short of 365 days,</w:t>
      </w:r>
    </w:p>
    <w:p w14:paraId="5D0E6E7C" w14:textId="57B545BB" w:rsidR="00F67E9E" w:rsidRPr="00BA56A1" w:rsidRDefault="00F67E9E" w:rsidP="00F67E9E">
      <w:pPr>
        <w:pStyle w:val="StdBodyText2"/>
        <w:rPr>
          <w:rFonts w:cs="Arial"/>
        </w:rPr>
      </w:pPr>
      <w:r w:rsidRPr="00BA56A1">
        <w:rPr>
          <w:rFonts w:cs="Arial"/>
        </w:rPr>
        <w:t xml:space="preserve">but in each case subject to the limit set out in </w:t>
      </w:r>
      <w:bookmarkStart w:id="1062" w:name="_9kMHG5YVtCIB8EHIJhTlHM35yxC02B7DpXDQ79P"/>
      <w:r w:rsidRPr="00BA56A1">
        <w:rPr>
          <w:rFonts w:cs="Arial"/>
        </w:rPr>
        <w:t xml:space="preserve">Paragraph </w:t>
      </w:r>
      <w:r w:rsidRPr="00BA56A1">
        <w:rPr>
          <w:rFonts w:cs="Arial"/>
        </w:rPr>
        <w:fldChar w:fldCharType="begin"/>
      </w:r>
      <w:r w:rsidRPr="00BA56A1">
        <w:rPr>
          <w:rFonts w:cs="Arial"/>
        </w:rPr>
        <w:instrText xml:space="preserve"> REF _Ref_ContractCompanion_9kb9Us289 \n \h \t \* MERGEFORMAT </w:instrText>
      </w:r>
      <w:r w:rsidRPr="00BA56A1">
        <w:rPr>
          <w:rFonts w:cs="Arial"/>
        </w:rPr>
      </w:r>
      <w:r w:rsidRPr="00BA56A1">
        <w:rPr>
          <w:rFonts w:cs="Arial"/>
        </w:rPr>
        <w:fldChar w:fldCharType="separate"/>
      </w:r>
      <w:r w:rsidR="007A1473">
        <w:rPr>
          <w:rFonts w:cs="Arial"/>
        </w:rPr>
        <w:t>9.3</w:t>
      </w:r>
      <w:r w:rsidRPr="00BA56A1">
        <w:rPr>
          <w:rFonts w:cs="Arial"/>
        </w:rPr>
        <w:fldChar w:fldCharType="end"/>
      </w:r>
      <w:bookmarkEnd w:id="1062"/>
      <w:r w:rsidRPr="00BA56A1">
        <w:rPr>
          <w:rFonts w:cs="Arial"/>
        </w:rPr>
        <w:t xml:space="preserve">. </w:t>
      </w:r>
    </w:p>
    <w:p w14:paraId="0DB16723" w14:textId="77777777" w:rsidR="00F67E9E" w:rsidRPr="00BA56A1" w:rsidRDefault="00F67E9E" w:rsidP="00F67E9E">
      <w:pPr>
        <w:pStyle w:val="Numbered11"/>
      </w:pPr>
      <w:bookmarkStart w:id="1063" w:name="_Ref_ContractCompanion_9kb9Us289"/>
      <w:bookmarkStart w:id="1064" w:name="_9kR3WTrAG96CFGHfRjFK13wvAy095BnVBO57NTI"/>
      <w:r w:rsidRPr="00BA56A1">
        <w:t xml:space="preserve">The </w:t>
      </w:r>
      <w:r w:rsidRPr="000A7B06">
        <w:t>Compensation</w:t>
      </w:r>
      <w:r w:rsidRPr="00BA56A1">
        <w:t xml:space="preserve"> Payment shall be no greater than the lower of:</w:t>
      </w:r>
      <w:bookmarkEnd w:id="1063"/>
      <w:bookmarkEnd w:id="1064"/>
    </w:p>
    <w:p w14:paraId="69CE6641" w14:textId="7C4F4330" w:rsidR="00F67E9E" w:rsidRPr="00BA56A1" w:rsidRDefault="00F67E9E" w:rsidP="00F67E9E">
      <w:pPr>
        <w:pStyle w:val="Numbered111"/>
        <w:tabs>
          <w:tab w:val="clear" w:pos="1800"/>
          <w:tab w:val="num" w:pos="2160"/>
        </w:tabs>
      </w:pPr>
      <w:r w:rsidRPr="00BA56A1">
        <w:t xml:space="preserve">the relevant limit set out in Annex </w:t>
      </w:r>
      <w:r w:rsidRPr="00BA56A1">
        <w:fldChar w:fldCharType="begin"/>
      </w:r>
      <w:r w:rsidRPr="00BA56A1">
        <w:instrText xml:space="preserve"> REF ANNEX1_SCHEDULE16 \h </w:instrText>
      </w:r>
      <w:r>
        <w:instrText xml:space="preserve"> \* MERGEFORMAT </w:instrText>
      </w:r>
      <w:r w:rsidRPr="00BA56A1">
        <w:fldChar w:fldCharType="separate"/>
      </w:r>
      <w:r w:rsidR="007A1473" w:rsidRPr="00BA56A1">
        <w:t>1</w:t>
      </w:r>
      <w:r w:rsidRPr="00BA56A1">
        <w:fldChar w:fldCharType="end"/>
      </w:r>
      <w:r w:rsidRPr="00BA56A1">
        <w:t>; and</w:t>
      </w:r>
    </w:p>
    <w:p w14:paraId="2E35C2D3" w14:textId="77777777" w:rsidR="00F67E9E" w:rsidRPr="00BA56A1" w:rsidRDefault="00F67E9E" w:rsidP="00F67E9E">
      <w:pPr>
        <w:pStyle w:val="Numbered111"/>
        <w:tabs>
          <w:tab w:val="clear" w:pos="1800"/>
          <w:tab w:val="num" w:pos="2160"/>
        </w:tabs>
      </w:pPr>
      <w:r w:rsidRPr="00BA56A1">
        <w:t>120% of the estimate for the Compensation Payment set out in the relevant Termination Estimate.</w:t>
      </w:r>
    </w:p>
    <w:p w14:paraId="5F7FF21D" w14:textId="77777777" w:rsidR="00F67E9E" w:rsidRPr="00BA56A1" w:rsidRDefault="00F67E9E" w:rsidP="00F67E9E">
      <w:pPr>
        <w:pStyle w:val="Numbered1"/>
      </w:pPr>
      <w:r w:rsidRPr="00BA56A1">
        <w:t xml:space="preserve">Full </w:t>
      </w:r>
      <w:r>
        <w:t>a</w:t>
      </w:r>
      <w:r w:rsidRPr="00BA56A1">
        <w:t xml:space="preserve">nd </w:t>
      </w:r>
      <w:r w:rsidRPr="000A7B06">
        <w:t>Final</w:t>
      </w:r>
      <w:r w:rsidRPr="00BA56A1">
        <w:t xml:space="preserve"> Settlement</w:t>
      </w:r>
    </w:p>
    <w:p w14:paraId="4A783E17" w14:textId="77777777" w:rsidR="00F67E9E" w:rsidRPr="00BA56A1" w:rsidRDefault="00F67E9E" w:rsidP="00F67E9E">
      <w:pPr>
        <w:pStyle w:val="Numbered11"/>
      </w:pPr>
      <w:r w:rsidRPr="00BA56A1">
        <w:t xml:space="preserve">Any Termination Payment and/or Compensation Payment paid under this Schedule shall be in full and final settlement of any claim, demand and/or proceedings of the </w:t>
      </w:r>
      <w:r w:rsidRPr="000A7B06">
        <w:t>Supplier</w:t>
      </w:r>
      <w:r w:rsidRPr="00BA56A1">
        <w:t xml:space="preserve"> in relation to any termination by the Authority pursuant to </w:t>
      </w:r>
      <w:bookmarkStart w:id="1065" w:name="_9kMJI5YVt4EE7HJNEjtCx9MLt"/>
      <w:r w:rsidRPr="00BA56A1">
        <w:t>Clause 31.1(a)</w:t>
      </w:r>
      <w:bookmarkEnd w:id="1065"/>
      <w:r w:rsidRPr="00BA56A1">
        <w:t xml:space="preserve"> (</w:t>
      </w:r>
      <w:r w:rsidRPr="00BA56A1">
        <w:rPr>
          <w:i/>
        </w:rPr>
        <w:t>Termination by the Authority</w:t>
      </w:r>
      <w:r w:rsidRPr="00BA56A1">
        <w:t xml:space="preserve">) or termination by the Supplier pursuant to </w:t>
      </w:r>
      <w:bookmarkStart w:id="1066" w:name="_9kMHG5YVt4EE8AAMEjtCx9MNv"/>
      <w:r w:rsidRPr="00BA56A1">
        <w:t>Clause 31.3(a)</w:t>
      </w:r>
      <w:bookmarkEnd w:id="1066"/>
      <w:r w:rsidRPr="00BA56A1">
        <w:t xml:space="preserve"> (</w:t>
      </w:r>
      <w:r w:rsidRPr="00BA56A1">
        <w:rPr>
          <w:i/>
        </w:rPr>
        <w:t>Termination by the Supplier</w:t>
      </w:r>
      <w:r w:rsidRPr="00BA56A1">
        <w:t>) (as applicable), and the Supplier shall be excluded from all other rights and remedies it would otherwise have been entitled to in respect of any such termination.</w:t>
      </w:r>
    </w:p>
    <w:p w14:paraId="01F2E65B" w14:textId="77777777" w:rsidR="00F67E9E" w:rsidRPr="00BA56A1" w:rsidRDefault="00F67E9E" w:rsidP="00F67E9E">
      <w:pPr>
        <w:pStyle w:val="Numbered1"/>
      </w:pPr>
      <w:bookmarkStart w:id="1067" w:name="_9kR3WTrAG9799aJfifw5qDPRi5JL9yzBA3CPVM8"/>
      <w:r w:rsidRPr="00BA56A1">
        <w:t xml:space="preserve">Invoicing </w:t>
      </w:r>
      <w:r>
        <w:t>f</w:t>
      </w:r>
      <w:r w:rsidRPr="00BA56A1">
        <w:t xml:space="preserve">or </w:t>
      </w:r>
      <w:r>
        <w:t>t</w:t>
      </w:r>
      <w:r w:rsidRPr="00BA56A1">
        <w:t xml:space="preserve">he </w:t>
      </w:r>
      <w:r w:rsidRPr="000A7B06">
        <w:t>Payments</w:t>
      </w:r>
      <w:r w:rsidRPr="00BA56A1">
        <w:t xml:space="preserve"> </w:t>
      </w:r>
      <w:r>
        <w:t>o</w:t>
      </w:r>
      <w:r w:rsidRPr="00BA56A1">
        <w:t>n Termination</w:t>
      </w:r>
      <w:bookmarkEnd w:id="1067"/>
    </w:p>
    <w:p w14:paraId="5E7BD70C" w14:textId="1D844A18" w:rsidR="00F67E9E" w:rsidRPr="00BA56A1" w:rsidRDefault="00F67E9E" w:rsidP="00F67E9E">
      <w:pPr>
        <w:pStyle w:val="Numbered11"/>
      </w:pPr>
      <w:r w:rsidRPr="00BA56A1">
        <w:t xml:space="preserve">All sums due under this Schedule shall be payable by the Authority to the Supplier in accordance with the payment terms set out in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Pr="00BA56A1">
        <w:t>.</w:t>
      </w:r>
    </w:p>
    <w:p w14:paraId="4FF5C4B9" w14:textId="77777777" w:rsidR="00F67E9E" w:rsidRPr="00BA56A1" w:rsidRDefault="00F67E9E" w:rsidP="00F67E9E">
      <w:pPr>
        <w:pStyle w:val="Numbered1"/>
      </w:pPr>
      <w:r w:rsidRPr="00BA56A1">
        <w:t>Set Off</w:t>
      </w:r>
    </w:p>
    <w:p w14:paraId="2288C420" w14:textId="77777777" w:rsidR="00F67E9E" w:rsidRPr="00BA56A1" w:rsidRDefault="00F67E9E" w:rsidP="00F67E9E">
      <w:pPr>
        <w:pStyle w:val="Numbered11"/>
      </w:pPr>
      <w:r w:rsidRPr="00BA56A1">
        <w:t>The Authority shall be entitled to set off any outstanding liabilities of the Supplier against any amounts that are payable by it pursuant to this Schedule.</w:t>
      </w:r>
    </w:p>
    <w:p w14:paraId="73D8CE12" w14:textId="77777777" w:rsidR="00F67E9E" w:rsidRPr="00BA56A1" w:rsidRDefault="00F67E9E" w:rsidP="00F67E9E">
      <w:pPr>
        <w:pStyle w:val="Numbered1"/>
      </w:pPr>
      <w:r w:rsidRPr="00BA56A1">
        <w:t>No Double Recovery</w:t>
      </w:r>
    </w:p>
    <w:p w14:paraId="5F668F8F" w14:textId="4F30428F" w:rsidR="00F67E9E" w:rsidRPr="00BA56A1" w:rsidRDefault="00F67E9E" w:rsidP="00F67E9E">
      <w:pPr>
        <w:pStyle w:val="Numbered11"/>
      </w:pPr>
      <w:r w:rsidRPr="00BA56A1">
        <w:t xml:space="preserve">If any amount payable under this Schedule (in whole or in part) relates to or arises from any Transferring Assets then, to the extent that the Authority makes any payments pursuant to </w:t>
      </w:r>
      <w:r>
        <w:rPr>
          <w:rFonts w:cs="Arial"/>
        </w:rPr>
        <w:fldChar w:fldCharType="begin"/>
      </w:r>
      <w:r>
        <w:rPr>
          <w:rFonts w:cs="Arial"/>
        </w:rPr>
        <w:instrText xml:space="preserve"> REF Schedule25 \h </w:instrText>
      </w:r>
      <w:r>
        <w:rPr>
          <w:rFonts w:cs="Arial"/>
        </w:rPr>
      </w:r>
      <w:r>
        <w:rPr>
          <w:rFonts w:cs="Arial"/>
        </w:rPr>
        <w:fldChar w:fldCharType="separate"/>
      </w:r>
      <w:r w:rsidR="007A1473" w:rsidRPr="005D0525">
        <w:t>Schedule 25</w:t>
      </w:r>
      <w:r>
        <w:rPr>
          <w:rFonts w:cs="Arial"/>
        </w:rPr>
        <w:fldChar w:fldCharType="end"/>
      </w:r>
      <w:r>
        <w:rPr>
          <w:rFonts w:cs="Arial"/>
        </w:rPr>
        <w:t xml:space="preserve"> (</w:t>
      </w:r>
      <w:r w:rsidRPr="00A22335">
        <w:rPr>
          <w:rFonts w:cs="Arial"/>
          <w:i/>
          <w:iCs/>
        </w:rPr>
        <w:fldChar w:fldCharType="begin"/>
      </w:r>
      <w:r w:rsidRPr="00A22335">
        <w:rPr>
          <w:rFonts w:cs="Arial"/>
          <w:i/>
          <w:iCs/>
        </w:rPr>
        <w:instrText xml:space="preserve"> REF Schedule25Heading \h </w:instrText>
      </w:r>
      <w:r>
        <w:rPr>
          <w:rFonts w:cs="Arial"/>
          <w:i/>
          <w:iCs/>
        </w:rPr>
        <w:instrText xml:space="preserve"> \* MERGEFORMAT </w:instrText>
      </w:r>
      <w:r w:rsidRPr="00A22335">
        <w:rPr>
          <w:rFonts w:cs="Arial"/>
          <w:i/>
          <w:iCs/>
        </w:rPr>
      </w:r>
      <w:r w:rsidRPr="00A22335">
        <w:rPr>
          <w:rFonts w:cs="Arial"/>
          <w:i/>
          <w:iCs/>
        </w:rPr>
        <w:fldChar w:fldCharType="separate"/>
      </w:r>
      <w:r w:rsidR="007A1473" w:rsidRPr="007A1473">
        <w:rPr>
          <w:i/>
          <w:iCs/>
        </w:rPr>
        <w:t>Exit Management</w:t>
      </w:r>
      <w:r w:rsidRPr="00A22335">
        <w:rPr>
          <w:rFonts w:cs="Arial"/>
          <w:i/>
          <w:iCs/>
        </w:rPr>
        <w:fldChar w:fldCharType="end"/>
      </w:r>
      <w:r>
        <w:rPr>
          <w:rFonts w:cs="Arial"/>
        </w:rPr>
        <w:t>)</w:t>
      </w:r>
      <w:r w:rsidRPr="00BA56A1">
        <w:t xml:space="preserve"> in respect of such Transferring Assets, such payments shall be deducted from the amount payable pursuant to this Schedule.</w:t>
      </w:r>
    </w:p>
    <w:p w14:paraId="7C9E4713" w14:textId="77777777" w:rsidR="00F67E9E" w:rsidRPr="00BA56A1" w:rsidRDefault="00F67E9E" w:rsidP="00F67E9E">
      <w:pPr>
        <w:pStyle w:val="Numbered11"/>
      </w:pPr>
      <w:r w:rsidRPr="00BA56A1">
        <w:t>The value of the Termination Payment and/or the Compensation Payment shall be reduced or extinguished to the extent that the Supplier has already received the Charges or the financial benefit of any other rights or remedy given under this Contract so that there is no double counting in calculating the relevant payment.</w:t>
      </w:r>
    </w:p>
    <w:p w14:paraId="5F1993D8" w14:textId="77777777" w:rsidR="00F67E9E" w:rsidRPr="00BA56A1" w:rsidRDefault="00F67E9E" w:rsidP="00F67E9E">
      <w:pPr>
        <w:pStyle w:val="Numbered11"/>
      </w:pPr>
      <w:r w:rsidRPr="00BA56A1">
        <w:t>Any payments that are due in respect of the Transferring Assets shall be calculated in accordance with the provisions of the Exit Plan.</w:t>
      </w:r>
    </w:p>
    <w:p w14:paraId="7349ADB1" w14:textId="77777777" w:rsidR="00F67E9E" w:rsidRPr="00BA56A1" w:rsidRDefault="00F67E9E" w:rsidP="00F67E9E">
      <w:pPr>
        <w:pStyle w:val="Numbered1"/>
      </w:pPr>
      <w:r w:rsidRPr="00BA56A1">
        <w:t xml:space="preserve">Estimate </w:t>
      </w:r>
      <w:r>
        <w:t>o</w:t>
      </w:r>
      <w:r w:rsidRPr="00BA56A1">
        <w:t xml:space="preserve">f </w:t>
      </w:r>
      <w:r w:rsidRPr="000A7B06">
        <w:t>Termination</w:t>
      </w:r>
      <w:r w:rsidRPr="00BA56A1">
        <w:t xml:space="preserve"> Payment </w:t>
      </w:r>
      <w:r>
        <w:t>a</w:t>
      </w:r>
      <w:r w:rsidRPr="00BA56A1">
        <w:t>nd Compensation Payment</w:t>
      </w:r>
    </w:p>
    <w:p w14:paraId="6C99528A" w14:textId="77777777" w:rsidR="00F67E9E" w:rsidRPr="000A7B06" w:rsidRDefault="00F67E9E" w:rsidP="00F67E9E">
      <w:pPr>
        <w:pStyle w:val="Numbered11"/>
      </w:pPr>
      <w:r w:rsidRPr="00BA56A1">
        <w:t xml:space="preserve">The Authority may issue a Request for Estimate at any time during the Term provided that no more than 2 </w:t>
      </w:r>
      <w:r w:rsidRPr="000A7B06">
        <w:t>Requests for Estimate may be issued in any 6 month period.</w:t>
      </w:r>
    </w:p>
    <w:p w14:paraId="5100600F" w14:textId="77777777" w:rsidR="00F67E9E" w:rsidRPr="00BA56A1" w:rsidRDefault="00F67E9E" w:rsidP="00F67E9E">
      <w:pPr>
        <w:pStyle w:val="Numbered11"/>
      </w:pPr>
      <w:bookmarkStart w:id="1068" w:name="_9kR3WTrAG96BB8ACfSkWhB74ys2H8rw8KIGG6DY"/>
      <w:bookmarkStart w:id="1069" w:name="_9kR3WTrAHA6BC9ACfSkWhB74ys2H8rw8KIGG6DY"/>
      <w:bookmarkStart w:id="1070" w:name="_Ref_ContractCompanion_9kb9Us26E"/>
      <w:r w:rsidRPr="000A7B06">
        <w:t>The Supplier shall within 20 Working Days of receiving the Request for Estimate (or such other timescale ag</w:t>
      </w:r>
      <w:r w:rsidRPr="00BA56A1">
        <w:t xml:space="preserve">reed between the Parties), provide an accurate written estimate of the Termination Payment and the Compensation Payment that would be payable by the Authority based on a postulated Termination Date specified in the Request for Estimate (such estimate being the </w:t>
      </w:r>
      <w:r>
        <w:t>“</w:t>
      </w:r>
      <w:r w:rsidRPr="00BA56A1">
        <w:rPr>
          <w:rStyle w:val="StdBodyTextBoldChar"/>
          <w:rFonts w:eastAsiaTheme="majorEastAsia" w:cs="Arial"/>
        </w:rPr>
        <w:t>Termination Estimate</w:t>
      </w:r>
      <w:r>
        <w:t>”</w:t>
      </w:r>
      <w:r w:rsidRPr="00BA56A1">
        <w:t>).</w:t>
      </w:r>
      <w:bookmarkEnd w:id="1068"/>
      <w:bookmarkEnd w:id="1069"/>
      <w:r w:rsidRPr="00BA56A1">
        <w:t xml:space="preserve"> The Termination Estimate shall:</w:t>
      </w:r>
      <w:bookmarkEnd w:id="1070"/>
    </w:p>
    <w:p w14:paraId="1671F6E5" w14:textId="77777777" w:rsidR="00F67E9E" w:rsidRPr="00BA56A1" w:rsidRDefault="00F67E9E" w:rsidP="00F67E9E">
      <w:pPr>
        <w:pStyle w:val="Numbered111"/>
        <w:tabs>
          <w:tab w:val="clear" w:pos="1800"/>
          <w:tab w:val="num" w:pos="2160"/>
        </w:tabs>
      </w:pPr>
      <w:r w:rsidRPr="00BA56A1">
        <w:lastRenderedPageBreak/>
        <w:t xml:space="preserve">be based on the relevant amounts set out in the Financial Model; </w:t>
      </w:r>
    </w:p>
    <w:p w14:paraId="2D1961B2" w14:textId="77777777" w:rsidR="00F67E9E" w:rsidRPr="00BA56A1" w:rsidRDefault="00F67E9E" w:rsidP="00F67E9E">
      <w:pPr>
        <w:pStyle w:val="Numbered111"/>
        <w:tabs>
          <w:tab w:val="clear" w:pos="1800"/>
          <w:tab w:val="num" w:pos="2160"/>
        </w:tabs>
      </w:pPr>
      <w:r w:rsidRPr="00BA56A1">
        <w:t>include:</w:t>
      </w:r>
    </w:p>
    <w:p w14:paraId="41C5AD79" w14:textId="77777777" w:rsidR="00F67E9E" w:rsidRPr="00BA56A1" w:rsidRDefault="00F67E9E" w:rsidP="00F67E9E">
      <w:pPr>
        <w:pStyle w:val="Numbered111a"/>
        <w:tabs>
          <w:tab w:val="clear" w:pos="2520"/>
          <w:tab w:val="num" w:pos="2880"/>
        </w:tabs>
      </w:pPr>
      <w:r w:rsidRPr="00BA56A1">
        <w:t>details of the mechanism by which the Termination Payment is calculated;</w:t>
      </w:r>
    </w:p>
    <w:p w14:paraId="579CE38E" w14:textId="77777777" w:rsidR="00F67E9E" w:rsidRPr="00BA56A1" w:rsidRDefault="00F67E9E" w:rsidP="00F67E9E">
      <w:pPr>
        <w:pStyle w:val="Numbered111a"/>
        <w:tabs>
          <w:tab w:val="clear" w:pos="2520"/>
          <w:tab w:val="num" w:pos="2880"/>
        </w:tabs>
      </w:pPr>
      <w:r w:rsidRPr="00BA56A1">
        <w:t>full particulars of the estimated Contract Breakage Costs in respect of each Sub-contract or Third Party Contract and appropriate supporting documentation; and</w:t>
      </w:r>
    </w:p>
    <w:p w14:paraId="38D2AE4E" w14:textId="77777777" w:rsidR="00F67E9E" w:rsidRPr="00BA56A1" w:rsidRDefault="00F67E9E" w:rsidP="00F67E9E">
      <w:pPr>
        <w:pStyle w:val="Numbered111a"/>
        <w:tabs>
          <w:tab w:val="clear" w:pos="2520"/>
          <w:tab w:val="num" w:pos="2880"/>
        </w:tabs>
      </w:pPr>
      <w:r w:rsidRPr="00BA56A1">
        <w:t>such information as the Authority may reasonably require; and</w:t>
      </w:r>
    </w:p>
    <w:p w14:paraId="0575B983" w14:textId="77777777" w:rsidR="00F67E9E" w:rsidRPr="00BA56A1" w:rsidRDefault="00F67E9E" w:rsidP="00F67E9E">
      <w:pPr>
        <w:pStyle w:val="Numbered111"/>
        <w:tabs>
          <w:tab w:val="clear" w:pos="1800"/>
          <w:tab w:val="num" w:pos="2160"/>
        </w:tabs>
      </w:pPr>
      <w:r w:rsidRPr="00BA56A1">
        <w:t>state the period for which that Termination Estimate remains valid, which shall be not less than 20 Working Days.</w:t>
      </w:r>
    </w:p>
    <w:p w14:paraId="105A7B88" w14:textId="77777777" w:rsidR="00F67E9E" w:rsidRPr="000A7B06" w:rsidRDefault="00F67E9E" w:rsidP="00F67E9E">
      <w:pPr>
        <w:pStyle w:val="Numbered11"/>
      </w:pPr>
      <w:r w:rsidRPr="00BA56A1">
        <w:t xml:space="preserve">The Supplier acknowledges that issue of a Request for Estimate shall not be construed in any way as to represent an intention by the Authority to </w:t>
      </w:r>
      <w:r w:rsidRPr="000A7B06">
        <w:t>terminate this Contract.</w:t>
      </w:r>
    </w:p>
    <w:p w14:paraId="7A41D8EF" w14:textId="77777777" w:rsidR="00F67E9E" w:rsidRDefault="00F67E9E" w:rsidP="00F67E9E">
      <w:pPr>
        <w:pStyle w:val="Numbered11"/>
      </w:pPr>
      <w:r w:rsidRPr="000A7B06">
        <w:t xml:space="preserve">If the Authority issues a </w:t>
      </w:r>
      <w:bookmarkStart w:id="1071" w:name="_9kMNM5YVt4CE9ELjOt2uwpw517hdGBvs"/>
      <w:r w:rsidRPr="000A7B06">
        <w:t>Termination Notice</w:t>
      </w:r>
      <w:bookmarkEnd w:id="1071"/>
      <w:r w:rsidRPr="000A7B06">
        <w:t xml:space="preserve"> to the Supplier within the stated period for which a Termination Estimate remains valid, the Supplier shall use the same mechanism to calculate the Termination Payment as was detailed in the Termi</w:t>
      </w:r>
      <w:r w:rsidRPr="00BA56A1">
        <w:t>nation Estimate unless otherwise agreed in writing between the Supplier and the Authority.</w:t>
      </w:r>
    </w:p>
    <w:p w14:paraId="4B2C426F" w14:textId="77777777" w:rsidR="00F67E9E" w:rsidRDefault="00F67E9E" w:rsidP="00F67E9E"/>
    <w:p w14:paraId="7BFD6EAB" w14:textId="77777777" w:rsidR="00F67E9E" w:rsidRDefault="00F67E9E" w:rsidP="00F67E9E">
      <w:pPr>
        <w:pStyle w:val="Heading2"/>
        <w:pageBreakBefore/>
      </w:pPr>
      <w:bookmarkStart w:id="1072" w:name="_Ref_ContractCompanion_9kb9Ur7B7"/>
      <w:bookmarkStart w:id="1073" w:name="_Ref_ContractCompanion_9kb9Ur7B9"/>
      <w:bookmarkStart w:id="1074" w:name="_Ref_ContractCompanion_9kb9Ur7BB"/>
      <w:bookmarkStart w:id="1075" w:name="_Toc145412782"/>
      <w:r w:rsidRPr="00BA56A1">
        <w:lastRenderedPageBreak/>
        <w:t xml:space="preserve">Annex </w:t>
      </w:r>
      <w:bookmarkStart w:id="1076" w:name="ANNEX1_SCHEDULE16"/>
      <w:r w:rsidRPr="00BA56A1">
        <w:t>1</w:t>
      </w:r>
      <w:bookmarkEnd w:id="1076"/>
      <w:r w:rsidRPr="00BA56A1">
        <w:t xml:space="preserve">: Maximum Payments </w:t>
      </w:r>
      <w:r>
        <w:t>o</w:t>
      </w:r>
      <w:r w:rsidRPr="00BA56A1">
        <w:t>n Termination</w:t>
      </w:r>
      <w:bookmarkEnd w:id="1072"/>
      <w:bookmarkEnd w:id="1073"/>
      <w:bookmarkEnd w:id="1074"/>
      <w:bookmarkEnd w:id="1075"/>
    </w:p>
    <w:p w14:paraId="448B87DD" w14:textId="31AF2A98" w:rsidR="00F67E9E" w:rsidRDefault="00F67E9E" w:rsidP="00F67E9E">
      <w:pPr>
        <w:pStyle w:val="StdBodyText"/>
        <w:rPr>
          <w:rFonts w:cs="Arial"/>
        </w:rPr>
      </w:pPr>
      <w:r w:rsidRPr="00BA56A1">
        <w:rPr>
          <w:rFonts w:cs="Arial"/>
        </w:rPr>
        <w:t>The table below sets out, by Contract Year, the maximum amount of the Unrecovered Payment, Breakage Costs Payment and Compensation Payment that the Authority shall be liable to pay to the Supplier pursuant to this Contract:</w:t>
      </w:r>
    </w:p>
    <w:p w14:paraId="2801E169" w14:textId="2AA110C9" w:rsidR="00BD0D16" w:rsidRPr="00BD0D16" w:rsidRDefault="00BD0D16" w:rsidP="00F67E9E">
      <w:pPr>
        <w:pStyle w:val="StdBodyText"/>
        <w:rPr>
          <w:rFonts w:cs="Arial"/>
          <w:b/>
        </w:rPr>
      </w:pPr>
    </w:p>
    <w:p w14:paraId="67EEA5C1" w14:textId="2BD9295D" w:rsidR="00F67E9E" w:rsidRPr="00BA56A1" w:rsidRDefault="00D07EF2" w:rsidP="00F67E9E">
      <w:pPr>
        <w:rPr>
          <w:rFonts w:cs="Arial"/>
          <w:szCs w:val="24"/>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4959C6B0" w14:textId="77777777" w:rsidR="00F67E9E" w:rsidRPr="00BA56A1" w:rsidRDefault="00F67E9E" w:rsidP="00F67E9E"/>
    <w:p w14:paraId="3B0F6A6A" w14:textId="77777777" w:rsidR="00D07EF2" w:rsidRDefault="00D07EF2">
      <w:pPr>
        <w:rPr>
          <w:b/>
          <w:color w:val="1F497D"/>
          <w:sz w:val="36"/>
          <w:szCs w:val="36"/>
        </w:rPr>
      </w:pPr>
      <w:r>
        <w:br w:type="page"/>
      </w:r>
    </w:p>
    <w:p w14:paraId="6326337D" w14:textId="435F5367" w:rsidR="00F67E9E" w:rsidRPr="00EE4F10" w:rsidRDefault="00F67E9E" w:rsidP="00F67E9E">
      <w:pPr>
        <w:pStyle w:val="Dividername"/>
      </w:pPr>
      <w:r w:rsidRPr="00EE4F10">
        <w:lastRenderedPageBreak/>
        <w:t>Schedule 17</w:t>
      </w:r>
    </w:p>
    <w:p w14:paraId="4B9238F2" w14:textId="77777777" w:rsidR="00F67E9E" w:rsidRPr="00EE4F10" w:rsidRDefault="00F67E9E" w:rsidP="00F67E9E">
      <w:pPr>
        <w:pStyle w:val="Dividername"/>
      </w:pPr>
      <w:r w:rsidRPr="00EE4F10">
        <w:t>Benchmarking</w:t>
      </w:r>
    </w:p>
    <w:p w14:paraId="439F8364" w14:textId="77777777" w:rsidR="00F67E9E" w:rsidRDefault="00F67E9E" w:rsidP="00F67E9E"/>
    <w:p w14:paraId="5980673F" w14:textId="77777777" w:rsidR="00F67E9E" w:rsidRPr="00BA56A1" w:rsidRDefault="00F67E9E" w:rsidP="00F67E9E">
      <w:r w:rsidRPr="00BA56A1">
        <w:br w:type="page"/>
      </w:r>
    </w:p>
    <w:p w14:paraId="2E05C683" w14:textId="77777777" w:rsidR="00F67E9E" w:rsidRPr="005D0525" w:rsidRDefault="00F67E9E" w:rsidP="00F67E9E">
      <w:pPr>
        <w:pStyle w:val="Heading1"/>
      </w:pPr>
      <w:bookmarkStart w:id="1077" w:name="Schedule17"/>
      <w:bookmarkStart w:id="1078" w:name="_Ref92199974"/>
      <w:bookmarkStart w:id="1079" w:name="_Toc145412783"/>
      <w:r w:rsidRPr="005D0525">
        <w:lastRenderedPageBreak/>
        <w:t>Schedule</w:t>
      </w:r>
      <w:r>
        <w:t> </w:t>
      </w:r>
      <w:r w:rsidRPr="005D0525">
        <w:t>17</w:t>
      </w:r>
      <w:bookmarkEnd w:id="1077"/>
      <w:r>
        <w:t xml:space="preserve">: </w:t>
      </w:r>
      <w:bookmarkStart w:id="1080" w:name="Schedule17Heading"/>
      <w:r w:rsidRPr="005F1047">
        <w:t>Benchmarking</w:t>
      </w:r>
      <w:bookmarkEnd w:id="1078"/>
      <w:bookmarkEnd w:id="1079"/>
      <w:bookmarkEnd w:id="1080"/>
    </w:p>
    <w:p w14:paraId="2E9D5546" w14:textId="77777777" w:rsidR="00F67E9E" w:rsidRPr="00BA56A1" w:rsidRDefault="00F67E9E" w:rsidP="00F13933">
      <w:pPr>
        <w:pStyle w:val="Numbered1"/>
        <w:numPr>
          <w:ilvl w:val="0"/>
          <w:numId w:val="94"/>
        </w:numPr>
      </w:pPr>
      <w:r w:rsidRPr="000A7B06">
        <w:t>Definitions</w:t>
      </w:r>
    </w:p>
    <w:p w14:paraId="64DD356B" w14:textId="77777777" w:rsidR="00F67E9E" w:rsidRPr="00BA56A1" w:rsidRDefault="00F67E9E" w:rsidP="00F67E9E">
      <w:pPr>
        <w:pStyle w:val="Numbered11"/>
      </w:pPr>
      <w:r w:rsidRPr="00BA56A1">
        <w:t xml:space="preserve">In </w:t>
      </w:r>
      <w:r w:rsidRPr="000A7B06">
        <w:t>this</w:t>
      </w:r>
      <w:r w:rsidRPr="00BA56A1">
        <w:t xml:space="preserve"> Schedule, the following definitions shall apply:</w:t>
      </w:r>
    </w:p>
    <w:tbl>
      <w:tblPr>
        <w:tblStyle w:val="MSAdefinitions"/>
        <w:tblW w:w="9638" w:type="dxa"/>
        <w:tblLook w:val="04A0" w:firstRow="1" w:lastRow="0" w:firstColumn="1" w:lastColumn="0" w:noHBand="0" w:noVBand="1"/>
      </w:tblPr>
      <w:tblGrid>
        <w:gridCol w:w="2835"/>
        <w:gridCol w:w="6803"/>
      </w:tblGrid>
      <w:tr w:rsidR="00F67E9E" w:rsidRPr="00BA56A1" w14:paraId="4200553E" w14:textId="77777777" w:rsidTr="0052486C">
        <w:tc>
          <w:tcPr>
            <w:tcW w:w="2835" w:type="dxa"/>
          </w:tcPr>
          <w:p w14:paraId="155745A8" w14:textId="77777777" w:rsidR="00F67E9E" w:rsidRPr="00BA56A1" w:rsidRDefault="00F67E9E" w:rsidP="0052486C">
            <w:pPr>
              <w:pStyle w:val="StdBodyTextBold"/>
              <w:rPr>
                <w:rFonts w:cs="Arial"/>
              </w:rPr>
            </w:pPr>
            <w:r>
              <w:rPr>
                <w:rFonts w:cs="Arial"/>
              </w:rPr>
              <w:t>“</w:t>
            </w:r>
            <w:r w:rsidRPr="00BA56A1">
              <w:rPr>
                <w:rFonts w:cs="Arial"/>
              </w:rPr>
              <w:t>Benchmarked Service</w:t>
            </w:r>
            <w:r>
              <w:rPr>
                <w:rFonts w:cs="Arial"/>
              </w:rPr>
              <w:t>”</w:t>
            </w:r>
          </w:p>
        </w:tc>
        <w:tc>
          <w:tcPr>
            <w:tcW w:w="6803" w:type="dxa"/>
          </w:tcPr>
          <w:p w14:paraId="5017F434" w14:textId="7D7CF34A" w:rsidR="00F67E9E" w:rsidRPr="00BA56A1" w:rsidRDefault="00F67E9E" w:rsidP="0052486C">
            <w:pPr>
              <w:pStyle w:val="StdBodyText"/>
              <w:rPr>
                <w:rFonts w:cs="Arial"/>
              </w:rPr>
            </w:pPr>
            <w:r w:rsidRPr="00BA56A1">
              <w:rPr>
                <w:rFonts w:cs="Arial"/>
              </w:rPr>
              <w:t xml:space="preserve">a Service that the Authority elects to include in a Benchmark Review under </w:t>
            </w:r>
            <w:bookmarkStart w:id="1081" w:name="_9kMHG5YVtCIB8EKHFhTlXSyG8qn4KAs565ADO7y"/>
            <w:r w:rsidRPr="00BA56A1">
              <w:rPr>
                <w:rFonts w:cs="Arial"/>
              </w:rPr>
              <w:t xml:space="preserve">Paragraph </w:t>
            </w:r>
            <w:r w:rsidRPr="00BA56A1">
              <w:rPr>
                <w:rFonts w:cs="Arial"/>
              </w:rPr>
              <w:fldChar w:fldCharType="begin"/>
            </w:r>
            <w:r w:rsidRPr="00BA56A1">
              <w:rPr>
                <w:rFonts w:cs="Arial"/>
              </w:rPr>
              <w:instrText xml:space="preserve"> REF _Ref_ContractCompanion_9kb9Us28C \n \h \t \* MERGEFORMAT </w:instrText>
            </w:r>
            <w:r w:rsidRPr="00BA56A1">
              <w:rPr>
                <w:rFonts w:cs="Arial"/>
              </w:rPr>
            </w:r>
            <w:r w:rsidRPr="00BA56A1">
              <w:rPr>
                <w:rFonts w:cs="Arial"/>
              </w:rPr>
              <w:fldChar w:fldCharType="separate"/>
            </w:r>
            <w:r w:rsidR="007A1473">
              <w:rPr>
                <w:rFonts w:cs="Arial"/>
              </w:rPr>
              <w:t>2.3</w:t>
            </w:r>
            <w:r w:rsidRPr="00BA56A1">
              <w:rPr>
                <w:rFonts w:cs="Arial"/>
              </w:rPr>
              <w:fldChar w:fldCharType="end"/>
            </w:r>
            <w:bookmarkEnd w:id="1081"/>
            <w:r w:rsidRPr="00BA56A1">
              <w:rPr>
                <w:rFonts w:cs="Arial"/>
              </w:rPr>
              <w:t>;</w:t>
            </w:r>
          </w:p>
        </w:tc>
      </w:tr>
      <w:tr w:rsidR="00F67E9E" w:rsidRPr="00BA56A1" w14:paraId="35EA111E" w14:textId="77777777" w:rsidTr="0052486C">
        <w:tc>
          <w:tcPr>
            <w:tcW w:w="2835" w:type="dxa"/>
          </w:tcPr>
          <w:p w14:paraId="21D30A03" w14:textId="77777777" w:rsidR="00F67E9E" w:rsidRPr="00BA56A1" w:rsidRDefault="00F67E9E" w:rsidP="0052486C">
            <w:pPr>
              <w:pStyle w:val="StdBodyTextBold"/>
              <w:rPr>
                <w:rFonts w:cs="Arial"/>
              </w:rPr>
            </w:pPr>
            <w:r>
              <w:rPr>
                <w:rFonts w:cs="Arial"/>
              </w:rPr>
              <w:t>“</w:t>
            </w:r>
            <w:r w:rsidRPr="00BA56A1">
              <w:rPr>
                <w:rFonts w:cs="Arial"/>
              </w:rPr>
              <w:t>Benchmarker</w:t>
            </w:r>
            <w:r>
              <w:rPr>
                <w:rFonts w:cs="Arial"/>
              </w:rPr>
              <w:t>”</w:t>
            </w:r>
          </w:p>
        </w:tc>
        <w:tc>
          <w:tcPr>
            <w:tcW w:w="6803" w:type="dxa"/>
          </w:tcPr>
          <w:p w14:paraId="3833CA71" w14:textId="36EF1D95" w:rsidR="00F67E9E" w:rsidRPr="00BA56A1" w:rsidRDefault="00F67E9E" w:rsidP="0052486C">
            <w:pPr>
              <w:pStyle w:val="StdBodyText"/>
              <w:rPr>
                <w:rFonts w:cs="Arial"/>
              </w:rPr>
            </w:pPr>
            <w:r w:rsidRPr="00BA56A1">
              <w:rPr>
                <w:rFonts w:cs="Arial"/>
              </w:rPr>
              <w:t xml:space="preserve">the independent third party appointed under </w:t>
            </w:r>
            <w:bookmarkStart w:id="1082" w:name="_9kR3WTr2BC6CLfEnoewrqyDL"/>
            <w:r w:rsidRPr="00BA56A1">
              <w:rPr>
                <w:rFonts w:cs="Arial"/>
              </w:rPr>
              <w:t xml:space="preserve">Paragraph </w:t>
            </w:r>
            <w:r w:rsidRPr="00BA56A1">
              <w:rPr>
                <w:rFonts w:cs="Arial"/>
              </w:rPr>
              <w:fldChar w:fldCharType="begin"/>
            </w:r>
            <w:r w:rsidRPr="00BA56A1">
              <w:rPr>
                <w:rFonts w:cs="Arial"/>
              </w:rPr>
              <w:instrText xml:space="preserve"> REF _Ref_ContractCompanion_9kb9Us28F \n \h \t \* MERGEFORMAT </w:instrText>
            </w:r>
            <w:r w:rsidRPr="00BA56A1">
              <w:rPr>
                <w:rFonts w:cs="Arial"/>
              </w:rPr>
            </w:r>
            <w:r w:rsidRPr="00BA56A1">
              <w:rPr>
                <w:rFonts w:cs="Arial"/>
              </w:rPr>
              <w:fldChar w:fldCharType="separate"/>
            </w:r>
            <w:r w:rsidR="007A1473">
              <w:rPr>
                <w:rFonts w:cs="Arial"/>
              </w:rPr>
              <w:t>3.1</w:t>
            </w:r>
            <w:r w:rsidRPr="00BA56A1">
              <w:rPr>
                <w:rFonts w:cs="Arial"/>
              </w:rPr>
              <w:fldChar w:fldCharType="end"/>
            </w:r>
            <w:bookmarkEnd w:id="1082"/>
            <w:r w:rsidRPr="00BA56A1">
              <w:rPr>
                <w:rFonts w:cs="Arial"/>
              </w:rPr>
              <w:t>;</w:t>
            </w:r>
          </w:p>
        </w:tc>
      </w:tr>
      <w:tr w:rsidR="00F67E9E" w:rsidRPr="00BA56A1" w14:paraId="70A26C60" w14:textId="77777777" w:rsidTr="0052486C">
        <w:tc>
          <w:tcPr>
            <w:tcW w:w="2835" w:type="dxa"/>
          </w:tcPr>
          <w:p w14:paraId="6F9F6AFC" w14:textId="77777777" w:rsidR="00F67E9E" w:rsidRPr="00BA56A1" w:rsidRDefault="00F67E9E" w:rsidP="0052486C">
            <w:pPr>
              <w:pStyle w:val="StdBodyTextBold"/>
              <w:rPr>
                <w:rFonts w:cs="Arial"/>
              </w:rPr>
            </w:pPr>
            <w:r>
              <w:rPr>
                <w:rFonts w:cs="Arial"/>
              </w:rPr>
              <w:t>“</w:t>
            </w:r>
            <w:r w:rsidRPr="00BA56A1">
              <w:rPr>
                <w:rFonts w:cs="Arial"/>
              </w:rPr>
              <w:t>Benchmark Report</w:t>
            </w:r>
            <w:r>
              <w:rPr>
                <w:rFonts w:cs="Arial"/>
              </w:rPr>
              <w:t>”</w:t>
            </w:r>
          </w:p>
        </w:tc>
        <w:tc>
          <w:tcPr>
            <w:tcW w:w="6803" w:type="dxa"/>
          </w:tcPr>
          <w:p w14:paraId="51D84380" w14:textId="7B3BABDE" w:rsidR="00F67E9E" w:rsidRPr="00BA56A1" w:rsidRDefault="00F67E9E" w:rsidP="0052486C">
            <w:pPr>
              <w:pStyle w:val="StdBodyText"/>
              <w:rPr>
                <w:rFonts w:cs="Arial"/>
              </w:rPr>
            </w:pPr>
            <w:r w:rsidRPr="00BA56A1">
              <w:rPr>
                <w:rFonts w:cs="Arial"/>
              </w:rPr>
              <w:t xml:space="preserve">the report produced by the Benchmarker following the Benchmark Review as further described in </w:t>
            </w:r>
            <w:bookmarkStart w:id="1083" w:name="_9kMHG5YVt4DDDLFYGpqgyts0H"/>
            <w:r w:rsidRPr="00BA56A1">
              <w:rPr>
                <w:rFonts w:cs="Arial"/>
              </w:rPr>
              <w:t xml:space="preserve">Paragraph </w:t>
            </w:r>
            <w:r w:rsidRPr="00BA56A1">
              <w:rPr>
                <w:rFonts w:cs="Arial"/>
              </w:rPr>
              <w:fldChar w:fldCharType="begin"/>
            </w:r>
            <w:r w:rsidRPr="00BA56A1">
              <w:rPr>
                <w:rFonts w:cs="Arial"/>
              </w:rPr>
              <w:instrText xml:space="preserve"> REF _Ref_ContractCompanion_9kb9Ur7EE \w \n \h \t \* MERGEFORMAT </w:instrText>
            </w:r>
            <w:r w:rsidRPr="00BA56A1">
              <w:rPr>
                <w:rFonts w:cs="Arial"/>
              </w:rPr>
            </w:r>
            <w:r w:rsidRPr="00BA56A1">
              <w:rPr>
                <w:rFonts w:cs="Arial"/>
              </w:rPr>
              <w:fldChar w:fldCharType="separate"/>
            </w:r>
            <w:r w:rsidR="007A1473">
              <w:rPr>
                <w:rFonts w:cs="Arial"/>
              </w:rPr>
              <w:t>5</w:t>
            </w:r>
            <w:r w:rsidRPr="00BA56A1">
              <w:rPr>
                <w:rFonts w:cs="Arial"/>
              </w:rPr>
              <w:fldChar w:fldCharType="end"/>
            </w:r>
            <w:bookmarkEnd w:id="1083"/>
            <w:r w:rsidRPr="00BA56A1">
              <w:rPr>
                <w:rFonts w:cs="Arial"/>
              </w:rPr>
              <w:t>;</w:t>
            </w:r>
          </w:p>
        </w:tc>
      </w:tr>
      <w:tr w:rsidR="00F67E9E" w:rsidRPr="00BA56A1" w14:paraId="4A689395" w14:textId="77777777" w:rsidTr="0052486C">
        <w:tc>
          <w:tcPr>
            <w:tcW w:w="2835" w:type="dxa"/>
          </w:tcPr>
          <w:p w14:paraId="222487C7" w14:textId="77777777" w:rsidR="00F67E9E" w:rsidRPr="00BA56A1" w:rsidRDefault="00F67E9E" w:rsidP="0052486C">
            <w:pPr>
              <w:pStyle w:val="StdBodyTextBold"/>
              <w:rPr>
                <w:rFonts w:cs="Arial"/>
              </w:rPr>
            </w:pPr>
            <w:r>
              <w:rPr>
                <w:rFonts w:cs="Arial"/>
              </w:rPr>
              <w:t>“</w:t>
            </w:r>
            <w:r w:rsidRPr="00BA56A1">
              <w:rPr>
                <w:rFonts w:cs="Arial"/>
              </w:rPr>
              <w:t>Benchmark Review</w:t>
            </w:r>
            <w:r>
              <w:rPr>
                <w:rFonts w:cs="Arial"/>
              </w:rPr>
              <w:t>”</w:t>
            </w:r>
          </w:p>
        </w:tc>
        <w:tc>
          <w:tcPr>
            <w:tcW w:w="6803" w:type="dxa"/>
          </w:tcPr>
          <w:p w14:paraId="6E799C28" w14:textId="3D54B222" w:rsidR="00F67E9E" w:rsidRPr="00BA56A1" w:rsidRDefault="00F67E9E" w:rsidP="0052486C">
            <w:pPr>
              <w:pStyle w:val="StdBodyText"/>
              <w:rPr>
                <w:rFonts w:cs="Arial"/>
              </w:rPr>
            </w:pPr>
            <w:r w:rsidRPr="00BA56A1">
              <w:rPr>
                <w:rFonts w:cs="Arial"/>
              </w:rPr>
              <w:t xml:space="preserve">a review of one or more of the Services carried out in accordance with </w:t>
            </w:r>
            <w:bookmarkStart w:id="1084" w:name="_9kMML5YVt4DDCMKbGpqgyts0G"/>
            <w:r w:rsidRPr="00BA56A1">
              <w:rPr>
                <w:rFonts w:cs="Arial"/>
              </w:rPr>
              <w:t xml:space="preserve">Paragraph </w:t>
            </w:r>
            <w:bookmarkEnd w:id="1084"/>
            <w:r w:rsidRPr="00BA56A1">
              <w:rPr>
                <w:rFonts w:cs="Arial"/>
              </w:rPr>
              <w:fldChar w:fldCharType="begin"/>
            </w:r>
            <w:r w:rsidRPr="00BA56A1">
              <w:rPr>
                <w:rFonts w:cs="Arial"/>
              </w:rPr>
              <w:instrText xml:space="preserve"> REF _Ref_ContractCompanion_9kb9Ur6GC \w \h </w:instrText>
            </w:r>
            <w:r>
              <w:rPr>
                <w:rFonts w:cs="Arial"/>
              </w:rPr>
              <w:instrText xml:space="preserve"> \* MERGEFORMAT </w:instrText>
            </w:r>
            <w:r w:rsidRPr="00BA56A1">
              <w:rPr>
                <w:rFonts w:cs="Arial"/>
              </w:rPr>
            </w:r>
            <w:r w:rsidRPr="00BA56A1">
              <w:rPr>
                <w:rFonts w:cs="Arial"/>
              </w:rPr>
              <w:fldChar w:fldCharType="separate"/>
            </w:r>
            <w:r w:rsidR="007A1473">
              <w:rPr>
                <w:rFonts w:cs="Arial"/>
              </w:rPr>
              <w:t>4</w:t>
            </w:r>
            <w:r w:rsidRPr="00BA56A1">
              <w:rPr>
                <w:rFonts w:cs="Arial"/>
              </w:rPr>
              <w:fldChar w:fldCharType="end"/>
            </w:r>
            <w:r w:rsidRPr="00BA56A1">
              <w:rPr>
                <w:rFonts w:cs="Arial"/>
              </w:rPr>
              <w:t xml:space="preserve"> to determine whether those Services represent Good Value;</w:t>
            </w:r>
          </w:p>
        </w:tc>
      </w:tr>
      <w:tr w:rsidR="00F67E9E" w:rsidRPr="00BA56A1" w14:paraId="79FF7665" w14:textId="77777777" w:rsidTr="0052486C">
        <w:tc>
          <w:tcPr>
            <w:tcW w:w="2835" w:type="dxa"/>
          </w:tcPr>
          <w:p w14:paraId="28F28815" w14:textId="77777777" w:rsidR="00F67E9E" w:rsidRPr="00BA56A1" w:rsidRDefault="00F67E9E" w:rsidP="0052486C">
            <w:pPr>
              <w:pStyle w:val="StdBodyTextBold"/>
              <w:rPr>
                <w:rFonts w:cs="Arial"/>
              </w:rPr>
            </w:pPr>
            <w:r>
              <w:rPr>
                <w:rFonts w:cs="Arial"/>
              </w:rPr>
              <w:t>“</w:t>
            </w:r>
            <w:r w:rsidRPr="00BA56A1">
              <w:rPr>
                <w:rFonts w:cs="Arial"/>
              </w:rPr>
              <w:t>Comparable Service</w:t>
            </w:r>
            <w:r>
              <w:rPr>
                <w:rFonts w:cs="Arial"/>
              </w:rPr>
              <w:t>”</w:t>
            </w:r>
          </w:p>
        </w:tc>
        <w:tc>
          <w:tcPr>
            <w:tcW w:w="6803" w:type="dxa"/>
          </w:tcPr>
          <w:p w14:paraId="7B5B5602" w14:textId="77777777" w:rsidR="00F67E9E" w:rsidRPr="00BA56A1" w:rsidRDefault="00F67E9E" w:rsidP="0052486C">
            <w:pPr>
              <w:pStyle w:val="StdBodyText"/>
              <w:rPr>
                <w:rFonts w:cs="Arial"/>
              </w:rPr>
            </w:pPr>
            <w:r w:rsidRPr="00BA56A1">
              <w:rPr>
                <w:rFonts w:cs="Arial"/>
              </w:rPr>
              <w:t>in relation to a Benchmarked Service, a service that is identical or materially similar to the Benchmarked Service (including in terms of scope, specification, volume and quality of performance);</w:t>
            </w:r>
          </w:p>
        </w:tc>
      </w:tr>
      <w:tr w:rsidR="00F67E9E" w:rsidRPr="00BA56A1" w14:paraId="6D7A5473" w14:textId="77777777" w:rsidTr="0052486C">
        <w:tc>
          <w:tcPr>
            <w:tcW w:w="2835" w:type="dxa"/>
          </w:tcPr>
          <w:p w14:paraId="586E01A4" w14:textId="77777777" w:rsidR="00F67E9E" w:rsidRPr="00BA56A1" w:rsidRDefault="00F67E9E" w:rsidP="0052486C">
            <w:pPr>
              <w:pStyle w:val="StdBodyTextBold"/>
              <w:rPr>
                <w:rFonts w:cs="Arial"/>
              </w:rPr>
            </w:pPr>
            <w:r>
              <w:rPr>
                <w:rFonts w:cs="Arial"/>
              </w:rPr>
              <w:t>“</w:t>
            </w:r>
            <w:r w:rsidRPr="00BA56A1">
              <w:rPr>
                <w:rFonts w:cs="Arial"/>
              </w:rPr>
              <w:t>Comparison Group</w:t>
            </w:r>
            <w:r>
              <w:rPr>
                <w:rFonts w:cs="Arial"/>
              </w:rPr>
              <w:t>”</w:t>
            </w:r>
          </w:p>
        </w:tc>
        <w:tc>
          <w:tcPr>
            <w:tcW w:w="6803" w:type="dxa"/>
          </w:tcPr>
          <w:p w14:paraId="0F41E1A6" w14:textId="15834B97" w:rsidR="00F67E9E" w:rsidRPr="00BA56A1" w:rsidRDefault="00F67E9E" w:rsidP="0052486C">
            <w:pPr>
              <w:pStyle w:val="StdBodyText"/>
              <w:rPr>
                <w:rFonts w:cs="Arial"/>
              </w:rPr>
            </w:pPr>
            <w:r w:rsidRPr="00BA56A1">
              <w:rPr>
                <w:rFonts w:cs="Arial"/>
              </w:rPr>
              <w:t xml:space="preserve">in relation to a Comparable Service, a sample group of organisations providing the Comparable Service identified by the Benchmarker under </w:t>
            </w:r>
            <w:bookmarkStart w:id="1085" w:name="_9kR3WTr2BC6DFYEnoewrqyET"/>
            <w:r w:rsidRPr="00BA56A1">
              <w:rPr>
                <w:rFonts w:cs="Arial"/>
              </w:rPr>
              <w:t xml:space="preserve">Paragraph </w:t>
            </w:r>
            <w:bookmarkEnd w:id="1085"/>
            <w:r w:rsidRPr="00BA56A1">
              <w:rPr>
                <w:rFonts w:cs="Arial"/>
              </w:rPr>
              <w:fldChar w:fldCharType="begin"/>
            </w:r>
            <w:r w:rsidRPr="00BA56A1">
              <w:rPr>
                <w:rFonts w:cs="Arial"/>
              </w:rPr>
              <w:instrText xml:space="preserve"> REF _Ref_ContractCompanion_9kb9Us299 \w \h </w:instrText>
            </w:r>
            <w:r>
              <w:rPr>
                <w:rFonts w:cs="Arial"/>
              </w:rPr>
              <w:instrText xml:space="preserve"> \* MERGEFORMAT </w:instrText>
            </w:r>
            <w:r w:rsidRPr="00BA56A1">
              <w:rPr>
                <w:rFonts w:cs="Arial"/>
              </w:rPr>
            </w:r>
            <w:r w:rsidRPr="00BA56A1">
              <w:rPr>
                <w:rFonts w:cs="Arial"/>
              </w:rPr>
              <w:fldChar w:fldCharType="separate"/>
            </w:r>
            <w:r w:rsidR="007A1473">
              <w:rPr>
                <w:rFonts w:cs="Arial"/>
              </w:rPr>
              <w:t>4.8</w:t>
            </w:r>
            <w:r w:rsidRPr="00BA56A1">
              <w:rPr>
                <w:rFonts w:cs="Arial"/>
              </w:rPr>
              <w:fldChar w:fldCharType="end"/>
            </w:r>
            <w:r w:rsidRPr="00BA56A1">
              <w:rPr>
                <w:rFonts w:cs="Arial"/>
              </w:rPr>
              <w:t xml:space="preserve"> which consists of organisations which are either of similar size to the Supplier or which are similarly structured in terms of their business and their service offering so as to be (in the Benchmarker</w:t>
            </w:r>
            <w:r>
              <w:rPr>
                <w:rFonts w:cs="Arial"/>
              </w:rPr>
              <w:t>’</w:t>
            </w:r>
            <w:r w:rsidRPr="00BA56A1">
              <w:rPr>
                <w:rFonts w:cs="Arial"/>
              </w:rPr>
              <w:t>s professional opinion) fair comparators with the Supplier or which, in the professional opinion of the Benchmarker, are best practice organisations and, where there are a reasonable number of such organisations, referencing only those organisations that are carrying on at least a significant part of their business within the United Kingdom;</w:t>
            </w:r>
          </w:p>
        </w:tc>
      </w:tr>
      <w:tr w:rsidR="00F67E9E" w:rsidRPr="00BA56A1" w14:paraId="1F234951" w14:textId="77777777" w:rsidTr="0052486C">
        <w:tc>
          <w:tcPr>
            <w:tcW w:w="2835" w:type="dxa"/>
          </w:tcPr>
          <w:p w14:paraId="0906B3FF" w14:textId="77777777" w:rsidR="00F67E9E" w:rsidRPr="00BA56A1" w:rsidRDefault="00F67E9E" w:rsidP="0052486C">
            <w:pPr>
              <w:pStyle w:val="StdBodyTextBold"/>
              <w:rPr>
                <w:rFonts w:cs="Arial"/>
              </w:rPr>
            </w:pPr>
            <w:r>
              <w:rPr>
                <w:rFonts w:cs="Arial"/>
              </w:rPr>
              <w:t>“</w:t>
            </w:r>
            <w:r w:rsidRPr="00BA56A1">
              <w:rPr>
                <w:rFonts w:cs="Arial"/>
              </w:rPr>
              <w:t>Equivalent Services Data</w:t>
            </w:r>
            <w:r>
              <w:rPr>
                <w:rFonts w:cs="Arial"/>
              </w:rPr>
              <w:t>”</w:t>
            </w:r>
          </w:p>
        </w:tc>
        <w:tc>
          <w:tcPr>
            <w:tcW w:w="6803" w:type="dxa"/>
          </w:tcPr>
          <w:p w14:paraId="6133E69F" w14:textId="180629A6" w:rsidR="00F67E9E" w:rsidRPr="00BA56A1" w:rsidRDefault="00F67E9E" w:rsidP="0052486C">
            <w:pPr>
              <w:pStyle w:val="StdBodyText"/>
              <w:rPr>
                <w:rFonts w:cs="Arial"/>
              </w:rPr>
            </w:pPr>
            <w:r w:rsidRPr="00BA56A1">
              <w:rPr>
                <w:rFonts w:cs="Arial"/>
              </w:rPr>
              <w:t xml:space="preserve">in relation to a Comparable Service, data derived from an analysis of the Comparable Service provided by the Comparison Group as adjusted in accordance with </w:t>
            </w:r>
            <w:bookmarkStart w:id="1086" w:name="_9kR3WTr2BC6DIbEnoewrqy2QU1"/>
            <w:r w:rsidRPr="00BA56A1">
              <w:rPr>
                <w:rFonts w:cs="Arial"/>
              </w:rPr>
              <w:t xml:space="preserve">Paragraphs </w:t>
            </w:r>
            <w:bookmarkEnd w:id="1086"/>
            <w:r w:rsidRPr="00BA56A1">
              <w:rPr>
                <w:rFonts w:cs="Arial"/>
              </w:rPr>
              <w:fldChar w:fldCharType="begin"/>
            </w:r>
            <w:r w:rsidRPr="00BA56A1">
              <w:rPr>
                <w:rFonts w:cs="Arial"/>
              </w:rPr>
              <w:instrText xml:space="preserve"> REF _Ref_ContractCompanion_9kb9Us29C \w \h </w:instrText>
            </w:r>
            <w:r>
              <w:rPr>
                <w:rFonts w:cs="Arial"/>
              </w:rPr>
              <w:instrText xml:space="preserve"> \* MERGEFORMAT </w:instrText>
            </w:r>
            <w:r w:rsidRPr="00BA56A1">
              <w:rPr>
                <w:rFonts w:cs="Arial"/>
              </w:rPr>
            </w:r>
            <w:r w:rsidRPr="00BA56A1">
              <w:rPr>
                <w:rFonts w:cs="Arial"/>
              </w:rPr>
              <w:fldChar w:fldCharType="separate"/>
            </w:r>
            <w:r w:rsidR="007A1473">
              <w:rPr>
                <w:rFonts w:cs="Arial"/>
              </w:rPr>
              <w:t>4.8.1</w:t>
            </w:r>
            <w:r w:rsidRPr="00BA56A1">
              <w:rPr>
                <w:rFonts w:cs="Arial"/>
              </w:rPr>
              <w:fldChar w:fldCharType="end"/>
            </w:r>
            <w:r w:rsidRPr="00BA56A1">
              <w:rPr>
                <w:rFonts w:cs="Arial"/>
              </w:rPr>
              <w:t xml:space="preserve"> and </w:t>
            </w:r>
            <w:bookmarkStart w:id="1087" w:name="_9kMHG5YVtCIB8FNLNnTlGButoztzAy6LCv0C9zE"/>
            <w:r w:rsidRPr="00BA56A1">
              <w:rPr>
                <w:rFonts w:cs="Arial"/>
              </w:rPr>
              <w:fldChar w:fldCharType="begin"/>
            </w:r>
            <w:r w:rsidRPr="00BA56A1">
              <w:rPr>
                <w:rFonts w:cs="Arial"/>
              </w:rPr>
              <w:instrText xml:space="preserve"> REF _Ref_ContractCompanion_9kb9Us29F \n \h \t \* MERGEFORMAT </w:instrText>
            </w:r>
            <w:r w:rsidRPr="00BA56A1">
              <w:rPr>
                <w:rFonts w:cs="Arial"/>
              </w:rPr>
            </w:r>
            <w:r w:rsidRPr="00BA56A1">
              <w:rPr>
                <w:rFonts w:cs="Arial"/>
              </w:rPr>
              <w:fldChar w:fldCharType="separate"/>
            </w:r>
            <w:r w:rsidR="007A1473">
              <w:rPr>
                <w:rFonts w:cs="Arial"/>
              </w:rPr>
              <w:t>4.9</w:t>
            </w:r>
            <w:r w:rsidRPr="00BA56A1">
              <w:rPr>
                <w:rFonts w:cs="Arial"/>
              </w:rPr>
              <w:fldChar w:fldCharType="end"/>
            </w:r>
            <w:bookmarkEnd w:id="1087"/>
            <w:r w:rsidRPr="00BA56A1">
              <w:rPr>
                <w:rFonts w:cs="Arial"/>
              </w:rPr>
              <w:t xml:space="preserve"> provided that the Benchmarker shall not use any such data that relates to a period which ended more than 36 months prior to the date of the appointment of the Benchmarker;</w:t>
            </w:r>
          </w:p>
        </w:tc>
      </w:tr>
      <w:tr w:rsidR="00F67E9E" w:rsidRPr="00BA56A1" w14:paraId="6E850E73" w14:textId="77777777" w:rsidTr="0052486C">
        <w:tc>
          <w:tcPr>
            <w:tcW w:w="2835" w:type="dxa"/>
          </w:tcPr>
          <w:p w14:paraId="27C05CF4" w14:textId="77777777" w:rsidR="00F67E9E" w:rsidRPr="00BA56A1" w:rsidRDefault="00F67E9E" w:rsidP="0052486C">
            <w:pPr>
              <w:pStyle w:val="StdBodyTextBold"/>
              <w:rPr>
                <w:rFonts w:cs="Arial"/>
              </w:rPr>
            </w:pPr>
            <w:r>
              <w:rPr>
                <w:rFonts w:cs="Arial"/>
              </w:rPr>
              <w:t>“</w:t>
            </w:r>
            <w:r w:rsidRPr="00BA56A1">
              <w:rPr>
                <w:rFonts w:cs="Arial"/>
              </w:rPr>
              <w:t>Good Value</w:t>
            </w:r>
            <w:r>
              <w:rPr>
                <w:rFonts w:cs="Arial"/>
              </w:rPr>
              <w:t>”</w:t>
            </w:r>
          </w:p>
        </w:tc>
        <w:tc>
          <w:tcPr>
            <w:tcW w:w="6803" w:type="dxa"/>
          </w:tcPr>
          <w:p w14:paraId="19BABCC8" w14:textId="77777777" w:rsidR="00F67E9E" w:rsidRPr="00BA56A1" w:rsidRDefault="00F67E9E" w:rsidP="0052486C">
            <w:pPr>
              <w:pStyle w:val="StdBodyText"/>
              <w:rPr>
                <w:rFonts w:cs="Arial"/>
              </w:rPr>
            </w:pPr>
            <w:r w:rsidRPr="00BA56A1">
              <w:rPr>
                <w:rFonts w:cs="Arial"/>
              </w:rPr>
              <w:t>in relation to a Benchmarked Service, that:</w:t>
            </w:r>
          </w:p>
          <w:p w14:paraId="2BE90AB7" w14:textId="77777777" w:rsidR="00F67E9E" w:rsidRPr="0056014F" w:rsidRDefault="00F67E9E" w:rsidP="00E1349E">
            <w:pPr>
              <w:pStyle w:val="DefinitionList"/>
              <w:numPr>
                <w:ilvl w:val="0"/>
                <w:numId w:val="186"/>
              </w:numPr>
              <w:rPr>
                <w:rFonts w:cs="Arial"/>
              </w:rPr>
            </w:pPr>
            <w:r w:rsidRPr="0056014F">
              <w:rPr>
                <w:rFonts w:cs="Arial"/>
              </w:rPr>
              <w:t xml:space="preserve">having taken into account the Performance Indicators and Target </w:t>
            </w:r>
            <w:r w:rsidRPr="006324A1">
              <w:rPr>
                <w:rFonts w:cs="Arial"/>
              </w:rPr>
              <w:t>Performance</w:t>
            </w:r>
            <w:r w:rsidRPr="0056014F">
              <w:rPr>
                <w:rFonts w:cs="Arial"/>
              </w:rPr>
              <w:t xml:space="preserve"> Levels, the value for money of the Charges attributable to that Benchmarked Service is </w:t>
            </w:r>
            <w:r w:rsidRPr="0056014F">
              <w:rPr>
                <w:rFonts w:cs="Arial"/>
              </w:rPr>
              <w:lastRenderedPageBreak/>
              <w:t>at least as good as the value for money of the Upper Quartile; and</w:t>
            </w:r>
          </w:p>
          <w:p w14:paraId="264CE1F4" w14:textId="77777777" w:rsidR="00F67E9E" w:rsidRPr="00BA56A1" w:rsidRDefault="00F67E9E" w:rsidP="00F13933">
            <w:pPr>
              <w:pStyle w:val="DefinitionList"/>
              <w:numPr>
                <w:ilvl w:val="0"/>
                <w:numId w:val="78"/>
              </w:numPr>
              <w:rPr>
                <w:rFonts w:cs="Arial"/>
              </w:rPr>
            </w:pPr>
            <w:r w:rsidRPr="00BA56A1">
              <w:rPr>
                <w:rFonts w:cs="Arial"/>
              </w:rPr>
              <w:t xml:space="preserve">any Performance Indicators and Target </w:t>
            </w:r>
            <w:r w:rsidRPr="006324A1">
              <w:rPr>
                <w:rFonts w:cs="Arial"/>
              </w:rPr>
              <w:t>Performance</w:t>
            </w:r>
            <w:r w:rsidRPr="00BA56A1">
              <w:rPr>
                <w:rFonts w:cs="Arial"/>
              </w:rPr>
              <w:t xml:space="preserve"> Levels applicable to that Benchmarked Service are, having taken into account the Charges, equal to or better than the median service levels for the Comparable Service using Equivalent Services Data; and</w:t>
            </w:r>
          </w:p>
        </w:tc>
      </w:tr>
      <w:tr w:rsidR="00F67E9E" w:rsidRPr="00BA56A1" w14:paraId="066F7549" w14:textId="77777777" w:rsidTr="0052486C">
        <w:tc>
          <w:tcPr>
            <w:tcW w:w="2835" w:type="dxa"/>
          </w:tcPr>
          <w:p w14:paraId="0188568E" w14:textId="77777777" w:rsidR="00F67E9E" w:rsidRPr="00BA56A1" w:rsidRDefault="00F67E9E" w:rsidP="0052486C">
            <w:pPr>
              <w:pStyle w:val="StdBodyTextBold"/>
              <w:rPr>
                <w:rFonts w:cs="Arial"/>
              </w:rPr>
            </w:pPr>
            <w:r>
              <w:rPr>
                <w:rFonts w:cs="Arial"/>
              </w:rPr>
              <w:lastRenderedPageBreak/>
              <w:t>“</w:t>
            </w:r>
            <w:r w:rsidRPr="00BA56A1">
              <w:rPr>
                <w:rFonts w:cs="Arial"/>
              </w:rPr>
              <w:t>Upper Quartile</w:t>
            </w:r>
            <w:r>
              <w:rPr>
                <w:rFonts w:cs="Arial"/>
              </w:rPr>
              <w:t>”</w:t>
            </w:r>
          </w:p>
        </w:tc>
        <w:tc>
          <w:tcPr>
            <w:tcW w:w="6803" w:type="dxa"/>
          </w:tcPr>
          <w:p w14:paraId="666D33F7" w14:textId="77777777" w:rsidR="00F67E9E" w:rsidRPr="00BA56A1" w:rsidRDefault="00F67E9E" w:rsidP="0052486C">
            <w:pPr>
              <w:pStyle w:val="StdBodyText"/>
              <w:rPr>
                <w:rFonts w:cs="Arial"/>
              </w:rPr>
            </w:pPr>
            <w:r w:rsidRPr="00BA56A1">
              <w:rPr>
                <w:rFonts w:cs="Arial"/>
              </w:rPr>
              <w:t>the top 25% of instances of provision of a Comparable Service by members of the Comparison Group ranked by best value for money to the recipients of that Comparable Service.</w:t>
            </w:r>
          </w:p>
        </w:tc>
      </w:tr>
    </w:tbl>
    <w:p w14:paraId="7CF31555" w14:textId="77777777" w:rsidR="00F67E9E" w:rsidRPr="00BA56A1" w:rsidRDefault="00F67E9E" w:rsidP="00F67E9E">
      <w:pPr>
        <w:pStyle w:val="Numbered1"/>
      </w:pPr>
      <w:r w:rsidRPr="00BA56A1">
        <w:t xml:space="preserve">Frequency, Purpose </w:t>
      </w:r>
      <w:r>
        <w:t>a</w:t>
      </w:r>
      <w:r w:rsidRPr="00BA56A1">
        <w:t xml:space="preserve">nd Scope </w:t>
      </w:r>
      <w:r>
        <w:t>o</w:t>
      </w:r>
      <w:r w:rsidRPr="00BA56A1">
        <w:t>f Benchmark Review</w:t>
      </w:r>
    </w:p>
    <w:p w14:paraId="14865757" w14:textId="77777777" w:rsidR="00F67E9E" w:rsidRPr="00BA56A1" w:rsidRDefault="00F67E9E" w:rsidP="00F67E9E">
      <w:pPr>
        <w:pStyle w:val="Numbered11"/>
      </w:pPr>
      <w:bookmarkStart w:id="1088" w:name="_Ref_ContractCompanion_9kb9Us29I"/>
      <w:bookmarkStart w:id="1089" w:name="_9kR3WTrAG96EFABdRjDOE2y947OIv8ABXREHTFA"/>
      <w:bookmarkStart w:id="1090" w:name="_Ref_ContractCompanion_9kb9Us2AF"/>
      <w:r w:rsidRPr="00BA56A1">
        <w:t>The Authority may, by written notice to the Supplier, require a Benchmark Review of any or all of the Services in order to establish whether a Benchmarked Service is, and/or the Benchmarked Services as a whole are, Good Value.</w:t>
      </w:r>
      <w:bookmarkEnd w:id="1088"/>
      <w:bookmarkEnd w:id="1089"/>
      <w:bookmarkEnd w:id="1090"/>
    </w:p>
    <w:p w14:paraId="00D16905" w14:textId="77777777" w:rsidR="00F67E9E" w:rsidRPr="00BA56A1" w:rsidRDefault="00F67E9E" w:rsidP="00F67E9E">
      <w:pPr>
        <w:pStyle w:val="Numbered11"/>
      </w:pPr>
      <w:r w:rsidRPr="00BA56A1">
        <w:t>The Authority shall not be entitled to carry out a Benchmark Review of any Services during the 12 month period from the Operational Service Commencement Date for those Services, nor at intervals of less than 12 months after any previous Benchmark Review relating to the same Services.</w:t>
      </w:r>
    </w:p>
    <w:p w14:paraId="7CB69212" w14:textId="16EF4944" w:rsidR="00F67E9E" w:rsidRPr="00BA56A1" w:rsidRDefault="00F67E9E" w:rsidP="00F67E9E">
      <w:pPr>
        <w:pStyle w:val="Numbered11"/>
      </w:pPr>
      <w:bookmarkStart w:id="1091" w:name="_Ref_ContractCompanion_9kb9Us28C"/>
      <w:bookmarkStart w:id="1092" w:name="_9kR3WTrAG96CIFDfRjVQwE6ol2I8q3438BM5wFJ"/>
      <w:r w:rsidRPr="00BA56A1">
        <w:t xml:space="preserve">The Services that are to be the Benchmarked Services shall be identified by the Authority in the notice given under </w:t>
      </w:r>
      <w:bookmarkStart w:id="1093" w:name="_9kMHG5YVtCIB8GHCDfTlFQG40B69QKxACDZTGJV"/>
      <w:r w:rsidRPr="00BA56A1">
        <w:t xml:space="preserve">Paragraph </w:t>
      </w:r>
      <w:r w:rsidRPr="00BA56A1">
        <w:fldChar w:fldCharType="begin"/>
      </w:r>
      <w:r w:rsidRPr="00BA56A1">
        <w:instrText xml:space="preserve"> REF _Ref_ContractCompanion_9kb9Us29I \n \h \t \* MERGEFORMAT </w:instrText>
      </w:r>
      <w:r w:rsidRPr="00BA56A1">
        <w:fldChar w:fldCharType="separate"/>
      </w:r>
      <w:r w:rsidR="007A1473">
        <w:t>2.1</w:t>
      </w:r>
      <w:r w:rsidRPr="00BA56A1">
        <w:fldChar w:fldCharType="end"/>
      </w:r>
      <w:bookmarkEnd w:id="1093"/>
      <w:r w:rsidRPr="00BA56A1">
        <w:t>.</w:t>
      </w:r>
      <w:bookmarkEnd w:id="1091"/>
      <w:bookmarkEnd w:id="1092"/>
    </w:p>
    <w:p w14:paraId="030EB1A8" w14:textId="77777777" w:rsidR="00F67E9E" w:rsidRPr="00BA56A1" w:rsidRDefault="00F67E9E" w:rsidP="00F67E9E">
      <w:pPr>
        <w:pStyle w:val="Numbered1"/>
      </w:pPr>
      <w:r w:rsidRPr="00BA56A1">
        <w:t xml:space="preserve">Appointment </w:t>
      </w:r>
      <w:r>
        <w:t>o</w:t>
      </w:r>
      <w:r w:rsidRPr="00BA56A1">
        <w:t>f Benchmarker</w:t>
      </w:r>
    </w:p>
    <w:p w14:paraId="65C23573" w14:textId="362C8B7B" w:rsidR="00F67E9E" w:rsidRPr="00BA56A1" w:rsidRDefault="00F67E9E" w:rsidP="00F67E9E">
      <w:pPr>
        <w:pStyle w:val="Numbered11"/>
      </w:pPr>
      <w:bookmarkStart w:id="1094" w:name="_Ref_ContractCompanion_9kb9Us28F"/>
      <w:r w:rsidRPr="00BA56A1">
        <w:t xml:space="preserve">The Authority shall appoint as the Benchmarker to carry out the Benchmark Review either an organisation on the list of organisations set out in Annex </w:t>
      </w:r>
      <w:r w:rsidRPr="00BA56A1">
        <w:fldChar w:fldCharType="begin"/>
      </w:r>
      <w:r w:rsidRPr="00BA56A1">
        <w:instrText xml:space="preserve"> REF ANNEX1_SCHEDULE17 \h </w:instrText>
      </w:r>
      <w:r>
        <w:instrText xml:space="preserve"> \* MERGEFORMAT </w:instrText>
      </w:r>
      <w:r w:rsidRPr="00BA56A1">
        <w:fldChar w:fldCharType="separate"/>
      </w:r>
      <w:r w:rsidR="007A1473" w:rsidRPr="00BA56A1">
        <w:t>1</w:t>
      </w:r>
      <w:r w:rsidRPr="00BA56A1">
        <w:fldChar w:fldCharType="end"/>
      </w:r>
      <w:r>
        <w:t xml:space="preserve"> </w:t>
      </w:r>
      <w:r w:rsidRPr="00BA56A1">
        <w:t>or such other organisation as may be agreed in writing between the Parties.</w:t>
      </w:r>
      <w:bookmarkEnd w:id="1094"/>
    </w:p>
    <w:p w14:paraId="66895831" w14:textId="1E1B9F9A" w:rsidR="00F67E9E" w:rsidRPr="00BA56A1" w:rsidRDefault="00F67E9E" w:rsidP="00F67E9E">
      <w:pPr>
        <w:pStyle w:val="Numbered11"/>
      </w:pPr>
      <w:r w:rsidRPr="00BA56A1">
        <w:t xml:space="preserve">The Authority shall, at the written request of the Supplier, require the Benchmarker to enter into a confidentiality agreement with the Supplier in, or substantially in, the form set out in </w:t>
      </w:r>
      <w:bookmarkStart w:id="1095" w:name="_9kR3WTr2BC6EILCwozO"/>
      <w:r w:rsidRPr="00BA56A1">
        <w:t xml:space="preserve">Annex </w:t>
      </w:r>
      <w:r w:rsidRPr="00BA56A1">
        <w:fldChar w:fldCharType="begin"/>
      </w:r>
      <w:r w:rsidRPr="00BA56A1">
        <w:instrText xml:space="preserve"> REF ANNEX2_SCHEDULE17 \h </w:instrText>
      </w:r>
      <w:r>
        <w:instrText xml:space="preserve"> \* MERGEFORMAT </w:instrText>
      </w:r>
      <w:r w:rsidRPr="00BA56A1">
        <w:fldChar w:fldCharType="separate"/>
      </w:r>
      <w:r w:rsidR="007A1473" w:rsidRPr="00BA56A1">
        <w:t>2</w:t>
      </w:r>
      <w:r w:rsidRPr="00BA56A1">
        <w:fldChar w:fldCharType="end"/>
      </w:r>
      <w:bookmarkEnd w:id="1095"/>
      <w:r w:rsidRPr="00BA56A1">
        <w:t>.</w:t>
      </w:r>
    </w:p>
    <w:p w14:paraId="3E09315C" w14:textId="77777777" w:rsidR="00F67E9E" w:rsidRPr="00BA56A1" w:rsidRDefault="00F67E9E" w:rsidP="00F67E9E">
      <w:pPr>
        <w:pStyle w:val="Numbered11"/>
      </w:pPr>
      <w:r w:rsidRPr="00BA56A1">
        <w:t>The costs and expenses of the Benchmarker and the Benchmark Review shall be shared equally between both Parties provided that each Party shall bear its own internal costs of the Benchmark Review. The Benchmarker shall not be compensated on a contingency fee or incentive basis.</w:t>
      </w:r>
    </w:p>
    <w:p w14:paraId="01B75CEF" w14:textId="77777777" w:rsidR="00F67E9E" w:rsidRPr="00BA56A1" w:rsidRDefault="00F67E9E" w:rsidP="00F67E9E">
      <w:pPr>
        <w:pStyle w:val="Numbered11"/>
      </w:pPr>
      <w:r w:rsidRPr="00BA56A1">
        <w:t>The Authority shall be entitled to pay the Benchmarker</w:t>
      </w:r>
      <w:r>
        <w:t>’</w:t>
      </w:r>
      <w:r w:rsidRPr="00BA56A1">
        <w:t>s costs and expenses in full and to recover the Supplier</w:t>
      </w:r>
      <w:r>
        <w:t>’</w:t>
      </w:r>
      <w:r w:rsidRPr="00BA56A1">
        <w:t>s share from the Supplier.</w:t>
      </w:r>
    </w:p>
    <w:p w14:paraId="7274ED60" w14:textId="77777777" w:rsidR="00F67E9E" w:rsidRPr="00BA56A1" w:rsidRDefault="00F67E9E" w:rsidP="00F67E9E">
      <w:pPr>
        <w:pStyle w:val="Numbered1"/>
      </w:pPr>
      <w:bookmarkStart w:id="1096" w:name="_Ref_ContractCompanion_9kb9Ur6GC"/>
      <w:bookmarkStart w:id="1097" w:name="_Ref_ContractCompanion_9kb9Us2BF"/>
      <w:r w:rsidRPr="00BA56A1">
        <w:t>Benchmark Review</w:t>
      </w:r>
      <w:bookmarkEnd w:id="1096"/>
      <w:bookmarkEnd w:id="1097"/>
    </w:p>
    <w:p w14:paraId="0AC370B2" w14:textId="77777777" w:rsidR="00F67E9E" w:rsidRPr="00BA56A1" w:rsidRDefault="00F67E9E" w:rsidP="00F67E9E">
      <w:pPr>
        <w:pStyle w:val="Numbered11"/>
      </w:pPr>
      <w:bookmarkStart w:id="1098" w:name="_9kR3WTrAG96FIEDdRjDOE2y947OO8rw8F99QJHE"/>
      <w:bookmarkStart w:id="1099" w:name="_Ref_ContractCompanion_9kb9Us2BC"/>
      <w:r w:rsidRPr="00BA56A1">
        <w:t>The Authority shall require the Benchmarker to produce, and to send to each Party for approval, a draft plan for the Benchmark Review within 10 Working Days after the date of the appointment of the Benchmarker, or such longer period as the Benchmarker shall reasonably request in all the circumstances.</w:t>
      </w:r>
      <w:bookmarkEnd w:id="1098"/>
      <w:r>
        <w:t xml:space="preserve"> </w:t>
      </w:r>
      <w:r w:rsidRPr="00BA56A1">
        <w:t>The plan must include:</w:t>
      </w:r>
      <w:bookmarkEnd w:id="1099"/>
    </w:p>
    <w:p w14:paraId="06C7079A" w14:textId="77777777" w:rsidR="00F67E9E" w:rsidRPr="000A7B06" w:rsidRDefault="00F67E9E" w:rsidP="00F67E9E">
      <w:pPr>
        <w:pStyle w:val="Numbered111"/>
      </w:pPr>
      <w:r w:rsidRPr="00BA56A1">
        <w:lastRenderedPageBreak/>
        <w:t xml:space="preserve">a </w:t>
      </w:r>
      <w:r w:rsidRPr="000A7B06">
        <w:t>proposed timetable for the Benchmark Review;</w:t>
      </w:r>
    </w:p>
    <w:p w14:paraId="1C7B557F" w14:textId="77777777" w:rsidR="00F67E9E" w:rsidRPr="000A7B06" w:rsidRDefault="00F67E9E" w:rsidP="00F67E9E">
      <w:pPr>
        <w:pStyle w:val="Numbered111"/>
      </w:pPr>
      <w:r w:rsidRPr="000A7B06">
        <w:t>a description of the information that the Benchmarker requires each Party to provide;</w:t>
      </w:r>
    </w:p>
    <w:p w14:paraId="428BA59B" w14:textId="77777777" w:rsidR="00F67E9E" w:rsidRPr="000A7B06" w:rsidRDefault="00F67E9E" w:rsidP="00F67E9E">
      <w:pPr>
        <w:pStyle w:val="Numbered111"/>
      </w:pPr>
      <w:r w:rsidRPr="000A7B06">
        <w:t xml:space="preserve">a description of the benchmarking methodology to be used; </w:t>
      </w:r>
    </w:p>
    <w:p w14:paraId="025CF531" w14:textId="70F274CF" w:rsidR="00F67E9E" w:rsidRPr="000A7B06" w:rsidRDefault="00F67E9E" w:rsidP="00F67E9E">
      <w:pPr>
        <w:pStyle w:val="Numbered111"/>
      </w:pPr>
      <w:r w:rsidRPr="000A7B06">
        <w:t xml:space="preserve">a description that clearly illustrates that the benchmarking methodology to be used is capable of fulfilling the benchmarking objectives under </w:t>
      </w:r>
      <w:bookmarkStart w:id="1100" w:name="_9kR3WTr2BC6ELdEnoewrqyCK"/>
      <w:r w:rsidRPr="000A7B06">
        <w:t xml:space="preserve">Paragraph </w:t>
      </w:r>
      <w:r w:rsidRPr="000A7B06">
        <w:fldChar w:fldCharType="begin"/>
      </w:r>
      <w:r w:rsidRPr="000A7B06">
        <w:instrText xml:space="preserve"> REF _Ref_ContractCompanion_9kb9Us2AF \n \h \t \* MERGEFORMAT </w:instrText>
      </w:r>
      <w:r w:rsidRPr="000A7B06">
        <w:fldChar w:fldCharType="separate"/>
      </w:r>
      <w:r w:rsidR="007A1473">
        <w:t>2.1</w:t>
      </w:r>
      <w:r w:rsidRPr="000A7B06">
        <w:fldChar w:fldCharType="end"/>
      </w:r>
      <w:bookmarkEnd w:id="1100"/>
      <w:r w:rsidRPr="000A7B06">
        <w:t>;</w:t>
      </w:r>
    </w:p>
    <w:p w14:paraId="43371006" w14:textId="77777777" w:rsidR="00F67E9E" w:rsidRPr="000A7B06" w:rsidRDefault="00F67E9E" w:rsidP="00F67E9E">
      <w:pPr>
        <w:pStyle w:val="Numbered111"/>
      </w:pPr>
      <w:r w:rsidRPr="000A7B06">
        <w:t xml:space="preserve">an estimate of the resources required from each Party to underpin the delivery of the plan; </w:t>
      </w:r>
    </w:p>
    <w:p w14:paraId="326E8B01" w14:textId="77777777" w:rsidR="00F67E9E" w:rsidRPr="000A7B06" w:rsidRDefault="00F67E9E" w:rsidP="00F67E9E">
      <w:pPr>
        <w:pStyle w:val="Numbered111"/>
      </w:pPr>
      <w:r w:rsidRPr="000A7B06">
        <w:t xml:space="preserve">a description of how the Benchmarker will scope and identify the Comparison Group; </w:t>
      </w:r>
    </w:p>
    <w:p w14:paraId="55D76128" w14:textId="77777777" w:rsidR="00F67E9E" w:rsidRPr="000A7B06" w:rsidRDefault="00F67E9E" w:rsidP="00F67E9E">
      <w:pPr>
        <w:pStyle w:val="Numbered111"/>
      </w:pPr>
      <w:r w:rsidRPr="000A7B06">
        <w:t>details of any entities which the Benchmarker proposes to include within the Comparison Group; and</w:t>
      </w:r>
    </w:p>
    <w:p w14:paraId="42B7136C" w14:textId="38B475F6" w:rsidR="00F67E9E" w:rsidRPr="00BA56A1" w:rsidRDefault="00F67E9E" w:rsidP="00F67E9E">
      <w:pPr>
        <w:pStyle w:val="Numbered111"/>
      </w:pPr>
      <w:r w:rsidRPr="000A7B06">
        <w:t xml:space="preserve">if in the Benchmarker’s professional opinion there are no Comparable Services or the number of entities carrying out Comparable Services is insufficient to create a Comparison Group, a detailed approach for meeting the relevant benchmarking objective(s) under </w:t>
      </w:r>
      <w:bookmarkStart w:id="1101" w:name="_9kMHG5YVt4DE8GNfGpqgyts0EM"/>
      <w:r w:rsidRPr="000A7B06">
        <w:t xml:space="preserve">Paragraph </w:t>
      </w:r>
      <w:r w:rsidRPr="000A7B06">
        <w:fldChar w:fldCharType="begin"/>
      </w:r>
      <w:r w:rsidRPr="000A7B06">
        <w:instrText xml:space="preserve"> REF _Ref_ContractCompanion_9kb9Us2AF \n \h \t \* MERGEFORMAT </w:instrText>
      </w:r>
      <w:r w:rsidRPr="000A7B06">
        <w:fldChar w:fldCharType="separate"/>
      </w:r>
      <w:r w:rsidR="007A1473">
        <w:t>2.1</w:t>
      </w:r>
      <w:r w:rsidRPr="000A7B06">
        <w:fldChar w:fldCharType="end"/>
      </w:r>
      <w:bookmarkEnd w:id="1101"/>
      <w:r w:rsidRPr="000A7B06">
        <w:t xml:space="preserve"> using a proxy for the Comparison Services and/</w:t>
      </w:r>
      <w:r w:rsidRPr="00BA56A1">
        <w:t>or Comparison Group as applicable.</w:t>
      </w:r>
    </w:p>
    <w:p w14:paraId="0470F28D" w14:textId="77777777" w:rsidR="00F67E9E" w:rsidRPr="00BA56A1" w:rsidRDefault="00F67E9E" w:rsidP="00F67E9E">
      <w:pPr>
        <w:pStyle w:val="Numbered11"/>
      </w:pPr>
      <w:r w:rsidRPr="00BA56A1">
        <w:t>The Parties acknowledge that the selection and or use of proxies for the Comparison Group (both in terms of number and identity of entities) and Comparable Services shall be a matter for the Benchmarker</w:t>
      </w:r>
      <w:r>
        <w:t>’</w:t>
      </w:r>
      <w:r w:rsidRPr="00BA56A1">
        <w:t>s professional judgment.</w:t>
      </w:r>
    </w:p>
    <w:p w14:paraId="7C15B64E" w14:textId="12EFEBBF" w:rsidR="00F67E9E" w:rsidRPr="00BA56A1" w:rsidRDefault="00F67E9E" w:rsidP="00F67E9E">
      <w:pPr>
        <w:pStyle w:val="Numbered11"/>
      </w:pPr>
      <w:bookmarkStart w:id="1102" w:name="_9kR3WTrAG96FFBFQ5aiWKtDLL5ot51zFC5GNI2z"/>
      <w:bookmarkStart w:id="1103" w:name="_Ref_ContractCompanion_9kb9Us2AI"/>
      <w:r w:rsidRPr="00BA56A1">
        <w:t>Each Party shall give notice in writing to the Benchmarker and to the other Party within 10 Working Days after receiving the draft plan either approving the draft plan or suggesting amendments to that plan which must be reasonable Where a Party suggests amendments to the draft plan pursuant to this</w:t>
      </w:r>
      <w:bookmarkEnd w:id="1102"/>
      <w:r w:rsidRPr="00BA56A1">
        <w:t xml:space="preserve"> </w:t>
      </w:r>
      <w:bookmarkStart w:id="1104" w:name="_9kMHG5YVtCIB8HHDHS7ckYMvFNN7qv731HE7IPK"/>
      <w:r w:rsidRPr="00BA56A1">
        <w:t xml:space="preserve">Paragraph </w:t>
      </w:r>
      <w:r w:rsidRPr="00BA56A1">
        <w:fldChar w:fldCharType="begin"/>
      </w:r>
      <w:r w:rsidRPr="00BA56A1">
        <w:instrText xml:space="preserve"> REF _Ref_ContractCompanion_9kb9Us2AI \n \h \t \* MERGEFORMAT </w:instrText>
      </w:r>
      <w:r w:rsidRPr="00BA56A1">
        <w:fldChar w:fldCharType="separate"/>
      </w:r>
      <w:r w:rsidR="007A1473">
        <w:t>4.3</w:t>
      </w:r>
      <w:r w:rsidRPr="00BA56A1">
        <w:fldChar w:fldCharType="end"/>
      </w:r>
      <w:bookmarkEnd w:id="1104"/>
      <w:r w:rsidRPr="00BA56A1">
        <w:t>, the Benchmarker shall, if it believes the amendments are reasonable, produce an amended draft plan.</w:t>
      </w:r>
      <w:r>
        <w:t xml:space="preserve"> </w:t>
      </w:r>
      <w:bookmarkStart w:id="1105" w:name="_9kMHG5YVtCIB8HKGFfTlFQG40B69QQAtyAHBBSL"/>
      <w:r w:rsidRPr="00BA56A1">
        <w:t>Paragraph</w:t>
      </w:r>
      <w:r>
        <w:t> </w:t>
      </w:r>
      <w:r w:rsidRPr="00BA56A1">
        <w:fldChar w:fldCharType="begin"/>
      </w:r>
      <w:r w:rsidRPr="00BA56A1">
        <w:instrText xml:space="preserve"> REF _Ref_ContractCompanion_9kb9Us2BC \n \h \t \* MERGEFORMAT </w:instrText>
      </w:r>
      <w:r w:rsidRPr="00BA56A1">
        <w:fldChar w:fldCharType="separate"/>
      </w:r>
      <w:r w:rsidR="007A1473">
        <w:t>4.1</w:t>
      </w:r>
      <w:r w:rsidRPr="00BA56A1">
        <w:fldChar w:fldCharType="end"/>
      </w:r>
      <w:bookmarkEnd w:id="1105"/>
      <w:r w:rsidRPr="00BA56A1">
        <w:t xml:space="preserve"> and this </w:t>
      </w:r>
      <w:bookmarkStart w:id="1106" w:name="_9kMIH5YVtCIB8HHDHS7ckYMvFNN7qv731HE7IPK"/>
      <w:r w:rsidRPr="00BA56A1">
        <w:t xml:space="preserve">Paragraph </w:t>
      </w:r>
      <w:r w:rsidRPr="00BA56A1">
        <w:fldChar w:fldCharType="begin"/>
      </w:r>
      <w:r w:rsidRPr="00BA56A1">
        <w:instrText xml:space="preserve"> REF _Ref_ContractCompanion_9kb9Us2AI \n \h \t \* MERGEFORMAT </w:instrText>
      </w:r>
      <w:r w:rsidRPr="00BA56A1">
        <w:fldChar w:fldCharType="separate"/>
      </w:r>
      <w:r w:rsidR="007A1473">
        <w:t>4.3</w:t>
      </w:r>
      <w:r w:rsidRPr="00BA56A1">
        <w:fldChar w:fldCharType="end"/>
      </w:r>
      <w:bookmarkEnd w:id="1106"/>
      <w:r w:rsidRPr="00BA56A1">
        <w:t xml:space="preserve"> shall apply to any amended draft plan.</w:t>
      </w:r>
      <w:bookmarkEnd w:id="1103"/>
    </w:p>
    <w:p w14:paraId="67FFB92E" w14:textId="2B0AED2D" w:rsidR="00F67E9E" w:rsidRPr="00BA56A1" w:rsidRDefault="00F67E9E" w:rsidP="00F67E9E">
      <w:pPr>
        <w:pStyle w:val="Numbered11"/>
      </w:pPr>
      <w:r w:rsidRPr="00BA56A1">
        <w:t xml:space="preserve">Failure by a Party to give notice under </w:t>
      </w:r>
      <w:bookmarkStart w:id="1107" w:name="_9kMJI5YVtCIB8HHDHS7ckYMvFNN7qv731HE7IPK"/>
      <w:r w:rsidRPr="00BA56A1">
        <w:t xml:space="preserve">Paragraph </w:t>
      </w:r>
      <w:r w:rsidRPr="00BA56A1">
        <w:fldChar w:fldCharType="begin"/>
      </w:r>
      <w:r w:rsidRPr="00BA56A1">
        <w:instrText xml:space="preserve"> REF _Ref_ContractCompanion_9kb9Us2AI \n \h \t \* MERGEFORMAT </w:instrText>
      </w:r>
      <w:r w:rsidRPr="00BA56A1">
        <w:fldChar w:fldCharType="separate"/>
      </w:r>
      <w:r w:rsidR="007A1473">
        <w:t>4.3</w:t>
      </w:r>
      <w:r w:rsidRPr="00BA56A1">
        <w:fldChar w:fldCharType="end"/>
      </w:r>
      <w:bookmarkEnd w:id="1107"/>
      <w:r w:rsidRPr="00BA56A1">
        <w:t xml:space="preserve"> shall be treated as approval of the draft plan by that Party.</w:t>
      </w:r>
      <w:r>
        <w:t xml:space="preserve"> </w:t>
      </w:r>
      <w:r w:rsidRPr="00BA56A1">
        <w:t xml:space="preserve">If the Parties fail to approve the draft plan within 30 Working Days of its first being sent to them pursuant to </w:t>
      </w:r>
      <w:bookmarkStart w:id="1108" w:name="_9kMIH5YVtCIB8HKGFfTlFQG40B69QQAtyAHBBSL"/>
      <w:r w:rsidRPr="00BA56A1">
        <w:t xml:space="preserve">Paragraph </w:t>
      </w:r>
      <w:r w:rsidRPr="00BA56A1">
        <w:fldChar w:fldCharType="begin"/>
      </w:r>
      <w:r w:rsidRPr="00BA56A1">
        <w:instrText xml:space="preserve"> REF _Ref_ContractCompanion_9kb9Us2BC \n \h \t \* MERGEFORMAT </w:instrText>
      </w:r>
      <w:r w:rsidRPr="00BA56A1">
        <w:fldChar w:fldCharType="separate"/>
      </w:r>
      <w:r w:rsidR="007A1473">
        <w:t>4.1</w:t>
      </w:r>
      <w:r w:rsidRPr="00BA56A1">
        <w:fldChar w:fldCharType="end"/>
      </w:r>
      <w:bookmarkEnd w:id="1108"/>
      <w:r w:rsidRPr="00BA56A1">
        <w:t xml:space="preserve"> then the Benchmarker shall prescribe the plan.</w:t>
      </w:r>
    </w:p>
    <w:p w14:paraId="58701AD0" w14:textId="77777777" w:rsidR="00F67E9E" w:rsidRPr="00BA56A1" w:rsidRDefault="00F67E9E" w:rsidP="00F67E9E">
      <w:pPr>
        <w:pStyle w:val="Numbered11"/>
      </w:pPr>
      <w:r w:rsidRPr="00BA56A1">
        <w:t>Once the plan is approved by both Parties or prescribed by the Benchmarker, the Benchmarker shall carry out the Benchmark Review in accordance with the plan.</w:t>
      </w:r>
      <w:r>
        <w:t xml:space="preserve"> </w:t>
      </w:r>
      <w:r w:rsidRPr="00BA56A1">
        <w:t>Each Party shall procure that all the information described in the plan, together with any additional information reasonably required by the Benchmarker is provided to the Benchmarker without undue delay.</w:t>
      </w:r>
      <w:r>
        <w:t xml:space="preserve"> </w:t>
      </w:r>
      <w:r w:rsidRPr="00BA56A1">
        <w:t xml:space="preserve">If the Supplier fails to provide any information requested from it by the Benchmarker and described in the plan, such failure shall constitute a material Default for the purposes of </w:t>
      </w:r>
      <w:bookmarkStart w:id="1109" w:name="_9kR3WTr2CC689LChrAv6NNt"/>
      <w:r w:rsidRPr="00BA56A1">
        <w:t>Clause 25.1(c)</w:t>
      </w:r>
      <w:bookmarkEnd w:id="1109"/>
      <w:r w:rsidRPr="00BA56A1">
        <w:t xml:space="preserve"> (</w:t>
      </w:r>
      <w:r w:rsidRPr="00BA56A1">
        <w:rPr>
          <w:i/>
        </w:rPr>
        <w:t>Rectification Plan Process</w:t>
      </w:r>
      <w:r w:rsidRPr="00BA56A1">
        <w:t>).</w:t>
      </w:r>
    </w:p>
    <w:p w14:paraId="5FC17620" w14:textId="77777777" w:rsidR="00F67E9E" w:rsidRPr="00BA56A1" w:rsidRDefault="00F67E9E" w:rsidP="00F67E9E">
      <w:pPr>
        <w:pStyle w:val="Numbered11"/>
      </w:pPr>
      <w:r w:rsidRPr="00BA56A1">
        <w:t>Each Party shall co-operate fully with the Benchmarker, including by providing access to records, technical documentation, premises, equipment, systems and personnel at times reasonably requested by the Benchmarker, provided that the Benchmarker shall be instructed to minimise any disruption to the Services.</w:t>
      </w:r>
    </w:p>
    <w:p w14:paraId="1BDD9E4A" w14:textId="77777777" w:rsidR="00F67E9E" w:rsidRPr="00BA56A1" w:rsidRDefault="00F67E9E" w:rsidP="00F67E9E">
      <w:pPr>
        <w:pStyle w:val="Numbered11"/>
      </w:pPr>
      <w:r w:rsidRPr="00BA56A1">
        <w:lastRenderedPageBreak/>
        <w:t>Either Party may provide additional material to the Benchmarker to assist the Benchmarker in conducting the Benchmark Review.</w:t>
      </w:r>
    </w:p>
    <w:p w14:paraId="200E4F9B" w14:textId="77777777" w:rsidR="00F67E9E" w:rsidRPr="00BA56A1" w:rsidRDefault="00F67E9E" w:rsidP="00F67E9E">
      <w:pPr>
        <w:pStyle w:val="Numbered11"/>
      </w:pPr>
      <w:bookmarkStart w:id="1110" w:name="_Ref_ContractCompanion_9kb9Us299"/>
      <w:r w:rsidRPr="00BA56A1">
        <w:t>Once it has received the information it requires, the Benchmarker shall:</w:t>
      </w:r>
      <w:bookmarkEnd w:id="1110"/>
    </w:p>
    <w:p w14:paraId="6010B52A" w14:textId="77777777" w:rsidR="00F67E9E" w:rsidRPr="00BA56A1" w:rsidRDefault="00F67E9E" w:rsidP="00F67E9E">
      <w:pPr>
        <w:pStyle w:val="Numbered111"/>
      </w:pPr>
      <w:bookmarkStart w:id="1111" w:name="_Ref_ContractCompanion_9kb9Us29C"/>
      <w:r w:rsidRPr="00BA56A1">
        <w:t>finalise the sample of entities constituting the Comparison Group and collect data relating to Comparable Services.</w:t>
      </w:r>
      <w:r>
        <w:t xml:space="preserve"> </w:t>
      </w:r>
      <w:r w:rsidRPr="00BA56A1">
        <w:t>The final selection of the Comparison Group (both in terms of number and identity of entities) and of the Comparable Services shall be a matter for the Benchmarker</w:t>
      </w:r>
      <w:r>
        <w:t>’</w:t>
      </w:r>
      <w:r w:rsidRPr="00BA56A1">
        <w:t>s professional judgment;</w:t>
      </w:r>
      <w:bookmarkEnd w:id="1111"/>
    </w:p>
    <w:p w14:paraId="7C02ED83" w14:textId="0929F1CB" w:rsidR="00F67E9E" w:rsidRPr="00BA56A1" w:rsidRDefault="00F67E9E" w:rsidP="00F67E9E">
      <w:pPr>
        <w:pStyle w:val="Numbered111"/>
      </w:pPr>
      <w:r w:rsidRPr="00BA56A1">
        <w:t xml:space="preserve">derive the Equivalent Services Data by applying the adjustment factors listed in </w:t>
      </w:r>
      <w:bookmarkStart w:id="1112" w:name="_9kMIH5YVtCIB8FNLNnTlGButoztzAy6LCv0C9zE"/>
      <w:r w:rsidRPr="00BA56A1">
        <w:t xml:space="preserve">Paragraph </w:t>
      </w:r>
      <w:r w:rsidRPr="00BA56A1">
        <w:fldChar w:fldCharType="begin"/>
      </w:r>
      <w:r w:rsidRPr="00BA56A1">
        <w:instrText xml:space="preserve"> REF _Ref_ContractCompanion_9kb9Us29F \n \h \t \* MERGEFORMAT </w:instrText>
      </w:r>
      <w:r w:rsidRPr="00BA56A1">
        <w:fldChar w:fldCharType="separate"/>
      </w:r>
      <w:r w:rsidR="007A1473">
        <w:t>4.9</w:t>
      </w:r>
      <w:r w:rsidRPr="00BA56A1">
        <w:fldChar w:fldCharType="end"/>
      </w:r>
      <w:bookmarkEnd w:id="1112"/>
      <w:r w:rsidRPr="00BA56A1">
        <w:t xml:space="preserve"> and from an analysis of the Comparable Services;</w:t>
      </w:r>
    </w:p>
    <w:p w14:paraId="175EB1F4" w14:textId="77777777" w:rsidR="00F67E9E" w:rsidRPr="00BA56A1" w:rsidRDefault="00F67E9E" w:rsidP="00F67E9E">
      <w:pPr>
        <w:pStyle w:val="Numbered111"/>
      </w:pPr>
      <w:r w:rsidRPr="00BA56A1">
        <w:t>derive the relative value for money of the charges payable for the Comparable Services using the Equivalent Services Data and from that derive the Upper Quartile;</w:t>
      </w:r>
    </w:p>
    <w:p w14:paraId="26DD9EC1" w14:textId="77777777" w:rsidR="00F67E9E" w:rsidRPr="00BA56A1" w:rsidRDefault="00F67E9E" w:rsidP="00F67E9E">
      <w:pPr>
        <w:pStyle w:val="Numbered111"/>
      </w:pPr>
      <w:r w:rsidRPr="00BA56A1">
        <w:t>derive the median service levels relating to the Comparable Services using the Equivalent Services Data;</w:t>
      </w:r>
    </w:p>
    <w:p w14:paraId="1F202609" w14:textId="77777777" w:rsidR="00F67E9E" w:rsidRPr="00BA56A1" w:rsidRDefault="00F67E9E" w:rsidP="00F67E9E">
      <w:pPr>
        <w:pStyle w:val="Numbered111"/>
      </w:pPr>
      <w:r w:rsidRPr="00BA56A1">
        <w:t xml:space="preserve">compare the value for money of the Charges attributable to the Benchmarked Services (having regard in particular to the applicable Performance Indicators and Target </w:t>
      </w:r>
      <w:r w:rsidRPr="00323A2D">
        <w:t>Performance</w:t>
      </w:r>
      <w:r w:rsidRPr="00BA56A1">
        <w:t xml:space="preserve"> Levels) to the value for money of the Upper Quartile;</w:t>
      </w:r>
    </w:p>
    <w:p w14:paraId="2F5FEB88" w14:textId="77777777" w:rsidR="00F67E9E" w:rsidRPr="00BA56A1" w:rsidRDefault="00F67E9E" w:rsidP="00F67E9E">
      <w:pPr>
        <w:pStyle w:val="Numbered111"/>
      </w:pPr>
      <w:r w:rsidRPr="00BA56A1">
        <w:t xml:space="preserve">compare the Performance Indicators and Target </w:t>
      </w:r>
      <w:r w:rsidRPr="00323A2D">
        <w:t>Performance</w:t>
      </w:r>
      <w:r w:rsidRPr="00BA56A1">
        <w:t xml:space="preserve"> Levels attributable to the Benchmarked Services (having regard to the Charges and Service Credits) with the median service levels using the Equivalent Services Data; and</w:t>
      </w:r>
    </w:p>
    <w:p w14:paraId="0DDB8618" w14:textId="77777777" w:rsidR="00F67E9E" w:rsidRPr="00BA56A1" w:rsidRDefault="00F67E9E" w:rsidP="00F67E9E">
      <w:pPr>
        <w:pStyle w:val="Numbered111"/>
      </w:pPr>
      <w:r w:rsidRPr="00BA56A1">
        <w:t>determine whether or not each Benchmarked Service is and/or the Benchmarked Services as a whole are, Good Value.</w:t>
      </w:r>
    </w:p>
    <w:p w14:paraId="39B3F759" w14:textId="77777777" w:rsidR="00F67E9E" w:rsidRPr="00BA56A1" w:rsidRDefault="00F67E9E" w:rsidP="00F67E9E">
      <w:pPr>
        <w:pStyle w:val="Numbered11"/>
      </w:pPr>
      <w:bookmarkStart w:id="1113" w:name="_Ref_ContractCompanion_9kb9Us29F"/>
      <w:bookmarkStart w:id="1114" w:name="_9kR3WTrAG96DLJLlRjE9srmxrx8w4JAtyA7xCHE"/>
      <w:r w:rsidRPr="00BA56A1">
        <w:t>The Benchmarker shall have regard to the following matters when performing a comparative assessment of a Benchmarked Service and a Comparable Service in order to derive Equivalent Services Data:</w:t>
      </w:r>
      <w:bookmarkEnd w:id="1113"/>
      <w:bookmarkEnd w:id="1114"/>
    </w:p>
    <w:p w14:paraId="4824E6C0" w14:textId="77777777" w:rsidR="00F67E9E" w:rsidRPr="00BA56A1" w:rsidRDefault="00F67E9E" w:rsidP="00F67E9E">
      <w:pPr>
        <w:pStyle w:val="Numbered111"/>
      </w:pPr>
      <w:r w:rsidRPr="00BA56A1">
        <w:t>the contractual and business environment under which the Services are being provided (including the scope, scale, complexity and geographical spread of the Services);</w:t>
      </w:r>
    </w:p>
    <w:p w14:paraId="4AB53049" w14:textId="77777777" w:rsidR="00F67E9E" w:rsidRPr="00BA56A1" w:rsidRDefault="00F67E9E" w:rsidP="00F67E9E">
      <w:pPr>
        <w:pStyle w:val="Numbered111"/>
      </w:pPr>
      <w:r w:rsidRPr="00BA56A1">
        <w:t>any front-end investment and development costs of the Supplier;</w:t>
      </w:r>
    </w:p>
    <w:p w14:paraId="240A46E0" w14:textId="77777777" w:rsidR="00F67E9E" w:rsidRPr="00BA56A1" w:rsidRDefault="00F67E9E" w:rsidP="00F67E9E">
      <w:pPr>
        <w:pStyle w:val="Numbered111"/>
      </w:pPr>
      <w:r w:rsidRPr="00BA56A1">
        <w:t>the Supplier</w:t>
      </w:r>
      <w:r>
        <w:t>’</w:t>
      </w:r>
      <w:r w:rsidRPr="00BA56A1">
        <w:t>s risk profile including the financial, performance or liability risks associated with the provision of the Services as a whole;</w:t>
      </w:r>
    </w:p>
    <w:p w14:paraId="394DB77F" w14:textId="77777777" w:rsidR="00F67E9E" w:rsidRPr="00BA56A1" w:rsidRDefault="00F67E9E" w:rsidP="00F67E9E">
      <w:pPr>
        <w:pStyle w:val="Numbered111"/>
      </w:pPr>
      <w:r w:rsidRPr="00BA56A1">
        <w:t>the extent of the Supplier</w:t>
      </w:r>
      <w:r>
        <w:t>’</w:t>
      </w:r>
      <w:r w:rsidRPr="00BA56A1">
        <w:t xml:space="preserve">s management and contract governance responsibilities; </w:t>
      </w:r>
    </w:p>
    <w:p w14:paraId="75855ED9" w14:textId="77777777" w:rsidR="00F67E9E" w:rsidRPr="00BA56A1" w:rsidRDefault="00F67E9E" w:rsidP="00F67E9E">
      <w:pPr>
        <w:pStyle w:val="Numbered111"/>
      </w:pPr>
      <w:r w:rsidRPr="00BA56A1">
        <w:t>any other reasonable factors demonstrated by the Supplier, which, if not taken into consideration, could unfairly cause the Supplier</w:t>
      </w:r>
      <w:r>
        <w:t>’</w:t>
      </w:r>
      <w:r w:rsidRPr="00BA56A1">
        <w:t>s pricing to appear non-competitive (such as erroneous costing, non-sustainable behaviour including excessive consumption of energy or over-aggressive pricing).</w:t>
      </w:r>
    </w:p>
    <w:p w14:paraId="18949143" w14:textId="77777777" w:rsidR="00F67E9E" w:rsidRPr="00BA56A1" w:rsidRDefault="00F67E9E" w:rsidP="00F67E9E">
      <w:pPr>
        <w:pStyle w:val="Numbered1"/>
      </w:pPr>
      <w:bookmarkStart w:id="1115" w:name="_Ref_ContractCompanion_9kb9Ur7EE"/>
      <w:r w:rsidRPr="00BA56A1">
        <w:lastRenderedPageBreak/>
        <w:t>Benchmark Report</w:t>
      </w:r>
      <w:bookmarkEnd w:id="1115"/>
    </w:p>
    <w:p w14:paraId="16957682" w14:textId="5A6B1EE6" w:rsidR="00F67E9E" w:rsidRPr="00BA56A1" w:rsidRDefault="00F67E9E" w:rsidP="00F67E9E">
      <w:pPr>
        <w:pStyle w:val="Numbered11"/>
      </w:pPr>
      <w:r w:rsidRPr="00BA56A1">
        <w:t xml:space="preserve">The Benchmarker shall be required to prepare a Benchmark Report and deliver it simultaneously to both Parties, at the time specified in the plan approved under </w:t>
      </w:r>
      <w:bookmarkStart w:id="1116" w:name="_9kMHG5YVtCIB8HNPEyq1QScbJxy30v"/>
      <w:r w:rsidRPr="00BA56A1">
        <w:t xml:space="preserve">Paragraph </w:t>
      </w:r>
      <w:r w:rsidRPr="00BA56A1">
        <w:fldChar w:fldCharType="begin"/>
      </w:r>
      <w:r w:rsidRPr="00BA56A1">
        <w:instrText xml:space="preserve"> REF _Ref_ContractCompanion_9kb9Us2BF \w \n \h \t \* MERGEFORMAT </w:instrText>
      </w:r>
      <w:r w:rsidRPr="00BA56A1">
        <w:fldChar w:fldCharType="separate"/>
      </w:r>
      <w:r w:rsidR="007A1473">
        <w:t>4</w:t>
      </w:r>
      <w:r w:rsidRPr="00BA56A1">
        <w:fldChar w:fldCharType="end"/>
      </w:r>
      <w:bookmarkEnd w:id="1116"/>
      <w:r w:rsidRPr="00BA56A1">
        <w:t>, setting out its findings.</w:t>
      </w:r>
      <w:r>
        <w:t xml:space="preserve"> </w:t>
      </w:r>
      <w:r w:rsidRPr="00BA56A1">
        <w:t>The Benchmark Report shall:</w:t>
      </w:r>
    </w:p>
    <w:p w14:paraId="7EF0116B" w14:textId="77777777" w:rsidR="00F67E9E" w:rsidRPr="000A7B06" w:rsidRDefault="00F67E9E" w:rsidP="00F67E9E">
      <w:pPr>
        <w:pStyle w:val="Numbered111"/>
      </w:pPr>
      <w:r w:rsidRPr="00BA56A1">
        <w:t xml:space="preserve">include a finding as to whether or not each Benchmarked Service is and/or </w:t>
      </w:r>
      <w:r w:rsidRPr="000A7B06">
        <w:t>whether the Benchmarked Services as a whole are, Good Value;</w:t>
      </w:r>
    </w:p>
    <w:p w14:paraId="5AD93EEA" w14:textId="77777777" w:rsidR="00F67E9E" w:rsidRPr="000A7B06" w:rsidRDefault="00F67E9E" w:rsidP="00F67E9E">
      <w:pPr>
        <w:pStyle w:val="Numbered111"/>
      </w:pPr>
      <w:r w:rsidRPr="000A7B06">
        <w:t xml:space="preserve">include other findings (if any) regarding the quality and competitiveness or otherwise of those Services; </w:t>
      </w:r>
    </w:p>
    <w:p w14:paraId="5B4F7963" w14:textId="77777777" w:rsidR="00F67E9E" w:rsidRPr="000A7B06" w:rsidRDefault="00F67E9E" w:rsidP="00F67E9E">
      <w:pPr>
        <w:pStyle w:val="Numbered111"/>
      </w:pPr>
      <w:r w:rsidRPr="000A7B06">
        <w:t>if any Benchmarked Service is not Good Value, or the Benchmarked Services as a whole are not Good Value, specify the changes that would be required to the Charges, Performance Indicators and/or Target Performance Levels, that would be required to make that Benchmarked Service or those Benchmarked Services as a whole Good Value; and</w:t>
      </w:r>
    </w:p>
    <w:p w14:paraId="12F0B7C4" w14:textId="77777777" w:rsidR="00F67E9E" w:rsidRPr="00BA56A1" w:rsidRDefault="00F67E9E" w:rsidP="00F67E9E">
      <w:pPr>
        <w:pStyle w:val="Numbered111"/>
      </w:pPr>
      <w:r w:rsidRPr="000A7B06">
        <w:t>illustrate</w:t>
      </w:r>
      <w:r w:rsidRPr="00BA56A1">
        <w:t xml:space="preserve"> the method used for any normalisation of the Equivalent Services Data</w:t>
      </w:r>
    </w:p>
    <w:p w14:paraId="37C683CA" w14:textId="77777777" w:rsidR="00F67E9E" w:rsidRPr="00BA56A1" w:rsidRDefault="00F67E9E" w:rsidP="00F67E9E">
      <w:pPr>
        <w:pStyle w:val="Numbered11"/>
      </w:pPr>
      <w:r w:rsidRPr="00BA56A1">
        <w:t>The Benchmarker shall act as an expert and not as an arbitrator.</w:t>
      </w:r>
    </w:p>
    <w:p w14:paraId="55BAAEF4" w14:textId="306225C5" w:rsidR="00F67E9E" w:rsidRPr="00BA56A1" w:rsidRDefault="00F67E9E" w:rsidP="00F67E9E">
      <w:pPr>
        <w:pStyle w:val="Numbered11"/>
      </w:pPr>
      <w:bookmarkStart w:id="1117" w:name="_9kR3WTrAG977BHGUEwzlGButoztzAla5GJPRSBC"/>
      <w:bookmarkStart w:id="1118" w:name="_Ref_ContractCompanion_9kb9Us335"/>
      <w:r w:rsidRPr="00BA56A1">
        <w:t xml:space="preserve">If the Benchmark Report states that any Benchmarked Service is not Good Value or that the Benchmarked Services as a whole are not Good Value, then the Supplier shall (subject to </w:t>
      </w:r>
      <w:bookmarkStart w:id="1119" w:name="_9kMHG5YVtCIB8HQNKjTlXiC85zt3I9sx90uy8OK"/>
      <w:r w:rsidRPr="00BA56A1">
        <w:t xml:space="preserve">Paragraphs </w:t>
      </w:r>
      <w:r w:rsidRPr="00BA56A1">
        <w:fldChar w:fldCharType="begin"/>
      </w:r>
      <w:r w:rsidRPr="00BA56A1">
        <w:instrText xml:space="preserve"> REF _Ref_ContractCompanion_9kb9Us2BI \n \h \t \* MERGEFORMAT </w:instrText>
      </w:r>
      <w:r w:rsidRPr="00BA56A1">
        <w:fldChar w:fldCharType="separate"/>
      </w:r>
      <w:r w:rsidR="007A1473">
        <w:t>5.5</w:t>
      </w:r>
      <w:r w:rsidRPr="00BA56A1">
        <w:fldChar w:fldCharType="end"/>
      </w:r>
      <w:bookmarkEnd w:id="1119"/>
      <w:r w:rsidRPr="00BA56A1">
        <w:t xml:space="preserve"> and </w:t>
      </w:r>
      <w:bookmarkStart w:id="1120" w:name="_9kMHG5YVtCIB99AGLkTlXiC85zt3I9sx9CGNBxB"/>
      <w:r w:rsidRPr="00BA56A1">
        <w:fldChar w:fldCharType="begin"/>
      </w:r>
      <w:r w:rsidRPr="00BA56A1">
        <w:instrText xml:space="preserve"> REF _Ref_ContractCompanion_9kb9Us332 \n \h \t \* MERGEFORMAT </w:instrText>
      </w:r>
      <w:r w:rsidRPr="00BA56A1">
        <w:fldChar w:fldCharType="separate"/>
      </w:r>
      <w:r w:rsidR="007A1473">
        <w:t>5.6</w:t>
      </w:r>
      <w:r w:rsidRPr="00BA56A1">
        <w:fldChar w:fldCharType="end"/>
      </w:r>
      <w:bookmarkEnd w:id="1120"/>
      <w:r w:rsidRPr="00BA56A1">
        <w:t>) implement the changes set out in the Benchmark Report as soon as reasonably practicable within timescales agreed with the Authority but in any event within no more than 3 months.</w:t>
      </w:r>
      <w:bookmarkEnd w:id="1117"/>
      <w:r w:rsidRPr="00BA56A1">
        <w:t xml:space="preserve"> Any associated changes to the Charges shall take effect only from the same date and shall not be retrospective.</w:t>
      </w:r>
      <w:bookmarkEnd w:id="1118"/>
    </w:p>
    <w:p w14:paraId="75D6A6EC" w14:textId="77777777" w:rsidR="00F67E9E" w:rsidRPr="00BA56A1" w:rsidRDefault="00F67E9E" w:rsidP="00F67E9E">
      <w:pPr>
        <w:pStyle w:val="Numbered11"/>
      </w:pPr>
      <w:r w:rsidRPr="00BA56A1">
        <w:t>The Supplier acknowledges and agrees that Benchmark Reviews shall not result in any increase to the Charges, disapplication of the Performance Indicators or any reduction in the Target Performance Levels.</w:t>
      </w:r>
    </w:p>
    <w:p w14:paraId="46CE953C" w14:textId="77777777" w:rsidR="00F67E9E" w:rsidRPr="00BA56A1" w:rsidRDefault="00F67E9E" w:rsidP="00F67E9E">
      <w:pPr>
        <w:pStyle w:val="Numbered11"/>
      </w:pPr>
      <w:bookmarkStart w:id="1121" w:name="_Ref_ContractCompanion_9kb9Us2BI"/>
      <w:bookmarkStart w:id="1122" w:name="_9kR3WTrAG96FOLIhRjVgA63xr1G7qv7ysw6MIJN"/>
      <w:r w:rsidRPr="00BA56A1">
        <w:t>The Supplier shall be entitled to reject any Benchmark Report if the Supplier reasonably considers that the Benchmarker has not followed the procedure for the related Benchmark Review as set out in this Schedule in any material respect.</w:t>
      </w:r>
      <w:bookmarkEnd w:id="1121"/>
      <w:bookmarkEnd w:id="1122"/>
    </w:p>
    <w:p w14:paraId="7E3FEF0B" w14:textId="77777777" w:rsidR="00F67E9E" w:rsidRPr="00BA56A1" w:rsidRDefault="00F67E9E" w:rsidP="00F67E9E">
      <w:pPr>
        <w:pStyle w:val="Numbered11"/>
      </w:pPr>
      <w:bookmarkStart w:id="1123" w:name="_9kR3WTrAG9778EJiRjVgA63xr1G7qv7AEL9v975"/>
      <w:bookmarkStart w:id="1124" w:name="_Ref_ContractCompanion_9kb9Us332"/>
      <w:r w:rsidRPr="00BA56A1">
        <w:t>The Supplier shall not be obliged to implement any Benchmark Report to the extent this would cause the Supplier to provide the Services at a loss (as determined, by reference to the Financial Model), or to the extent the Supplier cannot technically implement the recommended changes.</w:t>
      </w:r>
      <w:bookmarkEnd w:id="1123"/>
      <w:r w:rsidRPr="00BA56A1">
        <w:t xml:space="preserve"> </w:t>
      </w:r>
      <w:bookmarkEnd w:id="1124"/>
    </w:p>
    <w:p w14:paraId="75C26770" w14:textId="7E496064" w:rsidR="00F67E9E" w:rsidRPr="00BA56A1" w:rsidRDefault="00F67E9E" w:rsidP="00F67E9E">
      <w:pPr>
        <w:pStyle w:val="Numbered11"/>
      </w:pPr>
      <w:bookmarkStart w:id="1125" w:name="_9kR3WTrAG977EKKYM4zlj12vBD0nwLmRDLOTEwA"/>
      <w:bookmarkStart w:id="1126" w:name="_Ref_ContractCompanion_9kb9Us338"/>
      <w:r w:rsidRPr="00BA56A1">
        <w:t xml:space="preserve">In the event of any Dispute arising over whether the Benchmarker has followed the procedure for the related Benchmark Review under </w:t>
      </w:r>
      <w:bookmarkStart w:id="1127" w:name="_9kMIH5YVtCIB8HQNKjTlXiC85zt3I9sx90uy8OK"/>
      <w:r w:rsidRPr="00BA56A1">
        <w:t xml:space="preserve">Paragraph </w:t>
      </w:r>
      <w:r w:rsidRPr="00BA56A1">
        <w:fldChar w:fldCharType="begin"/>
      </w:r>
      <w:r w:rsidRPr="00BA56A1">
        <w:instrText xml:space="preserve"> REF _Ref_ContractCompanion_9kb9Us2BI \n \h \t \* MERGEFORMAT </w:instrText>
      </w:r>
      <w:r w:rsidRPr="00BA56A1">
        <w:fldChar w:fldCharType="separate"/>
      </w:r>
      <w:r w:rsidR="007A1473">
        <w:t>5.5</w:t>
      </w:r>
      <w:r w:rsidRPr="00BA56A1">
        <w:fldChar w:fldCharType="end"/>
      </w:r>
      <w:bookmarkEnd w:id="1127"/>
      <w:r w:rsidRPr="00BA56A1">
        <w:t xml:space="preserve"> and/or any matter referred to in </w:t>
      </w:r>
      <w:bookmarkStart w:id="1128" w:name="_9kMIH5YVtCIB99AGLkTlXiC85zt3I9sx9CGNBxB"/>
      <w:r w:rsidRPr="00BA56A1">
        <w:t xml:space="preserve">Paragraph </w:t>
      </w:r>
      <w:bookmarkEnd w:id="1128"/>
      <w:r w:rsidRPr="00BA56A1">
        <w:fldChar w:fldCharType="begin"/>
      </w:r>
      <w:r w:rsidRPr="00BA56A1">
        <w:instrText xml:space="preserve"> REF _9kR3WTrAG9778EJiRjVgA63xr1G7qv7AEL9v975 \w \h </w:instrText>
      </w:r>
      <w:r>
        <w:instrText xml:space="preserve"> \* MERGEFORMAT </w:instrText>
      </w:r>
      <w:r w:rsidRPr="00BA56A1">
        <w:fldChar w:fldCharType="separate"/>
      </w:r>
      <w:r w:rsidR="007A1473">
        <w:t>5.6</w:t>
      </w:r>
      <w:r w:rsidRPr="00BA56A1">
        <w:fldChar w:fldCharType="end"/>
      </w:r>
      <w:r w:rsidRPr="00BA56A1">
        <w:t>, the Dispute shall be referred to Expert Determination.</w:t>
      </w:r>
      <w:bookmarkEnd w:id="1125"/>
      <w:r w:rsidRPr="00BA56A1">
        <w:t xml:space="preserve"> For the avoidance of doubt in the event of a Dispute between the Parties, the Authority shall continue to pay the Charges to the Supplier in accordance with the terms of this Contract and the Performance Indicators and Target Performance Levels shall remain unchanged pending the conclusion of the Expert Determination.</w:t>
      </w:r>
      <w:bookmarkEnd w:id="1126"/>
    </w:p>
    <w:p w14:paraId="3E072A00" w14:textId="77777777" w:rsidR="00F67E9E" w:rsidRPr="00BA56A1" w:rsidRDefault="00F67E9E" w:rsidP="00F67E9E">
      <w:pPr>
        <w:pStyle w:val="Numbered11"/>
      </w:pPr>
      <w:bookmarkStart w:id="1129" w:name="_Ref_ContractCompanion_9kb9Us33B"/>
      <w:bookmarkStart w:id="1130" w:name="_9kR3WTrAG9788DLfSnp1qp8G528928BxVjR9CSp"/>
      <w:r w:rsidRPr="00BA56A1">
        <w:t>On conclusion of the Expert Determination:</w:t>
      </w:r>
      <w:bookmarkEnd w:id="1129"/>
      <w:bookmarkEnd w:id="1130"/>
    </w:p>
    <w:p w14:paraId="33E314A6" w14:textId="7B52D8A8" w:rsidR="00F67E9E" w:rsidRPr="00BA56A1" w:rsidRDefault="00F67E9E" w:rsidP="00F67E9E">
      <w:pPr>
        <w:pStyle w:val="Numbered111"/>
      </w:pPr>
      <w:r w:rsidRPr="00BA56A1">
        <w:t xml:space="preserve">if the Expert determines that all or any part of the Benchmark Report </w:t>
      </w:r>
      <w:r w:rsidRPr="00BA56A1">
        <w:lastRenderedPageBreak/>
        <w:t>recommendations regarding any reduction in the Charges shall be implemented by the Supplier, the Supplier shall immediately repay to the Authority the difference between the Charges paid by the Authority up to and including the date of the Expert</w:t>
      </w:r>
      <w:r>
        <w:t>’</w:t>
      </w:r>
      <w:r w:rsidRPr="00BA56A1">
        <w:t xml:space="preserve">s determination and the date upon which the recommended reduction in Charges should have originally taken effect pursuant to </w:t>
      </w:r>
      <w:bookmarkStart w:id="1131" w:name="_9kMHG5YVtCIB99DJIWGy1nIDwvq1v1Cnc7ILRTU"/>
      <w:r w:rsidRPr="00BA56A1">
        <w:t xml:space="preserve">Paragraph </w:t>
      </w:r>
      <w:bookmarkEnd w:id="1131"/>
      <w:r w:rsidRPr="00BA56A1">
        <w:fldChar w:fldCharType="begin"/>
      </w:r>
      <w:r w:rsidRPr="00BA56A1">
        <w:instrText xml:space="preserve"> REF _Ref_ContractCompanion_9kb9Us335 \w \h </w:instrText>
      </w:r>
      <w:r>
        <w:instrText xml:space="preserve"> \* MERGEFORMAT </w:instrText>
      </w:r>
      <w:r w:rsidRPr="00BA56A1">
        <w:fldChar w:fldCharType="separate"/>
      </w:r>
      <w:r w:rsidR="007A1473">
        <w:t>5.3</w:t>
      </w:r>
      <w:r w:rsidRPr="00BA56A1">
        <w:fldChar w:fldCharType="end"/>
      </w:r>
      <w:r w:rsidRPr="00BA56A1">
        <w:t xml:space="preserve"> together with interest thereon at the applicable rate under the Late Payment Of Commercial Debts (Interest) Act 1998; and</w:t>
      </w:r>
    </w:p>
    <w:p w14:paraId="299BE532" w14:textId="77777777" w:rsidR="00F67E9E" w:rsidRPr="00BA56A1" w:rsidRDefault="00F67E9E" w:rsidP="00F67E9E">
      <w:pPr>
        <w:pStyle w:val="Numbered111"/>
      </w:pPr>
      <w:r w:rsidRPr="00BA56A1">
        <w:t>if the Expert determines that all or any part of the Benchmark Report recommendations regarding any changes to the Performance Indicators and/or Target Performance Levels shall be implemented by the Supplier:</w:t>
      </w:r>
    </w:p>
    <w:p w14:paraId="5CB46E2D" w14:textId="77777777" w:rsidR="00F67E9E" w:rsidRPr="000A7B06" w:rsidRDefault="00F67E9E" w:rsidP="00F67E9E">
      <w:pPr>
        <w:pStyle w:val="Numbered111a"/>
      </w:pPr>
      <w:r w:rsidRPr="00BA56A1">
        <w:t xml:space="preserve">the </w:t>
      </w:r>
      <w:r w:rsidRPr="000A7B06">
        <w:t>Supplier shall immediately implement the relevant changes;</w:t>
      </w:r>
    </w:p>
    <w:p w14:paraId="10F3AB56" w14:textId="458DBE58" w:rsidR="00F67E9E" w:rsidRPr="000A7B06" w:rsidRDefault="00F67E9E" w:rsidP="00F67E9E">
      <w:pPr>
        <w:pStyle w:val="Numbered111a"/>
      </w:pPr>
      <w:r w:rsidRPr="000A7B06">
        <w:t xml:space="preserve">the Supplier shall immediately pay an amount equal to any Service Credits which would have accrued up to and including the date of the Expert’s determination if the relevant changes had taken effect on the date determined pursuant to </w:t>
      </w:r>
      <w:bookmarkStart w:id="1132" w:name="_9kMIH5YVtCIB99DJIWGy1nIDwvq1v1Cnc7ILRTU"/>
      <w:r w:rsidRPr="000A7B06">
        <w:t xml:space="preserve">Paragraph </w:t>
      </w:r>
      <w:r w:rsidRPr="000A7B06">
        <w:fldChar w:fldCharType="begin"/>
      </w:r>
      <w:r w:rsidRPr="000A7B06">
        <w:instrText xml:space="preserve"> REF _Ref_ContractCompanion_9kb9Us335 \n \h \t \* MERGEFORMAT </w:instrText>
      </w:r>
      <w:r w:rsidRPr="000A7B06">
        <w:fldChar w:fldCharType="separate"/>
      </w:r>
      <w:r w:rsidR="007A1473">
        <w:t>5.3</w:t>
      </w:r>
      <w:r w:rsidRPr="000A7B06">
        <w:fldChar w:fldCharType="end"/>
      </w:r>
      <w:bookmarkEnd w:id="1132"/>
      <w:r w:rsidRPr="000A7B06">
        <w:t xml:space="preserve"> together with interest thereon at the applicable rate under the Late Payment Of Commercial Debts (Interest) Act 1998; and</w:t>
      </w:r>
    </w:p>
    <w:p w14:paraId="6F00C6CD" w14:textId="77777777" w:rsidR="00F67E9E" w:rsidRPr="00BA56A1" w:rsidRDefault="00F67E9E" w:rsidP="00F67E9E">
      <w:pPr>
        <w:pStyle w:val="Numbered111a"/>
      </w:pPr>
      <w:r w:rsidRPr="000A7B06">
        <w:t>the relevant changes shall thereafter be subject to the Change Control Procedure</w:t>
      </w:r>
      <w:r w:rsidRPr="00BA56A1">
        <w:t xml:space="preserve"> for the purposes of formalising and documenting the relevant change or amendment for the purposes of this Contract.</w:t>
      </w:r>
    </w:p>
    <w:p w14:paraId="0BD78808" w14:textId="4E54DCA0" w:rsidR="00F67E9E" w:rsidRDefault="00F67E9E" w:rsidP="00F67E9E">
      <w:pPr>
        <w:pStyle w:val="Numbered11"/>
      </w:pPr>
      <w:bookmarkStart w:id="1133" w:name="_Ref44571810"/>
      <w:r w:rsidRPr="00BA56A1">
        <w:t xml:space="preserve">Any failure by the Supplier to implement the changes as set out in the Benchmark Report in accordance with the relevant timescales determined in accordance with </w:t>
      </w:r>
      <w:bookmarkStart w:id="1134" w:name="_9kMJI5YVtCIB99DJIWGy1nIDwvq1v1Cnc7ILRTU"/>
      <w:r w:rsidRPr="00BA56A1">
        <w:t xml:space="preserve">Paragraph </w:t>
      </w:r>
      <w:bookmarkEnd w:id="1134"/>
      <w:r w:rsidRPr="00BA56A1">
        <w:fldChar w:fldCharType="begin"/>
      </w:r>
      <w:r w:rsidRPr="00BA56A1">
        <w:instrText xml:space="preserve"> REF _Ref_ContractCompanion_9kb9Us335 \n \h \t \* MERGEFORMAT </w:instrText>
      </w:r>
      <w:r w:rsidRPr="00BA56A1">
        <w:fldChar w:fldCharType="separate"/>
      </w:r>
      <w:r w:rsidR="007A1473">
        <w:t>5.3</w:t>
      </w:r>
      <w:r w:rsidRPr="00BA56A1">
        <w:fldChar w:fldCharType="end"/>
      </w:r>
      <w:r w:rsidRPr="00BA56A1">
        <w:t xml:space="preserve"> (unless the provisions of </w:t>
      </w:r>
      <w:bookmarkStart w:id="1135" w:name="_9kMJI5YVtCIB99AGLkTlXiC85zt3I9sx9CGNBxB"/>
      <w:r w:rsidRPr="00BA56A1">
        <w:t xml:space="preserve">Paragraph </w:t>
      </w:r>
      <w:r w:rsidRPr="00BA56A1">
        <w:fldChar w:fldCharType="begin"/>
      </w:r>
      <w:r w:rsidRPr="00BA56A1">
        <w:instrText xml:space="preserve"> REF _Ref_ContractCompanion_9kb9Us332 \n \h \t \* MERGEFORMAT </w:instrText>
      </w:r>
      <w:r w:rsidRPr="00BA56A1">
        <w:fldChar w:fldCharType="separate"/>
      </w:r>
      <w:r w:rsidR="007A1473">
        <w:t>5.6</w:t>
      </w:r>
      <w:r w:rsidRPr="00BA56A1">
        <w:fldChar w:fldCharType="end"/>
      </w:r>
      <w:bookmarkEnd w:id="1135"/>
      <w:r w:rsidRPr="00BA56A1">
        <w:t xml:space="preserve"> and/or </w:t>
      </w:r>
      <w:bookmarkStart w:id="1136" w:name="_9kMHG5YVtCIB99GMMaO61nl34xDF2pyNoTFNQVG"/>
      <w:r w:rsidRPr="00BA56A1">
        <w:t xml:space="preserve">Paragraph </w:t>
      </w:r>
      <w:r w:rsidRPr="00BA56A1">
        <w:fldChar w:fldCharType="begin"/>
      </w:r>
      <w:r w:rsidRPr="00BA56A1">
        <w:instrText xml:space="preserve"> REF _Ref_ContractCompanion_9kb9Us338 \n \h \t \* MERGEFORMAT </w:instrText>
      </w:r>
      <w:r w:rsidRPr="00BA56A1">
        <w:fldChar w:fldCharType="separate"/>
      </w:r>
      <w:r w:rsidR="007A1473">
        <w:t>5.7</w:t>
      </w:r>
      <w:r w:rsidRPr="00BA56A1">
        <w:fldChar w:fldCharType="end"/>
      </w:r>
      <w:bookmarkEnd w:id="1136"/>
      <w:r w:rsidRPr="00BA56A1">
        <w:t xml:space="preserve"> apply) or in accordance with </w:t>
      </w:r>
      <w:bookmarkStart w:id="1137" w:name="_9kMHG5YVtCIB9AAFNhUpr3srAI74AB4ADzXlTBE"/>
      <w:r w:rsidRPr="00BA56A1">
        <w:t xml:space="preserve">Paragraph </w:t>
      </w:r>
      <w:bookmarkEnd w:id="1137"/>
      <w:r w:rsidRPr="00BA56A1">
        <w:fldChar w:fldCharType="begin"/>
      </w:r>
      <w:r w:rsidRPr="00BA56A1">
        <w:instrText xml:space="preserve"> REF _Ref_ContractCompanion_9kb9Us33B \w \h </w:instrText>
      </w:r>
      <w:r>
        <w:instrText xml:space="preserve"> \* MERGEFORMAT </w:instrText>
      </w:r>
      <w:r w:rsidRPr="00BA56A1">
        <w:fldChar w:fldCharType="separate"/>
      </w:r>
      <w:r w:rsidR="007A1473">
        <w:t>5.8</w:t>
      </w:r>
      <w:r w:rsidRPr="00BA56A1">
        <w:fldChar w:fldCharType="end"/>
      </w:r>
      <w:r w:rsidRPr="00BA56A1">
        <w:t xml:space="preserve"> shall, without </w:t>
      </w:r>
      <w:r w:rsidRPr="000A7B06">
        <w:t>prejudice</w:t>
      </w:r>
      <w:r w:rsidRPr="00BA56A1">
        <w:t xml:space="preserve"> to any other rights or remedies of the Authority, constitute a Supplier Termination Event.</w:t>
      </w:r>
      <w:bookmarkEnd w:id="1133"/>
    </w:p>
    <w:p w14:paraId="668A6190" w14:textId="77777777" w:rsidR="00F67E9E" w:rsidRDefault="00F67E9E" w:rsidP="00F67E9E"/>
    <w:p w14:paraId="65CDB62A" w14:textId="77777777" w:rsidR="00F67E9E" w:rsidRPr="005679CD" w:rsidRDefault="00F67E9E" w:rsidP="00F67E9E">
      <w:pPr>
        <w:pStyle w:val="Heading2"/>
        <w:pageBreakBefore/>
      </w:pPr>
      <w:bookmarkStart w:id="1138" w:name="_Ref_ContractCompanion_9kb9Ur7BD"/>
      <w:bookmarkStart w:id="1139" w:name="_Toc145412784"/>
      <w:r w:rsidRPr="00BA56A1">
        <w:lastRenderedPageBreak/>
        <w:t xml:space="preserve">Annex </w:t>
      </w:r>
      <w:bookmarkStart w:id="1140" w:name="ANNEX1_SCHEDULE17"/>
      <w:r w:rsidRPr="00BA56A1">
        <w:t>1</w:t>
      </w:r>
      <w:bookmarkEnd w:id="1140"/>
      <w:r w:rsidRPr="00BA56A1">
        <w:t>: Approved Benchmarkers</w:t>
      </w:r>
      <w:bookmarkEnd w:id="1138"/>
      <w:bookmarkEnd w:id="1139"/>
    </w:p>
    <w:p w14:paraId="1FD255D5" w14:textId="77777777" w:rsidR="00F67E9E" w:rsidRDefault="00F67E9E" w:rsidP="00F67E9E">
      <w:pPr>
        <w:rPr>
          <w:rFonts w:eastAsia="Times New Roman" w:cs="Arial"/>
          <w:szCs w:val="24"/>
          <w:lang w:eastAsia="en-GB"/>
        </w:rPr>
      </w:pPr>
    </w:p>
    <w:p w14:paraId="6333876C" w14:textId="77777777" w:rsidR="00F67E9E" w:rsidRDefault="00F67E9E" w:rsidP="00F67E9E">
      <w:pPr>
        <w:rPr>
          <w:rFonts w:eastAsia="Times New Roman" w:cs="Arial"/>
          <w:szCs w:val="24"/>
          <w:lang w:eastAsia="en-GB"/>
        </w:rPr>
      </w:pPr>
    </w:p>
    <w:p w14:paraId="4ADF192B" w14:textId="77777777" w:rsidR="00F67E9E" w:rsidRPr="005679CD" w:rsidRDefault="00F67E9E" w:rsidP="00F67E9E">
      <w:pPr>
        <w:pStyle w:val="Heading2"/>
        <w:pageBreakBefore/>
      </w:pPr>
      <w:bookmarkStart w:id="1141" w:name="_Ref41633301"/>
      <w:bookmarkStart w:id="1142" w:name="_Ref_ContractCompanion_9kb9Ur3BH"/>
      <w:bookmarkStart w:id="1143" w:name="_Ref_ContractCompanion_9kb9Us2AC"/>
      <w:bookmarkStart w:id="1144" w:name="_Toc145412785"/>
      <w:r w:rsidRPr="00BA56A1">
        <w:lastRenderedPageBreak/>
        <w:t xml:space="preserve">Annex </w:t>
      </w:r>
      <w:bookmarkStart w:id="1145" w:name="ANNEX2_SCHEDULE17"/>
      <w:r w:rsidRPr="00BA56A1">
        <w:t>2</w:t>
      </w:r>
      <w:bookmarkEnd w:id="1145"/>
      <w:r w:rsidRPr="00BA56A1">
        <w:t>: Confidentiality Agreement</w:t>
      </w:r>
      <w:bookmarkEnd w:id="1141"/>
      <w:bookmarkEnd w:id="1142"/>
      <w:bookmarkEnd w:id="1143"/>
      <w:bookmarkEnd w:id="1144"/>
    </w:p>
    <w:p w14:paraId="6BD565C7" w14:textId="77777777" w:rsidR="00F67E9E" w:rsidRPr="00BA56A1" w:rsidRDefault="00F67E9E" w:rsidP="00F67E9E"/>
    <w:p w14:paraId="74AE775B" w14:textId="77777777" w:rsidR="00F67E9E" w:rsidRPr="00064390" w:rsidRDefault="00F67E9E" w:rsidP="00F67E9E">
      <w:pPr>
        <w:pStyle w:val="BlankDocumentTitle"/>
        <w:rPr>
          <w:rFonts w:cs="Arial"/>
        </w:rPr>
      </w:pPr>
      <w:r w:rsidRPr="00BA56A1">
        <w:rPr>
          <w:rFonts w:cs="Arial"/>
        </w:rPr>
        <w:t>CONFIDENTIALITY AGREEMENT</w:t>
      </w:r>
    </w:p>
    <w:p w14:paraId="6425C5D5" w14:textId="77777777" w:rsidR="00F67E9E" w:rsidRPr="00064390" w:rsidRDefault="00F67E9E" w:rsidP="00F67E9E">
      <w:pPr>
        <w:pStyle w:val="StdBodyText"/>
        <w:rPr>
          <w:rFonts w:cs="Arial"/>
        </w:rPr>
      </w:pPr>
      <w:r w:rsidRPr="00BA56A1">
        <w:rPr>
          <w:rStyle w:val="StdBodyTextBoldChar"/>
          <w:rFonts w:cs="Arial"/>
        </w:rPr>
        <w:t>THIS AGREEMENT</w:t>
      </w:r>
      <w:r w:rsidRPr="00BA56A1">
        <w:rPr>
          <w:rFonts w:cs="Arial"/>
        </w:rPr>
        <w:t xml:space="preserve"> is</w:t>
      </w:r>
      <w:r w:rsidRPr="00064390">
        <w:rPr>
          <w:rFonts w:cs="Arial"/>
        </w:rPr>
        <w:t xml:space="preserve"> made on </w:t>
      </w:r>
      <w:r w:rsidRPr="00064390">
        <w:rPr>
          <w:rFonts w:cs="Arial"/>
          <w:highlight w:val="yellow"/>
        </w:rPr>
        <w:t>[</w:t>
      </w:r>
      <w:r w:rsidRPr="00AA5727">
        <w:rPr>
          <w:rFonts w:cs="Arial"/>
          <w:highlight w:val="yellow"/>
        </w:rPr>
        <w:t>date</w:t>
      </w:r>
      <w:r w:rsidRPr="00064390">
        <w:rPr>
          <w:rFonts w:cs="Arial"/>
          <w:highlight w:val="yellow"/>
        </w:rPr>
        <w:t>]</w:t>
      </w:r>
    </w:p>
    <w:p w14:paraId="18236C40" w14:textId="77777777" w:rsidR="00F67E9E" w:rsidRPr="00064390" w:rsidRDefault="00F67E9E" w:rsidP="00F67E9E">
      <w:pPr>
        <w:pStyle w:val="StdBodyTextBold"/>
        <w:rPr>
          <w:rFonts w:cs="Arial"/>
        </w:rPr>
      </w:pPr>
      <w:r w:rsidRPr="00064390">
        <w:rPr>
          <w:rFonts w:cs="Arial"/>
        </w:rPr>
        <w:t>BETWEEN:</w:t>
      </w:r>
    </w:p>
    <w:p w14:paraId="21FC8DFF" w14:textId="77777777" w:rsidR="00F67E9E" w:rsidRPr="00064390" w:rsidRDefault="00F67E9E" w:rsidP="00F13933">
      <w:pPr>
        <w:pStyle w:val="PartiesBodyText"/>
        <w:numPr>
          <w:ilvl w:val="0"/>
          <w:numId w:val="95"/>
        </w:numPr>
        <w:tabs>
          <w:tab w:val="clear" w:pos="720"/>
          <w:tab w:val="num" w:pos="1080"/>
        </w:tabs>
      </w:pPr>
      <w:r w:rsidRPr="00B73DD6">
        <w:rPr>
          <w:rStyle w:val="StdBodyTextBoldChar"/>
          <w:rFonts w:cs="Arial"/>
          <w:bCs/>
          <w:highlight w:val="yellow"/>
        </w:rPr>
        <w:t>[insert</w:t>
      </w:r>
      <w:r w:rsidRPr="00E5161E">
        <w:rPr>
          <w:rStyle w:val="StdBodyTextBoldChar"/>
          <w:rFonts w:cs="Arial"/>
          <w:b w:val="0"/>
          <w:bCs/>
          <w:iCs/>
          <w:highlight w:val="yellow"/>
        </w:rPr>
        <w:t xml:space="preserve"> name</w:t>
      </w:r>
      <w:r w:rsidRPr="00E5161E">
        <w:rPr>
          <w:rStyle w:val="StdBodyTextBoldChar"/>
          <w:rFonts w:cs="Arial"/>
          <w:b w:val="0"/>
          <w:bCs/>
          <w:highlight w:val="yellow"/>
        </w:rPr>
        <w:t>]</w:t>
      </w:r>
      <w:r w:rsidRPr="00064390">
        <w:t xml:space="preserve"> of </w:t>
      </w:r>
      <w:r w:rsidRPr="00B73DD6">
        <w:rPr>
          <w:b/>
          <w:highlight w:val="yellow"/>
        </w:rPr>
        <w:t>[insert</w:t>
      </w:r>
      <w:r w:rsidRPr="00E5161E">
        <w:rPr>
          <w:rStyle w:val="StdBodyTextBoldChar"/>
          <w:rFonts w:cs="Arial"/>
          <w:b w:val="0"/>
          <w:bCs/>
          <w:iCs/>
          <w:highlight w:val="yellow"/>
        </w:rPr>
        <w:t xml:space="preserve"> address</w:t>
      </w:r>
      <w:r w:rsidRPr="00E5161E">
        <w:rPr>
          <w:highlight w:val="yellow"/>
        </w:rPr>
        <w:t>]</w:t>
      </w:r>
      <w:r w:rsidRPr="00064390">
        <w:t xml:space="preserve"> (the </w:t>
      </w:r>
      <w:r>
        <w:t>“</w:t>
      </w:r>
      <w:r w:rsidRPr="00E5161E">
        <w:rPr>
          <w:rStyle w:val="StdBodyTextBoldChar"/>
          <w:rFonts w:cs="Arial"/>
        </w:rPr>
        <w:t>Supplier</w:t>
      </w:r>
      <w:r>
        <w:t>”</w:t>
      </w:r>
      <w:r w:rsidRPr="00064390">
        <w:t>); and</w:t>
      </w:r>
    </w:p>
    <w:p w14:paraId="70E032B2" w14:textId="77777777" w:rsidR="00F67E9E" w:rsidRPr="00064390" w:rsidRDefault="00F67E9E" w:rsidP="00F13933">
      <w:pPr>
        <w:pStyle w:val="PartiesBodyText"/>
        <w:numPr>
          <w:ilvl w:val="0"/>
          <w:numId w:val="95"/>
        </w:numPr>
        <w:tabs>
          <w:tab w:val="clear" w:pos="720"/>
          <w:tab w:val="num" w:pos="1080"/>
        </w:tabs>
        <w:rPr>
          <w:rFonts w:cs="Arial"/>
        </w:rPr>
      </w:pPr>
      <w:r w:rsidRPr="00B73DD6">
        <w:rPr>
          <w:rStyle w:val="StdBodyTextBoldChar"/>
          <w:rFonts w:cs="Arial"/>
          <w:bCs/>
          <w:highlight w:val="yellow"/>
        </w:rPr>
        <w:t>[insert</w:t>
      </w:r>
      <w:r w:rsidRPr="008758E7">
        <w:rPr>
          <w:rStyle w:val="StdBodyTextBoldChar"/>
          <w:rFonts w:cs="Arial"/>
          <w:b w:val="0"/>
          <w:bCs/>
          <w:iCs/>
          <w:highlight w:val="yellow"/>
        </w:rPr>
        <w:t xml:space="preserve"> name</w:t>
      </w:r>
      <w:r w:rsidRPr="008758E7">
        <w:rPr>
          <w:rStyle w:val="StdBodyTextBoldChar"/>
          <w:rFonts w:cs="Arial"/>
          <w:b w:val="0"/>
          <w:bCs/>
          <w:highlight w:val="yellow"/>
        </w:rPr>
        <w:t>]</w:t>
      </w:r>
      <w:r w:rsidRPr="00064390">
        <w:rPr>
          <w:rFonts w:cs="Arial"/>
        </w:rPr>
        <w:t xml:space="preserve"> of </w:t>
      </w:r>
      <w:r w:rsidRPr="00B73DD6">
        <w:rPr>
          <w:rFonts w:cs="Arial"/>
          <w:b/>
          <w:highlight w:val="yellow"/>
        </w:rPr>
        <w:t>[insert</w:t>
      </w:r>
      <w:r w:rsidRPr="00AA5727">
        <w:rPr>
          <w:rStyle w:val="StdBodyTextBoldChar"/>
          <w:rFonts w:cs="Arial"/>
          <w:b w:val="0"/>
          <w:bCs/>
          <w:iCs/>
          <w:highlight w:val="yellow"/>
        </w:rPr>
        <w:t xml:space="preserve"> address</w:t>
      </w:r>
      <w:r w:rsidRPr="00064390">
        <w:rPr>
          <w:rFonts w:cs="Arial"/>
          <w:highlight w:val="yellow"/>
        </w:rPr>
        <w:t>]</w:t>
      </w:r>
      <w:r w:rsidRPr="00064390">
        <w:rPr>
          <w:rFonts w:cs="Arial"/>
        </w:rPr>
        <w:t xml:space="preserve"> (the </w:t>
      </w:r>
      <w:r>
        <w:rPr>
          <w:rFonts w:cs="Arial"/>
        </w:rPr>
        <w:t>“</w:t>
      </w:r>
      <w:r w:rsidRPr="00064390">
        <w:rPr>
          <w:rStyle w:val="StdBodyTextBoldChar"/>
          <w:rFonts w:cs="Arial"/>
        </w:rPr>
        <w:t>Benchmarker</w:t>
      </w:r>
      <w:r>
        <w:rPr>
          <w:rFonts w:cs="Arial"/>
        </w:rPr>
        <w:t>”</w:t>
      </w:r>
      <w:r w:rsidRPr="00064390">
        <w:rPr>
          <w:rFonts w:cs="Arial"/>
        </w:rPr>
        <w:t xml:space="preserve"> and together with the Supplier, the </w:t>
      </w:r>
      <w:r>
        <w:rPr>
          <w:rFonts w:cs="Arial"/>
        </w:rPr>
        <w:t>“</w:t>
      </w:r>
      <w:r w:rsidRPr="00064390">
        <w:rPr>
          <w:rStyle w:val="StdBodyTextBoldChar"/>
          <w:rFonts w:cs="Arial"/>
        </w:rPr>
        <w:t>Parties</w:t>
      </w:r>
      <w:r>
        <w:rPr>
          <w:rFonts w:cs="Arial"/>
        </w:rPr>
        <w:t>”</w:t>
      </w:r>
      <w:r w:rsidRPr="00064390">
        <w:rPr>
          <w:rFonts w:cs="Arial"/>
        </w:rPr>
        <w:t>).</w:t>
      </w:r>
    </w:p>
    <w:p w14:paraId="6405C64E" w14:textId="77777777" w:rsidR="00F67E9E" w:rsidRPr="00064390" w:rsidRDefault="00F67E9E" w:rsidP="00F67E9E">
      <w:pPr>
        <w:pStyle w:val="StdBodyTextBold"/>
        <w:rPr>
          <w:rFonts w:cs="Arial"/>
        </w:rPr>
      </w:pPr>
      <w:r w:rsidRPr="00064390">
        <w:rPr>
          <w:rFonts w:cs="Arial"/>
        </w:rPr>
        <w:t>WHEREAS:</w:t>
      </w:r>
    </w:p>
    <w:p w14:paraId="4C95910D" w14:textId="77777777" w:rsidR="00F67E9E" w:rsidRPr="00064390" w:rsidRDefault="00F67E9E" w:rsidP="00F67E9E">
      <w:pPr>
        <w:spacing w:before="100" w:after="200"/>
        <w:ind w:left="720" w:hanging="720"/>
        <w:rPr>
          <w:rFonts w:cs="Arial"/>
        </w:rPr>
      </w:pPr>
      <w:r w:rsidRPr="008E5BE2">
        <w:rPr>
          <w:rFonts w:cs="Arial"/>
        </w:rPr>
        <w:t>(A)</w:t>
      </w:r>
      <w:r w:rsidRPr="008E5BE2">
        <w:rPr>
          <w:rFonts w:cs="Arial"/>
        </w:rPr>
        <w:tab/>
      </w:r>
      <w:r w:rsidRPr="00B73DD6">
        <w:rPr>
          <w:rFonts w:cs="Arial"/>
          <w:b/>
          <w:highlight w:val="yellow"/>
        </w:rPr>
        <w:t>[insert</w:t>
      </w:r>
      <w:r w:rsidRPr="00064390">
        <w:rPr>
          <w:rFonts w:cs="Arial"/>
          <w:highlight w:val="yellow"/>
        </w:rPr>
        <w:t xml:space="preserve"> name of Authority]</w:t>
      </w:r>
      <w:r w:rsidRPr="00064390">
        <w:rPr>
          <w:rFonts w:cs="Arial"/>
        </w:rPr>
        <w:t xml:space="preserve"> (the </w:t>
      </w:r>
      <w:r>
        <w:rPr>
          <w:rFonts w:cs="Arial"/>
        </w:rPr>
        <w:t>“</w:t>
      </w:r>
      <w:r w:rsidRPr="00064390">
        <w:rPr>
          <w:rStyle w:val="StdBodyTextBoldChar"/>
          <w:rFonts w:eastAsiaTheme="minorHAnsi" w:cs="Arial"/>
        </w:rPr>
        <w:t>Authority</w:t>
      </w:r>
      <w:r>
        <w:rPr>
          <w:rFonts w:cs="Arial"/>
        </w:rPr>
        <w:t>”</w:t>
      </w:r>
      <w:r w:rsidRPr="00064390">
        <w:rPr>
          <w:rFonts w:cs="Arial"/>
        </w:rPr>
        <w:t xml:space="preserve">) and the Supplier are party to a </w:t>
      </w:r>
      <w:r w:rsidRPr="00BA56A1">
        <w:rPr>
          <w:rFonts w:cs="Arial"/>
        </w:rPr>
        <w:t>contract dated</w:t>
      </w:r>
      <w:r w:rsidRPr="00064390">
        <w:rPr>
          <w:rFonts w:cs="Arial"/>
        </w:rPr>
        <w:t xml:space="preserve"> </w:t>
      </w:r>
      <w:r w:rsidRPr="00B73DD6">
        <w:rPr>
          <w:rFonts w:cs="Arial"/>
          <w:b/>
          <w:highlight w:val="yellow"/>
        </w:rPr>
        <w:t>[insert</w:t>
      </w:r>
      <w:r w:rsidRPr="00064390">
        <w:rPr>
          <w:rFonts w:cs="Arial"/>
          <w:highlight w:val="yellow"/>
        </w:rPr>
        <w:t xml:space="preserve"> date]</w:t>
      </w:r>
      <w:r w:rsidRPr="00064390">
        <w:rPr>
          <w:rFonts w:cs="Arial"/>
        </w:rPr>
        <w:t xml:space="preserve"> (</w:t>
      </w:r>
      <w:r w:rsidRPr="00BA56A1">
        <w:rPr>
          <w:rFonts w:cs="Arial"/>
        </w:rPr>
        <w:t xml:space="preserve">the </w:t>
      </w:r>
      <w:r>
        <w:rPr>
          <w:rFonts w:cs="Arial"/>
        </w:rPr>
        <w:t>“</w:t>
      </w:r>
      <w:r w:rsidRPr="00BA56A1">
        <w:rPr>
          <w:rStyle w:val="StdBodyTextBoldChar"/>
          <w:rFonts w:eastAsiaTheme="minorHAnsi" w:cs="Arial"/>
        </w:rPr>
        <w:t>Contract</w:t>
      </w:r>
      <w:r>
        <w:rPr>
          <w:rFonts w:cs="Arial"/>
        </w:rPr>
        <w:t>”</w:t>
      </w:r>
      <w:r w:rsidRPr="00BA56A1">
        <w:rPr>
          <w:rFonts w:cs="Arial"/>
        </w:rPr>
        <w:t>) for the</w:t>
      </w:r>
      <w:r w:rsidRPr="00064390">
        <w:rPr>
          <w:rFonts w:cs="Arial"/>
        </w:rPr>
        <w:t xml:space="preserve"> provision by the Supplier of </w:t>
      </w:r>
      <w:r w:rsidRPr="00B73DD6">
        <w:rPr>
          <w:rFonts w:cs="Arial"/>
          <w:b/>
          <w:highlight w:val="yellow"/>
        </w:rPr>
        <w:t>[insert</w:t>
      </w:r>
      <w:r w:rsidRPr="00064390">
        <w:rPr>
          <w:rFonts w:cs="Arial"/>
          <w:highlight w:val="yellow"/>
        </w:rPr>
        <w:t xml:space="preserve"> brief description of services]</w:t>
      </w:r>
      <w:r w:rsidRPr="00064390">
        <w:rPr>
          <w:rFonts w:cs="Arial"/>
        </w:rPr>
        <w:t xml:space="preserve"> to the Authority.</w:t>
      </w:r>
    </w:p>
    <w:p w14:paraId="20EA7D16" w14:textId="77777777" w:rsidR="00F67E9E" w:rsidRPr="00BA56A1" w:rsidRDefault="00F67E9E" w:rsidP="00F67E9E">
      <w:pPr>
        <w:spacing w:before="100" w:after="200"/>
        <w:ind w:left="720" w:hanging="720"/>
        <w:rPr>
          <w:rFonts w:cs="Arial"/>
        </w:rPr>
      </w:pPr>
      <w:bookmarkStart w:id="1146" w:name="Schedule17RecitalB"/>
      <w:bookmarkStart w:id="1147" w:name="_Ref41994841"/>
      <w:r>
        <w:rPr>
          <w:rFonts w:cs="Arial"/>
        </w:rPr>
        <w:t>(B)</w:t>
      </w:r>
      <w:bookmarkEnd w:id="1146"/>
      <w:r>
        <w:rPr>
          <w:rFonts w:cs="Arial"/>
        </w:rPr>
        <w:tab/>
      </w:r>
      <w:r w:rsidRPr="00BA56A1">
        <w:rPr>
          <w:rFonts w:cs="Arial"/>
        </w:rPr>
        <w:t xml:space="preserve">The Benchmarker is to receive Confidential Information from the Supplier for the purpose of carrying out a benchmarking review for the Authority of one or more of such services pursuant to the terms of the Contract (the </w:t>
      </w:r>
      <w:r>
        <w:rPr>
          <w:rFonts w:cs="Arial"/>
        </w:rPr>
        <w:t>“</w:t>
      </w:r>
      <w:r w:rsidRPr="00BA56A1">
        <w:rPr>
          <w:rStyle w:val="StdBodyTextBoldChar"/>
          <w:rFonts w:eastAsiaTheme="minorHAnsi" w:cs="Arial"/>
        </w:rPr>
        <w:t>Permitted</w:t>
      </w:r>
      <w:r w:rsidRPr="00BA56A1">
        <w:rPr>
          <w:rFonts w:cs="Arial"/>
        </w:rPr>
        <w:t xml:space="preserve"> </w:t>
      </w:r>
      <w:r w:rsidRPr="00BA56A1">
        <w:rPr>
          <w:rStyle w:val="StdBodyTextBoldChar"/>
          <w:rFonts w:eastAsiaTheme="minorHAnsi" w:cs="Arial"/>
        </w:rPr>
        <w:t>Purpose</w:t>
      </w:r>
      <w:r>
        <w:rPr>
          <w:rFonts w:cs="Arial"/>
        </w:rPr>
        <w:t>”</w:t>
      </w:r>
      <w:r w:rsidRPr="00BA56A1">
        <w:rPr>
          <w:rFonts w:cs="Arial"/>
        </w:rPr>
        <w:t>).</w:t>
      </w:r>
      <w:bookmarkEnd w:id="1147"/>
    </w:p>
    <w:p w14:paraId="5ECD74E8" w14:textId="77777777" w:rsidR="00F67E9E" w:rsidRPr="00BA56A1" w:rsidRDefault="00F67E9E" w:rsidP="00F67E9E">
      <w:pPr>
        <w:pStyle w:val="StdBodyTextBold"/>
        <w:rPr>
          <w:rFonts w:cs="Arial"/>
        </w:rPr>
      </w:pPr>
      <w:r w:rsidRPr="00BA56A1">
        <w:rPr>
          <w:rFonts w:cs="Arial"/>
        </w:rPr>
        <w:t>IT IS AGREED as follows:</w:t>
      </w:r>
    </w:p>
    <w:p w14:paraId="0B0ABFCD" w14:textId="77777777" w:rsidR="00F67E9E" w:rsidRPr="00BA56A1" w:rsidRDefault="00F67E9E" w:rsidP="00F13933">
      <w:pPr>
        <w:pStyle w:val="AppendixText1"/>
        <w:numPr>
          <w:ilvl w:val="0"/>
          <w:numId w:val="42"/>
        </w:numPr>
      </w:pPr>
      <w:bookmarkStart w:id="1148" w:name="_9kR3WTrAG978FPCwozOQXYSA21DE4745EAG"/>
      <w:r w:rsidRPr="00BA56A1">
        <w:t>Interpretation</w:t>
      </w:r>
      <w:bookmarkEnd w:id="1148"/>
    </w:p>
    <w:p w14:paraId="366CD4F2" w14:textId="77777777" w:rsidR="00F67E9E" w:rsidRPr="00BA56A1" w:rsidRDefault="00F67E9E" w:rsidP="00F67E9E">
      <w:pPr>
        <w:pStyle w:val="AppendixText2"/>
      </w:pPr>
      <w:r w:rsidRPr="00BA56A1">
        <w:t xml:space="preserve">In this </w:t>
      </w:r>
      <w:r w:rsidRPr="00980373">
        <w:t>Agreement</w:t>
      </w:r>
      <w:r w:rsidRPr="00BA56A1">
        <w:t xml:space="preserve">, unless the context otherwise requires: </w:t>
      </w:r>
    </w:p>
    <w:tbl>
      <w:tblPr>
        <w:tblStyle w:val="MSAdefinitions"/>
        <w:tblW w:w="9638" w:type="dxa"/>
        <w:tblLook w:val="04A0" w:firstRow="1" w:lastRow="0" w:firstColumn="1" w:lastColumn="0" w:noHBand="0" w:noVBand="1"/>
      </w:tblPr>
      <w:tblGrid>
        <w:gridCol w:w="2835"/>
        <w:gridCol w:w="6803"/>
      </w:tblGrid>
      <w:tr w:rsidR="00F67E9E" w:rsidRPr="00BA56A1" w14:paraId="2BFF57A7" w14:textId="77777777" w:rsidTr="0052486C">
        <w:tc>
          <w:tcPr>
            <w:tcW w:w="2835" w:type="dxa"/>
          </w:tcPr>
          <w:p w14:paraId="0832079B" w14:textId="77777777" w:rsidR="00F67E9E" w:rsidRPr="00BA56A1" w:rsidRDefault="00F67E9E" w:rsidP="0052486C">
            <w:pPr>
              <w:pStyle w:val="StdBodyTextBold"/>
              <w:rPr>
                <w:rFonts w:cs="Arial"/>
              </w:rPr>
            </w:pPr>
            <w:r>
              <w:rPr>
                <w:rFonts w:cs="Arial"/>
              </w:rPr>
              <w:t>“</w:t>
            </w:r>
            <w:r w:rsidRPr="00BA56A1">
              <w:rPr>
                <w:rFonts w:cs="Arial"/>
              </w:rPr>
              <w:t>Confidential Information</w:t>
            </w:r>
            <w:r>
              <w:rPr>
                <w:rFonts w:cs="Arial"/>
              </w:rPr>
              <w:t>”</w:t>
            </w:r>
          </w:p>
        </w:tc>
        <w:tc>
          <w:tcPr>
            <w:tcW w:w="6803" w:type="dxa"/>
          </w:tcPr>
          <w:p w14:paraId="025A87ED" w14:textId="77777777" w:rsidR="00F67E9E" w:rsidRPr="00BA56A1" w:rsidRDefault="00F67E9E" w:rsidP="0052486C">
            <w:pPr>
              <w:pStyle w:val="StdBodyText"/>
              <w:rPr>
                <w:rFonts w:cs="Arial"/>
              </w:rPr>
            </w:pPr>
            <w:r w:rsidRPr="00BA56A1">
              <w:rPr>
                <w:rFonts w:cs="Arial"/>
              </w:rPr>
              <w:t>means:</w:t>
            </w:r>
          </w:p>
          <w:p w14:paraId="661D2E91" w14:textId="77777777" w:rsidR="00F67E9E" w:rsidRPr="00E5161E" w:rsidRDefault="00F67E9E" w:rsidP="00F13933">
            <w:pPr>
              <w:pStyle w:val="DefinitionList"/>
              <w:numPr>
                <w:ilvl w:val="0"/>
                <w:numId w:val="96"/>
              </w:numPr>
              <w:rPr>
                <w:rFonts w:cs="Arial"/>
              </w:rPr>
            </w:pPr>
            <w:r w:rsidRPr="00E5161E">
              <w:rPr>
                <w:rFonts w:cs="Arial"/>
              </w:rPr>
              <w:t>Information, including all personal data within the meaning of the Data Protection Act 2018, and however it is conveyed, provided by the Supplier to the Benchmarker pursuant to this Agreement that relates to:</w:t>
            </w:r>
          </w:p>
          <w:p w14:paraId="0890559C" w14:textId="77777777" w:rsidR="00F67E9E" w:rsidRPr="00BA56A1" w:rsidRDefault="00F67E9E" w:rsidP="00F13933">
            <w:pPr>
              <w:pStyle w:val="DefinitionListLevel1"/>
              <w:numPr>
                <w:ilvl w:val="1"/>
                <w:numId w:val="78"/>
              </w:numPr>
              <w:ind w:left="1080"/>
              <w:rPr>
                <w:rFonts w:cs="Arial"/>
              </w:rPr>
            </w:pPr>
            <w:r w:rsidRPr="00BA56A1">
              <w:rPr>
                <w:rFonts w:cs="Arial"/>
              </w:rPr>
              <w:t>the Supplier; or</w:t>
            </w:r>
          </w:p>
          <w:p w14:paraId="2430FF7D" w14:textId="77777777" w:rsidR="00F67E9E" w:rsidRPr="00BA56A1" w:rsidRDefault="00F67E9E" w:rsidP="00F13933">
            <w:pPr>
              <w:pStyle w:val="DefinitionListLevel1"/>
              <w:numPr>
                <w:ilvl w:val="1"/>
                <w:numId w:val="78"/>
              </w:numPr>
              <w:ind w:left="1080"/>
              <w:rPr>
                <w:rFonts w:cs="Arial"/>
              </w:rPr>
            </w:pPr>
            <w:r w:rsidRPr="00BA56A1">
              <w:rPr>
                <w:rFonts w:cs="Arial"/>
              </w:rPr>
              <w:t>the operations, business, affairs, developments, intellectual property rights, trade secrets, know-how and/or personnel of the Supplier;</w:t>
            </w:r>
          </w:p>
          <w:p w14:paraId="06C632A2" w14:textId="77777777" w:rsidR="00F67E9E" w:rsidRPr="00BA56A1" w:rsidRDefault="00F67E9E" w:rsidP="00F13933">
            <w:pPr>
              <w:pStyle w:val="DefinitionList"/>
              <w:numPr>
                <w:ilvl w:val="0"/>
                <w:numId w:val="96"/>
              </w:numPr>
              <w:rPr>
                <w:rFonts w:cs="Arial"/>
              </w:rPr>
            </w:pPr>
            <w:r w:rsidRPr="00BA56A1">
              <w:rPr>
                <w:rFonts w:cs="Arial"/>
              </w:rPr>
              <w:t>other Information provided by the Supplier pursuant to this Agreement to the Benchmarker that is clearly designated as being confidential or equivalent or that ought reasonably to be considered to be confidential which comes (or has come) to the Benchmarker</w:t>
            </w:r>
            <w:r>
              <w:rPr>
                <w:rFonts w:cs="Arial"/>
              </w:rPr>
              <w:t>’</w:t>
            </w:r>
            <w:r w:rsidRPr="00BA56A1">
              <w:rPr>
                <w:rFonts w:cs="Arial"/>
              </w:rPr>
              <w:t>s attention or into the Benchmarker</w:t>
            </w:r>
            <w:r>
              <w:rPr>
                <w:rFonts w:cs="Arial"/>
              </w:rPr>
              <w:t>’</w:t>
            </w:r>
            <w:r w:rsidRPr="00BA56A1">
              <w:rPr>
                <w:rFonts w:cs="Arial"/>
              </w:rPr>
              <w:t xml:space="preserve">s possession in connection with the Permitted Purpose; </w:t>
            </w:r>
          </w:p>
          <w:p w14:paraId="7C912A9E" w14:textId="77777777" w:rsidR="00F67E9E" w:rsidRPr="00BA56A1" w:rsidRDefault="00F67E9E" w:rsidP="00F13933">
            <w:pPr>
              <w:pStyle w:val="DefinitionList"/>
              <w:numPr>
                <w:ilvl w:val="0"/>
                <w:numId w:val="96"/>
              </w:numPr>
              <w:rPr>
                <w:rFonts w:cs="Arial"/>
              </w:rPr>
            </w:pPr>
            <w:r w:rsidRPr="00BA56A1">
              <w:rPr>
                <w:rFonts w:cs="Arial"/>
              </w:rPr>
              <w:t xml:space="preserve">discussions, negotiations, and correspondence between the Supplier or any of its directors, officers, employees, consultants or professional advisers and the </w:t>
            </w:r>
            <w:r w:rsidRPr="00BA56A1">
              <w:rPr>
                <w:rFonts w:cs="Arial"/>
              </w:rPr>
              <w:lastRenderedPageBreak/>
              <w:t>Benchmarker or any of its directors, officers, employees, consultants and professional advisers in connection with the Permitted Purpose and all matters arising therefrom; and</w:t>
            </w:r>
          </w:p>
          <w:p w14:paraId="681CF152" w14:textId="77777777" w:rsidR="00F67E9E" w:rsidRPr="00BA56A1" w:rsidRDefault="00F67E9E" w:rsidP="00F13933">
            <w:pPr>
              <w:pStyle w:val="DefinitionList"/>
              <w:numPr>
                <w:ilvl w:val="0"/>
                <w:numId w:val="96"/>
              </w:numPr>
              <w:rPr>
                <w:rFonts w:cs="Arial"/>
              </w:rPr>
            </w:pPr>
            <w:r w:rsidRPr="00BA56A1">
              <w:rPr>
                <w:rFonts w:cs="Arial"/>
              </w:rPr>
              <w:t>Information derived from any of the above,</w:t>
            </w:r>
          </w:p>
          <w:p w14:paraId="3962D5CB" w14:textId="77777777" w:rsidR="00F67E9E" w:rsidRPr="00BA56A1" w:rsidRDefault="00F67E9E" w:rsidP="0052486C">
            <w:pPr>
              <w:pStyle w:val="StdBodyText"/>
              <w:rPr>
                <w:rFonts w:cs="Arial"/>
              </w:rPr>
            </w:pPr>
            <w:r w:rsidRPr="00BA56A1">
              <w:rPr>
                <w:rFonts w:cs="Arial"/>
              </w:rPr>
              <w:t>but not including any Information that:</w:t>
            </w:r>
          </w:p>
          <w:p w14:paraId="1FB0A204" w14:textId="77777777" w:rsidR="00F67E9E" w:rsidRPr="00BA56A1" w:rsidRDefault="00F67E9E" w:rsidP="00F13933">
            <w:pPr>
              <w:pStyle w:val="DefinitionList"/>
              <w:numPr>
                <w:ilvl w:val="0"/>
                <w:numId w:val="96"/>
              </w:numPr>
              <w:rPr>
                <w:rFonts w:cs="Arial"/>
              </w:rPr>
            </w:pPr>
            <w:r w:rsidRPr="00BA56A1">
              <w:rPr>
                <w:rFonts w:cs="Arial"/>
              </w:rPr>
              <w:t xml:space="preserve">was in the possession of the Benchmarker without obligation of confidentiality prior to its disclosure by the Supplier; </w:t>
            </w:r>
          </w:p>
          <w:p w14:paraId="5644420D" w14:textId="77777777" w:rsidR="00F67E9E" w:rsidRPr="00BA56A1" w:rsidRDefault="00F67E9E" w:rsidP="00F13933">
            <w:pPr>
              <w:pStyle w:val="DefinitionList"/>
              <w:numPr>
                <w:ilvl w:val="0"/>
                <w:numId w:val="96"/>
              </w:numPr>
              <w:rPr>
                <w:rFonts w:cs="Arial"/>
              </w:rPr>
            </w:pPr>
            <w:r w:rsidRPr="00BA56A1">
              <w:rPr>
                <w:rFonts w:cs="Arial"/>
              </w:rPr>
              <w:t>the Benchmarker obtained on a non-confidential basis from a third party who is not, to the Benchmarker</w:t>
            </w:r>
            <w:r>
              <w:rPr>
                <w:rFonts w:cs="Arial"/>
              </w:rPr>
              <w:t>’</w:t>
            </w:r>
            <w:r w:rsidRPr="00BA56A1">
              <w:rPr>
                <w:rFonts w:cs="Arial"/>
              </w:rPr>
              <w:t>s knowledge or belief, bound by a confidentiality agreement with the Supplier or otherwise prohibited from disclosing the information to the Benchmarker;</w:t>
            </w:r>
          </w:p>
          <w:p w14:paraId="13A6DB52" w14:textId="77777777" w:rsidR="00F67E9E" w:rsidRPr="00BA56A1" w:rsidRDefault="00F67E9E" w:rsidP="00F13933">
            <w:pPr>
              <w:pStyle w:val="DefinitionList"/>
              <w:numPr>
                <w:ilvl w:val="0"/>
                <w:numId w:val="96"/>
              </w:numPr>
              <w:rPr>
                <w:rFonts w:cs="Arial"/>
              </w:rPr>
            </w:pPr>
            <w:r w:rsidRPr="00BA56A1">
              <w:rPr>
                <w:rFonts w:cs="Arial"/>
              </w:rPr>
              <w:t>was already generally available and in the public domain at the time of disclosure otherwise than by a breach of this Agreement or breach of a duty of confidentiality; or</w:t>
            </w:r>
          </w:p>
          <w:p w14:paraId="0338902A" w14:textId="77777777" w:rsidR="00F67E9E" w:rsidRPr="00BA56A1" w:rsidRDefault="00F67E9E" w:rsidP="00F13933">
            <w:pPr>
              <w:pStyle w:val="DefinitionList"/>
              <w:numPr>
                <w:ilvl w:val="0"/>
                <w:numId w:val="96"/>
              </w:numPr>
              <w:rPr>
                <w:rFonts w:cs="Arial"/>
              </w:rPr>
            </w:pPr>
            <w:r w:rsidRPr="00BA56A1">
              <w:rPr>
                <w:rFonts w:cs="Arial"/>
              </w:rPr>
              <w:t>was independently developed without access to the Confidential Information;</w:t>
            </w:r>
          </w:p>
        </w:tc>
      </w:tr>
      <w:tr w:rsidR="00F67E9E" w:rsidRPr="00BA56A1" w14:paraId="688C65C5" w14:textId="77777777" w:rsidTr="0052486C">
        <w:tc>
          <w:tcPr>
            <w:tcW w:w="2835" w:type="dxa"/>
          </w:tcPr>
          <w:p w14:paraId="7DD26494" w14:textId="77777777" w:rsidR="00F67E9E" w:rsidRPr="00BA56A1" w:rsidRDefault="00F67E9E" w:rsidP="0052486C">
            <w:pPr>
              <w:pStyle w:val="StdBodyTextBold"/>
              <w:rPr>
                <w:rFonts w:cs="Arial"/>
              </w:rPr>
            </w:pPr>
            <w:r>
              <w:rPr>
                <w:rFonts w:cs="Arial"/>
              </w:rPr>
              <w:lastRenderedPageBreak/>
              <w:t>“</w:t>
            </w:r>
            <w:r w:rsidRPr="00BA56A1">
              <w:rPr>
                <w:rFonts w:cs="Arial"/>
              </w:rPr>
              <w:t>Information</w:t>
            </w:r>
            <w:r>
              <w:rPr>
                <w:rFonts w:cs="Arial"/>
              </w:rPr>
              <w:t>”</w:t>
            </w:r>
          </w:p>
        </w:tc>
        <w:tc>
          <w:tcPr>
            <w:tcW w:w="6803" w:type="dxa"/>
          </w:tcPr>
          <w:p w14:paraId="0B697A7B" w14:textId="77777777" w:rsidR="00F67E9E" w:rsidRPr="00BA56A1" w:rsidRDefault="00F67E9E" w:rsidP="0052486C">
            <w:pPr>
              <w:pStyle w:val="StdBodyText"/>
              <w:rPr>
                <w:rFonts w:cs="Arial"/>
              </w:rPr>
            </w:pPr>
            <w:r w:rsidRPr="00BA56A1">
              <w:rPr>
                <w:rFonts w:cs="Arial"/>
              </w:rPr>
              <w:t>means all information of whatever nature, however conveyed and in whatever form, including in writing, orally, by demonstration, electronically and in a tangible, visual or machine-readable medium (including CD-ROM, magnetic and digital form); and</w:t>
            </w:r>
          </w:p>
        </w:tc>
      </w:tr>
      <w:tr w:rsidR="00F67E9E" w:rsidRPr="00BA56A1" w14:paraId="4C3A618B" w14:textId="77777777" w:rsidTr="0052486C">
        <w:tc>
          <w:tcPr>
            <w:tcW w:w="2835" w:type="dxa"/>
          </w:tcPr>
          <w:p w14:paraId="6D293365" w14:textId="77777777" w:rsidR="00F67E9E" w:rsidRPr="00BA56A1" w:rsidRDefault="00F67E9E" w:rsidP="0052486C">
            <w:pPr>
              <w:pStyle w:val="StdBodyTextBold"/>
              <w:rPr>
                <w:rFonts w:cs="Arial"/>
              </w:rPr>
            </w:pPr>
            <w:r>
              <w:rPr>
                <w:rFonts w:cs="Arial"/>
              </w:rPr>
              <w:t>“</w:t>
            </w:r>
            <w:r w:rsidRPr="00BA56A1">
              <w:rPr>
                <w:rFonts w:cs="Arial"/>
              </w:rPr>
              <w:t>Permitted Purpose</w:t>
            </w:r>
            <w:r>
              <w:rPr>
                <w:rFonts w:cs="Arial"/>
              </w:rPr>
              <w:t>”</w:t>
            </w:r>
          </w:p>
        </w:tc>
        <w:tc>
          <w:tcPr>
            <w:tcW w:w="6803" w:type="dxa"/>
          </w:tcPr>
          <w:p w14:paraId="60A59B0E" w14:textId="42049E2A" w:rsidR="00F67E9E" w:rsidRPr="00BA56A1" w:rsidRDefault="00F67E9E" w:rsidP="0052486C">
            <w:pPr>
              <w:pStyle w:val="StdBodyText"/>
              <w:rPr>
                <w:rFonts w:cs="Arial"/>
              </w:rPr>
            </w:pPr>
            <w:r w:rsidRPr="00BA56A1">
              <w:rPr>
                <w:rFonts w:cs="Arial"/>
              </w:rPr>
              <w:t>has the meaning given to that expression in recital</w:t>
            </w:r>
            <w:r>
              <w:rPr>
                <w:rFonts w:cs="Arial"/>
              </w:rPr>
              <w:t> </w:t>
            </w:r>
            <w:r>
              <w:rPr>
                <w:rFonts w:cs="Arial"/>
              </w:rPr>
              <w:fldChar w:fldCharType="begin"/>
            </w:r>
            <w:r>
              <w:rPr>
                <w:rFonts w:cs="Arial"/>
              </w:rPr>
              <w:instrText xml:space="preserve"> REF Schedule17RecitalB \h </w:instrText>
            </w:r>
            <w:r>
              <w:rPr>
                <w:rFonts w:cs="Arial"/>
              </w:rPr>
            </w:r>
            <w:r>
              <w:rPr>
                <w:rFonts w:cs="Arial"/>
              </w:rPr>
              <w:fldChar w:fldCharType="separate"/>
            </w:r>
            <w:r w:rsidR="007A1473">
              <w:rPr>
                <w:rFonts w:cs="Arial"/>
              </w:rPr>
              <w:t>(B)</w:t>
            </w:r>
            <w:r>
              <w:rPr>
                <w:rFonts w:cs="Arial"/>
              </w:rPr>
              <w:fldChar w:fldCharType="end"/>
            </w:r>
            <w:r w:rsidRPr="00BA56A1">
              <w:rPr>
                <w:rFonts w:cs="Arial"/>
              </w:rPr>
              <w:t xml:space="preserve"> to this Agreement.</w:t>
            </w:r>
          </w:p>
        </w:tc>
      </w:tr>
    </w:tbl>
    <w:p w14:paraId="76BCFC31" w14:textId="77777777" w:rsidR="00F67E9E" w:rsidRPr="00BA56A1" w:rsidRDefault="00F67E9E" w:rsidP="00F67E9E">
      <w:pPr>
        <w:pStyle w:val="AppendixText2"/>
      </w:pPr>
      <w:r w:rsidRPr="00BA56A1">
        <w:t xml:space="preserve">In this </w:t>
      </w:r>
      <w:r w:rsidRPr="00980373">
        <w:t>Agreement</w:t>
      </w:r>
      <w:r w:rsidRPr="00BA56A1">
        <w:t>:</w:t>
      </w:r>
    </w:p>
    <w:p w14:paraId="4B23D6D1" w14:textId="77777777" w:rsidR="00F67E9E" w:rsidRPr="00980373" w:rsidRDefault="00F67E9E" w:rsidP="00F67E9E">
      <w:pPr>
        <w:pStyle w:val="AppendixText3"/>
      </w:pPr>
      <w:r w:rsidRPr="00BA56A1">
        <w:t xml:space="preserve">a reference to </w:t>
      </w:r>
      <w:r w:rsidRPr="00980373">
        <w:t>any gender includes a reference to other genders;</w:t>
      </w:r>
    </w:p>
    <w:p w14:paraId="38F4E2DF" w14:textId="77777777" w:rsidR="00F67E9E" w:rsidRPr="00980373" w:rsidRDefault="00F67E9E" w:rsidP="00F67E9E">
      <w:pPr>
        <w:pStyle w:val="AppendixText3"/>
      </w:pPr>
      <w:r w:rsidRPr="00980373">
        <w:t>the singular includes the plural and vice versa;</w:t>
      </w:r>
    </w:p>
    <w:p w14:paraId="25B061C6" w14:textId="77777777" w:rsidR="00F67E9E" w:rsidRPr="00980373" w:rsidRDefault="00F67E9E" w:rsidP="00F67E9E">
      <w:pPr>
        <w:pStyle w:val="AppendixText3"/>
      </w:pPr>
      <w:r w:rsidRPr="00980373">
        <w:t>the words “include” and cognate expressions shall be construed as if they were immediately followed by the words “without limitation”;</w:t>
      </w:r>
    </w:p>
    <w:p w14:paraId="7AA3BDD2" w14:textId="77777777" w:rsidR="00F67E9E" w:rsidRPr="00980373" w:rsidRDefault="00F67E9E" w:rsidP="00F67E9E">
      <w:pPr>
        <w:pStyle w:val="AppendixText3"/>
      </w:pPr>
      <w:r w:rsidRPr="00980373">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76B619C5" w14:textId="77777777" w:rsidR="00F67E9E" w:rsidRPr="00980373" w:rsidRDefault="00F67E9E" w:rsidP="00F67E9E">
      <w:pPr>
        <w:pStyle w:val="AppendixText3"/>
      </w:pPr>
      <w:r w:rsidRPr="00980373">
        <w:t>headings are included for ease of reference only and shall not affect the interpretation or construction of this Agreement; and</w:t>
      </w:r>
    </w:p>
    <w:p w14:paraId="43079DC4" w14:textId="77777777" w:rsidR="00F67E9E" w:rsidRPr="00BA56A1" w:rsidRDefault="00F67E9E" w:rsidP="00F67E9E">
      <w:pPr>
        <w:pStyle w:val="AppendixText3"/>
      </w:pPr>
      <w:r w:rsidRPr="00980373">
        <w:lastRenderedPageBreak/>
        <w:t>references to</w:t>
      </w:r>
      <w:r w:rsidRPr="00BA56A1">
        <w:t xml:space="preserve"> Clauses are to clauses of this Agreement.</w:t>
      </w:r>
    </w:p>
    <w:p w14:paraId="163C4425" w14:textId="77777777" w:rsidR="00F67E9E" w:rsidRPr="00BA56A1" w:rsidRDefault="00F67E9E" w:rsidP="00F67E9E">
      <w:pPr>
        <w:pStyle w:val="AppendixText1"/>
      </w:pPr>
      <w:r w:rsidRPr="00980373">
        <w:t>Confidentiality</w:t>
      </w:r>
      <w:r w:rsidRPr="00BA56A1">
        <w:t xml:space="preserve"> Obligations</w:t>
      </w:r>
    </w:p>
    <w:p w14:paraId="210EEE0D" w14:textId="77777777" w:rsidR="00F67E9E" w:rsidRPr="00BA56A1" w:rsidRDefault="00F67E9E" w:rsidP="00F67E9E">
      <w:pPr>
        <w:pStyle w:val="AppendixText2"/>
      </w:pPr>
      <w:r w:rsidRPr="00BA56A1">
        <w:t xml:space="preserve">In </w:t>
      </w:r>
      <w:r w:rsidRPr="00980373">
        <w:t>consideration</w:t>
      </w:r>
      <w:r w:rsidRPr="00BA56A1">
        <w:t xml:space="preserve"> of the Supplier providing Confidential Information to the Benchmarker, the Benchmarker shall:</w:t>
      </w:r>
    </w:p>
    <w:p w14:paraId="54CF1B73" w14:textId="77777777" w:rsidR="00F67E9E" w:rsidRPr="00BA56A1" w:rsidRDefault="00F67E9E" w:rsidP="00F67E9E">
      <w:pPr>
        <w:pStyle w:val="AppendixText3"/>
        <w:tabs>
          <w:tab w:val="clear" w:pos="1800"/>
          <w:tab w:val="num" w:pos="2160"/>
        </w:tabs>
      </w:pPr>
      <w:r w:rsidRPr="00BA56A1">
        <w:t>treat all Confidential Information as secret and confidential;</w:t>
      </w:r>
    </w:p>
    <w:p w14:paraId="285CE37F" w14:textId="77777777" w:rsidR="00F67E9E" w:rsidRPr="00BA56A1" w:rsidRDefault="00F67E9E" w:rsidP="00F67E9E">
      <w:pPr>
        <w:pStyle w:val="AppendixText3"/>
        <w:tabs>
          <w:tab w:val="clear" w:pos="1800"/>
          <w:tab w:val="num" w:pos="2160"/>
        </w:tabs>
      </w:pPr>
      <w:r w:rsidRPr="00BA56A1">
        <w:t xml:space="preserve">have in place and maintain proper security measures and procedures to protect the confidentiality of the Confidential Information (having regard to its form and nature); </w:t>
      </w:r>
    </w:p>
    <w:p w14:paraId="0E903503" w14:textId="77777777" w:rsidR="00F67E9E" w:rsidRPr="00BA56A1" w:rsidRDefault="00F67E9E" w:rsidP="00F67E9E">
      <w:pPr>
        <w:pStyle w:val="AppendixText3"/>
        <w:tabs>
          <w:tab w:val="clear" w:pos="1800"/>
          <w:tab w:val="num" w:pos="2160"/>
        </w:tabs>
      </w:pPr>
      <w:r w:rsidRPr="00BA56A1">
        <w:t xml:space="preserve">not disclose or permit the disclosure of any of the Confidential Information to any other person without obtaining the prior written consent of the Supplier or, if relevant, other owner or except as expressly set out in this Agreement; </w:t>
      </w:r>
    </w:p>
    <w:p w14:paraId="4D4E7E91" w14:textId="77777777" w:rsidR="00F67E9E" w:rsidRPr="00BA56A1" w:rsidRDefault="00F67E9E" w:rsidP="00F67E9E">
      <w:pPr>
        <w:pStyle w:val="AppendixText3"/>
        <w:tabs>
          <w:tab w:val="clear" w:pos="1800"/>
          <w:tab w:val="num" w:pos="2160"/>
        </w:tabs>
      </w:pPr>
      <w:r w:rsidRPr="00BA56A1">
        <w:t>not transfer any of the Confidential Information outside the United Kingdom;</w:t>
      </w:r>
    </w:p>
    <w:p w14:paraId="575A6FA5" w14:textId="77777777" w:rsidR="00F67E9E" w:rsidRPr="00BA56A1" w:rsidRDefault="00F67E9E" w:rsidP="00F67E9E">
      <w:pPr>
        <w:pStyle w:val="AppendixText3"/>
        <w:tabs>
          <w:tab w:val="clear" w:pos="1800"/>
          <w:tab w:val="num" w:pos="2160"/>
        </w:tabs>
      </w:pPr>
      <w:r w:rsidRPr="00BA56A1">
        <w:t xml:space="preserve">not use or exploit any of the Confidential Information for any purpose whatsoever other than the Permitted Purpose; </w:t>
      </w:r>
    </w:p>
    <w:p w14:paraId="4379E728" w14:textId="77777777" w:rsidR="00F67E9E" w:rsidRPr="00BA56A1" w:rsidRDefault="00F67E9E" w:rsidP="00F67E9E">
      <w:pPr>
        <w:pStyle w:val="AppendixText3"/>
        <w:tabs>
          <w:tab w:val="clear" w:pos="1800"/>
          <w:tab w:val="num" w:pos="2160"/>
        </w:tabs>
      </w:pPr>
      <w:r w:rsidRPr="00BA56A1">
        <w:t>immediately notify the Supplier in writing if it suspects or becomes aware of any unauthorised access, copying, use or disclosure in any form of any of the Confidential Information; and</w:t>
      </w:r>
    </w:p>
    <w:p w14:paraId="36A5B7AF" w14:textId="77777777" w:rsidR="00F67E9E" w:rsidRPr="00BA56A1" w:rsidRDefault="00F67E9E" w:rsidP="00F67E9E">
      <w:pPr>
        <w:pStyle w:val="AppendixText3"/>
        <w:tabs>
          <w:tab w:val="clear" w:pos="1800"/>
          <w:tab w:val="num" w:pos="2160"/>
        </w:tabs>
      </w:pPr>
      <w:r w:rsidRPr="00BA56A1">
        <w:t>once the Permitted Purpose has been fulfilled:</w:t>
      </w:r>
    </w:p>
    <w:p w14:paraId="0E84795D" w14:textId="77777777" w:rsidR="00F67E9E" w:rsidRPr="00BA56A1" w:rsidRDefault="00F67E9E" w:rsidP="00F67E9E">
      <w:pPr>
        <w:pStyle w:val="Numbered111a"/>
        <w:tabs>
          <w:tab w:val="clear" w:pos="2520"/>
          <w:tab w:val="num" w:pos="2880"/>
        </w:tabs>
      </w:pPr>
      <w:r w:rsidRPr="00BA56A1">
        <w:t>destroy or return to the Supplier all documents and other tangible materials that contain any of the Confidential Information;</w:t>
      </w:r>
    </w:p>
    <w:p w14:paraId="0B308E86" w14:textId="77777777" w:rsidR="00F67E9E" w:rsidRPr="00BA56A1" w:rsidRDefault="00F67E9E" w:rsidP="00F67E9E">
      <w:pPr>
        <w:pStyle w:val="Numbered111a"/>
        <w:tabs>
          <w:tab w:val="clear" w:pos="2520"/>
          <w:tab w:val="num" w:pos="2880"/>
        </w:tabs>
      </w:pPr>
      <w:r w:rsidRPr="00BA56A1">
        <w:t>ensure, so far as reasonably practicable, that all Confidential Information held in electronic, digital or other machine-readable form ceases to be readily accessible (other than by the information technology staff of the Benchmarker) from any computer, word processor, voicemail system or any other device; and</w:t>
      </w:r>
    </w:p>
    <w:p w14:paraId="60D864D3" w14:textId="77777777" w:rsidR="00F67E9E" w:rsidRPr="00BA56A1" w:rsidRDefault="00F67E9E" w:rsidP="00F67E9E">
      <w:pPr>
        <w:pStyle w:val="Numbered111a"/>
        <w:tabs>
          <w:tab w:val="clear" w:pos="2520"/>
          <w:tab w:val="num" w:pos="2880"/>
        </w:tabs>
      </w:pPr>
      <w:r w:rsidRPr="00BA56A1">
        <w:t xml:space="preserve">make no further use of any Confidential Information. </w:t>
      </w:r>
    </w:p>
    <w:p w14:paraId="68A0CAB1" w14:textId="77777777" w:rsidR="00F67E9E" w:rsidRPr="00BA56A1" w:rsidRDefault="00F67E9E" w:rsidP="00F67E9E">
      <w:pPr>
        <w:pStyle w:val="AppendixText1"/>
      </w:pPr>
      <w:r w:rsidRPr="00BA56A1">
        <w:t xml:space="preserve">Permitted </w:t>
      </w:r>
      <w:r w:rsidRPr="00980373">
        <w:t>Disclosures</w:t>
      </w:r>
    </w:p>
    <w:p w14:paraId="7B8CD28C" w14:textId="77777777" w:rsidR="00F67E9E" w:rsidRPr="00BA56A1" w:rsidRDefault="00F67E9E" w:rsidP="00F67E9E">
      <w:pPr>
        <w:pStyle w:val="AppendixText2"/>
      </w:pPr>
      <w:r w:rsidRPr="00BA56A1">
        <w:t xml:space="preserve">The Benchmarker may disclose Confidential Information to those of its directors, officers, </w:t>
      </w:r>
      <w:r w:rsidRPr="00980373">
        <w:t>employees</w:t>
      </w:r>
      <w:r w:rsidRPr="00BA56A1">
        <w:t>, consultants and professional advisers who:</w:t>
      </w:r>
    </w:p>
    <w:p w14:paraId="6476346D" w14:textId="77777777" w:rsidR="00F67E9E" w:rsidRPr="00980373" w:rsidRDefault="00F67E9E" w:rsidP="00F67E9E">
      <w:pPr>
        <w:pStyle w:val="AppendixText3"/>
      </w:pPr>
      <w:r w:rsidRPr="00BA56A1">
        <w:t xml:space="preserve">reasonably need to receive the Confidential Information in connection with the </w:t>
      </w:r>
      <w:r w:rsidRPr="00980373">
        <w:t>Permitted Purpose; and</w:t>
      </w:r>
    </w:p>
    <w:p w14:paraId="25C62546" w14:textId="77777777" w:rsidR="00F67E9E" w:rsidRPr="00980373" w:rsidRDefault="00F67E9E" w:rsidP="00F67E9E">
      <w:pPr>
        <w:pStyle w:val="AppendixText3"/>
      </w:pPr>
      <w:r w:rsidRPr="00980373">
        <w:t>have been informed by the Benchmarker of the confidential nature of the Confidential Information; and</w:t>
      </w:r>
    </w:p>
    <w:p w14:paraId="3D90A295" w14:textId="77777777" w:rsidR="00F67E9E" w:rsidRPr="00BA56A1" w:rsidRDefault="00F67E9E" w:rsidP="00F67E9E">
      <w:pPr>
        <w:pStyle w:val="AppendixText3"/>
      </w:pPr>
      <w:r w:rsidRPr="00980373">
        <w:t>have agreed</w:t>
      </w:r>
      <w:r w:rsidRPr="00BA56A1">
        <w:t xml:space="preserve"> to terms similar to those in this Agreement.</w:t>
      </w:r>
    </w:p>
    <w:p w14:paraId="70B9F1C9" w14:textId="12EC771C" w:rsidR="00F67E9E" w:rsidRPr="00BA56A1" w:rsidRDefault="00F67E9E" w:rsidP="00F67E9E">
      <w:pPr>
        <w:pStyle w:val="AppendixText2"/>
      </w:pPr>
      <w:r w:rsidRPr="00BA56A1">
        <w:t xml:space="preserve">The Benchmarker shall be entitled to disclose Confidential Information to the Authority for the </w:t>
      </w:r>
      <w:r w:rsidRPr="00980373">
        <w:t>Permitted</w:t>
      </w:r>
      <w:r w:rsidRPr="00BA56A1">
        <w:t xml:space="preserve"> Purpose and to any Expert appointed in relation to a Dispute as referred to in </w:t>
      </w:r>
      <w:bookmarkStart w:id="1149" w:name="_9kMIH5YVtCIB99GMMaO61nl34xDF2pyNoTFNQVG"/>
      <w:r w:rsidRPr="00BA56A1">
        <w:t xml:space="preserve">Paragraph </w:t>
      </w:r>
      <w:r w:rsidRPr="00BA56A1">
        <w:fldChar w:fldCharType="begin"/>
      </w:r>
      <w:r w:rsidRPr="00BA56A1">
        <w:instrText xml:space="preserve"> REF _Ref_ContractCompanion_9kb9Us338 \n \h \t \* MERGEFORMAT </w:instrText>
      </w:r>
      <w:r w:rsidRPr="00BA56A1">
        <w:fldChar w:fldCharType="separate"/>
      </w:r>
      <w:r w:rsidR="007A1473">
        <w:t>5.7</w:t>
      </w:r>
      <w:r w:rsidRPr="00BA56A1">
        <w:fldChar w:fldCharType="end"/>
      </w:r>
      <w:bookmarkEnd w:id="1149"/>
      <w:r w:rsidRPr="00BA56A1">
        <w:t xml:space="preserve"> of </w:t>
      </w:r>
      <w:bookmarkStart w:id="1150" w:name="_9kMIH5YVtCIAFPHbLhkhy7sFSXq32x828JBFE"/>
      <w:r w:rsidRPr="00BA56A1">
        <w:t xml:space="preserve">this </w:t>
      </w:r>
      <w:bookmarkEnd w:id="1150"/>
      <w:r>
        <w:rPr>
          <w:rFonts w:cs="Arial"/>
        </w:rPr>
        <w:fldChar w:fldCharType="begin"/>
      </w:r>
      <w:r>
        <w:rPr>
          <w:rFonts w:cs="Arial"/>
        </w:rPr>
        <w:instrText xml:space="preserve"> REF Schedule17 \h </w:instrText>
      </w:r>
      <w:r>
        <w:rPr>
          <w:rFonts w:cs="Arial"/>
        </w:rPr>
      </w:r>
      <w:r>
        <w:rPr>
          <w:rFonts w:cs="Arial"/>
        </w:rPr>
        <w:fldChar w:fldCharType="separate"/>
      </w:r>
      <w:r w:rsidR="007A1473" w:rsidRPr="005D0525">
        <w:t>Schedule</w:t>
      </w:r>
      <w:r w:rsidR="007A1473">
        <w:t> </w:t>
      </w:r>
      <w:r w:rsidR="007A1473" w:rsidRPr="005D0525">
        <w:t>17</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Schedule17Heading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Benchmarking</w:t>
      </w:r>
      <w:r w:rsidRPr="00B91437">
        <w:rPr>
          <w:rFonts w:cs="Arial"/>
          <w:i/>
          <w:iCs/>
        </w:rPr>
        <w:fldChar w:fldCharType="end"/>
      </w:r>
      <w:r>
        <w:rPr>
          <w:rFonts w:cs="Arial"/>
        </w:rPr>
        <w:t>)</w:t>
      </w:r>
      <w:r w:rsidRPr="00BA56A1">
        <w:t xml:space="preserve"> to the Contract.</w:t>
      </w:r>
    </w:p>
    <w:p w14:paraId="287DAD0C" w14:textId="77777777" w:rsidR="00F67E9E" w:rsidRPr="00980373" w:rsidRDefault="00F67E9E" w:rsidP="00F67E9E">
      <w:pPr>
        <w:pStyle w:val="AppendixText2"/>
      </w:pPr>
      <w:bookmarkStart w:id="1151" w:name="_Ref_ContractCompanion_9kb9Us345"/>
      <w:bookmarkStart w:id="1152" w:name="_9kR3WTrAG978BEEfRjE9srmxrx8w4JAtyA1vz9P"/>
      <w:r w:rsidRPr="00BA56A1">
        <w:lastRenderedPageBreak/>
        <w:t xml:space="preserve">The Benchmarker shall be entitled to disclose Confidential Information to the extent that it is required </w:t>
      </w:r>
      <w:r w:rsidRPr="00980373">
        <w:t>to do so by applicable law or by order of a court or other public body that has jurisdiction over the Benchmarker.</w:t>
      </w:r>
      <w:bookmarkEnd w:id="1151"/>
      <w:bookmarkEnd w:id="1152"/>
    </w:p>
    <w:p w14:paraId="7864771A" w14:textId="2D189777" w:rsidR="00F67E9E" w:rsidRPr="00BA56A1" w:rsidRDefault="00F67E9E" w:rsidP="00F67E9E">
      <w:pPr>
        <w:pStyle w:val="AppendixText2"/>
      </w:pPr>
      <w:r w:rsidRPr="00980373">
        <w:t xml:space="preserve">Before making a disclosure pursuant to </w:t>
      </w:r>
      <w:bookmarkStart w:id="1153" w:name="_9kMHG5YVtCIB9ADGGhTlGButoztzAy6LCv0C3x1"/>
      <w:r w:rsidRPr="00980373">
        <w:t xml:space="preserve">Clause </w:t>
      </w:r>
      <w:r w:rsidRPr="00980373">
        <w:fldChar w:fldCharType="begin"/>
      </w:r>
      <w:r w:rsidRPr="00980373">
        <w:instrText xml:space="preserve"> REF _Ref_ContractCompanion_9kb9Us345 \n \h \t \* MERGEFORMAT </w:instrText>
      </w:r>
      <w:r w:rsidRPr="00980373">
        <w:fldChar w:fldCharType="separate"/>
      </w:r>
      <w:r w:rsidR="007A1473">
        <w:t>3.3</w:t>
      </w:r>
      <w:r w:rsidRPr="00980373">
        <w:fldChar w:fldCharType="end"/>
      </w:r>
      <w:bookmarkEnd w:id="1153"/>
      <w:r w:rsidRPr="00980373">
        <w:t>, the Benchmarker shall, if the circumstances</w:t>
      </w:r>
      <w:r w:rsidRPr="00BA56A1">
        <w:t xml:space="preserve"> permit:</w:t>
      </w:r>
    </w:p>
    <w:p w14:paraId="413A272B" w14:textId="77777777" w:rsidR="00F67E9E" w:rsidRPr="00980373" w:rsidRDefault="00F67E9E" w:rsidP="00F67E9E">
      <w:pPr>
        <w:pStyle w:val="AppendixText3"/>
      </w:pPr>
      <w:r w:rsidRPr="00BA56A1">
        <w:t xml:space="preserve">notify the Supplier in writing of the proposed disclosure as soon as possible (and if possible before the court or other public body orders the disclosure of the </w:t>
      </w:r>
      <w:r w:rsidRPr="00980373">
        <w:t>Confidential Information); and</w:t>
      </w:r>
    </w:p>
    <w:p w14:paraId="6EFD66DF" w14:textId="77777777" w:rsidR="00F67E9E" w:rsidRPr="00BA56A1" w:rsidRDefault="00F67E9E" w:rsidP="00F67E9E">
      <w:pPr>
        <w:pStyle w:val="AppendixText3"/>
      </w:pPr>
      <w:r w:rsidRPr="00980373">
        <w:t>ask the cou</w:t>
      </w:r>
      <w:r w:rsidRPr="00BA56A1">
        <w:t>rt or other public body to treat the Confidential Information as confidential.</w:t>
      </w:r>
    </w:p>
    <w:p w14:paraId="0A607971" w14:textId="77777777" w:rsidR="00F67E9E" w:rsidRPr="00BA56A1" w:rsidRDefault="00F67E9E" w:rsidP="00F67E9E">
      <w:pPr>
        <w:pStyle w:val="AppendixText1"/>
      </w:pPr>
      <w:bookmarkStart w:id="1154" w:name="_9kR3WTrAG96FLNCwozOQaZHvw1yt"/>
      <w:r w:rsidRPr="00BA56A1">
        <w:t>General</w:t>
      </w:r>
      <w:bookmarkEnd w:id="1154"/>
    </w:p>
    <w:p w14:paraId="321FA46A" w14:textId="77777777" w:rsidR="00F67E9E" w:rsidRPr="00980373" w:rsidRDefault="00F67E9E" w:rsidP="00F67E9E">
      <w:pPr>
        <w:pStyle w:val="AppendixText2"/>
      </w:pPr>
      <w:r w:rsidRPr="00BA56A1">
        <w:t xml:space="preserve">The Benchmarker acknowledges and agrees that all property, including intellectual property rights, in Confidential Information disclosed to it by the Supplier shall remain with and be </w:t>
      </w:r>
      <w:r w:rsidRPr="00980373">
        <w:t>vested in the Supplier.</w:t>
      </w:r>
    </w:p>
    <w:p w14:paraId="02F3517A" w14:textId="77777777" w:rsidR="00F67E9E" w:rsidRPr="00BA56A1" w:rsidRDefault="00F67E9E" w:rsidP="00F67E9E">
      <w:pPr>
        <w:pStyle w:val="AppendixText2"/>
      </w:pPr>
      <w:r w:rsidRPr="00980373">
        <w:t>This Agreement does not include, expressly or by implication, any representations, warra</w:t>
      </w:r>
      <w:r w:rsidRPr="00BA56A1">
        <w:t>nties or other obligations:</w:t>
      </w:r>
    </w:p>
    <w:p w14:paraId="4B895610" w14:textId="77777777" w:rsidR="00F67E9E" w:rsidRPr="00BA56A1" w:rsidRDefault="00F67E9E" w:rsidP="00F67E9E">
      <w:pPr>
        <w:pStyle w:val="AppendixText3"/>
        <w:tabs>
          <w:tab w:val="clear" w:pos="1800"/>
          <w:tab w:val="num" w:pos="2160"/>
        </w:tabs>
      </w:pPr>
      <w:r w:rsidRPr="00BA56A1">
        <w:t>to grant the Benchmarker any licence or rights other than as may be expressly stated in this Agreement;</w:t>
      </w:r>
    </w:p>
    <w:p w14:paraId="6EB78C1D" w14:textId="77777777" w:rsidR="00F67E9E" w:rsidRPr="00BA56A1" w:rsidRDefault="00F67E9E" w:rsidP="00F67E9E">
      <w:pPr>
        <w:pStyle w:val="AppendixText3"/>
        <w:tabs>
          <w:tab w:val="clear" w:pos="1800"/>
          <w:tab w:val="num" w:pos="2160"/>
        </w:tabs>
      </w:pPr>
      <w:r w:rsidRPr="00BA56A1">
        <w:t>to require the Supplier to disclose, continue disclosing or update any Confidential Information; or</w:t>
      </w:r>
    </w:p>
    <w:p w14:paraId="12871F63" w14:textId="77777777" w:rsidR="00F67E9E" w:rsidRPr="00BA56A1" w:rsidRDefault="00F67E9E" w:rsidP="00F67E9E">
      <w:pPr>
        <w:pStyle w:val="AppendixText3"/>
        <w:tabs>
          <w:tab w:val="clear" w:pos="1800"/>
          <w:tab w:val="num" w:pos="2160"/>
        </w:tabs>
      </w:pPr>
      <w:r w:rsidRPr="00BA56A1">
        <w:t>as to the accuracy, efficacy, completeness, capabilities, safety or any other qualities whatsoever of any Information or materials provided pursuant to or in anticipation of this Agreement.</w:t>
      </w:r>
    </w:p>
    <w:p w14:paraId="64CBCD56" w14:textId="77777777" w:rsidR="00F67E9E" w:rsidRPr="00980373" w:rsidRDefault="00F67E9E" w:rsidP="00F67E9E">
      <w:pPr>
        <w:pStyle w:val="AppendixText2"/>
      </w:pPr>
      <w:r w:rsidRPr="00BA56A1">
        <w:t>The rights, powers and remedies provided in this Agreement are cumulative and not exclusive of any rights, powers or remedies provided by law.</w:t>
      </w:r>
      <w:r>
        <w:t xml:space="preserve"> </w:t>
      </w:r>
      <w:r w:rsidRPr="00BA56A1">
        <w:t xml:space="preserve">No failure or delay by either Party to exercise any right, power or remedy will operate as a waiver of it nor will any partial </w:t>
      </w:r>
      <w:r w:rsidRPr="00980373">
        <w:t>exercise preclude any further exercise of the same, or of some other right, power or remedy.</w:t>
      </w:r>
    </w:p>
    <w:p w14:paraId="79915B2B" w14:textId="77777777" w:rsidR="00F67E9E" w:rsidRPr="00980373" w:rsidRDefault="00F67E9E" w:rsidP="00F67E9E">
      <w:pPr>
        <w:pStyle w:val="AppendixText2"/>
      </w:pPr>
      <w:r w:rsidRPr="00980373">
        <w:t>Without prejudice to any other rights or remedies that the Supplier may have, the Benchmarker acknowledges and agrees that damages alone may not be an adequate remedy for any breach by the Benchmarker of any of the provisions of this Agreement. Accordingly, the Benchmarker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58637549" w14:textId="77777777" w:rsidR="00F67E9E" w:rsidRPr="00980373" w:rsidRDefault="00F67E9E" w:rsidP="00F67E9E">
      <w:pPr>
        <w:pStyle w:val="AppendixText2"/>
      </w:pPr>
      <w:r w:rsidRPr="00980373">
        <w:t>The maximum liability of the Benchmarker to the Supplier for any breach of this Agreement shall be limited to ten million pounds (£10,000,000).</w:t>
      </w:r>
    </w:p>
    <w:p w14:paraId="7A974450" w14:textId="77777777" w:rsidR="00F67E9E" w:rsidRPr="00980373" w:rsidRDefault="00F67E9E" w:rsidP="00F67E9E">
      <w:pPr>
        <w:pStyle w:val="AppendixText2"/>
      </w:pPr>
      <w:r w:rsidRPr="00980373">
        <w:t>For the purposes of the Contracts (Rights of Third Parties) Act 1999 no one other than the Parties has the right to enforce the terms of this Agreement.</w:t>
      </w:r>
    </w:p>
    <w:p w14:paraId="1824A641" w14:textId="77777777" w:rsidR="00F67E9E" w:rsidRPr="00980373" w:rsidRDefault="00F67E9E" w:rsidP="00F67E9E">
      <w:pPr>
        <w:pStyle w:val="AppendixText2"/>
      </w:pPr>
      <w:r w:rsidRPr="00980373">
        <w:lastRenderedPageBreak/>
        <w:t>Each Party shall be responsible for all costs incurred by it or on its behalf in connection with this Agreement.</w:t>
      </w:r>
    </w:p>
    <w:p w14:paraId="510AC263" w14:textId="77777777" w:rsidR="00F67E9E" w:rsidRPr="00BA56A1" w:rsidRDefault="00F67E9E" w:rsidP="00F67E9E">
      <w:pPr>
        <w:pStyle w:val="AppendixText2"/>
      </w:pPr>
      <w:r w:rsidRPr="00980373">
        <w:t>This Agreement may be executed in any number of counterparts and by the Parties on separate counterparts</w:t>
      </w:r>
      <w:r w:rsidRPr="00BA56A1">
        <w:t>, but shall not be effective until each Party has executed at least one counterpart.</w:t>
      </w:r>
      <w:r>
        <w:t xml:space="preserve"> </w:t>
      </w:r>
      <w:r w:rsidRPr="00BA56A1">
        <w:t>Each counterpart shall constitute an original of this Agreement, but all the counterparts shall together constitute but one and the same instrument.</w:t>
      </w:r>
    </w:p>
    <w:p w14:paraId="24D02157" w14:textId="77777777" w:rsidR="00F67E9E" w:rsidRPr="00BA56A1" w:rsidRDefault="00F67E9E" w:rsidP="00F67E9E">
      <w:pPr>
        <w:pStyle w:val="AppendixText1"/>
      </w:pPr>
      <w:r w:rsidRPr="00980373">
        <w:t>Notices</w:t>
      </w:r>
    </w:p>
    <w:p w14:paraId="5F9BC41F" w14:textId="3BC7C869" w:rsidR="00F67E9E" w:rsidRPr="00980373" w:rsidRDefault="00F67E9E" w:rsidP="00F67E9E">
      <w:pPr>
        <w:pStyle w:val="AppendixText2"/>
      </w:pPr>
      <w:r w:rsidRPr="00BA56A1">
        <w:t xml:space="preserve">Any notice to be given under this Agreement (each a </w:t>
      </w:r>
      <w:r>
        <w:t>“</w:t>
      </w:r>
      <w:r w:rsidRPr="002E7013">
        <w:rPr>
          <w:rStyle w:val="StdBodyTextBoldChar"/>
          <w:rFonts w:eastAsia="Verdana" w:cs="Arial"/>
        </w:rPr>
        <w:t>Notice</w:t>
      </w:r>
      <w:r>
        <w:t>”</w:t>
      </w:r>
      <w:r w:rsidRPr="00BA56A1">
        <w:t xml:space="preserve">) shall be given in writing and shall be delivered by hand and shall be deemed to have been duly given at the time of delivery provided that such Notice is sent to the relevant physical address, and expressly marked </w:t>
      </w:r>
      <w:r w:rsidRPr="00980373">
        <w:t xml:space="preserve">for the attention of the relevant individual, set out in </w:t>
      </w:r>
      <w:bookmarkStart w:id="1155" w:name="_9kMHG5YVtCIB9AGLHNGBmXA5pm"/>
      <w:r w:rsidRPr="00980373">
        <w:t xml:space="preserve">Clause </w:t>
      </w:r>
      <w:r w:rsidRPr="00980373">
        <w:fldChar w:fldCharType="begin"/>
      </w:r>
      <w:r w:rsidRPr="00980373">
        <w:instrText xml:space="preserve"> REF _Ref_ContractCompanion_9kb9Us348 \n \h \t \* MERGEFORMAT </w:instrText>
      </w:r>
      <w:r w:rsidRPr="00980373">
        <w:fldChar w:fldCharType="separate"/>
      </w:r>
      <w:r w:rsidR="007A1473">
        <w:t>5.2</w:t>
      </w:r>
      <w:r w:rsidRPr="00980373">
        <w:fldChar w:fldCharType="end"/>
      </w:r>
      <w:bookmarkEnd w:id="1155"/>
      <w:r w:rsidRPr="00980373">
        <w:t>.</w:t>
      </w:r>
    </w:p>
    <w:p w14:paraId="75BFB7F8" w14:textId="77777777" w:rsidR="00F67E9E" w:rsidRPr="00064390" w:rsidRDefault="00F67E9E" w:rsidP="00F67E9E">
      <w:pPr>
        <w:pStyle w:val="AppendixText2"/>
      </w:pPr>
      <w:bookmarkStart w:id="1156" w:name="_Ref_ContractCompanion_9kb9Us348"/>
      <w:bookmarkStart w:id="1157" w:name="_9kR3WTrAG978EJFLE9kV83nk"/>
      <w:r w:rsidRPr="00980373">
        <w:t>Any Notic</w:t>
      </w:r>
      <w:r w:rsidRPr="00064390">
        <w:t>e:</w:t>
      </w:r>
      <w:bookmarkEnd w:id="1156"/>
      <w:bookmarkEnd w:id="1157"/>
    </w:p>
    <w:p w14:paraId="570195B6" w14:textId="77777777" w:rsidR="00F67E9E" w:rsidRPr="00064390" w:rsidRDefault="00F67E9E" w:rsidP="00F67E9E">
      <w:pPr>
        <w:pStyle w:val="AppendixText3"/>
        <w:tabs>
          <w:tab w:val="clear" w:pos="1800"/>
          <w:tab w:val="num" w:pos="2160"/>
        </w:tabs>
      </w:pPr>
      <w:r w:rsidRPr="00064390">
        <w:t>if to be given to the Supplier shall be sent to:</w:t>
      </w:r>
    </w:p>
    <w:p w14:paraId="72D94141" w14:textId="77777777" w:rsidR="00F67E9E" w:rsidRPr="00AA5727" w:rsidRDefault="00F67E9E" w:rsidP="00F67E9E">
      <w:pPr>
        <w:pStyle w:val="StdBodyText4"/>
        <w:rPr>
          <w:rFonts w:cs="Arial"/>
          <w:highlight w:val="yellow"/>
        </w:rPr>
      </w:pPr>
      <w:r w:rsidRPr="00AA5727">
        <w:rPr>
          <w:rFonts w:cs="Arial"/>
          <w:highlight w:val="yellow"/>
        </w:rPr>
        <w:t>[</w:t>
      </w:r>
      <w:r w:rsidRPr="00AA5727">
        <w:rPr>
          <w:rFonts w:cs="Arial"/>
          <w:iCs/>
          <w:highlight w:val="yellow"/>
        </w:rPr>
        <w:t>Address</w:t>
      </w:r>
      <w:r w:rsidRPr="00AA5727">
        <w:rPr>
          <w:rFonts w:cs="Arial"/>
          <w:highlight w:val="yellow"/>
        </w:rPr>
        <w:t>]</w:t>
      </w:r>
    </w:p>
    <w:p w14:paraId="13A94829" w14:textId="77777777" w:rsidR="00F67E9E" w:rsidRPr="00AA5727" w:rsidRDefault="00F67E9E" w:rsidP="00F67E9E">
      <w:pPr>
        <w:pStyle w:val="StdBodyText4"/>
        <w:rPr>
          <w:rFonts w:cs="Arial"/>
          <w:highlight w:val="yellow"/>
        </w:rPr>
      </w:pPr>
      <w:r w:rsidRPr="00AA5727">
        <w:rPr>
          <w:rFonts w:cs="Arial"/>
        </w:rPr>
        <w:t xml:space="preserve">Attention: </w:t>
      </w:r>
      <w:r w:rsidRPr="00AA5727">
        <w:rPr>
          <w:rFonts w:cs="Arial"/>
          <w:highlight w:val="yellow"/>
        </w:rPr>
        <w:t>[</w:t>
      </w:r>
      <w:r w:rsidRPr="00AA5727">
        <w:rPr>
          <w:rFonts w:cs="Arial"/>
          <w:iCs/>
          <w:highlight w:val="yellow"/>
        </w:rPr>
        <w:t>Contact name and/or position, e.g. “The Finance Director”</w:t>
      </w:r>
      <w:r w:rsidRPr="00AA5727">
        <w:rPr>
          <w:rFonts w:cs="Arial"/>
          <w:highlight w:val="yellow"/>
        </w:rPr>
        <w:t>]</w:t>
      </w:r>
    </w:p>
    <w:p w14:paraId="604215F3" w14:textId="77777777" w:rsidR="00F67E9E" w:rsidRPr="00AA5727" w:rsidRDefault="00F67E9E" w:rsidP="00F67E9E">
      <w:pPr>
        <w:pStyle w:val="AppendixText3"/>
        <w:tabs>
          <w:tab w:val="clear" w:pos="1800"/>
          <w:tab w:val="num" w:pos="2160"/>
        </w:tabs>
      </w:pPr>
      <w:r w:rsidRPr="00AA5727">
        <w:t>if to be given to the Benchmarker shall be sent to:</w:t>
      </w:r>
    </w:p>
    <w:p w14:paraId="6250E8F0" w14:textId="77777777" w:rsidR="00F67E9E" w:rsidRPr="00AA5727" w:rsidRDefault="00F67E9E" w:rsidP="00F67E9E">
      <w:pPr>
        <w:pStyle w:val="StdBodyText4"/>
        <w:rPr>
          <w:rFonts w:cs="Arial"/>
          <w:highlight w:val="yellow"/>
        </w:rPr>
      </w:pPr>
      <w:r w:rsidRPr="00AA5727">
        <w:rPr>
          <w:rFonts w:cs="Arial"/>
          <w:highlight w:val="yellow"/>
        </w:rPr>
        <w:t>[</w:t>
      </w:r>
      <w:r w:rsidRPr="00AA5727">
        <w:rPr>
          <w:rFonts w:cs="Arial"/>
          <w:iCs/>
          <w:highlight w:val="yellow"/>
        </w:rPr>
        <w:t>Name of Organisation</w:t>
      </w:r>
      <w:r w:rsidRPr="00AA5727">
        <w:rPr>
          <w:rFonts w:cs="Arial"/>
          <w:highlight w:val="yellow"/>
        </w:rPr>
        <w:t>]</w:t>
      </w:r>
    </w:p>
    <w:p w14:paraId="55051AF9" w14:textId="77777777" w:rsidR="00F67E9E" w:rsidRPr="00AA5727" w:rsidRDefault="00F67E9E" w:rsidP="00F67E9E">
      <w:pPr>
        <w:pStyle w:val="StdBodyText4"/>
        <w:rPr>
          <w:rFonts w:cs="Arial"/>
          <w:highlight w:val="yellow"/>
        </w:rPr>
      </w:pPr>
      <w:r w:rsidRPr="00AA5727">
        <w:rPr>
          <w:rFonts w:cs="Arial"/>
          <w:highlight w:val="yellow"/>
        </w:rPr>
        <w:t>[</w:t>
      </w:r>
      <w:r w:rsidRPr="00AA5727">
        <w:rPr>
          <w:rFonts w:cs="Arial"/>
          <w:iCs/>
          <w:highlight w:val="yellow"/>
        </w:rPr>
        <w:t>Address</w:t>
      </w:r>
      <w:r w:rsidRPr="00AA5727">
        <w:rPr>
          <w:rFonts w:cs="Arial"/>
          <w:highlight w:val="yellow"/>
        </w:rPr>
        <w:t>]</w:t>
      </w:r>
    </w:p>
    <w:p w14:paraId="3FE8AFDA" w14:textId="77777777" w:rsidR="00F67E9E" w:rsidRPr="00064390" w:rsidRDefault="00F67E9E" w:rsidP="00F67E9E">
      <w:pPr>
        <w:pStyle w:val="StdBodyText4"/>
        <w:rPr>
          <w:rFonts w:cs="Arial"/>
          <w:highlight w:val="yellow"/>
        </w:rPr>
      </w:pPr>
      <w:r w:rsidRPr="00064390">
        <w:rPr>
          <w:rFonts w:cs="Arial"/>
        </w:rPr>
        <w:t xml:space="preserve">Attention: </w:t>
      </w:r>
      <w:r w:rsidRPr="00064390">
        <w:rPr>
          <w:rFonts w:cs="Arial"/>
          <w:highlight w:val="yellow"/>
        </w:rPr>
        <w:t>[             ]</w:t>
      </w:r>
    </w:p>
    <w:p w14:paraId="5CAF1F87" w14:textId="77777777" w:rsidR="00F67E9E" w:rsidRPr="00064390" w:rsidRDefault="00F67E9E" w:rsidP="00F67E9E">
      <w:pPr>
        <w:pStyle w:val="AppendixText1"/>
      </w:pPr>
      <w:r w:rsidRPr="00980373">
        <w:t>Governing</w:t>
      </w:r>
      <w:r w:rsidRPr="00064390">
        <w:t xml:space="preserve"> law</w:t>
      </w:r>
    </w:p>
    <w:p w14:paraId="45595602" w14:textId="77777777" w:rsidR="00F67E9E" w:rsidRPr="00980373" w:rsidRDefault="00F67E9E" w:rsidP="00F67E9E">
      <w:pPr>
        <w:pStyle w:val="AppendixText2"/>
      </w:pPr>
      <w:bookmarkStart w:id="1158" w:name="_9kR3WTr8E845ELF"/>
      <w:bookmarkEnd w:id="1158"/>
      <w:r w:rsidRPr="00BA56A1">
        <w:t xml:space="preserve">This Agreement shall be governed by, and construed in accordance with, English law and any matter claim or dispute arising out of or in connection with this Agreement whether contractual or non-contractual, shall be governed by and determined in accordance with </w:t>
      </w:r>
      <w:r w:rsidRPr="00980373">
        <w:t xml:space="preserve">English law. </w:t>
      </w:r>
    </w:p>
    <w:p w14:paraId="0F456E03" w14:textId="77777777" w:rsidR="00F67E9E" w:rsidRPr="00BA56A1" w:rsidRDefault="00F67E9E" w:rsidP="00F67E9E">
      <w:pPr>
        <w:pStyle w:val="AppendixText2"/>
      </w:pPr>
      <w:r w:rsidRPr="00980373">
        <w:t>Each Pa</w:t>
      </w:r>
      <w:r w:rsidRPr="00BA56A1">
        <w:t>rty hereby irrevocably submits to the exclusive jurisdiction of the English courts in respect of any claim or dispute arising out of or in connection with this Agreement.</w:t>
      </w:r>
      <w:r>
        <w:t xml:space="preserve"> </w:t>
      </w:r>
    </w:p>
    <w:p w14:paraId="759A100D" w14:textId="77777777" w:rsidR="00F67E9E" w:rsidRPr="00064390" w:rsidRDefault="00F67E9E" w:rsidP="00F67E9E">
      <w:pPr>
        <w:pStyle w:val="StdBodyText"/>
        <w:rPr>
          <w:rFonts w:cs="Arial"/>
        </w:rPr>
      </w:pPr>
    </w:p>
    <w:p w14:paraId="3266ADF2" w14:textId="77777777" w:rsidR="00F67E9E" w:rsidRPr="00064390" w:rsidRDefault="00F67E9E" w:rsidP="00F67E9E">
      <w:pPr>
        <w:pStyle w:val="StdBodyText"/>
        <w:rPr>
          <w:rFonts w:cs="Arial"/>
        </w:rPr>
      </w:pPr>
      <w:r w:rsidRPr="00BA56A1">
        <w:rPr>
          <w:rStyle w:val="StdBodyTextBoldChar"/>
          <w:rFonts w:cs="Arial"/>
        </w:rPr>
        <w:t>IN WITNESS</w:t>
      </w:r>
      <w:r w:rsidRPr="00BA56A1">
        <w:rPr>
          <w:rFonts w:cs="Arial"/>
        </w:rPr>
        <w:t xml:space="preserve"> of the above this Agreement has</w:t>
      </w:r>
      <w:r w:rsidRPr="00064390">
        <w:rPr>
          <w:rFonts w:cs="Arial"/>
        </w:rPr>
        <w:t xml:space="preserve"> been signed by the duly authorised representatives of the Parties on the date which appears at the head of page </w:t>
      </w:r>
      <w:bookmarkStart w:id="1159" w:name="_9kMHG5YVtCIB9AHREyq1QSZaUC43FG6967GCI"/>
      <w:r w:rsidRPr="00064390">
        <w:rPr>
          <w:rFonts w:cs="Arial"/>
        </w:rPr>
        <w:t>1</w:t>
      </w:r>
      <w:bookmarkEnd w:id="1159"/>
      <w:r w:rsidRPr="00064390">
        <w:rPr>
          <w:rFonts w:cs="Arial"/>
        </w:rPr>
        <w:t>.</w:t>
      </w:r>
    </w:p>
    <w:p w14:paraId="282BF40F" w14:textId="77777777" w:rsidR="00F67E9E" w:rsidRPr="00064390" w:rsidRDefault="00F67E9E" w:rsidP="00F67E9E">
      <w:pPr>
        <w:pStyle w:val="StdBodyTextBold"/>
        <w:rPr>
          <w:rFonts w:cs="Arial"/>
          <w:highlight w:val="yellow"/>
        </w:rPr>
      </w:pPr>
      <w:r w:rsidRPr="00064390">
        <w:rPr>
          <w:rFonts w:cs="Arial"/>
        </w:rPr>
        <w:t xml:space="preserve">For and on behalf of </w:t>
      </w:r>
      <w:r w:rsidRPr="00064390">
        <w:rPr>
          <w:rFonts w:cs="Arial"/>
          <w:highlight w:val="yellow"/>
        </w:rPr>
        <w:t>[</w:t>
      </w:r>
      <w:r w:rsidRPr="005F1047">
        <w:rPr>
          <w:rFonts w:cs="Arial"/>
          <w:iCs/>
          <w:highlight w:val="yellow"/>
        </w:rPr>
        <w:t>name of Supplier</w:t>
      </w:r>
      <w:r w:rsidRPr="00064390">
        <w:rPr>
          <w:rFonts w:cs="Arial"/>
          <w:highlight w:val="yellow"/>
        </w:rPr>
        <w:t>]</w:t>
      </w:r>
    </w:p>
    <w:p w14:paraId="393EA071" w14:textId="77777777" w:rsidR="00F67E9E" w:rsidRPr="00064390" w:rsidRDefault="00F67E9E" w:rsidP="00F67E9E">
      <w:pPr>
        <w:pStyle w:val="StdBodyText"/>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4535"/>
      </w:tblGrid>
      <w:tr w:rsidR="00F67E9E" w:rsidRPr="00064390" w14:paraId="6111B91F" w14:textId="77777777" w:rsidTr="0052486C">
        <w:tc>
          <w:tcPr>
            <w:tcW w:w="5669" w:type="dxa"/>
          </w:tcPr>
          <w:p w14:paraId="329DE359" w14:textId="77777777" w:rsidR="00F67E9E" w:rsidRPr="00064390" w:rsidRDefault="00F67E9E" w:rsidP="0052486C">
            <w:pPr>
              <w:pStyle w:val="StdBodyText"/>
              <w:rPr>
                <w:rFonts w:cs="Arial"/>
                <w:sz w:val="24"/>
              </w:rPr>
            </w:pPr>
            <w:r w:rsidRPr="00064390">
              <w:rPr>
                <w:rFonts w:cs="Arial"/>
                <w:sz w:val="24"/>
              </w:rPr>
              <w:t>Signature: ___________________________</w:t>
            </w:r>
          </w:p>
          <w:p w14:paraId="6E278E11" w14:textId="77777777" w:rsidR="00F67E9E" w:rsidRPr="00064390" w:rsidRDefault="00F67E9E" w:rsidP="0052486C">
            <w:pPr>
              <w:pStyle w:val="StdBodyText"/>
              <w:rPr>
                <w:rFonts w:cs="Arial"/>
                <w:sz w:val="24"/>
              </w:rPr>
            </w:pPr>
          </w:p>
        </w:tc>
        <w:tc>
          <w:tcPr>
            <w:tcW w:w="4535" w:type="dxa"/>
          </w:tcPr>
          <w:p w14:paraId="7E821FFA" w14:textId="77777777" w:rsidR="00F67E9E" w:rsidRPr="00064390" w:rsidRDefault="00F67E9E" w:rsidP="0052486C">
            <w:pPr>
              <w:pStyle w:val="StdBodyText"/>
              <w:rPr>
                <w:rFonts w:cs="Arial"/>
                <w:sz w:val="24"/>
              </w:rPr>
            </w:pPr>
            <w:r w:rsidRPr="00064390">
              <w:rPr>
                <w:rFonts w:cs="Arial"/>
                <w:sz w:val="24"/>
              </w:rPr>
              <w:t>Date:</w:t>
            </w:r>
          </w:p>
        </w:tc>
      </w:tr>
      <w:tr w:rsidR="00F67E9E" w:rsidRPr="00064390" w14:paraId="767F3552" w14:textId="77777777" w:rsidTr="0052486C">
        <w:tc>
          <w:tcPr>
            <w:tcW w:w="5669" w:type="dxa"/>
          </w:tcPr>
          <w:p w14:paraId="7FF7CB7A" w14:textId="77777777" w:rsidR="00F67E9E" w:rsidRPr="00064390" w:rsidRDefault="00F67E9E" w:rsidP="0052486C">
            <w:pPr>
              <w:pStyle w:val="StdBodyText"/>
              <w:rPr>
                <w:rFonts w:cs="Arial"/>
                <w:sz w:val="24"/>
              </w:rPr>
            </w:pPr>
            <w:r w:rsidRPr="00064390">
              <w:rPr>
                <w:rFonts w:cs="Arial"/>
                <w:sz w:val="24"/>
              </w:rPr>
              <w:t>Name:</w:t>
            </w:r>
            <w:r w:rsidRPr="00064390">
              <w:rPr>
                <w:rFonts w:cs="Arial"/>
                <w:sz w:val="24"/>
              </w:rPr>
              <w:tab/>
            </w:r>
          </w:p>
        </w:tc>
        <w:tc>
          <w:tcPr>
            <w:tcW w:w="4535" w:type="dxa"/>
          </w:tcPr>
          <w:p w14:paraId="6045F2C4" w14:textId="77777777" w:rsidR="00F67E9E" w:rsidRPr="00064390" w:rsidRDefault="00F67E9E" w:rsidP="0052486C">
            <w:pPr>
              <w:pStyle w:val="StdBodyText"/>
              <w:rPr>
                <w:rFonts w:cs="Arial"/>
                <w:sz w:val="24"/>
              </w:rPr>
            </w:pPr>
            <w:r w:rsidRPr="00064390">
              <w:rPr>
                <w:rFonts w:cs="Arial"/>
                <w:sz w:val="24"/>
              </w:rPr>
              <w:t>Position:</w:t>
            </w:r>
          </w:p>
        </w:tc>
      </w:tr>
    </w:tbl>
    <w:p w14:paraId="092D8F1E" w14:textId="77777777" w:rsidR="00F67E9E" w:rsidRPr="00064390" w:rsidRDefault="00F67E9E" w:rsidP="00F67E9E">
      <w:pPr>
        <w:pStyle w:val="StdBodyTextBold"/>
        <w:rPr>
          <w:rFonts w:cs="Arial"/>
          <w:highlight w:val="yellow"/>
        </w:rPr>
      </w:pPr>
      <w:r w:rsidRPr="00064390">
        <w:rPr>
          <w:rFonts w:cs="Arial"/>
        </w:rPr>
        <w:lastRenderedPageBreak/>
        <w:t xml:space="preserve">For and on behalf of </w:t>
      </w:r>
      <w:r w:rsidRPr="00064390">
        <w:rPr>
          <w:rFonts w:cs="Arial"/>
          <w:highlight w:val="yellow"/>
        </w:rPr>
        <w:t>[</w:t>
      </w:r>
      <w:r w:rsidRPr="005F1047">
        <w:rPr>
          <w:rFonts w:cs="Arial"/>
          <w:iCs/>
          <w:highlight w:val="yellow"/>
        </w:rPr>
        <w:t>name of Benchmarker</w:t>
      </w:r>
      <w:r w:rsidRPr="00064390">
        <w:rPr>
          <w:rFonts w:cs="Arial"/>
          <w:highlight w:val="yellow"/>
        </w:rPr>
        <w:t>]</w:t>
      </w:r>
    </w:p>
    <w:p w14:paraId="33D81CFC" w14:textId="77777777" w:rsidR="00F67E9E" w:rsidRPr="00064390" w:rsidRDefault="00F67E9E" w:rsidP="00F67E9E">
      <w:pPr>
        <w:pStyle w:val="StdBodyText"/>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4535"/>
      </w:tblGrid>
      <w:tr w:rsidR="00F67E9E" w:rsidRPr="00064390" w14:paraId="607638BE" w14:textId="77777777" w:rsidTr="0052486C">
        <w:tc>
          <w:tcPr>
            <w:tcW w:w="5669" w:type="dxa"/>
          </w:tcPr>
          <w:p w14:paraId="04DCB409" w14:textId="77777777" w:rsidR="00F67E9E" w:rsidRPr="00064390" w:rsidRDefault="00F67E9E" w:rsidP="0052486C">
            <w:pPr>
              <w:pStyle w:val="StdBodyText"/>
              <w:rPr>
                <w:rFonts w:cs="Arial"/>
                <w:sz w:val="24"/>
              </w:rPr>
            </w:pPr>
            <w:r w:rsidRPr="00064390">
              <w:rPr>
                <w:rFonts w:cs="Arial"/>
                <w:sz w:val="24"/>
              </w:rPr>
              <w:t>Signature: ___________________________</w:t>
            </w:r>
          </w:p>
          <w:p w14:paraId="21F3717F" w14:textId="77777777" w:rsidR="00F67E9E" w:rsidRPr="00064390" w:rsidRDefault="00F67E9E" w:rsidP="0052486C">
            <w:pPr>
              <w:pStyle w:val="StdBodyText"/>
              <w:rPr>
                <w:rFonts w:cs="Arial"/>
                <w:sz w:val="24"/>
              </w:rPr>
            </w:pPr>
          </w:p>
        </w:tc>
        <w:tc>
          <w:tcPr>
            <w:tcW w:w="4535" w:type="dxa"/>
          </w:tcPr>
          <w:p w14:paraId="1355DFC5" w14:textId="77777777" w:rsidR="00F67E9E" w:rsidRPr="00064390" w:rsidRDefault="00F67E9E" w:rsidP="0052486C">
            <w:pPr>
              <w:pStyle w:val="StdBodyText"/>
              <w:rPr>
                <w:rFonts w:cs="Arial"/>
                <w:sz w:val="24"/>
              </w:rPr>
            </w:pPr>
            <w:r w:rsidRPr="00064390">
              <w:rPr>
                <w:rFonts w:cs="Arial"/>
                <w:sz w:val="24"/>
              </w:rPr>
              <w:t>Date:</w:t>
            </w:r>
          </w:p>
        </w:tc>
      </w:tr>
      <w:tr w:rsidR="00F67E9E" w:rsidRPr="00064390" w14:paraId="075836E6" w14:textId="77777777" w:rsidTr="0052486C">
        <w:tc>
          <w:tcPr>
            <w:tcW w:w="5669" w:type="dxa"/>
          </w:tcPr>
          <w:p w14:paraId="326BC95C" w14:textId="77777777" w:rsidR="00F67E9E" w:rsidRPr="00064390" w:rsidRDefault="00F67E9E" w:rsidP="0052486C">
            <w:pPr>
              <w:pStyle w:val="StdBodyText"/>
              <w:rPr>
                <w:rFonts w:cs="Arial"/>
                <w:sz w:val="24"/>
              </w:rPr>
            </w:pPr>
            <w:r w:rsidRPr="00064390">
              <w:rPr>
                <w:rFonts w:cs="Arial"/>
                <w:sz w:val="24"/>
              </w:rPr>
              <w:t>Name:</w:t>
            </w:r>
            <w:r w:rsidRPr="00064390">
              <w:rPr>
                <w:rFonts w:cs="Arial"/>
                <w:sz w:val="24"/>
              </w:rPr>
              <w:tab/>
            </w:r>
          </w:p>
        </w:tc>
        <w:tc>
          <w:tcPr>
            <w:tcW w:w="4535" w:type="dxa"/>
          </w:tcPr>
          <w:p w14:paraId="6C189D52" w14:textId="77777777" w:rsidR="00F67E9E" w:rsidRPr="00064390" w:rsidRDefault="00F67E9E" w:rsidP="0052486C">
            <w:pPr>
              <w:pStyle w:val="StdBodyText"/>
              <w:rPr>
                <w:rFonts w:cs="Arial"/>
                <w:sz w:val="24"/>
              </w:rPr>
            </w:pPr>
            <w:r w:rsidRPr="00064390">
              <w:rPr>
                <w:rFonts w:cs="Arial"/>
                <w:sz w:val="24"/>
              </w:rPr>
              <w:t>Position:</w:t>
            </w:r>
          </w:p>
        </w:tc>
      </w:tr>
    </w:tbl>
    <w:p w14:paraId="5E3EBC71" w14:textId="77777777" w:rsidR="00F67E9E" w:rsidRDefault="00F67E9E" w:rsidP="00F67E9E"/>
    <w:p w14:paraId="27D01F4E" w14:textId="77777777" w:rsidR="00F67E9E" w:rsidRDefault="00F67E9E" w:rsidP="00F67E9E"/>
    <w:p w14:paraId="764DCE85" w14:textId="77777777" w:rsidR="00F67E9E" w:rsidRDefault="00F67E9E" w:rsidP="00F67E9E">
      <w:pPr>
        <w:sectPr w:rsidR="00F67E9E" w:rsidSect="00240D26">
          <w:headerReference w:type="default" r:id="rId121"/>
          <w:footerReference w:type="default" r:id="rId122"/>
          <w:footerReference w:type="first" r:id="rId123"/>
          <w:pgSz w:w="11900" w:h="16840"/>
          <w:pgMar w:top="1701" w:right="851" w:bottom="1134" w:left="851" w:header="567" w:footer="567" w:gutter="0"/>
          <w:cols w:space="720"/>
          <w:docGrid w:linePitch="360"/>
        </w:sectPr>
      </w:pPr>
    </w:p>
    <w:p w14:paraId="21F8C6B2" w14:textId="77777777" w:rsidR="00F67E9E" w:rsidRPr="00EE4F10" w:rsidRDefault="00F67E9E" w:rsidP="00F67E9E">
      <w:pPr>
        <w:pStyle w:val="Dividername"/>
      </w:pPr>
      <w:r w:rsidRPr="00EE4F10">
        <w:lastRenderedPageBreak/>
        <w:t>Schedule 18</w:t>
      </w:r>
    </w:p>
    <w:p w14:paraId="5FEB503C" w14:textId="77777777" w:rsidR="00F67E9E" w:rsidRPr="00EE4F10" w:rsidRDefault="00F67E9E" w:rsidP="00F67E9E">
      <w:pPr>
        <w:pStyle w:val="Dividername"/>
      </w:pPr>
      <w:r w:rsidRPr="00EE4F10">
        <w:t>Financial Distress</w:t>
      </w:r>
    </w:p>
    <w:p w14:paraId="61720921" w14:textId="77777777" w:rsidR="00F67E9E" w:rsidRDefault="00F67E9E" w:rsidP="00F67E9E"/>
    <w:p w14:paraId="6ED51013" w14:textId="77777777" w:rsidR="00F67E9E" w:rsidRPr="00BA56A1" w:rsidRDefault="00F67E9E" w:rsidP="00F67E9E">
      <w:pPr>
        <w:rPr>
          <w:szCs w:val="24"/>
        </w:rPr>
      </w:pPr>
      <w:r w:rsidRPr="00BA56A1">
        <w:rPr>
          <w:szCs w:val="24"/>
        </w:rPr>
        <w:br w:type="page"/>
      </w:r>
    </w:p>
    <w:p w14:paraId="7ED6A7FA" w14:textId="77777777" w:rsidR="00F67E9E" w:rsidRPr="005D0525" w:rsidRDefault="00F67E9E" w:rsidP="00F67E9E">
      <w:pPr>
        <w:pStyle w:val="Heading1"/>
      </w:pPr>
      <w:bookmarkStart w:id="1160" w:name="Schedule18"/>
      <w:bookmarkStart w:id="1161" w:name="_Ref92199989"/>
      <w:bookmarkStart w:id="1162" w:name="_Toc145412786"/>
      <w:r w:rsidRPr="005D0525">
        <w:lastRenderedPageBreak/>
        <w:t>Schedule</w:t>
      </w:r>
      <w:r>
        <w:t> </w:t>
      </w:r>
      <w:r w:rsidRPr="005D0525">
        <w:t>18</w:t>
      </w:r>
      <w:bookmarkEnd w:id="1160"/>
      <w:r>
        <w:t xml:space="preserve">: </w:t>
      </w:r>
      <w:bookmarkStart w:id="1163" w:name="Schedule18Heading"/>
      <w:r w:rsidRPr="005F1047">
        <w:t>Financial Distress</w:t>
      </w:r>
      <w:bookmarkEnd w:id="1161"/>
      <w:bookmarkEnd w:id="1162"/>
      <w:bookmarkEnd w:id="1163"/>
    </w:p>
    <w:p w14:paraId="233D0DCA" w14:textId="77777777" w:rsidR="00F67E9E" w:rsidRPr="001229F7" w:rsidRDefault="00F67E9E" w:rsidP="00F13933">
      <w:pPr>
        <w:pStyle w:val="Numbered1"/>
        <w:numPr>
          <w:ilvl w:val="0"/>
          <w:numId w:val="131"/>
        </w:numPr>
      </w:pPr>
      <w:r w:rsidRPr="00980373">
        <w:t>Definitions</w:t>
      </w:r>
    </w:p>
    <w:p w14:paraId="7846CDF4" w14:textId="77777777" w:rsidR="00F67E9E" w:rsidRPr="00BA56A1" w:rsidRDefault="00F67E9E" w:rsidP="00F67E9E">
      <w:pPr>
        <w:pStyle w:val="Numbered11"/>
      </w:pPr>
      <w:r w:rsidRPr="00BA56A1">
        <w:t xml:space="preserve">In this Schedule, the following definitions </w:t>
      </w:r>
      <w:r w:rsidRPr="00980373">
        <w:t>shall</w:t>
      </w:r>
      <w:r w:rsidRPr="00BA56A1">
        <w:t xml:space="preserve"> apply:</w:t>
      </w:r>
    </w:p>
    <w:tbl>
      <w:tblPr>
        <w:tblStyle w:val="MSAdefinitions"/>
        <w:tblW w:w="9638" w:type="dxa"/>
        <w:tblLook w:val="04A0" w:firstRow="1" w:lastRow="0" w:firstColumn="1" w:lastColumn="0" w:noHBand="0" w:noVBand="1"/>
      </w:tblPr>
      <w:tblGrid>
        <w:gridCol w:w="2835"/>
        <w:gridCol w:w="6803"/>
      </w:tblGrid>
      <w:tr w:rsidR="00F67E9E" w:rsidRPr="00BA56A1" w14:paraId="27A2F0CF" w14:textId="77777777" w:rsidTr="0052486C">
        <w:tc>
          <w:tcPr>
            <w:tcW w:w="2835" w:type="dxa"/>
          </w:tcPr>
          <w:p w14:paraId="4F580619" w14:textId="77777777" w:rsidR="00F67E9E" w:rsidRPr="00BA56A1" w:rsidRDefault="00F67E9E" w:rsidP="0052486C">
            <w:pPr>
              <w:pStyle w:val="StdBodyTextBold"/>
              <w:rPr>
                <w:rFonts w:cs="Arial"/>
              </w:rPr>
            </w:pPr>
            <w:r>
              <w:rPr>
                <w:rFonts w:cs="Arial"/>
              </w:rPr>
              <w:t>“</w:t>
            </w:r>
            <w:r w:rsidRPr="00BA56A1">
              <w:rPr>
                <w:rFonts w:cs="Arial"/>
              </w:rPr>
              <w:t>Applicable Financial Indicators</w:t>
            </w:r>
            <w:r>
              <w:rPr>
                <w:rFonts w:cs="Arial"/>
              </w:rPr>
              <w:t>”</w:t>
            </w:r>
          </w:p>
        </w:tc>
        <w:tc>
          <w:tcPr>
            <w:tcW w:w="6803" w:type="dxa"/>
          </w:tcPr>
          <w:p w14:paraId="7EEEBBAE" w14:textId="5E8B1E4A" w:rsidR="00F67E9E" w:rsidRPr="00BA56A1" w:rsidRDefault="00F67E9E" w:rsidP="0052486C">
            <w:pPr>
              <w:pStyle w:val="StdBodyText"/>
              <w:rPr>
                <w:rFonts w:cs="Arial"/>
              </w:rPr>
            </w:pPr>
            <w:r w:rsidRPr="00BA56A1">
              <w:rPr>
                <w:rFonts w:cs="Arial"/>
              </w:rPr>
              <w:t xml:space="preserve">means the financial indicators from </w:t>
            </w:r>
            <w:bookmarkStart w:id="1164" w:name="_9kMHG5YVt4DDEHHfGpqgyts0HP"/>
            <w:r w:rsidRPr="00BA56A1">
              <w:rPr>
                <w:rFonts w:cs="Arial"/>
              </w:rPr>
              <w:t xml:space="preserve">Paragraph </w:t>
            </w:r>
            <w:r w:rsidRPr="00BA56A1">
              <w:rPr>
                <w:rFonts w:cs="Arial"/>
              </w:rPr>
              <w:fldChar w:fldCharType="begin"/>
            </w:r>
            <w:r w:rsidRPr="00BA56A1">
              <w:rPr>
                <w:rFonts w:cs="Arial"/>
              </w:rPr>
              <w:instrText xml:space="preserve"> REF _Ref_ContractCompanion_9kb9Ur8B5 \n \h \t \* MERGEFORMAT </w:instrText>
            </w:r>
            <w:r w:rsidRPr="00BA56A1">
              <w:rPr>
                <w:rFonts w:cs="Arial"/>
              </w:rPr>
            </w:r>
            <w:r w:rsidRPr="00BA56A1">
              <w:rPr>
                <w:rFonts w:cs="Arial"/>
              </w:rPr>
              <w:fldChar w:fldCharType="separate"/>
            </w:r>
            <w:r w:rsidR="007A1473">
              <w:rPr>
                <w:rFonts w:cs="Arial"/>
              </w:rPr>
              <w:t>5.1</w:t>
            </w:r>
            <w:r w:rsidRPr="00BA56A1">
              <w:rPr>
                <w:rFonts w:cs="Arial"/>
              </w:rPr>
              <w:fldChar w:fldCharType="end"/>
            </w:r>
            <w:bookmarkEnd w:id="1164"/>
            <w:r w:rsidRPr="00BA56A1">
              <w:rPr>
                <w:rFonts w:cs="Arial"/>
              </w:rPr>
              <w:t xml:space="preserve"> of this Schedule which are to apply to the Monitored Suppliers as set out in </w:t>
            </w:r>
            <w:bookmarkStart w:id="1165" w:name="_9kMHG5YVt4DDCMPgGpqgyts0HQ"/>
            <w:r w:rsidRPr="00BA56A1">
              <w:rPr>
                <w:rFonts w:cs="Arial"/>
              </w:rPr>
              <w:t xml:space="preserve">Paragraph </w:t>
            </w:r>
            <w:r w:rsidRPr="00BA56A1">
              <w:rPr>
                <w:rFonts w:cs="Arial"/>
              </w:rPr>
              <w:fldChar w:fldCharType="begin"/>
            </w:r>
            <w:r w:rsidRPr="00BA56A1">
              <w:rPr>
                <w:rFonts w:cs="Arial"/>
              </w:rPr>
              <w:instrText xml:space="preserve"> REF _Ref_ContractCompanion_9kb9Ur6GH \n \h \t \* MERGEFORMAT </w:instrText>
            </w:r>
            <w:r w:rsidRPr="00BA56A1">
              <w:rPr>
                <w:rFonts w:cs="Arial"/>
              </w:rPr>
            </w:r>
            <w:r w:rsidRPr="00BA56A1">
              <w:rPr>
                <w:rFonts w:cs="Arial"/>
              </w:rPr>
              <w:fldChar w:fldCharType="separate"/>
            </w:r>
            <w:r w:rsidR="007A1473">
              <w:rPr>
                <w:rFonts w:cs="Arial"/>
              </w:rPr>
              <w:t>5.2</w:t>
            </w:r>
            <w:r w:rsidRPr="00BA56A1">
              <w:rPr>
                <w:rFonts w:cs="Arial"/>
              </w:rPr>
              <w:fldChar w:fldCharType="end"/>
            </w:r>
            <w:bookmarkEnd w:id="1165"/>
            <w:r w:rsidRPr="00BA56A1">
              <w:rPr>
                <w:rFonts w:cs="Arial"/>
              </w:rPr>
              <w:t xml:space="preserve"> of this Schedule;</w:t>
            </w:r>
          </w:p>
        </w:tc>
      </w:tr>
      <w:tr w:rsidR="00F67E9E" w:rsidRPr="00BA56A1" w14:paraId="648F7805" w14:textId="77777777" w:rsidTr="0052486C">
        <w:tc>
          <w:tcPr>
            <w:tcW w:w="2835" w:type="dxa"/>
          </w:tcPr>
          <w:p w14:paraId="30FCEC93" w14:textId="77777777" w:rsidR="00F67E9E" w:rsidRPr="00BA56A1" w:rsidRDefault="00F67E9E" w:rsidP="0052486C">
            <w:pPr>
              <w:pStyle w:val="StdBodyTextBold"/>
              <w:rPr>
                <w:rFonts w:cs="Arial"/>
              </w:rPr>
            </w:pPr>
            <w:r>
              <w:rPr>
                <w:rFonts w:cs="Arial"/>
              </w:rPr>
              <w:t>“</w:t>
            </w:r>
            <w:r w:rsidRPr="00BA56A1">
              <w:rPr>
                <w:rFonts w:cs="Arial"/>
              </w:rPr>
              <w:t>Board</w:t>
            </w:r>
            <w:r>
              <w:rPr>
                <w:rFonts w:cs="Arial"/>
              </w:rPr>
              <w:t>”</w:t>
            </w:r>
          </w:p>
        </w:tc>
        <w:tc>
          <w:tcPr>
            <w:tcW w:w="6803" w:type="dxa"/>
          </w:tcPr>
          <w:p w14:paraId="720C7FCB" w14:textId="77777777" w:rsidR="00F67E9E" w:rsidRPr="00BA56A1" w:rsidRDefault="00F67E9E" w:rsidP="0052486C">
            <w:pPr>
              <w:pStyle w:val="StdBodyText"/>
              <w:rPr>
                <w:rFonts w:cs="Arial"/>
              </w:rPr>
            </w:pPr>
            <w:r w:rsidRPr="00BA56A1">
              <w:rPr>
                <w:rFonts w:cs="Arial"/>
              </w:rPr>
              <w:t>means the Supplier</w:t>
            </w:r>
            <w:r>
              <w:rPr>
                <w:rFonts w:cs="Arial"/>
              </w:rPr>
              <w:t>’</w:t>
            </w:r>
            <w:r w:rsidRPr="00BA56A1">
              <w:rPr>
                <w:rFonts w:cs="Arial"/>
              </w:rPr>
              <w:t>s board of directors;</w:t>
            </w:r>
          </w:p>
        </w:tc>
      </w:tr>
      <w:tr w:rsidR="00F67E9E" w:rsidRPr="00BA56A1" w14:paraId="28006A31" w14:textId="77777777" w:rsidTr="0052486C">
        <w:tc>
          <w:tcPr>
            <w:tcW w:w="2835" w:type="dxa"/>
          </w:tcPr>
          <w:p w14:paraId="6EFC3998" w14:textId="77777777" w:rsidR="00F67E9E" w:rsidRPr="00BA56A1" w:rsidRDefault="00F67E9E" w:rsidP="0052486C">
            <w:pPr>
              <w:pStyle w:val="StdBodyTextBold"/>
              <w:rPr>
                <w:rFonts w:cs="Arial"/>
              </w:rPr>
            </w:pPr>
            <w:r>
              <w:rPr>
                <w:rFonts w:cs="Arial"/>
              </w:rPr>
              <w:t>“</w:t>
            </w:r>
            <w:r w:rsidRPr="00BA56A1">
              <w:rPr>
                <w:rFonts w:cs="Arial"/>
              </w:rPr>
              <w:t>Board Confirmation</w:t>
            </w:r>
            <w:r>
              <w:rPr>
                <w:rFonts w:cs="Arial"/>
              </w:rPr>
              <w:t>”</w:t>
            </w:r>
          </w:p>
        </w:tc>
        <w:tc>
          <w:tcPr>
            <w:tcW w:w="6803" w:type="dxa"/>
          </w:tcPr>
          <w:p w14:paraId="5D3A7DFE" w14:textId="533D047B" w:rsidR="00F67E9E" w:rsidRPr="00BA56A1" w:rsidRDefault="00F67E9E" w:rsidP="0052486C">
            <w:pPr>
              <w:pStyle w:val="StdBodyText"/>
              <w:rPr>
                <w:rFonts w:cs="Arial"/>
              </w:rPr>
            </w:pPr>
            <w:r w:rsidRPr="00BA56A1">
              <w:rPr>
                <w:rFonts w:cs="Arial"/>
              </w:rPr>
              <w:t xml:space="preserve">means written confirmation from the Board in accordance with </w:t>
            </w:r>
            <w:bookmarkStart w:id="1166" w:name="_9kMHG5YVtCIB9BBcLhkhy7sFRTk7LNB01DC5ERX"/>
            <w:r w:rsidRPr="00BA56A1">
              <w:rPr>
                <w:rFonts w:cs="Arial"/>
              </w:rPr>
              <w:t xml:space="preserve">Paragraph </w:t>
            </w:r>
            <w:r w:rsidRPr="00BA56A1">
              <w:rPr>
                <w:rFonts w:cs="Arial"/>
              </w:rPr>
              <w:fldChar w:fldCharType="begin"/>
            </w:r>
            <w:r w:rsidRPr="00BA56A1">
              <w:rPr>
                <w:rFonts w:cs="Arial"/>
              </w:rPr>
              <w:instrText xml:space="preserve"> REF _Ref_ContractCompanion_9kb9Us34C \w \n \h \t \* MERGEFORMAT </w:instrText>
            </w:r>
            <w:r w:rsidRPr="00BA56A1">
              <w:rPr>
                <w:rFonts w:cs="Arial"/>
              </w:rPr>
            </w:r>
            <w:r w:rsidRPr="00BA56A1">
              <w:rPr>
                <w:rFonts w:cs="Arial"/>
              </w:rPr>
              <w:fldChar w:fldCharType="separate"/>
            </w:r>
            <w:r w:rsidR="007A1473">
              <w:rPr>
                <w:rFonts w:cs="Arial"/>
              </w:rPr>
              <w:t>8</w:t>
            </w:r>
            <w:r w:rsidRPr="00BA56A1">
              <w:rPr>
                <w:rFonts w:cs="Arial"/>
              </w:rPr>
              <w:fldChar w:fldCharType="end"/>
            </w:r>
            <w:bookmarkEnd w:id="1166"/>
            <w:r w:rsidRPr="00BA56A1">
              <w:rPr>
                <w:rFonts w:cs="Arial"/>
              </w:rPr>
              <w:t xml:space="preserve"> of this Schedule;</w:t>
            </w:r>
          </w:p>
        </w:tc>
      </w:tr>
      <w:tr w:rsidR="00F67E9E" w:rsidRPr="00BA56A1" w14:paraId="33D5019F" w14:textId="77777777" w:rsidTr="0052486C">
        <w:tc>
          <w:tcPr>
            <w:tcW w:w="2835" w:type="dxa"/>
          </w:tcPr>
          <w:p w14:paraId="32F6A960" w14:textId="77777777" w:rsidR="00F67E9E" w:rsidRPr="00BA56A1" w:rsidRDefault="00F67E9E" w:rsidP="0052486C">
            <w:pPr>
              <w:pStyle w:val="StdBodyTextBold"/>
              <w:rPr>
                <w:rFonts w:cs="Arial"/>
              </w:rPr>
            </w:pPr>
            <w:r>
              <w:rPr>
                <w:rFonts w:cs="Arial"/>
              </w:rPr>
              <w:t>“</w:t>
            </w:r>
            <w:r w:rsidRPr="00BA56A1">
              <w:rPr>
                <w:rFonts w:cs="Arial"/>
              </w:rPr>
              <w:t>Credit Rating Level</w:t>
            </w:r>
            <w:r>
              <w:rPr>
                <w:rFonts w:cs="Arial"/>
              </w:rPr>
              <w:t>”</w:t>
            </w:r>
          </w:p>
        </w:tc>
        <w:tc>
          <w:tcPr>
            <w:tcW w:w="6803" w:type="dxa"/>
          </w:tcPr>
          <w:p w14:paraId="3BCC9DF8" w14:textId="15967D2C" w:rsidR="00F67E9E" w:rsidRPr="00BA56A1" w:rsidRDefault="00F67E9E" w:rsidP="0052486C">
            <w:pPr>
              <w:pStyle w:val="StdBodyText"/>
              <w:rPr>
                <w:rFonts w:cs="Arial"/>
              </w:rPr>
            </w:pPr>
            <w:r w:rsidRPr="00BA56A1">
              <w:rPr>
                <w:rFonts w:cs="Arial"/>
              </w:rPr>
              <w:t xml:space="preserve">a credit rating level as specified in Annex </w:t>
            </w:r>
            <w:r w:rsidRPr="00BA56A1">
              <w:rPr>
                <w:rFonts w:cs="Arial"/>
              </w:rPr>
              <w:fldChar w:fldCharType="begin"/>
            </w:r>
            <w:r w:rsidRPr="00BA56A1">
              <w:rPr>
                <w:rFonts w:cs="Arial"/>
              </w:rPr>
              <w:instrText xml:space="preserve"> REF ANNEX1_SCHEDULE18 \h </w:instrText>
            </w:r>
            <w:r>
              <w:rPr>
                <w:rFonts w:cs="Arial"/>
              </w:rPr>
              <w:instrText xml:space="preserve"> \* MERGEFORMAT </w:instrText>
            </w:r>
            <w:r w:rsidRPr="00BA56A1">
              <w:rPr>
                <w:rFonts w:cs="Arial"/>
              </w:rPr>
            </w:r>
            <w:r w:rsidRPr="00BA56A1">
              <w:rPr>
                <w:rFonts w:cs="Arial"/>
              </w:rPr>
              <w:fldChar w:fldCharType="separate"/>
            </w:r>
            <w:r w:rsidR="007A1473" w:rsidRPr="007A1473">
              <w:rPr>
                <w:rFonts w:cs="Arial"/>
              </w:rPr>
              <w:t>1</w:t>
            </w:r>
            <w:r w:rsidRPr="00BA56A1">
              <w:rPr>
                <w:rFonts w:cs="Arial"/>
              </w:rPr>
              <w:fldChar w:fldCharType="end"/>
            </w:r>
            <w:r w:rsidRPr="00BA56A1">
              <w:rPr>
                <w:rFonts w:cs="Arial"/>
              </w:rPr>
              <w:t xml:space="preserve"> of this Schedule;</w:t>
            </w:r>
          </w:p>
        </w:tc>
      </w:tr>
      <w:tr w:rsidR="00F67E9E" w:rsidRPr="00753B68" w14:paraId="366AE5A7" w14:textId="77777777" w:rsidTr="0052486C">
        <w:tc>
          <w:tcPr>
            <w:tcW w:w="2835" w:type="dxa"/>
          </w:tcPr>
          <w:p w14:paraId="0DABF207" w14:textId="77777777" w:rsidR="00F67E9E" w:rsidRPr="00BA56A1" w:rsidRDefault="00F67E9E" w:rsidP="0052486C">
            <w:pPr>
              <w:pStyle w:val="StdBodyTextBold"/>
              <w:rPr>
                <w:rFonts w:cs="Arial"/>
              </w:rPr>
            </w:pPr>
            <w:r>
              <w:rPr>
                <w:rFonts w:cs="Arial"/>
              </w:rPr>
              <w:t>“</w:t>
            </w:r>
            <w:r w:rsidRPr="00BA56A1">
              <w:rPr>
                <w:rFonts w:cs="Arial"/>
              </w:rPr>
              <w:t>Credit Rating Threshold</w:t>
            </w:r>
            <w:r>
              <w:rPr>
                <w:rFonts w:cs="Arial"/>
              </w:rPr>
              <w:t>”</w:t>
            </w:r>
          </w:p>
        </w:tc>
        <w:tc>
          <w:tcPr>
            <w:tcW w:w="6803" w:type="dxa"/>
          </w:tcPr>
          <w:p w14:paraId="1870B20A" w14:textId="21CB048B" w:rsidR="00F67E9E" w:rsidRPr="00753B68" w:rsidRDefault="00F67E9E" w:rsidP="0052486C">
            <w:pPr>
              <w:pStyle w:val="StdBodyText"/>
              <w:rPr>
                <w:rFonts w:cs="Arial"/>
              </w:rPr>
            </w:pPr>
            <w:r w:rsidRPr="00BA56A1">
              <w:rPr>
                <w:rFonts w:cs="Arial"/>
              </w:rPr>
              <w:t xml:space="preserve">the minimum Credit Rating Level for each entity in the FDE Group as set out in Annex </w:t>
            </w:r>
            <w:r w:rsidRPr="00BA56A1">
              <w:rPr>
                <w:rFonts w:cs="Arial"/>
              </w:rPr>
              <w:fldChar w:fldCharType="begin"/>
            </w:r>
            <w:r w:rsidRPr="00BA56A1">
              <w:rPr>
                <w:rFonts w:cs="Arial"/>
              </w:rPr>
              <w:instrText xml:space="preserve"> REF ANNEX2_SCHEDULE18 \h </w:instrText>
            </w:r>
            <w:r>
              <w:rPr>
                <w:rFonts w:cs="Arial"/>
              </w:rPr>
              <w:instrText xml:space="preserve"> \* MERGEFORMAT </w:instrText>
            </w:r>
            <w:r w:rsidRPr="00BA56A1">
              <w:rPr>
                <w:rFonts w:cs="Arial"/>
              </w:rPr>
            </w:r>
            <w:r w:rsidRPr="00BA56A1">
              <w:rPr>
                <w:rFonts w:cs="Arial"/>
              </w:rPr>
              <w:fldChar w:fldCharType="separate"/>
            </w:r>
            <w:r w:rsidR="007A1473" w:rsidRPr="007A1473">
              <w:rPr>
                <w:rFonts w:cs="Arial"/>
              </w:rPr>
              <w:t>2</w:t>
            </w:r>
            <w:r w:rsidRPr="00BA56A1">
              <w:rPr>
                <w:rFonts w:cs="Arial"/>
              </w:rPr>
              <w:fldChar w:fldCharType="end"/>
            </w:r>
            <w:r w:rsidRPr="00BA56A1">
              <w:rPr>
                <w:rFonts w:cs="Arial"/>
              </w:rPr>
              <w:t xml:space="preserve"> of this Schedule;</w:t>
            </w:r>
          </w:p>
        </w:tc>
      </w:tr>
      <w:tr w:rsidR="00F67E9E" w:rsidRPr="00753B68" w14:paraId="69112443" w14:textId="77777777" w:rsidTr="0052486C">
        <w:tc>
          <w:tcPr>
            <w:tcW w:w="2835" w:type="dxa"/>
          </w:tcPr>
          <w:p w14:paraId="3DF8FE1A" w14:textId="77777777" w:rsidR="00F67E9E" w:rsidRPr="00753B68" w:rsidRDefault="00F67E9E" w:rsidP="0052486C">
            <w:pPr>
              <w:pStyle w:val="StdBodyTextBold"/>
              <w:rPr>
                <w:rFonts w:cs="Arial"/>
              </w:rPr>
            </w:pPr>
            <w:r>
              <w:rPr>
                <w:rFonts w:cs="Arial"/>
              </w:rPr>
              <w:t>“</w:t>
            </w:r>
            <w:r w:rsidRPr="00753B68">
              <w:rPr>
                <w:rFonts w:cs="Arial"/>
              </w:rPr>
              <w:t>FDE Group</w:t>
            </w:r>
            <w:r>
              <w:rPr>
                <w:rFonts w:cs="Arial"/>
              </w:rPr>
              <w:t>”</w:t>
            </w:r>
          </w:p>
        </w:tc>
        <w:tc>
          <w:tcPr>
            <w:tcW w:w="6803" w:type="dxa"/>
          </w:tcPr>
          <w:p w14:paraId="1438FB66" w14:textId="1B607500" w:rsidR="00F67E9E" w:rsidRPr="00753B68" w:rsidRDefault="00F67E9E" w:rsidP="000D1EC1">
            <w:pPr>
              <w:pStyle w:val="StdBodyText"/>
              <w:rPr>
                <w:rFonts w:cs="Arial"/>
              </w:rPr>
            </w:pPr>
            <w:r w:rsidRPr="000D1EC1">
              <w:rPr>
                <w:rFonts w:cs="Arial"/>
              </w:rPr>
              <w:t>means the Supplier</w:t>
            </w:r>
            <w:r w:rsidR="000D1EC1" w:rsidRPr="000D1EC1">
              <w:rPr>
                <w:rFonts w:cs="Arial"/>
              </w:rPr>
              <w:t>;</w:t>
            </w:r>
          </w:p>
        </w:tc>
      </w:tr>
      <w:tr w:rsidR="00F67E9E" w:rsidRPr="00BA56A1" w14:paraId="4EB2F196" w14:textId="77777777" w:rsidTr="0052486C">
        <w:tc>
          <w:tcPr>
            <w:tcW w:w="2835" w:type="dxa"/>
          </w:tcPr>
          <w:p w14:paraId="51A8FE9F" w14:textId="77777777" w:rsidR="00F67E9E" w:rsidRPr="00BA56A1" w:rsidRDefault="00F67E9E" w:rsidP="0052486C">
            <w:pPr>
              <w:pStyle w:val="StdBodyTextBold"/>
              <w:rPr>
                <w:rFonts w:cs="Arial"/>
              </w:rPr>
            </w:pPr>
            <w:r>
              <w:rPr>
                <w:rFonts w:cs="Arial"/>
              </w:rPr>
              <w:t>“</w:t>
            </w:r>
            <w:r w:rsidRPr="00BA56A1">
              <w:rPr>
                <w:rFonts w:cs="Arial"/>
              </w:rPr>
              <w:t>Financial Indicators</w:t>
            </w:r>
            <w:r>
              <w:rPr>
                <w:rFonts w:cs="Arial"/>
              </w:rPr>
              <w:t>”</w:t>
            </w:r>
          </w:p>
        </w:tc>
        <w:tc>
          <w:tcPr>
            <w:tcW w:w="6803" w:type="dxa"/>
          </w:tcPr>
          <w:p w14:paraId="5B3D0342" w14:textId="594B1408" w:rsidR="00F67E9E" w:rsidRPr="00BA56A1" w:rsidRDefault="00F67E9E" w:rsidP="0052486C">
            <w:pPr>
              <w:pStyle w:val="StdBodyText"/>
              <w:rPr>
                <w:rFonts w:cs="Arial"/>
              </w:rPr>
            </w:pPr>
            <w:r w:rsidRPr="00BA56A1">
              <w:rPr>
                <w:rFonts w:cs="Arial"/>
              </w:rPr>
              <w:t xml:space="preserve">in respect of the Supplier, Key Sub-contractors and the Guarantor, means each of the financial indicators set out at </w:t>
            </w:r>
            <w:bookmarkStart w:id="1167" w:name="_9kR3WTr2BC79E2knoewrqyFN"/>
            <w:r w:rsidRPr="00BA56A1">
              <w:rPr>
                <w:rFonts w:cs="Arial"/>
              </w:rPr>
              <w:t xml:space="preserve">Paragraph </w:t>
            </w:r>
            <w:r w:rsidRPr="00BA56A1">
              <w:rPr>
                <w:rFonts w:cs="Arial"/>
              </w:rPr>
              <w:fldChar w:fldCharType="begin"/>
            </w:r>
            <w:r w:rsidRPr="00BA56A1">
              <w:rPr>
                <w:rFonts w:cs="Arial"/>
              </w:rPr>
              <w:instrText xml:space="preserve"> REF _Ref_ContractCompanion_9kb9Us358 \n \h \t \* MERGEFORMAT </w:instrText>
            </w:r>
            <w:r w:rsidRPr="00BA56A1">
              <w:rPr>
                <w:rFonts w:cs="Arial"/>
              </w:rPr>
            </w:r>
            <w:r w:rsidRPr="00BA56A1">
              <w:rPr>
                <w:rFonts w:cs="Arial"/>
              </w:rPr>
              <w:fldChar w:fldCharType="separate"/>
            </w:r>
            <w:r w:rsidR="007A1473">
              <w:rPr>
                <w:rFonts w:cs="Arial"/>
              </w:rPr>
              <w:t>5.1</w:t>
            </w:r>
            <w:r w:rsidRPr="00BA56A1">
              <w:rPr>
                <w:rFonts w:cs="Arial"/>
              </w:rPr>
              <w:fldChar w:fldCharType="end"/>
            </w:r>
            <w:bookmarkEnd w:id="1167"/>
            <w:r w:rsidRPr="00BA56A1">
              <w:rPr>
                <w:rFonts w:cs="Arial"/>
              </w:rPr>
              <w:t xml:space="preserve"> of this Schedule; and in respect of each Monitored Supplier, means those Applicable Financial Indicators;</w:t>
            </w:r>
          </w:p>
        </w:tc>
      </w:tr>
      <w:tr w:rsidR="00F67E9E" w:rsidRPr="00BA56A1" w14:paraId="3CA9F98C" w14:textId="77777777" w:rsidTr="0052486C">
        <w:tc>
          <w:tcPr>
            <w:tcW w:w="2835" w:type="dxa"/>
          </w:tcPr>
          <w:p w14:paraId="41EAF5F0" w14:textId="77777777" w:rsidR="00F67E9E" w:rsidRPr="00BA56A1" w:rsidRDefault="00F67E9E" w:rsidP="0052486C">
            <w:pPr>
              <w:pStyle w:val="StdBodyTextBold"/>
              <w:rPr>
                <w:rFonts w:cs="Arial"/>
              </w:rPr>
            </w:pPr>
            <w:r>
              <w:rPr>
                <w:rFonts w:cs="Arial"/>
              </w:rPr>
              <w:t>“</w:t>
            </w:r>
            <w:r w:rsidRPr="00BA56A1">
              <w:rPr>
                <w:rFonts w:cs="Arial"/>
              </w:rPr>
              <w:t>Financial Target Thresholds</w:t>
            </w:r>
            <w:r>
              <w:rPr>
                <w:rFonts w:cs="Arial"/>
              </w:rPr>
              <w:t>”</w:t>
            </w:r>
          </w:p>
        </w:tc>
        <w:tc>
          <w:tcPr>
            <w:tcW w:w="6803" w:type="dxa"/>
          </w:tcPr>
          <w:p w14:paraId="6DE9C7FC" w14:textId="79B72D15" w:rsidR="00F67E9E" w:rsidRPr="00BA56A1" w:rsidRDefault="00F67E9E" w:rsidP="0052486C">
            <w:pPr>
              <w:pStyle w:val="StdBodyText"/>
              <w:rPr>
                <w:rFonts w:cs="Arial"/>
              </w:rPr>
            </w:pPr>
            <w:r w:rsidRPr="00BA56A1">
              <w:rPr>
                <w:rFonts w:cs="Arial"/>
              </w:rPr>
              <w:t xml:space="preserve">means the target thresholds for each of the Financial Indicators set out at </w:t>
            </w:r>
            <w:bookmarkStart w:id="1168" w:name="_9kMHG5YVt4DE9BG4mpqgyts0HP"/>
            <w:r w:rsidRPr="00BA56A1">
              <w:rPr>
                <w:rFonts w:cs="Arial"/>
              </w:rPr>
              <w:t xml:space="preserve">Paragraph </w:t>
            </w:r>
            <w:r w:rsidRPr="00BA56A1">
              <w:rPr>
                <w:rFonts w:cs="Arial"/>
              </w:rPr>
              <w:fldChar w:fldCharType="begin"/>
            </w:r>
            <w:r w:rsidRPr="00BA56A1">
              <w:rPr>
                <w:rFonts w:cs="Arial"/>
              </w:rPr>
              <w:instrText xml:space="preserve"> REF _Ref_ContractCompanion_9kb9Us358 \n \h \t \* MERGEFORMAT </w:instrText>
            </w:r>
            <w:r w:rsidRPr="00BA56A1">
              <w:rPr>
                <w:rFonts w:cs="Arial"/>
              </w:rPr>
            </w:r>
            <w:r w:rsidRPr="00BA56A1">
              <w:rPr>
                <w:rFonts w:cs="Arial"/>
              </w:rPr>
              <w:fldChar w:fldCharType="separate"/>
            </w:r>
            <w:r w:rsidR="007A1473">
              <w:rPr>
                <w:rFonts w:cs="Arial"/>
              </w:rPr>
              <w:t>5.1</w:t>
            </w:r>
            <w:r w:rsidRPr="00BA56A1">
              <w:rPr>
                <w:rFonts w:cs="Arial"/>
              </w:rPr>
              <w:fldChar w:fldCharType="end"/>
            </w:r>
            <w:bookmarkEnd w:id="1168"/>
            <w:r w:rsidRPr="00BA56A1">
              <w:rPr>
                <w:rFonts w:cs="Arial"/>
              </w:rPr>
              <w:t xml:space="preserve"> of this Schedule;</w:t>
            </w:r>
          </w:p>
        </w:tc>
      </w:tr>
      <w:tr w:rsidR="00F67E9E" w:rsidRPr="00BA56A1" w14:paraId="63E8DBF7" w14:textId="77777777" w:rsidTr="0052486C">
        <w:tc>
          <w:tcPr>
            <w:tcW w:w="2835" w:type="dxa"/>
          </w:tcPr>
          <w:p w14:paraId="5FD73205" w14:textId="77777777" w:rsidR="00F67E9E" w:rsidRPr="00BA56A1" w:rsidRDefault="00F67E9E" w:rsidP="0052486C">
            <w:pPr>
              <w:pStyle w:val="StdBodyTextBold"/>
              <w:rPr>
                <w:rFonts w:cs="Arial"/>
              </w:rPr>
            </w:pPr>
            <w:r>
              <w:rPr>
                <w:rFonts w:cs="Arial"/>
              </w:rPr>
              <w:t>“</w:t>
            </w:r>
            <w:r w:rsidRPr="00BA56A1">
              <w:rPr>
                <w:rFonts w:cs="Arial"/>
              </w:rPr>
              <w:t>Monitored Suppliers</w:t>
            </w:r>
            <w:r>
              <w:rPr>
                <w:rFonts w:cs="Arial"/>
              </w:rPr>
              <w:t>”</w:t>
            </w:r>
          </w:p>
        </w:tc>
        <w:tc>
          <w:tcPr>
            <w:tcW w:w="6803" w:type="dxa"/>
          </w:tcPr>
          <w:p w14:paraId="5DA6D291" w14:textId="3573E479" w:rsidR="00F67E9E" w:rsidRPr="00BA56A1" w:rsidRDefault="00F67E9E" w:rsidP="0052486C">
            <w:pPr>
              <w:pStyle w:val="StdBodyText"/>
              <w:rPr>
                <w:rFonts w:cs="Arial"/>
              </w:rPr>
            </w:pPr>
            <w:r w:rsidRPr="00BA56A1">
              <w:rPr>
                <w:rFonts w:cs="Arial"/>
              </w:rPr>
              <w:t xml:space="preserve">means those entities specified at </w:t>
            </w:r>
            <w:bookmarkStart w:id="1169" w:name="_9kR3WTr2BC79H5knoewrqyFO"/>
            <w:r w:rsidRPr="00BA56A1">
              <w:rPr>
                <w:rFonts w:cs="Arial"/>
              </w:rPr>
              <w:t xml:space="preserve">Paragraph </w:t>
            </w:r>
            <w:r w:rsidRPr="00BA56A1">
              <w:rPr>
                <w:rFonts w:cs="Arial"/>
              </w:rPr>
              <w:fldChar w:fldCharType="begin"/>
            </w:r>
            <w:r w:rsidRPr="00BA56A1">
              <w:rPr>
                <w:rFonts w:cs="Arial"/>
              </w:rPr>
              <w:instrText xml:space="preserve"> REF _Ref_ContractCompanion_9kb9Us35B \n \h \t \* MERGEFORMAT </w:instrText>
            </w:r>
            <w:r w:rsidRPr="00BA56A1">
              <w:rPr>
                <w:rFonts w:cs="Arial"/>
              </w:rPr>
            </w:r>
            <w:r w:rsidRPr="00BA56A1">
              <w:rPr>
                <w:rFonts w:cs="Arial"/>
              </w:rPr>
              <w:fldChar w:fldCharType="separate"/>
            </w:r>
            <w:r w:rsidR="007A1473">
              <w:rPr>
                <w:rFonts w:cs="Arial"/>
              </w:rPr>
              <w:t>5.2</w:t>
            </w:r>
            <w:r w:rsidRPr="00BA56A1">
              <w:rPr>
                <w:rFonts w:cs="Arial"/>
              </w:rPr>
              <w:fldChar w:fldCharType="end"/>
            </w:r>
            <w:bookmarkEnd w:id="1169"/>
            <w:r w:rsidRPr="00BA56A1">
              <w:rPr>
                <w:rFonts w:cs="Arial"/>
              </w:rPr>
              <w:t xml:space="preserve"> of this Schedule;</w:t>
            </w:r>
            <w:r>
              <w:rPr>
                <w:rFonts w:cs="Arial"/>
              </w:rPr>
              <w:t xml:space="preserve"> and</w:t>
            </w:r>
          </w:p>
        </w:tc>
      </w:tr>
      <w:tr w:rsidR="00F67E9E" w:rsidRPr="00BA56A1" w14:paraId="5E3A0D5C" w14:textId="77777777" w:rsidTr="0052486C">
        <w:tc>
          <w:tcPr>
            <w:tcW w:w="2835" w:type="dxa"/>
          </w:tcPr>
          <w:p w14:paraId="774B8405" w14:textId="77777777" w:rsidR="00F67E9E" w:rsidRPr="00BA56A1" w:rsidRDefault="00F67E9E" w:rsidP="0052486C">
            <w:pPr>
              <w:pStyle w:val="StdBodyTextBold"/>
              <w:rPr>
                <w:rFonts w:cs="Arial"/>
              </w:rPr>
            </w:pPr>
            <w:r>
              <w:rPr>
                <w:rFonts w:cs="Arial"/>
              </w:rPr>
              <w:t>“</w:t>
            </w:r>
            <w:r w:rsidRPr="00BA56A1">
              <w:rPr>
                <w:rFonts w:cs="Arial"/>
              </w:rPr>
              <w:t>Rating Agencies</w:t>
            </w:r>
            <w:r>
              <w:rPr>
                <w:rFonts w:cs="Arial"/>
              </w:rPr>
              <w:t>”</w:t>
            </w:r>
          </w:p>
        </w:tc>
        <w:tc>
          <w:tcPr>
            <w:tcW w:w="6803" w:type="dxa"/>
          </w:tcPr>
          <w:p w14:paraId="2714A63C" w14:textId="4D5CE8A9" w:rsidR="00F67E9E" w:rsidRPr="00BA56A1" w:rsidRDefault="00F67E9E" w:rsidP="0052486C">
            <w:pPr>
              <w:pStyle w:val="StdBodyText"/>
              <w:rPr>
                <w:rFonts w:cs="Arial"/>
              </w:rPr>
            </w:pPr>
            <w:r w:rsidRPr="00BA56A1">
              <w:rPr>
                <w:rFonts w:cs="Arial"/>
              </w:rPr>
              <w:t xml:space="preserve">the rating agencies listed in Annex </w:t>
            </w:r>
            <w:r w:rsidRPr="00BA56A1">
              <w:rPr>
                <w:rFonts w:cs="Arial"/>
              </w:rPr>
              <w:fldChar w:fldCharType="begin"/>
            </w:r>
            <w:r w:rsidRPr="00BA56A1">
              <w:rPr>
                <w:rFonts w:cs="Arial"/>
              </w:rPr>
              <w:instrText xml:space="preserve"> REF ANNEX1_SCHEDULE18 \h </w:instrText>
            </w:r>
            <w:r>
              <w:rPr>
                <w:rFonts w:cs="Arial"/>
              </w:rPr>
              <w:instrText xml:space="preserve"> \* MERGEFORMAT </w:instrText>
            </w:r>
            <w:r w:rsidRPr="00BA56A1">
              <w:rPr>
                <w:rFonts w:cs="Arial"/>
              </w:rPr>
            </w:r>
            <w:r w:rsidRPr="00BA56A1">
              <w:rPr>
                <w:rFonts w:cs="Arial"/>
              </w:rPr>
              <w:fldChar w:fldCharType="separate"/>
            </w:r>
            <w:r w:rsidR="007A1473" w:rsidRPr="007A1473">
              <w:rPr>
                <w:rFonts w:cs="Arial"/>
              </w:rPr>
              <w:t>1</w:t>
            </w:r>
            <w:r w:rsidRPr="00BA56A1">
              <w:rPr>
                <w:rFonts w:cs="Arial"/>
              </w:rPr>
              <w:fldChar w:fldCharType="end"/>
            </w:r>
            <w:r w:rsidRPr="00BA56A1">
              <w:rPr>
                <w:rFonts w:cs="Arial"/>
              </w:rPr>
              <w:t xml:space="preserve"> of this Schedule.</w:t>
            </w:r>
          </w:p>
        </w:tc>
      </w:tr>
    </w:tbl>
    <w:p w14:paraId="741F59C9" w14:textId="77777777" w:rsidR="00F67E9E" w:rsidRPr="00BA56A1" w:rsidRDefault="00F67E9E" w:rsidP="00F67E9E">
      <w:pPr>
        <w:pStyle w:val="Numbered1"/>
      </w:pPr>
      <w:bookmarkStart w:id="1170" w:name="_9kMHG5YVtAGA67AD"/>
      <w:bookmarkStart w:id="1171" w:name="_Ref_ContractCompanion_9kb9Us3BE"/>
      <w:bookmarkEnd w:id="1170"/>
      <w:r w:rsidRPr="00980373">
        <w:t>Warranties</w:t>
      </w:r>
      <w:r w:rsidRPr="00BA56A1">
        <w:t xml:space="preserve"> </w:t>
      </w:r>
      <w:r>
        <w:t>a</w:t>
      </w:r>
      <w:r w:rsidRPr="00BA56A1">
        <w:t xml:space="preserve">nd Duty </w:t>
      </w:r>
      <w:r>
        <w:t>t</w:t>
      </w:r>
      <w:r w:rsidRPr="00BA56A1">
        <w:t>o Notify</w:t>
      </w:r>
      <w:bookmarkEnd w:id="1171"/>
    </w:p>
    <w:p w14:paraId="71C46C47" w14:textId="77777777" w:rsidR="00F67E9E" w:rsidRPr="00BA56A1" w:rsidRDefault="00F67E9E" w:rsidP="00F67E9E">
      <w:pPr>
        <w:pStyle w:val="Numbered11"/>
        <w:keepNext/>
      </w:pPr>
      <w:r w:rsidRPr="00BA56A1">
        <w:t xml:space="preserve">The Supplier warrants and represents to the Authority for the benefit of the Authority that as at the </w:t>
      </w:r>
      <w:r w:rsidRPr="00980373">
        <w:t>Effective</w:t>
      </w:r>
      <w:r w:rsidRPr="00BA56A1">
        <w:t xml:space="preserve"> Date:</w:t>
      </w:r>
    </w:p>
    <w:p w14:paraId="177ACE2A" w14:textId="7BA76F3C" w:rsidR="00F67E9E" w:rsidRPr="00980373" w:rsidRDefault="00F67E9E" w:rsidP="00F67E9E">
      <w:pPr>
        <w:pStyle w:val="Numbered111"/>
      </w:pPr>
      <w:r w:rsidRPr="00BA56A1">
        <w:t xml:space="preserve">the long term credit ratings issued for each entity in the FDE Group by each of the Rating </w:t>
      </w:r>
      <w:r w:rsidRPr="00980373">
        <w:t xml:space="preserve">Agencies are as set out in Annex </w:t>
      </w:r>
      <w:r w:rsidRPr="00980373">
        <w:fldChar w:fldCharType="begin"/>
      </w:r>
      <w:r w:rsidRPr="00980373">
        <w:instrText xml:space="preserve"> REF ANNEX2_SCHEDULE18 \h  \* MERGEFORMAT </w:instrText>
      </w:r>
      <w:r w:rsidRPr="00980373">
        <w:fldChar w:fldCharType="separate"/>
      </w:r>
      <w:r w:rsidR="007A1473" w:rsidRPr="00D00D9A">
        <w:t>2</w:t>
      </w:r>
      <w:r w:rsidRPr="00980373">
        <w:fldChar w:fldCharType="end"/>
      </w:r>
      <w:r w:rsidRPr="00980373">
        <w:t xml:space="preserve"> of this Schedule; and</w:t>
      </w:r>
    </w:p>
    <w:p w14:paraId="5D43EA29" w14:textId="77777777" w:rsidR="00F67E9E" w:rsidRPr="00BA56A1" w:rsidRDefault="00F67E9E" w:rsidP="00F67E9E">
      <w:pPr>
        <w:pStyle w:val="Numbered111"/>
      </w:pPr>
      <w:r w:rsidRPr="00980373">
        <w:t>the financial position or, as appropriate, the financial performance of each of the Supplier, Guarantor</w:t>
      </w:r>
      <w:r w:rsidRPr="00BA56A1">
        <w:t xml:space="preserve"> and Key Sub-contractors satisfies the Financial Target Thresholds.</w:t>
      </w:r>
    </w:p>
    <w:p w14:paraId="117B1CFC" w14:textId="77777777" w:rsidR="00F67E9E" w:rsidRPr="00190AA9" w:rsidRDefault="00F67E9E" w:rsidP="00F67E9E">
      <w:pPr>
        <w:pStyle w:val="Numbered11"/>
      </w:pPr>
      <w:r w:rsidRPr="00BA56A1">
        <w:t xml:space="preserve">The Supplier shall promptly notify (or shall procure that its auditors promptly notify) the </w:t>
      </w:r>
      <w:r w:rsidRPr="00BA56A1">
        <w:lastRenderedPageBreak/>
        <w:t xml:space="preserve">Authority in writing if there is any downgrade in the credit rating issued by any Rating Agency for any entity in the FDE Group (and in any event within 5 Working Days of the occurrence </w:t>
      </w:r>
      <w:r w:rsidRPr="00190AA9">
        <w:t>of the downgrade).</w:t>
      </w:r>
    </w:p>
    <w:p w14:paraId="3B13AD37" w14:textId="77777777" w:rsidR="00F67E9E" w:rsidRPr="00BA56A1" w:rsidRDefault="00F67E9E" w:rsidP="00F67E9E">
      <w:pPr>
        <w:pStyle w:val="Numbered11"/>
      </w:pPr>
      <w:r w:rsidRPr="00190AA9">
        <w:t>The Supplier sh</w:t>
      </w:r>
      <w:r w:rsidRPr="00BA56A1">
        <w:t xml:space="preserve">all: </w:t>
      </w:r>
    </w:p>
    <w:p w14:paraId="7CE8DD43" w14:textId="77777777" w:rsidR="00F67E9E" w:rsidRPr="00190AA9" w:rsidRDefault="00F67E9E" w:rsidP="00F67E9E">
      <w:pPr>
        <w:pStyle w:val="Numbered111"/>
      </w:pPr>
      <w:r w:rsidRPr="00190AA9">
        <w:t>regularly monitor the credit ratings of each entity in the FDE Group with the Rating Agencies;</w:t>
      </w:r>
    </w:p>
    <w:p w14:paraId="0C7D3BB8" w14:textId="36D1853B" w:rsidR="00F67E9E" w:rsidRPr="00190AA9" w:rsidRDefault="00F67E9E" w:rsidP="00F67E9E">
      <w:pPr>
        <w:pStyle w:val="Numbered111"/>
      </w:pPr>
      <w:bookmarkStart w:id="1172" w:name="_9kR3WTrAG97AEEDnky0v298vsw132DGMKFLG2ba"/>
      <w:bookmarkStart w:id="1173" w:name="_Ref_ContractCompanion_9kb9Ur27C"/>
      <w:bookmarkStart w:id="1174" w:name="_Ref_ContractCompanion_9kb9Us368"/>
      <w:bookmarkStart w:id="1175" w:name="_Ref_ContractCompanion_9kb9Us39E"/>
      <w:r w:rsidRPr="00190AA9">
        <w:t xml:space="preserve">monitor and report on the Financial Indicators for each entity in the FDE Group against the Financial Target Thresholds at least at the frequency set out for each at </w:t>
      </w:r>
      <w:bookmarkStart w:id="1176" w:name="_9kMIH5YVt4DDEHHfGpqgyts0HP"/>
      <w:r w:rsidRPr="00190AA9">
        <w:t xml:space="preserve">Paragraph </w:t>
      </w:r>
      <w:r w:rsidRPr="00190AA9">
        <w:fldChar w:fldCharType="begin"/>
      </w:r>
      <w:r w:rsidRPr="00190AA9">
        <w:instrText xml:space="preserve"> REF _Ref_ContractCompanion_9kb9Ur8B7 \n \h \t \* MERGEFORMAT </w:instrText>
      </w:r>
      <w:r w:rsidRPr="00190AA9">
        <w:fldChar w:fldCharType="separate"/>
      </w:r>
      <w:r w:rsidR="007A1473">
        <w:t>5.1</w:t>
      </w:r>
      <w:r w:rsidRPr="00190AA9">
        <w:fldChar w:fldCharType="end"/>
      </w:r>
      <w:bookmarkEnd w:id="1176"/>
      <w:r w:rsidRPr="00190AA9">
        <w:t xml:space="preserve"> (where specified) and in any event, on a regular basis and no less than once a year within 120 days after the Accounting Reference Date;</w:t>
      </w:r>
      <w:bookmarkEnd w:id="1172"/>
      <w:r w:rsidRPr="00190AA9">
        <w:t xml:space="preserve"> and</w:t>
      </w:r>
      <w:bookmarkEnd w:id="1173"/>
      <w:bookmarkEnd w:id="1174"/>
      <w:bookmarkEnd w:id="1175"/>
    </w:p>
    <w:p w14:paraId="3B68B65E" w14:textId="77777777" w:rsidR="00F67E9E" w:rsidRPr="00BA56A1" w:rsidRDefault="00F67E9E" w:rsidP="00F67E9E">
      <w:pPr>
        <w:pStyle w:val="Numbered111"/>
      </w:pPr>
      <w:bookmarkStart w:id="1177" w:name="_Ref_ContractCompanion_9kb9Us3AB"/>
      <w:r w:rsidRPr="00190AA9">
        <w:t>promptly notify (or shall procure that its auditors promptly notify) the Authority in writing</w:t>
      </w:r>
      <w:r w:rsidRPr="00BA56A1">
        <w:t xml:space="preserve">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177"/>
    </w:p>
    <w:p w14:paraId="3B291AA7" w14:textId="1F37AB6C" w:rsidR="00F67E9E" w:rsidRPr="00BA56A1" w:rsidRDefault="00F67E9E" w:rsidP="00F67E9E">
      <w:pPr>
        <w:pStyle w:val="Numbered11"/>
      </w:pPr>
      <w:r w:rsidRPr="00BA56A1">
        <w:t xml:space="preserve">For the purposes of determining whether a Financial Distress Event has occurred pursuant to the provision of </w:t>
      </w:r>
      <w:bookmarkStart w:id="1178" w:name="_9kR3WTr2BC7ABYEnoewrqy2PMu"/>
      <w:r w:rsidRPr="00BA56A1">
        <w:t xml:space="preserve">Paragraph </w:t>
      </w:r>
      <w:r w:rsidRPr="00BA56A1">
        <w:fldChar w:fldCharType="begin"/>
      </w:r>
      <w:r w:rsidRPr="00BA56A1">
        <w:instrText xml:space="preserve"> REF _Ref_ContractCompanion_9kb9Us365 \w \h \t \* MERGEFORMAT </w:instrText>
      </w:r>
      <w:r w:rsidRPr="00BA56A1">
        <w:fldChar w:fldCharType="separate"/>
      </w:r>
      <w:r w:rsidR="007A1473">
        <w:t>3.1.1</w:t>
      </w:r>
      <w:r w:rsidRPr="00BA56A1">
        <w:fldChar w:fldCharType="end"/>
      </w:r>
      <w:bookmarkEnd w:id="1178"/>
      <w:r w:rsidRPr="00BA56A1">
        <w:t xml:space="preserve">, and for the purposes of determining relief under </w:t>
      </w:r>
      <w:bookmarkStart w:id="1179" w:name="_9kMJI5YVt4DDCKOhGpqgyts0JR"/>
      <w:r w:rsidRPr="00BA56A1">
        <w:t xml:space="preserve">Paragraph </w:t>
      </w:r>
      <w:r w:rsidRPr="00BA56A1">
        <w:fldChar w:fldCharType="begin"/>
      </w:r>
      <w:r w:rsidRPr="00BA56A1">
        <w:instrText xml:space="preserve"> REF _Ref_ContractCompanion_9kb9Ur6EG \n \h \t \* MERGEFORMAT </w:instrText>
      </w:r>
      <w:r w:rsidRPr="00BA56A1">
        <w:fldChar w:fldCharType="separate"/>
      </w:r>
      <w:r w:rsidR="007A1473">
        <w:t>7.1</w:t>
      </w:r>
      <w:r w:rsidRPr="00BA56A1">
        <w:fldChar w:fldCharType="end"/>
      </w:r>
      <w:bookmarkEnd w:id="1179"/>
      <w:r w:rsidRPr="00BA56A1">
        <w:t>, the credit rating of an FDE Group entity shall be deemed to have dropped below the applicable Credit Rating Threshold if:</w:t>
      </w:r>
    </w:p>
    <w:p w14:paraId="32F03EBA" w14:textId="77777777" w:rsidR="00F67E9E" w:rsidRPr="00190AA9" w:rsidRDefault="00F67E9E" w:rsidP="00F67E9E">
      <w:pPr>
        <w:pStyle w:val="Numbered111"/>
      </w:pPr>
      <w:r w:rsidRPr="00BA56A1">
        <w:t>any of the Rating Agencies have given a Credit Rating Level for that entity which is b</w:t>
      </w:r>
      <w:r w:rsidRPr="00190AA9">
        <w:t>elow the applicable Credit Rating Threshold; or</w:t>
      </w:r>
    </w:p>
    <w:p w14:paraId="45A3390A" w14:textId="04E9A9CD" w:rsidR="00F67E9E" w:rsidRPr="00BA56A1" w:rsidRDefault="00F67E9E" w:rsidP="00F67E9E">
      <w:pPr>
        <w:pStyle w:val="Numbered111"/>
      </w:pPr>
      <w:r w:rsidRPr="00190AA9">
        <w:t>a Rating</w:t>
      </w:r>
      <w:r w:rsidRPr="00BA56A1">
        <w:t xml:space="preserve"> Agency that is specified as holding a Credit Rating for an entity as set out at Annex </w:t>
      </w:r>
      <w:r w:rsidRPr="00BA56A1">
        <w:fldChar w:fldCharType="begin"/>
      </w:r>
      <w:r w:rsidRPr="00BA56A1">
        <w:instrText xml:space="preserve"> REF ANNEX2_SCHEDULE18 \h </w:instrText>
      </w:r>
      <w:r>
        <w:instrText xml:space="preserve"> \* MERGEFORMAT </w:instrText>
      </w:r>
      <w:r w:rsidRPr="00BA56A1">
        <w:fldChar w:fldCharType="separate"/>
      </w:r>
      <w:r w:rsidR="007A1473" w:rsidRPr="00D00D9A">
        <w:t>2</w:t>
      </w:r>
      <w:r w:rsidRPr="00BA56A1">
        <w:fldChar w:fldCharType="end"/>
      </w:r>
      <w:r w:rsidRPr="00BA56A1">
        <w:t xml:space="preserve"> of this Schedule ceases to hold a Credit Rating for that entity.</w:t>
      </w:r>
    </w:p>
    <w:p w14:paraId="21D01BD0" w14:textId="6086C6C6" w:rsidR="00F67E9E" w:rsidRPr="00BA56A1" w:rsidRDefault="00F67E9E" w:rsidP="00F67E9E">
      <w:pPr>
        <w:pStyle w:val="Numbered11"/>
      </w:pPr>
      <w:bookmarkStart w:id="1180" w:name="_Ref_ContractCompanion_9kb9Us7CA"/>
      <w:r w:rsidRPr="00BA56A1">
        <w:t xml:space="preserve">Each </w:t>
      </w:r>
      <w:r w:rsidRPr="00190AA9">
        <w:t>report</w:t>
      </w:r>
      <w:r w:rsidRPr="00BA56A1">
        <w:t xml:space="preserve"> submitted by the Supplier pursuant to </w:t>
      </w:r>
      <w:bookmarkStart w:id="1181" w:name="_9kMHG5YVtCIB9CGGFpm02x4BAxuy354FIOMHNI4"/>
      <w:r w:rsidRPr="00BA56A1">
        <w:t xml:space="preserve">Paragraph </w:t>
      </w:r>
      <w:r w:rsidRPr="00BA56A1">
        <w:fldChar w:fldCharType="begin"/>
      </w:r>
      <w:r w:rsidRPr="00BA56A1">
        <w:instrText xml:space="preserve"> REF _Ref_ContractCompanion_9kb9Us368 \w \h \t \* MERGEFORMAT </w:instrText>
      </w:r>
      <w:r w:rsidRPr="00BA56A1">
        <w:fldChar w:fldCharType="separate"/>
      </w:r>
      <w:r w:rsidR="007A1473">
        <w:t>2.3.2</w:t>
      </w:r>
      <w:r w:rsidRPr="00BA56A1">
        <w:fldChar w:fldCharType="end"/>
      </w:r>
      <w:bookmarkEnd w:id="1181"/>
      <w:r w:rsidRPr="00BA56A1">
        <w:t xml:space="preserve"> shall:</w:t>
      </w:r>
      <w:bookmarkEnd w:id="1180"/>
    </w:p>
    <w:p w14:paraId="47C7B29C" w14:textId="77777777" w:rsidR="00F67E9E" w:rsidRPr="00190AA9" w:rsidRDefault="00F67E9E" w:rsidP="00F67E9E">
      <w:pPr>
        <w:pStyle w:val="Numbered111"/>
      </w:pPr>
      <w:r w:rsidRPr="00BA56A1">
        <w:t xml:space="preserve">be a </w:t>
      </w:r>
      <w:r w:rsidRPr="00190AA9">
        <w:t>single report with separate sections for each of the FDE Group entities;</w:t>
      </w:r>
    </w:p>
    <w:p w14:paraId="531BDF6A" w14:textId="77777777" w:rsidR="00F67E9E" w:rsidRPr="00190AA9" w:rsidRDefault="00F67E9E" w:rsidP="00F67E9E">
      <w:pPr>
        <w:pStyle w:val="Numbered111"/>
      </w:pPr>
      <w:r w:rsidRPr="00190AA9">
        <w:t>contain a sufficient level of information to enable the Authority to verify the calculations that have been made in respect of the Financial Indicators;</w:t>
      </w:r>
    </w:p>
    <w:p w14:paraId="6F56D00E" w14:textId="77777777" w:rsidR="00F67E9E" w:rsidRPr="00190AA9" w:rsidRDefault="00F67E9E" w:rsidP="00F67E9E">
      <w:pPr>
        <w:pStyle w:val="Numbered111"/>
      </w:pPr>
      <w:r w:rsidRPr="00190AA9">
        <w:t>include key financial and other supporting information (including any accounts data that has been relied on) as separate annexes;</w:t>
      </w:r>
    </w:p>
    <w:p w14:paraId="70788E29" w14:textId="77777777" w:rsidR="00F67E9E" w:rsidRPr="00190AA9" w:rsidRDefault="00F67E9E" w:rsidP="00F67E9E">
      <w:pPr>
        <w:pStyle w:val="Numbered111"/>
      </w:pPr>
      <w:r w:rsidRPr="00190AA9">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5BF2BC72" w14:textId="77777777" w:rsidR="00F67E9E" w:rsidRPr="00BA56A1" w:rsidRDefault="00F67E9E" w:rsidP="00F67E9E">
      <w:pPr>
        <w:pStyle w:val="Numbered111"/>
      </w:pPr>
      <w:r w:rsidRPr="00190AA9">
        <w:t>include a history of the Financial Indicators reported by the Supplier in graph form to enable the Authority to easily analyse and assess the trends in financial performance</w:t>
      </w:r>
      <w:r w:rsidRPr="00BA56A1">
        <w:t>.</w:t>
      </w:r>
    </w:p>
    <w:p w14:paraId="0A343D81" w14:textId="77777777" w:rsidR="00F67E9E" w:rsidRPr="00BA56A1" w:rsidRDefault="00F67E9E" w:rsidP="00F67E9E">
      <w:pPr>
        <w:pStyle w:val="Numbered1"/>
      </w:pPr>
      <w:r w:rsidRPr="00BA56A1">
        <w:lastRenderedPageBreak/>
        <w:t xml:space="preserve">Financial </w:t>
      </w:r>
      <w:r w:rsidRPr="00190AA9">
        <w:t>Distress</w:t>
      </w:r>
      <w:r w:rsidRPr="00BA56A1">
        <w:t xml:space="preserve"> Events</w:t>
      </w:r>
    </w:p>
    <w:p w14:paraId="11283A69" w14:textId="77777777" w:rsidR="00F67E9E" w:rsidRPr="00BA56A1" w:rsidRDefault="00F67E9E" w:rsidP="00F67E9E">
      <w:pPr>
        <w:pStyle w:val="Numbered11"/>
      </w:pPr>
      <w:bookmarkStart w:id="1182" w:name="_Ref44508774"/>
      <w:r w:rsidRPr="00BA56A1">
        <w:t xml:space="preserve">The following shall be </w:t>
      </w:r>
      <w:r w:rsidRPr="00190AA9">
        <w:t>Financial</w:t>
      </w:r>
      <w:r w:rsidRPr="00BA56A1">
        <w:t xml:space="preserve"> Distress Events:</w:t>
      </w:r>
      <w:bookmarkEnd w:id="1182"/>
    </w:p>
    <w:p w14:paraId="4F5578A1" w14:textId="77777777" w:rsidR="00F67E9E" w:rsidRPr="00190AA9" w:rsidRDefault="00F67E9E" w:rsidP="00F67E9E">
      <w:pPr>
        <w:pStyle w:val="Numbered111"/>
      </w:pPr>
      <w:bookmarkStart w:id="1183" w:name="_Ref_ContractCompanion_9kb9Us365"/>
      <w:r w:rsidRPr="00BA56A1">
        <w:t xml:space="preserve">the </w:t>
      </w:r>
      <w:r w:rsidRPr="00190AA9">
        <w:t>credit rating of an FDE Group entity dropping below the applicable Credit Rating Threshold;</w:t>
      </w:r>
      <w:bookmarkEnd w:id="1183"/>
    </w:p>
    <w:p w14:paraId="1D0191F5" w14:textId="77777777" w:rsidR="00F67E9E" w:rsidRPr="00190AA9" w:rsidRDefault="00F67E9E" w:rsidP="00F67E9E">
      <w:pPr>
        <w:pStyle w:val="Numbered111"/>
      </w:pPr>
      <w:bookmarkStart w:id="1184" w:name="_Ref_ContractCompanion_9kb9Us3BH"/>
      <w:r w:rsidRPr="00190AA9">
        <w:t>an FDE Group entity issuing a profits warning to a stock exchange or making any other public announcement, in each case about a material deterioration in its financial position or prospects;</w:t>
      </w:r>
      <w:bookmarkEnd w:id="1184"/>
    </w:p>
    <w:p w14:paraId="604912D5" w14:textId="77777777" w:rsidR="00F67E9E" w:rsidRPr="00190AA9" w:rsidRDefault="00F67E9E" w:rsidP="00F67E9E">
      <w:pPr>
        <w:pStyle w:val="Numbered111"/>
      </w:pPr>
      <w:r w:rsidRPr="00190AA9">
        <w:t xml:space="preserve">there being a public investigation into improper financial accounting and reporting, suspected fraud or any other impropriety of an FDE Group entity; </w:t>
      </w:r>
    </w:p>
    <w:p w14:paraId="6E64635F" w14:textId="77777777" w:rsidR="00F67E9E" w:rsidRPr="00190AA9" w:rsidRDefault="00F67E9E" w:rsidP="00F67E9E">
      <w:pPr>
        <w:pStyle w:val="Numbered111"/>
      </w:pPr>
      <w:r w:rsidRPr="00190AA9">
        <w:t xml:space="preserve">an FDE Group entity committing a material breach of covenant to its lenders; </w:t>
      </w:r>
    </w:p>
    <w:p w14:paraId="1C45263B" w14:textId="77777777" w:rsidR="00F67E9E" w:rsidRPr="00190AA9" w:rsidRDefault="00F67E9E" w:rsidP="00F67E9E">
      <w:pPr>
        <w:pStyle w:val="Numbered111"/>
      </w:pPr>
      <w:bookmarkStart w:id="1185" w:name="_Ref_ContractCompanion_9kb9Us378"/>
      <w:r w:rsidRPr="00190AA9">
        <w:t xml:space="preserve">a Key Sub-contractor notifying the Authority that the Supplier has not satisfied any material sums properly due under a specified invoice and not subject to a genuine dispute; </w:t>
      </w:r>
      <w:bookmarkEnd w:id="1185"/>
    </w:p>
    <w:p w14:paraId="23D85C82" w14:textId="77777777" w:rsidR="00F67E9E" w:rsidRPr="00190AA9" w:rsidRDefault="00F67E9E" w:rsidP="00F67E9E">
      <w:pPr>
        <w:pStyle w:val="Numbered111"/>
      </w:pPr>
      <w:r w:rsidRPr="00190AA9">
        <w:t>any FDE Group entity extends the filing period for filing its accounts with the Registrar of Companies so that the filing period ends more than 9 months after its accounting reference date without an explanation to the Authority which the Authority (acting reasonably) considers to be adequate;</w:t>
      </w:r>
    </w:p>
    <w:p w14:paraId="3E61AE1C" w14:textId="77777777" w:rsidR="00F67E9E" w:rsidRPr="00190AA9" w:rsidRDefault="00F67E9E" w:rsidP="00F67E9E">
      <w:pPr>
        <w:pStyle w:val="Numbered111"/>
      </w:pPr>
      <w:r w:rsidRPr="00190AA9">
        <w:t>any FDE Group entity is late to file its annual accounts without a public notification or an explanation to the Authority which the Authority, acting reasonably, considers to be adequate;</w:t>
      </w:r>
    </w:p>
    <w:p w14:paraId="44613B91" w14:textId="77777777" w:rsidR="00F67E9E" w:rsidRPr="00190AA9" w:rsidRDefault="00F67E9E" w:rsidP="00F67E9E">
      <w:pPr>
        <w:pStyle w:val="Numbered111"/>
      </w:pPr>
      <w:r w:rsidRPr="00190AA9">
        <w:t>the directors and/or external auditors of any FDE Group entity conclude that a material uncertainty exists in relation to that FDE Group entity’s going concern in the annual report including in a reasonable but plausible downside scenario. This includes, but is not limited to, commentary about liquidity and trading prospects in the reports from directors or external auditors;</w:t>
      </w:r>
    </w:p>
    <w:p w14:paraId="613709E2" w14:textId="77777777" w:rsidR="00F67E9E" w:rsidRPr="00BA56A1" w:rsidRDefault="00F67E9E" w:rsidP="00F67E9E">
      <w:pPr>
        <w:pStyle w:val="Numbered111"/>
      </w:pPr>
      <w:r w:rsidRPr="00190AA9">
        <w:t>any of the foll</w:t>
      </w:r>
      <w:r w:rsidRPr="00BA56A1">
        <w:t>owing:</w:t>
      </w:r>
    </w:p>
    <w:p w14:paraId="178305A3" w14:textId="77777777" w:rsidR="00F67E9E" w:rsidRPr="00190AA9" w:rsidRDefault="00F67E9E" w:rsidP="00F67E9E">
      <w:pPr>
        <w:pStyle w:val="Numbered111a"/>
      </w:pPr>
      <w:r w:rsidRPr="00BA56A1">
        <w:t>any FDE Group entity makes a public announcement which contains adverse commentary with regards to that FDE Group entity</w:t>
      </w:r>
      <w:r>
        <w:t>’</w:t>
      </w:r>
      <w:r w:rsidRPr="00BA56A1">
        <w:t xml:space="preserve">s liquidity and trading and trading prospects, such as but not limited to, a profit warning or ability </w:t>
      </w:r>
      <w:r w:rsidRPr="00190AA9">
        <w:t>to trade as a going concern;</w:t>
      </w:r>
    </w:p>
    <w:p w14:paraId="187BEC39" w14:textId="77777777" w:rsidR="00F67E9E" w:rsidRPr="00190AA9" w:rsidRDefault="00F67E9E" w:rsidP="00F67E9E">
      <w:pPr>
        <w:pStyle w:val="Numbered111a"/>
      </w:pPr>
      <w:r w:rsidRPr="00190AA9">
        <w:t xml:space="preserve">commencement of any litigation against an FDE Group entity with respect to financial indebtedness greater than £5m or obligations under a service contract with a total contract value greater than £5m; </w:t>
      </w:r>
    </w:p>
    <w:p w14:paraId="65220E69" w14:textId="77777777" w:rsidR="00F67E9E" w:rsidRPr="00190AA9" w:rsidRDefault="00F67E9E" w:rsidP="00F67E9E">
      <w:pPr>
        <w:pStyle w:val="Numbered111a"/>
      </w:pPr>
      <w:r w:rsidRPr="00190AA9">
        <w:t>non-payment by an FDE Group entity of any financial indebtedness;</w:t>
      </w:r>
    </w:p>
    <w:p w14:paraId="668FCBD3" w14:textId="77777777" w:rsidR="00F67E9E" w:rsidRPr="00190AA9" w:rsidRDefault="00F67E9E" w:rsidP="00F67E9E">
      <w:pPr>
        <w:pStyle w:val="Numbered111a"/>
      </w:pPr>
      <w:r w:rsidRPr="00190AA9">
        <w:t>any financial indebtedness of an FDE Group entity becoming due as a result of an event of default;</w:t>
      </w:r>
    </w:p>
    <w:p w14:paraId="358B5D42" w14:textId="77777777" w:rsidR="00F67E9E" w:rsidRPr="00190AA9" w:rsidRDefault="00F67E9E" w:rsidP="00F67E9E">
      <w:pPr>
        <w:pStyle w:val="Numbered111a"/>
      </w:pPr>
      <w:r w:rsidRPr="00190AA9">
        <w:t>the cancellation or suspension of any financial indebtedness in respect of an FDE Group entity; or</w:t>
      </w:r>
    </w:p>
    <w:p w14:paraId="3E856D44" w14:textId="77777777" w:rsidR="00F67E9E" w:rsidRPr="00BA56A1" w:rsidRDefault="00F67E9E" w:rsidP="00F67E9E">
      <w:pPr>
        <w:pStyle w:val="Numbered111a"/>
      </w:pPr>
      <w:r w:rsidRPr="00190AA9">
        <w:t xml:space="preserve">the external auditor of an FDE Group entity expressing a qualified </w:t>
      </w:r>
      <w:r w:rsidRPr="00190AA9">
        <w:lastRenderedPageBreak/>
        <w:t>opinion on, or including an emphasis of matter in, its opinion on the statutory accounts of that FD</w:t>
      </w:r>
      <w:r w:rsidRPr="00BA56A1">
        <w:t>E entity;</w:t>
      </w:r>
    </w:p>
    <w:p w14:paraId="1FBD9DB3" w14:textId="77777777" w:rsidR="00F67E9E" w:rsidRPr="00753B68" w:rsidRDefault="00F67E9E" w:rsidP="00F67E9E">
      <w:pPr>
        <w:pStyle w:val="StdBodyText4"/>
        <w:ind w:left="1800"/>
        <w:rPr>
          <w:rFonts w:cs="Arial"/>
        </w:rPr>
      </w:pPr>
      <w:r w:rsidRPr="00BA56A1">
        <w:rPr>
          <w:rFonts w:cs="Arial"/>
        </w:rPr>
        <w:t>in each case which the Authority reasonably believes (or would be likely reasonably to believe) could directly impact on the continued performance and delivery of the Services in accordance with this Contract; and</w:t>
      </w:r>
    </w:p>
    <w:p w14:paraId="4857A741" w14:textId="056E7414" w:rsidR="00F67E9E" w:rsidRPr="00753B68" w:rsidRDefault="00F67E9E" w:rsidP="00F67E9E">
      <w:pPr>
        <w:pStyle w:val="Numbered111"/>
      </w:pPr>
      <w:bookmarkStart w:id="1186" w:name="_Ref_ContractCompanion_9kb9Us3CB"/>
      <w:r w:rsidRPr="00753B68">
        <w:t>an</w:t>
      </w:r>
      <w:r w:rsidRPr="00D10354">
        <w:t xml:space="preserve">y one </w:t>
      </w:r>
      <w:r w:rsidR="00D10354" w:rsidRPr="00D10354">
        <w:t>or</w:t>
      </w:r>
      <w:r w:rsidR="00D10354">
        <w:t xml:space="preserve"> more </w:t>
      </w:r>
      <w:r w:rsidRPr="00753B68">
        <w:t xml:space="preserve">of the </w:t>
      </w:r>
      <w:r w:rsidRPr="00190AA9">
        <w:t>Financial</w:t>
      </w:r>
      <w:r w:rsidRPr="00753B68">
        <w:t xml:space="preserve"> Indicators set </w:t>
      </w:r>
      <w:r w:rsidRPr="00BA56A1">
        <w:t xml:space="preserve">out at </w:t>
      </w:r>
      <w:bookmarkStart w:id="1187" w:name="_9kMIH5YVt4DDDLFYGpqgyts0H"/>
      <w:r w:rsidRPr="00BA56A1">
        <w:t xml:space="preserve">Paragraph </w:t>
      </w:r>
      <w:r w:rsidRPr="00BA56A1">
        <w:fldChar w:fldCharType="begin"/>
      </w:r>
      <w:r w:rsidRPr="00BA56A1">
        <w:instrText xml:space="preserve"> REF _Ref_ContractCompanion_9kb9Ur7EG \w \n \h \t \* MERGEFORMAT </w:instrText>
      </w:r>
      <w:r w:rsidRPr="00BA56A1">
        <w:fldChar w:fldCharType="separate"/>
      </w:r>
      <w:r w:rsidR="007A1473">
        <w:t>5</w:t>
      </w:r>
      <w:r w:rsidRPr="00BA56A1">
        <w:fldChar w:fldCharType="end"/>
      </w:r>
      <w:bookmarkEnd w:id="1187"/>
      <w:r w:rsidRPr="00753B68">
        <w:t xml:space="preserve"> for any of the FDE Group entities failing to meet the required Financial Target Threshold.</w:t>
      </w:r>
      <w:bookmarkEnd w:id="1186"/>
    </w:p>
    <w:p w14:paraId="65B85089" w14:textId="77777777" w:rsidR="00F67E9E" w:rsidRPr="00753B68" w:rsidRDefault="00F67E9E" w:rsidP="00F67E9E">
      <w:pPr>
        <w:pStyle w:val="Numbered1"/>
      </w:pPr>
      <w:r w:rsidRPr="00753B68">
        <w:t xml:space="preserve">Consequences </w:t>
      </w:r>
      <w:r>
        <w:t>o</w:t>
      </w:r>
      <w:r w:rsidRPr="00753B68">
        <w:t xml:space="preserve">f </w:t>
      </w:r>
      <w:r w:rsidRPr="00190AA9">
        <w:t>Financial</w:t>
      </w:r>
      <w:r w:rsidRPr="00753B68">
        <w:t xml:space="preserve"> Distress Events</w:t>
      </w:r>
    </w:p>
    <w:p w14:paraId="6AF6957F" w14:textId="6B1B4E3A" w:rsidR="00F67E9E" w:rsidRPr="00190AA9" w:rsidRDefault="00F67E9E" w:rsidP="00F67E9E">
      <w:pPr>
        <w:pStyle w:val="Numbered11"/>
      </w:pPr>
      <w:bookmarkStart w:id="1188" w:name="_Ref_ContractCompanion_9kb9Us398"/>
      <w:bookmarkStart w:id="1189" w:name="_9kR3WTrAG97DEDDSLwphmkw1uFPHCBBDKF231uC"/>
      <w:r w:rsidRPr="00753B68">
        <w:t xml:space="preserve">Immediately upon notification by the Supplier of a Financial Distress Event (or if the Authority becomes aware of a Financial Distress Event without notification and brings the event to the attention of the Supplier), the Supplier </w:t>
      </w:r>
      <w:r w:rsidRPr="00BA56A1">
        <w:t xml:space="preserve">shall have the obligations and the </w:t>
      </w:r>
      <w:r w:rsidRPr="00190AA9">
        <w:t xml:space="preserve">Authority shall have the rights and remedies as set out in </w:t>
      </w:r>
      <w:bookmarkStart w:id="1190" w:name="_9kMHG5YVtCIB9CJLHhTlXiC85zt3I9sx9z26CH0"/>
      <w:r w:rsidRPr="00190AA9">
        <w:t xml:space="preserve">Paragraphs </w:t>
      </w:r>
      <w:r w:rsidRPr="00190AA9">
        <w:fldChar w:fldCharType="begin"/>
      </w:r>
      <w:r w:rsidRPr="00190AA9">
        <w:instrText xml:space="preserve"> REF _Ref_ContractCompanion_9kb9Us36B \n \h \t \* MERGEFORMAT </w:instrText>
      </w:r>
      <w:r w:rsidRPr="00190AA9">
        <w:fldChar w:fldCharType="separate"/>
      </w:r>
      <w:r w:rsidR="007A1473">
        <w:t>4.3</w:t>
      </w:r>
      <w:r w:rsidRPr="00190AA9">
        <w:fldChar w:fldCharType="end"/>
      </w:r>
      <w:bookmarkEnd w:id="1190"/>
      <w:r w:rsidRPr="00190AA9">
        <w:t xml:space="preserve"> to </w:t>
      </w:r>
      <w:bookmarkStart w:id="1191" w:name="_9kMHG5YVtCIB9DDEKWMzx1D80znxDGGL8zE9FI4"/>
      <w:r w:rsidRPr="00190AA9">
        <w:fldChar w:fldCharType="begin"/>
      </w:r>
      <w:r w:rsidRPr="00190AA9">
        <w:instrText xml:space="preserve"> REF _Ref_ContractCompanion_9kb9Us36E \n \h \t \* MERGEFORMAT </w:instrText>
      </w:r>
      <w:r w:rsidRPr="00190AA9">
        <w:fldChar w:fldCharType="separate"/>
      </w:r>
      <w:r w:rsidR="007A1473">
        <w:t>4.5</w:t>
      </w:r>
      <w:r w:rsidRPr="00190AA9">
        <w:fldChar w:fldCharType="end"/>
      </w:r>
      <w:bookmarkEnd w:id="1191"/>
      <w:r w:rsidRPr="00190AA9">
        <w:t>.</w:t>
      </w:r>
      <w:bookmarkEnd w:id="1188"/>
      <w:bookmarkEnd w:id="1189"/>
    </w:p>
    <w:p w14:paraId="10D22166" w14:textId="1EFB003D" w:rsidR="00F67E9E" w:rsidRPr="00BA56A1" w:rsidRDefault="00F67E9E" w:rsidP="00F67E9E">
      <w:pPr>
        <w:pStyle w:val="Numbered11"/>
      </w:pPr>
      <w:r w:rsidRPr="00190AA9">
        <w:t xml:space="preserve">In the event of a late or non-payment of a Key Sub-contractor pursuant to </w:t>
      </w:r>
      <w:bookmarkStart w:id="1192" w:name="_9kR3WTr2BC7BEaEnoewrqyDLx"/>
      <w:r w:rsidRPr="00190AA9">
        <w:t>Paragraph </w:t>
      </w:r>
      <w:r w:rsidRPr="00190AA9">
        <w:fldChar w:fldCharType="begin"/>
      </w:r>
      <w:r w:rsidRPr="00190AA9">
        <w:instrText xml:space="preserve"> REF _Ref_ContractCompanion_9kb9Us378 \w \h \t \* MERGEFORMAT </w:instrText>
      </w:r>
      <w:r w:rsidRPr="00190AA9">
        <w:fldChar w:fldCharType="separate"/>
      </w:r>
      <w:r w:rsidR="007A1473">
        <w:t>3.1.5</w:t>
      </w:r>
      <w:r w:rsidRPr="00190AA9">
        <w:fldChar w:fldCharType="end"/>
      </w:r>
      <w:bookmarkEnd w:id="1192"/>
      <w:r w:rsidRPr="00190AA9">
        <w:t xml:space="preserve">, the Authority shall not exercise any of its rights or remedies under </w:t>
      </w:r>
      <w:bookmarkStart w:id="1193" w:name="_9kMIH5YVtCIB9CJLHhTlXiC85zt3I9sx9z26CH0"/>
      <w:r w:rsidRPr="00190AA9">
        <w:t xml:space="preserve">Paragraph </w:t>
      </w:r>
      <w:r w:rsidRPr="00190AA9">
        <w:fldChar w:fldCharType="begin"/>
      </w:r>
      <w:r w:rsidRPr="00190AA9">
        <w:instrText xml:space="preserve"> REF _Ref_ContractCompanion_9kb9Us36B \n \h \t \* MERGEFORMAT </w:instrText>
      </w:r>
      <w:r w:rsidRPr="00190AA9">
        <w:fldChar w:fldCharType="separate"/>
      </w:r>
      <w:r w:rsidR="007A1473">
        <w:t>4.3</w:t>
      </w:r>
      <w:r w:rsidRPr="00190AA9">
        <w:fldChar w:fldCharType="end"/>
      </w:r>
      <w:bookmarkEnd w:id="1193"/>
      <w:r w:rsidRPr="00190AA9">
        <w:t xml:space="preserve"> without first givin</w:t>
      </w:r>
      <w:r w:rsidRPr="00BA56A1">
        <w:t>g the Supplier 10 Working Days to:</w:t>
      </w:r>
    </w:p>
    <w:p w14:paraId="68580E0F" w14:textId="77777777" w:rsidR="00F67E9E" w:rsidRPr="00190AA9" w:rsidRDefault="00F67E9E" w:rsidP="00F67E9E">
      <w:pPr>
        <w:pStyle w:val="Numbered111"/>
      </w:pPr>
      <w:r w:rsidRPr="00BA56A1">
        <w:t xml:space="preserve">rectify such late </w:t>
      </w:r>
      <w:r w:rsidRPr="00190AA9">
        <w:t xml:space="preserve">or non-payment; or </w:t>
      </w:r>
    </w:p>
    <w:p w14:paraId="152044A5" w14:textId="77777777" w:rsidR="00F67E9E" w:rsidRPr="00BA56A1" w:rsidRDefault="00F67E9E" w:rsidP="00F67E9E">
      <w:pPr>
        <w:pStyle w:val="Numbered111"/>
      </w:pPr>
      <w:r w:rsidRPr="00190AA9">
        <w:t>demonstrate to the</w:t>
      </w:r>
      <w:r w:rsidRPr="00BA56A1">
        <w:t xml:space="preserve"> Authority</w:t>
      </w:r>
      <w:r>
        <w:t>’</w:t>
      </w:r>
      <w:r w:rsidRPr="00BA56A1">
        <w:t>s reasonable satisfaction that there is a valid reason for late or non-payment.</w:t>
      </w:r>
    </w:p>
    <w:p w14:paraId="11F636B3" w14:textId="77777777" w:rsidR="00F67E9E" w:rsidRPr="00BA56A1" w:rsidRDefault="00F67E9E" w:rsidP="00F67E9E">
      <w:pPr>
        <w:pStyle w:val="Numbered11"/>
      </w:pPr>
      <w:bookmarkStart w:id="1194" w:name="_Ref_ContractCompanion_9kb9Us36B"/>
      <w:bookmarkStart w:id="1195" w:name="_9kR3WTrAG97AHJFfRjVgA63xr1G7qv7x04AFy3F"/>
      <w:bookmarkStart w:id="1196" w:name="_Ref_ContractCompanion_9kb9Us3AE"/>
      <w:r w:rsidRPr="00BA56A1">
        <w:t>The Supplier shall (</w:t>
      </w:r>
      <w:r w:rsidRPr="00190AA9">
        <w:t>and</w:t>
      </w:r>
      <w:r w:rsidRPr="00BA56A1">
        <w:t xml:space="preserve"> shall procure that any Monitored Supplier, the Guarantor and/or any relevant Key Sub-contractor shall):</w:t>
      </w:r>
      <w:bookmarkEnd w:id="1194"/>
      <w:bookmarkEnd w:id="1195"/>
      <w:bookmarkEnd w:id="1196"/>
    </w:p>
    <w:p w14:paraId="2D9D32D1" w14:textId="77777777" w:rsidR="00F67E9E" w:rsidRPr="00190AA9" w:rsidRDefault="00F67E9E" w:rsidP="00F67E9E">
      <w:pPr>
        <w:pStyle w:val="Numbered111"/>
      </w:pPr>
      <w:bookmarkStart w:id="1197" w:name="_9kR3WTrAG97BHIFmXrB0mxyyF43JG39CySdTHDO"/>
      <w:bookmarkStart w:id="1198" w:name="_Ref_ContractCompanion_9kb9Us37B"/>
      <w:r w:rsidRPr="00BA56A1">
        <w:t xml:space="preserve">at the request of the Authority, meet the Authority as soon as reasonably practicable (and in any event within 3 Working Days of the initial notification (or awareness) of the Financial Distress Event or such other period as the Authority may permit and notify to the Supplier in writing) to review the effect of the Financial Distress Event on the continued performance and delivery of the Services </w:t>
      </w:r>
      <w:r w:rsidRPr="00190AA9">
        <w:t>in accordance with this Contract;</w:t>
      </w:r>
      <w:bookmarkEnd w:id="1197"/>
      <w:r w:rsidRPr="00190AA9">
        <w:t xml:space="preserve"> and</w:t>
      </w:r>
      <w:bookmarkEnd w:id="1198"/>
    </w:p>
    <w:p w14:paraId="02B341D7" w14:textId="53506B88" w:rsidR="00F67E9E" w:rsidRPr="00BA56A1" w:rsidRDefault="00F67E9E" w:rsidP="00F67E9E">
      <w:pPr>
        <w:pStyle w:val="Numbered111"/>
      </w:pPr>
      <w:bookmarkStart w:id="1199" w:name="_Ref_ContractCompanion_9kb9Ur27F"/>
      <w:r w:rsidRPr="00190AA9">
        <w:t>where the A</w:t>
      </w:r>
      <w:r w:rsidRPr="00BA56A1">
        <w:t xml:space="preserve">uthority reasonably believes (taking into account the discussions and any representations made under </w:t>
      </w:r>
      <w:bookmarkStart w:id="1200" w:name="_9kMHG5YVtCIB9DJKHoZtD2oz00H65LI5BE0UfVJ"/>
      <w:r w:rsidRPr="00BA56A1">
        <w:t xml:space="preserve">Paragraph </w:t>
      </w:r>
      <w:r w:rsidRPr="00BA56A1">
        <w:fldChar w:fldCharType="begin"/>
      </w:r>
      <w:r w:rsidRPr="00BA56A1">
        <w:instrText xml:space="preserve"> REF _Ref_ContractCompanion_9kb9Us37B \w \h \t \* MERGEFORMAT </w:instrText>
      </w:r>
      <w:r w:rsidRPr="00BA56A1">
        <w:fldChar w:fldCharType="separate"/>
      </w:r>
      <w:r w:rsidR="007A1473">
        <w:t>4.3.1</w:t>
      </w:r>
      <w:r w:rsidRPr="00BA56A1">
        <w:fldChar w:fldCharType="end"/>
      </w:r>
      <w:bookmarkEnd w:id="1200"/>
      <w:r w:rsidRPr="00BA56A1">
        <w:t xml:space="preserve"> that the Financial Distress Event could impact on the continued performance and delivery of the Services in accordance with this Contract: </w:t>
      </w:r>
      <w:bookmarkEnd w:id="1199"/>
    </w:p>
    <w:p w14:paraId="31F17447" w14:textId="77777777" w:rsidR="00F67E9E" w:rsidRPr="00190AA9" w:rsidRDefault="00F67E9E" w:rsidP="00F67E9E">
      <w:pPr>
        <w:pStyle w:val="Numbered111a"/>
      </w:pPr>
      <w:r w:rsidRPr="00BA56A1">
        <w:t xml:space="preserve">submit to the Authority for its approval, a draft Financial Distress Remediation Plan as soon as reasonably practicable (and in any event, within 10 Working Days of the initial notification (or awareness) of the Financial </w:t>
      </w:r>
      <w:r w:rsidRPr="00190AA9">
        <w:t>Distress Event or such other period as the Authority may permit and notify to the Supplier in writing); and</w:t>
      </w:r>
    </w:p>
    <w:p w14:paraId="170690DA" w14:textId="036C904B" w:rsidR="00F67E9E" w:rsidRPr="00BA56A1" w:rsidRDefault="00F67E9E" w:rsidP="00F67E9E">
      <w:pPr>
        <w:pStyle w:val="Numbered111a"/>
      </w:pPr>
      <w:bookmarkStart w:id="1201" w:name="_Ref_ContractCompanion_9kb9Us39B"/>
      <w:bookmarkStart w:id="1202" w:name="_9kR3WTrAG97DHGFngo0782om6M4zFMBt6FGHHL8"/>
      <w:r w:rsidRPr="00190AA9">
        <w:t xml:space="preserve">to the extent that it is legally permitted to do so and subject to </w:t>
      </w:r>
      <w:bookmarkStart w:id="1203" w:name="_9kMHG5YVtCIB9EDDMmTlXiC85zt3I9sx9JRCCDx"/>
      <w:r w:rsidRPr="00190AA9">
        <w:t xml:space="preserve">Paragraph </w:t>
      </w:r>
      <w:r w:rsidRPr="00190AA9">
        <w:fldChar w:fldCharType="begin"/>
      </w:r>
      <w:r w:rsidRPr="00190AA9">
        <w:instrText xml:space="preserve"> REF _Ref_ContractCompanion_9kb9Us37E \n \h \t \* MERGEFORMAT </w:instrText>
      </w:r>
      <w:r w:rsidRPr="00190AA9">
        <w:fldChar w:fldCharType="separate"/>
      </w:r>
      <w:r w:rsidR="007A1473">
        <w:t>4.7</w:t>
      </w:r>
      <w:r w:rsidRPr="00190AA9">
        <w:fldChar w:fldCharType="end"/>
      </w:r>
      <w:bookmarkEnd w:id="1203"/>
      <w:r w:rsidRPr="00190AA9">
        <w:t>, provide such</w:t>
      </w:r>
      <w:r w:rsidRPr="00BA56A1">
        <w:t xml:space="preserve"> information relating to the Supplier, any Monitored Supplier, Key Sub-contractors and/or the Guarantor as the Authority may reasonably require in order to understand the risk to the Services, which may include forecasts in relation to cash flow, orders and profits and details of financial measures being considered to mitigate the impact of the Financial Distress Event.</w:t>
      </w:r>
      <w:bookmarkEnd w:id="1201"/>
      <w:bookmarkEnd w:id="1202"/>
    </w:p>
    <w:p w14:paraId="71EFC97E" w14:textId="77777777" w:rsidR="00F67E9E" w:rsidRPr="00BA56A1" w:rsidRDefault="00F67E9E" w:rsidP="00F67E9E">
      <w:pPr>
        <w:pStyle w:val="Numbered11"/>
      </w:pPr>
      <w:bookmarkStart w:id="1204" w:name="_9kR3WTrAG97CKKGgRjDOE2y947OO8rw8BFMVLJJ"/>
      <w:bookmarkStart w:id="1205" w:name="_Ref88648491"/>
      <w:bookmarkStart w:id="1206" w:name="_Ref_ContractCompanion_9kb9Us38E"/>
      <w:r w:rsidRPr="00BA56A1">
        <w:lastRenderedPageBreak/>
        <w:t>The Authority shall not withhold its approval of a draft Financial Distress Remediation Plan unreasonably.</w:t>
      </w:r>
      <w:bookmarkEnd w:id="1204"/>
      <w:r w:rsidRPr="00BA56A1">
        <w:t xml:space="preserve"> If the Authority does not approve the draft Financial Distress Remediation Plan, it shall inform the Supplier of its reasons and the Supplier shall take those reasons into account in the </w:t>
      </w:r>
      <w:r w:rsidRPr="00190AA9">
        <w:t>preparation</w:t>
      </w:r>
      <w:r w:rsidRPr="00BA56A1">
        <w:t xml:space="preserve"> of a further draft Financial Distress Remediation Plan, which shall be resubmitted to the Authority within 5 Working Days of the rejection of the first draft. This process shall be repeated until the Financial Distress Remediation Plan is either:</w:t>
      </w:r>
      <w:bookmarkEnd w:id="1205"/>
    </w:p>
    <w:p w14:paraId="1711DFDC" w14:textId="77777777" w:rsidR="00F67E9E" w:rsidRPr="00190AA9" w:rsidRDefault="00F67E9E" w:rsidP="00F67E9E">
      <w:pPr>
        <w:pStyle w:val="Numbered111"/>
      </w:pPr>
      <w:r w:rsidRPr="00190AA9">
        <w:t>approved by the Authority;</w:t>
      </w:r>
    </w:p>
    <w:p w14:paraId="23C5C2C8" w14:textId="77777777" w:rsidR="00F67E9E" w:rsidRPr="00190AA9" w:rsidRDefault="00F67E9E" w:rsidP="00F67E9E">
      <w:pPr>
        <w:pStyle w:val="Numbered111"/>
      </w:pPr>
      <w:r w:rsidRPr="00190AA9">
        <w:t>referred, by notice sent by either Party to the other Party explaining why it thinks the Financial Distress Remediation Plan has not been approved, to commercial negotiation led by senior representatives who have authority to agree the Financial Distress Remediation Plan to be held within 28 days of the date of the notice; or</w:t>
      </w:r>
    </w:p>
    <w:p w14:paraId="74CE2D8C" w14:textId="77777777" w:rsidR="00F67E9E" w:rsidRPr="00BA56A1" w:rsidRDefault="00F67E9E" w:rsidP="00F67E9E">
      <w:pPr>
        <w:pStyle w:val="Numbered111"/>
      </w:pPr>
      <w:r w:rsidRPr="00190AA9">
        <w:t>finally rejected</w:t>
      </w:r>
      <w:r w:rsidRPr="00BA56A1">
        <w:t xml:space="preserve"> by the Authority.</w:t>
      </w:r>
      <w:bookmarkEnd w:id="1206"/>
    </w:p>
    <w:p w14:paraId="24B64B39" w14:textId="77777777" w:rsidR="00F67E9E" w:rsidRPr="00BA56A1" w:rsidRDefault="00F67E9E" w:rsidP="00F67E9E">
      <w:pPr>
        <w:pStyle w:val="Numbered11"/>
      </w:pPr>
      <w:bookmarkStart w:id="1207" w:name="_Ref_ContractCompanion_9kb9Us36E"/>
      <w:bookmarkStart w:id="1208" w:name="_9kR3WTrAG97BBCIUKxvzB6yxlvBEEJ6xC7DG2ba"/>
      <w:bookmarkStart w:id="1209" w:name="_Ref_ContractCompanion_9kb9Us3CE"/>
      <w:r w:rsidRPr="00BA56A1">
        <w:t>Following approval of the Financial Distress Remediation Plan by the Authority, the Supplier shall:</w:t>
      </w:r>
      <w:bookmarkEnd w:id="1207"/>
      <w:bookmarkEnd w:id="1208"/>
      <w:bookmarkEnd w:id="1209"/>
    </w:p>
    <w:p w14:paraId="00708AD3" w14:textId="77777777" w:rsidR="00F67E9E" w:rsidRPr="00BA56A1" w:rsidRDefault="00F67E9E" w:rsidP="00F67E9E">
      <w:pPr>
        <w:pStyle w:val="Numbered111"/>
      </w:pPr>
      <w:bookmarkStart w:id="1210" w:name="_Ref_ContractCompanion_9kb9Us38B"/>
      <w:bookmarkStart w:id="1211" w:name="_9kR3WTrAG97CHHIplzmrwm39qxzj1ABQG3zzGH0"/>
      <w:r w:rsidRPr="00BA56A1">
        <w:t>on a regular basis (which shall not be less than fortnightly):</w:t>
      </w:r>
      <w:bookmarkEnd w:id="1210"/>
      <w:bookmarkEnd w:id="1211"/>
    </w:p>
    <w:p w14:paraId="788A6E35" w14:textId="77777777" w:rsidR="00F67E9E" w:rsidRPr="00190AA9" w:rsidRDefault="00F67E9E" w:rsidP="00F67E9E">
      <w:pPr>
        <w:pStyle w:val="Numbered111a"/>
      </w:pPr>
      <w:r w:rsidRPr="00BA56A1">
        <w:t xml:space="preserve">review and make any updates to the Financial Distress Remediation Plan as the Supplier may deem reasonably necessary and/or as may be reasonably requested by the Authority, so that the plan remains adequate, up to date and ensures the continued performance and delivery of the Services in </w:t>
      </w:r>
      <w:r w:rsidRPr="00190AA9">
        <w:t>accordance with this Contract; and</w:t>
      </w:r>
    </w:p>
    <w:p w14:paraId="71B2D1E0" w14:textId="77777777" w:rsidR="00F67E9E" w:rsidRPr="00BA56A1" w:rsidRDefault="00F67E9E" w:rsidP="00F67E9E">
      <w:pPr>
        <w:pStyle w:val="Numbered111a"/>
      </w:pPr>
      <w:r w:rsidRPr="00190AA9">
        <w:t>provide a written r</w:t>
      </w:r>
      <w:r w:rsidRPr="00BA56A1">
        <w:t>eport to the Authority setting out its progress against the Financial Distress Remediation Plan, the reasons for any changes made to the Financial Distress Remediation Plan by the Supplier and/or the reasons why the Supplier may have decided not to make any changes;</w:t>
      </w:r>
    </w:p>
    <w:p w14:paraId="742A7608" w14:textId="2E9F603E" w:rsidR="00F67E9E" w:rsidRPr="00190AA9" w:rsidRDefault="00F67E9E" w:rsidP="00F67E9E">
      <w:pPr>
        <w:pStyle w:val="Numbered111"/>
      </w:pPr>
      <w:r w:rsidRPr="00BA56A1">
        <w:t xml:space="preserve">where updates are made to the Financial Distress Remediation Plan in accordance with </w:t>
      </w:r>
      <w:bookmarkStart w:id="1212" w:name="_9kMHG5YVtCIB9EJJKrn1otyo5Bsz1l3CDSI511I"/>
      <w:r w:rsidRPr="00BA56A1">
        <w:t xml:space="preserve">Paragraph </w:t>
      </w:r>
      <w:r w:rsidRPr="00BA56A1">
        <w:fldChar w:fldCharType="begin"/>
      </w:r>
      <w:r w:rsidRPr="00BA56A1">
        <w:instrText xml:space="preserve"> REF _Ref_ContractCompanion_9kb9Us38B \w \h \t \* MERGEFORMAT </w:instrText>
      </w:r>
      <w:r w:rsidRPr="00BA56A1">
        <w:fldChar w:fldCharType="separate"/>
      </w:r>
      <w:r w:rsidR="007A1473">
        <w:t>4.5.1</w:t>
      </w:r>
      <w:r w:rsidRPr="00BA56A1">
        <w:fldChar w:fldCharType="end"/>
      </w:r>
      <w:bookmarkEnd w:id="1212"/>
      <w:r w:rsidRPr="00BA56A1">
        <w:t xml:space="preserve">, submit an updated Financial Distress Remediation Plan to the Authority for its approval, and the provisions of </w:t>
      </w:r>
      <w:bookmarkStart w:id="1213" w:name="_9kMHG5YVtCIB9EMMIiTlFQG40B69QQAtyADHOXN"/>
      <w:r w:rsidRPr="00BA56A1">
        <w:t xml:space="preserve">Paragraphs </w:t>
      </w:r>
      <w:r w:rsidRPr="00BA56A1">
        <w:fldChar w:fldCharType="begin"/>
      </w:r>
      <w:r w:rsidRPr="00BA56A1">
        <w:instrText xml:space="preserve"> REF _Ref_ContractCompanion_9kb9Us38E \n \h \t \* MERGEFORMAT </w:instrText>
      </w:r>
      <w:r w:rsidRPr="00BA56A1">
        <w:fldChar w:fldCharType="separate"/>
      </w:r>
      <w:r w:rsidR="007A1473">
        <w:t>4.4</w:t>
      </w:r>
      <w:r w:rsidRPr="00BA56A1">
        <w:fldChar w:fldCharType="end"/>
      </w:r>
      <w:bookmarkEnd w:id="1213"/>
      <w:r w:rsidRPr="00BA56A1">
        <w:t xml:space="preserve"> and </w:t>
      </w:r>
      <w:bookmarkStart w:id="1214" w:name="_9kMIH5YVtCIB9EGGJYGy1nHSI62D8BSC3FKG2zE"/>
      <w:r w:rsidRPr="00BA56A1">
        <w:fldChar w:fldCharType="begin"/>
      </w:r>
      <w:r w:rsidRPr="00BA56A1">
        <w:instrText xml:space="preserve"> REF _Ref_ContractCompanion_9kb9Us38B \w \h \t \* MERGEFORMAT </w:instrText>
      </w:r>
      <w:r w:rsidRPr="00BA56A1">
        <w:fldChar w:fldCharType="separate"/>
      </w:r>
      <w:r w:rsidR="007A1473">
        <w:t>4.5.1</w:t>
      </w:r>
      <w:r w:rsidRPr="00BA56A1">
        <w:fldChar w:fldCharType="end"/>
      </w:r>
      <w:bookmarkEnd w:id="1214"/>
      <w:r w:rsidRPr="00BA56A1">
        <w:t xml:space="preserve"> shall apply to the review and approval process for the </w:t>
      </w:r>
      <w:r w:rsidRPr="00190AA9">
        <w:t xml:space="preserve">updated Financial Distress Remediation Plan; and </w:t>
      </w:r>
    </w:p>
    <w:p w14:paraId="1BFF1442" w14:textId="77777777" w:rsidR="00F67E9E" w:rsidRPr="00BA56A1" w:rsidRDefault="00F67E9E" w:rsidP="00F67E9E">
      <w:pPr>
        <w:pStyle w:val="Numbered111"/>
      </w:pPr>
      <w:bookmarkStart w:id="1215" w:name="_Ref_ContractCompanion_9kb9Us3BB"/>
      <w:r w:rsidRPr="00190AA9">
        <w:t>comply with the Financial Distress Remediation Plan (including any updated F</w:t>
      </w:r>
      <w:r w:rsidRPr="00BA56A1">
        <w:t>inancial Distress Remediation Plan) and ensure that it achieves the financial and performance requirements set out in the Financial Distress Remediation Plan.</w:t>
      </w:r>
      <w:bookmarkEnd w:id="1215"/>
    </w:p>
    <w:p w14:paraId="23B8EB7D" w14:textId="3E9CC3D9" w:rsidR="00F67E9E" w:rsidRPr="00190AA9" w:rsidRDefault="00F67E9E" w:rsidP="00F67E9E">
      <w:pPr>
        <w:pStyle w:val="Numbered11"/>
      </w:pPr>
      <w:r w:rsidRPr="00BA56A1">
        <w:t xml:space="preserve">Where the Supplier reasonably believes that the relevant Financial Distress Event under </w:t>
      </w:r>
      <w:bookmarkStart w:id="1216" w:name="_9kMHG5YVtCIB9FGFFUNyrjomy3wHRJEDDFMH453"/>
      <w:r w:rsidRPr="00BA56A1">
        <w:t xml:space="preserve">Paragraph </w:t>
      </w:r>
      <w:bookmarkEnd w:id="1216"/>
      <w:r w:rsidRPr="00BA56A1">
        <w:fldChar w:fldCharType="begin"/>
      </w:r>
      <w:r w:rsidRPr="00BA56A1">
        <w:instrText xml:space="preserve"> REF _Ref_ContractCompanion_9kb9Us398 \w \h </w:instrText>
      </w:r>
      <w:r>
        <w:instrText xml:space="preserve"> \* MERGEFORMAT </w:instrText>
      </w:r>
      <w:r w:rsidRPr="00BA56A1">
        <w:fldChar w:fldCharType="separate"/>
      </w:r>
      <w:r w:rsidR="007A1473">
        <w:t>4.1</w:t>
      </w:r>
      <w:r w:rsidRPr="00BA56A1">
        <w:fldChar w:fldCharType="end"/>
      </w:r>
      <w:r w:rsidRPr="00BA56A1">
        <w:t xml:space="preserve"> (or the circumstance or matter which has caused or otherwise led to it) no longer exists, it shall notify the Authority and the Parties may agree that the Supplier shall be </w:t>
      </w:r>
      <w:r w:rsidRPr="00190AA9">
        <w:t xml:space="preserve">relieved of its obligations under </w:t>
      </w:r>
      <w:bookmarkStart w:id="1217" w:name="_9kMIH5YVtCIB9DDEKWMzx1D80znxDGGL8zE9FI4"/>
      <w:r w:rsidRPr="00190AA9">
        <w:t xml:space="preserve">Paragraph </w:t>
      </w:r>
      <w:r w:rsidRPr="00190AA9">
        <w:fldChar w:fldCharType="begin"/>
      </w:r>
      <w:r w:rsidRPr="00190AA9">
        <w:instrText xml:space="preserve"> REF _Ref_ContractCompanion_9kb9Us36E \n \h \t \* MERGEFORMAT </w:instrText>
      </w:r>
      <w:r w:rsidRPr="00190AA9">
        <w:fldChar w:fldCharType="separate"/>
      </w:r>
      <w:r w:rsidR="007A1473">
        <w:t>4.5</w:t>
      </w:r>
      <w:r w:rsidRPr="00190AA9">
        <w:fldChar w:fldCharType="end"/>
      </w:r>
      <w:bookmarkEnd w:id="1217"/>
      <w:r w:rsidRPr="00190AA9">
        <w:t xml:space="preserve">. </w:t>
      </w:r>
    </w:p>
    <w:p w14:paraId="082EE724" w14:textId="1AC40096" w:rsidR="00F67E9E" w:rsidRPr="00BA56A1" w:rsidRDefault="00F67E9E" w:rsidP="00F67E9E">
      <w:pPr>
        <w:pStyle w:val="Numbered11"/>
      </w:pPr>
      <w:bookmarkStart w:id="1218" w:name="_9kR3WTrAG97CBBKkRjVgA63xr1G7qv7HPAABvAP"/>
      <w:bookmarkStart w:id="1219" w:name="_Ref_ContractCompanion_9kb9Us37E"/>
      <w:r w:rsidRPr="00190AA9">
        <w:t>The S</w:t>
      </w:r>
      <w:r w:rsidRPr="00BA56A1">
        <w:t xml:space="preserve">upplier shall use reasonable endeavours to put in place the necessary measures to ensure that the information specified at </w:t>
      </w:r>
      <w:bookmarkStart w:id="1220" w:name="_9kMHG5YVtCIB9FJIHpiq29A4qo8O61HODv8HIJJ"/>
      <w:r w:rsidRPr="00BA56A1">
        <w:t xml:space="preserve">Paragraph </w:t>
      </w:r>
      <w:r w:rsidRPr="00BA56A1">
        <w:fldChar w:fldCharType="begin"/>
      </w:r>
      <w:r w:rsidRPr="00BA56A1">
        <w:instrText xml:space="preserve"> REF _Ref_ContractCompanion_9kb9Us39B \w \h \t \* MERGEFORMAT </w:instrText>
      </w:r>
      <w:r w:rsidRPr="00BA56A1">
        <w:fldChar w:fldCharType="separate"/>
      </w:r>
      <w:r w:rsidR="007A1473">
        <w:t>4.3.2(b)</w:t>
      </w:r>
      <w:r w:rsidRPr="00BA56A1">
        <w:fldChar w:fldCharType="end"/>
      </w:r>
      <w:bookmarkEnd w:id="1220"/>
      <w:r w:rsidRPr="00BA56A1">
        <w:t xml:space="preserve"> is available when required </w:t>
      </w:r>
      <w:r w:rsidRPr="00BA56A1">
        <w:lastRenderedPageBreak/>
        <w:t>and on request from the Authority and within reasonable timescales.</w:t>
      </w:r>
      <w:bookmarkEnd w:id="1218"/>
      <w:r w:rsidRPr="00BA56A1">
        <w:t xml:space="preserve"> Such measures may include:</w:t>
      </w:r>
      <w:bookmarkEnd w:id="1219"/>
    </w:p>
    <w:p w14:paraId="0A66038F" w14:textId="77777777" w:rsidR="00F67E9E" w:rsidRPr="00190AA9" w:rsidRDefault="00F67E9E" w:rsidP="00F67E9E">
      <w:pPr>
        <w:pStyle w:val="Numbered111"/>
      </w:pPr>
      <w:r w:rsidRPr="00BA56A1">
        <w:t xml:space="preserve">obtaining in advance written authority from Key Sub-contractors, the Guarantor and/or Monitored Suppliers authorising the disclosure of the information to the </w:t>
      </w:r>
      <w:r w:rsidRPr="00190AA9">
        <w:t>Authority and/or entering into confidentiality agreements which permit disclosure;</w:t>
      </w:r>
    </w:p>
    <w:p w14:paraId="06A33043" w14:textId="77777777" w:rsidR="00F67E9E" w:rsidRPr="00190AA9" w:rsidRDefault="00F67E9E" w:rsidP="00F67E9E">
      <w:pPr>
        <w:pStyle w:val="Numbered111"/>
      </w:pPr>
      <w:r w:rsidRPr="00190AA9">
        <w:t>agreeing in advance with the Authority, Key Sub-contractors, the Guarantor and/or Monitored Suppliers a form of confidentiality agreement to be entered by the relevant parties to enable the disclosure of the information to the Authority;</w:t>
      </w:r>
    </w:p>
    <w:p w14:paraId="3D7F2D5E" w14:textId="77777777" w:rsidR="00F67E9E" w:rsidRPr="00190AA9" w:rsidRDefault="00F67E9E" w:rsidP="00F67E9E">
      <w:pPr>
        <w:pStyle w:val="Numbered111"/>
      </w:pPr>
      <w:r w:rsidRPr="00190AA9">
        <w:t>putting in place any other reasonable arrangements to enable the information to be lawfully disclosed to the Authority (which may include making price sensitive information available to Authority nominated personnel through confidential arrangements, subject to their consent); and</w:t>
      </w:r>
    </w:p>
    <w:p w14:paraId="52FC3D5F" w14:textId="77777777" w:rsidR="00F67E9E" w:rsidRPr="00753B68" w:rsidRDefault="00F67E9E" w:rsidP="00F67E9E">
      <w:pPr>
        <w:pStyle w:val="Numbered111"/>
      </w:pPr>
      <w:r w:rsidRPr="00190AA9">
        <w:t>disclosing</w:t>
      </w:r>
      <w:r w:rsidRPr="00BA56A1">
        <w:t xml:space="preserve"> the information to the fullest</w:t>
      </w:r>
      <w:r w:rsidRPr="00753B68">
        <w:t xml:space="preserve"> extent that it is lawfully entitled to do so, including through the use of redaction, anonymisation and any other techniques to permit disclosure of the information without breaching a duty of confidentiality.</w:t>
      </w:r>
    </w:p>
    <w:p w14:paraId="31CB57A1" w14:textId="77777777" w:rsidR="00F67E9E" w:rsidRPr="00753B68" w:rsidRDefault="00F67E9E" w:rsidP="00F67E9E">
      <w:pPr>
        <w:pStyle w:val="Numbered1"/>
      </w:pPr>
      <w:bookmarkStart w:id="1221" w:name="_Ref_ContractCompanion_9kb9Ur7EG"/>
      <w:r w:rsidRPr="00753B68">
        <w:t>Financial Indicators</w:t>
      </w:r>
      <w:bookmarkEnd w:id="1221"/>
    </w:p>
    <w:p w14:paraId="1372C11E" w14:textId="17E06E22" w:rsidR="00F67E9E" w:rsidRDefault="00F67E9E" w:rsidP="00F67E9E">
      <w:pPr>
        <w:pStyle w:val="Numbered11"/>
      </w:pPr>
      <w:bookmarkStart w:id="1222" w:name="_Ref_ContractCompanion_9kb9Ur8B5"/>
      <w:bookmarkStart w:id="1223" w:name="_Ref_ContractCompanion_9kb9Ur8B7"/>
      <w:bookmarkStart w:id="1224" w:name="_Ref_ContractCompanion_9kb9Ur8B9"/>
      <w:bookmarkStart w:id="1225" w:name="_Ref_ContractCompanion_9kb9Us358"/>
      <w:bookmarkStart w:id="1226" w:name="_Ref_ContractCompanion_9kb9Us39H"/>
      <w:bookmarkStart w:id="1227" w:name="_9kR3WTrAG97EEDEcdtjnhxFBC6solvy8Iz8HDJI"/>
      <w:r w:rsidRPr="00753B68">
        <w:t xml:space="preserve">Subject to the calculation </w:t>
      </w:r>
      <w:r w:rsidRPr="00D00D9A">
        <w:t xml:space="preserve">methodology set out at Annex </w:t>
      </w:r>
      <w:r w:rsidRPr="00D00D9A">
        <w:fldChar w:fldCharType="begin"/>
      </w:r>
      <w:r w:rsidRPr="00D00D9A">
        <w:instrText xml:space="preserve"> REF ANNEX3_SCHEDULE18 \h  \* MERGEFORMAT </w:instrText>
      </w:r>
      <w:r w:rsidRPr="00D00D9A">
        <w:fldChar w:fldCharType="separate"/>
      </w:r>
      <w:r w:rsidR="007A1473" w:rsidRPr="000B6F69">
        <w:t>3</w:t>
      </w:r>
      <w:r w:rsidRPr="00D00D9A">
        <w:fldChar w:fldCharType="end"/>
      </w:r>
      <w:r w:rsidRPr="00D00D9A">
        <w:t xml:space="preserve"> of this Schedule,</w:t>
      </w:r>
      <w:r w:rsidRPr="00753B68">
        <w:t xml:space="preserve"> the Financial Indicators and the corresponding calculations and thresholds used to determine whether a Financial Distress Event has occurred in respect of those Financial Indicators, shall be as follows:</w:t>
      </w:r>
      <w:bookmarkEnd w:id="1222"/>
      <w:bookmarkEnd w:id="1223"/>
      <w:bookmarkEnd w:id="1224"/>
      <w:bookmarkEnd w:id="1225"/>
      <w:bookmarkEnd w:id="1226"/>
      <w:bookmarkEnd w:id="1227"/>
    </w:p>
    <w:p w14:paraId="4971498A" w14:textId="697C1734" w:rsidR="000D1EC1" w:rsidRDefault="000D1EC1" w:rsidP="000D1EC1">
      <w:pPr>
        <w:pStyle w:val="Numbered11"/>
        <w:numPr>
          <w:ilvl w:val="0"/>
          <w:numId w:val="0"/>
        </w:numPr>
        <w:ind w:left="720"/>
      </w:pPr>
    </w:p>
    <w:tbl>
      <w:tblPr>
        <w:tblW w:w="9859" w:type="dxa"/>
        <w:tblInd w:w="624"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20" w:firstRow="1" w:lastRow="0" w:firstColumn="0" w:lastColumn="0" w:noHBand="0" w:noVBand="1"/>
      </w:tblPr>
      <w:tblGrid>
        <w:gridCol w:w="3405"/>
        <w:gridCol w:w="1980"/>
        <w:gridCol w:w="1440"/>
        <w:gridCol w:w="3034"/>
      </w:tblGrid>
      <w:tr w:rsidR="000D1EC1" w14:paraId="434CCEB9" w14:textId="77777777" w:rsidTr="00EC33A0">
        <w:trPr>
          <w:tblHeader/>
        </w:trPr>
        <w:tc>
          <w:tcPr>
            <w:tcW w:w="3405" w:type="dxa"/>
            <w:vAlign w:val="bottom"/>
          </w:tcPr>
          <w:p w14:paraId="54819853" w14:textId="77777777" w:rsidR="000D1EC1" w:rsidRDefault="000D1EC1" w:rsidP="00EC33A0">
            <w:pPr>
              <w:pBdr>
                <w:top w:val="nil"/>
                <w:left w:val="nil"/>
                <w:bottom w:val="nil"/>
                <w:right w:val="nil"/>
                <w:between w:val="nil"/>
              </w:pBdr>
              <w:rPr>
                <w:rFonts w:eastAsia="Arial" w:cs="Arial"/>
                <w:color w:val="000000"/>
                <w:szCs w:val="24"/>
              </w:rPr>
            </w:pPr>
            <w:r>
              <w:rPr>
                <w:rFonts w:eastAsia="Arial" w:cs="Arial"/>
                <w:b/>
                <w:color w:val="000000"/>
                <w:szCs w:val="24"/>
              </w:rPr>
              <w:t>Financial Indicator</w:t>
            </w:r>
          </w:p>
        </w:tc>
        <w:tc>
          <w:tcPr>
            <w:tcW w:w="1980" w:type="dxa"/>
            <w:vAlign w:val="bottom"/>
          </w:tcPr>
          <w:p w14:paraId="0ABD9135" w14:textId="77777777" w:rsidR="000D1EC1" w:rsidRDefault="000D1EC1" w:rsidP="00EC33A0">
            <w:pPr>
              <w:pBdr>
                <w:top w:val="nil"/>
                <w:left w:val="nil"/>
                <w:bottom w:val="nil"/>
                <w:right w:val="nil"/>
                <w:between w:val="nil"/>
              </w:pBdr>
              <w:rPr>
                <w:rFonts w:eastAsia="Arial" w:cs="Arial"/>
                <w:color w:val="000000"/>
                <w:szCs w:val="24"/>
              </w:rPr>
            </w:pPr>
            <w:r>
              <w:rPr>
                <w:rFonts w:eastAsia="Arial" w:cs="Arial"/>
                <w:b/>
                <w:color w:val="000000"/>
                <w:szCs w:val="24"/>
              </w:rPr>
              <w:t>Calculation</w:t>
            </w:r>
            <w:r>
              <w:rPr>
                <w:rFonts w:eastAsia="Arial" w:cs="Arial"/>
                <w:b/>
                <w:color w:val="000000"/>
                <w:szCs w:val="24"/>
                <w:vertAlign w:val="superscript"/>
              </w:rPr>
              <w:t>1</w:t>
            </w:r>
          </w:p>
        </w:tc>
        <w:tc>
          <w:tcPr>
            <w:tcW w:w="1440" w:type="dxa"/>
            <w:vAlign w:val="bottom"/>
          </w:tcPr>
          <w:p w14:paraId="257844B2" w14:textId="77777777" w:rsidR="000D1EC1" w:rsidRDefault="000D1EC1" w:rsidP="00EC33A0">
            <w:pPr>
              <w:pBdr>
                <w:top w:val="nil"/>
                <w:left w:val="nil"/>
                <w:bottom w:val="nil"/>
                <w:right w:val="nil"/>
                <w:between w:val="nil"/>
              </w:pBdr>
              <w:rPr>
                <w:rFonts w:eastAsia="Arial" w:cs="Arial"/>
                <w:color w:val="000000"/>
                <w:szCs w:val="24"/>
              </w:rPr>
            </w:pPr>
            <w:r>
              <w:rPr>
                <w:rFonts w:eastAsia="Arial" w:cs="Arial"/>
                <w:b/>
                <w:color w:val="000000"/>
                <w:szCs w:val="24"/>
              </w:rPr>
              <w:t>Financial Target Threshold:</w:t>
            </w:r>
          </w:p>
        </w:tc>
        <w:tc>
          <w:tcPr>
            <w:tcW w:w="3034" w:type="dxa"/>
            <w:vAlign w:val="bottom"/>
          </w:tcPr>
          <w:p w14:paraId="11F01B1C" w14:textId="765BE95E" w:rsidR="000D1EC1" w:rsidRDefault="000D1EC1" w:rsidP="000D1EC1">
            <w:pPr>
              <w:pBdr>
                <w:top w:val="nil"/>
                <w:left w:val="nil"/>
                <w:bottom w:val="nil"/>
                <w:right w:val="nil"/>
                <w:between w:val="nil"/>
              </w:pBdr>
              <w:rPr>
                <w:rFonts w:eastAsia="Arial" w:cs="Arial"/>
                <w:color w:val="000000"/>
                <w:szCs w:val="24"/>
              </w:rPr>
            </w:pPr>
            <w:r>
              <w:rPr>
                <w:rFonts w:eastAsia="Arial" w:cs="Arial"/>
                <w:b/>
                <w:color w:val="000000"/>
                <w:szCs w:val="24"/>
              </w:rPr>
              <w:t xml:space="preserve">Monitoring and Reporting Frequency </w:t>
            </w:r>
          </w:p>
        </w:tc>
      </w:tr>
      <w:tr w:rsidR="000D1EC1" w14:paraId="03EA21A3" w14:textId="77777777" w:rsidTr="00EC33A0">
        <w:tc>
          <w:tcPr>
            <w:tcW w:w="3405" w:type="dxa"/>
          </w:tcPr>
          <w:p w14:paraId="74A368F8" w14:textId="77777777" w:rsidR="000D1EC1" w:rsidRDefault="000D1EC1" w:rsidP="00EC33A0">
            <w:pPr>
              <w:pBdr>
                <w:top w:val="nil"/>
                <w:left w:val="nil"/>
                <w:bottom w:val="nil"/>
                <w:right w:val="nil"/>
                <w:between w:val="nil"/>
              </w:pBdr>
              <w:rPr>
                <w:rFonts w:eastAsia="Arial" w:cs="Arial"/>
                <w:color w:val="000000"/>
                <w:szCs w:val="24"/>
              </w:rPr>
            </w:pPr>
            <w:r>
              <w:rPr>
                <w:rFonts w:eastAsia="Arial" w:cs="Arial"/>
                <w:b/>
                <w:color w:val="000000"/>
                <w:szCs w:val="24"/>
              </w:rPr>
              <w:t>1</w:t>
            </w:r>
          </w:p>
          <w:p w14:paraId="3BFEE329" w14:textId="2E6F4B40" w:rsidR="000D1EC1" w:rsidRPr="003F3370" w:rsidRDefault="000D1EC1" w:rsidP="00EC33A0">
            <w:pPr>
              <w:pBdr>
                <w:top w:val="nil"/>
                <w:left w:val="nil"/>
                <w:bottom w:val="nil"/>
                <w:right w:val="nil"/>
                <w:between w:val="nil"/>
              </w:pBdr>
              <w:rPr>
                <w:rFonts w:eastAsia="Arial" w:cs="Arial"/>
                <w:color w:val="000000"/>
                <w:szCs w:val="24"/>
              </w:rPr>
            </w:pPr>
            <w:r w:rsidRPr="003F3370">
              <w:rPr>
                <w:b/>
                <w:color w:val="000000"/>
                <w:szCs w:val="24"/>
              </w:rPr>
              <w:t>Operating Margin</w:t>
            </w:r>
          </w:p>
          <w:p w14:paraId="3C5D797B" w14:textId="4CA253AC" w:rsidR="000D1EC1" w:rsidRDefault="000D1EC1" w:rsidP="00EC33A0">
            <w:pPr>
              <w:pBdr>
                <w:top w:val="nil"/>
                <w:left w:val="nil"/>
                <w:bottom w:val="nil"/>
                <w:right w:val="nil"/>
                <w:between w:val="nil"/>
              </w:pBdr>
              <w:rPr>
                <w:rFonts w:eastAsia="Arial" w:cs="Arial"/>
                <w:color w:val="000000"/>
                <w:szCs w:val="24"/>
              </w:rPr>
            </w:pPr>
          </w:p>
        </w:tc>
        <w:tc>
          <w:tcPr>
            <w:tcW w:w="1980" w:type="dxa"/>
          </w:tcPr>
          <w:p w14:paraId="690A3880" w14:textId="76BD9209" w:rsidR="000D1EC1" w:rsidRDefault="000D1EC1" w:rsidP="00EC33A0">
            <w:pPr>
              <w:pBdr>
                <w:top w:val="nil"/>
                <w:left w:val="nil"/>
                <w:bottom w:val="nil"/>
                <w:right w:val="nil"/>
                <w:between w:val="nil"/>
              </w:pBdr>
              <w:rPr>
                <w:rFonts w:eastAsia="Arial" w:cs="Arial"/>
                <w:b/>
                <w:color w:val="000000"/>
                <w:szCs w:val="24"/>
              </w:rPr>
            </w:pPr>
            <w:r w:rsidRPr="003F3370">
              <w:rPr>
                <w:color w:val="000000"/>
                <w:szCs w:val="24"/>
              </w:rPr>
              <w:t>Operating Margin = Operating Profit / Revenue</w:t>
            </w:r>
          </w:p>
        </w:tc>
        <w:tc>
          <w:tcPr>
            <w:tcW w:w="1440" w:type="dxa"/>
          </w:tcPr>
          <w:p w14:paraId="48267804" w14:textId="69D755F5"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&gt; 5%</w:t>
            </w:r>
          </w:p>
        </w:tc>
        <w:tc>
          <w:tcPr>
            <w:tcW w:w="3034" w:type="dxa"/>
          </w:tcPr>
          <w:p w14:paraId="06D7126A" w14:textId="33E07FEB" w:rsidR="000D1EC1" w:rsidRDefault="000D1EC1" w:rsidP="00EC33A0">
            <w:pPr>
              <w:pBdr>
                <w:top w:val="nil"/>
                <w:left w:val="nil"/>
                <w:bottom w:val="nil"/>
                <w:right w:val="nil"/>
                <w:between w:val="nil"/>
              </w:pBdr>
              <w:rPr>
                <w:rFonts w:eastAsia="Arial" w:cs="Arial"/>
                <w:b/>
                <w:color w:val="000000"/>
                <w:szCs w:val="24"/>
              </w:rPr>
            </w:pPr>
            <w:r>
              <w:rPr>
                <w:color w:val="000000"/>
                <w:szCs w:val="24"/>
              </w:rPr>
              <w:t xml:space="preserve">Tested and reported </w:t>
            </w:r>
            <w:r w:rsidRPr="003F3370">
              <w:rPr>
                <w:color w:val="000000"/>
                <w:szCs w:val="24"/>
              </w:rPr>
              <w:t>yearly</w:t>
            </w:r>
            <w:r>
              <w:rPr>
                <w:color w:val="000000"/>
                <w:szCs w:val="24"/>
              </w:rPr>
              <w:t xml:space="preserve"> in arrears within </w:t>
            </w:r>
            <w:r w:rsidRPr="003F3370">
              <w:rPr>
                <w:color w:val="000000"/>
                <w:szCs w:val="24"/>
              </w:rPr>
              <w:t>120</w:t>
            </w:r>
            <w:r>
              <w:rPr>
                <w:color w:val="000000"/>
                <w:szCs w:val="24"/>
              </w:rPr>
              <w:t xml:space="preserve"> days of each </w:t>
            </w:r>
            <w:r w:rsidRPr="003F3370">
              <w:rPr>
                <w:color w:val="000000"/>
                <w:szCs w:val="24"/>
              </w:rPr>
              <w:t>accounting reference date</w:t>
            </w:r>
            <w:r>
              <w:rPr>
                <w:color w:val="000000"/>
                <w:szCs w:val="24"/>
              </w:rPr>
              <w:t xml:space="preserve"> based upon figures for the 12 months ending on the relevant </w:t>
            </w:r>
            <w:r w:rsidRPr="003F3370">
              <w:rPr>
                <w:color w:val="000000"/>
                <w:szCs w:val="24"/>
              </w:rPr>
              <w:t>accounting reference date</w:t>
            </w:r>
          </w:p>
        </w:tc>
      </w:tr>
      <w:tr w:rsidR="000D1EC1" w14:paraId="49616B41" w14:textId="77777777" w:rsidTr="00EC33A0">
        <w:tc>
          <w:tcPr>
            <w:tcW w:w="3405" w:type="dxa"/>
          </w:tcPr>
          <w:p w14:paraId="48191560" w14:textId="593F795B" w:rsidR="000D1EC1" w:rsidRDefault="000D1EC1" w:rsidP="00EC33A0">
            <w:pPr>
              <w:pBdr>
                <w:top w:val="nil"/>
                <w:left w:val="nil"/>
                <w:bottom w:val="nil"/>
                <w:right w:val="nil"/>
                <w:between w:val="nil"/>
              </w:pBdr>
              <w:rPr>
                <w:rFonts w:eastAsia="Arial" w:cs="Arial"/>
                <w:color w:val="000000"/>
                <w:szCs w:val="24"/>
              </w:rPr>
            </w:pPr>
            <w:r>
              <w:rPr>
                <w:b/>
                <w:color w:val="000000"/>
                <w:szCs w:val="24"/>
              </w:rPr>
              <w:t>2</w:t>
            </w:r>
          </w:p>
          <w:p w14:paraId="0555CF55" w14:textId="5FAF3E26" w:rsidR="000D1EC1" w:rsidRDefault="000D1EC1" w:rsidP="00EC33A0">
            <w:pPr>
              <w:pBdr>
                <w:top w:val="nil"/>
                <w:left w:val="nil"/>
                <w:bottom w:val="nil"/>
                <w:right w:val="nil"/>
                <w:between w:val="nil"/>
              </w:pBdr>
              <w:rPr>
                <w:rFonts w:eastAsia="Arial" w:cs="Arial"/>
                <w:color w:val="000000"/>
                <w:szCs w:val="24"/>
              </w:rPr>
            </w:pPr>
            <w:r w:rsidRPr="003F3370">
              <w:rPr>
                <w:b/>
                <w:color w:val="000000"/>
                <w:szCs w:val="24"/>
              </w:rPr>
              <w:t>Net Debt to EBITDA Ratio</w:t>
            </w:r>
          </w:p>
        </w:tc>
        <w:tc>
          <w:tcPr>
            <w:tcW w:w="1980" w:type="dxa"/>
          </w:tcPr>
          <w:p w14:paraId="47FF9FFC" w14:textId="72C01918" w:rsidR="000D1EC1" w:rsidRDefault="000D1EC1" w:rsidP="00EC33A0">
            <w:pPr>
              <w:pBdr>
                <w:top w:val="nil"/>
                <w:left w:val="nil"/>
                <w:bottom w:val="nil"/>
                <w:right w:val="nil"/>
                <w:between w:val="nil"/>
              </w:pBdr>
              <w:rPr>
                <w:rFonts w:eastAsia="Arial" w:cs="Arial"/>
                <w:b/>
                <w:color w:val="000000"/>
                <w:szCs w:val="24"/>
              </w:rPr>
            </w:pPr>
            <w:r w:rsidRPr="003F3370">
              <w:rPr>
                <w:color w:val="000000"/>
                <w:szCs w:val="24"/>
              </w:rPr>
              <w:t>Net Debt to EBITDA ratio = Net Debt / EBITDA</w:t>
            </w:r>
          </w:p>
        </w:tc>
        <w:tc>
          <w:tcPr>
            <w:tcW w:w="1440" w:type="dxa"/>
          </w:tcPr>
          <w:p w14:paraId="34A9518D" w14:textId="3C8FEA63" w:rsidR="000D1EC1" w:rsidRDefault="000D1EC1" w:rsidP="00EC33A0">
            <w:pPr>
              <w:pBdr>
                <w:top w:val="nil"/>
                <w:left w:val="nil"/>
                <w:bottom w:val="nil"/>
                <w:right w:val="nil"/>
                <w:between w:val="nil"/>
              </w:pBdr>
              <w:rPr>
                <w:rFonts w:eastAsia="Arial" w:cs="Arial"/>
                <w:b/>
                <w:color w:val="000000"/>
                <w:szCs w:val="24"/>
              </w:rPr>
            </w:pPr>
            <w:r w:rsidRPr="003F3370">
              <w:rPr>
                <w:color w:val="000000"/>
                <w:szCs w:val="24"/>
              </w:rPr>
              <w:t xml:space="preserve">&lt;3.5 </w:t>
            </w:r>
            <w:r>
              <w:rPr>
                <w:color w:val="000000"/>
                <w:szCs w:val="24"/>
              </w:rPr>
              <w:t>times</w:t>
            </w:r>
          </w:p>
        </w:tc>
        <w:tc>
          <w:tcPr>
            <w:tcW w:w="3034" w:type="dxa"/>
          </w:tcPr>
          <w:p w14:paraId="5EAA613E" w14:textId="180D67CC" w:rsidR="000D1EC1" w:rsidRDefault="000D1EC1" w:rsidP="00EC33A0">
            <w:pPr>
              <w:pBdr>
                <w:top w:val="nil"/>
                <w:left w:val="nil"/>
                <w:bottom w:val="nil"/>
                <w:right w:val="nil"/>
                <w:between w:val="nil"/>
              </w:pBdr>
              <w:rPr>
                <w:rFonts w:eastAsia="Arial" w:cs="Arial"/>
                <w:b/>
                <w:color w:val="000000"/>
                <w:szCs w:val="24"/>
              </w:rPr>
            </w:pPr>
            <w:r>
              <w:rPr>
                <w:color w:val="000000"/>
                <w:szCs w:val="24"/>
              </w:rPr>
              <w:t>Tested and reported</w:t>
            </w:r>
            <w:r w:rsidRPr="003F3370">
              <w:rPr>
                <w:color w:val="000000"/>
                <w:szCs w:val="24"/>
              </w:rPr>
              <w:t>yearly</w:t>
            </w:r>
            <w:r>
              <w:rPr>
                <w:color w:val="000000"/>
                <w:szCs w:val="24"/>
              </w:rPr>
              <w:t xml:space="preserve"> in arrears within </w:t>
            </w:r>
            <w:r w:rsidRPr="003F3370">
              <w:rPr>
                <w:color w:val="000000"/>
                <w:szCs w:val="24"/>
              </w:rPr>
              <w:t>120</w:t>
            </w:r>
            <w:r>
              <w:rPr>
                <w:color w:val="000000"/>
                <w:szCs w:val="24"/>
              </w:rPr>
              <w:t xml:space="preserve"> days of each </w:t>
            </w:r>
            <w:r w:rsidRPr="003F3370">
              <w:rPr>
                <w:color w:val="000000"/>
                <w:szCs w:val="24"/>
              </w:rPr>
              <w:t>accounting reference date</w:t>
            </w:r>
            <w:r>
              <w:rPr>
                <w:color w:val="000000"/>
                <w:szCs w:val="24"/>
              </w:rPr>
              <w:t xml:space="preserve"> based upon </w:t>
            </w:r>
            <w:r w:rsidRPr="003F3370">
              <w:rPr>
                <w:color w:val="000000"/>
                <w:szCs w:val="24"/>
              </w:rPr>
              <w:t>EBITDA</w:t>
            </w:r>
            <w:r>
              <w:rPr>
                <w:color w:val="000000"/>
                <w:szCs w:val="24"/>
              </w:rPr>
              <w:t xml:space="preserve"> for the 12 months ending on, and Net Debt at, the relevant </w:t>
            </w:r>
            <w:r w:rsidRPr="003F3370">
              <w:rPr>
                <w:color w:val="000000"/>
                <w:szCs w:val="24"/>
              </w:rPr>
              <w:lastRenderedPageBreak/>
              <w:t>[accounting reference date</w:t>
            </w:r>
          </w:p>
        </w:tc>
      </w:tr>
      <w:tr w:rsidR="000D1EC1" w14:paraId="1D752EB8" w14:textId="77777777" w:rsidTr="00EC33A0">
        <w:tc>
          <w:tcPr>
            <w:tcW w:w="3405" w:type="dxa"/>
          </w:tcPr>
          <w:p w14:paraId="395C6D63" w14:textId="3BF3A117" w:rsidR="000D1EC1" w:rsidRDefault="000D1EC1" w:rsidP="00EC33A0">
            <w:pPr>
              <w:pBdr>
                <w:top w:val="nil"/>
                <w:left w:val="nil"/>
                <w:bottom w:val="nil"/>
                <w:right w:val="nil"/>
                <w:between w:val="nil"/>
              </w:pBdr>
              <w:rPr>
                <w:rFonts w:eastAsia="Arial" w:cs="Arial"/>
                <w:color w:val="000000"/>
                <w:szCs w:val="24"/>
              </w:rPr>
            </w:pPr>
            <w:r>
              <w:rPr>
                <w:b/>
                <w:color w:val="000000"/>
                <w:szCs w:val="24"/>
              </w:rPr>
              <w:lastRenderedPageBreak/>
              <w:t>3</w:t>
            </w:r>
          </w:p>
          <w:p w14:paraId="29DD4176" w14:textId="41F5AFA0" w:rsidR="000D1EC1" w:rsidRDefault="000D1EC1" w:rsidP="00EC33A0">
            <w:pPr>
              <w:pBdr>
                <w:top w:val="nil"/>
                <w:left w:val="nil"/>
                <w:bottom w:val="nil"/>
                <w:right w:val="nil"/>
                <w:between w:val="nil"/>
              </w:pBdr>
              <w:rPr>
                <w:rFonts w:eastAsia="Arial" w:cs="Arial"/>
                <w:color w:val="000000"/>
                <w:szCs w:val="24"/>
              </w:rPr>
            </w:pPr>
            <w:r w:rsidRPr="003F3370">
              <w:rPr>
                <w:b/>
                <w:color w:val="000000"/>
                <w:szCs w:val="24"/>
              </w:rPr>
              <w:t>Net Debt + Net Pension Deficit to EBITDA ratio</w:t>
            </w:r>
          </w:p>
        </w:tc>
        <w:tc>
          <w:tcPr>
            <w:tcW w:w="1980" w:type="dxa"/>
          </w:tcPr>
          <w:p w14:paraId="2825252F" w14:textId="360F3A75" w:rsidR="000D1EC1" w:rsidRDefault="000D1EC1" w:rsidP="00EC33A0">
            <w:pPr>
              <w:pBdr>
                <w:top w:val="nil"/>
                <w:left w:val="nil"/>
                <w:bottom w:val="nil"/>
                <w:right w:val="nil"/>
                <w:between w:val="nil"/>
              </w:pBdr>
              <w:rPr>
                <w:rFonts w:eastAsia="Arial" w:cs="Arial"/>
                <w:b/>
                <w:color w:val="000000"/>
                <w:szCs w:val="24"/>
              </w:rPr>
            </w:pPr>
            <w:r w:rsidRPr="003F3370">
              <w:rPr>
                <w:color w:val="000000"/>
                <w:szCs w:val="24"/>
              </w:rPr>
              <w:t>Net Debt + Net Pension Deficit to EBITDA Ratio = (Net Debt + Net Pension Deficit) / EBITDA</w:t>
            </w:r>
          </w:p>
        </w:tc>
        <w:tc>
          <w:tcPr>
            <w:tcW w:w="1440" w:type="dxa"/>
          </w:tcPr>
          <w:p w14:paraId="34104355" w14:textId="2C635284" w:rsidR="000D1EC1" w:rsidRDefault="000D1EC1" w:rsidP="00EC33A0">
            <w:pPr>
              <w:pBdr>
                <w:top w:val="nil"/>
                <w:left w:val="nil"/>
                <w:bottom w:val="nil"/>
                <w:right w:val="nil"/>
                <w:between w:val="nil"/>
              </w:pBdr>
              <w:rPr>
                <w:rFonts w:eastAsia="Arial" w:cs="Arial"/>
                <w:b/>
                <w:color w:val="000000"/>
                <w:szCs w:val="24"/>
              </w:rPr>
            </w:pPr>
            <w:r w:rsidRPr="003F3370">
              <w:rPr>
                <w:color w:val="000000"/>
                <w:szCs w:val="24"/>
              </w:rPr>
              <w:t>&lt; 5</w:t>
            </w:r>
            <w:r>
              <w:rPr>
                <w:color w:val="000000"/>
                <w:szCs w:val="24"/>
              </w:rPr>
              <w:t xml:space="preserve"> times</w:t>
            </w:r>
          </w:p>
        </w:tc>
        <w:tc>
          <w:tcPr>
            <w:tcW w:w="3034" w:type="dxa"/>
          </w:tcPr>
          <w:p w14:paraId="6EF3E3C0" w14:textId="50439F62" w:rsidR="000D1EC1" w:rsidRDefault="000D1EC1" w:rsidP="00EC33A0">
            <w:pPr>
              <w:pBdr>
                <w:top w:val="nil"/>
                <w:left w:val="nil"/>
                <w:bottom w:val="nil"/>
                <w:right w:val="nil"/>
                <w:between w:val="nil"/>
              </w:pBdr>
              <w:rPr>
                <w:rFonts w:eastAsia="Arial" w:cs="Arial"/>
                <w:b/>
                <w:color w:val="000000"/>
                <w:szCs w:val="24"/>
              </w:rPr>
            </w:pPr>
            <w:r>
              <w:rPr>
                <w:color w:val="000000"/>
                <w:szCs w:val="24"/>
              </w:rPr>
              <w:t>Tested and reported yearly in arrears within 120 days of each accounting reference date based upon EBITDA for the 12 months ending on, and the Net Debt and Net Pension Deficit at, the relevant accounting reference date</w:t>
            </w:r>
          </w:p>
        </w:tc>
      </w:tr>
    </w:tbl>
    <w:p w14:paraId="58931096" w14:textId="3F3AD713" w:rsidR="000D1EC1" w:rsidRDefault="000D1EC1" w:rsidP="000D1EC1">
      <w:pPr>
        <w:pStyle w:val="Numbered11"/>
        <w:numPr>
          <w:ilvl w:val="0"/>
          <w:numId w:val="0"/>
        </w:numPr>
        <w:ind w:left="720"/>
      </w:pPr>
    </w:p>
    <w:p w14:paraId="4F59D442" w14:textId="77777777" w:rsidR="000D1EC1" w:rsidRDefault="000D1EC1" w:rsidP="000D1EC1">
      <w:pPr>
        <w:pStyle w:val="Numbered11"/>
        <w:numPr>
          <w:ilvl w:val="0"/>
          <w:numId w:val="0"/>
        </w:numPr>
        <w:ind w:left="720"/>
      </w:pPr>
    </w:p>
    <w:p w14:paraId="62B6C457" w14:textId="253B3FE8" w:rsidR="00D10354" w:rsidRDefault="00D10354" w:rsidP="00D10354">
      <w:pPr>
        <w:pStyle w:val="Numbered11"/>
        <w:numPr>
          <w:ilvl w:val="0"/>
          <w:numId w:val="0"/>
        </w:numPr>
      </w:pPr>
    </w:p>
    <w:p w14:paraId="31C2198C" w14:textId="63755D47" w:rsidR="00F67E9E" w:rsidRPr="00753B68" w:rsidRDefault="00F67E9E" w:rsidP="00F67E9E">
      <w:pPr>
        <w:pStyle w:val="StdBodyText"/>
        <w:rPr>
          <w:rFonts w:cs="Arial"/>
        </w:rPr>
      </w:pPr>
      <w:r w:rsidRPr="00753B68">
        <w:rPr>
          <w:rFonts w:cs="Arial"/>
        </w:rPr>
        <w:t>Key:</w:t>
      </w:r>
      <w:r w:rsidRPr="00753B68">
        <w:rPr>
          <w:rFonts w:cs="Arial"/>
          <w:vertAlign w:val="superscript"/>
        </w:rPr>
        <w:t>1</w:t>
      </w:r>
      <w:r w:rsidRPr="00753B68">
        <w:rPr>
          <w:rFonts w:cs="Arial"/>
        </w:rPr>
        <w:t xml:space="preserve"> – </w:t>
      </w:r>
      <w:r w:rsidRPr="00D00D9A">
        <w:rPr>
          <w:rFonts w:cs="Arial"/>
        </w:rPr>
        <w:t xml:space="preserve">See Annex </w:t>
      </w:r>
      <w:r w:rsidRPr="00D00D9A">
        <w:rPr>
          <w:rFonts w:cs="Arial"/>
        </w:rPr>
        <w:fldChar w:fldCharType="begin"/>
      </w:r>
      <w:r w:rsidRPr="00D00D9A">
        <w:rPr>
          <w:rFonts w:cs="Arial"/>
        </w:rPr>
        <w:instrText xml:space="preserve"> REF ANNEX3_SCHEDULE18 \h </w:instrText>
      </w:r>
      <w:r>
        <w:rPr>
          <w:rFonts w:cs="Arial"/>
        </w:rPr>
        <w:instrText xml:space="preserve"> \* MERGEFORMAT </w:instrText>
      </w:r>
      <w:r w:rsidRPr="00D00D9A">
        <w:rPr>
          <w:rFonts w:cs="Arial"/>
        </w:rPr>
      </w:r>
      <w:r w:rsidRPr="00D00D9A">
        <w:rPr>
          <w:rFonts w:cs="Arial"/>
        </w:rPr>
        <w:fldChar w:fldCharType="separate"/>
      </w:r>
      <w:r w:rsidR="007A1473" w:rsidRPr="007A1473">
        <w:rPr>
          <w:rFonts w:cs="Arial"/>
        </w:rPr>
        <w:t>3</w:t>
      </w:r>
      <w:r w:rsidRPr="00D00D9A">
        <w:rPr>
          <w:rFonts w:cs="Arial"/>
        </w:rPr>
        <w:fldChar w:fldCharType="end"/>
      </w:r>
      <w:r w:rsidRPr="00D00D9A">
        <w:rPr>
          <w:rFonts w:cs="Arial"/>
        </w:rPr>
        <w:t xml:space="preserve"> of this Schedule which sets out the calculation methodology to be used in the calculation of each Financial Indicator</w:t>
      </w:r>
      <w:r w:rsidRPr="00753B68">
        <w:rPr>
          <w:rFonts w:cs="Arial"/>
        </w:rPr>
        <w:t>.</w:t>
      </w:r>
    </w:p>
    <w:p w14:paraId="7E5AD337" w14:textId="77777777" w:rsidR="00F67E9E" w:rsidRPr="00753B68" w:rsidRDefault="00F67E9E" w:rsidP="00F67E9E">
      <w:pPr>
        <w:pStyle w:val="Numbered11"/>
      </w:pPr>
      <w:bookmarkStart w:id="1228" w:name="_Ref_ContractCompanion_9kb9Ur6GH"/>
      <w:bookmarkStart w:id="1229" w:name="_Ref_ContractCompanion_9kb9Us35B"/>
      <w:r w:rsidRPr="00190AA9">
        <w:t>Monitored</w:t>
      </w:r>
      <w:r w:rsidRPr="00753B68">
        <w:t xml:space="preserve"> Suppliers</w:t>
      </w:r>
      <w:bookmarkEnd w:id="1228"/>
      <w:bookmarkEnd w:id="1229"/>
    </w:p>
    <w:p w14:paraId="7D65F07E" w14:textId="61E00640" w:rsidR="00F67E9E" w:rsidRPr="005F1047" w:rsidRDefault="000D1EC1" w:rsidP="00F67E9E">
      <w:pPr>
        <w:pStyle w:val="StdBodyText2"/>
        <w:rPr>
          <w:rFonts w:cs="Arial"/>
          <w:b/>
          <w:bCs/>
        </w:rPr>
      </w:pPr>
      <w:r w:rsidRPr="000D1EC1">
        <w:rPr>
          <w:rStyle w:val="StdBodyTextBoldChar"/>
          <w:rFonts w:cs="Arial"/>
          <w:b w:val="0"/>
        </w:rPr>
        <w:t>No other entities to monitor</w:t>
      </w:r>
    </w:p>
    <w:p w14:paraId="13C2F168" w14:textId="77777777" w:rsidR="00F67E9E" w:rsidRPr="00753B68" w:rsidRDefault="00F67E9E" w:rsidP="00F67E9E">
      <w:pPr>
        <w:pStyle w:val="StdBodyText"/>
        <w:spacing w:before="0" w:after="0"/>
        <w:rPr>
          <w:rFonts w:cs="Arial"/>
        </w:rPr>
      </w:pPr>
    </w:p>
    <w:p w14:paraId="38B3CCF7" w14:textId="77777777" w:rsidR="00F67E9E" w:rsidRPr="00753B68" w:rsidRDefault="00F67E9E" w:rsidP="00F67E9E">
      <w:pPr>
        <w:pStyle w:val="Numbered1"/>
      </w:pPr>
      <w:bookmarkStart w:id="1230" w:name="_Ref44571523"/>
      <w:r w:rsidRPr="00190AA9">
        <w:t>Termination</w:t>
      </w:r>
      <w:r w:rsidRPr="00753B68">
        <w:t xml:space="preserve"> Rights</w:t>
      </w:r>
      <w:bookmarkEnd w:id="1230"/>
    </w:p>
    <w:p w14:paraId="64CB03AF" w14:textId="77777777" w:rsidR="00F67E9E" w:rsidRPr="00D00D9A" w:rsidRDefault="00F67E9E" w:rsidP="00F67E9E">
      <w:pPr>
        <w:pStyle w:val="Numbered11"/>
        <w:keepNext/>
      </w:pPr>
      <w:r w:rsidRPr="00D00D9A">
        <w:t xml:space="preserve">The Authority shall be entitled to terminate this Contract under </w:t>
      </w:r>
      <w:bookmarkStart w:id="1231" w:name="_9kMIH5YVt4EE7BJTEjtCx9MLu"/>
      <w:bookmarkStart w:id="1232" w:name="_9kMHG5YVt4EE7CDMEjtCx9MLu"/>
      <w:r w:rsidRPr="00D00D9A">
        <w:t>Clause 31.1(b)</w:t>
      </w:r>
      <w:bookmarkEnd w:id="1231"/>
      <w:bookmarkEnd w:id="1232"/>
      <w:r>
        <w:t xml:space="preserve"> </w:t>
      </w:r>
      <w:r w:rsidRPr="00D00D9A">
        <w:t>(</w:t>
      </w:r>
      <w:r w:rsidRPr="00D00D9A">
        <w:rPr>
          <w:i/>
        </w:rPr>
        <w:t>Termination by the Authority</w:t>
      </w:r>
      <w:r w:rsidRPr="00D00D9A">
        <w:t>) if:</w:t>
      </w:r>
    </w:p>
    <w:p w14:paraId="5B593640" w14:textId="11800A34" w:rsidR="00F67E9E" w:rsidRPr="00190AA9" w:rsidRDefault="00F67E9E" w:rsidP="00F67E9E">
      <w:pPr>
        <w:pStyle w:val="Numbered111"/>
      </w:pPr>
      <w:r w:rsidRPr="00D00D9A">
        <w:t xml:space="preserve">the </w:t>
      </w:r>
      <w:r w:rsidRPr="00190AA9">
        <w:t xml:space="preserve">Supplier fails to notify the Authority of a Financial Distress Event in accordance with </w:t>
      </w:r>
      <w:bookmarkStart w:id="1233" w:name="_9kR3WTr2BC7EHaEnoewrqyCMx"/>
      <w:r w:rsidRPr="00190AA9">
        <w:t xml:space="preserve">Paragraph </w:t>
      </w:r>
      <w:r w:rsidRPr="00190AA9">
        <w:fldChar w:fldCharType="begin"/>
      </w:r>
      <w:r w:rsidRPr="00190AA9">
        <w:instrText xml:space="preserve"> REF _Ref_ContractCompanion_9kb9Us3AB \w \h \t \* MERGEFORMAT </w:instrText>
      </w:r>
      <w:r w:rsidRPr="00190AA9">
        <w:fldChar w:fldCharType="separate"/>
      </w:r>
      <w:r w:rsidR="007A1473">
        <w:t>2.3.3</w:t>
      </w:r>
      <w:r w:rsidRPr="00190AA9">
        <w:fldChar w:fldCharType="end"/>
      </w:r>
      <w:bookmarkEnd w:id="1233"/>
      <w:r w:rsidRPr="00190AA9">
        <w:t>;</w:t>
      </w:r>
    </w:p>
    <w:p w14:paraId="088321C0" w14:textId="39D3C92C" w:rsidR="00F67E9E" w:rsidRPr="00190AA9" w:rsidRDefault="00F67E9E" w:rsidP="00F67E9E">
      <w:pPr>
        <w:pStyle w:val="Numbered111"/>
      </w:pPr>
      <w:r w:rsidRPr="00190AA9">
        <w:t xml:space="preserve">the Supplier fails to comply with any part of Paragraph </w:t>
      </w:r>
      <w:r w:rsidRPr="00190AA9">
        <w:fldChar w:fldCharType="begin"/>
      </w:r>
      <w:r w:rsidRPr="00190AA9">
        <w:instrText xml:space="preserve"> REF _Ref_ContractCompanion_9kb9Us36B \r \h  \* MERGEFORMAT </w:instrText>
      </w:r>
      <w:r w:rsidRPr="00190AA9">
        <w:fldChar w:fldCharType="separate"/>
      </w:r>
      <w:r w:rsidR="007A1473">
        <w:t>4.3</w:t>
      </w:r>
      <w:r w:rsidRPr="00190AA9">
        <w:fldChar w:fldCharType="end"/>
      </w:r>
      <w:r w:rsidRPr="00190AA9">
        <w:t>;</w:t>
      </w:r>
    </w:p>
    <w:p w14:paraId="29B276D4" w14:textId="379F350F" w:rsidR="00F67E9E" w:rsidRPr="00190AA9" w:rsidRDefault="00F67E9E" w:rsidP="00F67E9E">
      <w:pPr>
        <w:pStyle w:val="Numbered111"/>
      </w:pPr>
      <w:r w:rsidRPr="00190AA9">
        <w:t xml:space="preserve">the Authority finally rejects a Financial Distress Remediation Plan (or any updated Financial Distress Remediation Plan) in accordance with </w:t>
      </w:r>
      <w:bookmarkStart w:id="1234" w:name="_9kR3WTr2BC7EKdEnoewrqy2QP"/>
      <w:r w:rsidRPr="00190AA9">
        <w:t xml:space="preserve">Paragraphs </w:t>
      </w:r>
      <w:r w:rsidRPr="00190AA9">
        <w:fldChar w:fldCharType="begin"/>
      </w:r>
      <w:r w:rsidRPr="00190AA9">
        <w:instrText xml:space="preserve"> REF _Ref88648491 \r \h  \* MERGEFORMAT </w:instrText>
      </w:r>
      <w:r w:rsidRPr="00190AA9">
        <w:fldChar w:fldCharType="separate"/>
      </w:r>
      <w:r w:rsidR="007A1473">
        <w:t>4.4</w:t>
      </w:r>
      <w:r w:rsidRPr="00190AA9">
        <w:fldChar w:fldCharType="end"/>
      </w:r>
      <w:bookmarkEnd w:id="1234"/>
      <w:r w:rsidRPr="00190AA9">
        <w:t xml:space="preserve"> to </w:t>
      </w:r>
      <w:bookmarkStart w:id="1235" w:name="_9kR3WTr2BC7FEBH"/>
      <w:r w:rsidRPr="00190AA9">
        <w:fldChar w:fldCharType="begin"/>
      </w:r>
      <w:r w:rsidRPr="00190AA9">
        <w:instrText xml:space="preserve"> REF _Ref_ContractCompanion_9kb9Us38B \w \h \t \* MERGEFORMAT </w:instrText>
      </w:r>
      <w:r w:rsidRPr="00190AA9">
        <w:fldChar w:fldCharType="separate"/>
      </w:r>
      <w:r w:rsidR="007A1473">
        <w:t>4.5.1</w:t>
      </w:r>
      <w:r w:rsidRPr="00190AA9">
        <w:fldChar w:fldCharType="end"/>
      </w:r>
      <w:bookmarkEnd w:id="1235"/>
      <w:r w:rsidRPr="00190AA9">
        <w:t>; and/or</w:t>
      </w:r>
    </w:p>
    <w:p w14:paraId="3E855FB5" w14:textId="6C7D30CC" w:rsidR="00F67E9E" w:rsidRPr="00D00D9A" w:rsidRDefault="00F67E9E" w:rsidP="00F67E9E">
      <w:pPr>
        <w:pStyle w:val="Numbered111"/>
      </w:pPr>
      <w:r w:rsidRPr="00190AA9">
        <w:t>the Supplier fails to comply with the terms of the Financial Distress Remediation Plan (or any</w:t>
      </w:r>
      <w:r w:rsidRPr="00D00D9A">
        <w:t xml:space="preserve"> updated Financial Distress Remediation Plan) in accordance with </w:t>
      </w:r>
      <w:bookmarkStart w:id="1236" w:name="_9kR3WTr2BC7FHZEnoewrqyER0"/>
      <w:r w:rsidRPr="00D00D9A">
        <w:t xml:space="preserve">Paragraph </w:t>
      </w:r>
      <w:r w:rsidRPr="00D00D9A">
        <w:fldChar w:fldCharType="begin"/>
      </w:r>
      <w:r w:rsidRPr="00D00D9A">
        <w:instrText xml:space="preserve"> REF _Ref_ContractCompanion_9kb9Us3BB \w \h \t \* MERGEFORMAT </w:instrText>
      </w:r>
      <w:r w:rsidRPr="00D00D9A">
        <w:fldChar w:fldCharType="separate"/>
      </w:r>
      <w:r w:rsidR="007A1473">
        <w:t>4.5.3</w:t>
      </w:r>
      <w:r w:rsidRPr="00D00D9A">
        <w:fldChar w:fldCharType="end"/>
      </w:r>
      <w:bookmarkEnd w:id="1236"/>
      <w:r w:rsidRPr="00D00D9A">
        <w:t>.</w:t>
      </w:r>
    </w:p>
    <w:p w14:paraId="1DB5818A" w14:textId="77777777" w:rsidR="00F67E9E" w:rsidRPr="00D00D9A" w:rsidRDefault="00F67E9E" w:rsidP="00F67E9E">
      <w:pPr>
        <w:pStyle w:val="Numbered1"/>
      </w:pPr>
      <w:r w:rsidRPr="00D00D9A">
        <w:t xml:space="preserve">Primacy </w:t>
      </w:r>
      <w:r>
        <w:t>o</w:t>
      </w:r>
      <w:r w:rsidRPr="00D00D9A">
        <w:t>f Credit Ratings</w:t>
      </w:r>
    </w:p>
    <w:p w14:paraId="57375C5B" w14:textId="2F816B31" w:rsidR="00F67E9E" w:rsidRPr="00D00D9A" w:rsidRDefault="00F67E9E" w:rsidP="00F67E9E">
      <w:pPr>
        <w:pStyle w:val="Numbered11"/>
      </w:pPr>
      <w:bookmarkStart w:id="1237" w:name="_Ref_ContractCompanion_9kb9Ur34B"/>
      <w:bookmarkStart w:id="1238" w:name="_Ref_ContractCompanion_9kb9Ur354"/>
      <w:bookmarkStart w:id="1239" w:name="_Ref_ContractCompanion_9kb9Ur6EG"/>
      <w:r w:rsidRPr="00D00D9A">
        <w:t>Without prejudice to the Supplier</w:t>
      </w:r>
      <w:r>
        <w:t>’</w:t>
      </w:r>
      <w:r w:rsidRPr="00D00D9A">
        <w:t>s obligations and the Authority</w:t>
      </w:r>
      <w:r>
        <w:t>’</w:t>
      </w:r>
      <w:r w:rsidRPr="00D00D9A">
        <w:t xml:space="preserve">s rights and remedies under </w:t>
      </w:r>
      <w:bookmarkStart w:id="1240" w:name="_9kR3WTr2BC7FKcEnoewrqyC"/>
      <w:r w:rsidRPr="00D00D9A">
        <w:t xml:space="preserve">Paragraph </w:t>
      </w:r>
      <w:r w:rsidRPr="00D00D9A">
        <w:fldChar w:fldCharType="begin"/>
      </w:r>
      <w:r w:rsidRPr="00D00D9A">
        <w:instrText xml:space="preserve"> REF _Ref_ContractCompanion_9kb9Us3BE \w \n \h \t \* MERGEFORMAT </w:instrText>
      </w:r>
      <w:r w:rsidRPr="00D00D9A">
        <w:fldChar w:fldCharType="separate"/>
      </w:r>
      <w:r w:rsidR="007A1473">
        <w:t>2</w:t>
      </w:r>
      <w:r w:rsidRPr="00D00D9A">
        <w:fldChar w:fldCharType="end"/>
      </w:r>
      <w:bookmarkEnd w:id="1240"/>
      <w:r w:rsidRPr="00D00D9A">
        <w:t xml:space="preserve">, if, following the occurrence of a Financial Distress Event pursuant to </w:t>
      </w:r>
      <w:r w:rsidRPr="00D00D9A">
        <w:lastRenderedPageBreak/>
        <w:t xml:space="preserve">any of </w:t>
      </w:r>
      <w:bookmarkStart w:id="1241" w:name="_9kR3WTr2BC7FNfEnoewrqy2PMv"/>
      <w:r w:rsidRPr="00D00D9A">
        <w:t xml:space="preserve">Paragraphs </w:t>
      </w:r>
      <w:r w:rsidRPr="00D00D9A">
        <w:fldChar w:fldCharType="begin"/>
      </w:r>
      <w:r w:rsidRPr="00D00D9A">
        <w:instrText xml:space="preserve"> REF _Ref_ContractCompanion_9kb9Us3BH \w \h \t \* MERGEFORMAT </w:instrText>
      </w:r>
      <w:r w:rsidRPr="00D00D9A">
        <w:fldChar w:fldCharType="separate"/>
      </w:r>
      <w:r w:rsidR="007A1473">
        <w:t>3.1.2</w:t>
      </w:r>
      <w:r w:rsidRPr="00D00D9A">
        <w:fldChar w:fldCharType="end"/>
      </w:r>
      <w:bookmarkEnd w:id="1241"/>
      <w:r w:rsidRPr="00D00D9A">
        <w:t xml:space="preserve"> to </w:t>
      </w:r>
      <w:bookmarkStart w:id="1242" w:name="_9kR3WTr2BC7GHCCq"/>
      <w:r w:rsidRPr="00D00D9A">
        <w:fldChar w:fldCharType="begin"/>
      </w:r>
      <w:r w:rsidRPr="00D00D9A">
        <w:instrText xml:space="preserve"> REF _Ref_ContractCompanion_9kb9Us3CB \w \h \t \* MERGEFORMAT </w:instrText>
      </w:r>
      <w:r w:rsidRPr="00D00D9A">
        <w:fldChar w:fldCharType="separate"/>
      </w:r>
      <w:r w:rsidR="007A1473">
        <w:t>3.1.10</w:t>
      </w:r>
      <w:r w:rsidRPr="00D00D9A">
        <w:fldChar w:fldCharType="end"/>
      </w:r>
      <w:bookmarkEnd w:id="1242"/>
      <w:r w:rsidRPr="00D00D9A">
        <w:t xml:space="preserve">, the Rating Agencies </w:t>
      </w:r>
      <w:r w:rsidRPr="00190AA9">
        <w:t>review</w:t>
      </w:r>
      <w:r w:rsidRPr="00D00D9A">
        <w:t xml:space="preserve"> and report subsequently that the credit ratings for the FDE Group entities do not drop below the relevant Credit Rating Thresholds specified for those entities in Annex </w:t>
      </w:r>
      <w:r w:rsidRPr="00D00D9A">
        <w:fldChar w:fldCharType="begin"/>
      </w:r>
      <w:r w:rsidRPr="00D00D9A">
        <w:instrText xml:space="preserve"> REF ANNEX2_SCHEDULE18 \h </w:instrText>
      </w:r>
      <w:r>
        <w:instrText xml:space="preserve"> \* MERGEFORMAT </w:instrText>
      </w:r>
      <w:r w:rsidRPr="00D00D9A">
        <w:fldChar w:fldCharType="separate"/>
      </w:r>
      <w:r w:rsidR="007A1473" w:rsidRPr="00D00D9A">
        <w:t>2</w:t>
      </w:r>
      <w:r w:rsidRPr="00D00D9A">
        <w:fldChar w:fldCharType="end"/>
      </w:r>
      <w:r w:rsidRPr="00D00D9A">
        <w:t xml:space="preserve"> of this Schedule, then:</w:t>
      </w:r>
      <w:bookmarkEnd w:id="1237"/>
      <w:bookmarkEnd w:id="1238"/>
      <w:bookmarkEnd w:id="1239"/>
    </w:p>
    <w:p w14:paraId="01DEE501" w14:textId="1DFAF9E7" w:rsidR="00F67E9E" w:rsidRPr="00190AA9" w:rsidRDefault="00F67E9E" w:rsidP="00F67E9E">
      <w:pPr>
        <w:pStyle w:val="Numbered111"/>
      </w:pPr>
      <w:r w:rsidRPr="00D00D9A">
        <w:t xml:space="preserve">the Supplier shall be relieved automatically of its obligations under </w:t>
      </w:r>
      <w:bookmarkStart w:id="1243" w:name="_9kMHG5YVt4DE9GMfGpqgyts04SR"/>
      <w:r w:rsidRPr="00D00D9A">
        <w:t xml:space="preserve">Paragraphs </w:t>
      </w:r>
      <w:r w:rsidRPr="00D00D9A">
        <w:fldChar w:fldCharType="begin"/>
      </w:r>
      <w:r w:rsidRPr="00D00D9A">
        <w:instrText xml:space="preserve"> REF _Ref_ContractCompanion_9kb9Us3AE \n \h \t \* MERGEFORMAT </w:instrText>
      </w:r>
      <w:r w:rsidRPr="00D00D9A">
        <w:fldChar w:fldCharType="separate"/>
      </w:r>
      <w:r w:rsidR="007A1473">
        <w:t>4.3</w:t>
      </w:r>
      <w:r w:rsidRPr="00D00D9A">
        <w:fldChar w:fldCharType="end"/>
      </w:r>
      <w:bookmarkEnd w:id="1243"/>
      <w:r w:rsidRPr="00D00D9A">
        <w:t xml:space="preserve"> to </w:t>
      </w:r>
      <w:bookmarkStart w:id="1244" w:name="_9kR3WTr2BC7GKGI"/>
      <w:r w:rsidRPr="00D00D9A">
        <w:fldChar w:fldCharType="begin"/>
      </w:r>
      <w:r w:rsidRPr="00D00D9A">
        <w:instrText xml:space="preserve"> REF _Ref_ContractCompanion_9kb9Us3CE \n \h \t \* MERGEFORMAT </w:instrText>
      </w:r>
      <w:r w:rsidRPr="00D00D9A">
        <w:fldChar w:fldCharType="separate"/>
      </w:r>
      <w:r w:rsidR="007A1473">
        <w:t>4.5</w:t>
      </w:r>
      <w:r w:rsidRPr="00D00D9A">
        <w:fldChar w:fldCharType="end"/>
      </w:r>
      <w:bookmarkEnd w:id="1244"/>
      <w:r w:rsidRPr="00D00D9A">
        <w:t>; and</w:t>
      </w:r>
    </w:p>
    <w:p w14:paraId="5F0417F3" w14:textId="1FB899E3" w:rsidR="00F67E9E" w:rsidRPr="00D00D9A" w:rsidRDefault="00F67E9E" w:rsidP="00F67E9E">
      <w:pPr>
        <w:pStyle w:val="Numbered111"/>
      </w:pPr>
      <w:r w:rsidRPr="00190AA9">
        <w:t>the Authority shall not be entitled to require the Supplier to provide financial information in</w:t>
      </w:r>
      <w:r w:rsidRPr="00D00D9A">
        <w:t xml:space="preserve"> accordance with </w:t>
      </w:r>
      <w:bookmarkStart w:id="1245" w:name="_9kMIH5YVtCIB9FJIHpiq29A4qo8O61HODv8HIJJ"/>
      <w:r w:rsidRPr="00D00D9A">
        <w:t xml:space="preserve">Paragraph </w:t>
      </w:r>
      <w:r w:rsidRPr="00D00D9A">
        <w:fldChar w:fldCharType="begin"/>
      </w:r>
      <w:r w:rsidRPr="00D00D9A">
        <w:instrText xml:space="preserve"> REF _Ref_ContractCompanion_9kb9Us39B \w \h \t \* MERGEFORMAT </w:instrText>
      </w:r>
      <w:r w:rsidRPr="00D00D9A">
        <w:fldChar w:fldCharType="separate"/>
      </w:r>
      <w:r w:rsidR="007A1473">
        <w:t>4.3.2(b)</w:t>
      </w:r>
      <w:r w:rsidRPr="00D00D9A">
        <w:fldChar w:fldCharType="end"/>
      </w:r>
      <w:bookmarkEnd w:id="1245"/>
      <w:r w:rsidRPr="00D00D9A">
        <w:t xml:space="preserve">. </w:t>
      </w:r>
    </w:p>
    <w:p w14:paraId="3B17B526" w14:textId="77777777" w:rsidR="00F67E9E" w:rsidRPr="00D00D9A" w:rsidRDefault="00F67E9E" w:rsidP="00F67E9E">
      <w:pPr>
        <w:pStyle w:val="Numbered1"/>
      </w:pPr>
      <w:bookmarkStart w:id="1246" w:name="_Ref_ContractCompanion_9kb9Ur246"/>
      <w:bookmarkStart w:id="1247" w:name="_Ref_ContractCompanion_9kb9Us34C"/>
      <w:bookmarkStart w:id="1248" w:name="_Ref_ContractCompanion_9kb9Us8A7"/>
      <w:r w:rsidRPr="00D00D9A">
        <w:t xml:space="preserve">Board </w:t>
      </w:r>
      <w:r w:rsidRPr="00190AA9">
        <w:t>Confirmation</w:t>
      </w:r>
      <w:bookmarkEnd w:id="1246"/>
      <w:bookmarkEnd w:id="1247"/>
      <w:bookmarkEnd w:id="1248"/>
    </w:p>
    <w:p w14:paraId="178D448E" w14:textId="5D20C84D" w:rsidR="00F67E9E" w:rsidRPr="00D00D9A" w:rsidRDefault="00F67E9E" w:rsidP="00F67E9E">
      <w:pPr>
        <w:pStyle w:val="Numbered11"/>
      </w:pPr>
      <w:bookmarkStart w:id="1249" w:name="_Ref_ContractCompanion_9kb9Ur894"/>
      <w:bookmarkStart w:id="1250" w:name="_Ref_ContractCompanion_9kb9Us3CK"/>
      <w:r w:rsidRPr="00D00D9A">
        <w:t xml:space="preserve">If this Contract has been specified as a Critical Service Contract under </w:t>
      </w:r>
      <w:bookmarkStart w:id="1251" w:name="_9kMHG5YVt4EE7DIdGpqgyts0DKL"/>
      <w:r w:rsidRPr="00D00D9A">
        <w:t xml:space="preserve">Paragraph </w:t>
      </w:r>
      <w:r w:rsidRPr="00D00D9A">
        <w:fldChar w:fldCharType="begin"/>
      </w:r>
      <w:r w:rsidRPr="00D00D9A">
        <w:instrText xml:space="preserve"> REF _Ref_ContractCompanion_9kb9Ur178 \n \h \t \* MERGEFORMAT </w:instrText>
      </w:r>
      <w:r w:rsidRPr="00D00D9A">
        <w:fldChar w:fldCharType="separate"/>
      </w:r>
      <w:r w:rsidR="007A1473">
        <w:t>1.1</w:t>
      </w:r>
      <w:r w:rsidRPr="00D00D9A">
        <w:fldChar w:fldCharType="end"/>
      </w:r>
      <w:bookmarkEnd w:id="1251"/>
      <w:r w:rsidRPr="00D00D9A">
        <w:t xml:space="preserve"> of </w:t>
      </w:r>
      <w:r w:rsidRPr="00D00D9A">
        <w:fldChar w:fldCharType="begin"/>
      </w:r>
      <w:r w:rsidRPr="00D00D9A">
        <w:instrText xml:space="preserve"> REF Sch26PartB \h  \* MERGEFORMAT </w:instrText>
      </w:r>
      <w:r w:rsidRPr="00D00D9A">
        <w:fldChar w:fldCharType="separate"/>
      </w:r>
      <w:r w:rsidR="007A1473" w:rsidRPr="00025910">
        <w:t>Part B</w:t>
      </w:r>
      <w:r w:rsidRPr="00D00D9A">
        <w:fldChar w:fldCharType="end"/>
      </w:r>
      <w:r w:rsidRPr="00D00D9A">
        <w:t xml:space="preserve"> to </w:t>
      </w:r>
      <w:r>
        <w:fldChar w:fldCharType="begin"/>
      </w:r>
      <w:r>
        <w:instrText xml:space="preserve"> REF Schedule26 \h </w:instrText>
      </w:r>
      <w:r>
        <w:fldChar w:fldCharType="separate"/>
      </w:r>
      <w:r w:rsidR="007A1473" w:rsidRPr="005D0525">
        <w:t>Schedule</w:t>
      </w:r>
      <w:r w:rsidR="007A1473">
        <w:t> </w:t>
      </w:r>
      <w:r w:rsidR="007A1473" w:rsidRPr="005D0525">
        <w:t>26</w:t>
      </w:r>
      <w:r>
        <w:fldChar w:fldCharType="end"/>
      </w:r>
      <w:r>
        <w:t xml:space="preserve"> (</w:t>
      </w:r>
      <w:r w:rsidRPr="00A22335">
        <w:rPr>
          <w:i/>
          <w:iCs/>
        </w:rPr>
        <w:fldChar w:fldCharType="begin"/>
      </w:r>
      <w:r w:rsidRPr="00A22335">
        <w:rPr>
          <w:i/>
          <w:iCs/>
        </w:rPr>
        <w:instrText xml:space="preserve"> REF Schedule26Heading \h </w:instrText>
      </w:r>
      <w:r>
        <w:rPr>
          <w:i/>
          <w:iCs/>
        </w:rPr>
        <w:instrText xml:space="preserve"> \* MERGEFORMAT </w:instrText>
      </w:r>
      <w:r w:rsidRPr="00A22335">
        <w:rPr>
          <w:i/>
          <w:iCs/>
        </w:rPr>
      </w:r>
      <w:r w:rsidRPr="00A22335">
        <w:rPr>
          <w:i/>
          <w:iCs/>
        </w:rPr>
        <w:fldChar w:fldCharType="separate"/>
      </w:r>
      <w:r w:rsidR="007A1473" w:rsidRPr="007A1473">
        <w:rPr>
          <w:i/>
          <w:iCs/>
        </w:rPr>
        <w:t>Service Continuity Plan and Corporate Resolution Planning</w:t>
      </w:r>
      <w:r w:rsidRPr="00A22335">
        <w:rPr>
          <w:i/>
          <w:iCs/>
        </w:rPr>
        <w:fldChar w:fldCharType="end"/>
      </w:r>
      <w:r>
        <w:t>)</w:t>
      </w:r>
      <w:r w:rsidRPr="00D00D9A">
        <w:t xml:space="preserve"> then, subject to </w:t>
      </w:r>
      <w:bookmarkStart w:id="1252" w:name="_9kR3WTr2BC7GNeEnoewrqyIT"/>
      <w:r w:rsidRPr="00D00D9A">
        <w:t xml:space="preserve">Paragraph </w:t>
      </w:r>
      <w:r w:rsidRPr="00D00D9A">
        <w:fldChar w:fldCharType="begin"/>
      </w:r>
      <w:r w:rsidRPr="00D00D9A">
        <w:instrText xml:space="preserve"> REF _Ref_ContractCompanion_9kb9Us3CH \n \h \t \* MERGEFORMAT </w:instrText>
      </w:r>
      <w:r w:rsidRPr="00D00D9A">
        <w:fldChar w:fldCharType="separate"/>
      </w:r>
      <w:r w:rsidR="007A1473">
        <w:t>8.4</w:t>
      </w:r>
      <w:r w:rsidRPr="00D00D9A">
        <w:fldChar w:fldCharType="end"/>
      </w:r>
      <w:bookmarkEnd w:id="1252"/>
      <w:r w:rsidRPr="00D00D9A">
        <w:t xml:space="preserve"> of this Schedule, the Supplier shall within 120 days after each Accounting Reference Date or within 15 months of the previous Board Confirmation (whichever is the earlier) provide a Board Confirmation to the Authority in the form set out at Annex </w:t>
      </w:r>
      <w:r w:rsidRPr="00D00D9A">
        <w:fldChar w:fldCharType="begin"/>
      </w:r>
      <w:r w:rsidRPr="00D00D9A">
        <w:instrText xml:space="preserve"> REF ANNEX4_SCHEDULE18 \h </w:instrText>
      </w:r>
      <w:r>
        <w:instrText xml:space="preserve"> \* MERGEFORMAT </w:instrText>
      </w:r>
      <w:r w:rsidRPr="00D00D9A">
        <w:fldChar w:fldCharType="separate"/>
      </w:r>
      <w:r w:rsidR="007A1473" w:rsidRPr="00D00D9A">
        <w:t>4</w:t>
      </w:r>
      <w:r w:rsidRPr="00D00D9A">
        <w:fldChar w:fldCharType="end"/>
      </w:r>
      <w:r w:rsidRPr="00D00D9A">
        <w:t xml:space="preserve"> of this Schedule, confirming that to the best of the Board</w:t>
      </w:r>
      <w:r>
        <w:t>’</w:t>
      </w:r>
      <w:r w:rsidRPr="00D00D9A">
        <w:t>s knowledge and belief, it is not aware of and has no knowledge:</w:t>
      </w:r>
      <w:bookmarkEnd w:id="1249"/>
      <w:bookmarkEnd w:id="1250"/>
    </w:p>
    <w:p w14:paraId="218BB595" w14:textId="77777777" w:rsidR="00F67E9E" w:rsidRPr="00190AA9" w:rsidRDefault="00F67E9E" w:rsidP="00F67E9E">
      <w:pPr>
        <w:pStyle w:val="Numbered111"/>
      </w:pPr>
      <w:r w:rsidRPr="00D00D9A">
        <w:t xml:space="preserve">that a Financial </w:t>
      </w:r>
      <w:r w:rsidRPr="00190AA9">
        <w:t>Distress Event has occurred since the later of the Effective Date or the previous Board Confirmation or is subsisting; or</w:t>
      </w:r>
    </w:p>
    <w:p w14:paraId="07C1DF3D" w14:textId="77777777" w:rsidR="00F67E9E" w:rsidRPr="00D00D9A" w:rsidRDefault="00F67E9E" w:rsidP="00F67E9E">
      <w:pPr>
        <w:pStyle w:val="Numbered111"/>
      </w:pPr>
      <w:r w:rsidRPr="00190AA9">
        <w:t>of any matters which have occurred or are subsisting that could reasonably be expected to cause a</w:t>
      </w:r>
      <w:r w:rsidRPr="00D00D9A">
        <w:t xml:space="preserve"> Financial Distress Event.</w:t>
      </w:r>
    </w:p>
    <w:p w14:paraId="339DCCED" w14:textId="77777777" w:rsidR="00F67E9E" w:rsidRPr="00190AA9" w:rsidRDefault="00F67E9E" w:rsidP="00F67E9E">
      <w:pPr>
        <w:pStyle w:val="Numbered11"/>
      </w:pPr>
      <w:r w:rsidRPr="00D00D9A">
        <w:t xml:space="preserve">The Supplier shall ensure that in its preparation of the Board Confirmation it exercises due care and diligence and has made reasonable enquiry of all relevant Supplier Personnel and other </w:t>
      </w:r>
      <w:r w:rsidRPr="00190AA9">
        <w:t>persons as is reasonably necessary to understand and confirm the position.</w:t>
      </w:r>
    </w:p>
    <w:p w14:paraId="47CB688E" w14:textId="1B922293" w:rsidR="00F67E9E" w:rsidRPr="00190AA9" w:rsidRDefault="00F67E9E" w:rsidP="00F67E9E">
      <w:pPr>
        <w:pStyle w:val="Numbered11"/>
      </w:pPr>
      <w:bookmarkStart w:id="1253" w:name="_Ref_ContractCompanion_9kb9Us444"/>
      <w:r w:rsidRPr="00190AA9">
        <w:t xml:space="preserve">In respect of the first Board Confirmation to be provided under this Contract, the Supplier shall provide the Board Confirmation within 15 months of the Effective Date if earlier than the timescale for submission set out in </w:t>
      </w:r>
      <w:bookmarkStart w:id="1254" w:name="_9kMIH5YVt4DDEFCcGpqgyts0KS"/>
      <w:r w:rsidRPr="00190AA9">
        <w:t xml:space="preserve">Paragraph </w:t>
      </w:r>
      <w:r w:rsidRPr="00190AA9">
        <w:fldChar w:fldCharType="begin"/>
      </w:r>
      <w:r w:rsidRPr="00190AA9">
        <w:instrText xml:space="preserve"> REF _Ref_ContractCompanion_9kb9Ur894 \n \h \t \* MERGEFORMAT </w:instrText>
      </w:r>
      <w:r w:rsidRPr="00190AA9">
        <w:fldChar w:fldCharType="separate"/>
      </w:r>
      <w:r w:rsidR="007A1473">
        <w:t>8.1</w:t>
      </w:r>
      <w:r w:rsidRPr="00190AA9">
        <w:fldChar w:fldCharType="end"/>
      </w:r>
      <w:bookmarkEnd w:id="1254"/>
      <w:r w:rsidRPr="00190AA9">
        <w:t xml:space="preserve"> of this Schedule.</w:t>
      </w:r>
      <w:bookmarkEnd w:id="1253"/>
    </w:p>
    <w:p w14:paraId="6176DBDC" w14:textId="4ABDD627" w:rsidR="00F67E9E" w:rsidRDefault="00F67E9E" w:rsidP="00F67E9E">
      <w:pPr>
        <w:pStyle w:val="Numbered11"/>
      </w:pPr>
      <w:bookmarkStart w:id="1255" w:name="_Ref_ContractCompanion_9kb9Us3CH"/>
      <w:r w:rsidRPr="00190AA9">
        <w:t>Where th</w:t>
      </w:r>
      <w:r w:rsidRPr="00D00D9A">
        <w:t xml:space="preserve">e Supplier is unable to provide a Board Confirmation in accordance with </w:t>
      </w:r>
      <w:bookmarkStart w:id="1256" w:name="_9kR3WTr2BC887XEnoewrqy2UR"/>
      <w:r w:rsidRPr="00D00D9A">
        <w:t xml:space="preserve">Paragraphs </w:t>
      </w:r>
      <w:r w:rsidRPr="00D00D9A">
        <w:fldChar w:fldCharType="begin"/>
      </w:r>
      <w:r w:rsidRPr="00D00D9A">
        <w:instrText xml:space="preserve"> REF _Ref_ContractCompanion_9kb9Us3CK \n \h \t \* MERGEFORMAT </w:instrText>
      </w:r>
      <w:r w:rsidRPr="00D00D9A">
        <w:fldChar w:fldCharType="separate"/>
      </w:r>
      <w:r w:rsidR="007A1473">
        <w:t>8.1</w:t>
      </w:r>
      <w:r w:rsidRPr="00D00D9A">
        <w:fldChar w:fldCharType="end"/>
      </w:r>
      <w:bookmarkEnd w:id="1256"/>
      <w:r w:rsidRPr="00D00D9A">
        <w:t xml:space="preserve"> to </w:t>
      </w:r>
      <w:bookmarkStart w:id="1257" w:name="_9kR3WTr2BC88AJJ"/>
      <w:r w:rsidRPr="00D00D9A">
        <w:fldChar w:fldCharType="begin"/>
      </w:r>
      <w:r w:rsidRPr="00D00D9A">
        <w:instrText xml:space="preserve"> REF _Ref_ContractCompanion_9kb9Us444 \n \h \t \* MERGEFORMAT </w:instrText>
      </w:r>
      <w:r w:rsidRPr="00D00D9A">
        <w:fldChar w:fldCharType="separate"/>
      </w:r>
      <w:r w:rsidR="007A1473">
        <w:t>8.3</w:t>
      </w:r>
      <w:r w:rsidRPr="00D00D9A">
        <w:fldChar w:fldCharType="end"/>
      </w:r>
      <w:bookmarkEnd w:id="1257"/>
      <w:r w:rsidRPr="00D00D9A">
        <w:t xml:space="preserve">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Authority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bookmarkEnd w:id="1255"/>
    </w:p>
    <w:p w14:paraId="27DD83AE" w14:textId="77777777" w:rsidR="00F67E9E" w:rsidRDefault="00F67E9E" w:rsidP="00F67E9E"/>
    <w:p w14:paraId="78116E3E" w14:textId="77777777" w:rsidR="00F67E9E" w:rsidRDefault="00F67E9E" w:rsidP="00F67E9E">
      <w:pPr>
        <w:pStyle w:val="Heading2"/>
        <w:pageBreakBefore/>
      </w:pPr>
      <w:bookmarkStart w:id="1258" w:name="_Ref_ContractCompanion_9kb9Ur7C6"/>
      <w:bookmarkStart w:id="1259" w:name="_Ref_ContractCompanion_9kb9Ur7C8"/>
      <w:bookmarkStart w:id="1260" w:name="_Toc145412787"/>
      <w:r w:rsidRPr="00D00D9A">
        <w:lastRenderedPageBreak/>
        <w:t xml:space="preserve">Annex </w:t>
      </w:r>
      <w:bookmarkStart w:id="1261" w:name="ANNEX1_SCHEDULE18"/>
      <w:r w:rsidRPr="00D00D9A">
        <w:t>1</w:t>
      </w:r>
      <w:bookmarkEnd w:id="1261"/>
      <w:r w:rsidRPr="00D00D9A">
        <w:t>: Rating Agenc</w:t>
      </w:r>
      <w:r w:rsidRPr="00D24F50">
        <w:t xml:space="preserve">ies </w:t>
      </w:r>
      <w:r>
        <w:t>a</w:t>
      </w:r>
      <w:r w:rsidRPr="00D24F50">
        <w:t xml:space="preserve">nd </w:t>
      </w:r>
      <w:r>
        <w:t>t</w:t>
      </w:r>
      <w:r w:rsidRPr="00D24F50">
        <w:t>heir Standard Rating System</w:t>
      </w:r>
      <w:bookmarkEnd w:id="1258"/>
      <w:bookmarkEnd w:id="1259"/>
      <w:bookmarkEnd w:id="1260"/>
    </w:p>
    <w:p w14:paraId="1A8E13EF" w14:textId="3AC225A0" w:rsidR="00F67E9E" w:rsidRDefault="00397217" w:rsidP="00F67E9E">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579F7ACF" w14:textId="77777777" w:rsidR="00F67E9E" w:rsidRDefault="00F67E9E" w:rsidP="00F67E9E">
      <w:pPr>
        <w:pStyle w:val="Heading2"/>
        <w:pageBreakBefore/>
      </w:pPr>
      <w:bookmarkStart w:id="1262" w:name="_Ref_ContractCompanion_9kb9Us356"/>
      <w:bookmarkStart w:id="1263" w:name="_Ref_ContractCompanion_9kb9Us447"/>
      <w:bookmarkStart w:id="1264" w:name="_Toc145412788"/>
      <w:r w:rsidRPr="00D00D9A">
        <w:lastRenderedPageBreak/>
        <w:t xml:space="preserve">Annex </w:t>
      </w:r>
      <w:bookmarkStart w:id="1265" w:name="ANNEX2_SCHEDULE18"/>
      <w:r w:rsidRPr="00D00D9A">
        <w:t>2</w:t>
      </w:r>
      <w:bookmarkEnd w:id="1265"/>
      <w:r w:rsidRPr="00D00D9A">
        <w:t>: Credit</w:t>
      </w:r>
      <w:r w:rsidRPr="00D24F50">
        <w:t xml:space="preserve"> Ratings </w:t>
      </w:r>
      <w:r>
        <w:t>a</w:t>
      </w:r>
      <w:r w:rsidRPr="00D24F50">
        <w:t>nd Credit Rating Thresholds</w:t>
      </w:r>
      <w:bookmarkEnd w:id="1262"/>
      <w:bookmarkEnd w:id="1263"/>
      <w:bookmarkEnd w:id="1264"/>
    </w:p>
    <w:p w14:paraId="3745BA2E" w14:textId="02150933" w:rsidR="00F67E9E" w:rsidRDefault="00397217" w:rsidP="00F67E9E">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09043A9A" w14:textId="77777777" w:rsidR="00F67E9E" w:rsidRDefault="00F67E9E" w:rsidP="00F67E9E">
      <w:pPr>
        <w:pStyle w:val="Heading2"/>
        <w:pageBreakBefore/>
      </w:pPr>
      <w:bookmarkStart w:id="1266" w:name="_Ref_ContractCompanion_9kb9Ur78A"/>
      <w:bookmarkStart w:id="1267" w:name="_Ref_ContractCompanion_9kb9Ur793"/>
      <w:bookmarkStart w:id="1268" w:name="_Toc145412789"/>
      <w:r w:rsidRPr="000B6F69">
        <w:lastRenderedPageBreak/>
        <w:t xml:space="preserve">Annex </w:t>
      </w:r>
      <w:bookmarkStart w:id="1269" w:name="ANNEX3_SCHEDULE18"/>
      <w:r w:rsidRPr="000B6F69">
        <w:t>3</w:t>
      </w:r>
      <w:bookmarkEnd w:id="1269"/>
      <w:r w:rsidRPr="000B6F69">
        <w:t xml:space="preserve">: Calculation Methodology </w:t>
      </w:r>
      <w:r>
        <w:t>f</w:t>
      </w:r>
      <w:r w:rsidRPr="000B6F69">
        <w:t>or Financial Indicators</w:t>
      </w:r>
      <w:bookmarkEnd w:id="1266"/>
      <w:bookmarkEnd w:id="1267"/>
      <w:bookmarkEnd w:id="1268"/>
    </w:p>
    <w:p w14:paraId="3D4BB29E" w14:textId="77777777" w:rsidR="00F67E9E" w:rsidRPr="00753B68" w:rsidRDefault="00F67E9E" w:rsidP="00F67E9E">
      <w:pPr>
        <w:pStyle w:val="StdBodyText"/>
        <w:rPr>
          <w:rFonts w:cs="Arial"/>
        </w:rPr>
      </w:pPr>
      <w:r w:rsidRPr="00753B68">
        <w:rPr>
          <w:rFonts w:cs="Arial"/>
        </w:rPr>
        <w:t>The Supplier shall ensure that it uses the following general and specific methodologies for calculating the Financial Indicators against the Financial Target Thresholds:</w:t>
      </w:r>
    </w:p>
    <w:p w14:paraId="1C102AF3" w14:textId="77777777" w:rsidR="00F67E9E" w:rsidRPr="00AC4462" w:rsidRDefault="00F67E9E" w:rsidP="00F67E9E">
      <w:pPr>
        <w:pStyle w:val="StdBodyTextBold"/>
        <w:rPr>
          <w:rFonts w:cs="Arial"/>
        </w:rPr>
      </w:pPr>
      <w:r w:rsidRPr="00AC4462">
        <w:rPr>
          <w:rFonts w:cs="Arial"/>
        </w:rPr>
        <w:t>General methodology</w:t>
      </w:r>
    </w:p>
    <w:p w14:paraId="334C64B3" w14:textId="0D7555D1" w:rsidR="00F67E9E" w:rsidRPr="00AC4462" w:rsidRDefault="00F67E9E" w:rsidP="00F13933">
      <w:pPr>
        <w:pStyle w:val="AppendixText1"/>
        <w:numPr>
          <w:ilvl w:val="0"/>
          <w:numId w:val="43"/>
        </w:numPr>
        <w:tabs>
          <w:tab w:val="clear" w:pos="720"/>
          <w:tab w:val="num" w:pos="1080"/>
        </w:tabs>
        <w:rPr>
          <w:b w:val="0"/>
          <w:bCs/>
        </w:rPr>
      </w:pPr>
      <w:r w:rsidRPr="00AC4462">
        <w:rPr>
          <w:rStyle w:val="StdBodyTextBoldChar"/>
          <w:rFonts w:eastAsia="Verdana" w:cs="Arial"/>
          <w:b/>
          <w:bCs/>
          <w:iCs/>
        </w:rPr>
        <w:t>Terminology</w:t>
      </w:r>
      <w:r w:rsidRPr="00AC4462">
        <w:rPr>
          <w:b w:val="0"/>
          <w:bCs/>
        </w:rPr>
        <w:t>: The terms referred to in this Annex</w:t>
      </w:r>
      <w:r>
        <w:rPr>
          <w:b w:val="0"/>
          <w:bCs/>
        </w:rPr>
        <w:t> </w:t>
      </w:r>
      <w:r w:rsidRPr="00D713DE">
        <w:rPr>
          <w:b w:val="0"/>
          <w:bCs/>
        </w:rPr>
        <w:fldChar w:fldCharType="begin"/>
      </w:r>
      <w:r w:rsidRPr="00D713DE">
        <w:rPr>
          <w:b w:val="0"/>
          <w:bCs/>
        </w:rPr>
        <w:instrText xml:space="preserve"> REF ANNEX3_SCHEDULE18 \h </w:instrText>
      </w:r>
      <w:r w:rsidRPr="009C0668">
        <w:rPr>
          <w:b w:val="0"/>
          <w:bCs/>
        </w:rPr>
        <w:instrText xml:space="preserve"> \* MERGEFORMAT </w:instrText>
      </w:r>
      <w:r w:rsidRPr="00D713DE">
        <w:rPr>
          <w:b w:val="0"/>
          <w:bCs/>
        </w:rPr>
      </w:r>
      <w:r w:rsidRPr="00D713DE">
        <w:rPr>
          <w:b w:val="0"/>
          <w:bCs/>
        </w:rPr>
        <w:fldChar w:fldCharType="separate"/>
      </w:r>
      <w:r w:rsidR="007A1473" w:rsidRPr="007A1473">
        <w:rPr>
          <w:b w:val="0"/>
          <w:bCs/>
        </w:rPr>
        <w:t>3</w:t>
      </w:r>
      <w:r w:rsidRPr="00D713DE">
        <w:rPr>
          <w:b w:val="0"/>
          <w:bCs/>
        </w:rPr>
        <w:fldChar w:fldCharType="end"/>
      </w:r>
      <w:r w:rsidRPr="00AC4462">
        <w:rPr>
          <w:b w:val="0"/>
          <w:bCs/>
        </w:rPr>
        <w:t xml:space="preserve">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4BFF841" w14:textId="77777777" w:rsidR="00F67E9E" w:rsidRPr="00AC4462" w:rsidRDefault="00F67E9E" w:rsidP="00F67E9E">
      <w:pPr>
        <w:pStyle w:val="AppendixText1"/>
        <w:keepNext w:val="0"/>
        <w:rPr>
          <w:b w:val="0"/>
          <w:bCs/>
        </w:rPr>
      </w:pPr>
      <w:bookmarkStart w:id="1270" w:name="_9kR3WTrAG988DOCwozPWV4ohsvnZeH8IifKOQP"/>
      <w:r w:rsidRPr="00AC4462">
        <w:rPr>
          <w:rStyle w:val="StdBodyTextBoldChar"/>
          <w:rFonts w:eastAsia="Verdana" w:cs="Arial"/>
          <w:b/>
          <w:bCs/>
          <w:iCs/>
        </w:rPr>
        <w:t>Groups</w:t>
      </w:r>
      <w:bookmarkEnd w:id="1270"/>
      <w:r w:rsidRPr="00AC4462">
        <w:rPr>
          <w:b w:val="0"/>
          <w:bCs/>
        </w:rPr>
        <w:t>: Where the entity is the holding company of a group and prepares consolidated financial statements, the consolidated figures should be used.</w:t>
      </w:r>
    </w:p>
    <w:p w14:paraId="23A38532" w14:textId="77777777" w:rsidR="00F67E9E" w:rsidRPr="00AC4462" w:rsidRDefault="00F67E9E" w:rsidP="00F67E9E">
      <w:pPr>
        <w:pStyle w:val="AppendixText1"/>
        <w:keepNext w:val="0"/>
        <w:rPr>
          <w:b w:val="0"/>
          <w:bCs/>
        </w:rPr>
      </w:pPr>
      <w:r w:rsidRPr="00AC4462">
        <w:rPr>
          <w:rStyle w:val="StdBodyTextBoldChar"/>
          <w:rFonts w:eastAsia="Verdana" w:cs="Arial"/>
          <w:b/>
          <w:bCs/>
          <w:iCs/>
        </w:rPr>
        <w:t>Foreign currency conversion</w:t>
      </w:r>
      <w:r w:rsidRPr="00AC4462">
        <w:rPr>
          <w:b w:val="0"/>
          <w:bCs/>
        </w:rPr>
        <w:t>: Figures denominated in foreign currencies should be converted at the exchange rate in force at the relevant date for which the Financial Indicator is being calculated.</w:t>
      </w:r>
    </w:p>
    <w:p w14:paraId="53398FC0" w14:textId="77777777" w:rsidR="00F67E9E" w:rsidRPr="00AC4462" w:rsidRDefault="00F67E9E" w:rsidP="00F67E9E">
      <w:pPr>
        <w:pStyle w:val="AppendixText1"/>
        <w:keepNext w:val="0"/>
        <w:rPr>
          <w:b w:val="0"/>
          <w:bCs/>
        </w:rPr>
      </w:pPr>
      <w:r w:rsidRPr="00AC4462">
        <w:rPr>
          <w:rStyle w:val="StdBodyTextBoldChar"/>
          <w:rFonts w:eastAsia="Verdana" w:cs="Arial"/>
          <w:b/>
          <w:bCs/>
          <w:iCs/>
        </w:rPr>
        <w:t>Treatment of non-underlying items</w:t>
      </w:r>
      <w:r w:rsidRPr="00AC4462">
        <w:rPr>
          <w:b w:val="0"/>
          <w:bCs/>
        </w:rPr>
        <w:t>: Financial Indicators should be based on the figures in the financial statements before adjusting for non-underlying items.</w:t>
      </w:r>
    </w:p>
    <w:p w14:paraId="624CA89E" w14:textId="55F7CF2B" w:rsidR="00F67E9E" w:rsidRDefault="00F67E9E" w:rsidP="00F67E9E">
      <w:pPr>
        <w:pStyle w:val="StdBodyTextBold"/>
        <w:rPr>
          <w:rFonts w:cs="Arial"/>
        </w:rPr>
      </w:pPr>
      <w:r w:rsidRPr="00AC4462">
        <w:rPr>
          <w:rFonts w:cs="Arial"/>
        </w:rPr>
        <w:t>Specific Methodology</w:t>
      </w:r>
    </w:p>
    <w:p w14:paraId="1ED385E1" w14:textId="21C96FDB" w:rsidR="000D1EC1" w:rsidRDefault="000D1EC1" w:rsidP="000D1EC1">
      <w:pPr>
        <w:pStyle w:val="StdBodyText"/>
      </w:pPr>
    </w:p>
    <w:tbl>
      <w:tblPr>
        <w:tblW w:w="9468" w:type="dxa"/>
        <w:tblInd w:w="624"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20" w:firstRow="1" w:lastRow="0" w:firstColumn="0" w:lastColumn="0" w:noHBand="0" w:noVBand="1"/>
      </w:tblPr>
      <w:tblGrid>
        <w:gridCol w:w="2268"/>
        <w:gridCol w:w="7200"/>
      </w:tblGrid>
      <w:tr w:rsidR="000D1EC1" w14:paraId="2ED93F31" w14:textId="77777777" w:rsidTr="00EC33A0">
        <w:trPr>
          <w:tblHeader/>
        </w:trPr>
        <w:tc>
          <w:tcPr>
            <w:tcW w:w="2268" w:type="dxa"/>
            <w:vAlign w:val="bottom"/>
          </w:tcPr>
          <w:p w14:paraId="3D1C5A7C" w14:textId="77777777" w:rsidR="000D1EC1" w:rsidRDefault="000D1EC1" w:rsidP="00EC33A0">
            <w:pPr>
              <w:pBdr>
                <w:top w:val="nil"/>
                <w:left w:val="nil"/>
                <w:bottom w:val="nil"/>
                <w:right w:val="nil"/>
                <w:between w:val="nil"/>
              </w:pBdr>
              <w:rPr>
                <w:rFonts w:eastAsia="Arial" w:cs="Arial"/>
                <w:color w:val="000000"/>
                <w:szCs w:val="24"/>
              </w:rPr>
            </w:pPr>
            <w:r>
              <w:rPr>
                <w:rFonts w:eastAsia="Arial" w:cs="Arial"/>
                <w:b/>
                <w:color w:val="000000"/>
                <w:szCs w:val="24"/>
              </w:rPr>
              <w:t>Financial Indicator</w:t>
            </w:r>
          </w:p>
        </w:tc>
        <w:tc>
          <w:tcPr>
            <w:tcW w:w="7200" w:type="dxa"/>
            <w:vAlign w:val="bottom"/>
          </w:tcPr>
          <w:p w14:paraId="03C81BA5" w14:textId="77777777" w:rsidR="000D1EC1" w:rsidRDefault="000D1EC1" w:rsidP="00EC33A0">
            <w:pPr>
              <w:pBdr>
                <w:top w:val="nil"/>
                <w:left w:val="nil"/>
                <w:bottom w:val="nil"/>
                <w:right w:val="nil"/>
                <w:between w:val="nil"/>
              </w:pBdr>
              <w:rPr>
                <w:rFonts w:eastAsia="Arial" w:cs="Arial"/>
                <w:b/>
                <w:color w:val="000000"/>
                <w:szCs w:val="24"/>
              </w:rPr>
            </w:pPr>
            <w:r>
              <w:rPr>
                <w:rFonts w:eastAsia="Arial" w:cs="Arial"/>
                <w:color w:val="000000"/>
                <w:szCs w:val="24"/>
              </w:rPr>
              <w:t>Specific Methodology</w:t>
            </w:r>
          </w:p>
        </w:tc>
      </w:tr>
      <w:tr w:rsidR="000D1EC1" w14:paraId="31B7A469" w14:textId="77777777" w:rsidTr="00EC33A0">
        <w:tc>
          <w:tcPr>
            <w:tcW w:w="2268" w:type="dxa"/>
          </w:tcPr>
          <w:p w14:paraId="5F5A01C2" w14:textId="29EB781B" w:rsidR="000D1EC1" w:rsidRDefault="000D1EC1" w:rsidP="00EC33A0">
            <w:pPr>
              <w:pBdr>
                <w:top w:val="nil"/>
                <w:left w:val="nil"/>
                <w:bottom w:val="nil"/>
                <w:right w:val="nil"/>
                <w:between w:val="nil"/>
              </w:pBdr>
              <w:rPr>
                <w:rFonts w:eastAsia="Arial" w:cs="Arial"/>
                <w:color w:val="000000"/>
                <w:szCs w:val="24"/>
              </w:rPr>
            </w:pPr>
            <w:r>
              <w:rPr>
                <w:b/>
                <w:color w:val="000000"/>
                <w:szCs w:val="24"/>
              </w:rPr>
              <w:t>1</w:t>
            </w:r>
          </w:p>
          <w:p w14:paraId="1B0249D8" w14:textId="61E52A7E" w:rsidR="000D1EC1" w:rsidRDefault="000D1EC1" w:rsidP="00EC33A0">
            <w:pPr>
              <w:pBdr>
                <w:top w:val="nil"/>
                <w:left w:val="nil"/>
                <w:bottom w:val="nil"/>
                <w:right w:val="nil"/>
                <w:between w:val="nil"/>
              </w:pBdr>
              <w:rPr>
                <w:rFonts w:eastAsia="Arial" w:cs="Arial"/>
                <w:color w:val="000000"/>
                <w:szCs w:val="24"/>
              </w:rPr>
            </w:pPr>
            <w:r w:rsidRPr="003F3370">
              <w:rPr>
                <w:b/>
                <w:color w:val="000000"/>
                <w:szCs w:val="24"/>
              </w:rPr>
              <w:t>Operating Margin</w:t>
            </w:r>
          </w:p>
        </w:tc>
        <w:tc>
          <w:tcPr>
            <w:tcW w:w="7200" w:type="dxa"/>
          </w:tcPr>
          <w:p w14:paraId="41D79931" w14:textId="27A30AC9"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The elements used to calculate the Operating Margin should be shown on the face of the Income Statement in a standard set of financial statements.</w:t>
            </w:r>
          </w:p>
          <w:p w14:paraId="071CCFB6" w14:textId="776572CC"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Figures for Operating Profit and Revenue should exclude the entity’s share of the results of any joint ventures or Associates.</w:t>
            </w:r>
          </w:p>
          <w:p w14:paraId="77592399" w14:textId="7A252673" w:rsidR="000D1EC1" w:rsidRDefault="000D1EC1" w:rsidP="00EC33A0">
            <w:pPr>
              <w:pBdr>
                <w:top w:val="nil"/>
                <w:left w:val="nil"/>
                <w:bottom w:val="nil"/>
                <w:right w:val="nil"/>
                <w:between w:val="nil"/>
              </w:pBdr>
              <w:rPr>
                <w:rFonts w:eastAsia="Arial" w:cs="Arial"/>
                <w:b/>
                <w:color w:val="000000"/>
                <w:szCs w:val="24"/>
              </w:rPr>
            </w:pPr>
            <w:r w:rsidRPr="003F3370">
              <w:rPr>
                <w:color w:val="000000"/>
                <w:szCs w:val="24"/>
              </w:rPr>
              <w:t>Where an entity has an operating loss (i.e. where the operating profit is negative), Operating Profit should be taken to be zero.</w:t>
            </w:r>
          </w:p>
        </w:tc>
      </w:tr>
      <w:tr w:rsidR="000D1EC1" w14:paraId="328EE21F" w14:textId="77777777" w:rsidTr="00EC33A0">
        <w:tc>
          <w:tcPr>
            <w:tcW w:w="2268" w:type="dxa"/>
          </w:tcPr>
          <w:p w14:paraId="6D2B257C" w14:textId="6A7A86FA" w:rsidR="000D1EC1" w:rsidRDefault="000D1EC1" w:rsidP="00EC33A0">
            <w:pPr>
              <w:pBdr>
                <w:top w:val="nil"/>
                <w:left w:val="nil"/>
                <w:bottom w:val="nil"/>
                <w:right w:val="nil"/>
                <w:between w:val="nil"/>
              </w:pBdr>
              <w:rPr>
                <w:rFonts w:eastAsia="Arial" w:cs="Arial"/>
                <w:color w:val="000000"/>
                <w:szCs w:val="24"/>
              </w:rPr>
            </w:pPr>
            <w:r w:rsidRPr="003F3370">
              <w:rPr>
                <w:b/>
                <w:color w:val="000000"/>
                <w:szCs w:val="24"/>
              </w:rPr>
              <w:t>2 Net Debt to EBITDA Ratio]</w:t>
            </w:r>
          </w:p>
        </w:tc>
        <w:tc>
          <w:tcPr>
            <w:tcW w:w="7200" w:type="dxa"/>
          </w:tcPr>
          <w:p w14:paraId="2B4A01FB" w14:textId="412C294C"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w:t>
            </w:r>
            <w:r w:rsidRPr="003F3370">
              <w:rPr>
                <w:b/>
                <w:color w:val="000000"/>
                <w:szCs w:val="24"/>
              </w:rPr>
              <w:t>Net Debt</w:t>
            </w:r>
            <w:r w:rsidRPr="003F3370">
              <w:rPr>
                <w:color w:val="000000"/>
                <w:szCs w:val="24"/>
              </w:rPr>
              <w:t>” = Bank overdrafts + Loans and borrowings + Finance leases + Deferred consideration payable – Cash and cash equivalents</w:t>
            </w:r>
          </w:p>
          <w:p w14:paraId="513ABE71" w14:textId="5B279F6B"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w:t>
            </w:r>
            <w:r w:rsidRPr="003F3370">
              <w:rPr>
                <w:b/>
                <w:color w:val="000000"/>
                <w:szCs w:val="24"/>
              </w:rPr>
              <w:t>EBITDA</w:t>
            </w:r>
            <w:r w:rsidRPr="003F3370">
              <w:rPr>
                <w:color w:val="000000"/>
                <w:szCs w:val="24"/>
              </w:rPr>
              <w:t>” = Operating profit + Depreciation charge + Amortisation charge</w:t>
            </w:r>
          </w:p>
          <w:p w14:paraId="55A8E119" w14:textId="56B7F8FB"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4AD05313" w14:textId="24947BE8" w:rsidR="000D1EC1" w:rsidRPr="003F3370" w:rsidRDefault="000D1EC1" w:rsidP="00EC33A0">
            <w:pPr>
              <w:pBdr>
                <w:top w:val="nil"/>
                <w:left w:val="nil"/>
                <w:bottom w:val="nil"/>
                <w:right w:val="nil"/>
                <w:between w:val="nil"/>
              </w:pBdr>
              <w:rPr>
                <w:rFonts w:eastAsia="Arial" w:cs="Arial"/>
                <w:b/>
                <w:color w:val="000000"/>
                <w:szCs w:val="24"/>
              </w:rPr>
            </w:pPr>
            <w:r w:rsidRPr="003F3370">
              <w:rPr>
                <w:b/>
                <w:color w:val="000000"/>
                <w:szCs w:val="24"/>
              </w:rPr>
              <w:t>Net Debt</w:t>
            </w:r>
            <w:r w:rsidRPr="003F3370">
              <w:rPr>
                <w:color w:val="000000"/>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w:t>
            </w:r>
            <w:r w:rsidRPr="003F3370">
              <w:rPr>
                <w:color w:val="000000"/>
                <w:szCs w:val="24"/>
              </w:rPr>
              <w:lastRenderedPageBreak/>
              <w:t>hedges designated as linked to borrowings (but not non-designated hedges). Borrowings should also include balances owed to other group members.</w:t>
            </w:r>
          </w:p>
          <w:p w14:paraId="350FD552" w14:textId="3C098524"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Deferred consideration payable should be included in Net Debt despite typically being non-interest bearing.</w:t>
            </w:r>
          </w:p>
          <w:p w14:paraId="3B778753" w14:textId="03E44531"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Cash and cash equivalents should include short-term financial investments shown in current assets.</w:t>
            </w:r>
          </w:p>
          <w:p w14:paraId="738F6180" w14:textId="4624CC93"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 xml:space="preserve">Where Net debt is negative (i.e. an entity has net cash), the relevant Financial Target Threshold should be treated as having been met. </w:t>
            </w:r>
          </w:p>
          <w:p w14:paraId="5E9C7059" w14:textId="0DA23B5D" w:rsidR="000D1EC1" w:rsidRPr="003F3370" w:rsidRDefault="000D1EC1" w:rsidP="00EC33A0">
            <w:pPr>
              <w:pBdr>
                <w:top w:val="nil"/>
                <w:left w:val="nil"/>
                <w:bottom w:val="nil"/>
                <w:right w:val="nil"/>
                <w:between w:val="nil"/>
              </w:pBdr>
              <w:rPr>
                <w:rFonts w:eastAsia="Arial" w:cs="Arial"/>
                <w:b/>
                <w:i/>
                <w:color w:val="000000"/>
                <w:szCs w:val="24"/>
              </w:rPr>
            </w:pPr>
            <w:r w:rsidRPr="003F3370">
              <w:rPr>
                <w:b/>
                <w:color w:val="000000"/>
                <w:szCs w:val="24"/>
              </w:rPr>
              <w:t>EBITDA</w:t>
            </w:r>
            <w:r w:rsidRPr="003F3370">
              <w:rPr>
                <w:color w:val="000000"/>
                <w:szCs w:val="24"/>
              </w:rPr>
              <w:t>: Operating profit should be shown on the face of the Income Statement and, for the purposes of calculating this Financial Indicator, should include the entity’s share of the results of any joint ventures or Associates. 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0D1EC1" w14:paraId="0C4779BF" w14:textId="77777777" w:rsidTr="00EC33A0">
        <w:tc>
          <w:tcPr>
            <w:tcW w:w="2268" w:type="dxa"/>
          </w:tcPr>
          <w:p w14:paraId="2E85864C" w14:textId="180E38D9" w:rsidR="000D1EC1" w:rsidRDefault="000D1EC1" w:rsidP="00EC33A0">
            <w:pPr>
              <w:pBdr>
                <w:top w:val="nil"/>
                <w:left w:val="nil"/>
                <w:bottom w:val="nil"/>
                <w:right w:val="nil"/>
                <w:between w:val="nil"/>
              </w:pBdr>
              <w:rPr>
                <w:rFonts w:eastAsia="Arial" w:cs="Arial"/>
                <w:color w:val="000000"/>
                <w:szCs w:val="24"/>
              </w:rPr>
            </w:pPr>
            <w:r>
              <w:rPr>
                <w:b/>
                <w:color w:val="000000"/>
                <w:szCs w:val="24"/>
              </w:rPr>
              <w:lastRenderedPageBreak/>
              <w:t>3</w:t>
            </w:r>
          </w:p>
          <w:p w14:paraId="537DCC94" w14:textId="3D22CCA9" w:rsidR="000D1EC1" w:rsidRDefault="000D1EC1" w:rsidP="00EC33A0">
            <w:pPr>
              <w:pBdr>
                <w:top w:val="nil"/>
                <w:left w:val="nil"/>
                <w:bottom w:val="nil"/>
                <w:right w:val="nil"/>
                <w:between w:val="nil"/>
              </w:pBdr>
              <w:rPr>
                <w:rFonts w:eastAsia="Arial" w:cs="Arial"/>
                <w:color w:val="000000"/>
                <w:szCs w:val="24"/>
              </w:rPr>
            </w:pPr>
            <w:r w:rsidRPr="003F3370">
              <w:rPr>
                <w:b/>
                <w:color w:val="000000"/>
                <w:szCs w:val="24"/>
              </w:rPr>
              <w:t>Net Debt + Net Pension Deficit to EBITDA ratio</w:t>
            </w:r>
          </w:p>
        </w:tc>
        <w:tc>
          <w:tcPr>
            <w:tcW w:w="7200" w:type="dxa"/>
          </w:tcPr>
          <w:p w14:paraId="1C1E21BC" w14:textId="68D0204D"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w:t>
            </w:r>
            <w:r w:rsidRPr="003F3370">
              <w:rPr>
                <w:b/>
                <w:color w:val="000000"/>
                <w:szCs w:val="24"/>
              </w:rPr>
              <w:t>Net Debt</w:t>
            </w:r>
            <w:r w:rsidRPr="003F3370">
              <w:rPr>
                <w:color w:val="000000"/>
                <w:szCs w:val="24"/>
              </w:rPr>
              <w:t>” = Bank overdrafts + Loans and borrowings + Finance leases + Deferred consideration payable – Cash and cash equivalents</w:t>
            </w:r>
          </w:p>
          <w:p w14:paraId="4B00E637" w14:textId="25B9650D"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w:t>
            </w:r>
            <w:r w:rsidRPr="003F3370">
              <w:rPr>
                <w:b/>
                <w:color w:val="000000"/>
                <w:szCs w:val="24"/>
              </w:rPr>
              <w:t>Net Pension Deficit</w:t>
            </w:r>
            <w:r w:rsidRPr="003F3370">
              <w:rPr>
                <w:color w:val="000000"/>
                <w:szCs w:val="24"/>
              </w:rPr>
              <w:t>” = Retirement Benefit Obligations – Retirement Benefit Assets</w:t>
            </w:r>
          </w:p>
          <w:p w14:paraId="7C8C994E" w14:textId="3AE87F2F"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w:t>
            </w:r>
            <w:r w:rsidRPr="003F3370">
              <w:rPr>
                <w:b/>
                <w:color w:val="000000"/>
                <w:szCs w:val="24"/>
              </w:rPr>
              <w:t>EBITDA</w:t>
            </w:r>
            <w:r w:rsidRPr="003F3370">
              <w:rPr>
                <w:color w:val="000000"/>
                <w:szCs w:val="24"/>
              </w:rPr>
              <w:t>” = Operating profit + Depreciation charge + Amortisation charge</w:t>
            </w:r>
          </w:p>
          <w:p w14:paraId="38E2308F" w14:textId="0BBFC61F"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586DB517" w14:textId="1E2EDF02" w:rsidR="000D1EC1" w:rsidRPr="003F3370" w:rsidRDefault="000D1EC1" w:rsidP="00EC33A0">
            <w:pPr>
              <w:pBdr>
                <w:top w:val="nil"/>
                <w:left w:val="nil"/>
                <w:bottom w:val="nil"/>
                <w:right w:val="nil"/>
                <w:between w:val="nil"/>
              </w:pBdr>
              <w:rPr>
                <w:rFonts w:eastAsia="Arial" w:cs="Arial"/>
                <w:b/>
                <w:color w:val="000000"/>
                <w:szCs w:val="24"/>
              </w:rPr>
            </w:pPr>
            <w:r w:rsidRPr="003F3370">
              <w:rPr>
                <w:b/>
                <w:color w:val="000000"/>
                <w:szCs w:val="24"/>
              </w:rPr>
              <w:t>Net Debt</w:t>
            </w:r>
            <w:r w:rsidRPr="003F3370">
              <w:rPr>
                <w:color w:val="000000"/>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RPr="003F3370">
              <w:rPr>
                <w:b/>
                <w:color w:val="000000"/>
                <w:szCs w:val="24"/>
              </w:rPr>
              <w:t>not</w:t>
            </w:r>
            <w:r w:rsidRPr="003F3370">
              <w:rPr>
                <w:color w:val="000000"/>
                <w:szCs w:val="24"/>
              </w:rPr>
              <w:t xml:space="preserve"> non-designated hedges). Borrowings should also include balances owed to other group members.</w:t>
            </w:r>
          </w:p>
          <w:p w14:paraId="03C916B7" w14:textId="598EA99F"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Deferred consideration payable should be included in Net Debt despite typically being non-interest bearing.</w:t>
            </w:r>
          </w:p>
          <w:p w14:paraId="54791869" w14:textId="7699222D"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Cash and cash equivalents should include short-term financial investments shown in current assets.</w:t>
            </w:r>
          </w:p>
          <w:p w14:paraId="44AA5B3F" w14:textId="2A0E400D" w:rsidR="000D1EC1" w:rsidRPr="003F3370" w:rsidRDefault="000D1EC1" w:rsidP="00EC33A0">
            <w:pPr>
              <w:pBdr>
                <w:top w:val="nil"/>
                <w:left w:val="nil"/>
                <w:bottom w:val="nil"/>
                <w:right w:val="nil"/>
                <w:between w:val="nil"/>
              </w:pBdr>
              <w:rPr>
                <w:rFonts w:eastAsia="Arial" w:cs="Arial"/>
                <w:b/>
                <w:color w:val="000000"/>
                <w:szCs w:val="24"/>
              </w:rPr>
            </w:pPr>
            <w:r w:rsidRPr="003F3370">
              <w:rPr>
                <w:b/>
                <w:color w:val="000000"/>
                <w:szCs w:val="24"/>
              </w:rPr>
              <w:t>Net Pension Deficit</w:t>
            </w:r>
            <w:r w:rsidRPr="003F3370">
              <w:rPr>
                <w:color w:val="000000"/>
                <w:szCs w:val="24"/>
              </w:rPr>
              <w:t xml:space="preserve">: Retirement Benefit Obligations and Retirement Benefit Assets may be shown on the face of the Balance Sheet or in the notes to the financial statements. They </w:t>
            </w:r>
            <w:r w:rsidRPr="003F3370">
              <w:rPr>
                <w:color w:val="000000"/>
                <w:szCs w:val="24"/>
              </w:rPr>
              <w:lastRenderedPageBreak/>
              <w:t xml:space="preserve">may also be described as pension benefits / obligations, post-employment obligations or other similar terms. </w:t>
            </w:r>
          </w:p>
          <w:p w14:paraId="567B5754" w14:textId="3C0CCA7E"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Where ‘Net Debt + Net Pension Deficit’ is negative, the relevant Financial Target Threshold should be treated as having been met.</w:t>
            </w:r>
          </w:p>
          <w:p w14:paraId="54D20A61" w14:textId="5F78E475" w:rsidR="000D1EC1" w:rsidRPr="003F3370" w:rsidRDefault="000D1EC1" w:rsidP="00EC33A0">
            <w:pPr>
              <w:pBdr>
                <w:top w:val="nil"/>
                <w:left w:val="nil"/>
                <w:bottom w:val="nil"/>
                <w:right w:val="nil"/>
                <w:between w:val="nil"/>
              </w:pBdr>
              <w:rPr>
                <w:rFonts w:eastAsia="Arial" w:cs="Arial"/>
                <w:b/>
                <w:color w:val="000000"/>
                <w:szCs w:val="24"/>
              </w:rPr>
            </w:pPr>
            <w:r w:rsidRPr="003F3370">
              <w:rPr>
                <w:b/>
                <w:color w:val="000000"/>
                <w:szCs w:val="24"/>
              </w:rPr>
              <w:t>EBITDA</w:t>
            </w:r>
            <w:r w:rsidRPr="003F3370">
              <w:rPr>
                <w:color w:val="000000"/>
                <w:szCs w:val="24"/>
              </w:rPr>
              <w:t>: Operating profit should be shown on the face of the Income Statement and, for the purposes of calculating this Financial Indicator, should include the entity’s share of the results of any joint ventures or Associates.</w:t>
            </w:r>
          </w:p>
          <w:p w14:paraId="18E5156A" w14:textId="094A095F"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 xml:space="preserve">The depreciation and amortisation charges for the period may be found on the face of the Statement of Cash Flows or in a Note to the Accounts. </w:t>
            </w:r>
          </w:p>
          <w:p w14:paraId="277345BF" w14:textId="08802086" w:rsidR="000D1EC1" w:rsidRPr="003F3370" w:rsidRDefault="000D1EC1" w:rsidP="00EC33A0">
            <w:pPr>
              <w:pBdr>
                <w:top w:val="nil"/>
                <w:left w:val="nil"/>
                <w:bottom w:val="nil"/>
                <w:right w:val="nil"/>
                <w:between w:val="nil"/>
              </w:pBdr>
              <w:rPr>
                <w:rFonts w:eastAsia="Arial" w:cs="Arial"/>
                <w:b/>
                <w:color w:val="000000"/>
                <w:szCs w:val="24"/>
              </w:rPr>
            </w:pPr>
            <w:r w:rsidRPr="003F3370">
              <w:rPr>
                <w:color w:val="000000"/>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bl>
    <w:p w14:paraId="47D4FAF3" w14:textId="236893D4" w:rsidR="000D1EC1" w:rsidRDefault="000D1EC1" w:rsidP="000D1EC1">
      <w:pPr>
        <w:pStyle w:val="StdBodyText"/>
      </w:pPr>
    </w:p>
    <w:p w14:paraId="7DFBE52F" w14:textId="77777777" w:rsidR="000D1EC1" w:rsidRPr="000D1EC1" w:rsidRDefault="000D1EC1" w:rsidP="000D1EC1">
      <w:pPr>
        <w:pStyle w:val="StdBodyText"/>
      </w:pPr>
    </w:p>
    <w:p w14:paraId="2C057087" w14:textId="77777777" w:rsidR="00F67E9E" w:rsidRDefault="00F67E9E" w:rsidP="00F67E9E"/>
    <w:p w14:paraId="67BAB405" w14:textId="77777777" w:rsidR="00F67E9E" w:rsidRDefault="00F67E9E" w:rsidP="00F67E9E">
      <w:pPr>
        <w:pStyle w:val="Heading2"/>
        <w:pageBreakBefore/>
      </w:pPr>
      <w:bookmarkStart w:id="1271" w:name="_Ref_ContractCompanion_9kb9Ur6B8"/>
      <w:bookmarkStart w:id="1272" w:name="_Toc145412790"/>
      <w:r w:rsidRPr="00D00D9A">
        <w:lastRenderedPageBreak/>
        <w:t xml:space="preserve">Annex </w:t>
      </w:r>
      <w:bookmarkStart w:id="1273" w:name="ANNEX4_SCHEDULE18"/>
      <w:r w:rsidRPr="00D00D9A">
        <w:t>4</w:t>
      </w:r>
      <w:bookmarkEnd w:id="1273"/>
      <w:r w:rsidRPr="00D00D9A">
        <w:t>: Board Confirmation</w:t>
      </w:r>
      <w:bookmarkEnd w:id="1271"/>
      <w:bookmarkEnd w:id="1272"/>
    </w:p>
    <w:p w14:paraId="009920E0" w14:textId="77777777" w:rsidR="00F67E9E" w:rsidRPr="00D00D9A" w:rsidRDefault="00F67E9E" w:rsidP="00F67E9E">
      <w:pPr>
        <w:pStyle w:val="StdBodyTextBold"/>
        <w:rPr>
          <w:rFonts w:cs="Arial"/>
        </w:rPr>
      </w:pPr>
      <w:r w:rsidRPr="00D00D9A">
        <w:rPr>
          <w:rFonts w:cs="Arial"/>
        </w:rPr>
        <w:t>Supplier Name:</w:t>
      </w:r>
    </w:p>
    <w:p w14:paraId="0D8EEAEC" w14:textId="77777777" w:rsidR="00F67E9E" w:rsidRPr="00D00D9A" w:rsidRDefault="00F67E9E" w:rsidP="00F67E9E">
      <w:pPr>
        <w:pStyle w:val="StdBodyTextBold"/>
        <w:rPr>
          <w:rFonts w:cs="Arial"/>
        </w:rPr>
      </w:pPr>
      <w:r w:rsidRPr="00D00D9A">
        <w:rPr>
          <w:rFonts w:cs="Arial"/>
        </w:rPr>
        <w:t>Contract Reference Number:</w:t>
      </w:r>
    </w:p>
    <w:p w14:paraId="3ED72665" w14:textId="19222998" w:rsidR="00F67E9E" w:rsidRPr="00D00D9A" w:rsidRDefault="00F67E9E" w:rsidP="00F67E9E">
      <w:pPr>
        <w:pStyle w:val="StdBodyText1"/>
        <w:ind w:left="360"/>
        <w:rPr>
          <w:rFonts w:cs="Arial"/>
        </w:rPr>
      </w:pPr>
      <w:r w:rsidRPr="00D00D9A">
        <w:rPr>
          <w:rFonts w:cs="Arial"/>
        </w:rPr>
        <w:t xml:space="preserve">The Board of Directors acknowledge the requirements set out at </w:t>
      </w:r>
      <w:bookmarkStart w:id="1274" w:name="_9kR3WTr2CC68C1knoewrqyI"/>
      <w:r w:rsidRPr="00D00D9A">
        <w:rPr>
          <w:rFonts w:cs="Arial"/>
        </w:rPr>
        <w:t xml:space="preserve">paragraph </w:t>
      </w:r>
      <w:r w:rsidRPr="00D00D9A">
        <w:rPr>
          <w:rFonts w:cs="Arial"/>
        </w:rPr>
        <w:fldChar w:fldCharType="begin"/>
      </w:r>
      <w:r w:rsidRPr="00D00D9A">
        <w:rPr>
          <w:rFonts w:cs="Arial"/>
        </w:rPr>
        <w:instrText xml:space="preserve"> REF _Ref_ContractCompanion_9kb9Ur246 \w \n \h \t \* MERGEFORMAT </w:instrText>
      </w:r>
      <w:r w:rsidRPr="00D00D9A">
        <w:rPr>
          <w:rFonts w:cs="Arial"/>
        </w:rPr>
      </w:r>
      <w:r w:rsidRPr="00D00D9A">
        <w:rPr>
          <w:rFonts w:cs="Arial"/>
        </w:rPr>
        <w:fldChar w:fldCharType="separate"/>
      </w:r>
      <w:r w:rsidR="007A1473">
        <w:rPr>
          <w:rFonts w:cs="Arial"/>
        </w:rPr>
        <w:t>8</w:t>
      </w:r>
      <w:r w:rsidRPr="00D00D9A">
        <w:rPr>
          <w:rFonts w:cs="Arial"/>
        </w:rPr>
        <w:fldChar w:fldCharType="end"/>
      </w:r>
      <w:bookmarkEnd w:id="1274"/>
      <w:r w:rsidRPr="00D00D9A">
        <w:rPr>
          <w:rFonts w:cs="Arial"/>
        </w:rPr>
        <w:t xml:space="preserve"> of </w:t>
      </w:r>
      <w:r>
        <w:rPr>
          <w:rFonts w:cs="Arial"/>
        </w:rPr>
        <w:fldChar w:fldCharType="begin"/>
      </w:r>
      <w:r>
        <w:rPr>
          <w:rFonts w:cs="Arial"/>
        </w:rPr>
        <w:instrText xml:space="preserve"> REF Schedule18 \h </w:instrText>
      </w:r>
      <w:r>
        <w:rPr>
          <w:rFonts w:cs="Arial"/>
        </w:rPr>
      </w:r>
      <w:r>
        <w:rPr>
          <w:rFonts w:cs="Arial"/>
        </w:rPr>
        <w:fldChar w:fldCharType="separate"/>
      </w:r>
      <w:r w:rsidR="007A1473" w:rsidRPr="005D0525">
        <w:t>Schedule</w:t>
      </w:r>
      <w:r w:rsidR="007A1473">
        <w:t> </w:t>
      </w:r>
      <w:r w:rsidR="007A1473" w:rsidRPr="005D0525">
        <w:t>18</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Schedule18Heading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Distress</w:t>
      </w:r>
      <w:r w:rsidRPr="002F30DB">
        <w:rPr>
          <w:rFonts w:cs="Arial"/>
          <w:i/>
          <w:iCs/>
        </w:rPr>
        <w:fldChar w:fldCharType="end"/>
      </w:r>
      <w:r>
        <w:rPr>
          <w:rFonts w:cs="Arial"/>
        </w:rPr>
        <w:t>)</w:t>
      </w:r>
      <w:r w:rsidRPr="00D00D9A">
        <w:rPr>
          <w:rFonts w:cs="Arial"/>
        </w:rPr>
        <w:t xml:space="preserve"> and confirm that the Supplier has exercised due care and diligence and made reasonable enquiry of all relevant Supplier Personnel and other persons as is reasonably necessary to enable the Board to prepare this statement.</w:t>
      </w:r>
    </w:p>
    <w:p w14:paraId="5EE8BAAE" w14:textId="77777777" w:rsidR="00F67E9E" w:rsidRPr="00D00D9A" w:rsidRDefault="00F67E9E" w:rsidP="00F67E9E">
      <w:pPr>
        <w:pStyle w:val="StdBodyText1"/>
        <w:ind w:left="360"/>
        <w:rPr>
          <w:rFonts w:cs="Arial"/>
        </w:rPr>
      </w:pPr>
      <w:r w:rsidRPr="00D00D9A">
        <w:rPr>
          <w:rFonts w:cs="Arial"/>
        </w:rPr>
        <w:t>The Board of Directors confirms, to the best of its knowledge and belief, that as at the date of this Board Confirmation it is not aware of and has no knowledge:</w:t>
      </w:r>
    </w:p>
    <w:p w14:paraId="214EA065" w14:textId="77777777" w:rsidR="00F67E9E" w:rsidRPr="00AC4462" w:rsidRDefault="00F67E9E" w:rsidP="00F13933">
      <w:pPr>
        <w:pStyle w:val="AppendixText4"/>
        <w:numPr>
          <w:ilvl w:val="3"/>
          <w:numId w:val="44"/>
        </w:numPr>
        <w:tabs>
          <w:tab w:val="clear" w:pos="2520"/>
          <w:tab w:val="num" w:pos="1440"/>
        </w:tabs>
        <w:ind w:left="1080"/>
        <w:rPr>
          <w:rFonts w:cs="Arial"/>
        </w:rPr>
      </w:pPr>
      <w:r w:rsidRPr="00AC4462">
        <w:rPr>
          <w:rFonts w:cs="Arial"/>
        </w:rPr>
        <w:t>that a Financial Distress Event has occurred since the later of the previous Board Confirmation and the Effective Date or is subsisting; or</w:t>
      </w:r>
    </w:p>
    <w:p w14:paraId="606C0DD8" w14:textId="77777777" w:rsidR="00F67E9E" w:rsidRPr="00D00D9A" w:rsidRDefault="00F67E9E" w:rsidP="00F67E9E">
      <w:pPr>
        <w:pStyle w:val="AppendixText4"/>
        <w:tabs>
          <w:tab w:val="clear" w:pos="2520"/>
          <w:tab w:val="num" w:pos="1440"/>
        </w:tabs>
        <w:ind w:left="1080"/>
        <w:rPr>
          <w:rFonts w:cs="Arial"/>
        </w:rPr>
      </w:pPr>
      <w:r w:rsidRPr="00D00D9A">
        <w:rPr>
          <w:rFonts w:cs="Arial"/>
        </w:rPr>
        <w:t>of any matters which have occurred or are subsisting that could reasonably be expected to cause a Financial Distress Event</w:t>
      </w:r>
    </w:p>
    <w:p w14:paraId="2C5BF86D" w14:textId="77777777" w:rsidR="00F67E9E" w:rsidRPr="00D00D9A" w:rsidRDefault="00F67E9E" w:rsidP="00F67E9E">
      <w:pPr>
        <w:pStyle w:val="StdBodyText"/>
        <w:rPr>
          <w:rFonts w:cs="Arial"/>
        </w:rPr>
      </w:pPr>
    </w:p>
    <w:p w14:paraId="5F564915" w14:textId="77777777" w:rsidR="00F67E9E" w:rsidRPr="00D00D9A" w:rsidRDefault="00F67E9E" w:rsidP="00F67E9E">
      <w:pPr>
        <w:pStyle w:val="StdBodyText1"/>
        <w:ind w:left="360"/>
        <w:rPr>
          <w:rFonts w:cs="Arial"/>
        </w:rPr>
      </w:pPr>
      <w:r w:rsidRPr="00D00D9A">
        <w:rPr>
          <w:rFonts w:cs="Arial"/>
        </w:rPr>
        <w:t>On behalf of the Board of Directors:</w:t>
      </w:r>
    </w:p>
    <w:p w14:paraId="0C3EA285" w14:textId="77777777" w:rsidR="00F67E9E" w:rsidRPr="00D00D9A" w:rsidRDefault="00F67E9E" w:rsidP="00F67E9E">
      <w:pPr>
        <w:pStyle w:val="StdBodyText"/>
        <w:rPr>
          <w:rFonts w:cs="Arial"/>
        </w:rPr>
      </w:pPr>
    </w:p>
    <w:p w14:paraId="59ED6D68" w14:textId="77777777" w:rsidR="00F67E9E" w:rsidRPr="00D00D9A" w:rsidRDefault="00F67E9E" w:rsidP="00F67E9E">
      <w:pPr>
        <w:pStyle w:val="StdBodyText4"/>
        <w:ind w:left="1443"/>
        <w:rPr>
          <w:rFonts w:cs="Arial"/>
        </w:rPr>
      </w:pPr>
      <w:r w:rsidRPr="00D00D9A">
        <w:rPr>
          <w:rFonts w:cs="Arial"/>
        </w:rPr>
        <w:t>Chair</w:t>
      </w:r>
      <w:r w:rsidRPr="00D00D9A">
        <w:rPr>
          <w:rFonts w:cs="Arial"/>
        </w:rPr>
        <w:tab/>
      </w:r>
      <w:r w:rsidRPr="00D00D9A">
        <w:rPr>
          <w:rFonts w:cs="Arial"/>
        </w:rPr>
        <w:tab/>
        <w:t>…………………………………</w:t>
      </w:r>
    </w:p>
    <w:p w14:paraId="048B0541" w14:textId="77777777" w:rsidR="00F67E9E" w:rsidRPr="00D00D9A" w:rsidRDefault="00F67E9E" w:rsidP="00F67E9E">
      <w:pPr>
        <w:pStyle w:val="StdBodyText4"/>
        <w:ind w:left="1443"/>
        <w:rPr>
          <w:rFonts w:cs="Arial"/>
        </w:rPr>
      </w:pPr>
      <w:r w:rsidRPr="00D00D9A">
        <w:rPr>
          <w:rFonts w:cs="Arial"/>
        </w:rPr>
        <w:t>Signed</w:t>
      </w:r>
      <w:r w:rsidRPr="00D00D9A">
        <w:rPr>
          <w:rFonts w:cs="Arial"/>
        </w:rPr>
        <w:tab/>
        <w:t>…………………………………</w:t>
      </w:r>
    </w:p>
    <w:p w14:paraId="64553340" w14:textId="77777777" w:rsidR="00F67E9E" w:rsidRPr="00D00D9A" w:rsidRDefault="00F67E9E" w:rsidP="00F67E9E">
      <w:pPr>
        <w:pStyle w:val="StdBodyText4"/>
        <w:ind w:left="1443"/>
        <w:rPr>
          <w:rFonts w:cs="Arial"/>
        </w:rPr>
      </w:pPr>
      <w:r w:rsidRPr="00D00D9A">
        <w:rPr>
          <w:rFonts w:cs="Arial"/>
        </w:rPr>
        <w:t>Date</w:t>
      </w:r>
      <w:r w:rsidRPr="00D00D9A">
        <w:rPr>
          <w:rFonts w:cs="Arial"/>
        </w:rPr>
        <w:tab/>
      </w:r>
      <w:r w:rsidRPr="00D00D9A">
        <w:rPr>
          <w:rFonts w:cs="Arial"/>
        </w:rPr>
        <w:tab/>
        <w:t>…………………………………</w:t>
      </w:r>
    </w:p>
    <w:p w14:paraId="339C17A3" w14:textId="77777777" w:rsidR="00F67E9E" w:rsidRPr="00D00D9A" w:rsidRDefault="00F67E9E" w:rsidP="00F67E9E">
      <w:pPr>
        <w:pStyle w:val="StdBodyText"/>
        <w:rPr>
          <w:rFonts w:cs="Arial"/>
        </w:rPr>
      </w:pPr>
    </w:p>
    <w:p w14:paraId="06438596" w14:textId="77777777" w:rsidR="00F67E9E" w:rsidRPr="00D00D9A" w:rsidRDefault="00F67E9E" w:rsidP="00F67E9E">
      <w:pPr>
        <w:pStyle w:val="StdBodyText4"/>
        <w:ind w:left="1443"/>
        <w:rPr>
          <w:rFonts w:cs="Arial"/>
        </w:rPr>
      </w:pPr>
      <w:r w:rsidRPr="00D00D9A">
        <w:rPr>
          <w:rFonts w:cs="Arial"/>
        </w:rPr>
        <w:t>Director</w:t>
      </w:r>
      <w:r w:rsidRPr="00D00D9A">
        <w:rPr>
          <w:rFonts w:cs="Arial"/>
        </w:rPr>
        <w:tab/>
        <w:t>…………………………………</w:t>
      </w:r>
    </w:p>
    <w:p w14:paraId="676875E6" w14:textId="77777777" w:rsidR="00F67E9E" w:rsidRPr="00D00D9A" w:rsidRDefault="00F67E9E" w:rsidP="00F67E9E">
      <w:pPr>
        <w:pStyle w:val="StdBodyText4"/>
        <w:ind w:left="1443"/>
        <w:rPr>
          <w:rFonts w:cs="Arial"/>
        </w:rPr>
      </w:pPr>
      <w:r w:rsidRPr="00D00D9A">
        <w:rPr>
          <w:rFonts w:cs="Arial"/>
        </w:rPr>
        <w:t>Signed</w:t>
      </w:r>
      <w:r w:rsidRPr="00D00D9A">
        <w:rPr>
          <w:rFonts w:cs="Arial"/>
        </w:rPr>
        <w:tab/>
        <w:t>…………………………………</w:t>
      </w:r>
    </w:p>
    <w:p w14:paraId="2D7FF16A" w14:textId="77777777" w:rsidR="00F67E9E" w:rsidRPr="00D00D9A" w:rsidRDefault="00F67E9E" w:rsidP="00F67E9E">
      <w:pPr>
        <w:pStyle w:val="StdBodyText4"/>
        <w:ind w:left="1443"/>
        <w:rPr>
          <w:rFonts w:cs="Arial"/>
        </w:rPr>
      </w:pPr>
      <w:r w:rsidRPr="00D00D9A">
        <w:rPr>
          <w:rFonts w:cs="Arial"/>
        </w:rPr>
        <w:t>Date</w:t>
      </w:r>
      <w:r w:rsidRPr="00D00D9A">
        <w:rPr>
          <w:rFonts w:cs="Arial"/>
        </w:rPr>
        <w:tab/>
      </w:r>
      <w:r w:rsidRPr="00D00D9A">
        <w:rPr>
          <w:rFonts w:cs="Arial"/>
        </w:rPr>
        <w:tab/>
        <w:t>…………………………………</w:t>
      </w:r>
    </w:p>
    <w:p w14:paraId="205D48D3" w14:textId="77777777" w:rsidR="00F67E9E" w:rsidRDefault="00F67E9E" w:rsidP="00F67E9E"/>
    <w:p w14:paraId="35BF8DE9" w14:textId="77777777" w:rsidR="00F67E9E" w:rsidRDefault="00F67E9E" w:rsidP="00F67E9E"/>
    <w:p w14:paraId="10B3F385" w14:textId="77777777" w:rsidR="00F67E9E" w:rsidRPr="00D00D9A" w:rsidRDefault="00F67E9E" w:rsidP="00F67E9E">
      <w:pPr>
        <w:sectPr w:rsidR="00F67E9E" w:rsidRPr="00D00D9A" w:rsidSect="00240D26">
          <w:headerReference w:type="default" r:id="rId124"/>
          <w:footerReference w:type="default" r:id="rId125"/>
          <w:headerReference w:type="first" r:id="rId126"/>
          <w:footerReference w:type="first" r:id="rId127"/>
          <w:pgSz w:w="11900" w:h="16840"/>
          <w:pgMar w:top="1701" w:right="851" w:bottom="1134" w:left="851" w:header="567" w:footer="567" w:gutter="0"/>
          <w:cols w:space="720"/>
          <w:docGrid w:linePitch="360"/>
        </w:sectPr>
      </w:pPr>
    </w:p>
    <w:p w14:paraId="629200EB" w14:textId="77777777" w:rsidR="00F67E9E" w:rsidRPr="00EE4F10" w:rsidRDefault="00F67E9E" w:rsidP="00F67E9E">
      <w:pPr>
        <w:pStyle w:val="Dividername"/>
      </w:pPr>
      <w:r w:rsidRPr="00EE4F10">
        <w:lastRenderedPageBreak/>
        <w:t>Schedule 19</w:t>
      </w:r>
    </w:p>
    <w:p w14:paraId="163A1BC7" w14:textId="77777777" w:rsidR="00F67E9E" w:rsidRPr="00EE4F10" w:rsidRDefault="00F67E9E" w:rsidP="00F67E9E">
      <w:pPr>
        <w:pStyle w:val="Dividername"/>
      </w:pPr>
      <w:r w:rsidRPr="00EE4F10">
        <w:t xml:space="preserve">Financial Reports </w:t>
      </w:r>
      <w:r>
        <w:t>a</w:t>
      </w:r>
      <w:r w:rsidRPr="00EE4F10">
        <w:t>nd Audit Rights</w:t>
      </w:r>
    </w:p>
    <w:p w14:paraId="4E48640E" w14:textId="77777777" w:rsidR="00F67E9E" w:rsidRDefault="00F67E9E" w:rsidP="00F67E9E"/>
    <w:p w14:paraId="4A3340DB" w14:textId="77777777" w:rsidR="00F67E9E" w:rsidRPr="0065054C" w:rsidRDefault="00F67E9E" w:rsidP="00F67E9E">
      <w:r w:rsidRPr="0065054C">
        <w:br w:type="page"/>
      </w:r>
    </w:p>
    <w:p w14:paraId="2B4BEE3F" w14:textId="77777777" w:rsidR="00F67E9E" w:rsidRPr="005D0525" w:rsidRDefault="00F67E9E" w:rsidP="00F67E9E">
      <w:pPr>
        <w:pStyle w:val="Heading1"/>
      </w:pPr>
      <w:bookmarkStart w:id="1275" w:name="Schedule19"/>
      <w:bookmarkStart w:id="1276" w:name="_Ref92200001"/>
      <w:bookmarkStart w:id="1277" w:name="_Toc145412791"/>
      <w:r w:rsidRPr="005D0525">
        <w:lastRenderedPageBreak/>
        <w:t>Schedule</w:t>
      </w:r>
      <w:r>
        <w:t> </w:t>
      </w:r>
      <w:r w:rsidRPr="005D0525">
        <w:t>19</w:t>
      </w:r>
      <w:bookmarkEnd w:id="1275"/>
      <w:r>
        <w:t xml:space="preserve">: </w:t>
      </w:r>
      <w:bookmarkStart w:id="1278" w:name="Schedule19Heading"/>
      <w:r w:rsidRPr="00DD4CC2">
        <w:t>Financial Reports and Audit Rights</w:t>
      </w:r>
      <w:bookmarkEnd w:id="1276"/>
      <w:bookmarkEnd w:id="1277"/>
      <w:bookmarkEnd w:id="1278"/>
    </w:p>
    <w:p w14:paraId="1AFFB4D1" w14:textId="77777777" w:rsidR="00F67E9E" w:rsidRPr="00D00D9A" w:rsidRDefault="00F67E9E" w:rsidP="00F13933">
      <w:pPr>
        <w:pStyle w:val="Numbered1"/>
        <w:numPr>
          <w:ilvl w:val="0"/>
          <w:numId w:val="132"/>
        </w:numPr>
        <w:ind w:left="360"/>
      </w:pPr>
      <w:r w:rsidRPr="00D00D9A">
        <w:t>Definitions</w:t>
      </w:r>
    </w:p>
    <w:p w14:paraId="5EC865CE" w14:textId="77777777" w:rsidR="00F67E9E" w:rsidRPr="00D00D9A" w:rsidRDefault="00F67E9E" w:rsidP="00F67E9E">
      <w:pPr>
        <w:pStyle w:val="Numbered11"/>
        <w:ind w:left="360"/>
      </w:pPr>
      <w:bookmarkStart w:id="1279" w:name="_Ref45003832"/>
      <w:r w:rsidRPr="00D00D9A">
        <w:t>In this Schedule, the following definitions shall apply:</w:t>
      </w:r>
      <w:bookmarkEnd w:id="1279"/>
    </w:p>
    <w:tbl>
      <w:tblPr>
        <w:tblStyle w:val="MSAdefinitions"/>
        <w:tblW w:w="9638" w:type="dxa"/>
        <w:tblLook w:val="04A0" w:firstRow="1" w:lastRow="0" w:firstColumn="1" w:lastColumn="0" w:noHBand="0" w:noVBand="1"/>
      </w:tblPr>
      <w:tblGrid>
        <w:gridCol w:w="2835"/>
        <w:gridCol w:w="6803"/>
      </w:tblGrid>
      <w:tr w:rsidR="00F67E9E" w:rsidRPr="00D00D9A" w14:paraId="5805B8E1" w14:textId="77777777" w:rsidTr="0052486C">
        <w:tc>
          <w:tcPr>
            <w:tcW w:w="2835" w:type="dxa"/>
          </w:tcPr>
          <w:p w14:paraId="48F66C4C" w14:textId="77777777" w:rsidR="00F67E9E" w:rsidRPr="00D00D9A" w:rsidRDefault="00F67E9E" w:rsidP="0052486C">
            <w:pPr>
              <w:pStyle w:val="StdBodyTextBold"/>
              <w:rPr>
                <w:rFonts w:cs="Arial"/>
              </w:rPr>
            </w:pPr>
            <w:r>
              <w:rPr>
                <w:rFonts w:cs="Arial"/>
              </w:rPr>
              <w:t>“</w:t>
            </w:r>
            <w:r w:rsidRPr="00D00D9A">
              <w:rPr>
                <w:rFonts w:cs="Arial"/>
              </w:rPr>
              <w:t>Annual Contract Report</w:t>
            </w:r>
            <w:r>
              <w:rPr>
                <w:rFonts w:cs="Arial"/>
              </w:rPr>
              <w:t>”</w:t>
            </w:r>
          </w:p>
        </w:tc>
        <w:tc>
          <w:tcPr>
            <w:tcW w:w="6803" w:type="dxa"/>
          </w:tcPr>
          <w:p w14:paraId="30A57EFF" w14:textId="2CCD3878" w:rsidR="00F67E9E" w:rsidRPr="00D00D9A" w:rsidRDefault="00F67E9E" w:rsidP="0052486C">
            <w:pPr>
              <w:pStyle w:val="StdBodyText"/>
              <w:rPr>
                <w:rFonts w:cs="Arial"/>
              </w:rPr>
            </w:pPr>
            <w:r w:rsidRPr="00D00D9A">
              <w:rPr>
                <w:rFonts w:cs="Arial"/>
              </w:rPr>
              <w:t xml:space="preserve">the annual contract report to be provided by the Supplier to the Authority pursuant to Paragraph </w:t>
            </w:r>
            <w:r w:rsidRPr="00D00D9A">
              <w:rPr>
                <w:rFonts w:cs="Arial"/>
              </w:rPr>
              <w:fldChar w:fldCharType="begin"/>
            </w:r>
            <w:r w:rsidRPr="00D00D9A">
              <w:rPr>
                <w:rFonts w:cs="Arial"/>
              </w:rPr>
              <w:instrText xml:space="preserve"> REF _Ref_ContractCompanion_9kb9Ur249 \w \n \h \t \* MERGEFORMAT </w:instrText>
            </w:r>
            <w:r w:rsidRPr="00D00D9A">
              <w:rPr>
                <w:rFonts w:cs="Arial"/>
              </w:rPr>
            </w:r>
            <w:r w:rsidRPr="00D00D9A">
              <w:rPr>
                <w:rFonts w:cs="Arial"/>
              </w:rPr>
              <w:fldChar w:fldCharType="separate"/>
            </w:r>
            <w:r w:rsidR="007A1473">
              <w:rPr>
                <w:rFonts w:cs="Arial"/>
              </w:rPr>
              <w:t>1</w:t>
            </w:r>
            <w:r w:rsidRPr="00D00D9A">
              <w:rPr>
                <w:rFonts w:cs="Arial"/>
              </w:rPr>
              <w:fldChar w:fldCharType="end"/>
            </w:r>
            <w:r w:rsidRPr="00D00D9A">
              <w:rPr>
                <w:rFonts w:cs="Arial"/>
              </w:rPr>
              <w:t xml:space="preserve"> of </w:t>
            </w:r>
            <w:r w:rsidRPr="00D00D9A">
              <w:rPr>
                <w:rFonts w:cs="Arial"/>
              </w:rPr>
              <w:fldChar w:fldCharType="begin"/>
            </w:r>
            <w:r w:rsidRPr="00D00D9A">
              <w:rPr>
                <w:rFonts w:cs="Arial"/>
              </w:rPr>
              <w:instrText xml:space="preserve"> REF Sch19PartB \h  \* MERGEFORMAT </w:instrText>
            </w:r>
            <w:r w:rsidRPr="00D00D9A">
              <w:rPr>
                <w:rFonts w:cs="Arial"/>
              </w:rPr>
            </w:r>
            <w:r w:rsidRPr="00D00D9A">
              <w:rPr>
                <w:rFonts w:cs="Arial"/>
              </w:rPr>
              <w:fldChar w:fldCharType="separate"/>
            </w:r>
            <w:r w:rsidR="007A1473" w:rsidRPr="007A1473">
              <w:rPr>
                <w:rFonts w:cs="Arial"/>
              </w:rPr>
              <w:t>Part B</w:t>
            </w:r>
            <w:r w:rsidRPr="00D00D9A">
              <w:rPr>
                <w:rFonts w:cs="Arial"/>
              </w:rPr>
              <w:fldChar w:fldCharType="end"/>
            </w:r>
            <w:r w:rsidRPr="00D00D9A">
              <w:rPr>
                <w:rFonts w:cs="Arial"/>
              </w:rPr>
              <w:t>;</w:t>
            </w:r>
          </w:p>
        </w:tc>
      </w:tr>
      <w:tr w:rsidR="00F67E9E" w:rsidRPr="00D00D9A" w14:paraId="3870FC52" w14:textId="77777777" w:rsidTr="0052486C">
        <w:tc>
          <w:tcPr>
            <w:tcW w:w="2835" w:type="dxa"/>
          </w:tcPr>
          <w:p w14:paraId="6E926B13" w14:textId="77777777" w:rsidR="00F67E9E" w:rsidRPr="00D00D9A" w:rsidRDefault="00F67E9E" w:rsidP="0052486C">
            <w:pPr>
              <w:pStyle w:val="StdBodyTextBold"/>
              <w:rPr>
                <w:rFonts w:cs="Arial"/>
              </w:rPr>
            </w:pPr>
            <w:r>
              <w:rPr>
                <w:rFonts w:cs="Arial"/>
              </w:rPr>
              <w:t>“</w:t>
            </w:r>
            <w:r w:rsidRPr="00D00D9A">
              <w:rPr>
                <w:rFonts w:cs="Arial"/>
              </w:rPr>
              <w:t>Audit Agents</w:t>
            </w:r>
            <w:r>
              <w:rPr>
                <w:rFonts w:cs="Arial"/>
              </w:rPr>
              <w:t>”</w:t>
            </w:r>
          </w:p>
        </w:tc>
        <w:tc>
          <w:tcPr>
            <w:tcW w:w="6803" w:type="dxa"/>
          </w:tcPr>
          <w:p w14:paraId="0222A1DB" w14:textId="77777777" w:rsidR="00F67E9E" w:rsidRPr="00190AA9" w:rsidRDefault="00F67E9E" w:rsidP="00F13933">
            <w:pPr>
              <w:pStyle w:val="DefinitionList"/>
              <w:numPr>
                <w:ilvl w:val="0"/>
                <w:numId w:val="97"/>
              </w:numPr>
            </w:pPr>
            <w:r w:rsidRPr="00190AA9">
              <w:t>the Authority’s internal and external auditors;</w:t>
            </w:r>
          </w:p>
          <w:p w14:paraId="05A7FC0B" w14:textId="77777777" w:rsidR="00F67E9E" w:rsidRPr="00190AA9" w:rsidRDefault="00F67E9E" w:rsidP="00F13933">
            <w:pPr>
              <w:pStyle w:val="DefinitionList"/>
              <w:numPr>
                <w:ilvl w:val="0"/>
                <w:numId w:val="78"/>
              </w:numPr>
            </w:pPr>
            <w:r w:rsidRPr="00190AA9">
              <w:t xml:space="preserve">the Authority’s statutory or regulatory auditors; </w:t>
            </w:r>
          </w:p>
          <w:p w14:paraId="187CEF4B" w14:textId="77777777" w:rsidR="00F67E9E" w:rsidRPr="00190AA9" w:rsidRDefault="00F67E9E" w:rsidP="00F13933">
            <w:pPr>
              <w:pStyle w:val="DefinitionList"/>
              <w:numPr>
                <w:ilvl w:val="0"/>
                <w:numId w:val="78"/>
              </w:numPr>
            </w:pPr>
            <w:r w:rsidRPr="00190AA9">
              <w:t xml:space="preserve">the Comptroller and Auditor General, their staff and/or any appointed representatives of the National Audit Office; </w:t>
            </w:r>
          </w:p>
          <w:p w14:paraId="0BF4CAAF" w14:textId="77777777" w:rsidR="00F67E9E" w:rsidRPr="00190AA9" w:rsidRDefault="00F67E9E" w:rsidP="00F13933">
            <w:pPr>
              <w:pStyle w:val="DefinitionList"/>
              <w:numPr>
                <w:ilvl w:val="0"/>
                <w:numId w:val="78"/>
              </w:numPr>
            </w:pPr>
            <w:r w:rsidRPr="00190AA9">
              <w:t>HM Treasury or the Cabinet Office;</w:t>
            </w:r>
          </w:p>
          <w:p w14:paraId="491059E0" w14:textId="77777777" w:rsidR="00F67E9E" w:rsidRPr="00190AA9" w:rsidRDefault="00F67E9E" w:rsidP="00F13933">
            <w:pPr>
              <w:pStyle w:val="DefinitionList"/>
              <w:numPr>
                <w:ilvl w:val="0"/>
                <w:numId w:val="78"/>
              </w:numPr>
            </w:pPr>
            <w:r w:rsidRPr="00190AA9">
              <w:t>any party formally appointed by the Authority to carry out audit or similar review functions; and</w:t>
            </w:r>
          </w:p>
          <w:p w14:paraId="1354D4B6" w14:textId="77777777" w:rsidR="00F67E9E" w:rsidRPr="00D00D9A" w:rsidRDefault="00F67E9E" w:rsidP="00F13933">
            <w:pPr>
              <w:pStyle w:val="DefinitionList"/>
              <w:numPr>
                <w:ilvl w:val="0"/>
                <w:numId w:val="78"/>
              </w:numPr>
            </w:pPr>
            <w:r w:rsidRPr="00190AA9">
              <w:t>successor</w:t>
            </w:r>
            <w:r w:rsidRPr="00D00D9A">
              <w:t xml:space="preserve">s or assigns of any of the above; </w:t>
            </w:r>
          </w:p>
        </w:tc>
      </w:tr>
      <w:tr w:rsidR="00F67E9E" w:rsidRPr="00D00D9A" w14:paraId="22B79C20" w14:textId="77777777" w:rsidTr="0052486C">
        <w:tc>
          <w:tcPr>
            <w:tcW w:w="2835" w:type="dxa"/>
          </w:tcPr>
          <w:p w14:paraId="618CA416" w14:textId="77777777" w:rsidR="00F67E9E" w:rsidRPr="00D00D9A" w:rsidRDefault="00F67E9E" w:rsidP="0052486C">
            <w:pPr>
              <w:pStyle w:val="StdBodyTextBold"/>
              <w:rPr>
                <w:rFonts w:cs="Arial"/>
              </w:rPr>
            </w:pPr>
            <w:r>
              <w:rPr>
                <w:rFonts w:cs="Arial"/>
              </w:rPr>
              <w:t>“</w:t>
            </w:r>
            <w:r w:rsidRPr="00D00D9A">
              <w:rPr>
                <w:rFonts w:cs="Arial"/>
              </w:rPr>
              <w:t>Contract Amendment Report</w:t>
            </w:r>
            <w:r>
              <w:rPr>
                <w:rFonts w:cs="Arial"/>
              </w:rPr>
              <w:t>”</w:t>
            </w:r>
          </w:p>
        </w:tc>
        <w:tc>
          <w:tcPr>
            <w:tcW w:w="6803" w:type="dxa"/>
          </w:tcPr>
          <w:p w14:paraId="6B7FD913" w14:textId="79269E66" w:rsidR="00F67E9E" w:rsidRPr="00D00D9A" w:rsidRDefault="00F67E9E" w:rsidP="0052486C">
            <w:pPr>
              <w:pStyle w:val="StdBodyText"/>
              <w:rPr>
                <w:rFonts w:cs="Arial"/>
              </w:rPr>
            </w:pPr>
            <w:r w:rsidRPr="00D00D9A">
              <w:rPr>
                <w:rFonts w:cs="Arial"/>
              </w:rPr>
              <w:t xml:space="preserve">the contract amendment report to be provided by the Supplier to the Authority pursuant to Paragraph </w:t>
            </w:r>
            <w:r w:rsidRPr="00D00D9A">
              <w:rPr>
                <w:rFonts w:cs="Arial"/>
              </w:rPr>
              <w:fldChar w:fldCharType="begin"/>
            </w:r>
            <w:r w:rsidRPr="00D00D9A">
              <w:rPr>
                <w:rFonts w:cs="Arial"/>
              </w:rPr>
              <w:instrText xml:space="preserve"> REF _Ref_ContractCompanion_9kb9Ur249 \w \n \h \t \* MERGEFORMAT </w:instrText>
            </w:r>
            <w:r w:rsidRPr="00D00D9A">
              <w:rPr>
                <w:rFonts w:cs="Arial"/>
              </w:rPr>
            </w:r>
            <w:r w:rsidRPr="00D00D9A">
              <w:rPr>
                <w:rFonts w:cs="Arial"/>
              </w:rPr>
              <w:fldChar w:fldCharType="separate"/>
            </w:r>
            <w:r w:rsidR="007A1473">
              <w:rPr>
                <w:rFonts w:cs="Arial"/>
              </w:rPr>
              <w:t>1</w:t>
            </w:r>
            <w:r w:rsidRPr="00D00D9A">
              <w:rPr>
                <w:rFonts w:cs="Arial"/>
              </w:rPr>
              <w:fldChar w:fldCharType="end"/>
            </w:r>
            <w:r w:rsidRPr="00D00D9A">
              <w:rPr>
                <w:rFonts w:cs="Arial"/>
              </w:rPr>
              <w:t xml:space="preserve"> of </w:t>
            </w:r>
            <w:r w:rsidRPr="00D00D9A">
              <w:rPr>
                <w:rFonts w:cs="Arial"/>
              </w:rPr>
              <w:fldChar w:fldCharType="begin"/>
            </w:r>
            <w:r w:rsidRPr="00D00D9A">
              <w:rPr>
                <w:rFonts w:cs="Arial"/>
              </w:rPr>
              <w:instrText xml:space="preserve"> REF Sch19PartB \h  \* MERGEFORMAT </w:instrText>
            </w:r>
            <w:r w:rsidRPr="00D00D9A">
              <w:rPr>
                <w:rFonts w:cs="Arial"/>
              </w:rPr>
            </w:r>
            <w:r w:rsidRPr="00D00D9A">
              <w:rPr>
                <w:rFonts w:cs="Arial"/>
              </w:rPr>
              <w:fldChar w:fldCharType="separate"/>
            </w:r>
            <w:r w:rsidR="007A1473" w:rsidRPr="007A1473">
              <w:rPr>
                <w:rFonts w:cs="Arial"/>
              </w:rPr>
              <w:t>Part B</w:t>
            </w:r>
            <w:r w:rsidRPr="00D00D9A">
              <w:rPr>
                <w:rFonts w:cs="Arial"/>
              </w:rPr>
              <w:fldChar w:fldCharType="end"/>
            </w:r>
            <w:r w:rsidRPr="00D00D9A">
              <w:rPr>
                <w:rFonts w:cs="Arial"/>
              </w:rPr>
              <w:t>;</w:t>
            </w:r>
          </w:p>
        </w:tc>
      </w:tr>
      <w:tr w:rsidR="00F67E9E" w:rsidRPr="00D00D9A" w14:paraId="1EC4F382" w14:textId="77777777" w:rsidTr="0052486C">
        <w:tc>
          <w:tcPr>
            <w:tcW w:w="2835" w:type="dxa"/>
          </w:tcPr>
          <w:p w14:paraId="78ED3297" w14:textId="77777777" w:rsidR="00F67E9E" w:rsidRPr="00D00D9A" w:rsidRDefault="00F67E9E" w:rsidP="0052486C">
            <w:pPr>
              <w:pStyle w:val="StdBodyTextBold"/>
              <w:rPr>
                <w:rFonts w:cs="Arial"/>
              </w:rPr>
            </w:pPr>
            <w:r>
              <w:rPr>
                <w:rFonts w:cs="Arial"/>
              </w:rPr>
              <w:t>“</w:t>
            </w:r>
            <w:r w:rsidRPr="00D00D9A">
              <w:rPr>
                <w:rFonts w:cs="Arial"/>
              </w:rPr>
              <w:t>Final Reconciliation Report</w:t>
            </w:r>
            <w:r>
              <w:rPr>
                <w:rFonts w:cs="Arial"/>
              </w:rPr>
              <w:t>”</w:t>
            </w:r>
          </w:p>
        </w:tc>
        <w:tc>
          <w:tcPr>
            <w:tcW w:w="6803" w:type="dxa"/>
          </w:tcPr>
          <w:p w14:paraId="3EBAC92F" w14:textId="6ABD8156" w:rsidR="00F67E9E" w:rsidRPr="00D00D9A" w:rsidRDefault="00F67E9E" w:rsidP="0052486C">
            <w:pPr>
              <w:pStyle w:val="StdBodyText"/>
              <w:rPr>
                <w:rFonts w:cs="Arial"/>
              </w:rPr>
            </w:pPr>
            <w:r w:rsidRPr="00D00D9A">
              <w:rPr>
                <w:rFonts w:cs="Arial"/>
              </w:rPr>
              <w:t xml:space="preserve">the final reconciliation report to be provided by the Supplier to the Authority pursuant to Paragraph </w:t>
            </w:r>
            <w:r w:rsidRPr="00D00D9A">
              <w:rPr>
                <w:rFonts w:cs="Arial"/>
              </w:rPr>
              <w:fldChar w:fldCharType="begin"/>
            </w:r>
            <w:r w:rsidRPr="00D00D9A">
              <w:rPr>
                <w:rFonts w:cs="Arial"/>
              </w:rPr>
              <w:instrText xml:space="preserve"> REF _Ref_ContractCompanion_9kb9Ur249 \w \n \h \t \* MERGEFORMAT </w:instrText>
            </w:r>
            <w:r w:rsidRPr="00D00D9A">
              <w:rPr>
                <w:rFonts w:cs="Arial"/>
              </w:rPr>
            </w:r>
            <w:r w:rsidRPr="00D00D9A">
              <w:rPr>
                <w:rFonts w:cs="Arial"/>
              </w:rPr>
              <w:fldChar w:fldCharType="separate"/>
            </w:r>
            <w:r w:rsidR="007A1473">
              <w:rPr>
                <w:rFonts w:cs="Arial"/>
              </w:rPr>
              <w:t>1</w:t>
            </w:r>
            <w:r w:rsidRPr="00D00D9A">
              <w:rPr>
                <w:rFonts w:cs="Arial"/>
              </w:rPr>
              <w:fldChar w:fldCharType="end"/>
            </w:r>
            <w:r w:rsidRPr="00D00D9A">
              <w:rPr>
                <w:rFonts w:cs="Arial"/>
              </w:rPr>
              <w:t xml:space="preserve"> of </w:t>
            </w:r>
            <w:r w:rsidRPr="00D00D9A">
              <w:rPr>
                <w:rFonts w:cs="Arial"/>
              </w:rPr>
              <w:fldChar w:fldCharType="begin"/>
            </w:r>
            <w:r w:rsidRPr="00D00D9A">
              <w:rPr>
                <w:rFonts w:cs="Arial"/>
              </w:rPr>
              <w:instrText xml:space="preserve"> REF Sch19PartB \h  \* MERGEFORMAT </w:instrText>
            </w:r>
            <w:r w:rsidRPr="00D00D9A">
              <w:rPr>
                <w:rFonts w:cs="Arial"/>
              </w:rPr>
            </w:r>
            <w:r w:rsidRPr="00D00D9A">
              <w:rPr>
                <w:rFonts w:cs="Arial"/>
              </w:rPr>
              <w:fldChar w:fldCharType="separate"/>
            </w:r>
            <w:r w:rsidR="007A1473" w:rsidRPr="007A1473">
              <w:rPr>
                <w:rFonts w:cs="Arial"/>
              </w:rPr>
              <w:t>Part B</w:t>
            </w:r>
            <w:r w:rsidRPr="00D00D9A">
              <w:rPr>
                <w:rFonts w:cs="Arial"/>
              </w:rPr>
              <w:fldChar w:fldCharType="end"/>
            </w:r>
            <w:r w:rsidRPr="00D00D9A">
              <w:rPr>
                <w:rFonts w:cs="Arial"/>
              </w:rPr>
              <w:t>;</w:t>
            </w:r>
          </w:p>
        </w:tc>
      </w:tr>
      <w:tr w:rsidR="00F67E9E" w:rsidRPr="00D00D9A" w14:paraId="30CAB720" w14:textId="77777777" w:rsidTr="0052486C">
        <w:tc>
          <w:tcPr>
            <w:tcW w:w="2835" w:type="dxa"/>
          </w:tcPr>
          <w:p w14:paraId="04BE7721" w14:textId="77777777" w:rsidR="00F67E9E" w:rsidRPr="00D00D9A" w:rsidRDefault="00F67E9E" w:rsidP="0052486C">
            <w:pPr>
              <w:pStyle w:val="StdBodyTextBold"/>
              <w:rPr>
                <w:rFonts w:cs="Arial"/>
              </w:rPr>
            </w:pPr>
            <w:r>
              <w:rPr>
                <w:rFonts w:cs="Arial"/>
              </w:rPr>
              <w:t>“</w:t>
            </w:r>
            <w:r w:rsidRPr="00D00D9A">
              <w:rPr>
                <w:rFonts w:cs="Arial"/>
              </w:rPr>
              <w:t>Financial Model</w:t>
            </w:r>
            <w:r>
              <w:rPr>
                <w:rFonts w:cs="Arial"/>
              </w:rPr>
              <w:t>”</w:t>
            </w:r>
          </w:p>
        </w:tc>
        <w:tc>
          <w:tcPr>
            <w:tcW w:w="6803" w:type="dxa"/>
          </w:tcPr>
          <w:p w14:paraId="19ECE99C" w14:textId="0CAB2E1B" w:rsidR="00F67E9E" w:rsidRPr="00D00D9A" w:rsidRDefault="00F67E9E" w:rsidP="0052486C">
            <w:pPr>
              <w:pStyle w:val="StdBodyText"/>
              <w:rPr>
                <w:rFonts w:cs="Arial"/>
              </w:rPr>
            </w:pPr>
            <w:r w:rsidRPr="00D00D9A">
              <w:rPr>
                <w:rFonts w:cs="Arial"/>
              </w:rPr>
              <w:t>the Contract Inception Report, the latest Annual Contract Report or the latest Contract Amendment</w:t>
            </w:r>
            <w:r>
              <w:rPr>
                <w:rFonts w:cs="Arial"/>
              </w:rPr>
              <w:t xml:space="preserve"> </w:t>
            </w:r>
            <w:r w:rsidRPr="00D00D9A">
              <w:rPr>
                <w:rFonts w:cs="Arial"/>
              </w:rPr>
              <w:t xml:space="preserve">Report, whichever has been most recently approved by the Authority in accordance with </w:t>
            </w:r>
            <w:bookmarkStart w:id="1280" w:name="_9kMIH5YVt4EE7HKbGpqgyts0E"/>
            <w:bookmarkEnd w:id="1280"/>
            <w:r w:rsidRPr="00D00D9A">
              <w:rPr>
                <w:rFonts w:cs="Arial"/>
              </w:rPr>
              <w:t xml:space="preserve">Paragraph </w:t>
            </w:r>
            <w:r w:rsidRPr="00D00D9A">
              <w:rPr>
                <w:rFonts w:cs="Arial"/>
              </w:rPr>
              <w:fldChar w:fldCharType="begin"/>
            </w:r>
            <w:r w:rsidRPr="00D00D9A">
              <w:rPr>
                <w:rFonts w:cs="Arial"/>
              </w:rPr>
              <w:instrText xml:space="preserve"> REF _Ref41641505 \r \h  \* MERGEFORMAT </w:instrText>
            </w:r>
            <w:r w:rsidRPr="00D00D9A">
              <w:rPr>
                <w:rFonts w:cs="Arial"/>
              </w:rPr>
            </w:r>
            <w:r w:rsidRPr="00D00D9A">
              <w:rPr>
                <w:rFonts w:cs="Arial"/>
              </w:rPr>
              <w:fldChar w:fldCharType="separate"/>
            </w:r>
            <w:r w:rsidR="007A1473">
              <w:rPr>
                <w:rFonts w:cs="Arial"/>
              </w:rPr>
              <w:t>2</w:t>
            </w:r>
            <w:r w:rsidRPr="00D00D9A">
              <w:rPr>
                <w:rFonts w:cs="Arial"/>
              </w:rPr>
              <w:fldChar w:fldCharType="end"/>
            </w:r>
            <w:r w:rsidRPr="00D00D9A">
              <w:rPr>
                <w:rFonts w:cs="Arial"/>
              </w:rPr>
              <w:t xml:space="preserve"> of </w:t>
            </w:r>
            <w:r w:rsidRPr="00D00D9A">
              <w:rPr>
                <w:rFonts w:cs="Arial"/>
              </w:rPr>
              <w:fldChar w:fldCharType="begin"/>
            </w:r>
            <w:r w:rsidRPr="00D00D9A">
              <w:rPr>
                <w:rFonts w:cs="Arial"/>
              </w:rPr>
              <w:instrText xml:space="preserve"> REF Sch19PartB \h  \* MERGEFORMAT </w:instrText>
            </w:r>
            <w:r w:rsidRPr="00D00D9A">
              <w:rPr>
                <w:rFonts w:cs="Arial"/>
              </w:rPr>
            </w:r>
            <w:r w:rsidRPr="00D00D9A">
              <w:rPr>
                <w:rFonts w:cs="Arial"/>
              </w:rPr>
              <w:fldChar w:fldCharType="separate"/>
            </w:r>
            <w:r w:rsidR="007A1473" w:rsidRPr="007A1473">
              <w:rPr>
                <w:rFonts w:cs="Arial"/>
              </w:rPr>
              <w:t>Part B</w:t>
            </w:r>
            <w:r w:rsidRPr="00D00D9A">
              <w:rPr>
                <w:rFonts w:cs="Arial"/>
              </w:rPr>
              <w:fldChar w:fldCharType="end"/>
            </w:r>
            <w:r w:rsidRPr="00D00D9A">
              <w:rPr>
                <w:rFonts w:cs="Arial"/>
              </w:rPr>
              <w:t>;</w:t>
            </w:r>
          </w:p>
        </w:tc>
      </w:tr>
      <w:tr w:rsidR="00F67E9E" w:rsidRPr="00D00D9A" w14:paraId="340E1405" w14:textId="77777777" w:rsidTr="0052486C">
        <w:tc>
          <w:tcPr>
            <w:tcW w:w="2835" w:type="dxa"/>
          </w:tcPr>
          <w:p w14:paraId="6BE01BF7" w14:textId="77777777" w:rsidR="00F67E9E" w:rsidRPr="00D00D9A" w:rsidRDefault="00F67E9E" w:rsidP="0052486C">
            <w:pPr>
              <w:pStyle w:val="StdBodyTextBold"/>
              <w:rPr>
                <w:rFonts w:cs="Arial"/>
              </w:rPr>
            </w:pPr>
            <w:r>
              <w:rPr>
                <w:rFonts w:cs="Arial"/>
              </w:rPr>
              <w:t>“</w:t>
            </w:r>
            <w:r w:rsidRPr="00D00D9A">
              <w:rPr>
                <w:rFonts w:cs="Arial"/>
              </w:rPr>
              <w:t>Financial Reports</w:t>
            </w:r>
            <w:r>
              <w:rPr>
                <w:rFonts w:cs="Arial"/>
              </w:rPr>
              <w:t>”</w:t>
            </w:r>
          </w:p>
        </w:tc>
        <w:tc>
          <w:tcPr>
            <w:tcW w:w="6803" w:type="dxa"/>
          </w:tcPr>
          <w:p w14:paraId="0F9DCEAA" w14:textId="7EB048B2" w:rsidR="00F67E9E" w:rsidRPr="00D00D9A" w:rsidRDefault="00F67E9E" w:rsidP="0052486C">
            <w:pPr>
              <w:pStyle w:val="StdBodyText"/>
              <w:rPr>
                <w:rFonts w:cs="Arial"/>
              </w:rPr>
            </w:pPr>
            <w:r w:rsidRPr="00D00D9A">
              <w:rPr>
                <w:rFonts w:cs="Arial"/>
              </w:rPr>
              <w:t xml:space="preserve">the Contract Inception Report and the reports listed in the table in </w:t>
            </w:r>
            <w:bookmarkStart w:id="1281" w:name="_9kR3WTr2CC69AYEnoewrqyBJ"/>
            <w:r w:rsidRPr="00D00D9A">
              <w:rPr>
                <w:rFonts w:cs="Arial"/>
              </w:rPr>
              <w:t xml:space="preserve">Paragraph </w:t>
            </w:r>
            <w:r w:rsidRPr="00D00D9A">
              <w:rPr>
                <w:rFonts w:cs="Arial"/>
              </w:rPr>
              <w:fldChar w:fldCharType="begin"/>
            </w:r>
            <w:r w:rsidRPr="00D00D9A">
              <w:rPr>
                <w:rFonts w:cs="Arial"/>
              </w:rPr>
              <w:instrText xml:space="preserve"> REF _Ref_ContractCompanion_9kb9Ur24B \n \h \t \* MERGEFORMAT </w:instrText>
            </w:r>
            <w:r w:rsidRPr="00D00D9A">
              <w:rPr>
                <w:rFonts w:cs="Arial"/>
              </w:rPr>
            </w:r>
            <w:r w:rsidRPr="00D00D9A">
              <w:rPr>
                <w:rFonts w:cs="Arial"/>
              </w:rPr>
              <w:fldChar w:fldCharType="separate"/>
            </w:r>
            <w:r w:rsidR="007A1473">
              <w:rPr>
                <w:rFonts w:cs="Arial"/>
              </w:rPr>
              <w:t>1.1</w:t>
            </w:r>
            <w:r w:rsidRPr="00D00D9A">
              <w:rPr>
                <w:rFonts w:cs="Arial"/>
              </w:rPr>
              <w:fldChar w:fldCharType="end"/>
            </w:r>
            <w:bookmarkEnd w:id="1281"/>
            <w:r w:rsidRPr="00D00D9A">
              <w:rPr>
                <w:rFonts w:cs="Arial"/>
              </w:rPr>
              <w:t xml:space="preserve"> of </w:t>
            </w:r>
            <w:r w:rsidRPr="00D00D9A">
              <w:rPr>
                <w:rFonts w:cs="Arial"/>
              </w:rPr>
              <w:fldChar w:fldCharType="begin"/>
            </w:r>
            <w:r w:rsidRPr="00D00D9A">
              <w:rPr>
                <w:rFonts w:cs="Arial"/>
              </w:rPr>
              <w:instrText xml:space="preserve"> REF Sch19PartB \h  \* MERGEFORMAT </w:instrText>
            </w:r>
            <w:r w:rsidRPr="00D00D9A">
              <w:rPr>
                <w:rFonts w:cs="Arial"/>
              </w:rPr>
            </w:r>
            <w:r w:rsidRPr="00D00D9A">
              <w:rPr>
                <w:rFonts w:cs="Arial"/>
              </w:rPr>
              <w:fldChar w:fldCharType="separate"/>
            </w:r>
            <w:r w:rsidR="007A1473" w:rsidRPr="007A1473">
              <w:rPr>
                <w:rFonts w:cs="Arial"/>
              </w:rPr>
              <w:t>Part B</w:t>
            </w:r>
            <w:r w:rsidRPr="00D00D9A">
              <w:rPr>
                <w:rFonts w:cs="Arial"/>
              </w:rPr>
              <w:fldChar w:fldCharType="end"/>
            </w:r>
            <w:r w:rsidRPr="00D00D9A">
              <w:rPr>
                <w:rFonts w:cs="Arial"/>
              </w:rPr>
              <w:t>;</w:t>
            </w:r>
          </w:p>
        </w:tc>
      </w:tr>
      <w:tr w:rsidR="00F67E9E" w:rsidRPr="00D00D9A" w14:paraId="2A345931" w14:textId="77777777" w:rsidTr="0052486C">
        <w:tc>
          <w:tcPr>
            <w:tcW w:w="2835" w:type="dxa"/>
          </w:tcPr>
          <w:p w14:paraId="1B22C981" w14:textId="77777777" w:rsidR="00F67E9E" w:rsidRPr="00D00D9A" w:rsidRDefault="00F67E9E" w:rsidP="0052486C">
            <w:pPr>
              <w:pStyle w:val="StdBodyTextBold"/>
              <w:rPr>
                <w:rFonts w:cs="Arial"/>
              </w:rPr>
            </w:pPr>
            <w:r>
              <w:rPr>
                <w:rFonts w:cs="Arial"/>
              </w:rPr>
              <w:t>“</w:t>
            </w:r>
            <w:r w:rsidRPr="00D00D9A">
              <w:rPr>
                <w:rFonts w:cs="Arial"/>
              </w:rPr>
              <w:t>Financial Representative</w:t>
            </w:r>
            <w:r>
              <w:rPr>
                <w:rFonts w:cs="Arial"/>
              </w:rPr>
              <w:t>”</w:t>
            </w:r>
          </w:p>
        </w:tc>
        <w:tc>
          <w:tcPr>
            <w:tcW w:w="6803" w:type="dxa"/>
          </w:tcPr>
          <w:p w14:paraId="20990A7E" w14:textId="77777777" w:rsidR="00F67E9E" w:rsidRPr="00D00D9A" w:rsidRDefault="00F67E9E" w:rsidP="0052486C">
            <w:pPr>
              <w:pStyle w:val="StdBodyText"/>
              <w:rPr>
                <w:rFonts w:cs="Arial"/>
              </w:rPr>
            </w:pPr>
            <w:r w:rsidRPr="00D00D9A">
              <w:rPr>
                <w:rFonts w:cs="Arial"/>
              </w:rPr>
              <w:t>a reasonably skilled and experienced member of the Supplier</w:t>
            </w:r>
            <w:r>
              <w:rPr>
                <w:rFonts w:cs="Arial"/>
              </w:rPr>
              <w:t>’</w:t>
            </w:r>
            <w:r w:rsidRPr="00D00D9A">
              <w:rPr>
                <w:rFonts w:cs="Arial"/>
              </w:rPr>
              <w:t>s staff who has specific responsibility for preparing, maintaining, facilitating access to, discussing and explaining the Open Book Data and Financial Reports;</w:t>
            </w:r>
          </w:p>
        </w:tc>
      </w:tr>
      <w:tr w:rsidR="00F67E9E" w:rsidRPr="00D00D9A" w14:paraId="54263BB4" w14:textId="77777777" w:rsidTr="0052486C">
        <w:tc>
          <w:tcPr>
            <w:tcW w:w="2835" w:type="dxa"/>
          </w:tcPr>
          <w:p w14:paraId="354E8957" w14:textId="77777777" w:rsidR="00F67E9E" w:rsidRPr="00D00D9A" w:rsidRDefault="00F67E9E" w:rsidP="0052486C">
            <w:pPr>
              <w:pStyle w:val="StdBodyTextBold"/>
              <w:rPr>
                <w:rFonts w:cs="Arial"/>
              </w:rPr>
            </w:pPr>
            <w:r>
              <w:rPr>
                <w:rFonts w:cs="Arial"/>
              </w:rPr>
              <w:t>“</w:t>
            </w:r>
            <w:r w:rsidRPr="00D00D9A">
              <w:rPr>
                <w:rFonts w:cs="Arial"/>
              </w:rPr>
              <w:t>Financial Transparency Objectives</w:t>
            </w:r>
            <w:r>
              <w:rPr>
                <w:rFonts w:cs="Arial"/>
              </w:rPr>
              <w:t>”</w:t>
            </w:r>
          </w:p>
        </w:tc>
        <w:tc>
          <w:tcPr>
            <w:tcW w:w="6803" w:type="dxa"/>
          </w:tcPr>
          <w:p w14:paraId="20F78E99" w14:textId="2D6E3508" w:rsidR="00F67E9E" w:rsidRPr="00D00D9A" w:rsidRDefault="00F67E9E" w:rsidP="0052486C">
            <w:pPr>
              <w:pStyle w:val="StdBodyText"/>
              <w:rPr>
                <w:rFonts w:cs="Arial"/>
              </w:rPr>
            </w:pPr>
            <w:r w:rsidRPr="00D00D9A">
              <w:rPr>
                <w:rFonts w:cs="Arial"/>
              </w:rPr>
              <w:t xml:space="preserve">has the meaning given in </w:t>
            </w:r>
            <w:bookmarkStart w:id="1282" w:name="_9kR3WTr2CC69DbEnoewrqyB"/>
            <w:r w:rsidRPr="00D00D9A">
              <w:rPr>
                <w:rFonts w:cs="Arial"/>
              </w:rPr>
              <w:t xml:space="preserve">Paragraph </w:t>
            </w:r>
            <w:r w:rsidRPr="00D00D9A">
              <w:rPr>
                <w:rFonts w:cs="Arial"/>
              </w:rPr>
              <w:fldChar w:fldCharType="begin"/>
            </w:r>
            <w:r w:rsidRPr="00D00D9A">
              <w:rPr>
                <w:rFonts w:cs="Arial"/>
              </w:rPr>
              <w:instrText xml:space="preserve"> REF _Ref_ContractCompanion_9kb9Ur257 \w \n \h \t \* MERGEFORMAT </w:instrText>
            </w:r>
            <w:r w:rsidRPr="00D00D9A">
              <w:rPr>
                <w:rFonts w:cs="Arial"/>
              </w:rPr>
            </w:r>
            <w:r w:rsidRPr="00D00D9A">
              <w:rPr>
                <w:rFonts w:cs="Arial"/>
              </w:rPr>
              <w:fldChar w:fldCharType="separate"/>
            </w:r>
            <w:r w:rsidR="007A1473">
              <w:rPr>
                <w:rFonts w:cs="Arial"/>
              </w:rPr>
              <w:t>1</w:t>
            </w:r>
            <w:r w:rsidRPr="00D00D9A">
              <w:rPr>
                <w:rFonts w:cs="Arial"/>
              </w:rPr>
              <w:fldChar w:fldCharType="end"/>
            </w:r>
            <w:bookmarkEnd w:id="1282"/>
            <w:r w:rsidRPr="00D00D9A">
              <w:rPr>
                <w:rFonts w:cs="Arial"/>
              </w:rPr>
              <w:t xml:space="preserve"> of </w:t>
            </w:r>
            <w:r w:rsidRPr="00D00D9A">
              <w:rPr>
                <w:rFonts w:cs="Arial"/>
              </w:rPr>
              <w:fldChar w:fldCharType="begin"/>
            </w:r>
            <w:r w:rsidRPr="00D00D9A">
              <w:rPr>
                <w:rFonts w:cs="Arial"/>
              </w:rPr>
              <w:instrText xml:space="preserve"> REF Sch19PartA \h  \* MERGEFORMAT </w:instrText>
            </w:r>
            <w:r w:rsidRPr="00D00D9A">
              <w:rPr>
                <w:rFonts w:cs="Arial"/>
              </w:rPr>
            </w:r>
            <w:r w:rsidRPr="00D00D9A">
              <w:rPr>
                <w:rFonts w:cs="Arial"/>
              </w:rPr>
              <w:fldChar w:fldCharType="separate"/>
            </w:r>
            <w:r w:rsidR="007A1473" w:rsidRPr="007A1473">
              <w:rPr>
                <w:rFonts w:cs="Arial"/>
              </w:rPr>
              <w:t>Part A</w:t>
            </w:r>
            <w:r w:rsidRPr="00D00D9A">
              <w:rPr>
                <w:rFonts w:cs="Arial"/>
              </w:rPr>
              <w:fldChar w:fldCharType="end"/>
            </w:r>
            <w:r w:rsidRPr="00D00D9A">
              <w:rPr>
                <w:rFonts w:cs="Arial"/>
              </w:rPr>
              <w:t>;</w:t>
            </w:r>
          </w:p>
        </w:tc>
      </w:tr>
      <w:tr w:rsidR="00F67E9E" w:rsidRPr="00D00D9A" w14:paraId="285C33DF" w14:textId="77777777" w:rsidTr="0052486C">
        <w:tc>
          <w:tcPr>
            <w:tcW w:w="2835" w:type="dxa"/>
          </w:tcPr>
          <w:p w14:paraId="59CD441A" w14:textId="77777777" w:rsidR="00F67E9E" w:rsidRPr="00D00D9A" w:rsidRDefault="00F67E9E" w:rsidP="0052486C">
            <w:pPr>
              <w:pStyle w:val="StdBodyTextBold"/>
              <w:rPr>
                <w:rFonts w:cs="Arial"/>
              </w:rPr>
            </w:pPr>
            <w:r>
              <w:rPr>
                <w:rFonts w:cs="Arial"/>
              </w:rPr>
              <w:t>“</w:t>
            </w:r>
            <w:r w:rsidRPr="00D00D9A">
              <w:rPr>
                <w:rFonts w:cs="Arial"/>
              </w:rPr>
              <w:t>Material Change</w:t>
            </w:r>
            <w:r>
              <w:rPr>
                <w:rFonts w:cs="Arial"/>
              </w:rPr>
              <w:t>”</w:t>
            </w:r>
          </w:p>
        </w:tc>
        <w:tc>
          <w:tcPr>
            <w:tcW w:w="6803" w:type="dxa"/>
          </w:tcPr>
          <w:p w14:paraId="32BA7FE0" w14:textId="77777777" w:rsidR="00F67E9E" w:rsidRPr="00D00D9A" w:rsidRDefault="00F67E9E" w:rsidP="0052486C">
            <w:pPr>
              <w:pStyle w:val="StdBodyText"/>
              <w:rPr>
                <w:rFonts w:cs="Arial"/>
              </w:rPr>
            </w:pPr>
            <w:r w:rsidRPr="00D00D9A">
              <w:rPr>
                <w:rFonts w:cs="Arial"/>
              </w:rPr>
              <w:t>a Change which:</w:t>
            </w:r>
          </w:p>
          <w:p w14:paraId="37C87377" w14:textId="77777777" w:rsidR="00F67E9E" w:rsidRPr="00190AA9" w:rsidRDefault="00F67E9E" w:rsidP="00F13933">
            <w:pPr>
              <w:pStyle w:val="DefinitionList"/>
              <w:numPr>
                <w:ilvl w:val="0"/>
                <w:numId w:val="98"/>
              </w:numPr>
            </w:pPr>
            <w:r w:rsidRPr="00190AA9">
              <w:lastRenderedPageBreak/>
              <w:t>materially changes the profile of the Charges; or</w:t>
            </w:r>
          </w:p>
          <w:p w14:paraId="200273D3" w14:textId="77777777" w:rsidR="00F67E9E" w:rsidRPr="00D00D9A" w:rsidRDefault="00F67E9E" w:rsidP="00F13933">
            <w:pPr>
              <w:pStyle w:val="DefinitionList"/>
              <w:numPr>
                <w:ilvl w:val="0"/>
                <w:numId w:val="78"/>
              </w:numPr>
            </w:pPr>
            <w:r w:rsidRPr="00190AA9">
              <w:t>varies the total Charges payable during the Term (as forecast in the</w:t>
            </w:r>
            <w:r w:rsidRPr="00D00D9A">
              <w:t xml:space="preserve"> latest Financial Model) by:</w:t>
            </w:r>
          </w:p>
          <w:p w14:paraId="19222618" w14:textId="77777777" w:rsidR="00F67E9E" w:rsidRPr="00D00D9A" w:rsidRDefault="00F67E9E" w:rsidP="00F13933">
            <w:pPr>
              <w:pStyle w:val="DefinitionListLevel1"/>
              <w:numPr>
                <w:ilvl w:val="1"/>
                <w:numId w:val="78"/>
              </w:numPr>
              <w:ind w:left="1080"/>
              <w:rPr>
                <w:rFonts w:cs="Arial"/>
              </w:rPr>
            </w:pPr>
            <w:r w:rsidRPr="00D00D9A">
              <w:rPr>
                <w:rFonts w:cs="Arial"/>
              </w:rPr>
              <w:t>5% or more; or</w:t>
            </w:r>
          </w:p>
          <w:p w14:paraId="4E1C2249" w14:textId="77777777" w:rsidR="00F67E9E" w:rsidRPr="00D00D9A" w:rsidRDefault="00F67E9E" w:rsidP="00F13933">
            <w:pPr>
              <w:pStyle w:val="DefinitionListLevel1"/>
              <w:numPr>
                <w:ilvl w:val="1"/>
                <w:numId w:val="78"/>
              </w:numPr>
              <w:ind w:left="1080"/>
              <w:rPr>
                <w:rFonts w:cs="Arial"/>
              </w:rPr>
            </w:pPr>
            <w:r w:rsidRPr="00D00D9A">
              <w:rPr>
                <w:rFonts w:cs="Arial"/>
              </w:rPr>
              <w:t>£1m or more;</w:t>
            </w:r>
          </w:p>
        </w:tc>
      </w:tr>
      <w:tr w:rsidR="00F67E9E" w:rsidRPr="00D00D9A" w14:paraId="0EEAAB5F" w14:textId="77777777" w:rsidTr="0052486C">
        <w:tc>
          <w:tcPr>
            <w:tcW w:w="2835" w:type="dxa"/>
          </w:tcPr>
          <w:p w14:paraId="743EB452" w14:textId="77777777" w:rsidR="00F67E9E" w:rsidRPr="00D00D9A" w:rsidRDefault="00F67E9E" w:rsidP="0052486C">
            <w:pPr>
              <w:pStyle w:val="StdBodyTextBold"/>
              <w:rPr>
                <w:rFonts w:cs="Arial"/>
              </w:rPr>
            </w:pPr>
            <w:r>
              <w:rPr>
                <w:rFonts w:cs="Arial"/>
              </w:rPr>
              <w:lastRenderedPageBreak/>
              <w:t>“</w:t>
            </w:r>
            <w:r w:rsidRPr="00D00D9A">
              <w:rPr>
                <w:rFonts w:cs="Arial"/>
              </w:rPr>
              <w:t>Onerous Contract</w:t>
            </w:r>
            <w:r>
              <w:rPr>
                <w:rFonts w:cs="Arial"/>
              </w:rPr>
              <w:t>”</w:t>
            </w:r>
          </w:p>
        </w:tc>
        <w:tc>
          <w:tcPr>
            <w:tcW w:w="6803" w:type="dxa"/>
          </w:tcPr>
          <w:p w14:paraId="2498A47A" w14:textId="77777777" w:rsidR="00F67E9E" w:rsidRPr="00D00D9A" w:rsidRDefault="00F67E9E" w:rsidP="0052486C">
            <w:pPr>
              <w:pStyle w:val="StdBodyText"/>
              <w:rPr>
                <w:rFonts w:cs="Arial"/>
              </w:rPr>
            </w:pPr>
            <w:r w:rsidRPr="00D00D9A">
              <w:rPr>
                <w:rFonts w:cs="Arial"/>
              </w:rPr>
              <w:t>a contract in which the unavoidable costs of meeting the obligations under the contract exceed the economic benefits expected to be received under it, as defined under International Accounting Standard 37;</w:t>
            </w:r>
          </w:p>
        </w:tc>
      </w:tr>
      <w:tr w:rsidR="00F67E9E" w:rsidRPr="00D00D9A" w14:paraId="33F0B534" w14:textId="77777777" w:rsidTr="0052486C">
        <w:tc>
          <w:tcPr>
            <w:tcW w:w="2835" w:type="dxa"/>
          </w:tcPr>
          <w:p w14:paraId="5BBD2730" w14:textId="77777777" w:rsidR="00F67E9E" w:rsidRPr="00D00D9A" w:rsidRDefault="00F67E9E" w:rsidP="0052486C">
            <w:pPr>
              <w:pStyle w:val="StdBodyTextBold"/>
              <w:rPr>
                <w:rFonts w:cs="Arial"/>
              </w:rPr>
            </w:pPr>
            <w:r>
              <w:rPr>
                <w:rFonts w:cs="Arial"/>
              </w:rPr>
              <w:t>“</w:t>
            </w:r>
            <w:r w:rsidRPr="00D00D9A">
              <w:rPr>
                <w:rFonts w:cs="Arial"/>
              </w:rPr>
              <w:t>Onerous Contract Report</w:t>
            </w:r>
            <w:r>
              <w:rPr>
                <w:rFonts w:cs="Arial"/>
              </w:rPr>
              <w:t>”</w:t>
            </w:r>
          </w:p>
        </w:tc>
        <w:tc>
          <w:tcPr>
            <w:tcW w:w="6803" w:type="dxa"/>
          </w:tcPr>
          <w:p w14:paraId="029547D0" w14:textId="138CF3B5" w:rsidR="00F67E9E" w:rsidRPr="00D00D9A" w:rsidRDefault="00F67E9E" w:rsidP="0052486C">
            <w:pPr>
              <w:pStyle w:val="StdBodyText"/>
              <w:rPr>
                <w:rFonts w:cs="Arial"/>
              </w:rPr>
            </w:pPr>
            <w:r w:rsidRPr="00D00D9A">
              <w:rPr>
                <w:rFonts w:cs="Arial"/>
              </w:rPr>
              <w:t xml:space="preserve">means a report provided by the Supplier pursuant to </w:t>
            </w:r>
            <w:bookmarkStart w:id="1283" w:name="_9kR3WTr2CC69GeEnoewrqyD"/>
            <w:r w:rsidRPr="00D00D9A">
              <w:rPr>
                <w:rFonts w:cs="Arial"/>
              </w:rPr>
              <w:t xml:space="preserve">Paragraph </w:t>
            </w:r>
            <w:r w:rsidRPr="00D00D9A">
              <w:rPr>
                <w:rFonts w:cs="Arial"/>
              </w:rPr>
              <w:fldChar w:fldCharType="begin"/>
            </w:r>
            <w:r w:rsidRPr="00D00D9A">
              <w:rPr>
                <w:rFonts w:cs="Arial"/>
              </w:rPr>
              <w:instrText xml:space="preserve"> REF _Ref_ContractCompanion_9kb9Ur25A \w \n \h \t \* MERGEFORMAT </w:instrText>
            </w:r>
            <w:r w:rsidRPr="00D00D9A">
              <w:rPr>
                <w:rFonts w:cs="Arial"/>
              </w:rPr>
            </w:r>
            <w:r w:rsidRPr="00D00D9A">
              <w:rPr>
                <w:rFonts w:cs="Arial"/>
              </w:rPr>
              <w:fldChar w:fldCharType="separate"/>
            </w:r>
            <w:r w:rsidR="007A1473">
              <w:rPr>
                <w:rFonts w:cs="Arial"/>
              </w:rPr>
              <w:t>3</w:t>
            </w:r>
            <w:r w:rsidRPr="00D00D9A">
              <w:rPr>
                <w:rFonts w:cs="Arial"/>
              </w:rPr>
              <w:fldChar w:fldCharType="end"/>
            </w:r>
            <w:bookmarkEnd w:id="1283"/>
            <w:r w:rsidRPr="00D00D9A">
              <w:rPr>
                <w:rFonts w:cs="Arial"/>
              </w:rPr>
              <w:t xml:space="preserve"> of </w:t>
            </w:r>
            <w:r w:rsidRPr="00D00D9A">
              <w:rPr>
                <w:rFonts w:cs="Arial"/>
              </w:rPr>
              <w:fldChar w:fldCharType="begin"/>
            </w:r>
            <w:r w:rsidRPr="00D00D9A">
              <w:rPr>
                <w:rFonts w:cs="Arial"/>
              </w:rPr>
              <w:instrText xml:space="preserve"> REF Sch19PartA \h  \* MERGEFORMAT </w:instrText>
            </w:r>
            <w:r w:rsidRPr="00D00D9A">
              <w:rPr>
                <w:rFonts w:cs="Arial"/>
              </w:rPr>
            </w:r>
            <w:r w:rsidRPr="00D00D9A">
              <w:rPr>
                <w:rFonts w:cs="Arial"/>
              </w:rPr>
              <w:fldChar w:fldCharType="separate"/>
            </w:r>
            <w:r w:rsidR="007A1473" w:rsidRPr="007A1473">
              <w:rPr>
                <w:rFonts w:cs="Arial"/>
              </w:rPr>
              <w:t>Part A</w:t>
            </w:r>
            <w:r w:rsidRPr="00D00D9A">
              <w:rPr>
                <w:rFonts w:cs="Arial"/>
              </w:rPr>
              <w:fldChar w:fldCharType="end"/>
            </w:r>
            <w:r w:rsidRPr="00D00D9A">
              <w:rPr>
                <w:rFonts w:cs="Arial"/>
              </w:rPr>
              <w:t xml:space="preserve"> to this Schedule;</w:t>
            </w:r>
          </w:p>
        </w:tc>
      </w:tr>
      <w:tr w:rsidR="00F67E9E" w:rsidRPr="00D00D9A" w14:paraId="7BA5200D" w14:textId="77777777" w:rsidTr="0052486C">
        <w:tc>
          <w:tcPr>
            <w:tcW w:w="2835" w:type="dxa"/>
          </w:tcPr>
          <w:p w14:paraId="3464600A" w14:textId="77777777" w:rsidR="00F67E9E" w:rsidRPr="00D00D9A" w:rsidRDefault="00F67E9E" w:rsidP="0052486C">
            <w:pPr>
              <w:pStyle w:val="StdBodyTextBold"/>
              <w:rPr>
                <w:rFonts w:cs="Arial"/>
              </w:rPr>
            </w:pPr>
            <w:r>
              <w:rPr>
                <w:rFonts w:cs="Arial"/>
              </w:rPr>
              <w:t>“</w:t>
            </w:r>
            <w:r w:rsidRPr="00D00D9A">
              <w:rPr>
                <w:rFonts w:cs="Arial"/>
              </w:rPr>
              <w:t>Open Book Data</w:t>
            </w:r>
            <w:r>
              <w:rPr>
                <w:rFonts w:cs="Arial"/>
              </w:rPr>
              <w:t>”</w:t>
            </w:r>
          </w:p>
        </w:tc>
        <w:tc>
          <w:tcPr>
            <w:tcW w:w="6803" w:type="dxa"/>
          </w:tcPr>
          <w:p w14:paraId="09C52971" w14:textId="77777777" w:rsidR="00F67E9E" w:rsidRPr="00D00D9A" w:rsidRDefault="00F67E9E" w:rsidP="0052486C">
            <w:pPr>
              <w:pStyle w:val="StdBodyText"/>
              <w:rPr>
                <w:rFonts w:cs="Arial"/>
              </w:rPr>
            </w:pPr>
            <w:r w:rsidRPr="00D00D9A">
              <w:rPr>
                <w:rFonts w:cs="Arial"/>
              </w:rPr>
              <w:t>complete and accurate financial and non-financial information which is sufficient to enable the Authority to verify the Charges already paid or payable and Charges forecast to be paid during the remainder of the Term, including details and all assumptions relating to:</w:t>
            </w:r>
          </w:p>
          <w:p w14:paraId="6BD3844D" w14:textId="77777777" w:rsidR="00F67E9E" w:rsidRPr="00190AA9" w:rsidRDefault="00F67E9E" w:rsidP="00F13933">
            <w:pPr>
              <w:pStyle w:val="DefinitionList"/>
              <w:numPr>
                <w:ilvl w:val="0"/>
                <w:numId w:val="99"/>
              </w:numPr>
            </w:pPr>
            <w:r w:rsidRPr="00190AA9">
              <w:t xml:space="preserve">the Supplier’s Costs broken down against each Service and/or Deliverable, including actual capital expenditure (including capital replacement costs) and the unit cost and total actual costs of all hardware and software; </w:t>
            </w:r>
          </w:p>
          <w:p w14:paraId="2C877D47" w14:textId="77777777" w:rsidR="00F67E9E" w:rsidRPr="00D00D9A" w:rsidRDefault="00F67E9E" w:rsidP="00F13933">
            <w:pPr>
              <w:pStyle w:val="DefinitionList"/>
              <w:numPr>
                <w:ilvl w:val="0"/>
                <w:numId w:val="78"/>
              </w:numPr>
            </w:pPr>
            <w:r w:rsidRPr="00190AA9">
              <w:t>operating expenditure</w:t>
            </w:r>
            <w:r w:rsidRPr="00D00D9A">
              <w:t xml:space="preserve"> relating to the provision of the Services including an analysis showing:</w:t>
            </w:r>
          </w:p>
          <w:p w14:paraId="64DDD7A5" w14:textId="77777777" w:rsidR="00F67E9E" w:rsidRPr="00D00D9A" w:rsidRDefault="00F67E9E" w:rsidP="00F13933">
            <w:pPr>
              <w:pStyle w:val="DefinitionListLevel1"/>
              <w:numPr>
                <w:ilvl w:val="1"/>
                <w:numId w:val="78"/>
              </w:numPr>
              <w:ind w:left="1080"/>
              <w:rPr>
                <w:rFonts w:cs="Arial"/>
              </w:rPr>
            </w:pPr>
            <w:r w:rsidRPr="00D00D9A">
              <w:rPr>
                <w:rFonts w:cs="Arial"/>
              </w:rPr>
              <w:t xml:space="preserve">the unit costs and quantity of consumables and bought-in services; </w:t>
            </w:r>
          </w:p>
          <w:p w14:paraId="2DA6C064" w14:textId="77777777" w:rsidR="00F67E9E" w:rsidRPr="00D00D9A" w:rsidRDefault="00F67E9E" w:rsidP="00F13933">
            <w:pPr>
              <w:pStyle w:val="DefinitionListLevel1"/>
              <w:numPr>
                <w:ilvl w:val="1"/>
                <w:numId w:val="78"/>
              </w:numPr>
              <w:ind w:left="1080"/>
              <w:rPr>
                <w:rFonts w:cs="Arial"/>
              </w:rPr>
            </w:pPr>
            <w:r w:rsidRPr="00D00D9A">
              <w:rPr>
                <w:rFonts w:cs="Arial"/>
              </w:rPr>
              <w:t xml:space="preserve">manpower resources broken down into the number and grade/role of all Supplier Personnel (free of any contingency) together with a list of agreed rates against each manpower grade; </w:t>
            </w:r>
          </w:p>
          <w:p w14:paraId="712F81EF" w14:textId="77777777" w:rsidR="00F67E9E" w:rsidRPr="00D00D9A" w:rsidRDefault="00F67E9E" w:rsidP="00F13933">
            <w:pPr>
              <w:pStyle w:val="DefinitionListLevel1"/>
              <w:numPr>
                <w:ilvl w:val="1"/>
                <w:numId w:val="78"/>
              </w:numPr>
              <w:ind w:left="1080"/>
              <w:rPr>
                <w:rFonts w:cs="Arial"/>
              </w:rPr>
            </w:pPr>
            <w:r w:rsidRPr="00D00D9A">
              <w:rPr>
                <w:rFonts w:cs="Arial"/>
              </w:rPr>
              <w:t>a list of Costs underpinning those rates for each manpower grade, being the agreed rate less the Supplier</w:t>
            </w:r>
            <w:r>
              <w:rPr>
                <w:rFonts w:cs="Arial"/>
              </w:rPr>
              <w:t>’</w:t>
            </w:r>
            <w:r w:rsidRPr="00D00D9A">
              <w:rPr>
                <w:rFonts w:cs="Arial"/>
              </w:rPr>
              <w:t>s Profit Margin; and</w:t>
            </w:r>
          </w:p>
          <w:p w14:paraId="4698A436" w14:textId="77777777" w:rsidR="00F67E9E" w:rsidRPr="00D00D9A" w:rsidRDefault="00F67E9E" w:rsidP="00F13933">
            <w:pPr>
              <w:pStyle w:val="DefinitionListLevel1"/>
              <w:numPr>
                <w:ilvl w:val="1"/>
                <w:numId w:val="78"/>
              </w:numPr>
              <w:ind w:left="1080"/>
              <w:rPr>
                <w:rFonts w:cs="Arial"/>
              </w:rPr>
            </w:pPr>
            <w:r w:rsidRPr="00D00D9A">
              <w:rPr>
                <w:rFonts w:cs="Arial"/>
              </w:rPr>
              <w:t>Reimbursable Expenses;</w:t>
            </w:r>
          </w:p>
          <w:p w14:paraId="68E08528" w14:textId="77777777" w:rsidR="00F67E9E" w:rsidRPr="00190AA9" w:rsidRDefault="00F67E9E" w:rsidP="00F13933">
            <w:pPr>
              <w:pStyle w:val="DefinitionList"/>
              <w:numPr>
                <w:ilvl w:val="0"/>
                <w:numId w:val="78"/>
              </w:numPr>
            </w:pPr>
            <w:r w:rsidRPr="00190AA9">
              <w:t>Overheads;</w:t>
            </w:r>
          </w:p>
          <w:p w14:paraId="08612BB2" w14:textId="77777777" w:rsidR="00F67E9E" w:rsidRPr="00190AA9" w:rsidRDefault="00F67E9E" w:rsidP="00F13933">
            <w:pPr>
              <w:pStyle w:val="DefinitionList"/>
              <w:numPr>
                <w:ilvl w:val="0"/>
                <w:numId w:val="78"/>
              </w:numPr>
            </w:pPr>
            <w:r w:rsidRPr="00190AA9">
              <w:t>all interest, expenses and any other third party financing costs incurred in relation to the provision of the Services;</w:t>
            </w:r>
          </w:p>
          <w:p w14:paraId="12D60F2D" w14:textId="77777777" w:rsidR="00F67E9E" w:rsidRPr="00D00D9A" w:rsidRDefault="00F67E9E" w:rsidP="00F13933">
            <w:pPr>
              <w:pStyle w:val="DefinitionList"/>
              <w:numPr>
                <w:ilvl w:val="0"/>
                <w:numId w:val="78"/>
              </w:numPr>
              <w:rPr>
                <w:rFonts w:cs="Arial"/>
              </w:rPr>
            </w:pPr>
            <w:r w:rsidRPr="00190AA9">
              <w:t>the Supplier</w:t>
            </w:r>
            <w:r w:rsidRPr="00D00D9A">
              <w:rPr>
                <w:rFonts w:cs="Arial"/>
              </w:rPr>
              <w:t xml:space="preserve"> Profit achieved over the Term and on an annual basis;</w:t>
            </w:r>
          </w:p>
          <w:p w14:paraId="3910FE13" w14:textId="77777777" w:rsidR="00F67E9E" w:rsidRPr="00190AA9" w:rsidRDefault="00F67E9E" w:rsidP="00F13933">
            <w:pPr>
              <w:pStyle w:val="DefinitionList"/>
              <w:numPr>
                <w:ilvl w:val="0"/>
                <w:numId w:val="78"/>
              </w:numPr>
            </w:pPr>
            <w:r w:rsidRPr="00D00D9A">
              <w:lastRenderedPageBreak/>
              <w:t xml:space="preserve">confirmation that all methods of Cost apportionment and Overhead allocation are consistent with and not more </w:t>
            </w:r>
            <w:r w:rsidRPr="00190AA9">
              <w:t>onerous than such methods applied generally by the Supplier;</w:t>
            </w:r>
          </w:p>
          <w:p w14:paraId="5BEFF8BD" w14:textId="77777777" w:rsidR="00F67E9E" w:rsidRPr="00190AA9" w:rsidRDefault="00F67E9E" w:rsidP="00F13933">
            <w:pPr>
              <w:pStyle w:val="DefinitionList"/>
              <w:numPr>
                <w:ilvl w:val="0"/>
                <w:numId w:val="78"/>
              </w:numPr>
            </w:pPr>
            <w:r w:rsidRPr="00190AA9">
              <w:t xml:space="preserve">an explanation of the type and value of risk and contingencies associated with the provision of the Services, including the amount of money attributed to each risk and/or contingency; and </w:t>
            </w:r>
          </w:p>
          <w:p w14:paraId="202662B3" w14:textId="77777777" w:rsidR="00F67E9E" w:rsidRPr="00D00D9A" w:rsidRDefault="00F67E9E" w:rsidP="00F13933">
            <w:pPr>
              <w:pStyle w:val="DefinitionList"/>
              <w:numPr>
                <w:ilvl w:val="0"/>
                <w:numId w:val="78"/>
              </w:numPr>
            </w:pPr>
            <w:r w:rsidRPr="00190AA9">
              <w:t>the actual</w:t>
            </w:r>
            <w:r w:rsidRPr="00D00D9A">
              <w:t xml:space="preserve"> Costs profile for each Service Period. </w:t>
            </w:r>
          </w:p>
        </w:tc>
      </w:tr>
    </w:tbl>
    <w:p w14:paraId="08CB8751" w14:textId="77777777" w:rsidR="00F67E9E" w:rsidRDefault="00F67E9E" w:rsidP="00F67E9E"/>
    <w:p w14:paraId="0312D3D2" w14:textId="77777777" w:rsidR="00F67E9E" w:rsidRDefault="00F67E9E" w:rsidP="00F67E9E">
      <w:pPr>
        <w:pStyle w:val="Heading2"/>
        <w:pageBreakBefore/>
      </w:pPr>
      <w:bookmarkStart w:id="1284" w:name="Sch19PartA"/>
      <w:bookmarkStart w:id="1285" w:name="_Ref_ContractCompanion_9kb9Us456"/>
      <w:bookmarkStart w:id="1286" w:name="_Toc145412792"/>
      <w:r w:rsidRPr="000038E2">
        <w:lastRenderedPageBreak/>
        <w:t>Part</w:t>
      </w:r>
      <w:r>
        <w:t> </w:t>
      </w:r>
      <w:r w:rsidRPr="00D00D9A">
        <w:t>A</w:t>
      </w:r>
      <w:bookmarkEnd w:id="1284"/>
      <w:r w:rsidRPr="00D00D9A">
        <w:t xml:space="preserve">: Financial Transparency Objectives </w:t>
      </w:r>
      <w:r>
        <w:t>a</w:t>
      </w:r>
      <w:r w:rsidRPr="00D00D9A">
        <w:t>nd Open Book Data</w:t>
      </w:r>
      <w:bookmarkEnd w:id="1285"/>
      <w:bookmarkEnd w:id="1286"/>
    </w:p>
    <w:p w14:paraId="0454C4E8" w14:textId="77777777" w:rsidR="00F67E9E" w:rsidRPr="00D00D9A" w:rsidRDefault="00F67E9E" w:rsidP="00F13933">
      <w:pPr>
        <w:pStyle w:val="Numbered1"/>
        <w:numPr>
          <w:ilvl w:val="0"/>
          <w:numId w:val="100"/>
        </w:numPr>
      </w:pPr>
      <w:bookmarkStart w:id="1287" w:name="_Ref_ContractCompanion_9kb9Ur257"/>
      <w:r w:rsidRPr="00190AA9">
        <w:t>Financial</w:t>
      </w:r>
      <w:r w:rsidRPr="00D00D9A">
        <w:t xml:space="preserve"> Transparency Objectives</w:t>
      </w:r>
      <w:bookmarkEnd w:id="1287"/>
    </w:p>
    <w:p w14:paraId="4312B2CD" w14:textId="77777777" w:rsidR="00F67E9E" w:rsidRPr="00D00D9A" w:rsidRDefault="00F67E9E" w:rsidP="00F67E9E">
      <w:pPr>
        <w:pStyle w:val="Numbered11"/>
      </w:pPr>
      <w:r w:rsidRPr="00D00D9A">
        <w:t xml:space="preserve">The Supplier acknowledges that the provisions of this Schedule are designed (inter alia) to facilitate, </w:t>
      </w:r>
      <w:r w:rsidRPr="00190AA9">
        <w:t>and</w:t>
      </w:r>
      <w:r w:rsidRPr="00D00D9A">
        <w:t xml:space="preserve"> the Supplier shall co-operate with the Authority in order to achieve, the following objectives: </w:t>
      </w:r>
    </w:p>
    <w:p w14:paraId="3F624DFC" w14:textId="77777777" w:rsidR="00F67E9E" w:rsidRPr="00D00D9A" w:rsidRDefault="00F67E9E" w:rsidP="00F67E9E">
      <w:pPr>
        <w:pStyle w:val="Numbered111"/>
        <w:tabs>
          <w:tab w:val="clear" w:pos="1800"/>
          <w:tab w:val="num" w:pos="2160"/>
        </w:tabs>
      </w:pPr>
      <w:r w:rsidRPr="00D00D9A">
        <w:rPr>
          <w:rStyle w:val="StdBodyTextBoldChar"/>
          <w:rFonts w:eastAsiaTheme="majorEastAsia" w:cs="Arial"/>
        </w:rPr>
        <w:t>Understanding the</w:t>
      </w:r>
      <w:r w:rsidRPr="00D00D9A">
        <w:t xml:space="preserve"> </w:t>
      </w:r>
      <w:r w:rsidRPr="00D00D9A">
        <w:rPr>
          <w:rStyle w:val="StdBodyTextBoldChar"/>
          <w:rFonts w:eastAsiaTheme="majorEastAsia" w:cs="Arial"/>
        </w:rPr>
        <w:t>Charges</w:t>
      </w:r>
    </w:p>
    <w:p w14:paraId="3956A034" w14:textId="77777777" w:rsidR="00F67E9E" w:rsidRPr="00190AA9" w:rsidRDefault="00F67E9E" w:rsidP="00F67E9E">
      <w:pPr>
        <w:pStyle w:val="Numbered111a"/>
      </w:pPr>
      <w:r w:rsidRPr="00D00D9A">
        <w:t xml:space="preserve">for the Authority to understand any payment sought from it by the Supplier including an analysis of the Costs, Overhead recoveries (where relevant), time spent by Supplier Personnel in providing the Services and the Supplier Profit </w:t>
      </w:r>
      <w:r w:rsidRPr="00190AA9">
        <w:t xml:space="preserve">Margin; </w:t>
      </w:r>
    </w:p>
    <w:p w14:paraId="4B4CB4B2" w14:textId="77777777" w:rsidR="00F67E9E" w:rsidRPr="00190AA9" w:rsidRDefault="00F67E9E" w:rsidP="00F67E9E">
      <w:pPr>
        <w:pStyle w:val="Numbered111a"/>
      </w:pPr>
      <w:r w:rsidRPr="00190AA9">
        <w:t xml:space="preserve">for both Parties to be able to understand the Financial Model and Cost forecasts and to have confidence that these are based on justifiable numbers and appropriate forecasting techniques; </w:t>
      </w:r>
    </w:p>
    <w:p w14:paraId="58BCE748" w14:textId="30C4DA7B" w:rsidR="00F67E9E" w:rsidRPr="00D00D9A" w:rsidRDefault="00F67E9E" w:rsidP="00F67E9E">
      <w:pPr>
        <w:pStyle w:val="Numbered111a"/>
      </w:pPr>
      <w:r w:rsidRPr="00190AA9">
        <w:t>to facilitate the</w:t>
      </w:r>
      <w:r w:rsidRPr="00D00D9A">
        <w:t xml:space="preserve"> use of Guaranteed Maximum Price with Target Cost pricing mechanisms (where relevant as referred to in </w:t>
      </w:r>
      <w:r>
        <w:fldChar w:fldCharType="begin"/>
      </w:r>
      <w:r>
        <w:instrText xml:space="preserve"> REF Schedule15 \h </w:instrText>
      </w:r>
      <w:r>
        <w:fldChar w:fldCharType="separate"/>
      </w:r>
      <w:r w:rsidR="007A1473" w:rsidRPr="005D0525">
        <w:t>Schedule</w:t>
      </w:r>
      <w:r w:rsidR="007A1473">
        <w:t> </w:t>
      </w:r>
      <w:r w:rsidR="007A1473" w:rsidRPr="005D0525">
        <w:t>15</w:t>
      </w:r>
      <w:r>
        <w:fldChar w:fldCharType="end"/>
      </w:r>
      <w:r>
        <w:t xml:space="preserve"> (</w:t>
      </w:r>
      <w:r w:rsidRPr="00B91437">
        <w:rPr>
          <w:i/>
          <w:iCs/>
        </w:rPr>
        <w:fldChar w:fldCharType="begin"/>
      </w:r>
      <w:r w:rsidRPr="00B91437">
        <w:rPr>
          <w:i/>
          <w:iCs/>
        </w:rPr>
        <w:instrText xml:space="preserve"> REF Schedule15Heading \h </w:instrText>
      </w:r>
      <w:r>
        <w:rPr>
          <w:i/>
          <w:iCs/>
        </w:rPr>
        <w:instrText xml:space="preserve"> \* MERGEFORMAT </w:instrText>
      </w:r>
      <w:r w:rsidRPr="00B91437">
        <w:rPr>
          <w:i/>
          <w:iCs/>
        </w:rPr>
      </w:r>
      <w:r w:rsidRPr="00B91437">
        <w:rPr>
          <w:i/>
          <w:iCs/>
        </w:rPr>
        <w:fldChar w:fldCharType="separate"/>
      </w:r>
      <w:r w:rsidR="007A1473" w:rsidRPr="007A1473">
        <w:rPr>
          <w:i/>
          <w:iCs/>
        </w:rPr>
        <w:t>Charges and Invoicing</w:t>
      </w:r>
      <w:r w:rsidRPr="00B91437">
        <w:rPr>
          <w:i/>
          <w:iCs/>
        </w:rPr>
        <w:fldChar w:fldCharType="end"/>
      </w:r>
      <w:r>
        <w:t>)</w:t>
      </w:r>
      <w:r w:rsidRPr="00D00D9A">
        <w:t>;</w:t>
      </w:r>
    </w:p>
    <w:p w14:paraId="62018E18" w14:textId="77777777" w:rsidR="00F67E9E" w:rsidRPr="00D00D9A" w:rsidRDefault="00F67E9E" w:rsidP="00F67E9E">
      <w:pPr>
        <w:pStyle w:val="Numbered111"/>
        <w:tabs>
          <w:tab w:val="clear" w:pos="1800"/>
          <w:tab w:val="num" w:pos="2160"/>
        </w:tabs>
      </w:pPr>
      <w:r w:rsidRPr="00D00D9A">
        <w:rPr>
          <w:rStyle w:val="StdBodyTextBoldChar"/>
          <w:rFonts w:eastAsiaTheme="majorEastAsia" w:cs="Arial"/>
        </w:rPr>
        <w:t>Agreeing the impact of</w:t>
      </w:r>
      <w:r w:rsidRPr="00D00D9A">
        <w:t xml:space="preserve"> </w:t>
      </w:r>
      <w:r w:rsidRPr="00D00D9A">
        <w:rPr>
          <w:rStyle w:val="StdBodyTextBoldChar"/>
          <w:rFonts w:eastAsiaTheme="majorEastAsia" w:cs="Arial"/>
        </w:rPr>
        <w:t>Change</w:t>
      </w:r>
    </w:p>
    <w:p w14:paraId="70B51FDC" w14:textId="77777777" w:rsidR="00F67E9E" w:rsidRPr="00190AA9" w:rsidRDefault="00F67E9E" w:rsidP="00F67E9E">
      <w:pPr>
        <w:pStyle w:val="Numbered111a"/>
      </w:pPr>
      <w:r w:rsidRPr="00D00D9A">
        <w:t xml:space="preserve">for both Parties to agree the quantitative impact of any Changes that affect ongoing costs and to identify how these could be mitigated and/or reflected in the </w:t>
      </w:r>
      <w:r w:rsidRPr="00190AA9">
        <w:t>Supplier’s Charges;</w:t>
      </w:r>
    </w:p>
    <w:p w14:paraId="6F941F66" w14:textId="77777777" w:rsidR="00F67E9E" w:rsidRPr="00D00D9A" w:rsidRDefault="00F67E9E" w:rsidP="00F67E9E">
      <w:pPr>
        <w:pStyle w:val="Numbered111a"/>
      </w:pPr>
      <w:r w:rsidRPr="00190AA9">
        <w:t>for both Parties to be able to review, address issues with and re</w:t>
      </w:r>
      <w:r w:rsidRPr="00190AA9">
        <w:noBreakHyphen/>
        <w:t>forecast progress</w:t>
      </w:r>
      <w:r w:rsidRPr="00D00D9A">
        <w:t xml:space="preserve"> in relation to the provision of the Services; </w:t>
      </w:r>
    </w:p>
    <w:p w14:paraId="20857C39" w14:textId="77777777" w:rsidR="00F67E9E" w:rsidRPr="00D00D9A" w:rsidRDefault="00F67E9E" w:rsidP="00F67E9E">
      <w:pPr>
        <w:pStyle w:val="Numbered111"/>
        <w:tabs>
          <w:tab w:val="clear" w:pos="1800"/>
          <w:tab w:val="num" w:pos="2160"/>
        </w:tabs>
      </w:pPr>
      <w:r w:rsidRPr="00D00D9A">
        <w:rPr>
          <w:rStyle w:val="StdBodyTextBoldChar"/>
          <w:rFonts w:eastAsiaTheme="majorEastAsia" w:cs="Arial"/>
        </w:rPr>
        <w:t>Continuous</w:t>
      </w:r>
      <w:r w:rsidRPr="00D00D9A">
        <w:t xml:space="preserve"> </w:t>
      </w:r>
      <w:r w:rsidRPr="00D00D9A">
        <w:rPr>
          <w:rStyle w:val="StdBodyTextBoldChar"/>
          <w:rFonts w:eastAsiaTheme="majorEastAsia" w:cs="Arial"/>
        </w:rPr>
        <w:t>improvement</w:t>
      </w:r>
    </w:p>
    <w:p w14:paraId="3BFB6D66" w14:textId="77777777" w:rsidR="00F67E9E" w:rsidRPr="00190AA9" w:rsidRDefault="00F67E9E" w:rsidP="00F67E9E">
      <w:pPr>
        <w:pStyle w:val="Numbered111a"/>
      </w:pPr>
      <w:r w:rsidRPr="00D00D9A">
        <w:t>for the Parties to challenge each other with ideas for efficiency and improvements</w:t>
      </w:r>
      <w:r w:rsidRPr="00190AA9">
        <w:t>; and</w:t>
      </w:r>
    </w:p>
    <w:p w14:paraId="37A0C1F7" w14:textId="77777777" w:rsidR="00F67E9E" w:rsidRPr="00D00D9A" w:rsidRDefault="00F67E9E" w:rsidP="00F67E9E">
      <w:pPr>
        <w:pStyle w:val="Numbered111a"/>
      </w:pPr>
      <w:r w:rsidRPr="00190AA9">
        <w:t>to enable the Authority to demonstrate that it is achieving value for money for the tax payer</w:t>
      </w:r>
      <w:r w:rsidRPr="00D00D9A">
        <w:t xml:space="preserve"> relative to current market prices,</w:t>
      </w:r>
    </w:p>
    <w:p w14:paraId="2D3DE764" w14:textId="77777777" w:rsidR="00F67E9E" w:rsidRPr="00D00D9A" w:rsidRDefault="00F67E9E" w:rsidP="00F67E9E">
      <w:pPr>
        <w:pStyle w:val="StdBodyText1"/>
        <w:rPr>
          <w:rFonts w:cs="Arial"/>
        </w:rPr>
      </w:pPr>
      <w:r w:rsidRPr="00D00D9A">
        <w:rPr>
          <w:rFonts w:cs="Arial"/>
        </w:rPr>
        <w:t xml:space="preserve">(together the </w:t>
      </w:r>
      <w:r>
        <w:rPr>
          <w:rFonts w:cs="Arial"/>
        </w:rPr>
        <w:t>“</w:t>
      </w:r>
      <w:r w:rsidRPr="00D00D9A">
        <w:rPr>
          <w:rStyle w:val="StdBodyTextBoldChar"/>
          <w:rFonts w:eastAsiaTheme="majorEastAsia" w:cs="Arial"/>
        </w:rPr>
        <w:t>Financial Transparency Objectives</w:t>
      </w:r>
      <w:r>
        <w:rPr>
          <w:rFonts w:cs="Arial"/>
        </w:rPr>
        <w:t>”</w:t>
      </w:r>
      <w:r w:rsidRPr="00D00D9A">
        <w:rPr>
          <w:rFonts w:cs="Arial"/>
        </w:rPr>
        <w:t>).</w:t>
      </w:r>
    </w:p>
    <w:p w14:paraId="3AE2A5D2" w14:textId="77777777" w:rsidR="00F67E9E" w:rsidRPr="00D00D9A" w:rsidRDefault="00F67E9E" w:rsidP="00F67E9E">
      <w:pPr>
        <w:pStyle w:val="Numbered1"/>
      </w:pPr>
      <w:r w:rsidRPr="00D00D9A">
        <w:t>Open Book Data</w:t>
      </w:r>
    </w:p>
    <w:p w14:paraId="24002F80" w14:textId="77777777" w:rsidR="00F67E9E" w:rsidRPr="00190AA9" w:rsidRDefault="00F67E9E" w:rsidP="00F67E9E">
      <w:pPr>
        <w:pStyle w:val="Numbered11"/>
      </w:pPr>
      <w:r w:rsidRPr="00D00D9A">
        <w:t xml:space="preserve">The Supplier acknowledges the importance to the Authority of the Financial Transparency Objectives </w:t>
      </w:r>
      <w:r w:rsidRPr="00190AA9">
        <w:t>and the Authority’s need for complete transparency in the way in which the Charges are calculated.</w:t>
      </w:r>
    </w:p>
    <w:p w14:paraId="362AFC8B" w14:textId="77777777" w:rsidR="00F67E9E" w:rsidRPr="00D00D9A" w:rsidRDefault="00F67E9E" w:rsidP="00F67E9E">
      <w:pPr>
        <w:pStyle w:val="Numbered11"/>
      </w:pPr>
      <w:r w:rsidRPr="00190AA9">
        <w:t>During the Term</w:t>
      </w:r>
      <w:r w:rsidRPr="00D00D9A">
        <w:t>, and for a period of 7 years following the end of the Term, the Supplier shall:</w:t>
      </w:r>
    </w:p>
    <w:p w14:paraId="2A273F6F" w14:textId="77777777" w:rsidR="00F67E9E" w:rsidRPr="00190AA9" w:rsidRDefault="00F67E9E" w:rsidP="00F67E9E">
      <w:pPr>
        <w:pStyle w:val="Numbered111"/>
      </w:pPr>
      <w:r w:rsidRPr="00D00D9A">
        <w:t xml:space="preserve">maintain </w:t>
      </w:r>
      <w:r w:rsidRPr="00190AA9">
        <w:t>and retain the Open Book Data; and</w:t>
      </w:r>
    </w:p>
    <w:p w14:paraId="3EB93E1F" w14:textId="77777777" w:rsidR="00F67E9E" w:rsidRPr="00D00D9A" w:rsidRDefault="00F67E9E" w:rsidP="00F67E9E">
      <w:pPr>
        <w:pStyle w:val="Numbered111"/>
      </w:pPr>
      <w:r w:rsidRPr="00190AA9">
        <w:t>disclose a</w:t>
      </w:r>
      <w:r w:rsidRPr="00D00D9A">
        <w:t>nd allow the Authority and/or the Audit Agents access to the Open Book Data.</w:t>
      </w:r>
    </w:p>
    <w:p w14:paraId="6390F8F6" w14:textId="77777777" w:rsidR="00F67E9E" w:rsidRPr="00D00D9A" w:rsidRDefault="00F67E9E" w:rsidP="00F67E9E">
      <w:pPr>
        <w:pStyle w:val="Numbered1"/>
      </w:pPr>
      <w:bookmarkStart w:id="1288" w:name="_Ref_ContractCompanion_9kb9Ur25A"/>
      <w:r w:rsidRPr="00D00D9A">
        <w:lastRenderedPageBreak/>
        <w:t xml:space="preserve">Onerous </w:t>
      </w:r>
      <w:r w:rsidRPr="00A64242">
        <w:t>Contracts</w:t>
      </w:r>
      <w:bookmarkEnd w:id="1288"/>
    </w:p>
    <w:p w14:paraId="4BABDD11" w14:textId="77777777" w:rsidR="00F67E9E" w:rsidRPr="00D00D9A" w:rsidRDefault="00F67E9E" w:rsidP="00F67E9E">
      <w:pPr>
        <w:pStyle w:val="Numbered11"/>
      </w:pPr>
      <w:r w:rsidRPr="00D00D9A">
        <w:t xml:space="preserve">If the Supplier publicly designates the Contract as an Onerous Contract (including where the Supplier has identified the Contract as such in any published accounts or public reports and announcements), the Supplier shall promptly notify the Authority of the designation and shall prepare and deliver to the Authority within the timescales agreed by the Parties (an in any event, no later than 2 months following the publication of the designation) a draft Onerous Contract Report which includes </w:t>
      </w:r>
      <w:r w:rsidRPr="00A64242">
        <w:t>the</w:t>
      </w:r>
      <w:r w:rsidRPr="00D00D9A">
        <w:t xml:space="preserve"> following:</w:t>
      </w:r>
    </w:p>
    <w:p w14:paraId="1B4CBE01" w14:textId="77777777" w:rsidR="00F67E9E" w:rsidRPr="00A64242" w:rsidRDefault="00F67E9E" w:rsidP="00F67E9E">
      <w:pPr>
        <w:pStyle w:val="Numbered111"/>
      </w:pPr>
      <w:r w:rsidRPr="00D00D9A">
        <w:t xml:space="preserve">An initial root cause analysis of the issues and circumstances which may have contributed to the </w:t>
      </w:r>
      <w:r w:rsidRPr="00A64242">
        <w:t>Contract being designated as an Onerous Contract;</w:t>
      </w:r>
    </w:p>
    <w:p w14:paraId="6A21E442" w14:textId="77777777" w:rsidR="00F67E9E" w:rsidRPr="00A64242" w:rsidRDefault="00F67E9E" w:rsidP="00F67E9E">
      <w:pPr>
        <w:pStyle w:val="Numbered111"/>
      </w:pPr>
      <w:r w:rsidRPr="00A64242">
        <w:t>An initial risk analysis and impact assessment on the provision of the Services as a result of the Supplier’s designation of the Contract as an Onerous Contract;</w:t>
      </w:r>
    </w:p>
    <w:p w14:paraId="313EA526" w14:textId="77777777" w:rsidR="00F67E9E" w:rsidRPr="00A64242" w:rsidRDefault="00F67E9E" w:rsidP="00F67E9E">
      <w:pPr>
        <w:pStyle w:val="Numbered111"/>
      </w:pPr>
      <w:r w:rsidRPr="00A64242">
        <w:t>the measures which the Supplier intends to put in place to minimise and mitigate any adverse impact on the provision on the Services;</w:t>
      </w:r>
    </w:p>
    <w:p w14:paraId="4B526F3B" w14:textId="77777777" w:rsidR="00F67E9E" w:rsidRPr="00D00D9A" w:rsidRDefault="00F67E9E" w:rsidP="00F67E9E">
      <w:pPr>
        <w:pStyle w:val="Numbered111"/>
      </w:pPr>
      <w:r w:rsidRPr="00A64242">
        <w:t>details of any other options which could be put in place to remove the designation of the Contract as an Onerous</w:t>
      </w:r>
      <w:r w:rsidRPr="00D00D9A">
        <w:t xml:space="preserve"> Contract and/or which could minimise and mitigate any adverse impact on the provision of the Services.</w:t>
      </w:r>
    </w:p>
    <w:p w14:paraId="34820EC3" w14:textId="77777777" w:rsidR="00F67E9E" w:rsidRPr="00A64242" w:rsidRDefault="00F67E9E" w:rsidP="00F67E9E">
      <w:pPr>
        <w:pStyle w:val="Numbered11"/>
      </w:pPr>
      <w:r w:rsidRPr="00D00D9A">
        <w:t xml:space="preserve">Following receipt of the Onerous Contract Report, the Authority shall review and comment on </w:t>
      </w:r>
      <w:r w:rsidRPr="00A64242">
        <w:t xml:space="preserve">the report as soon as reasonably practicable and the Parties shall cooperate in good faith to agree the final form of the report, which shall be submitted to the Programme Board, such final form report to be agreed no later than 1 month following the Authority’s receipt of the draft Onerous Contract Report. </w:t>
      </w:r>
    </w:p>
    <w:p w14:paraId="7C7D30FE" w14:textId="77777777" w:rsidR="00F67E9E" w:rsidRPr="00A64242" w:rsidRDefault="00F67E9E" w:rsidP="00F67E9E">
      <w:pPr>
        <w:pStyle w:val="Numbered11"/>
      </w:pPr>
      <w:r w:rsidRPr="00A64242">
        <w:t xml:space="preserve">The Programme Board shall meet within 14 </w:t>
      </w:r>
      <w:bookmarkStart w:id="1289" w:name="_9kR3WTr2AC7CCdZ1yqutK91KBz58uty70zol8DO"/>
      <w:r w:rsidRPr="00A64242">
        <w:t>Working Days of the final Onerous Contract Report</w:t>
      </w:r>
      <w:bookmarkEnd w:id="1289"/>
      <w:r w:rsidRPr="00A64242">
        <w:t xml:space="preserve"> being agreed by the Parties to discuss the contents of the report; and the Parties shall procure the attendance at the meeting of any key participants where reasonably required (including the Cabinet Office Markets and Suppliers team where the Supplier is a Strategic Supplier; representatives from any Key Sub-contractors/Monitored Suppliers; and the project’s senior responsible officers (or equivalent) for each Party).</w:t>
      </w:r>
    </w:p>
    <w:p w14:paraId="69CD7E86" w14:textId="77777777" w:rsidR="00F67E9E" w:rsidRDefault="00F67E9E" w:rsidP="00F67E9E">
      <w:pPr>
        <w:pStyle w:val="Numbered11"/>
      </w:pPr>
      <w:r w:rsidRPr="00A64242">
        <w:t>The Supplier</w:t>
      </w:r>
      <w:r w:rsidRPr="00D00D9A">
        <w:t xml:space="preserve"> acknowledges and agrees that the report is submitted to the Authority and Programme Board on an information only basis and the Authority and Programme Board</w:t>
      </w:r>
      <w:r>
        <w:t>’</w:t>
      </w:r>
      <w:r w:rsidRPr="00D00D9A">
        <w:t>s receipt of and comments in relation to the report shall not be deemed to be an acceptance or rejection of the report nor shall it relieve the Supplier of any liability under this Contract.</w:t>
      </w:r>
      <w:r>
        <w:t xml:space="preserve"> </w:t>
      </w:r>
      <w:r w:rsidRPr="00D00D9A">
        <w:t>Any Changes to be agreed by the Parties pursuant to the report shall be subject to the Change Control Procedure.</w:t>
      </w:r>
    </w:p>
    <w:p w14:paraId="0B7BDD6F" w14:textId="77777777" w:rsidR="00F67E9E" w:rsidRDefault="00F67E9E" w:rsidP="00F67E9E"/>
    <w:p w14:paraId="29EA9D61" w14:textId="77777777" w:rsidR="00F67E9E" w:rsidRDefault="00F67E9E" w:rsidP="00F67E9E">
      <w:pPr>
        <w:pStyle w:val="Heading2"/>
        <w:pageBreakBefore/>
      </w:pPr>
      <w:bookmarkStart w:id="1290" w:name="Sch19PartB"/>
      <w:bookmarkStart w:id="1291" w:name="_Ref41641519"/>
      <w:bookmarkStart w:id="1292" w:name="_Ref_ContractCompanion_9kb9Us454"/>
      <w:bookmarkStart w:id="1293" w:name="_Ref_ContractCompanion_9kb9Us7CD"/>
      <w:bookmarkStart w:id="1294" w:name="_Toc145412793"/>
      <w:r w:rsidRPr="000038E2">
        <w:lastRenderedPageBreak/>
        <w:t>Part</w:t>
      </w:r>
      <w:r>
        <w:t> </w:t>
      </w:r>
      <w:r w:rsidRPr="00D00D9A">
        <w:t>B</w:t>
      </w:r>
      <w:bookmarkEnd w:id="1290"/>
      <w:r w:rsidRPr="00D00D9A">
        <w:t>: Financial Reports</w:t>
      </w:r>
      <w:bookmarkEnd w:id="1291"/>
      <w:bookmarkEnd w:id="1292"/>
      <w:bookmarkEnd w:id="1293"/>
      <w:bookmarkEnd w:id="1294"/>
    </w:p>
    <w:p w14:paraId="28A4529A" w14:textId="77777777" w:rsidR="00F67E9E" w:rsidRPr="00D00D9A" w:rsidRDefault="00F67E9E" w:rsidP="00E1349E">
      <w:pPr>
        <w:pStyle w:val="Numbered1"/>
        <w:numPr>
          <w:ilvl w:val="0"/>
          <w:numId w:val="177"/>
        </w:numPr>
      </w:pPr>
      <w:bookmarkStart w:id="1295" w:name="_Ref_ContractCompanion_9kb9Ur249"/>
      <w:r w:rsidRPr="00D00D9A">
        <w:t xml:space="preserve">Provision </w:t>
      </w:r>
      <w:r>
        <w:t>o</w:t>
      </w:r>
      <w:r w:rsidRPr="00D00D9A">
        <w:t xml:space="preserve">f </w:t>
      </w:r>
      <w:r>
        <w:t>t</w:t>
      </w:r>
      <w:r w:rsidRPr="00D00D9A">
        <w:t>he Financial Reports</w:t>
      </w:r>
      <w:bookmarkEnd w:id="1295"/>
    </w:p>
    <w:p w14:paraId="4301B8E9" w14:textId="77777777" w:rsidR="00F67E9E" w:rsidRPr="00D00D9A" w:rsidRDefault="00F67E9E" w:rsidP="00F67E9E">
      <w:pPr>
        <w:pStyle w:val="Numbered11"/>
      </w:pPr>
      <w:bookmarkStart w:id="1296" w:name="_Ref_ContractCompanion_9kb9Ur24B"/>
      <w:r w:rsidRPr="00D00D9A">
        <w:t xml:space="preserve">The Supplier </w:t>
      </w:r>
      <w:r w:rsidRPr="00A64242">
        <w:t>shall</w:t>
      </w:r>
      <w:r w:rsidRPr="00D00D9A">
        <w:t xml:space="preserve"> provide</w:t>
      </w:r>
      <w:bookmarkEnd w:id="1296"/>
    </w:p>
    <w:p w14:paraId="341F89C1" w14:textId="77777777" w:rsidR="00F67E9E" w:rsidRPr="00A64242" w:rsidRDefault="00F67E9E" w:rsidP="00F67E9E">
      <w:pPr>
        <w:pStyle w:val="Numbered111"/>
      </w:pPr>
      <w:r w:rsidRPr="00D00D9A">
        <w:t xml:space="preserve">the </w:t>
      </w:r>
      <w:r w:rsidRPr="00A64242">
        <w:t>Contract Inception Report on or before the Effective Date; and</w:t>
      </w:r>
    </w:p>
    <w:p w14:paraId="38F4730D" w14:textId="77777777" w:rsidR="00F67E9E" w:rsidRPr="00D00D9A" w:rsidRDefault="00F67E9E" w:rsidP="00F67E9E">
      <w:pPr>
        <w:pStyle w:val="Numbered111"/>
      </w:pPr>
      <w:r w:rsidRPr="00A64242">
        <w:t>during the Term the following financial reports to the Authority, in the frequency specifie</w:t>
      </w:r>
      <w:r w:rsidRPr="00D00D9A">
        <w:t>d below:</w:t>
      </w:r>
    </w:p>
    <w:tbl>
      <w:tblPr>
        <w:tblStyle w:val="MSATable-header"/>
        <w:tblW w:w="0" w:type="auto"/>
        <w:tblInd w:w="680" w:type="dxa"/>
        <w:tblLook w:val="04A0" w:firstRow="1" w:lastRow="0" w:firstColumn="1" w:lastColumn="0" w:noHBand="0" w:noVBand="1"/>
      </w:tblPr>
      <w:tblGrid>
        <w:gridCol w:w="3685"/>
        <w:gridCol w:w="5669"/>
      </w:tblGrid>
      <w:tr w:rsidR="00F67E9E" w:rsidRPr="00996FED" w14:paraId="5A86A1AF"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3685" w:type="dxa"/>
            <w:vAlign w:val="bottom"/>
          </w:tcPr>
          <w:p w14:paraId="14EE8D92" w14:textId="77777777" w:rsidR="00F67E9E" w:rsidRPr="00996FED" w:rsidRDefault="00F67E9E" w:rsidP="0052486C">
            <w:pPr>
              <w:pStyle w:val="StdBodyTextBold"/>
              <w:spacing w:before="0" w:after="0"/>
              <w:rPr>
                <w:rFonts w:cs="Arial"/>
                <w:b/>
                <w:bCs/>
              </w:rPr>
            </w:pPr>
            <w:r w:rsidRPr="00996FED">
              <w:rPr>
                <w:rFonts w:cs="Arial"/>
                <w:b/>
                <w:bCs/>
              </w:rPr>
              <w:t xml:space="preserve">Financial Report </w:t>
            </w:r>
          </w:p>
        </w:tc>
        <w:tc>
          <w:tcPr>
            <w:tcW w:w="5669" w:type="dxa"/>
            <w:vAlign w:val="bottom"/>
          </w:tcPr>
          <w:p w14:paraId="1EB9D755" w14:textId="77777777" w:rsidR="00F67E9E" w:rsidRPr="00996FED" w:rsidRDefault="00F67E9E" w:rsidP="0052486C">
            <w:pPr>
              <w:pStyle w:val="StdBodyTextBold"/>
              <w:spacing w:before="0" w:after="0"/>
              <w:rPr>
                <w:rFonts w:cs="Arial"/>
                <w:b/>
                <w:bCs/>
              </w:rPr>
            </w:pPr>
            <w:r w:rsidRPr="00996FED">
              <w:rPr>
                <w:rFonts w:cs="Arial"/>
                <w:b/>
                <w:bCs/>
              </w:rPr>
              <w:t>When to be provided</w:t>
            </w:r>
          </w:p>
        </w:tc>
      </w:tr>
      <w:tr w:rsidR="00F67E9E" w:rsidRPr="00D00D9A" w14:paraId="2E8368E1" w14:textId="77777777" w:rsidTr="0052486C">
        <w:tc>
          <w:tcPr>
            <w:tcW w:w="3685" w:type="dxa"/>
          </w:tcPr>
          <w:p w14:paraId="79F58D30" w14:textId="77777777" w:rsidR="00F67E9E" w:rsidRPr="00F445CA" w:rsidRDefault="00F67E9E" w:rsidP="0052486C">
            <w:pPr>
              <w:pStyle w:val="StdBodyTextBold"/>
              <w:spacing w:before="0" w:after="0"/>
              <w:rPr>
                <w:rFonts w:cs="Arial"/>
                <w:b w:val="0"/>
                <w:bCs/>
              </w:rPr>
            </w:pPr>
            <w:r w:rsidRPr="00F445CA">
              <w:rPr>
                <w:rFonts w:cs="Arial"/>
                <w:b w:val="0"/>
                <w:bCs/>
              </w:rPr>
              <w:t xml:space="preserve">Contract Amendment Report </w:t>
            </w:r>
          </w:p>
        </w:tc>
        <w:tc>
          <w:tcPr>
            <w:tcW w:w="5669" w:type="dxa"/>
          </w:tcPr>
          <w:p w14:paraId="5C3669BD" w14:textId="77777777" w:rsidR="00F67E9E" w:rsidRPr="00D00D9A" w:rsidRDefault="00F67E9E" w:rsidP="0052486C">
            <w:pPr>
              <w:pStyle w:val="StdBodyText2"/>
              <w:spacing w:before="0" w:after="0"/>
              <w:ind w:left="0"/>
              <w:rPr>
                <w:rFonts w:cs="Arial"/>
              </w:rPr>
            </w:pPr>
            <w:r w:rsidRPr="00D00D9A">
              <w:rPr>
                <w:rFonts w:cs="Arial"/>
              </w:rPr>
              <w:t xml:space="preserve">Within 1 month of a Material Change being agreed between the Supplier and the Authority </w:t>
            </w:r>
          </w:p>
        </w:tc>
      </w:tr>
      <w:tr w:rsidR="00F67E9E" w:rsidRPr="00D00D9A" w14:paraId="07EB925F" w14:textId="77777777" w:rsidTr="0052486C">
        <w:tc>
          <w:tcPr>
            <w:tcW w:w="3685" w:type="dxa"/>
          </w:tcPr>
          <w:p w14:paraId="025B44D4" w14:textId="77777777" w:rsidR="00F67E9E" w:rsidRPr="00F445CA" w:rsidRDefault="00F67E9E" w:rsidP="0052486C">
            <w:pPr>
              <w:pStyle w:val="StdBodyTextBold"/>
              <w:spacing w:before="0" w:after="0"/>
              <w:rPr>
                <w:rFonts w:cs="Arial"/>
                <w:b w:val="0"/>
                <w:bCs/>
              </w:rPr>
            </w:pPr>
            <w:r w:rsidRPr="00F445CA">
              <w:rPr>
                <w:rFonts w:cs="Arial"/>
                <w:b w:val="0"/>
                <w:bCs/>
              </w:rPr>
              <w:t xml:space="preserve">Quarterly Contract Report </w:t>
            </w:r>
          </w:p>
        </w:tc>
        <w:tc>
          <w:tcPr>
            <w:tcW w:w="5669" w:type="dxa"/>
          </w:tcPr>
          <w:p w14:paraId="026C1844" w14:textId="77777777" w:rsidR="00F67E9E" w:rsidRPr="00D00D9A" w:rsidRDefault="00F67E9E" w:rsidP="0052486C">
            <w:pPr>
              <w:pStyle w:val="StdBodyText2"/>
              <w:spacing w:before="0" w:after="0"/>
              <w:ind w:left="0"/>
              <w:rPr>
                <w:rFonts w:cs="Arial"/>
              </w:rPr>
            </w:pPr>
            <w:r w:rsidRPr="00D00D9A">
              <w:rPr>
                <w:rFonts w:cs="Arial"/>
              </w:rPr>
              <w:t xml:space="preserve">Within 1 month of the end of each Quarter </w:t>
            </w:r>
          </w:p>
        </w:tc>
      </w:tr>
      <w:tr w:rsidR="00F67E9E" w:rsidRPr="00D00D9A" w14:paraId="7934F1DF" w14:textId="77777777" w:rsidTr="0052486C">
        <w:tc>
          <w:tcPr>
            <w:tcW w:w="3685" w:type="dxa"/>
          </w:tcPr>
          <w:p w14:paraId="735AEA52" w14:textId="77777777" w:rsidR="00F67E9E" w:rsidRPr="00F445CA" w:rsidRDefault="00F67E9E" w:rsidP="0052486C">
            <w:pPr>
              <w:pStyle w:val="StdBodyTextBold"/>
              <w:spacing w:before="0" w:after="0"/>
              <w:rPr>
                <w:rFonts w:cs="Arial"/>
                <w:b w:val="0"/>
                <w:bCs/>
              </w:rPr>
            </w:pPr>
            <w:r w:rsidRPr="00F445CA">
              <w:rPr>
                <w:rFonts w:cs="Arial"/>
                <w:b w:val="0"/>
                <w:bCs/>
              </w:rPr>
              <w:t>Annual Contract Report</w:t>
            </w:r>
          </w:p>
        </w:tc>
        <w:tc>
          <w:tcPr>
            <w:tcW w:w="5669" w:type="dxa"/>
          </w:tcPr>
          <w:p w14:paraId="01DC3DA1" w14:textId="77777777" w:rsidR="00F67E9E" w:rsidRPr="00D00D9A" w:rsidRDefault="00F67E9E" w:rsidP="0052486C">
            <w:pPr>
              <w:pStyle w:val="StdBodyText2"/>
              <w:spacing w:before="0" w:after="0"/>
              <w:ind w:left="0"/>
              <w:rPr>
                <w:rFonts w:cs="Arial"/>
              </w:rPr>
            </w:pPr>
            <w:r w:rsidRPr="00D00D9A">
              <w:rPr>
                <w:rFonts w:cs="Arial"/>
              </w:rPr>
              <w:t>Within 1 month of the end of the Contract Year to which that report relates</w:t>
            </w:r>
          </w:p>
        </w:tc>
      </w:tr>
      <w:tr w:rsidR="00F67E9E" w:rsidRPr="00D00D9A" w14:paraId="48C31EA8" w14:textId="77777777" w:rsidTr="0052486C">
        <w:tc>
          <w:tcPr>
            <w:tcW w:w="3685" w:type="dxa"/>
          </w:tcPr>
          <w:p w14:paraId="7F2FF48B" w14:textId="77777777" w:rsidR="00F67E9E" w:rsidRPr="00F445CA" w:rsidRDefault="00F67E9E" w:rsidP="0052486C">
            <w:pPr>
              <w:pStyle w:val="StdBodyTextBold"/>
              <w:spacing w:before="0" w:after="0"/>
              <w:rPr>
                <w:rFonts w:cs="Arial"/>
                <w:b w:val="0"/>
                <w:bCs/>
              </w:rPr>
            </w:pPr>
            <w:r w:rsidRPr="00F445CA">
              <w:rPr>
                <w:rFonts w:cs="Arial"/>
                <w:b w:val="0"/>
                <w:bCs/>
              </w:rPr>
              <w:t>Final Reconciliation Report</w:t>
            </w:r>
          </w:p>
        </w:tc>
        <w:tc>
          <w:tcPr>
            <w:tcW w:w="5669" w:type="dxa"/>
          </w:tcPr>
          <w:p w14:paraId="6DC56511" w14:textId="77777777" w:rsidR="00F67E9E" w:rsidRPr="00D00D9A" w:rsidRDefault="00F67E9E" w:rsidP="0052486C">
            <w:pPr>
              <w:pStyle w:val="StdBodyText2"/>
              <w:spacing w:before="0" w:after="0"/>
              <w:ind w:left="0"/>
              <w:rPr>
                <w:rFonts w:cs="Arial"/>
              </w:rPr>
            </w:pPr>
            <w:r w:rsidRPr="00D00D9A">
              <w:rPr>
                <w:rFonts w:cs="Arial"/>
              </w:rPr>
              <w:t>Within 6 months after the end of the Term</w:t>
            </w:r>
          </w:p>
        </w:tc>
      </w:tr>
    </w:tbl>
    <w:p w14:paraId="007BF903" w14:textId="77777777" w:rsidR="00F67E9E" w:rsidRPr="00F445CA" w:rsidRDefault="00F67E9E" w:rsidP="00F67E9E">
      <w:pPr>
        <w:pStyle w:val="Table-followingparagraph"/>
      </w:pPr>
      <w:bookmarkStart w:id="1297" w:name="_Ref_ContractCompanion_9kb9Us6DH"/>
    </w:p>
    <w:p w14:paraId="2F0CA3BC" w14:textId="77777777" w:rsidR="00F67E9E" w:rsidRPr="00A64242" w:rsidRDefault="00F67E9E" w:rsidP="00F67E9E">
      <w:pPr>
        <w:pStyle w:val="Numbered11"/>
      </w:pPr>
      <w:bookmarkStart w:id="1298" w:name="_Ref141357827"/>
      <w:r w:rsidRPr="00D00D9A">
        <w:t xml:space="preserve">The Supplier shall provide to the Authority the Financial Reports in the same software </w:t>
      </w:r>
      <w:r w:rsidRPr="00A64242">
        <w:t>package (Microsoft Excel or Microsoft Word), layout and format as the blank templates which have been issued by the Authority to the Supplier on or before the Effective Date for the purposes of this Contract. The Authority shall be entitled to modify the template for any Financial Report by giving written notice to the Supplier, including a copy of the updated template.</w:t>
      </w:r>
      <w:bookmarkEnd w:id="1297"/>
      <w:bookmarkEnd w:id="1298"/>
    </w:p>
    <w:p w14:paraId="12F22D41" w14:textId="77777777" w:rsidR="00F67E9E" w:rsidRPr="00A64242" w:rsidRDefault="00F67E9E" w:rsidP="00F67E9E">
      <w:pPr>
        <w:pStyle w:val="Numbered11"/>
      </w:pPr>
      <w:r w:rsidRPr="00A64242">
        <w:t xml:space="preserve">A copy of each Financial Report shall be held by both the Authority and the Supplier. If there is a Dispute regarding a Financial Report, the Authority’s copy of the relevant Financial Report shall be authoritative. </w:t>
      </w:r>
    </w:p>
    <w:p w14:paraId="6FBEE04D" w14:textId="77777777" w:rsidR="00F67E9E" w:rsidRPr="00D00D9A" w:rsidRDefault="00F67E9E" w:rsidP="00F67E9E">
      <w:pPr>
        <w:pStyle w:val="Numbered11"/>
      </w:pPr>
      <w:r w:rsidRPr="00A64242">
        <w:t>Each Fin</w:t>
      </w:r>
      <w:r w:rsidRPr="00D00D9A">
        <w:t xml:space="preserve">ancial Report shall: </w:t>
      </w:r>
    </w:p>
    <w:p w14:paraId="08AFEFB0" w14:textId="77777777" w:rsidR="00F67E9E" w:rsidRPr="00A64242" w:rsidRDefault="00F67E9E" w:rsidP="00F67E9E">
      <w:pPr>
        <w:pStyle w:val="Numbered111"/>
      </w:pPr>
      <w:r w:rsidRPr="00D00D9A">
        <w:t xml:space="preserve">be </w:t>
      </w:r>
      <w:r w:rsidRPr="00A64242">
        <w:t>completed by the Supplier using reasonable skill and care;</w:t>
      </w:r>
    </w:p>
    <w:p w14:paraId="608AD8A0" w14:textId="77777777" w:rsidR="00F67E9E" w:rsidRPr="00A64242" w:rsidRDefault="00F67E9E" w:rsidP="00F67E9E">
      <w:pPr>
        <w:pStyle w:val="Numbered111"/>
      </w:pPr>
      <w:r w:rsidRPr="00A64242">
        <w:t>incorporate and use the same defined terms as are used in this Contract;</w:t>
      </w:r>
    </w:p>
    <w:p w14:paraId="49A559FA" w14:textId="77777777" w:rsidR="00F67E9E" w:rsidRPr="00A64242" w:rsidRDefault="00F67E9E" w:rsidP="00F67E9E">
      <w:pPr>
        <w:pStyle w:val="Numbered111"/>
      </w:pPr>
      <w:r w:rsidRPr="00A64242">
        <w:t>quote all monetary values in pounds sterling;</w:t>
      </w:r>
    </w:p>
    <w:p w14:paraId="67799C37" w14:textId="77777777" w:rsidR="00F67E9E" w:rsidRPr="00A64242" w:rsidRDefault="00F67E9E" w:rsidP="00F67E9E">
      <w:pPr>
        <w:pStyle w:val="Numbered111"/>
      </w:pPr>
      <w:r w:rsidRPr="00A64242">
        <w:t>quote all Costs as exclusive of any VAT; and</w:t>
      </w:r>
    </w:p>
    <w:p w14:paraId="3F6AE65D" w14:textId="77777777" w:rsidR="00F67E9E" w:rsidRPr="00D00D9A" w:rsidRDefault="00F67E9E" w:rsidP="00F67E9E">
      <w:pPr>
        <w:pStyle w:val="Numbered111"/>
      </w:pPr>
      <w:r w:rsidRPr="00A64242">
        <w:t>quote</w:t>
      </w:r>
      <w:r w:rsidRPr="00D00D9A">
        <w:t xml:space="preserve"> all Costs and Charges based on current prices.</w:t>
      </w:r>
    </w:p>
    <w:p w14:paraId="03144559" w14:textId="77777777" w:rsidR="00F67E9E" w:rsidRPr="00D00D9A" w:rsidRDefault="00F67E9E" w:rsidP="00F67E9E">
      <w:pPr>
        <w:pStyle w:val="Numbered11"/>
      </w:pPr>
      <w:r w:rsidRPr="00D00D9A">
        <w:t>Each Annual Contract Report and the Final Reconciliation Report shall be certified by the Supplier</w:t>
      </w:r>
      <w:r>
        <w:t>’</w:t>
      </w:r>
      <w:r w:rsidRPr="00D00D9A">
        <w:t>s Chief Financial Officer or Director of Finance (or equivalent as agreed in writing by the Authority in advance of issue of the relevant Financial Report), acting with express authority, as:</w:t>
      </w:r>
    </w:p>
    <w:p w14:paraId="3BB5065A" w14:textId="77777777" w:rsidR="00F67E9E" w:rsidRPr="00A64242" w:rsidRDefault="00F67E9E" w:rsidP="00F67E9E">
      <w:pPr>
        <w:pStyle w:val="Numbered111"/>
      </w:pPr>
      <w:r w:rsidRPr="00D00D9A">
        <w:t xml:space="preserve">being </w:t>
      </w:r>
      <w:r w:rsidRPr="00A64242">
        <w:t xml:space="preserve">accurate and not misleading; </w:t>
      </w:r>
    </w:p>
    <w:p w14:paraId="2AC18C2E" w14:textId="77777777" w:rsidR="00F67E9E" w:rsidRPr="00A64242" w:rsidRDefault="00F67E9E" w:rsidP="00F67E9E">
      <w:pPr>
        <w:pStyle w:val="Numbered111"/>
      </w:pPr>
      <w:r w:rsidRPr="00A64242">
        <w:t xml:space="preserve">having been prepared in conformity with generally accepted accounting principles within the United Kingdom; </w:t>
      </w:r>
    </w:p>
    <w:p w14:paraId="5E2B9740" w14:textId="77777777" w:rsidR="00F67E9E" w:rsidRPr="00A64242" w:rsidRDefault="00F67E9E" w:rsidP="00F67E9E">
      <w:pPr>
        <w:pStyle w:val="Numbered111"/>
      </w:pPr>
      <w:r w:rsidRPr="00A64242">
        <w:lastRenderedPageBreak/>
        <w:t>being a true and fair reflection of the information included within the Supplier’s management and statutory accounts; and</w:t>
      </w:r>
    </w:p>
    <w:p w14:paraId="49566A96" w14:textId="5B25EC99" w:rsidR="00F67E9E" w:rsidRPr="00D00D9A" w:rsidRDefault="00F67E9E" w:rsidP="00F67E9E">
      <w:pPr>
        <w:pStyle w:val="Numbered111"/>
      </w:pPr>
      <w:r w:rsidRPr="00A64242">
        <w:t>compliant with</w:t>
      </w:r>
      <w:r w:rsidRPr="00D00D9A">
        <w:t xml:space="preserve"> the requirements of </w:t>
      </w:r>
      <w:bookmarkStart w:id="1299" w:name="_9kMHG5YVtCIBBFDBHkTlXiC85zt3I9sx9"/>
      <w:r w:rsidRPr="00D00D9A">
        <w:t xml:space="preserve">Paragraph </w:t>
      </w:r>
      <w:r w:rsidRPr="00D00D9A">
        <w:fldChar w:fldCharType="begin"/>
      </w:r>
      <w:r w:rsidRPr="00D00D9A">
        <w:instrText xml:space="preserve"> REF _Ref_ContractCompanion_9kb9Us58E \n \h \t \* MERGEFORMAT </w:instrText>
      </w:r>
      <w:r w:rsidRPr="00D00D9A">
        <w:fldChar w:fldCharType="separate"/>
      </w:r>
      <w:r w:rsidR="007A1473">
        <w:t>1.6</w:t>
      </w:r>
      <w:r w:rsidRPr="00D00D9A">
        <w:fldChar w:fldCharType="end"/>
      </w:r>
      <w:bookmarkEnd w:id="1299"/>
      <w:r w:rsidRPr="00D00D9A">
        <w:t>.</w:t>
      </w:r>
    </w:p>
    <w:p w14:paraId="1343CB65" w14:textId="77777777" w:rsidR="00F67E9E" w:rsidRPr="00D00D9A" w:rsidRDefault="00F67E9E" w:rsidP="00F67E9E">
      <w:pPr>
        <w:pStyle w:val="Numbered11"/>
      </w:pPr>
      <w:bookmarkStart w:id="1300" w:name="_Ref_ContractCompanion_9kb9Us58E"/>
      <w:bookmarkStart w:id="1301" w:name="_9kR3WTrAG99DB9FiRjVgA63xr1G7qv7"/>
      <w:r w:rsidRPr="00D00D9A">
        <w:t>The Supplier shall:</w:t>
      </w:r>
      <w:bookmarkEnd w:id="1300"/>
      <w:bookmarkEnd w:id="1301"/>
    </w:p>
    <w:p w14:paraId="2ADE9F6F" w14:textId="77777777" w:rsidR="00F67E9E" w:rsidRPr="00A64242" w:rsidRDefault="00F67E9E" w:rsidP="00F67E9E">
      <w:pPr>
        <w:pStyle w:val="Numbered111"/>
      </w:pPr>
      <w:r w:rsidRPr="00D00D9A">
        <w:t xml:space="preserve">prepare each Financial Report using the same methodology as that used for the </w:t>
      </w:r>
      <w:r w:rsidRPr="00A64242">
        <w:t>Contract Inception Report;</w:t>
      </w:r>
    </w:p>
    <w:p w14:paraId="39973293" w14:textId="77777777" w:rsidR="00F67E9E" w:rsidRPr="00A64242" w:rsidRDefault="00F67E9E" w:rsidP="00F67E9E">
      <w:pPr>
        <w:pStyle w:val="Numbered111"/>
      </w:pPr>
      <w:r w:rsidRPr="00A64242">
        <w:t>to the extent permitted by Law, ensure that each Annual Contract Report and each Contract Amendment Report (if any) is a true and fair reflection of the Costs and Supplier Profit Margin forecast by the Supplier;</w:t>
      </w:r>
    </w:p>
    <w:p w14:paraId="787C15A7" w14:textId="77777777" w:rsidR="00F67E9E" w:rsidRPr="00A64242" w:rsidRDefault="00F67E9E" w:rsidP="00F67E9E">
      <w:pPr>
        <w:pStyle w:val="Numbered111"/>
      </w:pPr>
      <w:r w:rsidRPr="00A64242">
        <w:t>to the extent permitted by Law, ensure that the Final Reconciliation Report is a true and fair reflection of the Costs; and</w:t>
      </w:r>
    </w:p>
    <w:p w14:paraId="4B57A938" w14:textId="77777777" w:rsidR="00F67E9E" w:rsidRPr="00D00D9A" w:rsidRDefault="00F67E9E" w:rsidP="00F67E9E">
      <w:pPr>
        <w:pStyle w:val="Numbered111"/>
      </w:pPr>
      <w:r w:rsidRPr="00A64242">
        <w:t>not have any other internal financial model in relation to the Services inconsistent with the Financial</w:t>
      </w:r>
      <w:r w:rsidRPr="00D00D9A">
        <w:t xml:space="preserve"> Model.</w:t>
      </w:r>
    </w:p>
    <w:p w14:paraId="7D03A56D" w14:textId="77777777" w:rsidR="00F67E9E" w:rsidRPr="00A64242" w:rsidRDefault="00F67E9E" w:rsidP="00F67E9E">
      <w:pPr>
        <w:pStyle w:val="Numbered11"/>
      </w:pPr>
      <w:r w:rsidRPr="00D00D9A">
        <w:t xml:space="preserve">During the Term, and for a period of 18 months following the end of the Term, the Supplier shall make available the Financial Representative at reasonable times and on reasonable notice </w:t>
      </w:r>
      <w:r w:rsidRPr="00A64242">
        <w:t xml:space="preserve">to answer any queries that the Authority may have on any of the Financial Reports and/or Open Book Data. </w:t>
      </w:r>
    </w:p>
    <w:p w14:paraId="0FEE4FDF" w14:textId="77777777" w:rsidR="00F67E9E" w:rsidRPr="00D00D9A" w:rsidRDefault="00F67E9E" w:rsidP="00F67E9E">
      <w:pPr>
        <w:pStyle w:val="Numbered11"/>
      </w:pPr>
      <w:bookmarkStart w:id="1302" w:name="_Ref_ContractCompanion_9kb9Us598"/>
      <w:bookmarkStart w:id="1303" w:name="_9kR3WTrAG99DECHZEwzlXiC85zt31pr2D4B8DEA"/>
      <w:r w:rsidRPr="00A64242">
        <w:t>If the S</w:t>
      </w:r>
      <w:r w:rsidRPr="00D00D9A">
        <w:t>upplier becomes aware of the occurrence, or the likelihood of the future occurrence, of an event which will or may have a material effect on the following:</w:t>
      </w:r>
      <w:bookmarkEnd w:id="1302"/>
      <w:bookmarkEnd w:id="1303"/>
    </w:p>
    <w:p w14:paraId="447AC87F" w14:textId="77777777" w:rsidR="00F67E9E" w:rsidRPr="00A64242" w:rsidRDefault="00F67E9E" w:rsidP="00F67E9E">
      <w:pPr>
        <w:pStyle w:val="Numbered111"/>
      </w:pPr>
      <w:r w:rsidRPr="00D00D9A">
        <w:t xml:space="preserve">the Costs incurred (or those forecast to </w:t>
      </w:r>
      <w:r w:rsidRPr="00A64242">
        <w:t>be incurred) by the Supplier; and/or</w:t>
      </w:r>
    </w:p>
    <w:p w14:paraId="356A899A" w14:textId="77777777" w:rsidR="00F67E9E" w:rsidRPr="00D00D9A" w:rsidRDefault="00F67E9E" w:rsidP="00F67E9E">
      <w:pPr>
        <w:pStyle w:val="Numbered111"/>
      </w:pPr>
      <w:r w:rsidRPr="00A64242">
        <w:t>the forecast Charges for the remainder of the</w:t>
      </w:r>
      <w:r w:rsidRPr="00D00D9A">
        <w:t xml:space="preserve"> Term, </w:t>
      </w:r>
    </w:p>
    <w:p w14:paraId="532DAE23" w14:textId="6CE1BE4C" w:rsidR="00F67E9E" w:rsidRPr="00D00D9A" w:rsidRDefault="00F67E9E" w:rsidP="00F67E9E">
      <w:pPr>
        <w:pStyle w:val="StdBodyText2"/>
        <w:rPr>
          <w:rFonts w:cs="Arial"/>
        </w:rPr>
      </w:pPr>
      <w:r w:rsidRPr="00D00D9A">
        <w:rPr>
          <w:rFonts w:cs="Arial"/>
        </w:rPr>
        <w:t xml:space="preserve">the Supplier shall, as soon as practicable, notify the Authority in writing of the event in question detailing the actual or anticipated effect. For the avoidance of doubt, notifications provided in accordance with this </w:t>
      </w:r>
      <w:bookmarkStart w:id="1304" w:name="_9kMHG5YVtCIBBFGEJbGy1nZkEA71v53rt4F6DAF"/>
      <w:r w:rsidRPr="00D00D9A">
        <w:rPr>
          <w:rFonts w:cs="Arial"/>
        </w:rPr>
        <w:t xml:space="preserve">Paragraph </w:t>
      </w:r>
      <w:r w:rsidRPr="00D00D9A">
        <w:rPr>
          <w:rFonts w:cs="Arial"/>
        </w:rPr>
        <w:fldChar w:fldCharType="begin"/>
      </w:r>
      <w:r w:rsidRPr="00D00D9A">
        <w:rPr>
          <w:rFonts w:cs="Arial"/>
        </w:rPr>
        <w:instrText xml:space="preserve"> REF _Ref_ContractCompanion_9kb9Us598 \n \h \t \* MERGEFORMAT </w:instrText>
      </w:r>
      <w:r w:rsidRPr="00D00D9A">
        <w:rPr>
          <w:rFonts w:cs="Arial"/>
        </w:rPr>
      </w:r>
      <w:r w:rsidRPr="00D00D9A">
        <w:rPr>
          <w:rFonts w:cs="Arial"/>
        </w:rPr>
        <w:fldChar w:fldCharType="separate"/>
      </w:r>
      <w:r w:rsidR="007A1473">
        <w:rPr>
          <w:rFonts w:cs="Arial"/>
        </w:rPr>
        <w:t>1.8</w:t>
      </w:r>
      <w:r w:rsidRPr="00D00D9A">
        <w:rPr>
          <w:rFonts w:cs="Arial"/>
        </w:rPr>
        <w:fldChar w:fldCharType="end"/>
      </w:r>
      <w:bookmarkEnd w:id="1304"/>
      <w:r w:rsidRPr="00D00D9A">
        <w:rPr>
          <w:rFonts w:cs="Arial"/>
        </w:rPr>
        <w:t xml:space="preserve"> shall not have the effect of amending any provisions of this Contract.</w:t>
      </w:r>
    </w:p>
    <w:p w14:paraId="1A7E62B6" w14:textId="77777777" w:rsidR="00F67E9E" w:rsidRPr="00D00D9A" w:rsidRDefault="00F67E9E" w:rsidP="00F67E9E">
      <w:pPr>
        <w:pStyle w:val="Numbered1"/>
      </w:pPr>
      <w:bookmarkStart w:id="1305" w:name="_Ref41641505"/>
      <w:r w:rsidRPr="00D00D9A">
        <w:t>Financial Model</w:t>
      </w:r>
      <w:bookmarkEnd w:id="1305"/>
    </w:p>
    <w:p w14:paraId="7D9DAC77" w14:textId="77777777" w:rsidR="00F67E9E" w:rsidRPr="00D00D9A" w:rsidRDefault="00F67E9E" w:rsidP="00F67E9E">
      <w:pPr>
        <w:pStyle w:val="Numbered11"/>
      </w:pPr>
      <w:r w:rsidRPr="00D00D9A">
        <w:t>Following the delivery by the Supplier of each Annual Contract Report and any Contract Amendment Report:</w:t>
      </w:r>
    </w:p>
    <w:p w14:paraId="24EE54F5" w14:textId="77777777" w:rsidR="00F67E9E" w:rsidRPr="00D00D9A" w:rsidRDefault="00F67E9E" w:rsidP="00F67E9E">
      <w:pPr>
        <w:pStyle w:val="Numbered111"/>
      </w:pPr>
      <w:bookmarkStart w:id="1306" w:name="_9kR3WTrAG99DHGBkqykTKtD5r2H7qv793wCSO94"/>
      <w:bookmarkStart w:id="1307" w:name="_Ref_ContractCompanion_9kb9Us59B"/>
      <w:r w:rsidRPr="00D00D9A">
        <w:t>the Parties shall meet to discuss its contents within 10 Working Days of receipt (or such other period as the Parties shall agree).</w:t>
      </w:r>
      <w:bookmarkEnd w:id="1306"/>
      <w:r w:rsidRPr="00D00D9A">
        <w:t xml:space="preserve"> The Financial Representative shall attend the meeting; </w:t>
      </w:r>
      <w:bookmarkEnd w:id="1307"/>
    </w:p>
    <w:p w14:paraId="663DFB11" w14:textId="77777777" w:rsidR="00F67E9E" w:rsidRPr="00D00D9A" w:rsidRDefault="00F67E9E" w:rsidP="00F67E9E">
      <w:pPr>
        <w:pStyle w:val="Numbered111"/>
      </w:pPr>
      <w:r w:rsidRPr="00D00D9A">
        <w:t xml:space="preserve">the Supplier shall make appropriate Supplier Personnel and advisers available to discuss any variations between the relevant Financial Report and the Contract Inception Report or immediately preceding Annual Contract Report or Contract Amendment Report (as the case may be) and to explain such variations (with reference to supporting evidence) to the satisfaction of the Authority; and </w:t>
      </w:r>
    </w:p>
    <w:p w14:paraId="72D5A0A0" w14:textId="78A034EE" w:rsidR="00F67E9E" w:rsidRPr="00D00D9A" w:rsidRDefault="00F67E9E" w:rsidP="00F67E9E">
      <w:pPr>
        <w:pStyle w:val="Numbered111"/>
      </w:pPr>
      <w:bookmarkStart w:id="1308" w:name="_Ref_ContractCompanion_9kb9Us59E"/>
      <w:bookmarkStart w:id="1309" w:name="_9kR3WTrAG99EB9BmsykEPF3zA58PP9sx931HH3E"/>
      <w:r w:rsidRPr="00D00D9A">
        <w:t xml:space="preserve">the Authority shall either within 10 Working Days of the meeting referred to in </w:t>
      </w:r>
      <w:bookmarkStart w:id="1310" w:name="_9kMHG5YVtCIBBFJIDms0mVMvF7t4J9sx9B5yEUQ"/>
      <w:r w:rsidRPr="00D00D9A">
        <w:t xml:space="preserve">Paragraph </w:t>
      </w:r>
      <w:r w:rsidRPr="00D00D9A">
        <w:fldChar w:fldCharType="begin"/>
      </w:r>
      <w:r w:rsidRPr="00D00D9A">
        <w:instrText xml:space="preserve"> REF _Ref_ContractCompanion_9kb9Us59B \w \h \t \* MERGEFORMAT </w:instrText>
      </w:r>
      <w:r w:rsidRPr="00D00D9A">
        <w:fldChar w:fldCharType="separate"/>
      </w:r>
      <w:r w:rsidR="007A1473">
        <w:t>2.1.1</w:t>
      </w:r>
      <w:r w:rsidRPr="00D00D9A">
        <w:fldChar w:fldCharType="end"/>
      </w:r>
      <w:bookmarkEnd w:id="1310"/>
      <w:r w:rsidRPr="00D00D9A">
        <w:t xml:space="preserve"> notify the Supplier that:</w:t>
      </w:r>
      <w:bookmarkEnd w:id="1308"/>
      <w:bookmarkEnd w:id="1309"/>
    </w:p>
    <w:p w14:paraId="08801815" w14:textId="77777777" w:rsidR="00F67E9E" w:rsidRPr="00D00D9A" w:rsidRDefault="00F67E9E" w:rsidP="00F67E9E">
      <w:pPr>
        <w:pStyle w:val="Numbered111a"/>
      </w:pPr>
      <w:r w:rsidRPr="00D00D9A">
        <w:lastRenderedPageBreak/>
        <w:t>the relevant Financial Report contains errors or omissions or that further explanations or supporting information is required, in which event the Supplier shall make any necessary modifications to the Financial Report and/or supply the Authority with such supporting evidence as is required to address the Authority</w:t>
      </w:r>
      <w:r>
        <w:t>’</w:t>
      </w:r>
      <w:r w:rsidRPr="00D00D9A">
        <w:t>s concerns within 10 Working Days of such notification and the Authority shall following receipt of such amended Financial Report and/or supporting information, approve or reject such Financial Report; or</w:t>
      </w:r>
    </w:p>
    <w:p w14:paraId="35289E25" w14:textId="77777777" w:rsidR="00F67E9E" w:rsidRPr="00D00D9A" w:rsidRDefault="00F67E9E" w:rsidP="00F67E9E">
      <w:pPr>
        <w:pStyle w:val="Numbered111a"/>
      </w:pPr>
      <w:r w:rsidRPr="00D00D9A">
        <w:t>the Authority has approved the relevant Financial Report.</w:t>
      </w:r>
    </w:p>
    <w:p w14:paraId="7247B3FA" w14:textId="7B291980" w:rsidR="00F67E9E" w:rsidRPr="00A64242" w:rsidRDefault="00F67E9E" w:rsidP="00F67E9E">
      <w:pPr>
        <w:pStyle w:val="Numbered11"/>
      </w:pPr>
      <w:r w:rsidRPr="00D00D9A">
        <w:t xml:space="preserve">Following approval by the Authority of the relevant Financial Report in accordance with </w:t>
      </w:r>
      <w:bookmarkStart w:id="1311" w:name="_9kMHG5YVtCIBBGDBDou0mGRH51C7ARRBuzB53JJ"/>
      <w:r w:rsidRPr="00D00D9A">
        <w:t xml:space="preserve">Paragraph </w:t>
      </w:r>
      <w:r w:rsidRPr="00D00D9A">
        <w:fldChar w:fldCharType="begin"/>
      </w:r>
      <w:r w:rsidRPr="00D00D9A">
        <w:instrText xml:space="preserve"> REF _Ref_ContractCompanion_9kb9Us59E \w \h \t \* MERGEFORMAT </w:instrText>
      </w:r>
      <w:r w:rsidRPr="00D00D9A">
        <w:fldChar w:fldCharType="separate"/>
      </w:r>
      <w:r w:rsidR="007A1473">
        <w:t>2.1.3</w:t>
      </w:r>
      <w:r w:rsidRPr="00D00D9A">
        <w:fldChar w:fldCharType="end"/>
      </w:r>
      <w:bookmarkEnd w:id="1311"/>
      <w:r w:rsidRPr="00D00D9A">
        <w:t xml:space="preserve">, that version shall become, with effect from the date of such approval, the current approved version of the Financial Model for the purposes of this Contract, a version of which shall be held by both the Authority and the Supplier. If there is a Dispute regarding a </w:t>
      </w:r>
      <w:r w:rsidRPr="00A64242">
        <w:t>Financial Report, the Authority’s copy of the relevant Financial Report shall be authoritative.</w:t>
      </w:r>
    </w:p>
    <w:p w14:paraId="43D0630C" w14:textId="5CB663D8" w:rsidR="00F67E9E" w:rsidRPr="00D00D9A" w:rsidRDefault="00F67E9E" w:rsidP="00F67E9E">
      <w:pPr>
        <w:pStyle w:val="Numbered11"/>
      </w:pPr>
      <w:r w:rsidRPr="00A64242">
        <w:t>If the Parties are unable to reach agreement on any Financial Report within 30 Working Days</w:t>
      </w:r>
      <w:r w:rsidRPr="00D00D9A">
        <w:t xml:space="preserve"> of its receipt by the Authority, the matter shall be referred for determination in accordance with </w:t>
      </w:r>
      <w:r>
        <w:rPr>
          <w:rFonts w:cs="Arial"/>
        </w:rPr>
        <w:fldChar w:fldCharType="begin"/>
      </w:r>
      <w:r>
        <w:rPr>
          <w:rFonts w:cs="Arial"/>
        </w:rPr>
        <w:instrText xml:space="preserve"> REF Schedule23 \h </w:instrText>
      </w:r>
      <w:r>
        <w:rPr>
          <w:rFonts w:cs="Arial"/>
        </w:rPr>
      </w:r>
      <w:r>
        <w:rPr>
          <w:rFonts w:cs="Arial"/>
        </w:rPr>
        <w:fldChar w:fldCharType="separate"/>
      </w:r>
      <w:r w:rsidR="007A1473" w:rsidRPr="005D0525">
        <w:t>Schedule</w:t>
      </w:r>
      <w:r w:rsidR="007A1473">
        <w:t> </w:t>
      </w:r>
      <w:r w:rsidR="007A1473" w:rsidRPr="005D0525">
        <w:t>23</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Schedule23Heading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Dispute Resolution Procedure</w:t>
      </w:r>
      <w:r w:rsidRPr="002F30DB">
        <w:rPr>
          <w:rFonts w:cs="Arial"/>
          <w:i/>
          <w:iCs/>
        </w:rPr>
        <w:fldChar w:fldCharType="end"/>
      </w:r>
      <w:r>
        <w:rPr>
          <w:rFonts w:cs="Arial"/>
        </w:rPr>
        <w:t>)</w:t>
      </w:r>
      <w:r w:rsidRPr="00D00D9A">
        <w:t>.</w:t>
      </w:r>
    </w:p>
    <w:p w14:paraId="2C74AC7C" w14:textId="77777777" w:rsidR="00F67E9E" w:rsidRPr="00D00D9A" w:rsidRDefault="00F67E9E" w:rsidP="00F67E9E">
      <w:pPr>
        <w:pStyle w:val="Numbered1"/>
      </w:pPr>
      <w:r w:rsidRPr="00D00D9A">
        <w:t xml:space="preserve">Discussion </w:t>
      </w:r>
      <w:r>
        <w:t>o</w:t>
      </w:r>
      <w:r w:rsidRPr="00D00D9A">
        <w:t xml:space="preserve">f Quarterly Contract Reports </w:t>
      </w:r>
      <w:r>
        <w:t>a</w:t>
      </w:r>
      <w:r w:rsidRPr="00D00D9A">
        <w:t>nd Final Reconciliation Report</w:t>
      </w:r>
    </w:p>
    <w:p w14:paraId="1309E4D2" w14:textId="77777777" w:rsidR="00F67E9E" w:rsidRPr="00A64242" w:rsidRDefault="00F67E9E" w:rsidP="00F67E9E">
      <w:pPr>
        <w:pStyle w:val="Numbered11"/>
      </w:pPr>
      <w:r w:rsidRPr="00D00D9A">
        <w:t xml:space="preserve">Following the delivery by the Supplier of each Quarterly Contract Report, the Parties shall meet to discuss its contents within 10 Working Days of receipt (or such other period as the Parties </w:t>
      </w:r>
      <w:r w:rsidRPr="00A64242">
        <w:t>shall agree). The Financial Representative shall attend the meeting.</w:t>
      </w:r>
    </w:p>
    <w:p w14:paraId="7D9C029C" w14:textId="77777777" w:rsidR="00F67E9E" w:rsidRPr="00D00D9A" w:rsidRDefault="00F67E9E" w:rsidP="00F67E9E">
      <w:pPr>
        <w:pStyle w:val="Numbered11"/>
      </w:pPr>
      <w:r w:rsidRPr="00A64242">
        <w:t>Following the delivery by the Supplier of the Final Reconciliation Report, the Parties shall meet to di</w:t>
      </w:r>
      <w:r w:rsidRPr="00D00D9A">
        <w:t>scuss its contents within 10 Working Days of receipt (or such other period as the Parties shall agree). The Financial Representative shall attend the meeting.</w:t>
      </w:r>
    </w:p>
    <w:p w14:paraId="651D0EF5" w14:textId="77777777" w:rsidR="00F67E9E" w:rsidRPr="00D00D9A" w:rsidRDefault="00F67E9E" w:rsidP="00F67E9E">
      <w:pPr>
        <w:pStyle w:val="Numbered1"/>
      </w:pPr>
      <w:r w:rsidRPr="00D00D9A">
        <w:t>Key Sub</w:t>
      </w:r>
      <w:r>
        <w:t>-c</w:t>
      </w:r>
      <w:r w:rsidRPr="00D00D9A">
        <w:t>ontractors</w:t>
      </w:r>
    </w:p>
    <w:p w14:paraId="26D3C99D" w14:textId="77777777" w:rsidR="00F67E9E" w:rsidRPr="00D00D9A" w:rsidRDefault="00F67E9E" w:rsidP="00F67E9E">
      <w:pPr>
        <w:pStyle w:val="Numbered11"/>
      </w:pPr>
      <w:r w:rsidRPr="00D00D9A">
        <w:t xml:space="preserve">The Supplier shall, if requested by the Authority, provide (or procure the provision of) a report or reports including the level of information set out in the Financial Reports in relation to the costs and expenses to be incurred by any of its Key Sub-contractors. </w:t>
      </w:r>
    </w:p>
    <w:p w14:paraId="25EA4223" w14:textId="7DAD77D9" w:rsidR="00F67E9E" w:rsidRPr="00D00D9A" w:rsidRDefault="00F67E9E" w:rsidP="00F67E9E">
      <w:pPr>
        <w:pStyle w:val="Numbered11"/>
      </w:pPr>
      <w:r w:rsidRPr="00D00D9A">
        <w:t xml:space="preserve">Without prejudice to </w:t>
      </w:r>
      <w:bookmarkStart w:id="1312" w:name="_9kMHG5YVt4EE8BCaGpqgyts0DL"/>
      <w:r w:rsidRPr="00D00D9A">
        <w:t xml:space="preserve">Paragraph </w:t>
      </w:r>
      <w:r w:rsidRPr="00D00D9A">
        <w:fldChar w:fldCharType="begin"/>
      </w:r>
      <w:r w:rsidRPr="00D00D9A">
        <w:instrText xml:space="preserve"> REF _Ref_ContractCompanion_9kb9Ur254 \n \h \t \* MERGEFORMAT </w:instrText>
      </w:r>
      <w:r w:rsidRPr="00D00D9A">
        <w:fldChar w:fldCharType="separate"/>
      </w:r>
      <w:bookmarkStart w:id="1313" w:name="_9kMHG5YVt4BDAADECfTlFQG40B69Q8n7E98xGOK"/>
      <w:r w:rsidR="007A1473">
        <w:t>1.1</w:t>
      </w:r>
      <w:bookmarkEnd w:id="1313"/>
      <w:r w:rsidRPr="00D00D9A">
        <w:fldChar w:fldCharType="end"/>
      </w:r>
      <w:bookmarkEnd w:id="1312"/>
      <w:r w:rsidRPr="00D00D9A">
        <w:t xml:space="preserve"> of </w:t>
      </w:r>
      <w:r w:rsidRPr="00D00D9A">
        <w:fldChar w:fldCharType="begin"/>
      </w:r>
      <w:r w:rsidRPr="00D00D9A">
        <w:instrText xml:space="preserve"> REF Sch19PartC \h  \* MERGEFORMAT </w:instrText>
      </w:r>
      <w:r w:rsidRPr="00D00D9A">
        <w:fldChar w:fldCharType="separate"/>
      </w:r>
      <w:r w:rsidR="007A1473" w:rsidRPr="000038E2">
        <w:t>Part</w:t>
      </w:r>
      <w:r w:rsidR="007A1473">
        <w:t> </w:t>
      </w:r>
      <w:r w:rsidR="007A1473" w:rsidRPr="00D00D9A">
        <w:t>C</w:t>
      </w:r>
      <w:r w:rsidRPr="00D00D9A">
        <w:fldChar w:fldCharType="end"/>
      </w:r>
      <w:r w:rsidRPr="00D00D9A">
        <w:t>, the Supplier shall:</w:t>
      </w:r>
    </w:p>
    <w:p w14:paraId="26F7F1BD" w14:textId="77777777" w:rsidR="00F67E9E" w:rsidRPr="00A64242" w:rsidRDefault="00F67E9E" w:rsidP="00F67E9E">
      <w:pPr>
        <w:pStyle w:val="Numbered111"/>
      </w:pPr>
      <w:r w:rsidRPr="00D00D9A">
        <w:t>be responsible for auditing the financial models/reports of its Key Sub-contractors and for any associated costs and expenses incurred or forecast to be incurred; and</w:t>
      </w:r>
    </w:p>
    <w:p w14:paraId="11019BE8" w14:textId="77777777" w:rsidR="00F67E9E" w:rsidRPr="00D00D9A" w:rsidRDefault="00F67E9E" w:rsidP="00F67E9E">
      <w:pPr>
        <w:pStyle w:val="Numbered111"/>
      </w:pPr>
      <w:r w:rsidRPr="00A64242">
        <w:t>on</w:t>
      </w:r>
      <w:r w:rsidRPr="00D00D9A">
        <w:t xml:space="preserve"> written request by the Authority, provide the Authority or procure that the Authority is provided with:</w:t>
      </w:r>
    </w:p>
    <w:p w14:paraId="05C6C842" w14:textId="77777777" w:rsidR="00F67E9E" w:rsidRPr="00A64242" w:rsidRDefault="00F67E9E" w:rsidP="00F67E9E">
      <w:pPr>
        <w:pStyle w:val="Numbered111a"/>
      </w:pPr>
      <w:r w:rsidRPr="00D00D9A">
        <w:t xml:space="preserve">full copies of audit reports for the Key Sub-contractors. The Authority shall be </w:t>
      </w:r>
      <w:r w:rsidRPr="00A64242">
        <w:t>entitled to rely on such audit reports; and</w:t>
      </w:r>
    </w:p>
    <w:p w14:paraId="35FD4F90" w14:textId="77777777" w:rsidR="00F67E9E" w:rsidRDefault="00F67E9E" w:rsidP="00F67E9E">
      <w:pPr>
        <w:pStyle w:val="Numbered111a"/>
      </w:pPr>
      <w:r w:rsidRPr="00A64242">
        <w:t>further explanation of, and supporting information in relation to, any audit repo</w:t>
      </w:r>
      <w:r w:rsidRPr="00D00D9A">
        <w:t>rts provided.</w:t>
      </w:r>
    </w:p>
    <w:p w14:paraId="51E21B02" w14:textId="77777777" w:rsidR="00F67E9E" w:rsidRDefault="00F67E9E" w:rsidP="00F67E9E">
      <w:pPr>
        <w:pStyle w:val="Heading2"/>
        <w:pageBreakBefore/>
      </w:pPr>
      <w:bookmarkStart w:id="1314" w:name="_9kR3WTr8HB46EdorBx"/>
      <w:bookmarkStart w:id="1315" w:name="Sch19PartC"/>
      <w:bookmarkStart w:id="1316" w:name="_Ref_ContractCompanion_9kb9Ur9JK"/>
      <w:bookmarkStart w:id="1317" w:name="_Toc145412794"/>
      <w:bookmarkEnd w:id="1314"/>
      <w:r w:rsidRPr="000038E2">
        <w:lastRenderedPageBreak/>
        <w:t>Part</w:t>
      </w:r>
      <w:r>
        <w:t> </w:t>
      </w:r>
      <w:r w:rsidRPr="00D00D9A">
        <w:t>C</w:t>
      </w:r>
      <w:bookmarkEnd w:id="1315"/>
      <w:r w:rsidRPr="00D00D9A">
        <w:t>: Audit Rights</w:t>
      </w:r>
      <w:bookmarkEnd w:id="1316"/>
      <w:bookmarkEnd w:id="1317"/>
    </w:p>
    <w:p w14:paraId="6A32F171" w14:textId="77777777" w:rsidR="00F67E9E" w:rsidRPr="00A64242" w:rsidRDefault="00F67E9E" w:rsidP="00E1349E">
      <w:pPr>
        <w:pStyle w:val="Numbered1"/>
        <w:numPr>
          <w:ilvl w:val="0"/>
          <w:numId w:val="178"/>
        </w:numPr>
      </w:pPr>
      <w:bookmarkStart w:id="1318" w:name="_Ref_ContractCompanion_9kb9Us5B8"/>
      <w:bookmarkStart w:id="1319" w:name="_9kR3WTrAG99FEDEaGp9VYQ15uBLB11FR"/>
      <w:r w:rsidRPr="00A64242">
        <w:t>Audit Rights</w:t>
      </w:r>
      <w:bookmarkEnd w:id="1318"/>
      <w:bookmarkEnd w:id="1319"/>
    </w:p>
    <w:p w14:paraId="3F657476" w14:textId="77777777" w:rsidR="00F67E9E" w:rsidRPr="00D00D9A" w:rsidRDefault="00F67E9E" w:rsidP="00F67E9E">
      <w:pPr>
        <w:pStyle w:val="Numbered11"/>
      </w:pPr>
      <w:bookmarkStart w:id="1320" w:name="_9kR3WTrAG99EHEAdRjDOE2y947O6l5C76vEMITF"/>
      <w:bookmarkStart w:id="1321" w:name="_9kR3WTr29B88BCAdRjDOE2y947O6l5C76vEMITF"/>
      <w:bookmarkStart w:id="1322" w:name="_Ref_ContractCompanion_9kb9Ur254"/>
      <w:bookmarkStart w:id="1323" w:name="_Ref_ContractCompanion_9kb9Us5AB"/>
      <w:r w:rsidRPr="00D00D9A">
        <w:t xml:space="preserve">The Authority, acting by itself or through its Audit Agents, shall have the right during the Term and </w:t>
      </w:r>
      <w:r w:rsidRPr="00A64242">
        <w:t>for</w:t>
      </w:r>
      <w:r w:rsidRPr="00D00D9A">
        <w:t xml:space="preserve"> a period of 18 months thereafter, to assess compliance by the Supplier and/or its Key Sub-contractors of the Supplier</w:t>
      </w:r>
      <w:r>
        <w:t>’</w:t>
      </w:r>
      <w:r w:rsidRPr="00D00D9A">
        <w:t>s obligations under this Contract, including for the following purposes:</w:t>
      </w:r>
      <w:bookmarkEnd w:id="1320"/>
      <w:bookmarkEnd w:id="1321"/>
      <w:r w:rsidRPr="00D00D9A">
        <w:t xml:space="preserve"> </w:t>
      </w:r>
      <w:bookmarkEnd w:id="1322"/>
      <w:bookmarkEnd w:id="1323"/>
    </w:p>
    <w:p w14:paraId="3231A8BC" w14:textId="77777777" w:rsidR="00F67E9E" w:rsidRPr="00A64242" w:rsidRDefault="00F67E9E" w:rsidP="00F67E9E">
      <w:pPr>
        <w:pStyle w:val="Numbered111"/>
      </w:pPr>
      <w:r w:rsidRPr="00D00D9A">
        <w:t xml:space="preserve">to </w:t>
      </w:r>
      <w:r w:rsidRPr="00A64242">
        <w:t>verify the integrity and content of any Financial Report;</w:t>
      </w:r>
    </w:p>
    <w:p w14:paraId="36231448" w14:textId="77777777" w:rsidR="00F67E9E" w:rsidRPr="00A64242" w:rsidRDefault="00F67E9E" w:rsidP="00F67E9E">
      <w:pPr>
        <w:pStyle w:val="Numbered111"/>
      </w:pPr>
      <w:r w:rsidRPr="00A64242">
        <w:t>to verify the accuracy of the Charges and any other amounts payable by the Authority under this Contract (and proposed or actual variations to such Charges and payments);</w:t>
      </w:r>
    </w:p>
    <w:p w14:paraId="7ACDDBC7" w14:textId="77777777" w:rsidR="00F67E9E" w:rsidRPr="00A64242" w:rsidRDefault="00F67E9E" w:rsidP="00F67E9E">
      <w:pPr>
        <w:pStyle w:val="Numbered111"/>
      </w:pPr>
      <w:r w:rsidRPr="00A64242">
        <w:t>to verify the Costs (including the amounts paid to all Sub-contractors and any third party suppliers);</w:t>
      </w:r>
    </w:p>
    <w:p w14:paraId="46756863" w14:textId="77777777" w:rsidR="00F67E9E" w:rsidRPr="00A64242" w:rsidRDefault="00F67E9E" w:rsidP="00F67E9E">
      <w:pPr>
        <w:pStyle w:val="Numbered111"/>
      </w:pPr>
      <w:r w:rsidRPr="00A64242">
        <w:t xml:space="preserve">to verify the Certificate of Costs and/or the Open Book Data; </w:t>
      </w:r>
    </w:p>
    <w:p w14:paraId="21328AFD" w14:textId="77777777" w:rsidR="00F67E9E" w:rsidRPr="00A64242" w:rsidRDefault="00F67E9E" w:rsidP="00F67E9E">
      <w:pPr>
        <w:pStyle w:val="Numbered111"/>
      </w:pPr>
      <w:r w:rsidRPr="00A64242">
        <w:t xml:space="preserve">to verify the Supplier’s and each Key Sub-contractor’s compliance with this Contract and applicable Law; </w:t>
      </w:r>
    </w:p>
    <w:p w14:paraId="2B0ACA67" w14:textId="77777777" w:rsidR="00F67E9E" w:rsidRPr="00A64242" w:rsidRDefault="00F67E9E" w:rsidP="00F67E9E">
      <w:pPr>
        <w:pStyle w:val="Numbered111"/>
      </w:pPr>
      <w:r w:rsidRPr="00A64242">
        <w:t xml:space="preserve">to identify or investigate actual or suspected fraud, impropriety or accounting mistakes or any breach or threatened breach of security and in these circumstances the Authority shall have no obligation to inform the Supplier of the purpose or objective of its investigations; </w:t>
      </w:r>
    </w:p>
    <w:p w14:paraId="580397A0" w14:textId="77777777" w:rsidR="00F67E9E" w:rsidRPr="00A64242" w:rsidRDefault="00F67E9E" w:rsidP="00F67E9E">
      <w:pPr>
        <w:pStyle w:val="Numbered111"/>
      </w:pPr>
      <w:r w:rsidRPr="00A64242">
        <w:t xml:space="preserve">to identify or investigate any circumstances which may impact upon the financial stability of the Supplier, the Guarantor and/or any Key Sub-contractors or their ability to perform the Services; </w:t>
      </w:r>
    </w:p>
    <w:p w14:paraId="1CDCB689" w14:textId="77777777" w:rsidR="00F67E9E" w:rsidRPr="00A64242" w:rsidRDefault="00F67E9E" w:rsidP="00F67E9E">
      <w:pPr>
        <w:pStyle w:val="Numbered111"/>
      </w:pPr>
      <w:r w:rsidRPr="00A64242">
        <w:t xml:space="preserve">to obtain such information as is necessary to fulfil the Authority’s obligations to supply information for parliamentary, ministerial, judicial or administrative purposes including the supply of information to the Comptroller and Auditor General; </w:t>
      </w:r>
    </w:p>
    <w:p w14:paraId="5A535E57" w14:textId="77777777" w:rsidR="00F67E9E" w:rsidRPr="00A64242" w:rsidRDefault="00F67E9E" w:rsidP="00F67E9E">
      <w:pPr>
        <w:pStyle w:val="Numbered111"/>
      </w:pPr>
      <w:r w:rsidRPr="00A64242">
        <w:t>to review any books of account and the internal contract management accounts kept by the Supplier in connection with this Contract;</w:t>
      </w:r>
    </w:p>
    <w:p w14:paraId="4B570EC4" w14:textId="77777777" w:rsidR="00F67E9E" w:rsidRPr="00A64242" w:rsidRDefault="00F67E9E" w:rsidP="00F67E9E">
      <w:pPr>
        <w:pStyle w:val="Numbered111"/>
      </w:pPr>
      <w:r w:rsidRPr="00A64242">
        <w:t>to carry out the Authority’s internal and statutory audits and to prepare, examine and/or certify the Authority’s annual and interim reports and accounts;</w:t>
      </w:r>
    </w:p>
    <w:p w14:paraId="65DE42E7" w14:textId="77777777" w:rsidR="00F67E9E" w:rsidRPr="00A64242" w:rsidRDefault="00F67E9E" w:rsidP="00F67E9E">
      <w:pPr>
        <w:pStyle w:val="Numbered111"/>
      </w:pPr>
      <w:r w:rsidRPr="00A64242">
        <w:t xml:space="preserve">to enable the National Audit Office to carry out an examination pursuant to </w:t>
      </w:r>
      <w:bookmarkStart w:id="1324" w:name="_9kR3WTr2797EHcLcszv1KM5x36sZQ3C8E10bfF4"/>
      <w:r w:rsidRPr="00A64242">
        <w:t>Section 6(1) of the National Audit Act 1983</w:t>
      </w:r>
      <w:bookmarkEnd w:id="1324"/>
      <w:r w:rsidRPr="00A64242">
        <w:t xml:space="preserve"> of the economy, efficiency and effectiveness with which the Authority has used its resources;</w:t>
      </w:r>
    </w:p>
    <w:p w14:paraId="1AB97F9F" w14:textId="77777777" w:rsidR="00F67E9E" w:rsidRPr="00A64242" w:rsidRDefault="00F67E9E" w:rsidP="00F67E9E">
      <w:pPr>
        <w:pStyle w:val="Numbered111"/>
      </w:pPr>
      <w:r w:rsidRPr="00A64242">
        <w:t xml:space="preserve">to verify the accuracy and completeness of any Management Information delivered or required by this Contract; </w:t>
      </w:r>
    </w:p>
    <w:p w14:paraId="5961B939" w14:textId="77777777" w:rsidR="00F67E9E" w:rsidRPr="00A64242" w:rsidRDefault="00F67E9E" w:rsidP="00F67E9E">
      <w:pPr>
        <w:pStyle w:val="Numbered111"/>
      </w:pPr>
      <w:r w:rsidRPr="00A64242">
        <w:t xml:space="preserve">to review any Performance Monitoring Reports and/or other records relating to the Supplier’s performance of the Services and to verify that these reflect the Supplier’s own internal reports and records; </w:t>
      </w:r>
    </w:p>
    <w:p w14:paraId="150B9DF8" w14:textId="77777777" w:rsidR="00F67E9E" w:rsidRPr="00A64242" w:rsidRDefault="00F67E9E" w:rsidP="00F67E9E">
      <w:pPr>
        <w:pStyle w:val="Numbered111"/>
      </w:pPr>
      <w:r w:rsidRPr="00A64242">
        <w:lastRenderedPageBreak/>
        <w:t xml:space="preserve">to inspect the IT Environment (or any part of it) and the wider service delivery environment (or any part of it); </w:t>
      </w:r>
    </w:p>
    <w:p w14:paraId="79B7F9E6" w14:textId="77777777" w:rsidR="00F67E9E" w:rsidRPr="00A64242" w:rsidRDefault="00F67E9E" w:rsidP="00F67E9E">
      <w:pPr>
        <w:pStyle w:val="Numbered111"/>
      </w:pPr>
      <w:r w:rsidRPr="00A64242">
        <w:t>to review the accuracy and completeness of the Registers;</w:t>
      </w:r>
    </w:p>
    <w:p w14:paraId="21FADF59" w14:textId="77777777" w:rsidR="00F67E9E" w:rsidRPr="00A64242" w:rsidRDefault="00F67E9E" w:rsidP="00F67E9E">
      <w:pPr>
        <w:pStyle w:val="Numbered111"/>
      </w:pPr>
      <w:r w:rsidRPr="00A64242">
        <w:t xml:space="preserve">to review any records created during the design and development of the Supplier System and pre-operational environment such as information relating to Testing; </w:t>
      </w:r>
    </w:p>
    <w:p w14:paraId="3057174D" w14:textId="77777777" w:rsidR="00F67E9E" w:rsidRPr="00A64242" w:rsidRDefault="00F67E9E" w:rsidP="00F67E9E">
      <w:pPr>
        <w:pStyle w:val="Numbered111"/>
      </w:pPr>
      <w:r w:rsidRPr="00A64242">
        <w:t>to review the Supplier’s quality management systems (including all relevant Quality Plans and any quality manuals and procedures);</w:t>
      </w:r>
    </w:p>
    <w:p w14:paraId="1825A0C5" w14:textId="77777777" w:rsidR="00F67E9E" w:rsidRPr="00A64242" w:rsidRDefault="00F67E9E" w:rsidP="00F67E9E">
      <w:pPr>
        <w:pStyle w:val="Numbered111"/>
      </w:pPr>
      <w:r w:rsidRPr="00A64242">
        <w:t xml:space="preserve">to review the Supplier’s compliance with the Standards; </w:t>
      </w:r>
    </w:p>
    <w:p w14:paraId="76955717" w14:textId="77777777" w:rsidR="00F67E9E" w:rsidRPr="00A64242" w:rsidRDefault="00F67E9E" w:rsidP="00F67E9E">
      <w:pPr>
        <w:pStyle w:val="Numbered111"/>
      </w:pPr>
      <w:r w:rsidRPr="00A64242">
        <w:t>to inspect the Authority Assets, including the Authority’s IPRs, equipment and facilities, for the purposes of ensuring that the Authority Assets are secure and that any register of assets is up to date; and/or</w:t>
      </w:r>
    </w:p>
    <w:p w14:paraId="5A3B1007" w14:textId="77777777" w:rsidR="00F67E9E" w:rsidRPr="00D00D9A" w:rsidRDefault="00F67E9E" w:rsidP="00F67E9E">
      <w:pPr>
        <w:pStyle w:val="Numbered111"/>
      </w:pPr>
      <w:r w:rsidRPr="00A64242">
        <w:t>to review the</w:t>
      </w:r>
      <w:r w:rsidRPr="00D00D9A">
        <w:t xml:space="preserve"> integrity, confidentiality and security of the Authority Data.</w:t>
      </w:r>
    </w:p>
    <w:p w14:paraId="26E2D45B" w14:textId="77777777" w:rsidR="00F67E9E" w:rsidRPr="00A64242" w:rsidRDefault="00F67E9E" w:rsidP="00F67E9E">
      <w:pPr>
        <w:pStyle w:val="Numbered11"/>
      </w:pPr>
      <w:r w:rsidRPr="00D00D9A">
        <w:t xml:space="preserve">Except where an audit is imposed on the Authority by a regulatory body or where the Authority has reasonable grounds for believing that the Supplier has not complied with its obligations under this Contract, the Authority may not conduct an audit of the Supplier or of the same </w:t>
      </w:r>
      <w:r w:rsidRPr="00A64242">
        <w:t>Key Sub-contractor more than twice in any Contract Year.</w:t>
      </w:r>
    </w:p>
    <w:p w14:paraId="66F96B8A" w14:textId="77777777" w:rsidR="00F67E9E" w:rsidRPr="00D00D9A" w:rsidRDefault="00F67E9E" w:rsidP="00F67E9E">
      <w:pPr>
        <w:pStyle w:val="Numbered11"/>
      </w:pPr>
      <w:r w:rsidRPr="00A64242">
        <w:t>Nothing in this Contract shall prevent or restrict the rights of the Comptroller and/or Auditor General and/or their representatives from carrying out an audit, examination or investigation of the Suppli</w:t>
      </w:r>
      <w:r w:rsidRPr="00D00D9A">
        <w:t xml:space="preserve">er and/or any of the Key Sub-contractors for the purposes of and pursuant to applicable Law. </w:t>
      </w:r>
    </w:p>
    <w:p w14:paraId="099F8E17" w14:textId="77777777" w:rsidR="00F67E9E" w:rsidRPr="00D00D9A" w:rsidRDefault="00F67E9E" w:rsidP="00F67E9E">
      <w:pPr>
        <w:pStyle w:val="Numbered1"/>
      </w:pPr>
      <w:bookmarkStart w:id="1325" w:name="_Ref_ContractCompanion_9kb9Us5A8"/>
      <w:bookmarkStart w:id="1326" w:name="_9kR3WTrAG99EEEEaGp9VZTx9z777K7uAE3KV"/>
      <w:r w:rsidRPr="00D00D9A">
        <w:t xml:space="preserve">Conduct </w:t>
      </w:r>
      <w:r>
        <w:t>o</w:t>
      </w:r>
      <w:r w:rsidRPr="00D00D9A">
        <w:t xml:space="preserve">f </w:t>
      </w:r>
      <w:r w:rsidRPr="00A64242">
        <w:t>Audits</w:t>
      </w:r>
      <w:bookmarkEnd w:id="1325"/>
      <w:bookmarkEnd w:id="1326"/>
    </w:p>
    <w:p w14:paraId="491AAC9F" w14:textId="77777777" w:rsidR="00F67E9E" w:rsidRPr="00A64242" w:rsidRDefault="00F67E9E" w:rsidP="00F67E9E">
      <w:pPr>
        <w:pStyle w:val="Numbered11"/>
      </w:pPr>
      <w:r w:rsidRPr="00D00D9A">
        <w:t xml:space="preserve">The Authority shall during each audit comply with those security, sites, systems and facilities operating procedures of the Supplier that the Authority deems reasonable and use its reasonable endeavours to ensure that the conduct of each audit does not unreasonably disrupt the </w:t>
      </w:r>
      <w:r w:rsidRPr="00A64242">
        <w:t>Supplier or delay the provision of the Services.</w:t>
      </w:r>
    </w:p>
    <w:p w14:paraId="1F5D264E" w14:textId="77777777" w:rsidR="00F67E9E" w:rsidRPr="00A64242" w:rsidRDefault="00F67E9E" w:rsidP="00F67E9E">
      <w:pPr>
        <w:pStyle w:val="Numbered11"/>
      </w:pPr>
      <w:r w:rsidRPr="00A64242">
        <w:t>Subject to the Authority’s obligations of confidentiality, the Supplier shall on demand provide the Authority and the Audit Agents with all reasonable co-operation and assistance (and shall procure such co-operation and assistance from its Sub-contractors) in relation to each audit, including:</w:t>
      </w:r>
    </w:p>
    <w:p w14:paraId="5393504E" w14:textId="77777777" w:rsidR="00F67E9E" w:rsidRPr="00A64242" w:rsidRDefault="00F67E9E" w:rsidP="00F67E9E">
      <w:pPr>
        <w:pStyle w:val="Numbered111"/>
      </w:pPr>
      <w:r w:rsidRPr="00D00D9A">
        <w:t xml:space="preserve">all information </w:t>
      </w:r>
      <w:r w:rsidRPr="00A64242">
        <w:t>requested by the Authority within the permitted scope of the audit;</w:t>
      </w:r>
    </w:p>
    <w:p w14:paraId="557CB599" w14:textId="77777777" w:rsidR="00F67E9E" w:rsidRPr="00A64242" w:rsidRDefault="00F67E9E" w:rsidP="00F67E9E">
      <w:pPr>
        <w:pStyle w:val="Numbered111"/>
      </w:pPr>
      <w:r w:rsidRPr="00A64242">
        <w:t xml:space="preserve">reasonable access to any Sites and to any equipment used (whether exclusively or non-exclusively) in the performance of the Services; </w:t>
      </w:r>
    </w:p>
    <w:p w14:paraId="2C4F92B0" w14:textId="77777777" w:rsidR="00F67E9E" w:rsidRPr="00A64242" w:rsidRDefault="00F67E9E" w:rsidP="00F67E9E">
      <w:pPr>
        <w:pStyle w:val="Numbered111"/>
      </w:pPr>
      <w:r w:rsidRPr="00A64242">
        <w:t xml:space="preserve">access to the Supplier System; and </w:t>
      </w:r>
    </w:p>
    <w:p w14:paraId="03BB3731" w14:textId="77777777" w:rsidR="00F67E9E" w:rsidRPr="00D00D9A" w:rsidRDefault="00F67E9E" w:rsidP="00F67E9E">
      <w:pPr>
        <w:pStyle w:val="Numbered111"/>
      </w:pPr>
      <w:r w:rsidRPr="00A64242">
        <w:t>access to Supplier</w:t>
      </w:r>
      <w:r w:rsidRPr="00D00D9A">
        <w:t xml:space="preserve"> Personnel.</w:t>
      </w:r>
    </w:p>
    <w:p w14:paraId="404110B1" w14:textId="77777777" w:rsidR="00F67E9E" w:rsidRPr="00D00D9A" w:rsidRDefault="00F67E9E" w:rsidP="00F67E9E">
      <w:pPr>
        <w:pStyle w:val="Numbered11"/>
      </w:pPr>
      <w:r w:rsidRPr="00D00D9A">
        <w:t>The Supplier shall implement all measurement and monitoring tools and procedures necessary to measure and report on the Supplier</w:t>
      </w:r>
      <w:r>
        <w:t>’</w:t>
      </w:r>
      <w:r w:rsidRPr="00D00D9A">
        <w:t xml:space="preserve">s performance of the Services against the applicable Performance Indicators at a level of detail sufficient to verify compliance </w:t>
      </w:r>
      <w:r w:rsidRPr="00D00D9A">
        <w:lastRenderedPageBreak/>
        <w:t>with the Performance Indicators.</w:t>
      </w:r>
      <w:r>
        <w:t xml:space="preserve"> </w:t>
      </w:r>
    </w:p>
    <w:p w14:paraId="1B2A317E" w14:textId="77777777" w:rsidR="00F67E9E" w:rsidRPr="00D00D9A" w:rsidRDefault="00F67E9E" w:rsidP="00F67E9E">
      <w:pPr>
        <w:pStyle w:val="Numbered11"/>
      </w:pPr>
      <w:r w:rsidRPr="00D00D9A">
        <w:t>The Authority shall endeavour to (but is not obliged to) provide at least 15 Working Days</w:t>
      </w:r>
      <w:r>
        <w:t>’</w:t>
      </w:r>
      <w:r w:rsidRPr="00D00D9A">
        <w:t xml:space="preserve"> notice of its intention to conduct an audit. </w:t>
      </w:r>
    </w:p>
    <w:p w14:paraId="3CB9646C" w14:textId="457C72E8" w:rsidR="00F67E9E" w:rsidRPr="00D00D9A" w:rsidRDefault="00F67E9E" w:rsidP="00F67E9E">
      <w:pPr>
        <w:pStyle w:val="Numbered11"/>
      </w:pPr>
      <w:r w:rsidRPr="00D00D9A">
        <w:t xml:space="preserve">The Parties agree that they shall bear their own respective costs and expenses incurred in respect of compliance with their obligations under this </w:t>
      </w:r>
      <w:bookmarkStart w:id="1327" w:name="_9kMHG5YVtCIBBGGGGcIrBXbVzB1999M9wCG5MX"/>
      <w:r w:rsidRPr="00D00D9A">
        <w:t xml:space="preserve">Paragraph </w:t>
      </w:r>
      <w:r w:rsidRPr="00D00D9A">
        <w:fldChar w:fldCharType="begin"/>
      </w:r>
      <w:r w:rsidRPr="00D00D9A">
        <w:instrText xml:space="preserve"> REF _Ref_ContractCompanion_9kb9Us5A8 \w \n \h \t \* MERGEFORMAT </w:instrText>
      </w:r>
      <w:r w:rsidRPr="00D00D9A">
        <w:fldChar w:fldCharType="separate"/>
      </w:r>
      <w:r w:rsidR="007A1473">
        <w:t>2</w:t>
      </w:r>
      <w:r w:rsidRPr="00D00D9A">
        <w:fldChar w:fldCharType="end"/>
      </w:r>
      <w:bookmarkEnd w:id="1327"/>
      <w:r w:rsidRPr="00D00D9A">
        <w:t>, unless the audit identifies a material Default by the Supplier in which case the Supplier shall reimburse the Authority for all the Authority</w:t>
      </w:r>
      <w:r>
        <w:t>’</w:t>
      </w:r>
      <w:r w:rsidRPr="00D00D9A">
        <w:t>s reasonable costs incurred in connection with the audit.</w:t>
      </w:r>
    </w:p>
    <w:p w14:paraId="2F4E5F2C" w14:textId="77777777" w:rsidR="00F67E9E" w:rsidRPr="00D00D9A" w:rsidRDefault="00F67E9E" w:rsidP="00F67E9E">
      <w:pPr>
        <w:pStyle w:val="Numbered1"/>
      </w:pPr>
      <w:bookmarkStart w:id="1328" w:name="_Ref_ContractCompanion_9kb9Us5BB"/>
      <w:bookmarkStart w:id="1329" w:name="_9kR3WTrAG99FHGEaGp9VamJ4138OMIF93DSKGSK"/>
      <w:r w:rsidRPr="00D00D9A">
        <w:t xml:space="preserve">Use </w:t>
      </w:r>
      <w:r>
        <w:t>o</w:t>
      </w:r>
      <w:r w:rsidRPr="00D00D9A">
        <w:t>f Supplier</w:t>
      </w:r>
      <w:r>
        <w:t>’</w:t>
      </w:r>
      <w:r w:rsidRPr="00D00D9A">
        <w:t>s Internal Audit Team</w:t>
      </w:r>
      <w:bookmarkEnd w:id="1328"/>
      <w:bookmarkEnd w:id="1329"/>
    </w:p>
    <w:p w14:paraId="6CA5EFF3" w14:textId="6156E403" w:rsidR="00F67E9E" w:rsidRPr="00D00D9A" w:rsidRDefault="00F67E9E" w:rsidP="00F67E9E">
      <w:pPr>
        <w:pStyle w:val="Numbered11"/>
      </w:pPr>
      <w:bookmarkStart w:id="1330" w:name="_9kR3WTrAG99EKJCKJqmnm60z9t09C98JKE0UfVJ"/>
      <w:bookmarkStart w:id="1331" w:name="_Ref_ContractCompanion_9kb9Us5AE"/>
      <w:r w:rsidRPr="00D00D9A">
        <w:t>As an alternative to the Authority</w:t>
      </w:r>
      <w:r>
        <w:t>’</w:t>
      </w:r>
      <w:r w:rsidRPr="00D00D9A">
        <w:t xml:space="preserve">s right pursuant to </w:t>
      </w:r>
      <w:bookmarkStart w:id="1332" w:name="_9kMHG5YVtCIBBGJGCfTlFQG40B69Q8n7E98xGOK"/>
      <w:r w:rsidRPr="00D00D9A">
        <w:t xml:space="preserve">Paragraph </w:t>
      </w:r>
      <w:r w:rsidRPr="00D00D9A">
        <w:fldChar w:fldCharType="begin"/>
      </w:r>
      <w:r w:rsidRPr="00D00D9A">
        <w:instrText xml:space="preserve"> REF _Ref_ContractCompanion_9kb9Us5AB \n \h \t \* MERGEFORMAT </w:instrText>
      </w:r>
      <w:r w:rsidRPr="00D00D9A">
        <w:fldChar w:fldCharType="separate"/>
      </w:r>
      <w:bookmarkStart w:id="1333" w:name="_9kMIH5YVt4BDAADECfTlFQG40B69Q8n7E98xGOK"/>
      <w:r w:rsidR="007A1473">
        <w:t>1.1</w:t>
      </w:r>
      <w:bookmarkEnd w:id="1333"/>
      <w:r w:rsidRPr="00D00D9A">
        <w:fldChar w:fldCharType="end"/>
      </w:r>
      <w:bookmarkEnd w:id="1332"/>
      <w:r w:rsidRPr="00D00D9A">
        <w:t xml:space="preserve"> to exercise an audit either itself or through its Audit Agents, the Authority may require in writing that an audit is undertaken by the Supplier</w:t>
      </w:r>
      <w:r>
        <w:t>’</w:t>
      </w:r>
      <w:r w:rsidRPr="00D00D9A">
        <w:t xml:space="preserve">s own internal audit function for any of the purposes set out in </w:t>
      </w:r>
      <w:bookmarkStart w:id="1334" w:name="_9kMIH5YVtCIBBGJGCfTlFQG40B69Q8n7E98xGOK"/>
      <w:r w:rsidRPr="00D00D9A">
        <w:t xml:space="preserve">Paragraph </w:t>
      </w:r>
      <w:r w:rsidRPr="00D00D9A">
        <w:fldChar w:fldCharType="begin"/>
      </w:r>
      <w:r w:rsidRPr="00D00D9A">
        <w:instrText xml:space="preserve"> REF _Ref_ContractCompanion_9kb9Us5AB \n \h \t \* MERGEFORMAT </w:instrText>
      </w:r>
      <w:r w:rsidRPr="00D00D9A">
        <w:fldChar w:fldCharType="separate"/>
      </w:r>
      <w:bookmarkStart w:id="1335" w:name="_9kMJI5YVt4BDAADECfTlFQG40B69Q8n7E98xGOK"/>
      <w:r w:rsidR="007A1473">
        <w:t>1.1</w:t>
      </w:r>
      <w:bookmarkEnd w:id="1335"/>
      <w:r w:rsidRPr="00D00D9A">
        <w:fldChar w:fldCharType="end"/>
      </w:r>
      <w:bookmarkEnd w:id="1334"/>
      <w:r w:rsidRPr="00D00D9A">
        <w:t>.</w:t>
      </w:r>
      <w:bookmarkEnd w:id="1330"/>
      <w:r w:rsidRPr="00D00D9A">
        <w:t xml:space="preserve"> </w:t>
      </w:r>
      <w:bookmarkEnd w:id="1331"/>
    </w:p>
    <w:p w14:paraId="34F33CBB" w14:textId="1938CC5C" w:rsidR="00F67E9E" w:rsidRPr="00D00D9A" w:rsidRDefault="00F67E9E" w:rsidP="00F67E9E">
      <w:pPr>
        <w:pStyle w:val="Numbered11"/>
      </w:pPr>
      <w:r w:rsidRPr="00D00D9A">
        <w:t xml:space="preserve">Following the receipt of a request from the Authority under </w:t>
      </w:r>
      <w:bookmarkStart w:id="1336" w:name="_9kMHG5YVtCIBBGMLEMLsopo821Bv2BEBALMG2Wh"/>
      <w:r w:rsidRPr="00D00D9A">
        <w:t xml:space="preserve">Paragraph </w:t>
      </w:r>
      <w:r w:rsidRPr="00D00D9A">
        <w:fldChar w:fldCharType="begin"/>
      </w:r>
      <w:r w:rsidRPr="00D00D9A">
        <w:instrText xml:space="preserve"> REF _Ref_ContractCompanion_9kb9Us5AE \n \h \t \* MERGEFORMAT </w:instrText>
      </w:r>
      <w:r w:rsidRPr="00D00D9A">
        <w:fldChar w:fldCharType="separate"/>
      </w:r>
      <w:r w:rsidR="007A1473">
        <w:t>3.1</w:t>
      </w:r>
      <w:r w:rsidRPr="00D00D9A">
        <w:fldChar w:fldCharType="end"/>
      </w:r>
      <w:bookmarkEnd w:id="1336"/>
      <w:r w:rsidRPr="00D00D9A">
        <w:t xml:space="preserve"> above, the Supplier shall procure that the relevant audit is undertaken as soon as reasonably practicable and that the Authority has unfettered access to:</w:t>
      </w:r>
    </w:p>
    <w:p w14:paraId="726DAAB9" w14:textId="77777777" w:rsidR="00F67E9E" w:rsidRPr="00D00D9A" w:rsidRDefault="00F67E9E" w:rsidP="00F67E9E">
      <w:pPr>
        <w:pStyle w:val="Numbered111"/>
      </w:pPr>
      <w:r w:rsidRPr="00D00D9A">
        <w:t xml:space="preserve">the resultant audit reports; and </w:t>
      </w:r>
    </w:p>
    <w:p w14:paraId="743B5E69" w14:textId="77777777" w:rsidR="00F67E9E" w:rsidRPr="00D00D9A" w:rsidRDefault="00F67E9E" w:rsidP="00F67E9E">
      <w:pPr>
        <w:pStyle w:val="Numbered111"/>
      </w:pPr>
      <w:r w:rsidRPr="00D00D9A">
        <w:t>all relevant members of the Supplier</w:t>
      </w:r>
      <w:r>
        <w:t>’</w:t>
      </w:r>
      <w:r w:rsidRPr="00D00D9A">
        <w:t>s internal audit team for the purpose of understanding such audit reports.</w:t>
      </w:r>
    </w:p>
    <w:p w14:paraId="24A1CEDE" w14:textId="77777777" w:rsidR="00F67E9E" w:rsidRPr="00D00D9A" w:rsidRDefault="00F67E9E" w:rsidP="00F67E9E">
      <w:pPr>
        <w:pStyle w:val="Numbered1"/>
      </w:pPr>
      <w:r w:rsidRPr="00D00D9A">
        <w:t xml:space="preserve">Response </w:t>
      </w:r>
      <w:r>
        <w:t>t</w:t>
      </w:r>
      <w:r w:rsidRPr="00D00D9A">
        <w:t>o Audits</w:t>
      </w:r>
    </w:p>
    <w:p w14:paraId="6E89E3B3" w14:textId="74671BEC" w:rsidR="00F67E9E" w:rsidRPr="00D00D9A" w:rsidRDefault="00F67E9E" w:rsidP="00F67E9E">
      <w:pPr>
        <w:pStyle w:val="Numbered11"/>
      </w:pPr>
      <w:r w:rsidRPr="00D00D9A">
        <w:t xml:space="preserve">If an audit undertaken pursuant to </w:t>
      </w:r>
      <w:bookmarkStart w:id="1337" w:name="_9kMHG5YVtCIBBHGFGcIrBXaS37wDND33HT"/>
      <w:r w:rsidRPr="00D00D9A">
        <w:t xml:space="preserve">Paragraphs </w:t>
      </w:r>
      <w:r w:rsidRPr="00D00D9A">
        <w:fldChar w:fldCharType="begin"/>
      </w:r>
      <w:r w:rsidRPr="00D00D9A">
        <w:instrText xml:space="preserve"> REF _Ref_ContractCompanion_9kb9Us5B8 \w \n \h \t \* MERGEFORMAT </w:instrText>
      </w:r>
      <w:r w:rsidRPr="00D00D9A">
        <w:fldChar w:fldCharType="separate"/>
      </w:r>
      <w:r w:rsidR="007A1473">
        <w:t>1</w:t>
      </w:r>
      <w:r w:rsidRPr="00D00D9A">
        <w:fldChar w:fldCharType="end"/>
      </w:r>
      <w:bookmarkEnd w:id="1337"/>
      <w:r w:rsidRPr="00D00D9A">
        <w:t xml:space="preserve"> or </w:t>
      </w:r>
      <w:bookmarkStart w:id="1338" w:name="_9kMHG5YVtCIBBHJIGcIrBXcoL635AQOKHB5FUMI"/>
      <w:r w:rsidRPr="00D00D9A">
        <w:fldChar w:fldCharType="begin"/>
      </w:r>
      <w:r w:rsidRPr="00D00D9A">
        <w:instrText xml:space="preserve"> REF _Ref_ContractCompanion_9kb9Us5BB \w \n \h \t \* MERGEFORMAT </w:instrText>
      </w:r>
      <w:r w:rsidRPr="00D00D9A">
        <w:fldChar w:fldCharType="separate"/>
      </w:r>
      <w:r w:rsidR="007A1473">
        <w:t>3</w:t>
      </w:r>
      <w:r w:rsidRPr="00D00D9A">
        <w:fldChar w:fldCharType="end"/>
      </w:r>
      <w:bookmarkEnd w:id="1338"/>
      <w:r w:rsidRPr="00D00D9A">
        <w:t xml:space="preserve"> identifies that: </w:t>
      </w:r>
    </w:p>
    <w:p w14:paraId="3AF14E0D" w14:textId="77777777" w:rsidR="00F67E9E" w:rsidRPr="00D00D9A" w:rsidRDefault="00F67E9E" w:rsidP="00F67E9E">
      <w:pPr>
        <w:pStyle w:val="Numbered111"/>
      </w:pPr>
      <w:r w:rsidRPr="00D00D9A">
        <w:t>the Supplier has committed a Default, the Authority may (without prejudice to any rights and remedies the Authority may have) require the Supplier to correct such Default as soon as reasonably practicable and, if such Default constitutes a Notifiable Default, to comply with the Rectification Plan Process;</w:t>
      </w:r>
    </w:p>
    <w:p w14:paraId="564C24A9" w14:textId="77777777" w:rsidR="00F67E9E" w:rsidRPr="00D00D9A" w:rsidRDefault="00F67E9E" w:rsidP="00F67E9E">
      <w:pPr>
        <w:pStyle w:val="Numbered111"/>
      </w:pPr>
      <w:r w:rsidRPr="00D00D9A">
        <w:t>there is an error in a Financial Report, the Supplier shall promptly rectify the error;</w:t>
      </w:r>
    </w:p>
    <w:p w14:paraId="42273C5D" w14:textId="77777777" w:rsidR="00F67E9E" w:rsidRPr="00D00D9A" w:rsidRDefault="00F67E9E" w:rsidP="00F67E9E">
      <w:pPr>
        <w:pStyle w:val="Numbered111"/>
      </w:pPr>
      <w:r w:rsidRPr="00D00D9A">
        <w:t>the Authority has overpaid any Charges, the Supplier shall pay to the Authority:</w:t>
      </w:r>
    </w:p>
    <w:p w14:paraId="764394DF" w14:textId="77777777" w:rsidR="00F67E9E" w:rsidRPr="00D00D9A" w:rsidRDefault="00F67E9E" w:rsidP="00F67E9E">
      <w:pPr>
        <w:pStyle w:val="Numbered111a"/>
      </w:pPr>
      <w:r w:rsidRPr="00D00D9A">
        <w:t>the amount overpaid;</w:t>
      </w:r>
    </w:p>
    <w:p w14:paraId="19B32E18" w14:textId="77777777" w:rsidR="00F67E9E" w:rsidRPr="00D00D9A" w:rsidRDefault="00F67E9E" w:rsidP="00F67E9E">
      <w:pPr>
        <w:pStyle w:val="Numbered111a"/>
      </w:pPr>
      <w:r w:rsidRPr="00D00D9A">
        <w:t xml:space="preserve">interest on the amount overpaid at the applicable rate under the </w:t>
      </w:r>
      <w:r w:rsidRPr="00043A03">
        <w:rPr>
          <w:i/>
          <w:iCs/>
        </w:rPr>
        <w:t>Late Payment of Commercial Debts (Interest) Act 1998</w:t>
      </w:r>
      <w:r w:rsidRPr="00D00D9A">
        <w:t>, accruing on a daily basis from the date of overpayment by the Authority up to the date of repayment by the Supplier; and</w:t>
      </w:r>
    </w:p>
    <w:p w14:paraId="09FC0499" w14:textId="77777777" w:rsidR="00F67E9E" w:rsidRPr="00D00D9A" w:rsidRDefault="00F67E9E" w:rsidP="00F67E9E">
      <w:pPr>
        <w:pStyle w:val="Numbered111a"/>
      </w:pPr>
      <w:r w:rsidRPr="00D00D9A">
        <w:t xml:space="preserve">the reasonable costs incurred by the Authority in </w:t>
      </w:r>
      <w:r w:rsidRPr="00A64242">
        <w:t>undertaking</w:t>
      </w:r>
      <w:r w:rsidRPr="00D00D9A">
        <w:t xml:space="preserve"> the audit,</w:t>
      </w:r>
    </w:p>
    <w:p w14:paraId="244905B3" w14:textId="77777777" w:rsidR="00F67E9E" w:rsidRPr="00D00D9A" w:rsidRDefault="00F67E9E" w:rsidP="00F67E9E">
      <w:pPr>
        <w:pStyle w:val="StdBodyText4"/>
        <w:ind w:left="1800"/>
        <w:rPr>
          <w:rFonts w:cs="Arial"/>
        </w:rPr>
      </w:pPr>
      <w:r w:rsidRPr="00D00D9A">
        <w:rPr>
          <w:rFonts w:cs="Arial"/>
        </w:rPr>
        <w:t>the Authority may exercise its right to deduct such amount from the Charges if it prefers; and</w:t>
      </w:r>
    </w:p>
    <w:p w14:paraId="206C6CA3" w14:textId="77777777" w:rsidR="00F67E9E" w:rsidRPr="00D00D9A" w:rsidRDefault="00F67E9E" w:rsidP="00F67E9E">
      <w:pPr>
        <w:pStyle w:val="Numbered111"/>
      </w:pPr>
      <w:r w:rsidRPr="00996FED">
        <w:t>the Authority has underpaid any Charges, the Supplier shall not be entitled to increase the Charges paid or payable by the Authority.</w:t>
      </w:r>
    </w:p>
    <w:p w14:paraId="7A905D10" w14:textId="77777777" w:rsidR="00F67E9E" w:rsidRPr="00D00D9A" w:rsidRDefault="00F67E9E" w:rsidP="00F67E9E">
      <w:pPr>
        <w:sectPr w:rsidR="00F67E9E" w:rsidRPr="00D00D9A" w:rsidSect="00240D26">
          <w:headerReference w:type="default" r:id="rId128"/>
          <w:footerReference w:type="default" r:id="rId129"/>
          <w:headerReference w:type="first" r:id="rId130"/>
          <w:footerReference w:type="first" r:id="rId131"/>
          <w:pgSz w:w="11900" w:h="16840"/>
          <w:pgMar w:top="1701" w:right="851" w:bottom="1134" w:left="851" w:header="567" w:footer="567" w:gutter="0"/>
          <w:cols w:space="720"/>
          <w:docGrid w:linePitch="360"/>
        </w:sectPr>
      </w:pPr>
    </w:p>
    <w:p w14:paraId="0F4F2354" w14:textId="77777777" w:rsidR="00F67E9E" w:rsidRPr="00EE4F10" w:rsidRDefault="00F67E9E" w:rsidP="00F67E9E">
      <w:pPr>
        <w:pStyle w:val="Dividername"/>
      </w:pPr>
      <w:r w:rsidRPr="00EE4F10">
        <w:lastRenderedPageBreak/>
        <w:t>Schedule 20</w:t>
      </w:r>
    </w:p>
    <w:p w14:paraId="6A0B125F" w14:textId="77777777" w:rsidR="00F67E9E" w:rsidRPr="00EE4F10" w:rsidRDefault="00F67E9E" w:rsidP="00F67E9E">
      <w:pPr>
        <w:pStyle w:val="Dividername"/>
      </w:pPr>
      <w:r w:rsidRPr="00EE4F10">
        <w:t>Anticipated Savings</w:t>
      </w:r>
    </w:p>
    <w:p w14:paraId="45CCC3F1" w14:textId="77777777" w:rsidR="00F67E9E" w:rsidRDefault="00F67E9E" w:rsidP="00F67E9E"/>
    <w:p w14:paraId="5B85D0F0" w14:textId="77777777" w:rsidR="00F67E9E" w:rsidRPr="00D00D9A" w:rsidRDefault="00F67E9E" w:rsidP="00F67E9E">
      <w:r w:rsidRPr="00D00D9A">
        <w:br w:type="page"/>
      </w:r>
    </w:p>
    <w:p w14:paraId="37AD5F9B" w14:textId="77777777" w:rsidR="00F67E9E" w:rsidRPr="005D0525" w:rsidRDefault="00F67E9E" w:rsidP="00F67E9E">
      <w:pPr>
        <w:pStyle w:val="Heading1"/>
      </w:pPr>
      <w:bookmarkStart w:id="1339" w:name="Schedule20"/>
      <w:bookmarkStart w:id="1340" w:name="_Ref92200008"/>
      <w:bookmarkStart w:id="1341" w:name="_Toc145412795"/>
      <w:r w:rsidRPr="005D0525">
        <w:lastRenderedPageBreak/>
        <w:t>Schedule</w:t>
      </w:r>
      <w:r>
        <w:t> </w:t>
      </w:r>
      <w:r w:rsidRPr="005D0525">
        <w:t>20</w:t>
      </w:r>
      <w:bookmarkEnd w:id="1339"/>
      <w:r>
        <w:t xml:space="preserve">: </w:t>
      </w:r>
      <w:bookmarkStart w:id="1342" w:name="Schedule20Heading"/>
      <w:r w:rsidRPr="00DD4CC2">
        <w:t>Anticipated Savings</w:t>
      </w:r>
      <w:bookmarkEnd w:id="1340"/>
      <w:bookmarkEnd w:id="1341"/>
      <w:bookmarkEnd w:id="1342"/>
    </w:p>
    <w:p w14:paraId="11397DAD" w14:textId="15C903A6" w:rsidR="00F67E9E" w:rsidRDefault="00F67E9E" w:rsidP="00F67E9E">
      <w:pPr>
        <w:pStyle w:val="StdBodyText"/>
      </w:pPr>
      <w:r w:rsidRPr="00D00D9A">
        <w:t>This Schedule defines the key benefit cate</w:t>
      </w:r>
      <w:r>
        <w:t>gories in which savings are anticipated.</w:t>
      </w:r>
    </w:p>
    <w:p w14:paraId="497B6F2E" w14:textId="43FF5617" w:rsidR="002065C4" w:rsidRDefault="00397217" w:rsidP="00F67E9E">
      <w:pPr>
        <w:pStyle w:val="StdBodyText"/>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43</w:t>
      </w:r>
      <w:r w:rsidRPr="009E775F">
        <w:rPr>
          <w:b/>
          <w:color w:val="FFFFFF" w:themeColor="background1"/>
          <w:highlight w:val="black"/>
        </w:rPr>
        <w:t>, Commercial Interests</w:t>
      </w:r>
    </w:p>
    <w:p w14:paraId="20E1FA73" w14:textId="6C03BE61" w:rsidR="002065C4" w:rsidRDefault="002065C4" w:rsidP="00F67E9E">
      <w:pPr>
        <w:pStyle w:val="StdBodyText"/>
      </w:pPr>
    </w:p>
    <w:p w14:paraId="4E1FB00E" w14:textId="505D2429" w:rsidR="002065C4" w:rsidRDefault="002065C4" w:rsidP="00F67E9E">
      <w:pPr>
        <w:pStyle w:val="StdBodyText"/>
      </w:pPr>
    </w:p>
    <w:p w14:paraId="2B4FBFF0" w14:textId="77777777" w:rsidR="002065C4" w:rsidRDefault="002065C4" w:rsidP="00F67E9E">
      <w:pPr>
        <w:pStyle w:val="StdBodyText"/>
      </w:pPr>
    </w:p>
    <w:p w14:paraId="31CF3BCB" w14:textId="77777777" w:rsidR="00F67E9E" w:rsidRDefault="00F67E9E" w:rsidP="00F67E9E"/>
    <w:p w14:paraId="76359826" w14:textId="77777777" w:rsidR="00F67E9E" w:rsidRDefault="00F67E9E" w:rsidP="00F67E9E"/>
    <w:p w14:paraId="011AD13F" w14:textId="77777777" w:rsidR="00F67E9E" w:rsidRDefault="00F67E9E" w:rsidP="00F67E9E"/>
    <w:p w14:paraId="7CDA1B40" w14:textId="77777777" w:rsidR="00F67E9E" w:rsidRDefault="00F67E9E" w:rsidP="00F67E9E">
      <w:pPr>
        <w:sectPr w:rsidR="00F67E9E" w:rsidSect="00240D26">
          <w:headerReference w:type="default" r:id="rId132"/>
          <w:footerReference w:type="default" r:id="rId133"/>
          <w:pgSz w:w="11900" w:h="16840"/>
          <w:pgMar w:top="1701" w:right="851" w:bottom="1134" w:left="851" w:header="567" w:footer="567" w:gutter="0"/>
          <w:cols w:space="720"/>
          <w:docGrid w:linePitch="360"/>
        </w:sectPr>
      </w:pPr>
    </w:p>
    <w:p w14:paraId="56545D63" w14:textId="77777777" w:rsidR="00F67E9E" w:rsidRPr="00EE4F10" w:rsidRDefault="00F67E9E" w:rsidP="00F67E9E">
      <w:pPr>
        <w:pStyle w:val="Dividername"/>
      </w:pPr>
      <w:bookmarkStart w:id="1343" w:name="_Hlk144977273"/>
      <w:r w:rsidRPr="00EE4F10">
        <w:lastRenderedPageBreak/>
        <w:t>Schedule 21</w:t>
      </w:r>
    </w:p>
    <w:p w14:paraId="7D8F7CFF" w14:textId="77777777" w:rsidR="00F67E9E" w:rsidRPr="00EE4F10" w:rsidRDefault="00F67E9E" w:rsidP="00F67E9E">
      <w:pPr>
        <w:pStyle w:val="Dividername"/>
      </w:pPr>
      <w:r w:rsidRPr="00EE4F10">
        <w:t>Governance</w:t>
      </w:r>
    </w:p>
    <w:p w14:paraId="04BB4145" w14:textId="77777777" w:rsidR="00F67E9E" w:rsidRDefault="00F67E9E" w:rsidP="00F67E9E"/>
    <w:p w14:paraId="1EC3A6A5" w14:textId="77777777" w:rsidR="00F67E9E" w:rsidRPr="00D00D9A" w:rsidRDefault="00F67E9E" w:rsidP="00F67E9E">
      <w:r w:rsidRPr="00D00D9A">
        <w:br w:type="page"/>
      </w:r>
    </w:p>
    <w:p w14:paraId="52DCD2B8" w14:textId="77777777" w:rsidR="00F67E9E" w:rsidRPr="005D0525" w:rsidRDefault="00F67E9E" w:rsidP="00F67E9E">
      <w:pPr>
        <w:pStyle w:val="Heading1"/>
      </w:pPr>
      <w:bookmarkStart w:id="1344" w:name="Schedule21"/>
      <w:bookmarkStart w:id="1345" w:name="_Ref92200016"/>
      <w:bookmarkStart w:id="1346" w:name="_Toc145412796"/>
      <w:r w:rsidRPr="005D0525">
        <w:lastRenderedPageBreak/>
        <w:t>Schedule</w:t>
      </w:r>
      <w:r>
        <w:t> </w:t>
      </w:r>
      <w:r w:rsidRPr="005D0525">
        <w:t>21</w:t>
      </w:r>
      <w:bookmarkEnd w:id="1344"/>
      <w:r>
        <w:t xml:space="preserve">: </w:t>
      </w:r>
      <w:bookmarkStart w:id="1347" w:name="Schedule21Heading"/>
      <w:r w:rsidRPr="00DD4CC2">
        <w:t>Governance</w:t>
      </w:r>
      <w:bookmarkEnd w:id="1345"/>
      <w:bookmarkEnd w:id="1346"/>
      <w:bookmarkEnd w:id="1347"/>
    </w:p>
    <w:p w14:paraId="7C8CC152" w14:textId="77777777" w:rsidR="00F67E9E" w:rsidRPr="00D00D9A" w:rsidRDefault="00F67E9E" w:rsidP="00F13933">
      <w:pPr>
        <w:pStyle w:val="Numbered1"/>
        <w:numPr>
          <w:ilvl w:val="0"/>
          <w:numId w:val="133"/>
        </w:numPr>
      </w:pPr>
      <w:bookmarkStart w:id="1348" w:name="_9kR3WTrAG98HOiJfifw5qEPJWruz89GHDJO"/>
      <w:r w:rsidRPr="00961F5D">
        <w:t>Definitions</w:t>
      </w:r>
      <w:bookmarkEnd w:id="1348"/>
    </w:p>
    <w:p w14:paraId="3EE156E2" w14:textId="77777777" w:rsidR="00F67E9E" w:rsidRPr="00D00D9A" w:rsidRDefault="00F67E9E" w:rsidP="00F67E9E">
      <w:pPr>
        <w:pStyle w:val="Numbered11"/>
      </w:pPr>
      <w:r w:rsidRPr="00D00D9A">
        <w:t>In this Schedule, the following definitions shall apply:</w:t>
      </w:r>
    </w:p>
    <w:tbl>
      <w:tblPr>
        <w:tblStyle w:val="MSAdefinitions"/>
        <w:tblW w:w="9638" w:type="dxa"/>
        <w:tblLook w:val="04A0" w:firstRow="1" w:lastRow="0" w:firstColumn="1" w:lastColumn="0" w:noHBand="0" w:noVBand="1"/>
      </w:tblPr>
      <w:tblGrid>
        <w:gridCol w:w="2835"/>
        <w:gridCol w:w="6803"/>
      </w:tblGrid>
      <w:tr w:rsidR="00C04A70" w:rsidRPr="00D00D9A" w14:paraId="456A7EB4" w14:textId="77777777" w:rsidTr="0052486C">
        <w:tc>
          <w:tcPr>
            <w:tcW w:w="2835" w:type="dxa"/>
          </w:tcPr>
          <w:p w14:paraId="6F8E908C" w14:textId="5CFCB831" w:rsidR="00C04A70" w:rsidRDefault="00C04A70" w:rsidP="00C04A70">
            <w:pPr>
              <w:pStyle w:val="StdBodyTextBold"/>
              <w:rPr>
                <w:rFonts w:cs="Arial"/>
              </w:rPr>
            </w:pPr>
            <w:r>
              <w:rPr>
                <w:rFonts w:cs="Arial"/>
              </w:rPr>
              <w:t>"Authority Executive Team"</w:t>
            </w:r>
          </w:p>
        </w:tc>
        <w:tc>
          <w:tcPr>
            <w:tcW w:w="6803" w:type="dxa"/>
          </w:tcPr>
          <w:p w14:paraId="4B4C33C2" w14:textId="3C96BDE4" w:rsidR="00C04A70" w:rsidRPr="00D00D9A" w:rsidRDefault="00C04A70" w:rsidP="0052486C">
            <w:pPr>
              <w:pStyle w:val="StdBodyText"/>
              <w:rPr>
                <w:rFonts w:cs="Arial"/>
              </w:rPr>
            </w:pPr>
            <w:r>
              <w:rPr>
                <w:rFonts w:cs="Arial"/>
              </w:rPr>
              <w:t xml:space="preserve">the body described in Paragraph </w:t>
            </w:r>
            <w:r w:rsidR="00D23539">
              <w:rPr>
                <w:rFonts w:cs="Arial"/>
              </w:rPr>
              <w:t>6;</w:t>
            </w:r>
            <w:r>
              <w:rPr>
                <w:rFonts w:cs="Arial"/>
              </w:rPr>
              <w:t xml:space="preserve"> </w:t>
            </w:r>
          </w:p>
        </w:tc>
      </w:tr>
      <w:tr w:rsidR="00F67E9E" w:rsidRPr="00D00D9A" w14:paraId="2F4D52F8" w14:textId="77777777" w:rsidTr="0052486C">
        <w:tc>
          <w:tcPr>
            <w:tcW w:w="2835" w:type="dxa"/>
          </w:tcPr>
          <w:p w14:paraId="65CEEBC0" w14:textId="77777777" w:rsidR="00F67E9E" w:rsidRPr="00D00D9A" w:rsidRDefault="00F67E9E" w:rsidP="0052486C">
            <w:pPr>
              <w:pStyle w:val="StdBodyTextBold"/>
              <w:rPr>
                <w:rFonts w:cs="Arial"/>
              </w:rPr>
            </w:pPr>
            <w:r>
              <w:rPr>
                <w:rFonts w:cs="Arial"/>
              </w:rPr>
              <w:t>“</w:t>
            </w:r>
            <w:r w:rsidRPr="00D00D9A">
              <w:rPr>
                <w:rFonts w:cs="Arial"/>
              </w:rPr>
              <w:t>Board Member</w:t>
            </w:r>
            <w:r>
              <w:rPr>
                <w:rFonts w:cs="Arial"/>
              </w:rPr>
              <w:t>”</w:t>
            </w:r>
          </w:p>
        </w:tc>
        <w:tc>
          <w:tcPr>
            <w:tcW w:w="6803" w:type="dxa"/>
          </w:tcPr>
          <w:p w14:paraId="4E3701CF" w14:textId="51E5E6BD" w:rsidR="00F67E9E" w:rsidRPr="00D00D9A" w:rsidRDefault="00F67E9E" w:rsidP="0052486C">
            <w:pPr>
              <w:pStyle w:val="StdBodyText"/>
              <w:rPr>
                <w:rFonts w:cs="Arial"/>
              </w:rPr>
            </w:pPr>
            <w:r w:rsidRPr="00D00D9A">
              <w:rPr>
                <w:rFonts w:cs="Arial"/>
              </w:rPr>
              <w:t xml:space="preserve">the initial persons appointed by the Authority and Supplier to the Boards as set out in Annex </w:t>
            </w:r>
            <w:r w:rsidRPr="00D00D9A">
              <w:rPr>
                <w:rFonts w:cs="Arial"/>
              </w:rPr>
              <w:fldChar w:fldCharType="begin"/>
            </w:r>
            <w:r w:rsidRPr="00D00D9A">
              <w:rPr>
                <w:rFonts w:cs="Arial"/>
              </w:rPr>
              <w:instrText xml:space="preserve"> REF ANNEX1_SCHEDULE21 \h </w:instrText>
            </w:r>
            <w:r>
              <w:rPr>
                <w:rFonts w:cs="Arial"/>
              </w:rPr>
              <w:instrText xml:space="preserve"> \* MERGEFORMAT </w:instrText>
            </w:r>
            <w:r w:rsidRPr="00D00D9A">
              <w:rPr>
                <w:rFonts w:cs="Arial"/>
              </w:rPr>
            </w:r>
            <w:r w:rsidRPr="00D00D9A">
              <w:rPr>
                <w:rFonts w:cs="Arial"/>
              </w:rPr>
              <w:fldChar w:fldCharType="separate"/>
            </w:r>
            <w:r w:rsidR="007A1473" w:rsidRPr="007A1473">
              <w:rPr>
                <w:rFonts w:cs="Arial"/>
              </w:rPr>
              <w:t>1</w:t>
            </w:r>
            <w:r w:rsidRPr="00D00D9A">
              <w:rPr>
                <w:rFonts w:cs="Arial"/>
              </w:rPr>
              <w:fldChar w:fldCharType="end"/>
            </w:r>
            <w:r w:rsidRPr="00D00D9A">
              <w:rPr>
                <w:rFonts w:cs="Arial"/>
              </w:rPr>
              <w:t xml:space="preserve"> and any replacements from time to time agreed by the Parties in accordance with </w:t>
            </w:r>
            <w:bookmarkStart w:id="1349" w:name="_9kMHG5YVtCIBBHMKGWO61nl34xDK9r49zFF1Cyc"/>
            <w:r w:rsidRPr="00D00D9A">
              <w:rPr>
                <w:rFonts w:cs="Arial"/>
              </w:rPr>
              <w:t xml:space="preserve">Paragraph </w:t>
            </w:r>
            <w:r w:rsidRPr="00D00D9A">
              <w:rPr>
                <w:rFonts w:cs="Arial"/>
              </w:rPr>
              <w:fldChar w:fldCharType="begin"/>
            </w:r>
            <w:r w:rsidRPr="00D00D9A">
              <w:rPr>
                <w:rFonts w:cs="Arial"/>
              </w:rPr>
              <w:instrText xml:space="preserve"> REF _Ref_ContractCompanion_9kb9Us5BE \n \h \t \* MERGEFORMAT </w:instrText>
            </w:r>
            <w:r w:rsidRPr="00D00D9A">
              <w:rPr>
                <w:rFonts w:cs="Arial"/>
              </w:rPr>
            </w:r>
            <w:r w:rsidRPr="00D00D9A">
              <w:rPr>
                <w:rFonts w:cs="Arial"/>
              </w:rPr>
              <w:fldChar w:fldCharType="separate"/>
            </w:r>
            <w:r w:rsidR="007A1473">
              <w:rPr>
                <w:rFonts w:cs="Arial"/>
              </w:rPr>
              <w:t>3.3</w:t>
            </w:r>
            <w:r w:rsidRPr="00D00D9A">
              <w:rPr>
                <w:rFonts w:cs="Arial"/>
              </w:rPr>
              <w:fldChar w:fldCharType="end"/>
            </w:r>
            <w:bookmarkEnd w:id="1349"/>
            <w:r w:rsidRPr="00D00D9A">
              <w:rPr>
                <w:rFonts w:cs="Arial"/>
              </w:rPr>
              <w:t>;</w:t>
            </w:r>
          </w:p>
        </w:tc>
      </w:tr>
      <w:tr w:rsidR="00F67E9E" w:rsidRPr="00D00D9A" w14:paraId="7F0D15D7" w14:textId="77777777" w:rsidTr="0052486C">
        <w:tc>
          <w:tcPr>
            <w:tcW w:w="2835" w:type="dxa"/>
          </w:tcPr>
          <w:p w14:paraId="4474B5BB" w14:textId="77777777" w:rsidR="00F67E9E" w:rsidRPr="00D00D9A" w:rsidRDefault="00F67E9E" w:rsidP="0052486C">
            <w:pPr>
              <w:pStyle w:val="StdBodyTextBold"/>
              <w:rPr>
                <w:rFonts w:cs="Arial"/>
              </w:rPr>
            </w:pPr>
            <w:r>
              <w:rPr>
                <w:rFonts w:cs="Arial"/>
              </w:rPr>
              <w:t>“</w:t>
            </w:r>
            <w:r w:rsidRPr="00D00D9A">
              <w:rPr>
                <w:rFonts w:cs="Arial"/>
              </w:rPr>
              <w:t>Boards</w:t>
            </w:r>
            <w:r>
              <w:rPr>
                <w:rFonts w:cs="Arial"/>
              </w:rPr>
              <w:t>”</w:t>
            </w:r>
          </w:p>
        </w:tc>
        <w:tc>
          <w:tcPr>
            <w:tcW w:w="6803" w:type="dxa"/>
          </w:tcPr>
          <w:p w14:paraId="4C6CA545" w14:textId="072E0578" w:rsidR="00F67E9E" w:rsidRPr="00D00D9A" w:rsidRDefault="00F67E9E" w:rsidP="00C04A70">
            <w:pPr>
              <w:pStyle w:val="StdBodyText"/>
              <w:rPr>
                <w:rFonts w:cs="Arial"/>
              </w:rPr>
            </w:pPr>
            <w:r w:rsidRPr="00D00D9A">
              <w:rPr>
                <w:rFonts w:cs="Arial"/>
              </w:rPr>
              <w:t xml:space="preserve">the </w:t>
            </w:r>
            <w:r w:rsidR="00C04A70">
              <w:rPr>
                <w:rFonts w:cs="Arial"/>
              </w:rPr>
              <w:t xml:space="preserve">Live </w:t>
            </w:r>
            <w:r w:rsidRPr="00D00D9A">
              <w:rPr>
                <w:rFonts w:cs="Arial"/>
              </w:rPr>
              <w:t xml:space="preserve">Service Management Board, Programme Board, Change Management Board, Technical Board and Risk Management </w:t>
            </w:r>
            <w:r w:rsidR="00C04A70">
              <w:rPr>
                <w:rFonts w:cs="Arial"/>
              </w:rPr>
              <w:t>Forum</w:t>
            </w:r>
            <w:r w:rsidR="00C04A70" w:rsidRPr="00D00D9A">
              <w:rPr>
                <w:rFonts w:cs="Arial"/>
              </w:rPr>
              <w:t xml:space="preserve"> </w:t>
            </w:r>
            <w:r w:rsidRPr="00D00D9A">
              <w:rPr>
                <w:rFonts w:cs="Arial"/>
              </w:rPr>
              <w:t xml:space="preserve">and </w:t>
            </w:r>
            <w:r>
              <w:rPr>
                <w:rFonts w:cs="Arial"/>
              </w:rPr>
              <w:t>“</w:t>
            </w:r>
            <w:r w:rsidRPr="00D00D9A">
              <w:rPr>
                <w:rStyle w:val="StdBodyTextBoldChar"/>
                <w:rFonts w:eastAsiaTheme="majorEastAsia" w:cs="Arial"/>
              </w:rPr>
              <w:t>Board</w:t>
            </w:r>
            <w:r>
              <w:rPr>
                <w:rFonts w:cs="Arial"/>
              </w:rPr>
              <w:t>”</w:t>
            </w:r>
            <w:r w:rsidRPr="00D00D9A">
              <w:rPr>
                <w:rFonts w:cs="Arial"/>
              </w:rPr>
              <w:t xml:space="preserve"> shall mean any of them;</w:t>
            </w:r>
          </w:p>
        </w:tc>
      </w:tr>
      <w:tr w:rsidR="00F67E9E" w:rsidRPr="00D00D9A" w14:paraId="5328945B" w14:textId="77777777" w:rsidTr="0052486C">
        <w:tc>
          <w:tcPr>
            <w:tcW w:w="2835" w:type="dxa"/>
          </w:tcPr>
          <w:p w14:paraId="340BC7C7" w14:textId="77777777" w:rsidR="00F67E9E" w:rsidRPr="00D00D9A" w:rsidRDefault="00F67E9E" w:rsidP="0052486C">
            <w:pPr>
              <w:pStyle w:val="StdBodyTextBold"/>
              <w:rPr>
                <w:rFonts w:cs="Arial"/>
              </w:rPr>
            </w:pPr>
            <w:r>
              <w:rPr>
                <w:rFonts w:cs="Arial"/>
              </w:rPr>
              <w:t>“</w:t>
            </w:r>
            <w:r w:rsidRPr="00D00D9A">
              <w:rPr>
                <w:rFonts w:cs="Arial"/>
              </w:rPr>
              <w:t>Change Management Board</w:t>
            </w:r>
            <w:r>
              <w:rPr>
                <w:rFonts w:cs="Arial"/>
              </w:rPr>
              <w:t>”</w:t>
            </w:r>
          </w:p>
        </w:tc>
        <w:tc>
          <w:tcPr>
            <w:tcW w:w="6803" w:type="dxa"/>
          </w:tcPr>
          <w:p w14:paraId="42FBDBB5" w14:textId="36CFFEFA" w:rsidR="00F67E9E" w:rsidRPr="00D00D9A" w:rsidRDefault="00F67E9E" w:rsidP="0052486C">
            <w:pPr>
              <w:pStyle w:val="StdBodyText"/>
              <w:rPr>
                <w:rFonts w:cs="Arial"/>
              </w:rPr>
            </w:pPr>
            <w:r w:rsidRPr="00D00D9A">
              <w:rPr>
                <w:rFonts w:cs="Arial"/>
              </w:rPr>
              <w:t xml:space="preserve">the body described in </w:t>
            </w:r>
            <w:bookmarkStart w:id="1350" w:name="_9kMHG5YVtCIBAJMgLhkhy7sGRQrHC379FI4043A"/>
            <w:r w:rsidRPr="00D00D9A">
              <w:rPr>
                <w:rFonts w:cs="Arial"/>
              </w:rPr>
              <w:t xml:space="preserve">Paragraph </w:t>
            </w:r>
            <w:r w:rsidRPr="00D00D9A">
              <w:rPr>
                <w:rFonts w:cs="Arial"/>
              </w:rPr>
              <w:fldChar w:fldCharType="begin"/>
            </w:r>
            <w:r w:rsidRPr="00D00D9A">
              <w:rPr>
                <w:rFonts w:cs="Arial"/>
              </w:rPr>
              <w:instrText xml:space="preserve"> REF _Ref_ContractCompanion_9kb9Us4DE \w \n \h \t \* MERGEFORMAT </w:instrText>
            </w:r>
            <w:r w:rsidRPr="00D00D9A">
              <w:rPr>
                <w:rFonts w:cs="Arial"/>
              </w:rPr>
            </w:r>
            <w:r w:rsidRPr="00D00D9A">
              <w:rPr>
                <w:rFonts w:cs="Arial"/>
              </w:rPr>
              <w:fldChar w:fldCharType="separate"/>
            </w:r>
            <w:r w:rsidR="007A1473">
              <w:rPr>
                <w:rFonts w:cs="Arial"/>
              </w:rPr>
              <w:t>6</w:t>
            </w:r>
            <w:r w:rsidRPr="00D00D9A">
              <w:rPr>
                <w:rFonts w:cs="Arial"/>
              </w:rPr>
              <w:fldChar w:fldCharType="end"/>
            </w:r>
            <w:bookmarkEnd w:id="1350"/>
            <w:r w:rsidRPr="00D00D9A">
              <w:rPr>
                <w:rFonts w:cs="Arial"/>
              </w:rPr>
              <w:t>;</w:t>
            </w:r>
          </w:p>
        </w:tc>
      </w:tr>
      <w:tr w:rsidR="00D23539" w:rsidRPr="00D00D9A" w14:paraId="19804766" w14:textId="77777777" w:rsidTr="0052486C">
        <w:tc>
          <w:tcPr>
            <w:tcW w:w="2835" w:type="dxa"/>
          </w:tcPr>
          <w:p w14:paraId="0F9F49B0" w14:textId="3D2BCE9B" w:rsidR="00D23539" w:rsidRDefault="00D23539" w:rsidP="00D23539">
            <w:pPr>
              <w:pStyle w:val="StdBodyTextBold"/>
              <w:rPr>
                <w:rFonts w:cs="Arial"/>
              </w:rPr>
            </w:pPr>
            <w:r>
              <w:rPr>
                <w:rFonts w:cs="Arial"/>
              </w:rPr>
              <w:t xml:space="preserve">“Live </w:t>
            </w:r>
            <w:r w:rsidRPr="00D00D9A">
              <w:rPr>
                <w:rFonts w:cs="Arial"/>
              </w:rPr>
              <w:t>Service Management Board</w:t>
            </w:r>
            <w:r>
              <w:rPr>
                <w:rFonts w:cs="Arial"/>
              </w:rPr>
              <w:t>”</w:t>
            </w:r>
          </w:p>
        </w:tc>
        <w:tc>
          <w:tcPr>
            <w:tcW w:w="6803" w:type="dxa"/>
          </w:tcPr>
          <w:p w14:paraId="6CDA9B2F" w14:textId="0BF9BBE7" w:rsidR="00D23539" w:rsidRPr="00D00D9A" w:rsidRDefault="00D23539" w:rsidP="00D23539">
            <w:pPr>
              <w:pStyle w:val="StdBodyText"/>
              <w:rPr>
                <w:rFonts w:cs="Arial"/>
              </w:rPr>
            </w:pPr>
            <w:r w:rsidRPr="00D00D9A">
              <w:rPr>
                <w:rFonts w:cs="Arial"/>
              </w:rPr>
              <w:t xml:space="preserve">the body described in Paragraph </w:t>
            </w:r>
            <w:r w:rsidRPr="00D00D9A">
              <w:rPr>
                <w:rFonts w:cs="Arial"/>
              </w:rPr>
              <w:fldChar w:fldCharType="begin"/>
            </w:r>
            <w:r w:rsidRPr="00D00D9A">
              <w:rPr>
                <w:rFonts w:cs="Arial"/>
              </w:rPr>
              <w:instrText xml:space="preserve"> REF _Ref_ContractCompanion_9kb9Us4DH \w \n \h \t \* MERGEFORMAT </w:instrText>
            </w:r>
            <w:r w:rsidRPr="00D00D9A">
              <w:rPr>
                <w:rFonts w:cs="Arial"/>
              </w:rPr>
            </w:r>
            <w:r w:rsidRPr="00D00D9A">
              <w:rPr>
                <w:rFonts w:cs="Arial"/>
              </w:rPr>
              <w:fldChar w:fldCharType="separate"/>
            </w:r>
            <w:r w:rsidR="007A1473">
              <w:rPr>
                <w:rFonts w:cs="Arial"/>
              </w:rPr>
              <w:t>4</w:t>
            </w:r>
            <w:r w:rsidRPr="00D00D9A">
              <w:rPr>
                <w:rFonts w:cs="Arial"/>
              </w:rPr>
              <w:fldChar w:fldCharType="end"/>
            </w:r>
            <w:r>
              <w:rPr>
                <w:rFonts w:cs="Arial"/>
              </w:rPr>
              <w:t>;</w:t>
            </w:r>
          </w:p>
        </w:tc>
      </w:tr>
      <w:tr w:rsidR="00D23539" w:rsidRPr="00D00D9A" w14:paraId="5BC3D667" w14:textId="77777777" w:rsidTr="0052486C">
        <w:tc>
          <w:tcPr>
            <w:tcW w:w="2835" w:type="dxa"/>
          </w:tcPr>
          <w:p w14:paraId="56D04C96" w14:textId="77777777" w:rsidR="00D23539" w:rsidRPr="00D00D9A" w:rsidRDefault="00D23539" w:rsidP="00D23539">
            <w:pPr>
              <w:pStyle w:val="StdBodyTextBold"/>
              <w:rPr>
                <w:rFonts w:cs="Arial"/>
              </w:rPr>
            </w:pPr>
            <w:r>
              <w:rPr>
                <w:rFonts w:cs="Arial"/>
              </w:rPr>
              <w:t>“</w:t>
            </w:r>
            <w:r w:rsidRPr="00D00D9A">
              <w:rPr>
                <w:rFonts w:cs="Arial"/>
              </w:rPr>
              <w:t>Project Managers</w:t>
            </w:r>
            <w:r>
              <w:rPr>
                <w:rFonts w:cs="Arial"/>
              </w:rPr>
              <w:t>”</w:t>
            </w:r>
          </w:p>
        </w:tc>
        <w:tc>
          <w:tcPr>
            <w:tcW w:w="6803" w:type="dxa"/>
          </w:tcPr>
          <w:p w14:paraId="1016F50E" w14:textId="4A3C0DF8" w:rsidR="00D23539" w:rsidRPr="00D00D9A" w:rsidRDefault="00D23539" w:rsidP="00D23539">
            <w:pPr>
              <w:pStyle w:val="StdBodyText"/>
              <w:rPr>
                <w:rFonts w:cs="Arial"/>
              </w:rPr>
            </w:pPr>
            <w:r w:rsidRPr="00D00D9A">
              <w:rPr>
                <w:rFonts w:cs="Arial"/>
              </w:rPr>
              <w:t xml:space="preserve">the individuals appointed as such by the Authority and the Supplier in accordance with </w:t>
            </w:r>
            <w:bookmarkStart w:id="1351" w:name="_9kMHG5YVtCIBAJQkLhkhy7sGRLYtw1ABIJFLQ"/>
            <w:r w:rsidRPr="00D00D9A">
              <w:rPr>
                <w:rFonts w:cs="Arial"/>
              </w:rPr>
              <w:t>Paragraph</w:t>
            </w:r>
            <w:bookmarkEnd w:id="1351"/>
            <w:r w:rsidRPr="00D00D9A">
              <w:rPr>
                <w:rFonts w:cs="Arial"/>
              </w:rPr>
              <w:t xml:space="preserve"> </w:t>
            </w:r>
            <w:r w:rsidRPr="00D00D9A">
              <w:rPr>
                <w:rFonts w:cs="Arial"/>
              </w:rPr>
              <w:fldChar w:fldCharType="begin"/>
            </w:r>
            <w:r w:rsidRPr="00D00D9A">
              <w:rPr>
                <w:rFonts w:cs="Arial"/>
              </w:rPr>
              <w:instrText xml:space="preserve"> REF _Ref44579330 \r \h  \* MERGEFORMAT </w:instrText>
            </w:r>
            <w:r w:rsidRPr="00D00D9A">
              <w:rPr>
                <w:rFonts w:cs="Arial"/>
              </w:rPr>
            </w:r>
            <w:r w:rsidRPr="00D00D9A">
              <w:rPr>
                <w:rFonts w:cs="Arial"/>
              </w:rPr>
              <w:fldChar w:fldCharType="separate"/>
            </w:r>
            <w:r w:rsidR="007A1473">
              <w:rPr>
                <w:rFonts w:cs="Arial"/>
              </w:rPr>
              <w:t>2</w:t>
            </w:r>
            <w:r w:rsidRPr="00D00D9A">
              <w:rPr>
                <w:rFonts w:cs="Arial"/>
              </w:rPr>
              <w:fldChar w:fldCharType="end"/>
            </w:r>
            <w:r w:rsidRPr="00D00D9A">
              <w:rPr>
                <w:rFonts w:cs="Arial"/>
              </w:rPr>
              <w:t>;</w:t>
            </w:r>
          </w:p>
        </w:tc>
      </w:tr>
      <w:tr w:rsidR="00D23539" w:rsidRPr="00D00D9A" w14:paraId="4C75B757" w14:textId="77777777" w:rsidTr="0052486C">
        <w:tc>
          <w:tcPr>
            <w:tcW w:w="2835" w:type="dxa"/>
          </w:tcPr>
          <w:p w14:paraId="03050FBA" w14:textId="4090F13C" w:rsidR="00D23539" w:rsidRPr="00D00D9A" w:rsidRDefault="00D23539" w:rsidP="00F57508">
            <w:pPr>
              <w:pStyle w:val="StdBodyTextBold"/>
              <w:rPr>
                <w:rFonts w:cs="Arial"/>
              </w:rPr>
            </w:pPr>
            <w:r>
              <w:rPr>
                <w:rFonts w:cs="Arial"/>
              </w:rPr>
              <w:t>“</w:t>
            </w:r>
            <w:r w:rsidRPr="00D00D9A">
              <w:rPr>
                <w:rFonts w:cs="Arial"/>
              </w:rPr>
              <w:t xml:space="preserve">Risk Management </w:t>
            </w:r>
            <w:r w:rsidR="00F57508">
              <w:rPr>
                <w:rFonts w:cs="Arial"/>
              </w:rPr>
              <w:t>Forum</w:t>
            </w:r>
            <w:r>
              <w:rPr>
                <w:rFonts w:cs="Arial"/>
              </w:rPr>
              <w:t>”</w:t>
            </w:r>
          </w:p>
        </w:tc>
        <w:tc>
          <w:tcPr>
            <w:tcW w:w="6803" w:type="dxa"/>
          </w:tcPr>
          <w:p w14:paraId="74391208" w14:textId="3C085D6D" w:rsidR="00D23539" w:rsidRPr="00D00D9A" w:rsidRDefault="00D23539" w:rsidP="00D23539">
            <w:pPr>
              <w:pStyle w:val="StdBodyText"/>
              <w:rPr>
                <w:rFonts w:cs="Arial"/>
              </w:rPr>
            </w:pPr>
            <w:r w:rsidRPr="00D00D9A">
              <w:rPr>
                <w:rFonts w:cs="Arial"/>
              </w:rPr>
              <w:t xml:space="preserve">the body described in </w:t>
            </w:r>
            <w:bookmarkStart w:id="1352" w:name="_9kMHG5YVtCIBBIGIj72txz58u5ACFA134y3ABDT"/>
            <w:r w:rsidRPr="00D00D9A">
              <w:rPr>
                <w:rFonts w:cs="Arial"/>
              </w:rPr>
              <w:t xml:space="preserve">Paragraph </w:t>
            </w:r>
            <w:r w:rsidRPr="00D00D9A">
              <w:rPr>
                <w:rFonts w:cs="Arial"/>
              </w:rPr>
              <w:fldChar w:fldCharType="begin"/>
            </w:r>
            <w:r w:rsidRPr="00D00D9A">
              <w:rPr>
                <w:rFonts w:cs="Arial"/>
              </w:rPr>
              <w:instrText xml:space="preserve"> REF _Ref_ContractCompanion_9kb9Us5BH \w \n \h \t \* MERGEFORMAT </w:instrText>
            </w:r>
            <w:r w:rsidRPr="00D00D9A">
              <w:rPr>
                <w:rFonts w:cs="Arial"/>
              </w:rPr>
            </w:r>
            <w:r w:rsidRPr="00D00D9A">
              <w:rPr>
                <w:rFonts w:cs="Arial"/>
              </w:rPr>
              <w:fldChar w:fldCharType="separate"/>
            </w:r>
            <w:r w:rsidR="007A1473">
              <w:rPr>
                <w:rFonts w:cs="Arial"/>
              </w:rPr>
              <w:t>8</w:t>
            </w:r>
            <w:r w:rsidRPr="00D00D9A">
              <w:rPr>
                <w:rFonts w:cs="Arial"/>
              </w:rPr>
              <w:fldChar w:fldCharType="end"/>
            </w:r>
            <w:bookmarkEnd w:id="1352"/>
            <w:r w:rsidRPr="00D00D9A">
              <w:rPr>
                <w:rFonts w:cs="Arial"/>
              </w:rPr>
              <w:t>;</w:t>
            </w:r>
            <w:r>
              <w:rPr>
                <w:rFonts w:cs="Arial"/>
              </w:rPr>
              <w:t xml:space="preserve"> and</w:t>
            </w:r>
          </w:p>
        </w:tc>
      </w:tr>
      <w:tr w:rsidR="00D23539" w:rsidRPr="00D00D9A" w14:paraId="724FF345" w14:textId="77777777" w:rsidTr="0052486C">
        <w:tc>
          <w:tcPr>
            <w:tcW w:w="2835" w:type="dxa"/>
          </w:tcPr>
          <w:p w14:paraId="3679AD99" w14:textId="77777777" w:rsidR="00D23539" w:rsidRPr="00D00D9A" w:rsidRDefault="00D23539" w:rsidP="00D23539">
            <w:pPr>
              <w:pStyle w:val="StdBodyTextBold"/>
              <w:rPr>
                <w:rFonts w:cs="Arial"/>
              </w:rPr>
            </w:pPr>
            <w:r>
              <w:rPr>
                <w:rFonts w:cs="Arial"/>
              </w:rPr>
              <w:t>“</w:t>
            </w:r>
            <w:r w:rsidRPr="00D00D9A">
              <w:rPr>
                <w:rFonts w:cs="Arial"/>
              </w:rPr>
              <w:t>Technical Board</w:t>
            </w:r>
            <w:r>
              <w:rPr>
                <w:rFonts w:cs="Arial"/>
              </w:rPr>
              <w:t>”</w:t>
            </w:r>
          </w:p>
        </w:tc>
        <w:tc>
          <w:tcPr>
            <w:tcW w:w="6803" w:type="dxa"/>
          </w:tcPr>
          <w:p w14:paraId="750595C7" w14:textId="7AD7BEC5" w:rsidR="00D23539" w:rsidRPr="00D00D9A" w:rsidRDefault="00D23539" w:rsidP="00D23539">
            <w:pPr>
              <w:pStyle w:val="StdBodyText"/>
              <w:rPr>
                <w:rFonts w:cs="Arial"/>
              </w:rPr>
            </w:pPr>
            <w:r w:rsidRPr="00D00D9A">
              <w:rPr>
                <w:rFonts w:cs="Arial"/>
              </w:rPr>
              <w:t xml:space="preserve">the body described in </w:t>
            </w:r>
            <w:bookmarkStart w:id="1353" w:name="_9kMHG5YVtCIBAJJdLhkhy7sGRRsHC379FI4HI26"/>
            <w:r w:rsidRPr="00D00D9A">
              <w:rPr>
                <w:rFonts w:cs="Arial"/>
              </w:rPr>
              <w:t xml:space="preserve">Paragraph </w:t>
            </w:r>
            <w:r w:rsidRPr="00D00D9A">
              <w:rPr>
                <w:rFonts w:cs="Arial"/>
              </w:rPr>
              <w:fldChar w:fldCharType="begin"/>
            </w:r>
            <w:r w:rsidRPr="00D00D9A">
              <w:rPr>
                <w:rFonts w:cs="Arial"/>
              </w:rPr>
              <w:instrText xml:space="preserve"> REF _Ref_ContractCompanion_9kb9Us4DB \w \n \h \t \* MERGEFORMAT </w:instrText>
            </w:r>
            <w:r w:rsidRPr="00D00D9A">
              <w:rPr>
                <w:rFonts w:cs="Arial"/>
              </w:rPr>
            </w:r>
            <w:r w:rsidRPr="00D00D9A">
              <w:rPr>
                <w:rFonts w:cs="Arial"/>
              </w:rPr>
              <w:fldChar w:fldCharType="separate"/>
            </w:r>
            <w:r w:rsidR="007A1473">
              <w:rPr>
                <w:rFonts w:cs="Arial"/>
              </w:rPr>
              <w:t>7</w:t>
            </w:r>
            <w:r w:rsidRPr="00D00D9A">
              <w:rPr>
                <w:rFonts w:cs="Arial"/>
              </w:rPr>
              <w:fldChar w:fldCharType="end"/>
            </w:r>
            <w:bookmarkEnd w:id="1353"/>
            <w:r w:rsidRPr="00D00D9A">
              <w:rPr>
                <w:rFonts w:cs="Arial"/>
              </w:rPr>
              <w:t>.</w:t>
            </w:r>
          </w:p>
        </w:tc>
      </w:tr>
    </w:tbl>
    <w:p w14:paraId="00348133" w14:textId="77777777" w:rsidR="00F67E9E" w:rsidRPr="00D00D9A" w:rsidRDefault="00F67E9E" w:rsidP="00F67E9E">
      <w:pPr>
        <w:pStyle w:val="Numbered1"/>
      </w:pPr>
      <w:bookmarkStart w:id="1354" w:name="_Ref44579330"/>
      <w:r w:rsidRPr="00961F5D">
        <w:t>Management</w:t>
      </w:r>
      <w:r w:rsidRPr="00D00D9A">
        <w:t xml:space="preserve"> </w:t>
      </w:r>
      <w:r>
        <w:t>o</w:t>
      </w:r>
      <w:r w:rsidRPr="00D00D9A">
        <w:t xml:space="preserve">f </w:t>
      </w:r>
      <w:r>
        <w:t>t</w:t>
      </w:r>
      <w:r w:rsidRPr="00D00D9A">
        <w:t>he Services</w:t>
      </w:r>
      <w:bookmarkEnd w:id="1354"/>
    </w:p>
    <w:p w14:paraId="794D40FD" w14:textId="77777777" w:rsidR="00F67E9E" w:rsidRPr="00D00D9A" w:rsidRDefault="00F67E9E" w:rsidP="00F67E9E">
      <w:pPr>
        <w:pStyle w:val="Numbered11"/>
      </w:pPr>
      <w:r w:rsidRPr="00D00D9A">
        <w:t xml:space="preserve">The Supplier and the Authority shall each appoint a project manager for the purposes of this Contract through whom the Services shall be managed at a day-to-day. </w:t>
      </w:r>
    </w:p>
    <w:p w14:paraId="23C32459" w14:textId="77777777" w:rsidR="00F67E9E" w:rsidRPr="00D00D9A" w:rsidRDefault="00F67E9E" w:rsidP="00F67E9E">
      <w:pPr>
        <w:pStyle w:val="Numbered11"/>
      </w:pPr>
      <w:r w:rsidRPr="00D00D9A">
        <w:t xml:space="preserve">Both Parties shall ensure that appropriate resource is made available on a regular basis such that the aims, objectives and specific provisions of this Contract can be fully realised. </w:t>
      </w:r>
    </w:p>
    <w:p w14:paraId="1056248E" w14:textId="77777777" w:rsidR="00F67E9E" w:rsidRPr="00D00D9A" w:rsidRDefault="00F67E9E" w:rsidP="00F67E9E">
      <w:pPr>
        <w:pStyle w:val="Numbered1"/>
      </w:pPr>
      <w:r w:rsidRPr="00D00D9A">
        <w:t>Boards</w:t>
      </w:r>
    </w:p>
    <w:p w14:paraId="53C5143B" w14:textId="77777777" w:rsidR="00F67E9E" w:rsidRPr="00D00D9A" w:rsidRDefault="00F67E9E" w:rsidP="00F67E9E">
      <w:pPr>
        <w:pStyle w:val="StdBodyText1"/>
        <w:ind w:left="360"/>
        <w:rPr>
          <w:rFonts w:cs="Arial"/>
        </w:rPr>
      </w:pPr>
      <w:r w:rsidRPr="00D00D9A">
        <w:rPr>
          <w:rStyle w:val="StdBodyTextBoldChar"/>
          <w:rFonts w:eastAsiaTheme="majorEastAsia" w:cs="Arial"/>
        </w:rPr>
        <w:t>Establishment and structure of the</w:t>
      </w:r>
      <w:r w:rsidRPr="00D00D9A">
        <w:rPr>
          <w:rFonts w:cs="Arial"/>
        </w:rPr>
        <w:t xml:space="preserve"> </w:t>
      </w:r>
      <w:r w:rsidRPr="00D00D9A">
        <w:rPr>
          <w:rStyle w:val="StdBodyTextBoldChar"/>
          <w:rFonts w:eastAsiaTheme="majorEastAsia" w:cs="Arial"/>
        </w:rPr>
        <w:t>Boards</w:t>
      </w:r>
    </w:p>
    <w:p w14:paraId="4AA6018F" w14:textId="77777777" w:rsidR="00F67E9E" w:rsidRPr="00D00D9A" w:rsidRDefault="00F67E9E" w:rsidP="00F67E9E">
      <w:pPr>
        <w:pStyle w:val="Numbered11"/>
      </w:pPr>
      <w:r w:rsidRPr="00D00D9A">
        <w:t>The Boards shall be established by the Authority for the purposes of this Contract on which both the Supplier and the Authority shall be represented.</w:t>
      </w:r>
    </w:p>
    <w:p w14:paraId="5D96BAE4" w14:textId="43EED03B" w:rsidR="00F67E9E" w:rsidRPr="00D00D9A" w:rsidRDefault="00F67E9E" w:rsidP="00F67E9E">
      <w:pPr>
        <w:pStyle w:val="Numbered11"/>
      </w:pPr>
      <w:r w:rsidRPr="00D00D9A">
        <w:t>In relation to each Board, the:</w:t>
      </w:r>
    </w:p>
    <w:p w14:paraId="7A8CA4E6" w14:textId="77777777" w:rsidR="00F67E9E" w:rsidRPr="00961F5D" w:rsidRDefault="00F67E9E" w:rsidP="00F67E9E">
      <w:pPr>
        <w:pStyle w:val="Numbered111"/>
      </w:pPr>
      <w:r w:rsidRPr="00961F5D">
        <w:lastRenderedPageBreak/>
        <w:t>Authority Board Members;</w:t>
      </w:r>
    </w:p>
    <w:p w14:paraId="009F173A" w14:textId="77777777" w:rsidR="00F67E9E" w:rsidRPr="00D00D9A" w:rsidRDefault="00F67E9E" w:rsidP="00F67E9E">
      <w:pPr>
        <w:pStyle w:val="Numbered111"/>
      </w:pPr>
      <w:r w:rsidRPr="00961F5D">
        <w:t>Suppl</w:t>
      </w:r>
      <w:r w:rsidRPr="00D00D9A">
        <w:t>ier Board Members;</w:t>
      </w:r>
    </w:p>
    <w:p w14:paraId="724AAF5C" w14:textId="77777777" w:rsidR="00F67E9E" w:rsidRPr="00D00D9A" w:rsidRDefault="00F67E9E" w:rsidP="00F67E9E">
      <w:pPr>
        <w:pStyle w:val="Numbered111"/>
      </w:pPr>
      <w:r w:rsidRPr="00D00D9A">
        <w:t>frequency that the Board shall meet (unless otherwise agreed between the Parties);</w:t>
      </w:r>
    </w:p>
    <w:p w14:paraId="36364B78" w14:textId="77777777" w:rsidR="00F67E9E" w:rsidRPr="00D00D9A" w:rsidRDefault="00F67E9E" w:rsidP="00F67E9E">
      <w:pPr>
        <w:pStyle w:val="Numbered111"/>
      </w:pPr>
      <w:r w:rsidRPr="00D00D9A">
        <w:t>location of the Board</w:t>
      </w:r>
      <w:r>
        <w:t>’</w:t>
      </w:r>
      <w:r w:rsidRPr="00D00D9A">
        <w:t>s meetings; and</w:t>
      </w:r>
    </w:p>
    <w:p w14:paraId="5BFA00F3" w14:textId="77777777" w:rsidR="00F67E9E" w:rsidRPr="00D00D9A" w:rsidRDefault="00F67E9E" w:rsidP="00F67E9E">
      <w:pPr>
        <w:pStyle w:val="Numbered111"/>
      </w:pPr>
      <w:r w:rsidRPr="00D00D9A">
        <w:t>planned start date by which the Board shall be established,</w:t>
      </w:r>
    </w:p>
    <w:p w14:paraId="2103599F" w14:textId="55A58790" w:rsidR="00F67E9E" w:rsidRPr="00D00D9A" w:rsidRDefault="00F67E9E" w:rsidP="00F67E9E">
      <w:pPr>
        <w:pStyle w:val="StdBodyText2"/>
        <w:rPr>
          <w:rFonts w:cs="Arial"/>
        </w:rPr>
      </w:pPr>
      <w:r w:rsidRPr="00D00D9A">
        <w:rPr>
          <w:rFonts w:cs="Arial"/>
        </w:rPr>
        <w:t xml:space="preserve">shall be as set out in Annex </w:t>
      </w:r>
      <w:r w:rsidRPr="00D00D9A">
        <w:rPr>
          <w:rFonts w:cs="Arial"/>
        </w:rPr>
        <w:fldChar w:fldCharType="begin"/>
      </w:r>
      <w:r w:rsidRPr="00D00D9A">
        <w:rPr>
          <w:rFonts w:cs="Arial"/>
        </w:rPr>
        <w:instrText xml:space="preserve"> REF ANNEX1_SCHEDULE21 \h </w:instrText>
      </w:r>
      <w:r>
        <w:rPr>
          <w:rFonts w:cs="Arial"/>
        </w:rPr>
        <w:instrText xml:space="preserve"> \* MERGEFORMAT </w:instrText>
      </w:r>
      <w:r w:rsidRPr="00D00D9A">
        <w:rPr>
          <w:rFonts w:cs="Arial"/>
        </w:rPr>
      </w:r>
      <w:r w:rsidRPr="00D00D9A">
        <w:rPr>
          <w:rFonts w:cs="Arial"/>
        </w:rPr>
        <w:fldChar w:fldCharType="separate"/>
      </w:r>
      <w:r w:rsidR="007A1473" w:rsidRPr="007A1473">
        <w:rPr>
          <w:rFonts w:cs="Arial"/>
        </w:rPr>
        <w:t>1</w:t>
      </w:r>
      <w:r w:rsidRPr="00D00D9A">
        <w:rPr>
          <w:rFonts w:cs="Arial"/>
        </w:rPr>
        <w:fldChar w:fldCharType="end"/>
      </w:r>
      <w:r w:rsidRPr="00D00D9A">
        <w:rPr>
          <w:rFonts w:cs="Arial"/>
        </w:rPr>
        <w:t>.</w:t>
      </w:r>
      <w:r w:rsidR="00F57508">
        <w:rPr>
          <w:rFonts w:cs="Arial"/>
        </w:rPr>
        <w:t xml:space="preserve"> The Parties shall agree any updates to the information in Annex 1 in respect of each Board as part of the Implementation Services.</w:t>
      </w:r>
    </w:p>
    <w:p w14:paraId="1891FF75" w14:textId="77777777" w:rsidR="00F67E9E" w:rsidRPr="00D00D9A" w:rsidRDefault="00F67E9E" w:rsidP="00F67E9E">
      <w:pPr>
        <w:pStyle w:val="Numbered11"/>
      </w:pPr>
      <w:bookmarkStart w:id="1355" w:name="_9kR3WTrAG99FKIEUM4zlj12vBI7p27xDDzAwa9T"/>
      <w:bookmarkStart w:id="1356" w:name="_Ref_ContractCompanion_9kb9Us5BE"/>
      <w:bookmarkStart w:id="1357" w:name="_Ref_ContractCompanion_9kb9Us7CF"/>
      <w:r w:rsidRPr="00D00D9A">
        <w:t>In the event that either Party wishes to replace any of its appointed Board Members, that Party shall notify the other in writing of the proposed change for agreement by the other Party (such agreement not to be unreasonably withheld or delayed).</w:t>
      </w:r>
      <w:bookmarkEnd w:id="1355"/>
      <w:r>
        <w:t xml:space="preserve"> </w:t>
      </w:r>
      <w:r w:rsidRPr="00D00D9A">
        <w:t>Notwithstanding the foregoing it is intended that each Authority Board Member has at all times a counterpart Supplier Board Member of equivalent seniority and expertise.</w:t>
      </w:r>
      <w:bookmarkEnd w:id="1356"/>
      <w:bookmarkEnd w:id="1357"/>
    </w:p>
    <w:p w14:paraId="3401E50D" w14:textId="77777777" w:rsidR="00F67E9E" w:rsidRPr="00D00D9A" w:rsidRDefault="00F67E9E" w:rsidP="00F67E9E">
      <w:pPr>
        <w:pStyle w:val="StdBodyText1"/>
        <w:ind w:left="360"/>
        <w:rPr>
          <w:rFonts w:cs="Arial"/>
        </w:rPr>
      </w:pPr>
      <w:r w:rsidRPr="00D00D9A">
        <w:rPr>
          <w:rStyle w:val="StdBodyTextBoldChar"/>
          <w:rFonts w:eastAsiaTheme="majorEastAsia" w:cs="Arial"/>
        </w:rPr>
        <w:t>Board</w:t>
      </w:r>
      <w:r w:rsidRPr="00D00D9A">
        <w:rPr>
          <w:rFonts w:cs="Arial"/>
        </w:rPr>
        <w:t xml:space="preserve"> </w:t>
      </w:r>
      <w:r w:rsidRPr="00D00D9A">
        <w:rPr>
          <w:rStyle w:val="StdBodyTextBoldChar"/>
          <w:rFonts w:eastAsiaTheme="majorEastAsia" w:cs="Arial"/>
        </w:rPr>
        <w:t>meetings</w:t>
      </w:r>
    </w:p>
    <w:p w14:paraId="47BCEA61" w14:textId="77777777" w:rsidR="00F67E9E" w:rsidRPr="00D00D9A" w:rsidRDefault="00F67E9E" w:rsidP="00F67E9E">
      <w:pPr>
        <w:pStyle w:val="Numbered11"/>
      </w:pPr>
      <w:r w:rsidRPr="00D00D9A">
        <w:t>Each Party shall ensure that its Board Members shall make all reasonable efforts to attend Board meetings at which that Board Member</w:t>
      </w:r>
      <w:r>
        <w:t>’</w:t>
      </w:r>
      <w:r w:rsidRPr="00D00D9A">
        <w:t>s attendance is required.</w:t>
      </w:r>
      <w:r>
        <w:t xml:space="preserve"> </w:t>
      </w:r>
      <w:r w:rsidRPr="00D00D9A">
        <w:t>If any Board Member is not able to attend a Board meeting, that person shall use all reasonable endeavours to ensure that:</w:t>
      </w:r>
    </w:p>
    <w:p w14:paraId="35787018" w14:textId="77777777" w:rsidR="00F67E9E" w:rsidRPr="00961F5D" w:rsidRDefault="00F67E9E" w:rsidP="00F67E9E">
      <w:pPr>
        <w:pStyle w:val="Numbered111"/>
      </w:pPr>
      <w:r w:rsidRPr="00D00D9A">
        <w:t xml:space="preserve">a delegate attends the relevant Board meeting in his/her place who (wherever </w:t>
      </w:r>
      <w:r w:rsidRPr="00961F5D">
        <w:t>possible) is properly briefed and prepared; and</w:t>
      </w:r>
    </w:p>
    <w:p w14:paraId="68710EED" w14:textId="01C1908D" w:rsidR="00F67E9E" w:rsidRPr="00D00D9A" w:rsidRDefault="00F67E9E" w:rsidP="00F67E9E">
      <w:pPr>
        <w:pStyle w:val="Numbered111"/>
      </w:pPr>
      <w:r w:rsidRPr="00961F5D">
        <w:t xml:space="preserve">that </w:t>
      </w:r>
      <w:r w:rsidR="00A10006">
        <w:t>they are</w:t>
      </w:r>
      <w:r w:rsidRPr="00D00D9A">
        <w:t xml:space="preserve"> debriefed by such delegate after the Board Meeting.</w:t>
      </w:r>
    </w:p>
    <w:p w14:paraId="54567B81" w14:textId="1DB635E1" w:rsidR="00F67E9E" w:rsidRPr="00D00D9A" w:rsidRDefault="00F67E9E" w:rsidP="00F67E9E">
      <w:pPr>
        <w:pStyle w:val="Numbered11"/>
      </w:pPr>
      <w:r w:rsidRPr="00D00D9A">
        <w:t>A chairperson shall be appointed by the Authority for each Board as identified in Annex</w:t>
      </w:r>
      <w:r>
        <w:t> </w:t>
      </w:r>
      <w:r w:rsidRPr="00D00D9A">
        <w:fldChar w:fldCharType="begin"/>
      </w:r>
      <w:r w:rsidRPr="00D00D9A">
        <w:instrText xml:space="preserve"> REF ANNEX1_SCHEDULE21 \h </w:instrText>
      </w:r>
      <w:r>
        <w:instrText xml:space="preserve"> \* MERGEFORMAT </w:instrText>
      </w:r>
      <w:r w:rsidRPr="00D00D9A">
        <w:fldChar w:fldCharType="separate"/>
      </w:r>
      <w:r w:rsidR="007A1473" w:rsidRPr="00D00D9A">
        <w:t>1</w:t>
      </w:r>
      <w:r w:rsidRPr="00D00D9A">
        <w:fldChar w:fldCharType="end"/>
      </w:r>
      <w:r w:rsidRPr="00D00D9A">
        <w:t>.</w:t>
      </w:r>
      <w:r>
        <w:t xml:space="preserve"> </w:t>
      </w:r>
      <w:r w:rsidRPr="00D00D9A">
        <w:t>The chairperson shall be responsible for:</w:t>
      </w:r>
    </w:p>
    <w:p w14:paraId="14CCE2CD" w14:textId="77777777" w:rsidR="00F67E9E" w:rsidRPr="00D00D9A" w:rsidRDefault="00F67E9E" w:rsidP="00F67E9E">
      <w:pPr>
        <w:pStyle w:val="Numbered111"/>
      </w:pPr>
      <w:r w:rsidRPr="00D00D9A">
        <w:t>scheduling Board meetings;</w:t>
      </w:r>
    </w:p>
    <w:p w14:paraId="13258B45" w14:textId="77777777" w:rsidR="00F67E9E" w:rsidRPr="00D00D9A" w:rsidRDefault="00F67E9E" w:rsidP="00F67E9E">
      <w:pPr>
        <w:pStyle w:val="Numbered111"/>
      </w:pPr>
      <w:r w:rsidRPr="00D00D9A">
        <w:t>setting the agenda for Board meetings and circulating to all attendees in advance of such meeting;</w:t>
      </w:r>
    </w:p>
    <w:p w14:paraId="225CA3C5" w14:textId="77777777" w:rsidR="00F67E9E" w:rsidRPr="00D00D9A" w:rsidRDefault="00F67E9E" w:rsidP="00F67E9E">
      <w:pPr>
        <w:pStyle w:val="Numbered111"/>
      </w:pPr>
      <w:r w:rsidRPr="00D00D9A">
        <w:t>chairing the Board meetings;</w:t>
      </w:r>
    </w:p>
    <w:p w14:paraId="57037DE7" w14:textId="77777777" w:rsidR="00F67E9E" w:rsidRPr="00D00D9A" w:rsidRDefault="00F67E9E" w:rsidP="00F67E9E">
      <w:pPr>
        <w:pStyle w:val="Numbered111"/>
      </w:pPr>
      <w:r w:rsidRPr="00D00D9A">
        <w:t>monitoring the progress of any follow up tasks and activities agreed to be carried out following Board meetings;</w:t>
      </w:r>
    </w:p>
    <w:p w14:paraId="3C01EFBE" w14:textId="77777777" w:rsidR="00F67E9E" w:rsidRPr="00D00D9A" w:rsidRDefault="00F67E9E" w:rsidP="00F67E9E">
      <w:pPr>
        <w:pStyle w:val="Numbered111"/>
      </w:pPr>
      <w:bookmarkStart w:id="1358" w:name="_Ref_ContractCompanion_9kb9Ur289"/>
      <w:r w:rsidRPr="00D00D9A">
        <w:t>ensuring that minutes for Board meetings are recorded and disseminated electronically to the appropriate persons and to all Board meeting participants within seven Working Days after the Board meeting; and</w:t>
      </w:r>
      <w:bookmarkEnd w:id="1358"/>
    </w:p>
    <w:p w14:paraId="31572A49" w14:textId="77777777" w:rsidR="00F67E9E" w:rsidRPr="00D00D9A" w:rsidRDefault="00F67E9E" w:rsidP="00F67E9E">
      <w:pPr>
        <w:pStyle w:val="Numbered111"/>
      </w:pPr>
      <w:r w:rsidRPr="00D00D9A">
        <w:t>facilitating the process or procedure by which any decision agreed at any Board meeting is given effect in the appropriate manner.</w:t>
      </w:r>
    </w:p>
    <w:p w14:paraId="70150001" w14:textId="122D224D" w:rsidR="00D23539" w:rsidRDefault="00F67E9E" w:rsidP="00F67E9E">
      <w:pPr>
        <w:pStyle w:val="Numbered11"/>
      </w:pPr>
      <w:r w:rsidRPr="00D00D9A">
        <w:t xml:space="preserve">Board meetings shall be quorate as long as at least </w:t>
      </w:r>
      <w:r w:rsidR="00D23539">
        <w:t>the following</w:t>
      </w:r>
      <w:r w:rsidR="00D23539" w:rsidRPr="00D00D9A">
        <w:t xml:space="preserve"> </w:t>
      </w:r>
      <w:r w:rsidRPr="00D00D9A">
        <w:t>representatives from each Party are present</w:t>
      </w:r>
      <w:r w:rsidR="00D23539">
        <w:t xml:space="preserve"> for each Board type:-</w:t>
      </w:r>
    </w:p>
    <w:p w14:paraId="050ACDD2" w14:textId="77777777" w:rsidR="00D23539" w:rsidRDefault="00D23539" w:rsidP="00D23539">
      <w:pPr>
        <w:pStyle w:val="Numbered111"/>
      </w:pPr>
      <w:r>
        <w:lastRenderedPageBreak/>
        <w:t xml:space="preserve">Programme Board: </w:t>
      </w:r>
    </w:p>
    <w:p w14:paraId="0A86AB23" w14:textId="7E4BE5A3" w:rsidR="00D23539" w:rsidRDefault="00D23539" w:rsidP="00D23539">
      <w:pPr>
        <w:pStyle w:val="Numbered111a"/>
      </w:pPr>
      <w:r>
        <w:t>at least two "Customer" (i.e. Shared Service Cluster / Department) representatives are present (this does not include any GRS customer representatives); and</w:t>
      </w:r>
    </w:p>
    <w:p w14:paraId="6B6019E1" w14:textId="77777777" w:rsidR="00D23539" w:rsidRDefault="00D23539" w:rsidP="00D23539">
      <w:pPr>
        <w:pStyle w:val="Numbered111a"/>
      </w:pPr>
      <w:r>
        <w:t>at least three Authority representatives are present.</w:t>
      </w:r>
    </w:p>
    <w:p w14:paraId="60CDC778" w14:textId="77777777" w:rsidR="00D23539" w:rsidRDefault="00D23539" w:rsidP="00D23539">
      <w:pPr>
        <w:pStyle w:val="Numbered111"/>
      </w:pPr>
      <w:r>
        <w:t xml:space="preserve">Live Service Management Board: </w:t>
      </w:r>
    </w:p>
    <w:p w14:paraId="516A34D0" w14:textId="6750BD2D" w:rsidR="00D23539" w:rsidRDefault="00D23539" w:rsidP="00D23539">
      <w:pPr>
        <w:pStyle w:val="Numbered111a"/>
      </w:pPr>
      <w:r>
        <w:t xml:space="preserve">at least two "Customer" (i.e. Shared Service Cluster / Department) representatives; </w:t>
      </w:r>
    </w:p>
    <w:p w14:paraId="7278F0D1" w14:textId="7FEB799D" w:rsidR="00D23539" w:rsidRDefault="00D23539" w:rsidP="00D23539">
      <w:pPr>
        <w:pStyle w:val="Numbered111a"/>
      </w:pPr>
      <w:r>
        <w:t>at least two Supplier representatives; and</w:t>
      </w:r>
    </w:p>
    <w:p w14:paraId="24BB794A" w14:textId="77777777" w:rsidR="00D23539" w:rsidRDefault="00D23539" w:rsidP="00D23539">
      <w:pPr>
        <w:pStyle w:val="Numbered111a"/>
      </w:pPr>
      <w:r>
        <w:t>at least two Authority representatives are present.</w:t>
      </w:r>
    </w:p>
    <w:p w14:paraId="4728CCFF" w14:textId="77777777" w:rsidR="00D23539" w:rsidRDefault="00D23539" w:rsidP="00D23539">
      <w:pPr>
        <w:pStyle w:val="Numbered111"/>
      </w:pPr>
      <w:r>
        <w:t xml:space="preserve">Change Management Board: </w:t>
      </w:r>
    </w:p>
    <w:p w14:paraId="034D268F" w14:textId="02D26238" w:rsidR="00D23539" w:rsidRDefault="00D23539" w:rsidP="00D23539">
      <w:pPr>
        <w:pStyle w:val="Numbered111a"/>
      </w:pPr>
      <w:r>
        <w:t>at least two Supplier representatives; and</w:t>
      </w:r>
    </w:p>
    <w:p w14:paraId="41CD0036" w14:textId="049617E6" w:rsidR="00D23539" w:rsidRDefault="00D23539" w:rsidP="00D23539">
      <w:pPr>
        <w:pStyle w:val="Numbered111a"/>
      </w:pPr>
      <w:r>
        <w:t>at least two Authority representatives are present.</w:t>
      </w:r>
    </w:p>
    <w:p w14:paraId="708DDD4D" w14:textId="77777777" w:rsidR="00D23539" w:rsidRDefault="00D23539" w:rsidP="00D23539">
      <w:pPr>
        <w:pStyle w:val="Numbered111"/>
      </w:pPr>
      <w:r>
        <w:t xml:space="preserve">Technical Board: </w:t>
      </w:r>
    </w:p>
    <w:p w14:paraId="0D6FC0F9" w14:textId="1F16094D" w:rsidR="00D23539" w:rsidRDefault="00D23539" w:rsidP="00D23539">
      <w:pPr>
        <w:pStyle w:val="Numbered111a"/>
      </w:pPr>
      <w:r>
        <w:t xml:space="preserve">at least two Supplier representatives, with representation from Architecture and Digital; and </w:t>
      </w:r>
    </w:p>
    <w:p w14:paraId="134AB673" w14:textId="1E27CF60" w:rsidR="00D23539" w:rsidRDefault="00D23539" w:rsidP="00D23539">
      <w:pPr>
        <w:pStyle w:val="Numbered111a"/>
      </w:pPr>
      <w:r>
        <w:t>at least two Authority representatives are present, with representation from Architecture and Digital.</w:t>
      </w:r>
    </w:p>
    <w:p w14:paraId="344610C7" w14:textId="77777777" w:rsidR="00D23539" w:rsidRDefault="00D23539" w:rsidP="00D23539">
      <w:pPr>
        <w:pStyle w:val="Numbered111"/>
      </w:pPr>
      <w:r>
        <w:t xml:space="preserve">Risk Management Forum: </w:t>
      </w:r>
    </w:p>
    <w:p w14:paraId="7EFE6234" w14:textId="788B4B76" w:rsidR="00D23539" w:rsidRDefault="00D23539" w:rsidP="00D23539">
      <w:pPr>
        <w:pStyle w:val="Numbered111a"/>
      </w:pPr>
      <w:r>
        <w:t>at least two Supplier representatives, with representation from Project Management and Digital; and</w:t>
      </w:r>
    </w:p>
    <w:p w14:paraId="77FDF953" w14:textId="6655DA4F" w:rsidR="00F67E9E" w:rsidRPr="00D00D9A" w:rsidRDefault="00D23539" w:rsidP="00D23539">
      <w:pPr>
        <w:pStyle w:val="Numbered111a"/>
      </w:pPr>
      <w:r>
        <w:t>at least two Authority representatives are present, with representation from Project Management and Digital</w:t>
      </w:r>
      <w:r w:rsidR="00F67E9E" w:rsidRPr="00D00D9A">
        <w:t>.</w:t>
      </w:r>
    </w:p>
    <w:p w14:paraId="6552D7F1" w14:textId="77777777" w:rsidR="00F67E9E" w:rsidRPr="00D00D9A" w:rsidRDefault="00F67E9E" w:rsidP="00F67E9E">
      <w:pPr>
        <w:pStyle w:val="Numbered11"/>
      </w:pPr>
      <w:r w:rsidRPr="00D00D9A">
        <w:t>The Parties shall ensure, as far as reasonably practicable, that all Boards shall as soon as reasonably practicable resolve the issues and achieve the objectives placed before them.</w:t>
      </w:r>
      <w:r>
        <w:t xml:space="preserve"> </w:t>
      </w:r>
      <w:r w:rsidRPr="00D00D9A">
        <w:t>Each Party shall endeavour to ensure that Board Members are empowered to make relevant decisions or have access to empowered individuals for decisions to be made to achieve this.</w:t>
      </w:r>
    </w:p>
    <w:p w14:paraId="36331CE1" w14:textId="7F01647D" w:rsidR="00F67E9E" w:rsidRPr="00D00D9A" w:rsidRDefault="00F67E9E" w:rsidP="00F67E9E">
      <w:pPr>
        <w:pStyle w:val="Numbered1"/>
      </w:pPr>
      <w:bookmarkStart w:id="1359" w:name="_Ref_ContractCompanion_9kb9Us4DH"/>
      <w:bookmarkStart w:id="1360" w:name="_9kR3WTrAG98HNhJfifw5qEPMnFA157DG2EFFXP7"/>
      <w:r w:rsidRPr="00D00D9A">
        <w:t xml:space="preserve">Role </w:t>
      </w:r>
      <w:r>
        <w:t>o</w:t>
      </w:r>
      <w:r w:rsidRPr="00D00D9A">
        <w:t xml:space="preserve">f </w:t>
      </w:r>
      <w:r>
        <w:t>t</w:t>
      </w:r>
      <w:r w:rsidRPr="00D00D9A">
        <w:t xml:space="preserve">he </w:t>
      </w:r>
      <w:r w:rsidR="001D5ACD">
        <w:t xml:space="preserve">Live </w:t>
      </w:r>
      <w:r w:rsidRPr="00D00D9A">
        <w:t>Service Management Board</w:t>
      </w:r>
      <w:bookmarkEnd w:id="1359"/>
      <w:bookmarkEnd w:id="1360"/>
    </w:p>
    <w:p w14:paraId="61E7C5E5" w14:textId="677359D4" w:rsidR="00F67E9E" w:rsidRPr="00D00D9A" w:rsidRDefault="00F67E9E" w:rsidP="00F67E9E">
      <w:pPr>
        <w:pStyle w:val="Numbered11"/>
      </w:pPr>
      <w:r w:rsidRPr="00D00D9A">
        <w:t xml:space="preserve">The Service Management Board shall be responsible for the executive management of the </w:t>
      </w:r>
      <w:r w:rsidR="001D5ACD">
        <w:t xml:space="preserve">Operational </w:t>
      </w:r>
      <w:r w:rsidRPr="00D00D9A">
        <w:t>Services and shall:</w:t>
      </w:r>
    </w:p>
    <w:p w14:paraId="139FBA16" w14:textId="054F8FF0" w:rsidR="00F67E9E" w:rsidRPr="00D00D9A" w:rsidRDefault="00F67E9E" w:rsidP="00F67E9E">
      <w:pPr>
        <w:pStyle w:val="Numbered111"/>
      </w:pPr>
      <w:r w:rsidRPr="00D00D9A">
        <w:t xml:space="preserve">be accountable to the </w:t>
      </w:r>
      <w:r w:rsidR="001D5ACD">
        <w:t>Authority Executive Team</w:t>
      </w:r>
      <w:r w:rsidRPr="00D00D9A">
        <w:t xml:space="preserve"> for comprehensive oversight of the Services and for the senior management of the operational relationship between the Parties;</w:t>
      </w:r>
    </w:p>
    <w:p w14:paraId="71B293F0" w14:textId="304222F2" w:rsidR="00F67E9E" w:rsidRPr="00D00D9A" w:rsidRDefault="00F67E9E" w:rsidP="00F67E9E">
      <w:pPr>
        <w:pStyle w:val="Numbered111"/>
      </w:pPr>
      <w:r w:rsidRPr="00D00D9A">
        <w:t xml:space="preserve">report to the Programme Board on significant issues requiring decision and resolution by the Programme Board and on progress against the </w:t>
      </w:r>
      <w:r w:rsidR="001D5ACD">
        <w:t xml:space="preserve">Authority's </w:t>
      </w:r>
      <w:r w:rsidR="001D5ACD">
        <w:lastRenderedPageBreak/>
        <w:t>live service product roadmap</w:t>
      </w:r>
      <w:r w:rsidRPr="00D00D9A">
        <w:t>;</w:t>
      </w:r>
    </w:p>
    <w:p w14:paraId="6AE255FF" w14:textId="31D9DFDA" w:rsidR="00F67E9E" w:rsidRPr="00D00D9A" w:rsidRDefault="00F67E9E" w:rsidP="00F67E9E">
      <w:pPr>
        <w:pStyle w:val="Numbered111"/>
      </w:pPr>
      <w:r w:rsidRPr="00D00D9A">
        <w:t xml:space="preserve">receive reports from the Project Managers on matters such as issues relating to delivery of existing Services and performance against Performance Indicators, progress against the </w:t>
      </w:r>
      <w:r w:rsidR="00401B20">
        <w:t>Authority's live service product roadmap</w:t>
      </w:r>
      <w:r w:rsidRPr="00D00D9A">
        <w:t xml:space="preserve"> and possible future developments;</w:t>
      </w:r>
    </w:p>
    <w:p w14:paraId="080A0290" w14:textId="58E86359" w:rsidR="00F67E9E" w:rsidRPr="00D00D9A" w:rsidRDefault="00F67E9E" w:rsidP="00F67E9E">
      <w:pPr>
        <w:pStyle w:val="Numbered111"/>
      </w:pPr>
      <w:r w:rsidRPr="00D00D9A">
        <w:t xml:space="preserve">review and report to the </w:t>
      </w:r>
      <w:r w:rsidR="00401B20">
        <w:t>Authority Executive Team</w:t>
      </w:r>
      <w:r w:rsidRPr="00D00D9A">
        <w:t xml:space="preserve"> on service management, co-ordination of individual projects and any integration issues;</w:t>
      </w:r>
    </w:p>
    <w:p w14:paraId="03110996" w14:textId="77777777" w:rsidR="00F67E9E" w:rsidRPr="00D00D9A" w:rsidRDefault="00F67E9E" w:rsidP="00F67E9E">
      <w:pPr>
        <w:pStyle w:val="Numbered111"/>
      </w:pPr>
      <w:r w:rsidRPr="00D00D9A">
        <w:t>deal with the prioritisation of resources and the appointment of Project Managers on behalf of the Parties;</w:t>
      </w:r>
    </w:p>
    <w:p w14:paraId="3FA9669B" w14:textId="7EF41AA4" w:rsidR="00F67E9E" w:rsidRPr="00D00D9A" w:rsidRDefault="00F67E9E" w:rsidP="00F67E9E">
      <w:pPr>
        <w:pStyle w:val="Numbered111"/>
      </w:pPr>
      <w:r w:rsidRPr="00D00D9A">
        <w:t xml:space="preserve">consider and resolve Disputes (including Disputes as to the cause of a Delay or the performance of the Services) in the first instance and if necessary escalate the Dispute to the </w:t>
      </w:r>
      <w:r w:rsidR="00401B20">
        <w:t>Authority Executive Team</w:t>
      </w:r>
      <w:r w:rsidRPr="00D00D9A">
        <w:t>; and</w:t>
      </w:r>
    </w:p>
    <w:p w14:paraId="60D21B1B" w14:textId="77777777" w:rsidR="00F67E9E" w:rsidRPr="00D00D9A" w:rsidRDefault="00F67E9E" w:rsidP="00F67E9E">
      <w:pPr>
        <w:pStyle w:val="Numbered111"/>
      </w:pPr>
      <w:r w:rsidRPr="00D00D9A">
        <w:t>develop operational/supplier relationship and develop and propose the relationship development strategy and ensure the implementation of the same.</w:t>
      </w:r>
    </w:p>
    <w:p w14:paraId="7766C0A2" w14:textId="77777777" w:rsidR="00F67E9E" w:rsidRPr="00D00D9A" w:rsidRDefault="00F67E9E" w:rsidP="00F67E9E">
      <w:pPr>
        <w:pStyle w:val="Numbered1"/>
      </w:pPr>
      <w:bookmarkStart w:id="1361" w:name="_Ref44511058"/>
      <w:r w:rsidRPr="00D00D9A">
        <w:t xml:space="preserve">Role </w:t>
      </w:r>
      <w:r>
        <w:t>o</w:t>
      </w:r>
      <w:r w:rsidRPr="00D00D9A">
        <w:t xml:space="preserve">f </w:t>
      </w:r>
      <w:r>
        <w:t>t</w:t>
      </w:r>
      <w:r w:rsidRPr="00D00D9A">
        <w:t>he Programme Board</w:t>
      </w:r>
      <w:bookmarkEnd w:id="1361"/>
    </w:p>
    <w:p w14:paraId="3BF90149" w14:textId="77777777" w:rsidR="00F67E9E" w:rsidRPr="00D00D9A" w:rsidRDefault="00F67E9E" w:rsidP="00F67E9E">
      <w:pPr>
        <w:pStyle w:val="Numbered11"/>
      </w:pPr>
      <w:r w:rsidRPr="00D00D9A">
        <w:t>The Programme Board shall:</w:t>
      </w:r>
    </w:p>
    <w:p w14:paraId="5AB31FDD" w14:textId="77777777" w:rsidR="00F67E9E" w:rsidRPr="00D00D9A" w:rsidRDefault="00F67E9E" w:rsidP="00F67E9E">
      <w:pPr>
        <w:pStyle w:val="Numbered111"/>
      </w:pPr>
      <w:r w:rsidRPr="00D00D9A">
        <w:t>provide senior level guidance, leadership and strategy for the overall delivery of the Services;</w:t>
      </w:r>
    </w:p>
    <w:p w14:paraId="24DA5307" w14:textId="7E27163B" w:rsidR="00F67E9E" w:rsidRPr="00D00D9A" w:rsidRDefault="00F67E9E" w:rsidP="00F67E9E">
      <w:pPr>
        <w:pStyle w:val="Numbered111"/>
      </w:pPr>
      <w:r w:rsidRPr="00D00D9A">
        <w:t xml:space="preserve">be the point of escalation from the Change Management Board, the Technical Board and the </w:t>
      </w:r>
      <w:r w:rsidR="001D5ACD">
        <w:t xml:space="preserve">Live </w:t>
      </w:r>
      <w:r w:rsidRPr="00D00D9A">
        <w:t>Service Management Board</w:t>
      </w:r>
      <w:r w:rsidR="00401B20">
        <w:t xml:space="preserve"> (if relevant)</w:t>
      </w:r>
      <w:r w:rsidRPr="00D00D9A">
        <w:t>; and</w:t>
      </w:r>
    </w:p>
    <w:p w14:paraId="66B0030A" w14:textId="47F272E1" w:rsidR="00F67E9E" w:rsidRPr="00D00D9A" w:rsidRDefault="00F67E9E" w:rsidP="00F67E9E">
      <w:pPr>
        <w:pStyle w:val="Numbered111"/>
      </w:pPr>
      <w:r w:rsidRPr="00D00D9A">
        <w:t xml:space="preserve">carry out the specific obligations attributed to it in </w:t>
      </w:r>
      <w:bookmarkStart w:id="1362" w:name="_9kMHG5YVtCIBBIJIHgTlUc8y2xt6zPU048AFy3F"/>
      <w:r w:rsidRPr="00D00D9A">
        <w:t xml:space="preserve">Paragraph </w:t>
      </w:r>
      <w:r w:rsidRPr="00D00D9A">
        <w:fldChar w:fldCharType="begin"/>
      </w:r>
      <w:r w:rsidRPr="00D00D9A">
        <w:instrText xml:space="preserve"> REF _Ref_ContractCompanion_9kb9Us5CB \n \h \t \* MERGEFORMAT </w:instrText>
      </w:r>
      <w:r w:rsidRPr="00D00D9A">
        <w:fldChar w:fldCharType="separate"/>
      </w:r>
      <w:r w:rsidR="007A1473">
        <w:t>5.2</w:t>
      </w:r>
      <w:r w:rsidRPr="00D00D9A">
        <w:fldChar w:fldCharType="end"/>
      </w:r>
      <w:bookmarkEnd w:id="1362"/>
      <w:r w:rsidRPr="00D00D9A">
        <w:t>.</w:t>
      </w:r>
    </w:p>
    <w:p w14:paraId="09718C20" w14:textId="77777777" w:rsidR="00F67E9E" w:rsidRPr="00D00D9A" w:rsidRDefault="00F67E9E" w:rsidP="00F67E9E">
      <w:pPr>
        <w:pStyle w:val="Numbered11"/>
      </w:pPr>
      <w:bookmarkStart w:id="1363" w:name="_Ref_ContractCompanion_9kb9Us5CB"/>
      <w:bookmarkStart w:id="1364" w:name="_9kR3WTrAG99GHGFeRjSa6w0vr4xNSy268Dw1D"/>
      <w:r w:rsidRPr="00D00D9A">
        <w:t>The Programme Board shall:</w:t>
      </w:r>
      <w:bookmarkEnd w:id="1363"/>
      <w:bookmarkEnd w:id="1364"/>
    </w:p>
    <w:p w14:paraId="641953E8" w14:textId="77777777" w:rsidR="00F67E9E" w:rsidRPr="00D00D9A" w:rsidRDefault="00F67E9E" w:rsidP="00F67E9E">
      <w:pPr>
        <w:pStyle w:val="Numbered111"/>
      </w:pPr>
      <w:r w:rsidRPr="00D00D9A">
        <w:t>ensure that this Contract is operated throughout the Term in a manner which optimises the value for money and operational benefit derived by the Authority and the commercial benefit derived by the Supplier;</w:t>
      </w:r>
    </w:p>
    <w:p w14:paraId="3AB4D288" w14:textId="1AF36329" w:rsidR="00F67E9E" w:rsidRPr="00D00D9A" w:rsidRDefault="00F67E9E" w:rsidP="00F67E9E">
      <w:pPr>
        <w:pStyle w:val="Numbered111"/>
      </w:pPr>
      <w:r w:rsidRPr="00D00D9A">
        <w:t xml:space="preserve">receive and review reports from the </w:t>
      </w:r>
      <w:r w:rsidR="001D5ACD">
        <w:t xml:space="preserve">Live </w:t>
      </w:r>
      <w:r w:rsidRPr="00D00D9A">
        <w:t>Service Management Board and review reports on technology, service and other developments that offer potential for improving the benefit that either Party is receiving, in particular value for money;</w:t>
      </w:r>
    </w:p>
    <w:p w14:paraId="45FD90C9" w14:textId="631068D7" w:rsidR="00F67E9E" w:rsidRPr="00D00D9A" w:rsidRDefault="00F67E9E" w:rsidP="00F67E9E">
      <w:pPr>
        <w:pStyle w:val="Numbered111"/>
      </w:pPr>
      <w:r w:rsidRPr="00D00D9A">
        <w:t xml:space="preserve">determine business strategy and provide guidance on policy matters which may impact on the implementation </w:t>
      </w:r>
      <w:r w:rsidR="00D82775">
        <w:t xml:space="preserve">planning </w:t>
      </w:r>
      <w:r w:rsidRPr="00D00D9A">
        <w:t>of the Services or on any Optional Services</w:t>
      </w:r>
      <w:r w:rsidR="00D82775">
        <w:t xml:space="preserve"> which may be required by the Authority</w:t>
      </w:r>
      <w:r w:rsidRPr="00D00D9A">
        <w:t>;</w:t>
      </w:r>
    </w:p>
    <w:p w14:paraId="2BA83FA5" w14:textId="77777777" w:rsidR="00F67E9E" w:rsidRPr="00D00D9A" w:rsidRDefault="00F67E9E" w:rsidP="00F67E9E">
      <w:pPr>
        <w:pStyle w:val="Numbered111"/>
      </w:pPr>
      <w:r w:rsidRPr="00D00D9A">
        <w:t>authorise the commissioning and initiation of, and assess opportunities for, Optional Services; and</w:t>
      </w:r>
    </w:p>
    <w:p w14:paraId="709E6180" w14:textId="77777777" w:rsidR="00F67E9E" w:rsidRPr="00D00D9A" w:rsidRDefault="00F67E9E" w:rsidP="00F67E9E">
      <w:pPr>
        <w:pStyle w:val="Numbered111"/>
      </w:pPr>
      <w:r w:rsidRPr="00D00D9A">
        <w:t>provide guidance and authorisation to the Change Management Board on relevant Changes.</w:t>
      </w:r>
    </w:p>
    <w:p w14:paraId="070F4D0F" w14:textId="77777777" w:rsidR="00F67E9E" w:rsidRPr="00D00D9A" w:rsidRDefault="00F67E9E" w:rsidP="00F67E9E">
      <w:pPr>
        <w:pStyle w:val="Numbered1"/>
      </w:pPr>
      <w:bookmarkStart w:id="1365" w:name="_Ref_ContractCompanion_9kb9Us4DE"/>
      <w:bookmarkStart w:id="1366" w:name="_9kR3WTrAG98HKeJfifw5qEPOpFA157DG2y218F7"/>
      <w:r w:rsidRPr="00D00D9A">
        <w:lastRenderedPageBreak/>
        <w:t xml:space="preserve">Role </w:t>
      </w:r>
      <w:r>
        <w:t>o</w:t>
      </w:r>
      <w:r w:rsidRPr="00D00D9A">
        <w:t xml:space="preserve">f </w:t>
      </w:r>
      <w:r>
        <w:t>t</w:t>
      </w:r>
      <w:r w:rsidRPr="00D00D9A">
        <w:t>he Change Management Board</w:t>
      </w:r>
      <w:bookmarkEnd w:id="1365"/>
      <w:bookmarkEnd w:id="1366"/>
    </w:p>
    <w:p w14:paraId="25EBD0BD" w14:textId="1E4B427B" w:rsidR="00D82775" w:rsidRPr="00D82775" w:rsidRDefault="00F67E9E" w:rsidP="00D82775">
      <w:pPr>
        <w:pStyle w:val="Numbered11"/>
      </w:pPr>
      <w:r w:rsidRPr="00D00D9A">
        <w:t xml:space="preserve">The Change Management Board shall assess the impact and approve or reject all Change Requests. Changes which will have a significant impact on the </w:t>
      </w:r>
      <w:r w:rsidR="00D82775">
        <w:t xml:space="preserve">future Operational </w:t>
      </w:r>
      <w:r w:rsidRPr="00D00D9A">
        <w:t>Services shall be escalated to the Programme Board</w:t>
      </w:r>
      <w:r w:rsidR="00D82775">
        <w:t xml:space="preserve"> during  the period of performance of the Implementation Services</w:t>
      </w:r>
      <w:r w:rsidRPr="00D00D9A">
        <w:t>.</w:t>
      </w:r>
      <w:r w:rsidR="00D82775">
        <w:t xml:space="preserve"> C</w:t>
      </w:r>
      <w:r w:rsidR="00D82775" w:rsidRPr="00D82775">
        <w:t xml:space="preserve">hanges which will have a significant impact on the </w:t>
      </w:r>
      <w:r w:rsidR="00D82775">
        <w:t>Operational</w:t>
      </w:r>
      <w:r w:rsidR="00D82775" w:rsidRPr="00D82775">
        <w:t xml:space="preserve"> Service</w:t>
      </w:r>
      <w:r w:rsidR="00D82775">
        <w:t>s</w:t>
      </w:r>
      <w:r w:rsidR="00D82775" w:rsidRPr="00D82775">
        <w:t xml:space="preserve"> will be escalated to the Authority Executive Team during the </w:t>
      </w:r>
      <w:r w:rsidR="00D82775">
        <w:t>period of performance of the Operational</w:t>
      </w:r>
      <w:r w:rsidR="00D82775" w:rsidRPr="00D82775">
        <w:t xml:space="preserve"> Service</w:t>
      </w:r>
      <w:r w:rsidR="00D82775">
        <w:t>s</w:t>
      </w:r>
      <w:r w:rsidR="00D82775" w:rsidRPr="00D82775">
        <w:t>.</w:t>
      </w:r>
    </w:p>
    <w:p w14:paraId="744693A9" w14:textId="77777777" w:rsidR="00F67E9E" w:rsidRPr="00D00D9A" w:rsidRDefault="00F67E9E" w:rsidP="00F67E9E">
      <w:pPr>
        <w:pStyle w:val="Numbered11"/>
      </w:pPr>
      <w:r w:rsidRPr="00D00D9A">
        <w:t>The Change Management Board shall:</w:t>
      </w:r>
    </w:p>
    <w:p w14:paraId="529BA71D" w14:textId="77777777" w:rsidR="00F67E9E" w:rsidRPr="00D00D9A" w:rsidRDefault="00F67E9E" w:rsidP="00F67E9E">
      <w:pPr>
        <w:pStyle w:val="Numbered111"/>
      </w:pPr>
      <w:r w:rsidRPr="00D00D9A">
        <w:t>analyse and record the impact of all Changes, specifically whether the proposed Change:</w:t>
      </w:r>
    </w:p>
    <w:p w14:paraId="3866F2F4" w14:textId="77777777" w:rsidR="00F67E9E" w:rsidRPr="00961F5D" w:rsidRDefault="00F67E9E" w:rsidP="00F67E9E">
      <w:pPr>
        <w:pStyle w:val="Numbered111a"/>
      </w:pPr>
      <w:r w:rsidRPr="00D00D9A">
        <w:t xml:space="preserve">has an impact on other areas or aspects of this Contract and/or other </w:t>
      </w:r>
      <w:r w:rsidRPr="00961F5D">
        <w:t xml:space="preserve">documentation relating to the Services; </w:t>
      </w:r>
    </w:p>
    <w:p w14:paraId="6083584D" w14:textId="77777777" w:rsidR="00F67E9E" w:rsidRPr="00961F5D" w:rsidRDefault="00F67E9E" w:rsidP="00F67E9E">
      <w:pPr>
        <w:pStyle w:val="Numbered111a"/>
      </w:pPr>
      <w:r w:rsidRPr="00961F5D">
        <w:t xml:space="preserve">has an impact on the ability of the Authority to meet its agreed business needs within agreed time-scales; </w:t>
      </w:r>
    </w:p>
    <w:p w14:paraId="29DF5DC3" w14:textId="77777777" w:rsidR="00F67E9E" w:rsidRPr="00961F5D" w:rsidRDefault="00F67E9E" w:rsidP="00F67E9E">
      <w:pPr>
        <w:pStyle w:val="Numbered111a"/>
      </w:pPr>
      <w:r w:rsidRPr="00961F5D">
        <w:t>will raise any risks or issues relating to the proposed Change; and</w:t>
      </w:r>
    </w:p>
    <w:p w14:paraId="791CC8DE" w14:textId="77777777" w:rsidR="00F67E9E" w:rsidRPr="00D00D9A" w:rsidRDefault="00F67E9E" w:rsidP="00F67E9E">
      <w:pPr>
        <w:pStyle w:val="Numbered111a"/>
      </w:pPr>
      <w:r w:rsidRPr="00961F5D">
        <w:t>will provide value for money in consideration of any changes to the Financial Model, future Charges and/or Performance Indicators and Target Performance</w:t>
      </w:r>
      <w:r w:rsidRPr="00D00D9A">
        <w:t xml:space="preserve"> Levels;</w:t>
      </w:r>
    </w:p>
    <w:p w14:paraId="6052F458" w14:textId="77777777" w:rsidR="00F67E9E" w:rsidRPr="00D00D9A" w:rsidRDefault="00F67E9E" w:rsidP="00F67E9E">
      <w:pPr>
        <w:pStyle w:val="Numbered111"/>
      </w:pPr>
      <w:r w:rsidRPr="00D00D9A">
        <w:t>provide recommendations, seek guidance and authorisation from the Programme Board as required; and</w:t>
      </w:r>
    </w:p>
    <w:p w14:paraId="6974AC02" w14:textId="77777777" w:rsidR="00F67E9E" w:rsidRPr="00D00D9A" w:rsidRDefault="00F67E9E" w:rsidP="00F67E9E">
      <w:pPr>
        <w:pStyle w:val="Numbered111"/>
      </w:pPr>
      <w:r w:rsidRPr="00D00D9A">
        <w:t>approve or reject (close) all proposed Changes.</w:t>
      </w:r>
    </w:p>
    <w:p w14:paraId="3BF7B2FA" w14:textId="77777777" w:rsidR="00F67E9E" w:rsidRPr="00D00D9A" w:rsidRDefault="00F67E9E" w:rsidP="00F67E9E">
      <w:pPr>
        <w:pStyle w:val="Numbered1"/>
      </w:pPr>
      <w:bookmarkStart w:id="1367" w:name="_Ref_ContractCompanion_9kb9Us4DB"/>
      <w:bookmarkStart w:id="1368" w:name="_9kR3WTrAG98HHbJfifw5qEPPqFA157DG2FG04GI"/>
      <w:r w:rsidRPr="00D00D9A">
        <w:t xml:space="preserve">Role </w:t>
      </w:r>
      <w:r>
        <w:t>o</w:t>
      </w:r>
      <w:r w:rsidRPr="00D00D9A">
        <w:t xml:space="preserve">f </w:t>
      </w:r>
      <w:r>
        <w:t>t</w:t>
      </w:r>
      <w:r w:rsidRPr="00D00D9A">
        <w:t>he Technical Board</w:t>
      </w:r>
      <w:bookmarkEnd w:id="1367"/>
      <w:bookmarkEnd w:id="1368"/>
    </w:p>
    <w:p w14:paraId="2899EA07" w14:textId="0191615B" w:rsidR="00F67E9E" w:rsidRDefault="00D82775" w:rsidP="00F67E9E">
      <w:pPr>
        <w:pStyle w:val="Numbered11"/>
      </w:pPr>
      <w:r>
        <w:t>During the period of performance of the Implementation Services, t</w:t>
      </w:r>
      <w:r w:rsidR="00F67E9E" w:rsidRPr="00D00D9A">
        <w:t>he Technical Board shall be accountable to the Programme Board for oversight of the technology used in the Supplier Solution and ensuring that technological choices are made to maximise the long term value of the Supplier Solution as a business asset of the Authority.</w:t>
      </w:r>
    </w:p>
    <w:p w14:paraId="6DE03432" w14:textId="7A807239" w:rsidR="00D82775" w:rsidRPr="00D00D9A" w:rsidRDefault="00D82775" w:rsidP="00D82775">
      <w:pPr>
        <w:pStyle w:val="Numbered11"/>
      </w:pPr>
      <w:r w:rsidRPr="00D82775">
        <w:t xml:space="preserve">During the </w:t>
      </w:r>
      <w:r>
        <w:t xml:space="preserve">period of performance of the Operational Services, </w:t>
      </w:r>
      <w:r w:rsidRPr="00D82775">
        <w:t>the Technical Board shall be accountable to the Authority Executive Team for oversight of the technology used in the Supplier Solution and ensuring that technological choices are made to maximise the long term value of the Supplier Solution as a business asset of the Authority.</w:t>
      </w:r>
    </w:p>
    <w:p w14:paraId="33B3D3C7" w14:textId="77777777" w:rsidR="00F67E9E" w:rsidRPr="00D00D9A" w:rsidRDefault="00F67E9E" w:rsidP="00F67E9E">
      <w:pPr>
        <w:pStyle w:val="Numbered11"/>
      </w:pPr>
      <w:r w:rsidRPr="00D00D9A">
        <w:t>The Technical Board shall:</w:t>
      </w:r>
    </w:p>
    <w:p w14:paraId="14D04CD7" w14:textId="77777777" w:rsidR="00F67E9E" w:rsidRPr="00961F5D" w:rsidRDefault="00F67E9E" w:rsidP="00F67E9E">
      <w:pPr>
        <w:pStyle w:val="Numbered111"/>
      </w:pPr>
      <w:r w:rsidRPr="00D00D9A">
        <w:t xml:space="preserve">ensure </w:t>
      </w:r>
      <w:r w:rsidRPr="00961F5D">
        <w:t>compliance with the Standards;</w:t>
      </w:r>
    </w:p>
    <w:p w14:paraId="16209BE4" w14:textId="77777777" w:rsidR="00F67E9E" w:rsidRPr="00961F5D" w:rsidRDefault="00F67E9E" w:rsidP="00F67E9E">
      <w:pPr>
        <w:pStyle w:val="Numbered111"/>
      </w:pPr>
      <w:r w:rsidRPr="00961F5D">
        <w:t>grant dispensations for variations from such compliance where appropriate;</w:t>
      </w:r>
    </w:p>
    <w:p w14:paraId="7C092DC0" w14:textId="77777777" w:rsidR="00F67E9E" w:rsidRPr="00961F5D" w:rsidRDefault="00F67E9E" w:rsidP="00F67E9E">
      <w:pPr>
        <w:pStyle w:val="Numbered111"/>
      </w:pPr>
      <w:r w:rsidRPr="00961F5D">
        <w:t>assure the coherence and consistency of the systems architecture for the Supplier Solution;</w:t>
      </w:r>
    </w:p>
    <w:p w14:paraId="77D0856C" w14:textId="5C5E7E4B" w:rsidR="00363C98" w:rsidRDefault="00363C98" w:rsidP="00363C98">
      <w:pPr>
        <w:pStyle w:val="Numbered111"/>
      </w:pPr>
      <w:r w:rsidRPr="00363C98">
        <w:t xml:space="preserve">assure the coherence and consistency of the systems architecture within the </w:t>
      </w:r>
      <w:r>
        <w:t>Authority’s shared service t</w:t>
      </w:r>
      <w:r w:rsidRPr="00363C98">
        <w:t>echnology architecture</w:t>
      </w:r>
      <w:r>
        <w:t>;</w:t>
      </w:r>
    </w:p>
    <w:p w14:paraId="072D1A3C" w14:textId="0DE3D0DE" w:rsidR="00F67E9E" w:rsidRPr="00961F5D" w:rsidRDefault="00F67E9E" w:rsidP="00F67E9E">
      <w:pPr>
        <w:pStyle w:val="Numbered111"/>
      </w:pPr>
      <w:r w:rsidRPr="00961F5D">
        <w:lastRenderedPageBreak/>
        <w:t>monitor developments in new technology and reporting on their potential benefit to the Services;</w:t>
      </w:r>
    </w:p>
    <w:p w14:paraId="68543075" w14:textId="77777777" w:rsidR="00F67E9E" w:rsidRPr="00961F5D" w:rsidRDefault="00F67E9E" w:rsidP="00F67E9E">
      <w:pPr>
        <w:pStyle w:val="Numbered111"/>
      </w:pPr>
      <w:r w:rsidRPr="00961F5D">
        <w:t>provide advice, guidance and information on technical issues; and</w:t>
      </w:r>
    </w:p>
    <w:p w14:paraId="00D3EF58" w14:textId="77777777" w:rsidR="00F67E9E" w:rsidRPr="00D00D9A" w:rsidRDefault="00F67E9E" w:rsidP="00F67E9E">
      <w:pPr>
        <w:pStyle w:val="Numbered111"/>
      </w:pPr>
      <w:r w:rsidRPr="00961F5D">
        <w:t>assure that the technical architecture of the Supplier Solution is aligned to the Service Requirements and has sufficient flexibility to cope with future requirements</w:t>
      </w:r>
      <w:r w:rsidRPr="00D00D9A">
        <w:t xml:space="preserve"> of the Authority.</w:t>
      </w:r>
    </w:p>
    <w:p w14:paraId="5D91B997" w14:textId="13835966" w:rsidR="00F67E9E" w:rsidRPr="00D00D9A" w:rsidRDefault="00F67E9E" w:rsidP="00F67E9E">
      <w:pPr>
        <w:pStyle w:val="Numbered1"/>
      </w:pPr>
      <w:bookmarkStart w:id="1369" w:name="_Ref_ContractCompanion_9kb9Us5BH"/>
      <w:bookmarkStart w:id="1370" w:name="_9kR3WTrAG99GEGh50rvx36s38AD8z12w189BRGC"/>
      <w:r w:rsidRPr="00D00D9A">
        <w:t xml:space="preserve">Role </w:t>
      </w:r>
      <w:r>
        <w:t>o</w:t>
      </w:r>
      <w:r w:rsidRPr="00D00D9A">
        <w:t xml:space="preserve">f </w:t>
      </w:r>
      <w:r>
        <w:t>t</w:t>
      </w:r>
      <w:r w:rsidRPr="00D00D9A">
        <w:t xml:space="preserve">he Risk Management </w:t>
      </w:r>
      <w:bookmarkEnd w:id="1369"/>
      <w:bookmarkEnd w:id="1370"/>
      <w:r w:rsidR="00F57508">
        <w:t>Forum</w:t>
      </w:r>
    </w:p>
    <w:p w14:paraId="3A89BFA8" w14:textId="31096649" w:rsidR="00F67E9E" w:rsidRPr="00D00D9A" w:rsidRDefault="00F67E9E" w:rsidP="00F67E9E">
      <w:pPr>
        <w:pStyle w:val="Numbered11"/>
      </w:pPr>
      <w:r w:rsidRPr="00D00D9A">
        <w:t xml:space="preserve">The Risk Management </w:t>
      </w:r>
      <w:r w:rsidR="00F57508">
        <w:t>Forum</w:t>
      </w:r>
      <w:r w:rsidR="00F57508" w:rsidRPr="00D00D9A">
        <w:t xml:space="preserve"> </w:t>
      </w:r>
      <w:r w:rsidRPr="00D00D9A">
        <w:t>shall identify and manage risks relating to the performance of the Services.</w:t>
      </w:r>
    </w:p>
    <w:p w14:paraId="518A6141" w14:textId="50A5DC41" w:rsidR="00F67E9E" w:rsidRPr="00D00D9A" w:rsidRDefault="00F67E9E" w:rsidP="00F67E9E">
      <w:pPr>
        <w:pStyle w:val="Numbered11"/>
      </w:pPr>
      <w:r w:rsidRPr="00D00D9A">
        <w:t xml:space="preserve">The Risk Management </w:t>
      </w:r>
      <w:r w:rsidR="00F57508">
        <w:t>Forum</w:t>
      </w:r>
      <w:r w:rsidR="00F57508" w:rsidRPr="00D00D9A">
        <w:t xml:space="preserve"> </w:t>
      </w:r>
      <w:r w:rsidRPr="00D00D9A">
        <w:t>shall:</w:t>
      </w:r>
    </w:p>
    <w:p w14:paraId="44C1D08E" w14:textId="168C56B2" w:rsidR="00F67E9E" w:rsidRPr="00D00D9A" w:rsidRDefault="00F67E9E" w:rsidP="00F67E9E">
      <w:pPr>
        <w:pStyle w:val="Numbered111"/>
      </w:pPr>
      <w:r w:rsidRPr="00D00D9A">
        <w:t xml:space="preserve">provide assurance to the Programme Board </w:t>
      </w:r>
      <w:r w:rsidR="00EB768A">
        <w:t xml:space="preserve">during the period of performance of the Implementation Services </w:t>
      </w:r>
      <w:r w:rsidRPr="00D00D9A">
        <w:t xml:space="preserve">that risks are being effectively managed across the Services, including reporting the </w:t>
      </w:r>
      <w:r>
        <w:t>‘</w:t>
      </w:r>
      <w:r w:rsidRPr="00D00D9A">
        <w:t>top 5</w:t>
      </w:r>
      <w:r>
        <w:t>’</w:t>
      </w:r>
      <w:r w:rsidRPr="00D00D9A">
        <w:t xml:space="preserve"> risks to the Programme Board on a monthly basis; </w:t>
      </w:r>
    </w:p>
    <w:p w14:paraId="4FE8E27F" w14:textId="3B4AA706" w:rsidR="00EB768A" w:rsidRDefault="00EB768A" w:rsidP="00EB768A">
      <w:pPr>
        <w:pStyle w:val="Numbered111"/>
      </w:pPr>
      <w:r w:rsidRPr="00EB768A">
        <w:t xml:space="preserve">provide assurance to the Authority Executive Team during the </w:t>
      </w:r>
      <w:r>
        <w:t>period of performance of the Operational Services</w:t>
      </w:r>
      <w:r w:rsidRPr="00EB768A">
        <w:t xml:space="preserve"> that risks are being effectively managed across the Services, including reporting the ‘top 5’ risks to the Authority Executive Team on a monthly basis</w:t>
      </w:r>
      <w:r w:rsidR="00F57508">
        <w:t>;</w:t>
      </w:r>
    </w:p>
    <w:p w14:paraId="5A6ABE89" w14:textId="2C2B1E7B" w:rsidR="00F67E9E" w:rsidRPr="00D00D9A" w:rsidRDefault="00F67E9E" w:rsidP="00F67E9E">
      <w:pPr>
        <w:pStyle w:val="Numbered111"/>
      </w:pPr>
      <w:r w:rsidRPr="00D00D9A">
        <w:t>identify the risks to be reported to the Programme Board</w:t>
      </w:r>
      <w:r w:rsidR="00EB768A">
        <w:t xml:space="preserve"> and/or the Authority Executive Team (as applicable)</w:t>
      </w:r>
      <w:r w:rsidRPr="00D00D9A">
        <w:t xml:space="preserve"> via the regular risk reports; </w:t>
      </w:r>
    </w:p>
    <w:p w14:paraId="4C1C7DA3" w14:textId="77777777" w:rsidR="00F67E9E" w:rsidRPr="00D00D9A" w:rsidRDefault="00F67E9E" w:rsidP="00F67E9E">
      <w:pPr>
        <w:pStyle w:val="Numbered111"/>
      </w:pPr>
      <w:r w:rsidRPr="00D00D9A">
        <w:t xml:space="preserve">subject to the Change Control Procedure, accept or reject new risks proposed for inclusion in the Risk Register; </w:t>
      </w:r>
    </w:p>
    <w:p w14:paraId="7C0CB752" w14:textId="77777777" w:rsidR="00F67E9E" w:rsidRPr="00D00D9A" w:rsidRDefault="00F67E9E" w:rsidP="00F67E9E">
      <w:pPr>
        <w:pStyle w:val="Numbered111"/>
      </w:pPr>
      <w:r w:rsidRPr="00D00D9A">
        <w:t>ratify or refuse requests to close risks on the Risk Register; and</w:t>
      </w:r>
    </w:p>
    <w:p w14:paraId="0EE1AE37" w14:textId="77777777" w:rsidR="00F67E9E" w:rsidRPr="00D00D9A" w:rsidRDefault="00F67E9E" w:rsidP="00F67E9E">
      <w:pPr>
        <w:pStyle w:val="Numbered111"/>
      </w:pPr>
      <w:r w:rsidRPr="00D00D9A">
        <w:t>identify risks relating to or arising out of the performance of the Services and provisional owners of these risks.</w:t>
      </w:r>
    </w:p>
    <w:p w14:paraId="02E53D57" w14:textId="77777777" w:rsidR="00F67E9E" w:rsidRPr="00D00D9A" w:rsidRDefault="00F67E9E" w:rsidP="00F67E9E">
      <w:pPr>
        <w:pStyle w:val="Numbered1"/>
      </w:pPr>
      <w:r w:rsidRPr="00D00D9A">
        <w:t>Contract Management Mechanisms</w:t>
      </w:r>
    </w:p>
    <w:p w14:paraId="2F6EDF6A" w14:textId="77777777" w:rsidR="00F67E9E" w:rsidRPr="00D00D9A" w:rsidRDefault="00F67E9E" w:rsidP="00F67E9E">
      <w:pPr>
        <w:pStyle w:val="Numbered11"/>
      </w:pPr>
      <w:r w:rsidRPr="00D00D9A">
        <w:t>Both Parties shall pro-actively manage risks attributed to them under the terms of this Contract.</w:t>
      </w:r>
    </w:p>
    <w:p w14:paraId="4B7DB0D0" w14:textId="77777777" w:rsidR="00F67E9E" w:rsidRPr="00D00D9A" w:rsidRDefault="00F67E9E" w:rsidP="00F67E9E">
      <w:pPr>
        <w:pStyle w:val="Numbered11"/>
      </w:pPr>
      <w:r w:rsidRPr="00D00D9A">
        <w:t>The Supplier shall develop, operate, maintain and amend, as agreed with the Authority, processes for:</w:t>
      </w:r>
    </w:p>
    <w:p w14:paraId="2FF4FB19" w14:textId="77777777" w:rsidR="00F67E9E" w:rsidRPr="00D00D9A" w:rsidRDefault="00F67E9E" w:rsidP="00F67E9E">
      <w:pPr>
        <w:pStyle w:val="Numbered111"/>
      </w:pPr>
      <w:r w:rsidRPr="00D00D9A">
        <w:t>the identification and management of risks;</w:t>
      </w:r>
    </w:p>
    <w:p w14:paraId="6451B842" w14:textId="77777777" w:rsidR="00F67E9E" w:rsidRPr="00D00D9A" w:rsidRDefault="00F67E9E" w:rsidP="00F67E9E">
      <w:pPr>
        <w:pStyle w:val="Numbered111"/>
      </w:pPr>
      <w:r w:rsidRPr="00D00D9A">
        <w:t>the identification and management of issues; and</w:t>
      </w:r>
    </w:p>
    <w:p w14:paraId="2E16B570" w14:textId="77777777" w:rsidR="00F67E9E" w:rsidRPr="00D00D9A" w:rsidRDefault="00F67E9E" w:rsidP="00F67E9E">
      <w:pPr>
        <w:pStyle w:val="Numbered111"/>
      </w:pPr>
      <w:r w:rsidRPr="00D00D9A">
        <w:t>monitoring and controlling project plans.</w:t>
      </w:r>
    </w:p>
    <w:p w14:paraId="383B4E06" w14:textId="05FF8C5F" w:rsidR="00F67E9E" w:rsidRPr="00D00D9A" w:rsidRDefault="00F67E9E" w:rsidP="00F67E9E">
      <w:pPr>
        <w:pStyle w:val="Numbered11"/>
      </w:pPr>
      <w:r w:rsidRPr="00D00D9A">
        <w:t xml:space="preserve">The Risk Register shall be updated by the Supplier and submitted for review by the Risk </w:t>
      </w:r>
      <w:r w:rsidRPr="00961F5D">
        <w:t>Management</w:t>
      </w:r>
      <w:r w:rsidRPr="00D00D9A">
        <w:t xml:space="preserve"> </w:t>
      </w:r>
      <w:r w:rsidR="00F57508">
        <w:t>Forum</w:t>
      </w:r>
      <w:r w:rsidRPr="00D00D9A">
        <w:t>.</w:t>
      </w:r>
    </w:p>
    <w:p w14:paraId="562D08D5" w14:textId="77777777" w:rsidR="00F67E9E" w:rsidRPr="003B3F46" w:rsidRDefault="00F67E9E" w:rsidP="00F67E9E">
      <w:pPr>
        <w:pStyle w:val="Numbered1"/>
      </w:pPr>
      <w:r w:rsidRPr="003B3F46">
        <w:lastRenderedPageBreak/>
        <w:t>Annual Review</w:t>
      </w:r>
    </w:p>
    <w:p w14:paraId="18B8A641" w14:textId="77777777" w:rsidR="00F67E9E" w:rsidRPr="003B3F46" w:rsidRDefault="00F67E9E" w:rsidP="00F67E9E">
      <w:pPr>
        <w:pStyle w:val="Numbered11"/>
      </w:pPr>
      <w:r w:rsidRPr="003B3F46">
        <w:t>An annual review meeting shall be held throughout the Term on a date to be agreed between the Parties.</w:t>
      </w:r>
    </w:p>
    <w:p w14:paraId="7ECEBB0A" w14:textId="72CFF197" w:rsidR="00F67E9E" w:rsidRDefault="00F67E9E" w:rsidP="00124258">
      <w:pPr>
        <w:pStyle w:val="Numbered11"/>
      </w:pPr>
      <w:r w:rsidRPr="003B3F46">
        <w:t>The meetings shall be attended by the</w:t>
      </w:r>
      <w:r w:rsidRPr="008758E7">
        <w:t xml:space="preserve"> </w:t>
      </w:r>
      <w:r w:rsidR="00397217" w:rsidRPr="00F95340">
        <w:rPr>
          <w:b/>
          <w:color w:val="FFFF00"/>
          <w:highlight w:val="black"/>
        </w:rPr>
        <w:t>Redacted</w:t>
      </w:r>
      <w:r w:rsidR="00397217" w:rsidRPr="00F95340">
        <w:rPr>
          <w:b/>
          <w:highlight w:val="black"/>
        </w:rPr>
        <w:t xml:space="preserve"> </w:t>
      </w:r>
      <w:r w:rsidR="00397217" w:rsidRPr="00F95340">
        <w:rPr>
          <w:b/>
          <w:color w:val="FFFFFF" w:themeColor="background1"/>
          <w:highlight w:val="black"/>
        </w:rPr>
        <w:t xml:space="preserve">Under FOIA Section </w:t>
      </w:r>
      <w:r w:rsidR="00397217">
        <w:rPr>
          <w:b/>
          <w:color w:val="FFFFFF" w:themeColor="background1"/>
          <w:highlight w:val="black"/>
        </w:rPr>
        <w:t>40</w:t>
      </w:r>
      <w:r w:rsidR="00397217" w:rsidRPr="00397217">
        <w:rPr>
          <w:b/>
          <w:color w:val="FFFFFF" w:themeColor="background1"/>
          <w:highlight w:val="black"/>
        </w:rPr>
        <w:t>, Personal Information</w:t>
      </w:r>
      <w:r w:rsidRPr="003B3F46">
        <w:t xml:space="preserve"> and any other persons considered by the Authority necessary for the review.</w:t>
      </w:r>
      <w:r w:rsidR="00EB768A">
        <w:t xml:space="preserve"> </w:t>
      </w:r>
    </w:p>
    <w:p w14:paraId="5BEA6E02" w14:textId="77777777" w:rsidR="00F67E9E" w:rsidRDefault="00F67E9E" w:rsidP="00F67E9E"/>
    <w:p w14:paraId="4B8B3AD6" w14:textId="77777777" w:rsidR="00F67E9E" w:rsidRPr="000B6F69" w:rsidRDefault="00F67E9E" w:rsidP="00F67E9E">
      <w:pPr>
        <w:pStyle w:val="Heading2"/>
        <w:pageBreakBefore/>
      </w:pPr>
      <w:bookmarkStart w:id="1371" w:name="_Ref_ContractCompanion_9kb9Ur6AB"/>
      <w:bookmarkStart w:id="1372" w:name="_Ref_ContractCompanion_9kb9Ur7CA"/>
      <w:bookmarkStart w:id="1373" w:name="_Ref_ContractCompanion_9kb9Us7D9"/>
      <w:bookmarkStart w:id="1374" w:name="_Toc145412797"/>
      <w:r w:rsidRPr="00D00D9A">
        <w:lastRenderedPageBreak/>
        <w:t xml:space="preserve">Annex </w:t>
      </w:r>
      <w:bookmarkStart w:id="1375" w:name="ANNEX1_SCHEDULE21"/>
      <w:r w:rsidRPr="00D00D9A">
        <w:t>1</w:t>
      </w:r>
      <w:bookmarkEnd w:id="1375"/>
      <w:r w:rsidRPr="00D00D9A">
        <w:t>: Representation</w:t>
      </w:r>
      <w:r w:rsidRPr="00F0375C">
        <w:t xml:space="preserve"> </w:t>
      </w:r>
      <w:r>
        <w:t>a</w:t>
      </w:r>
      <w:r w:rsidRPr="00F0375C">
        <w:t xml:space="preserve">nd Structure </w:t>
      </w:r>
      <w:r>
        <w:t>o</w:t>
      </w:r>
      <w:r w:rsidRPr="00F0375C">
        <w:t>f Boards</w:t>
      </w:r>
      <w:bookmarkEnd w:id="1371"/>
      <w:bookmarkEnd w:id="1372"/>
      <w:bookmarkEnd w:id="1373"/>
      <w:bookmarkEnd w:id="1374"/>
    </w:p>
    <w:p w14:paraId="375D041A" w14:textId="2224FEBB" w:rsidR="00F67E9E" w:rsidRDefault="00F67E9E" w:rsidP="00F67E9E">
      <w:pPr>
        <w:pStyle w:val="BlankDocumentTitle"/>
        <w:rPr>
          <w:rFonts w:cs="Arial"/>
        </w:rPr>
      </w:pPr>
      <w:r w:rsidRPr="003B3F46">
        <w:rPr>
          <w:rFonts w:cs="Arial"/>
        </w:rPr>
        <w:t>Service Management Board</w:t>
      </w:r>
    </w:p>
    <w:p w14:paraId="4F137C39" w14:textId="3917B914" w:rsidR="00EB768A" w:rsidRPr="00EB768A" w:rsidRDefault="00EB768A" w:rsidP="00EB768A">
      <w:pPr>
        <w:pStyle w:val="StdBodyText"/>
      </w:pPr>
    </w:p>
    <w:tbl>
      <w:tblPr>
        <w:tblStyle w:val="MSATable-header"/>
        <w:tblW w:w="10204" w:type="dxa"/>
        <w:tblLook w:val="0600" w:firstRow="0" w:lastRow="0" w:firstColumn="0" w:lastColumn="0" w:noHBand="1" w:noVBand="1"/>
      </w:tblPr>
      <w:tblGrid>
        <w:gridCol w:w="5669"/>
        <w:gridCol w:w="4535"/>
      </w:tblGrid>
      <w:tr w:rsidR="00F67E9E" w:rsidRPr="003B3F46" w14:paraId="2DD8D927" w14:textId="77777777" w:rsidTr="0052486C">
        <w:tc>
          <w:tcPr>
            <w:tcW w:w="5669" w:type="dxa"/>
          </w:tcPr>
          <w:p w14:paraId="0673238E" w14:textId="62305EE0" w:rsidR="00F67E9E" w:rsidRPr="003B3F46" w:rsidRDefault="00F67E9E" w:rsidP="0052486C">
            <w:pPr>
              <w:pStyle w:val="StdBodyText"/>
              <w:spacing w:before="0" w:after="0"/>
              <w:rPr>
                <w:rFonts w:cs="Arial"/>
              </w:rPr>
            </w:pPr>
            <w:r w:rsidRPr="003B3F46">
              <w:rPr>
                <w:rFonts w:cs="Arial"/>
              </w:rPr>
              <w:t xml:space="preserve">Authority Members of </w:t>
            </w:r>
            <w:r w:rsidR="001D5ACD">
              <w:rPr>
                <w:rFonts w:cs="Arial"/>
              </w:rPr>
              <w:t xml:space="preserve">Live </w:t>
            </w:r>
            <w:r w:rsidRPr="003B3F46">
              <w:rPr>
                <w:rFonts w:cs="Arial"/>
              </w:rPr>
              <w:t>Service Management Board</w:t>
            </w:r>
          </w:p>
        </w:tc>
        <w:tc>
          <w:tcPr>
            <w:tcW w:w="4535" w:type="dxa"/>
          </w:tcPr>
          <w:p w14:paraId="0A27A45A" w14:textId="152AC948" w:rsidR="00F67E9E" w:rsidRPr="003B3F46" w:rsidRDefault="00397217" w:rsidP="00F57508">
            <w:pPr>
              <w:pStyle w:val="StdBodyText"/>
              <w:spacing w:before="0" w:after="0"/>
              <w:rPr>
                <w:rFonts w:cs="Arial"/>
                <w:highlight w:val="yellow"/>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397217">
              <w:rPr>
                <w:b/>
                <w:color w:val="FFFFFF" w:themeColor="background1"/>
                <w:highlight w:val="black"/>
              </w:rPr>
              <w:t>, Personal Information</w:t>
            </w:r>
          </w:p>
        </w:tc>
      </w:tr>
      <w:tr w:rsidR="00F67E9E" w:rsidRPr="003B3F46" w14:paraId="7067294E" w14:textId="77777777" w:rsidTr="0052486C">
        <w:tc>
          <w:tcPr>
            <w:tcW w:w="5669" w:type="dxa"/>
          </w:tcPr>
          <w:p w14:paraId="730F7971" w14:textId="060537B5" w:rsidR="00F67E9E" w:rsidRPr="003B3F46" w:rsidRDefault="00F67E9E" w:rsidP="0052486C">
            <w:pPr>
              <w:pStyle w:val="StdBodyText"/>
              <w:spacing w:before="0" w:after="0"/>
              <w:rPr>
                <w:rFonts w:cs="Arial"/>
              </w:rPr>
            </w:pPr>
            <w:r w:rsidRPr="003B3F46">
              <w:rPr>
                <w:rFonts w:cs="Arial"/>
              </w:rPr>
              <w:t xml:space="preserve">Supplier Members of </w:t>
            </w:r>
            <w:r w:rsidR="001D5ACD">
              <w:rPr>
                <w:rFonts w:cs="Arial"/>
              </w:rPr>
              <w:t xml:space="preserve">Live </w:t>
            </w:r>
            <w:r w:rsidRPr="003B3F46">
              <w:rPr>
                <w:rFonts w:cs="Arial"/>
              </w:rPr>
              <w:t>Service Management Board</w:t>
            </w:r>
          </w:p>
        </w:tc>
        <w:tc>
          <w:tcPr>
            <w:tcW w:w="4535" w:type="dxa"/>
          </w:tcPr>
          <w:p w14:paraId="33B2E0CF" w14:textId="0D78BE99" w:rsidR="00F67E9E" w:rsidRPr="003B3F46" w:rsidRDefault="00397217" w:rsidP="0052486C">
            <w:pPr>
              <w:pStyle w:val="StdBodyText"/>
              <w:spacing w:before="0" w:after="0"/>
              <w:rPr>
                <w:rFonts w:cs="Arial"/>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397217">
              <w:rPr>
                <w:b/>
                <w:color w:val="FFFFFF" w:themeColor="background1"/>
                <w:highlight w:val="black"/>
              </w:rPr>
              <w:t>, Personal Information</w:t>
            </w:r>
          </w:p>
        </w:tc>
      </w:tr>
      <w:tr w:rsidR="00F57508" w:rsidRPr="003B3F46" w14:paraId="623C6BFE" w14:textId="77777777" w:rsidTr="0052486C">
        <w:tc>
          <w:tcPr>
            <w:tcW w:w="5669" w:type="dxa"/>
          </w:tcPr>
          <w:p w14:paraId="40A899CF" w14:textId="5E76B9D4" w:rsidR="00F57508" w:rsidRPr="003B3F46" w:rsidRDefault="00F57508" w:rsidP="00F57508">
            <w:pPr>
              <w:pStyle w:val="StdBodyText"/>
              <w:spacing w:before="0" w:after="0"/>
              <w:rPr>
                <w:rFonts w:cs="Arial"/>
              </w:rPr>
            </w:pPr>
            <w:r w:rsidRPr="003B3F46">
              <w:rPr>
                <w:rFonts w:cs="Arial"/>
              </w:rPr>
              <w:t xml:space="preserve">Start Date for </w:t>
            </w:r>
            <w:r>
              <w:rPr>
                <w:rFonts w:cs="Arial"/>
              </w:rPr>
              <w:t xml:space="preserve">Live </w:t>
            </w:r>
            <w:r w:rsidRPr="003B3F46">
              <w:rPr>
                <w:rFonts w:cs="Arial"/>
              </w:rPr>
              <w:t>Service Management Board meetings</w:t>
            </w:r>
          </w:p>
        </w:tc>
        <w:tc>
          <w:tcPr>
            <w:tcW w:w="4535" w:type="dxa"/>
          </w:tcPr>
          <w:p w14:paraId="1F21796F" w14:textId="3235B9DB" w:rsidR="00F57508" w:rsidRPr="003B3F46" w:rsidRDefault="00F57508" w:rsidP="00F57508">
            <w:pPr>
              <w:pStyle w:val="StdBodyText"/>
              <w:spacing w:before="0" w:after="0"/>
              <w:rPr>
                <w:rFonts w:cs="Arial"/>
              </w:rPr>
            </w:pPr>
            <w:r>
              <w:rPr>
                <w:rFonts w:eastAsia="Arial" w:cs="Arial"/>
                <w:color w:val="000000"/>
              </w:rPr>
              <w:t>January 2025</w:t>
            </w:r>
          </w:p>
        </w:tc>
      </w:tr>
      <w:tr w:rsidR="00F57508" w:rsidRPr="003B3F46" w14:paraId="53D0A36E" w14:textId="77777777" w:rsidTr="0052486C">
        <w:tc>
          <w:tcPr>
            <w:tcW w:w="5669" w:type="dxa"/>
          </w:tcPr>
          <w:p w14:paraId="4307D2DA" w14:textId="56BFB7C0" w:rsidR="00F57508" w:rsidRPr="003B3F46" w:rsidRDefault="00F57508" w:rsidP="00F57508">
            <w:pPr>
              <w:pStyle w:val="StdBodyText"/>
              <w:spacing w:before="0" w:after="0"/>
              <w:rPr>
                <w:rFonts w:cs="Arial"/>
              </w:rPr>
            </w:pPr>
            <w:r w:rsidRPr="003B3F46">
              <w:rPr>
                <w:rFonts w:cs="Arial"/>
              </w:rPr>
              <w:t xml:space="preserve">Frequency of </w:t>
            </w:r>
            <w:r>
              <w:rPr>
                <w:rFonts w:cs="Arial"/>
              </w:rPr>
              <w:t xml:space="preserve">Live </w:t>
            </w:r>
            <w:r w:rsidRPr="003B3F46">
              <w:rPr>
                <w:rFonts w:cs="Arial"/>
              </w:rPr>
              <w:t>Service Management Board meetings</w:t>
            </w:r>
          </w:p>
        </w:tc>
        <w:tc>
          <w:tcPr>
            <w:tcW w:w="4535" w:type="dxa"/>
          </w:tcPr>
          <w:p w14:paraId="1E30DE66" w14:textId="5227C858" w:rsidR="00F57508" w:rsidRPr="003B3F46" w:rsidRDefault="00F57508" w:rsidP="00F57508">
            <w:pPr>
              <w:pStyle w:val="StdBodyText"/>
              <w:spacing w:before="0" w:after="0"/>
              <w:rPr>
                <w:rFonts w:cs="Arial"/>
              </w:rPr>
            </w:pPr>
            <w:r>
              <w:rPr>
                <w:rFonts w:eastAsia="Arial" w:cs="Arial"/>
                <w:color w:val="000000"/>
              </w:rPr>
              <w:t>Monthly</w:t>
            </w:r>
          </w:p>
        </w:tc>
      </w:tr>
      <w:tr w:rsidR="00F57508" w:rsidRPr="003B3F46" w14:paraId="75E66AB0" w14:textId="77777777" w:rsidTr="0052486C">
        <w:tc>
          <w:tcPr>
            <w:tcW w:w="5669" w:type="dxa"/>
          </w:tcPr>
          <w:p w14:paraId="061A8B88" w14:textId="79E68319" w:rsidR="00F57508" w:rsidRPr="003B3F46" w:rsidRDefault="00F57508" w:rsidP="00F57508">
            <w:pPr>
              <w:pStyle w:val="StdBodyText"/>
              <w:spacing w:before="0" w:after="0"/>
              <w:rPr>
                <w:rFonts w:cs="Arial"/>
              </w:rPr>
            </w:pPr>
            <w:r w:rsidRPr="003B3F46">
              <w:rPr>
                <w:rFonts w:cs="Arial"/>
              </w:rPr>
              <w:t xml:space="preserve">Location of </w:t>
            </w:r>
            <w:r>
              <w:rPr>
                <w:rFonts w:cs="Arial"/>
              </w:rPr>
              <w:t xml:space="preserve">Live </w:t>
            </w:r>
            <w:r w:rsidRPr="003B3F46">
              <w:rPr>
                <w:rFonts w:cs="Arial"/>
              </w:rPr>
              <w:t>Service Management Board meetings</w:t>
            </w:r>
          </w:p>
        </w:tc>
        <w:tc>
          <w:tcPr>
            <w:tcW w:w="4535" w:type="dxa"/>
          </w:tcPr>
          <w:p w14:paraId="43678858" w14:textId="5B3DC43D" w:rsidR="00F57508" w:rsidRPr="003B3F46" w:rsidRDefault="00F57508" w:rsidP="00F57508">
            <w:pPr>
              <w:pStyle w:val="StdBodyText"/>
              <w:spacing w:before="0" w:after="0"/>
              <w:rPr>
                <w:rFonts w:cs="Arial"/>
              </w:rPr>
            </w:pPr>
            <w:r>
              <w:rPr>
                <w:rFonts w:eastAsia="Arial" w:cs="Arial"/>
                <w:color w:val="000000"/>
              </w:rPr>
              <w:t>Virtual - Google</w:t>
            </w:r>
          </w:p>
        </w:tc>
      </w:tr>
    </w:tbl>
    <w:p w14:paraId="2397D029" w14:textId="77777777" w:rsidR="00F67E9E" w:rsidRPr="003B3F46" w:rsidRDefault="00F67E9E" w:rsidP="00F67E9E">
      <w:pPr>
        <w:pStyle w:val="Table-followingparagraph"/>
      </w:pPr>
    </w:p>
    <w:p w14:paraId="12196FDE" w14:textId="1ED645B1" w:rsidR="00F67E9E" w:rsidRDefault="00F67E9E" w:rsidP="00F67E9E">
      <w:pPr>
        <w:pStyle w:val="BlankDocumentTitle"/>
        <w:rPr>
          <w:rFonts w:cs="Arial"/>
        </w:rPr>
      </w:pPr>
      <w:r w:rsidRPr="003B3F46">
        <w:rPr>
          <w:rFonts w:cs="Arial"/>
        </w:rPr>
        <w:t>Programme Board</w:t>
      </w:r>
    </w:p>
    <w:p w14:paraId="1D3C665A" w14:textId="199D5E43" w:rsidR="00EB768A" w:rsidRPr="00EB768A" w:rsidRDefault="00EB768A" w:rsidP="00EB768A">
      <w:pPr>
        <w:pStyle w:val="StdBodyText"/>
      </w:pPr>
    </w:p>
    <w:tbl>
      <w:tblPr>
        <w:tblStyle w:val="MSATable-header"/>
        <w:tblW w:w="10204" w:type="dxa"/>
        <w:tblLook w:val="0600" w:firstRow="0" w:lastRow="0" w:firstColumn="0" w:lastColumn="0" w:noHBand="1" w:noVBand="1"/>
      </w:tblPr>
      <w:tblGrid>
        <w:gridCol w:w="5669"/>
        <w:gridCol w:w="4535"/>
      </w:tblGrid>
      <w:tr w:rsidR="00F67E9E" w:rsidRPr="003B3F46" w14:paraId="4E52D1CE" w14:textId="77777777" w:rsidTr="0052486C">
        <w:tc>
          <w:tcPr>
            <w:tcW w:w="5669" w:type="dxa"/>
          </w:tcPr>
          <w:p w14:paraId="74E54940" w14:textId="77777777" w:rsidR="00F67E9E" w:rsidRPr="003B3F46" w:rsidRDefault="00F67E9E" w:rsidP="0052486C">
            <w:pPr>
              <w:pStyle w:val="StdBodyText"/>
              <w:spacing w:before="0" w:after="0"/>
              <w:rPr>
                <w:rFonts w:cs="Arial"/>
              </w:rPr>
            </w:pPr>
            <w:r w:rsidRPr="003B3F46">
              <w:rPr>
                <w:rFonts w:cs="Arial"/>
              </w:rPr>
              <w:t>Authority members of Programme Board</w:t>
            </w:r>
          </w:p>
        </w:tc>
        <w:tc>
          <w:tcPr>
            <w:tcW w:w="4535" w:type="dxa"/>
          </w:tcPr>
          <w:p w14:paraId="1B37FF88" w14:textId="6BEC4B32" w:rsidR="00F67E9E" w:rsidRPr="003B3F46" w:rsidRDefault="00397217" w:rsidP="00F57508">
            <w:pPr>
              <w:pStyle w:val="StdBodyText"/>
              <w:spacing w:before="0" w:after="0"/>
              <w:rPr>
                <w:rFonts w:cs="Arial"/>
                <w:highlight w:val="yellow"/>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397217">
              <w:rPr>
                <w:b/>
                <w:color w:val="FFFFFF" w:themeColor="background1"/>
                <w:highlight w:val="black"/>
              </w:rPr>
              <w:t>, Personal Information</w:t>
            </w:r>
          </w:p>
        </w:tc>
      </w:tr>
      <w:tr w:rsidR="00F67E9E" w:rsidRPr="003B3F46" w14:paraId="19DDC92D" w14:textId="77777777" w:rsidTr="0052486C">
        <w:tc>
          <w:tcPr>
            <w:tcW w:w="5669" w:type="dxa"/>
          </w:tcPr>
          <w:p w14:paraId="5A47BE06" w14:textId="77777777" w:rsidR="00F67E9E" w:rsidRPr="003B3F46" w:rsidRDefault="00F67E9E" w:rsidP="0052486C">
            <w:pPr>
              <w:pStyle w:val="StdBodyText"/>
              <w:spacing w:before="0" w:after="0"/>
              <w:rPr>
                <w:rFonts w:cs="Arial"/>
              </w:rPr>
            </w:pPr>
            <w:r w:rsidRPr="003B3F46">
              <w:rPr>
                <w:rFonts w:cs="Arial"/>
              </w:rPr>
              <w:t>Supplier members of Programme Board</w:t>
            </w:r>
          </w:p>
        </w:tc>
        <w:tc>
          <w:tcPr>
            <w:tcW w:w="4535" w:type="dxa"/>
          </w:tcPr>
          <w:p w14:paraId="0D51E57E" w14:textId="1D9B7D29" w:rsidR="002307E7" w:rsidRPr="003B3F46" w:rsidRDefault="00397217" w:rsidP="0052486C">
            <w:pPr>
              <w:pStyle w:val="StdBodyText"/>
              <w:spacing w:before="0" w:after="0"/>
              <w:rPr>
                <w:rFonts w:cs="Arial"/>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397217">
              <w:rPr>
                <w:b/>
                <w:color w:val="FFFFFF" w:themeColor="background1"/>
                <w:highlight w:val="black"/>
              </w:rPr>
              <w:t>, Personal Information</w:t>
            </w:r>
          </w:p>
        </w:tc>
      </w:tr>
      <w:tr w:rsidR="00F57508" w:rsidRPr="003B3F46" w14:paraId="01C452C3" w14:textId="77777777" w:rsidTr="0052486C">
        <w:tc>
          <w:tcPr>
            <w:tcW w:w="5669" w:type="dxa"/>
          </w:tcPr>
          <w:p w14:paraId="6C7B71E0" w14:textId="77777777" w:rsidR="00F57508" w:rsidRPr="003B3F46" w:rsidRDefault="00F57508" w:rsidP="00F57508">
            <w:pPr>
              <w:pStyle w:val="StdBodyText"/>
              <w:spacing w:before="0" w:after="0"/>
              <w:rPr>
                <w:rFonts w:cs="Arial"/>
              </w:rPr>
            </w:pPr>
            <w:r w:rsidRPr="003B3F46">
              <w:rPr>
                <w:rFonts w:cs="Arial"/>
              </w:rPr>
              <w:t>Start date for Programme Board meetings</w:t>
            </w:r>
          </w:p>
        </w:tc>
        <w:tc>
          <w:tcPr>
            <w:tcW w:w="4535" w:type="dxa"/>
          </w:tcPr>
          <w:p w14:paraId="56CC96DC" w14:textId="6DE8CEE0" w:rsidR="00F57508" w:rsidRPr="003B3F46" w:rsidRDefault="00F57508" w:rsidP="00F57508">
            <w:pPr>
              <w:pStyle w:val="StdBodyText"/>
              <w:spacing w:before="0" w:after="0"/>
              <w:rPr>
                <w:rFonts w:cs="Arial"/>
              </w:rPr>
            </w:pPr>
            <w:r>
              <w:rPr>
                <w:rFonts w:eastAsia="Arial" w:cs="Arial"/>
                <w:color w:val="000000"/>
              </w:rPr>
              <w:t>24 September 2024</w:t>
            </w:r>
          </w:p>
        </w:tc>
      </w:tr>
      <w:tr w:rsidR="00F57508" w:rsidRPr="003B3F46" w14:paraId="22F8C186" w14:textId="77777777" w:rsidTr="0052486C">
        <w:tc>
          <w:tcPr>
            <w:tcW w:w="5669" w:type="dxa"/>
          </w:tcPr>
          <w:p w14:paraId="63A7B856" w14:textId="77777777" w:rsidR="00F57508" w:rsidRPr="003B3F46" w:rsidRDefault="00F57508" w:rsidP="00F57508">
            <w:pPr>
              <w:pStyle w:val="StdBodyText"/>
              <w:spacing w:before="0" w:after="0"/>
              <w:rPr>
                <w:rFonts w:cs="Arial"/>
              </w:rPr>
            </w:pPr>
            <w:r w:rsidRPr="003B3F46">
              <w:rPr>
                <w:rFonts w:cs="Arial"/>
              </w:rPr>
              <w:t>Frequency of Programme Board meetings</w:t>
            </w:r>
          </w:p>
        </w:tc>
        <w:tc>
          <w:tcPr>
            <w:tcW w:w="4535" w:type="dxa"/>
          </w:tcPr>
          <w:p w14:paraId="3457AF9C" w14:textId="17554676" w:rsidR="00F57508" w:rsidRPr="003B3F46" w:rsidRDefault="00F57508" w:rsidP="00F57508">
            <w:pPr>
              <w:pStyle w:val="StdBodyText"/>
              <w:spacing w:before="0" w:after="0"/>
              <w:rPr>
                <w:rFonts w:cs="Arial"/>
              </w:rPr>
            </w:pPr>
            <w:r>
              <w:rPr>
                <w:rFonts w:eastAsia="Arial" w:cs="Arial"/>
                <w:color w:val="000000"/>
              </w:rPr>
              <w:t>Every other month</w:t>
            </w:r>
          </w:p>
        </w:tc>
      </w:tr>
      <w:tr w:rsidR="00F57508" w:rsidRPr="003B3F46" w14:paraId="5CDE76B7" w14:textId="77777777" w:rsidTr="0052486C">
        <w:tc>
          <w:tcPr>
            <w:tcW w:w="5669" w:type="dxa"/>
          </w:tcPr>
          <w:p w14:paraId="3C2500F4" w14:textId="77777777" w:rsidR="00F57508" w:rsidRPr="003B3F46" w:rsidRDefault="00F57508" w:rsidP="00F57508">
            <w:pPr>
              <w:pStyle w:val="StdBodyText"/>
              <w:spacing w:before="0" w:after="0"/>
              <w:rPr>
                <w:rFonts w:cs="Arial"/>
              </w:rPr>
            </w:pPr>
            <w:r w:rsidRPr="003B3F46">
              <w:rPr>
                <w:rFonts w:cs="Arial"/>
              </w:rPr>
              <w:t>Location of Programme Board meetings</w:t>
            </w:r>
          </w:p>
        </w:tc>
        <w:tc>
          <w:tcPr>
            <w:tcW w:w="4535" w:type="dxa"/>
          </w:tcPr>
          <w:p w14:paraId="72A27138" w14:textId="3D7CE3AD" w:rsidR="00F57508" w:rsidRPr="003B3F46" w:rsidRDefault="00F57508" w:rsidP="00F57508">
            <w:pPr>
              <w:pStyle w:val="StdBodyText"/>
              <w:spacing w:before="0" w:after="0"/>
              <w:rPr>
                <w:rFonts w:cs="Arial"/>
              </w:rPr>
            </w:pPr>
            <w:r>
              <w:rPr>
                <w:rFonts w:eastAsia="Arial" w:cs="Arial"/>
                <w:color w:val="000000"/>
              </w:rPr>
              <w:t>Virtual - Teams</w:t>
            </w:r>
          </w:p>
        </w:tc>
      </w:tr>
    </w:tbl>
    <w:p w14:paraId="5D7D309B" w14:textId="77777777" w:rsidR="00F67E9E" w:rsidRPr="003B3F46" w:rsidRDefault="00F67E9E" w:rsidP="00F67E9E">
      <w:pPr>
        <w:pStyle w:val="Table-followingparagraph"/>
      </w:pPr>
    </w:p>
    <w:p w14:paraId="3CC1469F" w14:textId="77777777" w:rsidR="00EB768A" w:rsidRDefault="00F67E9E" w:rsidP="00F67E9E">
      <w:pPr>
        <w:pStyle w:val="BlankDocumentTitle"/>
        <w:rPr>
          <w:rFonts w:cs="Arial"/>
        </w:rPr>
      </w:pPr>
      <w:r w:rsidRPr="003B3F46">
        <w:rPr>
          <w:rFonts w:cs="Arial"/>
        </w:rPr>
        <w:t>Change Management Board</w:t>
      </w:r>
    </w:p>
    <w:p w14:paraId="26BE9A41" w14:textId="4CA37EDE" w:rsidR="00F67E9E" w:rsidRPr="00EB768A" w:rsidRDefault="00F67E9E" w:rsidP="00EB768A">
      <w:pPr>
        <w:pStyle w:val="StdBodyText"/>
      </w:pPr>
    </w:p>
    <w:tbl>
      <w:tblPr>
        <w:tblStyle w:val="MSATable-header"/>
        <w:tblW w:w="10204" w:type="dxa"/>
        <w:tblLook w:val="0600" w:firstRow="0" w:lastRow="0" w:firstColumn="0" w:lastColumn="0" w:noHBand="1" w:noVBand="1"/>
      </w:tblPr>
      <w:tblGrid>
        <w:gridCol w:w="5669"/>
        <w:gridCol w:w="4535"/>
      </w:tblGrid>
      <w:tr w:rsidR="00F67E9E" w:rsidRPr="003B3F46" w14:paraId="6F65EC28" w14:textId="77777777" w:rsidTr="0052486C">
        <w:tc>
          <w:tcPr>
            <w:tcW w:w="5669" w:type="dxa"/>
          </w:tcPr>
          <w:p w14:paraId="79307152" w14:textId="77777777" w:rsidR="00F67E9E" w:rsidRPr="003B3F46" w:rsidRDefault="00F67E9E" w:rsidP="0052486C">
            <w:pPr>
              <w:pStyle w:val="StdBodyText"/>
              <w:spacing w:before="0" w:after="0"/>
              <w:rPr>
                <w:rFonts w:cs="Arial"/>
              </w:rPr>
            </w:pPr>
            <w:r w:rsidRPr="003B3F46">
              <w:rPr>
                <w:rFonts w:cs="Arial"/>
              </w:rPr>
              <w:t>Authority Members of Change Management Board</w:t>
            </w:r>
          </w:p>
        </w:tc>
        <w:tc>
          <w:tcPr>
            <w:tcW w:w="4535" w:type="dxa"/>
          </w:tcPr>
          <w:p w14:paraId="52786274" w14:textId="2F2A413C" w:rsidR="00F67E9E" w:rsidRPr="003B3F46" w:rsidRDefault="00397217" w:rsidP="0052486C">
            <w:pPr>
              <w:pStyle w:val="StdBodyText"/>
              <w:spacing w:before="0" w:after="0"/>
              <w:rPr>
                <w:rFonts w:cs="Arial"/>
                <w:highlight w:val="yellow"/>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397217">
              <w:rPr>
                <w:b/>
                <w:color w:val="FFFFFF" w:themeColor="background1"/>
                <w:highlight w:val="black"/>
              </w:rPr>
              <w:t>, Personal Information</w:t>
            </w:r>
          </w:p>
        </w:tc>
      </w:tr>
      <w:tr w:rsidR="00F67E9E" w:rsidRPr="003B3F46" w14:paraId="0479FD44" w14:textId="77777777" w:rsidTr="0052486C">
        <w:tc>
          <w:tcPr>
            <w:tcW w:w="5669" w:type="dxa"/>
          </w:tcPr>
          <w:p w14:paraId="3421A993" w14:textId="77777777" w:rsidR="00F67E9E" w:rsidRPr="003B3F46" w:rsidRDefault="00F67E9E" w:rsidP="0052486C">
            <w:pPr>
              <w:pStyle w:val="StdBodyText"/>
              <w:spacing w:before="0" w:after="0"/>
              <w:rPr>
                <w:rFonts w:cs="Arial"/>
              </w:rPr>
            </w:pPr>
            <w:r w:rsidRPr="003B3F46">
              <w:rPr>
                <w:rFonts w:cs="Arial"/>
              </w:rPr>
              <w:t>Supplier Members of Change Management Board</w:t>
            </w:r>
          </w:p>
        </w:tc>
        <w:tc>
          <w:tcPr>
            <w:tcW w:w="4535" w:type="dxa"/>
          </w:tcPr>
          <w:p w14:paraId="0A734DBD" w14:textId="1E2B369A" w:rsidR="00F67E9E" w:rsidRPr="003B3F46" w:rsidRDefault="00397217" w:rsidP="00A330C5">
            <w:pPr>
              <w:pStyle w:val="StdBodyText"/>
              <w:spacing w:before="0" w:after="0"/>
              <w:rPr>
                <w:rFonts w:cs="Arial"/>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397217">
              <w:rPr>
                <w:b/>
                <w:color w:val="FFFFFF" w:themeColor="background1"/>
                <w:highlight w:val="black"/>
              </w:rPr>
              <w:t>, Personal Information</w:t>
            </w:r>
          </w:p>
        </w:tc>
      </w:tr>
      <w:tr w:rsidR="00F57508" w:rsidRPr="003B3F46" w14:paraId="5747BA37" w14:textId="77777777" w:rsidTr="0052486C">
        <w:tc>
          <w:tcPr>
            <w:tcW w:w="5669" w:type="dxa"/>
          </w:tcPr>
          <w:p w14:paraId="56F5D69E" w14:textId="77777777" w:rsidR="00F57508" w:rsidRPr="003B3F46" w:rsidRDefault="00F57508" w:rsidP="00F57508">
            <w:pPr>
              <w:pStyle w:val="StdBodyText"/>
              <w:spacing w:before="0" w:after="0"/>
              <w:rPr>
                <w:rFonts w:cs="Arial"/>
              </w:rPr>
            </w:pPr>
            <w:r w:rsidRPr="003B3F46">
              <w:rPr>
                <w:rFonts w:cs="Arial"/>
              </w:rPr>
              <w:t>Start Date for Change Management Board meetings</w:t>
            </w:r>
          </w:p>
        </w:tc>
        <w:tc>
          <w:tcPr>
            <w:tcW w:w="4535" w:type="dxa"/>
          </w:tcPr>
          <w:p w14:paraId="30375F17" w14:textId="483152AC" w:rsidR="00F57508" w:rsidRPr="003B3F46" w:rsidRDefault="00F57508" w:rsidP="00F57508">
            <w:pPr>
              <w:pStyle w:val="StdBodyText"/>
              <w:spacing w:before="0" w:after="0"/>
              <w:rPr>
                <w:rFonts w:cs="Arial"/>
              </w:rPr>
            </w:pPr>
            <w:r>
              <w:rPr>
                <w:rFonts w:eastAsia="Arial" w:cs="Arial"/>
                <w:color w:val="000000"/>
              </w:rPr>
              <w:t xml:space="preserve">On hold as at Effective Date, will be stood up as and when determined by the Authority following completion of Implementation and/or when rate of change warrants </w:t>
            </w:r>
            <w:r w:rsidR="005F13BD">
              <w:rPr>
                <w:rFonts w:eastAsia="Arial" w:cs="Arial"/>
                <w:color w:val="000000"/>
              </w:rPr>
              <w:t xml:space="preserve">its </w:t>
            </w:r>
            <w:r>
              <w:rPr>
                <w:rFonts w:eastAsia="Arial" w:cs="Arial"/>
                <w:color w:val="000000"/>
              </w:rPr>
              <w:t>establishment</w:t>
            </w:r>
          </w:p>
        </w:tc>
      </w:tr>
      <w:tr w:rsidR="00F57508" w:rsidRPr="003B3F46" w14:paraId="27319EE1" w14:textId="77777777" w:rsidTr="0052486C">
        <w:tc>
          <w:tcPr>
            <w:tcW w:w="5669" w:type="dxa"/>
          </w:tcPr>
          <w:p w14:paraId="75BFA70B" w14:textId="77777777" w:rsidR="00F57508" w:rsidRPr="003B3F46" w:rsidRDefault="00F57508" w:rsidP="00F57508">
            <w:pPr>
              <w:pStyle w:val="StdBodyText"/>
              <w:spacing w:before="0" w:after="0"/>
              <w:rPr>
                <w:rFonts w:cs="Arial"/>
              </w:rPr>
            </w:pPr>
            <w:r w:rsidRPr="003B3F46">
              <w:rPr>
                <w:rFonts w:cs="Arial"/>
              </w:rPr>
              <w:t>Frequency of Change Management Board meetings</w:t>
            </w:r>
          </w:p>
        </w:tc>
        <w:tc>
          <w:tcPr>
            <w:tcW w:w="4535" w:type="dxa"/>
          </w:tcPr>
          <w:p w14:paraId="547853BF" w14:textId="43B9ED03" w:rsidR="00F57508" w:rsidRPr="003B3F46" w:rsidRDefault="00F57508" w:rsidP="00F57508">
            <w:pPr>
              <w:pStyle w:val="StdBodyText"/>
              <w:spacing w:before="0" w:after="0"/>
              <w:rPr>
                <w:rFonts w:cs="Arial"/>
              </w:rPr>
            </w:pPr>
            <w:r>
              <w:rPr>
                <w:rFonts w:eastAsia="Arial" w:cs="Arial"/>
                <w:color w:val="000000"/>
              </w:rPr>
              <w:t>To be determined by the Authority</w:t>
            </w:r>
          </w:p>
        </w:tc>
      </w:tr>
      <w:tr w:rsidR="00F57508" w:rsidRPr="003B3F46" w14:paraId="6BC30915" w14:textId="77777777" w:rsidTr="0052486C">
        <w:tc>
          <w:tcPr>
            <w:tcW w:w="5669" w:type="dxa"/>
          </w:tcPr>
          <w:p w14:paraId="35A8E512" w14:textId="77777777" w:rsidR="00F57508" w:rsidRPr="003B3F46" w:rsidRDefault="00F57508" w:rsidP="00F57508">
            <w:pPr>
              <w:pStyle w:val="StdBodyText"/>
              <w:spacing w:before="0" w:after="0"/>
              <w:rPr>
                <w:rFonts w:cs="Arial"/>
              </w:rPr>
            </w:pPr>
            <w:r w:rsidRPr="003B3F46">
              <w:rPr>
                <w:rFonts w:cs="Arial"/>
              </w:rPr>
              <w:t>Location of Change Management Board meetings</w:t>
            </w:r>
          </w:p>
        </w:tc>
        <w:tc>
          <w:tcPr>
            <w:tcW w:w="4535" w:type="dxa"/>
          </w:tcPr>
          <w:p w14:paraId="2B68BA62" w14:textId="53551FE6" w:rsidR="00F57508" w:rsidRPr="003B3F46" w:rsidRDefault="00F57508" w:rsidP="00F57508">
            <w:pPr>
              <w:pStyle w:val="StdBodyText"/>
              <w:spacing w:before="0" w:after="0"/>
              <w:rPr>
                <w:rFonts w:cs="Arial"/>
              </w:rPr>
            </w:pPr>
            <w:r>
              <w:rPr>
                <w:rFonts w:eastAsia="Arial" w:cs="Arial"/>
                <w:color w:val="000000"/>
              </w:rPr>
              <w:t>Virtual - Teams</w:t>
            </w:r>
          </w:p>
        </w:tc>
      </w:tr>
    </w:tbl>
    <w:p w14:paraId="34404F69" w14:textId="77777777" w:rsidR="00F67E9E" w:rsidRPr="003B3F46" w:rsidRDefault="00F67E9E" w:rsidP="00F67E9E">
      <w:pPr>
        <w:pStyle w:val="Table-followingparagraph"/>
      </w:pPr>
    </w:p>
    <w:p w14:paraId="22332E76" w14:textId="1412D077" w:rsidR="00F67E9E" w:rsidRDefault="0010464A" w:rsidP="00F67E9E">
      <w:pPr>
        <w:pStyle w:val="BlankDocumentTitle"/>
        <w:keepNext/>
        <w:rPr>
          <w:rFonts w:cs="Arial"/>
        </w:rPr>
      </w:pPr>
      <w:r>
        <w:rPr>
          <w:rFonts w:cs="Arial"/>
        </w:rPr>
        <w:lastRenderedPageBreak/>
        <w:t>Solution Design</w:t>
      </w:r>
      <w:r w:rsidR="00F67E9E" w:rsidRPr="003B3F46">
        <w:rPr>
          <w:rFonts w:cs="Arial"/>
        </w:rPr>
        <w:t xml:space="preserve"> Board</w:t>
      </w:r>
    </w:p>
    <w:p w14:paraId="53B0A6E9" w14:textId="56156B88" w:rsidR="00EB768A" w:rsidRPr="00EB768A" w:rsidRDefault="00EB768A" w:rsidP="00EB768A">
      <w:pPr>
        <w:pStyle w:val="StdBodyText"/>
      </w:pPr>
    </w:p>
    <w:tbl>
      <w:tblPr>
        <w:tblStyle w:val="MSATable-header"/>
        <w:tblW w:w="10204" w:type="dxa"/>
        <w:tblLook w:val="0600" w:firstRow="0" w:lastRow="0" w:firstColumn="0" w:lastColumn="0" w:noHBand="1" w:noVBand="1"/>
      </w:tblPr>
      <w:tblGrid>
        <w:gridCol w:w="5669"/>
        <w:gridCol w:w="4535"/>
      </w:tblGrid>
      <w:tr w:rsidR="00F67E9E" w:rsidRPr="003B3F46" w14:paraId="7A5FA0BD" w14:textId="77777777" w:rsidTr="0052486C">
        <w:tc>
          <w:tcPr>
            <w:tcW w:w="5669" w:type="dxa"/>
          </w:tcPr>
          <w:p w14:paraId="208A2B01" w14:textId="77777777" w:rsidR="00F67E9E" w:rsidRPr="003B3F46" w:rsidRDefault="00F67E9E" w:rsidP="0052486C">
            <w:pPr>
              <w:pStyle w:val="StdBodyText"/>
              <w:spacing w:before="0" w:after="0"/>
              <w:rPr>
                <w:rFonts w:cs="Arial"/>
              </w:rPr>
            </w:pPr>
            <w:r w:rsidRPr="003B3F46">
              <w:rPr>
                <w:rFonts w:cs="Arial"/>
              </w:rPr>
              <w:t>Authority Members of Technical Board</w:t>
            </w:r>
          </w:p>
        </w:tc>
        <w:tc>
          <w:tcPr>
            <w:tcW w:w="4535" w:type="dxa"/>
          </w:tcPr>
          <w:p w14:paraId="6FA07970" w14:textId="49DACB86" w:rsidR="00F67E9E" w:rsidRPr="003B3F46" w:rsidRDefault="00397217" w:rsidP="00F57508">
            <w:pPr>
              <w:pStyle w:val="StdBodyText"/>
              <w:spacing w:before="0" w:after="0"/>
              <w:rPr>
                <w:rFonts w:cs="Arial"/>
                <w:highlight w:val="yellow"/>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397217">
              <w:rPr>
                <w:b/>
                <w:color w:val="FFFFFF" w:themeColor="background1"/>
                <w:highlight w:val="black"/>
              </w:rPr>
              <w:t>, Personal Information</w:t>
            </w:r>
          </w:p>
        </w:tc>
      </w:tr>
      <w:tr w:rsidR="00180260" w:rsidRPr="003B3F46" w14:paraId="12EBE5D5" w14:textId="77777777" w:rsidTr="0052486C">
        <w:tc>
          <w:tcPr>
            <w:tcW w:w="5669" w:type="dxa"/>
          </w:tcPr>
          <w:p w14:paraId="41A677F5" w14:textId="77777777" w:rsidR="00180260" w:rsidRPr="003B3F46" w:rsidRDefault="00180260" w:rsidP="00180260">
            <w:pPr>
              <w:pStyle w:val="StdBodyText"/>
              <w:spacing w:before="0" w:after="0"/>
              <w:rPr>
                <w:rFonts w:cs="Arial"/>
              </w:rPr>
            </w:pPr>
            <w:r w:rsidRPr="003B3F46">
              <w:rPr>
                <w:rFonts w:cs="Arial"/>
              </w:rPr>
              <w:t>Supplier Members of Technical Board</w:t>
            </w:r>
          </w:p>
        </w:tc>
        <w:tc>
          <w:tcPr>
            <w:tcW w:w="4535" w:type="dxa"/>
          </w:tcPr>
          <w:p w14:paraId="2A54D13D" w14:textId="3B256163" w:rsidR="00180260" w:rsidRPr="003B3F46" w:rsidRDefault="00397217" w:rsidP="00180260">
            <w:pPr>
              <w:pStyle w:val="StdBodyText"/>
              <w:spacing w:before="0" w:after="0"/>
              <w:rPr>
                <w:rFonts w:cs="Arial"/>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397217">
              <w:rPr>
                <w:b/>
                <w:color w:val="FFFFFF" w:themeColor="background1"/>
                <w:highlight w:val="black"/>
              </w:rPr>
              <w:t>, Personal Information</w:t>
            </w:r>
          </w:p>
        </w:tc>
      </w:tr>
      <w:tr w:rsidR="00180260" w:rsidRPr="003B3F46" w14:paraId="51CF349C" w14:textId="77777777" w:rsidTr="0052486C">
        <w:tc>
          <w:tcPr>
            <w:tcW w:w="5669" w:type="dxa"/>
          </w:tcPr>
          <w:p w14:paraId="7EDCD998" w14:textId="77777777" w:rsidR="00180260" w:rsidRPr="003B3F46" w:rsidRDefault="00180260" w:rsidP="00180260">
            <w:pPr>
              <w:pStyle w:val="StdBodyText"/>
              <w:spacing w:before="0" w:after="0"/>
              <w:rPr>
                <w:rFonts w:cs="Arial"/>
              </w:rPr>
            </w:pPr>
            <w:r w:rsidRPr="003B3F46">
              <w:rPr>
                <w:rFonts w:cs="Arial"/>
              </w:rPr>
              <w:t>Start Date for Technical Board meetings</w:t>
            </w:r>
          </w:p>
        </w:tc>
        <w:tc>
          <w:tcPr>
            <w:tcW w:w="4535" w:type="dxa"/>
          </w:tcPr>
          <w:p w14:paraId="7994856A" w14:textId="0C68A505" w:rsidR="00180260" w:rsidRPr="003B3F46" w:rsidRDefault="00180260" w:rsidP="00180260">
            <w:pPr>
              <w:pStyle w:val="StdBodyText"/>
              <w:spacing w:before="0" w:after="0"/>
              <w:rPr>
                <w:rFonts w:cs="Arial"/>
              </w:rPr>
            </w:pPr>
            <w:r>
              <w:rPr>
                <w:rFonts w:eastAsia="Arial" w:cs="Arial"/>
                <w:color w:val="000000"/>
              </w:rPr>
              <w:t>17 September 2024</w:t>
            </w:r>
          </w:p>
        </w:tc>
      </w:tr>
      <w:tr w:rsidR="00180260" w:rsidRPr="003B3F46" w14:paraId="0C7B9A7B" w14:textId="77777777" w:rsidTr="0052486C">
        <w:tc>
          <w:tcPr>
            <w:tcW w:w="5669" w:type="dxa"/>
          </w:tcPr>
          <w:p w14:paraId="15221D51" w14:textId="77777777" w:rsidR="00180260" w:rsidRPr="003B3F46" w:rsidRDefault="00180260" w:rsidP="00180260">
            <w:pPr>
              <w:pStyle w:val="StdBodyText"/>
              <w:spacing w:before="0" w:after="0"/>
              <w:rPr>
                <w:rFonts w:cs="Arial"/>
              </w:rPr>
            </w:pPr>
            <w:r w:rsidRPr="003B3F46">
              <w:rPr>
                <w:rFonts w:cs="Arial"/>
              </w:rPr>
              <w:t>Frequency of Technical Board meetings</w:t>
            </w:r>
          </w:p>
        </w:tc>
        <w:tc>
          <w:tcPr>
            <w:tcW w:w="4535" w:type="dxa"/>
          </w:tcPr>
          <w:p w14:paraId="58CB5B54" w14:textId="258F783A" w:rsidR="00180260" w:rsidRPr="003B3F46" w:rsidRDefault="00180260" w:rsidP="00180260">
            <w:pPr>
              <w:pStyle w:val="StdBodyText"/>
              <w:spacing w:before="0" w:after="0"/>
              <w:rPr>
                <w:rFonts w:cs="Arial"/>
              </w:rPr>
            </w:pPr>
            <w:r>
              <w:rPr>
                <w:rFonts w:eastAsia="Arial" w:cs="Arial"/>
                <w:color w:val="000000"/>
              </w:rPr>
              <w:t>Monthly currently but subject to review (anticipates increasing as vast number of designs become available)</w:t>
            </w:r>
          </w:p>
        </w:tc>
      </w:tr>
      <w:tr w:rsidR="00180260" w:rsidRPr="003B3F46" w14:paraId="760039DA" w14:textId="77777777" w:rsidTr="0052486C">
        <w:tc>
          <w:tcPr>
            <w:tcW w:w="5669" w:type="dxa"/>
          </w:tcPr>
          <w:p w14:paraId="7CE228E9" w14:textId="77777777" w:rsidR="00180260" w:rsidRPr="003B3F46" w:rsidRDefault="00180260" w:rsidP="00180260">
            <w:pPr>
              <w:pStyle w:val="StdBodyText"/>
              <w:spacing w:before="0" w:after="0"/>
              <w:rPr>
                <w:rFonts w:cs="Arial"/>
              </w:rPr>
            </w:pPr>
            <w:r w:rsidRPr="003B3F46">
              <w:rPr>
                <w:rFonts w:cs="Arial"/>
              </w:rPr>
              <w:t>Location of Technical Board meetings</w:t>
            </w:r>
          </w:p>
        </w:tc>
        <w:tc>
          <w:tcPr>
            <w:tcW w:w="4535" w:type="dxa"/>
          </w:tcPr>
          <w:p w14:paraId="0B4876BF" w14:textId="0C040085" w:rsidR="00180260" w:rsidRPr="003B3F46" w:rsidRDefault="00180260" w:rsidP="00180260">
            <w:pPr>
              <w:pStyle w:val="StdBodyText"/>
              <w:spacing w:before="0" w:after="0"/>
              <w:rPr>
                <w:rFonts w:cs="Arial"/>
              </w:rPr>
            </w:pPr>
            <w:r>
              <w:rPr>
                <w:rFonts w:eastAsia="Arial" w:cs="Arial"/>
                <w:color w:val="000000"/>
              </w:rPr>
              <w:t>Virtual - Teams</w:t>
            </w:r>
          </w:p>
        </w:tc>
      </w:tr>
    </w:tbl>
    <w:p w14:paraId="01B85071" w14:textId="77777777" w:rsidR="00F67E9E" w:rsidRPr="003B3F46" w:rsidRDefault="00F67E9E" w:rsidP="00F67E9E">
      <w:pPr>
        <w:pStyle w:val="Table-followingparagraph"/>
      </w:pPr>
    </w:p>
    <w:p w14:paraId="16F2B66D" w14:textId="24248D3F" w:rsidR="00F67E9E" w:rsidRDefault="00F67E9E" w:rsidP="00F67E9E">
      <w:pPr>
        <w:pStyle w:val="BlankDocumentTitle"/>
        <w:keepNext/>
        <w:rPr>
          <w:rFonts w:cs="Arial"/>
        </w:rPr>
      </w:pPr>
      <w:r w:rsidRPr="003B3F46">
        <w:rPr>
          <w:rFonts w:cs="Arial"/>
        </w:rPr>
        <w:t xml:space="preserve">Risk Management </w:t>
      </w:r>
      <w:r w:rsidR="00F57508">
        <w:rPr>
          <w:rFonts w:cs="Arial"/>
        </w:rPr>
        <w:t>Forum</w:t>
      </w:r>
      <w:r w:rsidR="00F57508" w:rsidRPr="003B3F46">
        <w:rPr>
          <w:rFonts w:cs="Arial"/>
        </w:rPr>
        <w:t xml:space="preserve"> </w:t>
      </w:r>
    </w:p>
    <w:p w14:paraId="21B89790" w14:textId="633C8D8B" w:rsidR="00EB768A" w:rsidRPr="00EB768A" w:rsidRDefault="00EB768A" w:rsidP="00EB768A">
      <w:pPr>
        <w:pStyle w:val="StdBodyText"/>
      </w:pPr>
    </w:p>
    <w:tbl>
      <w:tblPr>
        <w:tblStyle w:val="MSATable-header"/>
        <w:tblW w:w="10204" w:type="dxa"/>
        <w:tblLook w:val="0600" w:firstRow="0" w:lastRow="0" w:firstColumn="0" w:lastColumn="0" w:noHBand="1" w:noVBand="1"/>
      </w:tblPr>
      <w:tblGrid>
        <w:gridCol w:w="5669"/>
        <w:gridCol w:w="4535"/>
      </w:tblGrid>
      <w:tr w:rsidR="00F67E9E" w:rsidRPr="003B3F46" w14:paraId="0C9BF315" w14:textId="77777777" w:rsidTr="0052486C">
        <w:tc>
          <w:tcPr>
            <w:tcW w:w="5669" w:type="dxa"/>
          </w:tcPr>
          <w:p w14:paraId="784D2FFD" w14:textId="250EEBFC" w:rsidR="00F67E9E" w:rsidRPr="003B3F46" w:rsidRDefault="00F67E9E" w:rsidP="00F57508">
            <w:pPr>
              <w:pStyle w:val="StdBodyText"/>
              <w:keepNext/>
              <w:spacing w:before="0" w:after="0"/>
              <w:rPr>
                <w:rFonts w:cs="Arial"/>
              </w:rPr>
            </w:pPr>
            <w:r w:rsidRPr="003B3F46">
              <w:rPr>
                <w:rFonts w:cs="Arial"/>
              </w:rPr>
              <w:t xml:space="preserve">Authority Members for Risk Management </w:t>
            </w:r>
            <w:r w:rsidR="00F57508">
              <w:rPr>
                <w:rFonts w:cs="Arial"/>
              </w:rPr>
              <w:t>Forum</w:t>
            </w:r>
          </w:p>
        </w:tc>
        <w:tc>
          <w:tcPr>
            <w:tcW w:w="4535" w:type="dxa"/>
          </w:tcPr>
          <w:p w14:paraId="4436FD30" w14:textId="7DF7B354" w:rsidR="00F67E9E" w:rsidRPr="003B3F46" w:rsidRDefault="00397217" w:rsidP="0052486C">
            <w:pPr>
              <w:pStyle w:val="StdBodyText"/>
              <w:keepNext/>
              <w:spacing w:before="0" w:after="0"/>
              <w:rPr>
                <w:rFonts w:cs="Arial"/>
                <w:highlight w:val="yellow"/>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397217">
              <w:rPr>
                <w:b/>
                <w:color w:val="FFFFFF" w:themeColor="background1"/>
                <w:highlight w:val="black"/>
              </w:rPr>
              <w:t>, Personal Information</w:t>
            </w:r>
          </w:p>
        </w:tc>
      </w:tr>
      <w:tr w:rsidR="00F67E9E" w:rsidRPr="003B3F46" w14:paraId="61D075BE" w14:textId="77777777" w:rsidTr="0052486C">
        <w:tc>
          <w:tcPr>
            <w:tcW w:w="5669" w:type="dxa"/>
          </w:tcPr>
          <w:p w14:paraId="55C91B88" w14:textId="6B8A529E" w:rsidR="00F67E9E" w:rsidRPr="003B3F46" w:rsidRDefault="00F67E9E" w:rsidP="00F57508">
            <w:pPr>
              <w:pStyle w:val="StdBodyText"/>
              <w:keepNext/>
              <w:spacing w:before="0" w:after="0"/>
              <w:rPr>
                <w:rFonts w:cs="Arial"/>
              </w:rPr>
            </w:pPr>
            <w:r w:rsidRPr="003B3F46">
              <w:rPr>
                <w:rFonts w:cs="Arial"/>
              </w:rPr>
              <w:t xml:space="preserve">Supplier Members for Risk Management </w:t>
            </w:r>
            <w:r w:rsidR="00F57508">
              <w:rPr>
                <w:rFonts w:cs="Arial"/>
              </w:rPr>
              <w:t>Forum</w:t>
            </w:r>
          </w:p>
        </w:tc>
        <w:tc>
          <w:tcPr>
            <w:tcW w:w="4535" w:type="dxa"/>
          </w:tcPr>
          <w:p w14:paraId="1F32255F" w14:textId="058CF74C" w:rsidR="00F67E9E" w:rsidRPr="003B3F46" w:rsidRDefault="00397217" w:rsidP="00A330C5">
            <w:pPr>
              <w:pStyle w:val="StdBodyText"/>
              <w:keepNext/>
              <w:spacing w:before="0" w:after="0"/>
              <w:rPr>
                <w:rFonts w:cs="Arial"/>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397217">
              <w:rPr>
                <w:b/>
                <w:color w:val="FFFFFF" w:themeColor="background1"/>
                <w:highlight w:val="black"/>
              </w:rPr>
              <w:t>, Personal Information</w:t>
            </w:r>
          </w:p>
        </w:tc>
      </w:tr>
      <w:tr w:rsidR="00F57508" w:rsidRPr="003B3F46" w14:paraId="691E90B5" w14:textId="77777777" w:rsidTr="0052486C">
        <w:tc>
          <w:tcPr>
            <w:tcW w:w="5669" w:type="dxa"/>
          </w:tcPr>
          <w:p w14:paraId="1541D7C3" w14:textId="34905CDA" w:rsidR="00F57508" w:rsidRPr="003B3F46" w:rsidRDefault="00F57508" w:rsidP="00F57508">
            <w:pPr>
              <w:pStyle w:val="StdBodyText"/>
              <w:keepNext/>
              <w:spacing w:before="0" w:after="0"/>
              <w:rPr>
                <w:rFonts w:cs="Arial"/>
              </w:rPr>
            </w:pPr>
            <w:r w:rsidRPr="003B3F46">
              <w:rPr>
                <w:rFonts w:cs="Arial"/>
              </w:rPr>
              <w:t xml:space="preserve">Start Date for Risk Management </w:t>
            </w:r>
            <w:r>
              <w:rPr>
                <w:rFonts w:cs="Arial"/>
              </w:rPr>
              <w:t>Forum</w:t>
            </w:r>
            <w:r w:rsidRPr="003B3F46">
              <w:rPr>
                <w:rFonts w:cs="Arial"/>
              </w:rPr>
              <w:t xml:space="preserve"> meetings</w:t>
            </w:r>
          </w:p>
        </w:tc>
        <w:tc>
          <w:tcPr>
            <w:tcW w:w="4535" w:type="dxa"/>
          </w:tcPr>
          <w:p w14:paraId="19FF103C" w14:textId="685958A0" w:rsidR="00F57508" w:rsidRPr="003B3F46" w:rsidRDefault="00F57508" w:rsidP="00F57508">
            <w:pPr>
              <w:pStyle w:val="StdBodyText"/>
              <w:keepNext/>
              <w:spacing w:before="0" w:after="0"/>
              <w:rPr>
                <w:rFonts w:cs="Arial"/>
              </w:rPr>
            </w:pPr>
            <w:r>
              <w:rPr>
                <w:rFonts w:eastAsia="Arial" w:cs="Arial"/>
                <w:color w:val="000000"/>
              </w:rPr>
              <w:t>September 2024</w:t>
            </w:r>
          </w:p>
        </w:tc>
      </w:tr>
      <w:tr w:rsidR="00F57508" w:rsidRPr="003B3F46" w14:paraId="34DEFBBD" w14:textId="77777777" w:rsidTr="0052486C">
        <w:tc>
          <w:tcPr>
            <w:tcW w:w="5669" w:type="dxa"/>
          </w:tcPr>
          <w:p w14:paraId="54A25176" w14:textId="2146EEF0" w:rsidR="00F57508" w:rsidRPr="003B3F46" w:rsidRDefault="00F57508" w:rsidP="00F57508">
            <w:pPr>
              <w:pStyle w:val="StdBodyText"/>
              <w:keepNext/>
              <w:spacing w:before="0" w:after="0"/>
              <w:rPr>
                <w:rFonts w:cs="Arial"/>
              </w:rPr>
            </w:pPr>
            <w:r w:rsidRPr="003B3F46">
              <w:rPr>
                <w:rFonts w:cs="Arial"/>
              </w:rPr>
              <w:t xml:space="preserve">Frequency of Risk Management </w:t>
            </w:r>
            <w:r>
              <w:rPr>
                <w:rFonts w:cs="Arial"/>
              </w:rPr>
              <w:t>Forum</w:t>
            </w:r>
            <w:r w:rsidRPr="003B3F46">
              <w:rPr>
                <w:rFonts w:cs="Arial"/>
              </w:rPr>
              <w:t xml:space="preserve"> meetings</w:t>
            </w:r>
          </w:p>
        </w:tc>
        <w:tc>
          <w:tcPr>
            <w:tcW w:w="4535" w:type="dxa"/>
          </w:tcPr>
          <w:p w14:paraId="721BF04F" w14:textId="46A9DDDF" w:rsidR="00F57508" w:rsidRPr="003B3F46" w:rsidRDefault="00F57508" w:rsidP="00F57508">
            <w:pPr>
              <w:pStyle w:val="StdBodyText"/>
              <w:keepNext/>
              <w:spacing w:before="0" w:after="0"/>
              <w:rPr>
                <w:rFonts w:cs="Arial"/>
              </w:rPr>
            </w:pPr>
            <w:r>
              <w:rPr>
                <w:rFonts w:eastAsia="Arial" w:cs="Arial"/>
                <w:color w:val="000000"/>
              </w:rPr>
              <w:t>Monthly</w:t>
            </w:r>
          </w:p>
        </w:tc>
      </w:tr>
      <w:tr w:rsidR="00F57508" w:rsidRPr="003B3F46" w14:paraId="1173FBAF" w14:textId="77777777" w:rsidTr="0052486C">
        <w:tc>
          <w:tcPr>
            <w:tcW w:w="5669" w:type="dxa"/>
          </w:tcPr>
          <w:p w14:paraId="696C5102" w14:textId="39493B90" w:rsidR="00F57508" w:rsidRPr="003B3F46" w:rsidRDefault="00F57508" w:rsidP="00F57508">
            <w:pPr>
              <w:pStyle w:val="StdBodyText"/>
              <w:keepNext/>
              <w:spacing w:before="0" w:after="0"/>
              <w:rPr>
                <w:rFonts w:cs="Arial"/>
              </w:rPr>
            </w:pPr>
            <w:r w:rsidRPr="003B3F46">
              <w:rPr>
                <w:rFonts w:cs="Arial"/>
              </w:rPr>
              <w:t xml:space="preserve">Location of Risk Management </w:t>
            </w:r>
            <w:r>
              <w:rPr>
                <w:rFonts w:cs="Arial"/>
              </w:rPr>
              <w:t>Forum</w:t>
            </w:r>
            <w:r w:rsidRPr="003B3F46">
              <w:rPr>
                <w:rFonts w:cs="Arial"/>
              </w:rPr>
              <w:t xml:space="preserve"> meetings</w:t>
            </w:r>
          </w:p>
        </w:tc>
        <w:tc>
          <w:tcPr>
            <w:tcW w:w="4535" w:type="dxa"/>
          </w:tcPr>
          <w:p w14:paraId="7B6CA146" w14:textId="7DB1957D" w:rsidR="00F57508" w:rsidRPr="003B3F46" w:rsidRDefault="00F57508" w:rsidP="00F57508">
            <w:pPr>
              <w:pStyle w:val="StdBodyText"/>
              <w:keepNext/>
              <w:spacing w:before="0" w:after="0"/>
              <w:rPr>
                <w:rFonts w:cs="Arial"/>
              </w:rPr>
            </w:pPr>
            <w:r>
              <w:rPr>
                <w:rFonts w:eastAsia="Arial" w:cs="Arial"/>
                <w:color w:val="000000"/>
              </w:rPr>
              <w:t>Virtually</w:t>
            </w:r>
          </w:p>
        </w:tc>
      </w:tr>
    </w:tbl>
    <w:p w14:paraId="298B28CA" w14:textId="77777777" w:rsidR="00F67E9E" w:rsidRDefault="00F67E9E" w:rsidP="00F67E9E"/>
    <w:p w14:paraId="5AA89A68" w14:textId="77777777" w:rsidR="00F67E9E" w:rsidRPr="003B3F46" w:rsidRDefault="00F67E9E" w:rsidP="00F67E9E"/>
    <w:bookmarkEnd w:id="1343"/>
    <w:p w14:paraId="11387D7F" w14:textId="77777777" w:rsidR="00F67E9E" w:rsidRDefault="00F67E9E" w:rsidP="00F67E9E">
      <w:pPr>
        <w:sectPr w:rsidR="00F67E9E" w:rsidSect="003565BD">
          <w:headerReference w:type="default" r:id="rId134"/>
          <w:footerReference w:type="default" r:id="rId135"/>
          <w:footerReference w:type="first" r:id="rId136"/>
          <w:pgSz w:w="11900" w:h="16840"/>
          <w:pgMar w:top="1701" w:right="851" w:bottom="1134" w:left="851" w:header="567" w:footer="567" w:gutter="0"/>
          <w:cols w:space="720"/>
          <w:docGrid w:linePitch="360"/>
        </w:sectPr>
      </w:pPr>
    </w:p>
    <w:p w14:paraId="3F333253" w14:textId="77777777" w:rsidR="00F67E9E" w:rsidRPr="00EE4F10" w:rsidRDefault="00F67E9E" w:rsidP="00F67E9E">
      <w:pPr>
        <w:pStyle w:val="Dividername"/>
      </w:pPr>
      <w:r w:rsidRPr="00EE4F10">
        <w:lastRenderedPageBreak/>
        <w:t>Schedule 22</w:t>
      </w:r>
    </w:p>
    <w:p w14:paraId="2A1E750B" w14:textId="77777777" w:rsidR="00F67E9E" w:rsidRDefault="00F67E9E" w:rsidP="00F67E9E">
      <w:pPr>
        <w:pStyle w:val="Dividername"/>
      </w:pPr>
      <w:r w:rsidRPr="00EE4F10">
        <w:t>Change Control Procedure</w:t>
      </w:r>
    </w:p>
    <w:p w14:paraId="6D7CE722" w14:textId="77777777" w:rsidR="00F67E9E" w:rsidRDefault="00F67E9E" w:rsidP="00F67E9E"/>
    <w:p w14:paraId="6BBBEFC5" w14:textId="77777777" w:rsidR="00F67E9E" w:rsidRPr="00D00D9A" w:rsidRDefault="00F67E9E" w:rsidP="00F67E9E">
      <w:r w:rsidRPr="00D00D9A">
        <w:br w:type="page"/>
      </w:r>
    </w:p>
    <w:p w14:paraId="23EA527A" w14:textId="77777777" w:rsidR="00F67E9E" w:rsidRPr="005D0525" w:rsidRDefault="00F67E9E" w:rsidP="00F67E9E">
      <w:pPr>
        <w:pStyle w:val="Heading1"/>
      </w:pPr>
      <w:bookmarkStart w:id="1376" w:name="Schedule22"/>
      <w:bookmarkStart w:id="1377" w:name="_Ref92200025"/>
      <w:bookmarkStart w:id="1378" w:name="_Toc145412798"/>
      <w:r w:rsidRPr="005D0525">
        <w:lastRenderedPageBreak/>
        <w:t>Schedule</w:t>
      </w:r>
      <w:r>
        <w:t> </w:t>
      </w:r>
      <w:r w:rsidRPr="005D0525">
        <w:t>22</w:t>
      </w:r>
      <w:bookmarkEnd w:id="1376"/>
      <w:r>
        <w:t xml:space="preserve">: </w:t>
      </w:r>
      <w:bookmarkStart w:id="1379" w:name="Schedule22Heading"/>
      <w:r w:rsidRPr="00DD4CC2">
        <w:t>Change Control Procedure</w:t>
      </w:r>
      <w:bookmarkEnd w:id="1377"/>
      <w:bookmarkEnd w:id="1378"/>
      <w:bookmarkEnd w:id="1379"/>
    </w:p>
    <w:p w14:paraId="6F6ADA2D" w14:textId="77777777" w:rsidR="00F67E9E" w:rsidRPr="00D00D9A" w:rsidRDefault="00F67E9E" w:rsidP="00F13933">
      <w:pPr>
        <w:pStyle w:val="Numbered1"/>
        <w:numPr>
          <w:ilvl w:val="0"/>
          <w:numId w:val="101"/>
        </w:numPr>
      </w:pPr>
      <w:r w:rsidRPr="00A10867">
        <w:t>Definitions</w:t>
      </w:r>
    </w:p>
    <w:p w14:paraId="7140D19A" w14:textId="77777777" w:rsidR="00F67E9E" w:rsidRPr="00D00D9A" w:rsidRDefault="00F67E9E" w:rsidP="00F67E9E">
      <w:pPr>
        <w:pStyle w:val="Numbered11"/>
      </w:pPr>
      <w:r w:rsidRPr="00D00D9A">
        <w:t xml:space="preserve">In this Schedule, the following definitions shall </w:t>
      </w:r>
      <w:r w:rsidRPr="00A10867">
        <w:t>apply</w:t>
      </w:r>
      <w:r w:rsidRPr="00D00D9A">
        <w:t>:</w:t>
      </w:r>
    </w:p>
    <w:tbl>
      <w:tblPr>
        <w:tblStyle w:val="MSAdefinitions"/>
        <w:tblW w:w="9638" w:type="dxa"/>
        <w:tblLook w:val="04A0" w:firstRow="1" w:lastRow="0" w:firstColumn="1" w:lastColumn="0" w:noHBand="0" w:noVBand="1"/>
      </w:tblPr>
      <w:tblGrid>
        <w:gridCol w:w="2835"/>
        <w:gridCol w:w="6803"/>
      </w:tblGrid>
      <w:tr w:rsidR="00F67E9E" w:rsidRPr="00D00D9A" w14:paraId="33096644" w14:textId="77777777" w:rsidTr="0052486C">
        <w:tc>
          <w:tcPr>
            <w:tcW w:w="2835" w:type="dxa"/>
          </w:tcPr>
          <w:p w14:paraId="5EB5F874" w14:textId="77777777" w:rsidR="00F67E9E" w:rsidRPr="00D00D9A" w:rsidRDefault="00F67E9E" w:rsidP="0052486C">
            <w:pPr>
              <w:pStyle w:val="StdBodyTextBold"/>
              <w:rPr>
                <w:rFonts w:cs="Arial"/>
              </w:rPr>
            </w:pPr>
            <w:r>
              <w:rPr>
                <w:rFonts w:cs="Arial"/>
              </w:rPr>
              <w:t>“</w:t>
            </w:r>
            <w:r w:rsidRPr="00D00D9A">
              <w:rPr>
                <w:rFonts w:cs="Arial"/>
              </w:rPr>
              <w:t>Authority Change Manager</w:t>
            </w:r>
            <w:r>
              <w:rPr>
                <w:rFonts w:cs="Arial"/>
              </w:rPr>
              <w:t>”</w:t>
            </w:r>
          </w:p>
        </w:tc>
        <w:tc>
          <w:tcPr>
            <w:tcW w:w="6803" w:type="dxa"/>
          </w:tcPr>
          <w:p w14:paraId="06096F8F" w14:textId="77777777" w:rsidR="00F67E9E" w:rsidRPr="00D00D9A" w:rsidRDefault="00F67E9E" w:rsidP="0052486C">
            <w:pPr>
              <w:pStyle w:val="StdBodyText"/>
              <w:rPr>
                <w:rFonts w:cs="Arial"/>
              </w:rPr>
            </w:pPr>
            <w:r w:rsidRPr="00D00D9A">
              <w:rPr>
                <w:rFonts w:cs="Arial"/>
              </w:rPr>
              <w:t>the person appointed to that position by the Authority from time to time and notified in writing to the Supplier or, if no person is notified, the Authority Representative;</w:t>
            </w:r>
          </w:p>
        </w:tc>
      </w:tr>
      <w:tr w:rsidR="00F67E9E" w:rsidRPr="00D00D9A" w14:paraId="5AD17368" w14:textId="77777777" w:rsidTr="0052486C">
        <w:tc>
          <w:tcPr>
            <w:tcW w:w="2835" w:type="dxa"/>
          </w:tcPr>
          <w:p w14:paraId="0AA503B7" w14:textId="77777777" w:rsidR="00F67E9E" w:rsidRPr="00D00D9A" w:rsidRDefault="00F67E9E" w:rsidP="0052486C">
            <w:pPr>
              <w:pStyle w:val="StdBodyTextBold"/>
              <w:rPr>
                <w:rFonts w:cs="Arial"/>
              </w:rPr>
            </w:pPr>
            <w:r>
              <w:rPr>
                <w:rFonts w:cs="Arial"/>
              </w:rPr>
              <w:t>“</w:t>
            </w:r>
            <w:r w:rsidRPr="00D00D9A">
              <w:rPr>
                <w:rFonts w:cs="Arial"/>
              </w:rPr>
              <w:t>Change Request</w:t>
            </w:r>
            <w:r>
              <w:rPr>
                <w:rFonts w:cs="Arial"/>
              </w:rPr>
              <w:t>”</w:t>
            </w:r>
          </w:p>
        </w:tc>
        <w:tc>
          <w:tcPr>
            <w:tcW w:w="6803" w:type="dxa"/>
          </w:tcPr>
          <w:p w14:paraId="778C421E" w14:textId="19F7D421" w:rsidR="00F67E9E" w:rsidRPr="00D00D9A" w:rsidRDefault="00F67E9E" w:rsidP="0052486C">
            <w:pPr>
              <w:pStyle w:val="StdBodyText"/>
              <w:rPr>
                <w:rFonts w:cs="Arial"/>
              </w:rPr>
            </w:pPr>
            <w:r w:rsidRPr="00D00D9A">
              <w:rPr>
                <w:rFonts w:cs="Arial"/>
              </w:rPr>
              <w:t xml:space="preserve">a written request for a Contract Change which shall be substantially in the form of </w:t>
            </w:r>
            <w:r w:rsidRPr="00D00D9A">
              <w:rPr>
                <w:rFonts w:cs="Arial"/>
              </w:rPr>
              <w:fldChar w:fldCharType="begin"/>
            </w:r>
            <w:r w:rsidRPr="00D00D9A">
              <w:rPr>
                <w:rFonts w:cs="Arial"/>
              </w:rPr>
              <w:instrText xml:space="preserve"> REF ANNEX1_SCHEDULE22 \h </w:instrText>
            </w:r>
            <w:r>
              <w:rPr>
                <w:rFonts w:cs="Arial"/>
              </w:rPr>
              <w:instrText xml:space="preserve"> \* MERGEFORMAT </w:instrText>
            </w:r>
            <w:r w:rsidRPr="00D00D9A">
              <w:rPr>
                <w:rFonts w:cs="Arial"/>
              </w:rPr>
            </w:r>
            <w:r w:rsidRPr="00D00D9A">
              <w:rPr>
                <w:rFonts w:cs="Arial"/>
              </w:rPr>
              <w:fldChar w:fldCharType="separate"/>
            </w:r>
            <w:r w:rsidR="007A1473" w:rsidRPr="007A1473">
              <w:rPr>
                <w:rFonts w:cs="Arial"/>
              </w:rPr>
              <w:t>1</w:t>
            </w:r>
            <w:r w:rsidRPr="00D00D9A">
              <w:rPr>
                <w:rFonts w:cs="Arial"/>
              </w:rPr>
              <w:fldChar w:fldCharType="end"/>
            </w:r>
            <w:r w:rsidRPr="00D00D9A">
              <w:rPr>
                <w:rFonts w:cs="Arial"/>
              </w:rPr>
              <w:t>;</w:t>
            </w:r>
          </w:p>
        </w:tc>
      </w:tr>
      <w:tr w:rsidR="00F67E9E" w:rsidRPr="00D00D9A" w14:paraId="3EED8397" w14:textId="77777777" w:rsidTr="0052486C">
        <w:tc>
          <w:tcPr>
            <w:tcW w:w="2835" w:type="dxa"/>
          </w:tcPr>
          <w:p w14:paraId="30453606" w14:textId="77777777" w:rsidR="00F67E9E" w:rsidRPr="00D00D9A" w:rsidRDefault="00F67E9E" w:rsidP="0052486C">
            <w:pPr>
              <w:pStyle w:val="StdBodyTextBold"/>
              <w:rPr>
                <w:rFonts w:cs="Arial"/>
              </w:rPr>
            </w:pPr>
            <w:r>
              <w:rPr>
                <w:rFonts w:cs="Arial"/>
              </w:rPr>
              <w:t>“</w:t>
            </w:r>
            <w:r w:rsidRPr="00D00D9A">
              <w:rPr>
                <w:rFonts w:cs="Arial"/>
              </w:rPr>
              <w:t>Change Communication</w:t>
            </w:r>
            <w:r>
              <w:rPr>
                <w:rFonts w:cs="Arial"/>
              </w:rPr>
              <w:t>”</w:t>
            </w:r>
          </w:p>
        </w:tc>
        <w:tc>
          <w:tcPr>
            <w:tcW w:w="6803" w:type="dxa"/>
          </w:tcPr>
          <w:p w14:paraId="6A364477" w14:textId="77777777" w:rsidR="00F67E9E" w:rsidRPr="00D00D9A" w:rsidRDefault="00F67E9E" w:rsidP="0052486C">
            <w:pPr>
              <w:pStyle w:val="StdBodyText"/>
              <w:rPr>
                <w:rFonts w:cs="Arial"/>
              </w:rPr>
            </w:pPr>
            <w:r w:rsidRPr="00D00D9A">
              <w:rPr>
                <w:rFonts w:cs="Arial"/>
              </w:rPr>
              <w:t>any Change Request, Impact Assessment, Change Authorisation Note or other communication sent or required to be sent pursuant to this Schedule;</w:t>
            </w:r>
          </w:p>
        </w:tc>
      </w:tr>
      <w:tr w:rsidR="00F67E9E" w:rsidRPr="00D00D9A" w14:paraId="1D6C32F4" w14:textId="77777777" w:rsidTr="0052486C">
        <w:tc>
          <w:tcPr>
            <w:tcW w:w="2835" w:type="dxa"/>
          </w:tcPr>
          <w:p w14:paraId="38DE0316" w14:textId="77777777" w:rsidR="00F67E9E" w:rsidRDefault="00F67E9E" w:rsidP="0052486C">
            <w:pPr>
              <w:pStyle w:val="StdBodyTextBold"/>
              <w:rPr>
                <w:rFonts w:cs="Arial"/>
              </w:rPr>
            </w:pPr>
            <w:r w:rsidRPr="00B43D46">
              <w:t>“Drafting Party”</w:t>
            </w:r>
          </w:p>
        </w:tc>
        <w:tc>
          <w:tcPr>
            <w:tcW w:w="6803" w:type="dxa"/>
          </w:tcPr>
          <w:p w14:paraId="3829248E" w14:textId="77777777" w:rsidR="00F67E9E" w:rsidRPr="00D00D9A" w:rsidRDefault="00F67E9E" w:rsidP="0052486C">
            <w:pPr>
              <w:pStyle w:val="StdBodyText"/>
              <w:rPr>
                <w:rFonts w:cs="Arial"/>
              </w:rPr>
            </w:pPr>
            <w:r w:rsidRPr="00B43D46">
              <w:t>the Party that will prepare two copies of a Change Authorisation Note which it shall sign and deliver to the Receiving Party for its signature;</w:t>
            </w:r>
          </w:p>
        </w:tc>
      </w:tr>
      <w:tr w:rsidR="00F67E9E" w:rsidRPr="00D00D9A" w14:paraId="2B08180A" w14:textId="77777777" w:rsidTr="0052486C">
        <w:tc>
          <w:tcPr>
            <w:tcW w:w="2835" w:type="dxa"/>
          </w:tcPr>
          <w:p w14:paraId="5AEB8C89" w14:textId="77777777" w:rsidR="00F67E9E" w:rsidRPr="00D00D9A" w:rsidRDefault="00F67E9E" w:rsidP="0052486C">
            <w:pPr>
              <w:pStyle w:val="StdBodyTextBold"/>
              <w:rPr>
                <w:rFonts w:cs="Arial"/>
              </w:rPr>
            </w:pPr>
            <w:r>
              <w:rPr>
                <w:rFonts w:cs="Arial"/>
              </w:rPr>
              <w:t>“</w:t>
            </w:r>
            <w:r w:rsidRPr="00D00D9A">
              <w:rPr>
                <w:rFonts w:cs="Arial"/>
              </w:rPr>
              <w:t>Fast-track Change</w:t>
            </w:r>
            <w:r>
              <w:rPr>
                <w:rFonts w:cs="Arial"/>
              </w:rPr>
              <w:t>”</w:t>
            </w:r>
          </w:p>
        </w:tc>
        <w:tc>
          <w:tcPr>
            <w:tcW w:w="6803" w:type="dxa"/>
          </w:tcPr>
          <w:p w14:paraId="197B5211" w14:textId="1A327CF6" w:rsidR="00F67E9E" w:rsidRPr="00D00D9A" w:rsidRDefault="00F67E9E" w:rsidP="0052486C">
            <w:pPr>
              <w:pStyle w:val="StdBodyText"/>
              <w:rPr>
                <w:rFonts w:cs="Arial"/>
              </w:rPr>
            </w:pPr>
            <w:r w:rsidRPr="00D00D9A">
              <w:rPr>
                <w:rFonts w:cs="Arial"/>
              </w:rPr>
              <w:t xml:space="preserve">any Contract Change which the Parties agree to expedite in accordance with </w:t>
            </w:r>
            <w:bookmarkStart w:id="1380" w:name="_9kMHG5YVtCIBBIMOXhvFHGykvwut07zC"/>
            <w:r w:rsidRPr="00D00D9A">
              <w:rPr>
                <w:rFonts w:cs="Arial"/>
              </w:rPr>
              <w:t>Paragraph</w:t>
            </w:r>
            <w:r>
              <w:rPr>
                <w:rFonts w:cs="Arial"/>
              </w:rPr>
              <w:t> </w:t>
            </w:r>
            <w:r w:rsidRPr="00D00D9A">
              <w:rPr>
                <w:rFonts w:cs="Arial"/>
              </w:rPr>
              <w:fldChar w:fldCharType="begin"/>
            </w:r>
            <w:r w:rsidRPr="00D00D9A">
              <w:rPr>
                <w:rFonts w:cs="Arial"/>
              </w:rPr>
              <w:instrText xml:space="preserve"> REF _Ref_ContractCompanion_9kb9Us5CE \w \n \h \t \* MERGEFORMAT </w:instrText>
            </w:r>
            <w:r w:rsidRPr="00D00D9A">
              <w:rPr>
                <w:rFonts w:cs="Arial"/>
              </w:rPr>
            </w:r>
            <w:r w:rsidRPr="00D00D9A">
              <w:rPr>
                <w:rFonts w:cs="Arial"/>
              </w:rPr>
              <w:fldChar w:fldCharType="separate"/>
            </w:r>
            <w:r w:rsidR="007A1473">
              <w:rPr>
                <w:rFonts w:cs="Arial"/>
              </w:rPr>
              <w:t>8</w:t>
            </w:r>
            <w:r w:rsidRPr="00D00D9A">
              <w:rPr>
                <w:rFonts w:cs="Arial"/>
              </w:rPr>
              <w:fldChar w:fldCharType="end"/>
            </w:r>
            <w:bookmarkEnd w:id="1380"/>
            <w:r w:rsidRPr="00D00D9A">
              <w:rPr>
                <w:rFonts w:cs="Arial"/>
              </w:rPr>
              <w:t>;</w:t>
            </w:r>
          </w:p>
        </w:tc>
      </w:tr>
      <w:tr w:rsidR="00F67E9E" w:rsidRPr="00D00D9A" w14:paraId="36C10ADE" w14:textId="77777777" w:rsidTr="0052486C">
        <w:tc>
          <w:tcPr>
            <w:tcW w:w="2835" w:type="dxa"/>
          </w:tcPr>
          <w:p w14:paraId="708F0482" w14:textId="77777777" w:rsidR="00F67E9E" w:rsidRPr="00D00D9A" w:rsidRDefault="00F67E9E" w:rsidP="0052486C">
            <w:pPr>
              <w:pStyle w:val="StdBodyTextBold"/>
              <w:rPr>
                <w:rFonts w:cs="Arial"/>
              </w:rPr>
            </w:pPr>
            <w:r>
              <w:rPr>
                <w:rFonts w:cs="Arial"/>
              </w:rPr>
              <w:t>“</w:t>
            </w:r>
            <w:r w:rsidRPr="00D00D9A">
              <w:rPr>
                <w:rFonts w:cs="Arial"/>
              </w:rPr>
              <w:t>Impact Assessment</w:t>
            </w:r>
            <w:r>
              <w:rPr>
                <w:rFonts w:cs="Arial"/>
              </w:rPr>
              <w:t>”</w:t>
            </w:r>
          </w:p>
        </w:tc>
        <w:tc>
          <w:tcPr>
            <w:tcW w:w="6803" w:type="dxa"/>
          </w:tcPr>
          <w:p w14:paraId="39ACD701" w14:textId="32B53C88" w:rsidR="00F67E9E" w:rsidRPr="00D00D9A" w:rsidRDefault="00F67E9E" w:rsidP="0052486C">
            <w:pPr>
              <w:pStyle w:val="StdBodyText"/>
              <w:rPr>
                <w:rFonts w:cs="Arial"/>
              </w:rPr>
            </w:pPr>
            <w:r w:rsidRPr="00D00D9A">
              <w:rPr>
                <w:rFonts w:cs="Arial"/>
              </w:rPr>
              <w:t xml:space="preserve">an assessment of a Change Request in accordance with </w:t>
            </w:r>
            <w:bookmarkStart w:id="1381" w:name="_9kMHG5YVtCIBAIMhLhkhy7sGSQh6E3rBAATGHWR"/>
            <w:r w:rsidRPr="00D00D9A">
              <w:rPr>
                <w:rFonts w:cs="Arial"/>
              </w:rPr>
              <w:t>Paragraph</w:t>
            </w:r>
            <w:r>
              <w:rPr>
                <w:rFonts w:cs="Arial"/>
              </w:rPr>
              <w:t> </w:t>
            </w:r>
            <w:r w:rsidRPr="00D00D9A">
              <w:rPr>
                <w:rFonts w:cs="Arial"/>
              </w:rPr>
              <w:fldChar w:fldCharType="begin"/>
            </w:r>
            <w:r w:rsidRPr="00D00D9A">
              <w:rPr>
                <w:rFonts w:cs="Arial"/>
              </w:rPr>
              <w:instrText xml:space="preserve"> REF _Ref_ContractCompanion_9kb9Us4CE \w \n \h \t \* MERGEFORMAT </w:instrText>
            </w:r>
            <w:r w:rsidRPr="00D00D9A">
              <w:rPr>
                <w:rFonts w:cs="Arial"/>
              </w:rPr>
            </w:r>
            <w:r w:rsidRPr="00D00D9A">
              <w:rPr>
                <w:rFonts w:cs="Arial"/>
              </w:rPr>
              <w:fldChar w:fldCharType="separate"/>
            </w:r>
            <w:r w:rsidR="007A1473">
              <w:rPr>
                <w:rFonts w:cs="Arial"/>
              </w:rPr>
              <w:t>5</w:t>
            </w:r>
            <w:r w:rsidRPr="00D00D9A">
              <w:rPr>
                <w:rFonts w:cs="Arial"/>
              </w:rPr>
              <w:fldChar w:fldCharType="end"/>
            </w:r>
            <w:bookmarkEnd w:id="1381"/>
            <w:r w:rsidRPr="00D00D9A">
              <w:rPr>
                <w:rFonts w:cs="Arial"/>
              </w:rPr>
              <w:t>;</w:t>
            </w:r>
          </w:p>
        </w:tc>
      </w:tr>
      <w:tr w:rsidR="00F67E9E" w:rsidRPr="00D00D9A" w14:paraId="52131769" w14:textId="77777777" w:rsidTr="0052486C">
        <w:tc>
          <w:tcPr>
            <w:tcW w:w="2835" w:type="dxa"/>
          </w:tcPr>
          <w:p w14:paraId="26CAC7C2" w14:textId="77777777" w:rsidR="00F67E9E" w:rsidRPr="00D00D9A" w:rsidRDefault="00F67E9E" w:rsidP="0052486C">
            <w:pPr>
              <w:pStyle w:val="StdBodyTextBold"/>
              <w:rPr>
                <w:rFonts w:cs="Arial"/>
              </w:rPr>
            </w:pPr>
            <w:r>
              <w:rPr>
                <w:rFonts w:cs="Arial"/>
              </w:rPr>
              <w:t>“</w:t>
            </w:r>
            <w:r w:rsidRPr="00D00D9A">
              <w:rPr>
                <w:rFonts w:cs="Arial"/>
              </w:rPr>
              <w:t>Impact Assessment Estimate</w:t>
            </w:r>
            <w:r>
              <w:rPr>
                <w:rFonts w:cs="Arial"/>
              </w:rPr>
              <w:t>”</w:t>
            </w:r>
          </w:p>
        </w:tc>
        <w:tc>
          <w:tcPr>
            <w:tcW w:w="6803" w:type="dxa"/>
          </w:tcPr>
          <w:p w14:paraId="4C5E2089" w14:textId="428C1B36" w:rsidR="00F67E9E" w:rsidRPr="00D00D9A" w:rsidRDefault="00F67E9E" w:rsidP="0052486C">
            <w:pPr>
              <w:pStyle w:val="StdBodyText"/>
              <w:rPr>
                <w:rFonts w:cs="Arial"/>
              </w:rPr>
            </w:pPr>
            <w:r w:rsidRPr="00D00D9A">
              <w:rPr>
                <w:rFonts w:cs="Arial"/>
              </w:rPr>
              <w:t xml:space="preserve">has the meaning given in </w:t>
            </w:r>
            <w:bookmarkStart w:id="1382" w:name="_9kMHG5YVtCJCBJGDHWGy1nHSI62D8BSIDOREDTJ"/>
            <w:bookmarkStart w:id="1383" w:name="_9kMHG5YVtCIBBJJGHWGy1nHSI62D8BSIDOREDTJ"/>
            <w:r w:rsidRPr="00D00D9A">
              <w:rPr>
                <w:rFonts w:cs="Arial"/>
              </w:rPr>
              <w:t>Paragraph</w:t>
            </w:r>
            <w:r>
              <w:rPr>
                <w:rFonts w:cs="Arial"/>
              </w:rPr>
              <w:t> </w:t>
            </w:r>
            <w:r w:rsidRPr="00D00D9A">
              <w:rPr>
                <w:rFonts w:cs="Arial"/>
              </w:rPr>
              <w:fldChar w:fldCharType="begin"/>
            </w:r>
            <w:r w:rsidRPr="00D00D9A">
              <w:rPr>
                <w:rFonts w:cs="Arial"/>
              </w:rPr>
              <w:instrText xml:space="preserve"> REF _Ref_ContractCompanion_9kb9Us5CH \n \h \t \* MERGEFORMAT </w:instrText>
            </w:r>
            <w:r w:rsidRPr="00D00D9A">
              <w:rPr>
                <w:rFonts w:cs="Arial"/>
              </w:rPr>
            </w:r>
            <w:r w:rsidRPr="00D00D9A">
              <w:rPr>
                <w:rFonts w:cs="Arial"/>
              </w:rPr>
              <w:fldChar w:fldCharType="separate"/>
            </w:r>
            <w:r w:rsidR="007A1473">
              <w:rPr>
                <w:rFonts w:cs="Arial"/>
              </w:rPr>
              <w:t>4.3</w:t>
            </w:r>
            <w:r w:rsidRPr="00D00D9A">
              <w:rPr>
                <w:rFonts w:cs="Arial"/>
              </w:rPr>
              <w:fldChar w:fldCharType="end"/>
            </w:r>
            <w:bookmarkEnd w:id="1382"/>
            <w:bookmarkEnd w:id="1383"/>
            <w:r w:rsidRPr="00D00D9A">
              <w:rPr>
                <w:rFonts w:cs="Arial"/>
              </w:rPr>
              <w:t>;</w:t>
            </w:r>
          </w:p>
        </w:tc>
      </w:tr>
      <w:tr w:rsidR="00F67E9E" w:rsidRPr="00D00D9A" w14:paraId="2D214EA7" w14:textId="77777777" w:rsidTr="0052486C">
        <w:tc>
          <w:tcPr>
            <w:tcW w:w="2835" w:type="dxa"/>
          </w:tcPr>
          <w:p w14:paraId="417609B6" w14:textId="77777777" w:rsidR="00F67E9E" w:rsidRPr="00D00D9A" w:rsidRDefault="00F67E9E" w:rsidP="0052486C">
            <w:pPr>
              <w:pStyle w:val="StdBodyTextBold"/>
              <w:rPr>
                <w:rFonts w:cs="Arial"/>
              </w:rPr>
            </w:pPr>
            <w:r>
              <w:rPr>
                <w:rFonts w:cs="Arial"/>
              </w:rPr>
              <w:t>“</w:t>
            </w:r>
            <w:r w:rsidRPr="00D00D9A">
              <w:rPr>
                <w:rFonts w:cs="Arial"/>
              </w:rPr>
              <w:t>Receiving Party</w:t>
            </w:r>
            <w:r>
              <w:rPr>
                <w:rFonts w:cs="Arial"/>
              </w:rPr>
              <w:t>”</w:t>
            </w:r>
          </w:p>
        </w:tc>
        <w:tc>
          <w:tcPr>
            <w:tcW w:w="6803" w:type="dxa"/>
          </w:tcPr>
          <w:p w14:paraId="685F5A8A" w14:textId="77BEFF9D" w:rsidR="00F67E9E" w:rsidRPr="00D00D9A" w:rsidRDefault="00F67E9E" w:rsidP="0052486C">
            <w:pPr>
              <w:pStyle w:val="StdBodyText"/>
              <w:rPr>
                <w:rFonts w:cs="Arial"/>
              </w:rPr>
            </w:pPr>
            <w:r w:rsidRPr="00D00D9A">
              <w:rPr>
                <w:rFonts w:cs="Arial"/>
              </w:rPr>
              <w:t xml:space="preserve">the Party which receives a proposed </w:t>
            </w:r>
            <w:r>
              <w:rPr>
                <w:rFonts w:cs="Arial"/>
              </w:rPr>
              <w:t xml:space="preserve">Change </w:t>
            </w:r>
            <w:r w:rsidRPr="006A74B7">
              <w:rPr>
                <w:rFonts w:cs="Arial"/>
              </w:rPr>
              <w:t>Authorisation Note for signature pursuant to Paragraph</w:t>
            </w:r>
            <w:r>
              <w:rPr>
                <w:rFonts w:cs="Arial"/>
              </w:rPr>
              <w:t> </w:t>
            </w:r>
            <w:r>
              <w:rPr>
                <w:rFonts w:cs="Arial"/>
              </w:rPr>
              <w:fldChar w:fldCharType="begin"/>
            </w:r>
            <w:r>
              <w:rPr>
                <w:rFonts w:cs="Arial"/>
              </w:rPr>
              <w:instrText xml:space="preserve"> REF _Ref141297267 \w \h </w:instrText>
            </w:r>
            <w:r>
              <w:rPr>
                <w:rFonts w:cs="Arial"/>
              </w:rPr>
            </w:r>
            <w:r>
              <w:rPr>
                <w:rFonts w:cs="Arial"/>
              </w:rPr>
              <w:fldChar w:fldCharType="separate"/>
            </w:r>
            <w:r w:rsidR="007A1473">
              <w:rPr>
                <w:rFonts w:cs="Arial"/>
              </w:rPr>
              <w:t>6.2</w:t>
            </w:r>
            <w:r>
              <w:rPr>
                <w:rFonts w:cs="Arial"/>
              </w:rPr>
              <w:fldChar w:fldCharType="end"/>
            </w:r>
            <w:r w:rsidRPr="00D00D9A">
              <w:rPr>
                <w:rFonts w:cs="Arial"/>
              </w:rPr>
              <w:t>; and</w:t>
            </w:r>
          </w:p>
        </w:tc>
      </w:tr>
      <w:tr w:rsidR="00F67E9E" w:rsidRPr="00D00D9A" w14:paraId="2F9F5D81" w14:textId="77777777" w:rsidTr="0052486C">
        <w:tc>
          <w:tcPr>
            <w:tcW w:w="2835" w:type="dxa"/>
          </w:tcPr>
          <w:p w14:paraId="71D3336F" w14:textId="77777777" w:rsidR="00F67E9E" w:rsidRPr="00D00D9A" w:rsidRDefault="00F67E9E" w:rsidP="0052486C">
            <w:pPr>
              <w:pStyle w:val="StdBodyTextBold"/>
              <w:rPr>
                <w:rFonts w:cs="Arial"/>
              </w:rPr>
            </w:pPr>
            <w:r>
              <w:rPr>
                <w:rFonts w:cs="Arial"/>
              </w:rPr>
              <w:t>“</w:t>
            </w:r>
            <w:r w:rsidRPr="00D00D9A">
              <w:rPr>
                <w:rFonts w:cs="Arial"/>
              </w:rPr>
              <w:t>Supplier Change Manager</w:t>
            </w:r>
            <w:r>
              <w:rPr>
                <w:rFonts w:cs="Arial"/>
              </w:rPr>
              <w:t>”</w:t>
            </w:r>
          </w:p>
        </w:tc>
        <w:tc>
          <w:tcPr>
            <w:tcW w:w="6803" w:type="dxa"/>
          </w:tcPr>
          <w:p w14:paraId="4E691033" w14:textId="77777777" w:rsidR="00F67E9E" w:rsidRPr="00D00D9A" w:rsidRDefault="00F67E9E" w:rsidP="0052486C">
            <w:pPr>
              <w:pStyle w:val="StdBodyText"/>
              <w:rPr>
                <w:rFonts w:cs="Arial"/>
              </w:rPr>
            </w:pPr>
            <w:r w:rsidRPr="00D00D9A">
              <w:rPr>
                <w:rFonts w:cs="Arial"/>
              </w:rPr>
              <w:t>the person appointed to that position by the Supplier from time to time and notified in writing to the Authority or, if no person is notified, the Supplier Representative.</w:t>
            </w:r>
          </w:p>
        </w:tc>
      </w:tr>
    </w:tbl>
    <w:p w14:paraId="0FD2E3B3" w14:textId="77777777" w:rsidR="00F67E9E" w:rsidRPr="00D00D9A" w:rsidRDefault="00F67E9E" w:rsidP="00F67E9E">
      <w:pPr>
        <w:pStyle w:val="Numbered1"/>
      </w:pPr>
      <w:r w:rsidRPr="00D00D9A">
        <w:t xml:space="preserve">General Principles </w:t>
      </w:r>
      <w:r>
        <w:t>o</w:t>
      </w:r>
      <w:r w:rsidRPr="00D00D9A">
        <w:t>f Change Control Procedure</w:t>
      </w:r>
    </w:p>
    <w:p w14:paraId="28760898" w14:textId="77777777" w:rsidR="00F67E9E" w:rsidRPr="00A10867" w:rsidRDefault="00F67E9E" w:rsidP="00F67E9E">
      <w:pPr>
        <w:pStyle w:val="Numbered11"/>
      </w:pPr>
      <w:r w:rsidRPr="00D00D9A">
        <w:t xml:space="preserve">This Schedule sets out the </w:t>
      </w:r>
      <w:r w:rsidRPr="00A10867">
        <w:t>procedure for dealing with Changes.</w:t>
      </w:r>
    </w:p>
    <w:p w14:paraId="53347C65" w14:textId="295C71FA" w:rsidR="00F67E9E" w:rsidRPr="00A10867" w:rsidRDefault="00F67E9E" w:rsidP="00F67E9E">
      <w:pPr>
        <w:pStyle w:val="Numbered11"/>
      </w:pPr>
      <w:r w:rsidRPr="00A10867">
        <w:t xml:space="preserve">Operational Changes shall be processed in accordance with </w:t>
      </w:r>
      <w:bookmarkStart w:id="1384" w:name="_9kMHG5YVtCIBAHMiLhkhy7sGSUrF6969IEK7696"/>
      <w:r w:rsidRPr="00A10867">
        <w:t>Paragraph</w:t>
      </w:r>
      <w:r>
        <w:t> </w:t>
      </w:r>
      <w:r w:rsidRPr="00A10867">
        <w:fldChar w:fldCharType="begin"/>
      </w:r>
      <w:r w:rsidRPr="00A10867">
        <w:instrText xml:space="preserve"> REF _Ref_ContractCompanion_9kb9Us4BE \w \n \h \t \* MERGEFORMAT </w:instrText>
      </w:r>
      <w:r w:rsidRPr="00A10867">
        <w:fldChar w:fldCharType="separate"/>
      </w:r>
      <w:r w:rsidR="007A1473">
        <w:t>9</w:t>
      </w:r>
      <w:r w:rsidRPr="00A10867">
        <w:fldChar w:fldCharType="end"/>
      </w:r>
      <w:bookmarkEnd w:id="1384"/>
      <w:r w:rsidRPr="00A10867">
        <w:t>. If either Party is in doubt about whether a change falls within the definition of an Operational Change, then it must be processed as a Contract Change.</w:t>
      </w:r>
    </w:p>
    <w:p w14:paraId="1F950BFB" w14:textId="77777777" w:rsidR="00F67E9E" w:rsidRPr="00D00D9A" w:rsidRDefault="00F67E9E" w:rsidP="00F67E9E">
      <w:pPr>
        <w:pStyle w:val="Numbered11"/>
      </w:pPr>
      <w:r w:rsidRPr="00A10867">
        <w:t>The Parties shall deal with Contract</w:t>
      </w:r>
      <w:r w:rsidRPr="00D00D9A">
        <w:t xml:space="preserve"> Change as follows:</w:t>
      </w:r>
    </w:p>
    <w:p w14:paraId="33F95521" w14:textId="7BFE71AF" w:rsidR="00F67E9E" w:rsidRPr="00A10867" w:rsidRDefault="00F67E9E" w:rsidP="00F67E9E">
      <w:pPr>
        <w:pStyle w:val="Numbered111"/>
      </w:pPr>
      <w:r w:rsidRPr="00D00D9A">
        <w:t xml:space="preserve">either Party may request a Contract Change which they shall initiate by issuing a Change </w:t>
      </w:r>
      <w:r w:rsidRPr="00A10867">
        <w:t xml:space="preserve">Request in accordance with </w:t>
      </w:r>
      <w:bookmarkStart w:id="1385" w:name="_9kMHG5YVtCIBAIPkLhkhy7sGSPavu180CDDUJIY"/>
      <w:r w:rsidRPr="00A10867">
        <w:t>Paragraph</w:t>
      </w:r>
      <w:r>
        <w:t> </w:t>
      </w:r>
      <w:r w:rsidRPr="00A10867">
        <w:fldChar w:fldCharType="begin"/>
      </w:r>
      <w:r w:rsidRPr="00A10867">
        <w:instrText xml:space="preserve"> REF _Ref_ContractCompanion_9kb9Us4CH \w \n \h \t \* MERGEFORMAT </w:instrText>
      </w:r>
      <w:r w:rsidRPr="00A10867">
        <w:fldChar w:fldCharType="separate"/>
      </w:r>
      <w:r w:rsidR="007A1473">
        <w:t>4</w:t>
      </w:r>
      <w:r w:rsidRPr="00A10867">
        <w:fldChar w:fldCharType="end"/>
      </w:r>
      <w:bookmarkEnd w:id="1385"/>
      <w:r w:rsidRPr="00A10867">
        <w:t>;</w:t>
      </w:r>
    </w:p>
    <w:p w14:paraId="7F43AE9F" w14:textId="4E0E524C" w:rsidR="00F67E9E" w:rsidRPr="00A10867" w:rsidRDefault="00F67E9E" w:rsidP="00F67E9E">
      <w:pPr>
        <w:pStyle w:val="Numbered111"/>
      </w:pPr>
      <w:r w:rsidRPr="00A10867">
        <w:lastRenderedPageBreak/>
        <w:t xml:space="preserve">unless this Contract otherwise requires, the Supplier shall assess and document the potential impact of a proposed Contract Change in accordance with </w:t>
      </w:r>
      <w:bookmarkStart w:id="1386" w:name="_9kMIH5YVtCIBAIMhLhkhy7sGSQh6E3rBAATGHWR"/>
      <w:r w:rsidRPr="00A10867">
        <w:t xml:space="preserve">Paragraph </w:t>
      </w:r>
      <w:r w:rsidRPr="00A10867">
        <w:fldChar w:fldCharType="begin"/>
      </w:r>
      <w:r w:rsidRPr="00A10867">
        <w:instrText xml:space="preserve"> REF _Ref_ContractCompanion_9kb9Us4CE \w \n \h \t \* MERGEFORMAT </w:instrText>
      </w:r>
      <w:r w:rsidRPr="00A10867">
        <w:fldChar w:fldCharType="separate"/>
      </w:r>
      <w:r w:rsidR="007A1473">
        <w:t>5</w:t>
      </w:r>
      <w:r w:rsidRPr="00A10867">
        <w:fldChar w:fldCharType="end"/>
      </w:r>
      <w:bookmarkEnd w:id="1386"/>
      <w:r w:rsidRPr="00A10867">
        <w:t xml:space="preserve"> before the Contract Change can be either approved or implemented;</w:t>
      </w:r>
    </w:p>
    <w:p w14:paraId="628F0F95" w14:textId="17FBBED8" w:rsidR="00F67E9E" w:rsidRPr="00A10867" w:rsidRDefault="00F67E9E" w:rsidP="00F67E9E">
      <w:pPr>
        <w:pStyle w:val="Numbered111"/>
      </w:pPr>
      <w:r w:rsidRPr="00A10867">
        <w:t xml:space="preserve">the Authority shall have the right to request amendments to a Change Request, approve it or reject it in the manner set out in </w:t>
      </w:r>
      <w:bookmarkStart w:id="1387" w:name="_9kMHG5YVtCIBAIJeLhkhy7sGSRa6QEALGJaaULB"/>
      <w:r w:rsidRPr="00A10867">
        <w:t xml:space="preserve">Paragraph </w:t>
      </w:r>
      <w:r w:rsidRPr="00A10867">
        <w:fldChar w:fldCharType="begin"/>
      </w:r>
      <w:r w:rsidRPr="00A10867">
        <w:instrText xml:space="preserve"> REF _Ref_ContractCompanion_9kb9Us4CB \w \n \h \t \* MERGEFORMAT </w:instrText>
      </w:r>
      <w:r w:rsidRPr="00A10867">
        <w:fldChar w:fldCharType="separate"/>
      </w:r>
      <w:r w:rsidR="007A1473">
        <w:t>6</w:t>
      </w:r>
      <w:r w:rsidRPr="00A10867">
        <w:fldChar w:fldCharType="end"/>
      </w:r>
      <w:bookmarkEnd w:id="1387"/>
      <w:r w:rsidRPr="00A10867">
        <w:t>;</w:t>
      </w:r>
    </w:p>
    <w:p w14:paraId="2555B0DB" w14:textId="212640FF" w:rsidR="00F67E9E" w:rsidRPr="00A10867" w:rsidRDefault="00F67E9E" w:rsidP="00F67E9E">
      <w:pPr>
        <w:pStyle w:val="Numbered111"/>
      </w:pPr>
      <w:r w:rsidRPr="00A10867">
        <w:t xml:space="preserve">the Supplier shall have the right to reject a Change Request solely in the manner set out in </w:t>
      </w:r>
      <w:bookmarkStart w:id="1388" w:name="_9kMHG5YVtCIBAIGbLhkhy7sGSStOMIF93DSTKAA"/>
      <w:r w:rsidRPr="00A10867">
        <w:t xml:space="preserve">Paragraph </w:t>
      </w:r>
      <w:r w:rsidRPr="00A10867">
        <w:fldChar w:fldCharType="begin"/>
      </w:r>
      <w:r w:rsidRPr="00A10867">
        <w:instrText xml:space="preserve"> REF _Ref_ContractCompanion_9kb9Us4BH \w \n \h \t \* MERGEFORMAT </w:instrText>
      </w:r>
      <w:r w:rsidRPr="00A10867">
        <w:fldChar w:fldCharType="separate"/>
      </w:r>
      <w:r w:rsidR="007A1473">
        <w:t>6.3</w:t>
      </w:r>
      <w:r w:rsidRPr="00A10867">
        <w:fldChar w:fldCharType="end"/>
      </w:r>
      <w:bookmarkEnd w:id="1388"/>
      <w:r w:rsidRPr="00A10867">
        <w:t>;</w:t>
      </w:r>
    </w:p>
    <w:p w14:paraId="636E8059" w14:textId="6EB5059D" w:rsidR="00F67E9E" w:rsidRPr="00A10867" w:rsidRDefault="00F67E9E" w:rsidP="00F67E9E">
      <w:pPr>
        <w:pStyle w:val="Numbered111"/>
      </w:pPr>
      <w:r w:rsidRPr="00A10867">
        <w:t xml:space="preserve">save as otherwise provided in this Contract, no proposed Contract Change shall be implemented by the Supplier until a Change Authorisation Note has been signed and issued by the Authority in accordance with </w:t>
      </w:r>
      <w:bookmarkStart w:id="1389" w:name="_9kMHG5YVtCIBBJMLIVGy1nHSI62D8BSA2ILLQHF"/>
      <w:r w:rsidRPr="00A10867">
        <w:t xml:space="preserve">Paragraph </w:t>
      </w:r>
      <w:r w:rsidRPr="00A10867">
        <w:fldChar w:fldCharType="begin"/>
      </w:r>
      <w:r w:rsidRPr="00A10867">
        <w:instrText xml:space="preserve"> REF _Ref_ContractCompanion_9kb9Us5DE \n \h \t \* MERGEFORMAT </w:instrText>
      </w:r>
      <w:r w:rsidRPr="00A10867">
        <w:fldChar w:fldCharType="separate"/>
      </w:r>
      <w:r w:rsidR="007A1473">
        <w:t>6.2</w:t>
      </w:r>
      <w:r w:rsidRPr="00A10867">
        <w:fldChar w:fldCharType="end"/>
      </w:r>
      <w:bookmarkEnd w:id="1389"/>
      <w:r w:rsidRPr="00A10867">
        <w:t>; and</w:t>
      </w:r>
    </w:p>
    <w:p w14:paraId="213EB86A" w14:textId="2A576609" w:rsidR="00F67E9E" w:rsidRPr="00D00D9A" w:rsidRDefault="00F67E9E" w:rsidP="00F67E9E">
      <w:pPr>
        <w:pStyle w:val="Numbered111"/>
      </w:pPr>
      <w:r w:rsidRPr="00A10867">
        <w:t>if a proposed</w:t>
      </w:r>
      <w:r w:rsidRPr="00D00D9A">
        <w:t xml:space="preserve"> Contract Change is a Fast-track Change, it shall be processed in accordance with </w:t>
      </w:r>
      <w:bookmarkStart w:id="1390" w:name="_9kMIH5YVtCIBBIMOXhvFHGykvwut07zC"/>
      <w:r w:rsidRPr="00D00D9A">
        <w:t xml:space="preserve">Paragraph </w:t>
      </w:r>
      <w:r w:rsidRPr="00D00D9A">
        <w:fldChar w:fldCharType="begin"/>
      </w:r>
      <w:r w:rsidRPr="00D00D9A">
        <w:instrText xml:space="preserve"> REF _Ref_ContractCompanion_9kb9Us5CE \w \n \h \t \* MERGEFORMAT </w:instrText>
      </w:r>
      <w:r w:rsidRPr="00D00D9A">
        <w:fldChar w:fldCharType="separate"/>
      </w:r>
      <w:r w:rsidR="007A1473">
        <w:t>8</w:t>
      </w:r>
      <w:r w:rsidRPr="00D00D9A">
        <w:fldChar w:fldCharType="end"/>
      </w:r>
      <w:bookmarkEnd w:id="1390"/>
      <w:r w:rsidRPr="00D00D9A">
        <w:t>.</w:t>
      </w:r>
    </w:p>
    <w:p w14:paraId="7E358B6D" w14:textId="2A068EBB" w:rsidR="00F67E9E" w:rsidRPr="00A10867" w:rsidRDefault="00F67E9E" w:rsidP="00F67E9E">
      <w:pPr>
        <w:pStyle w:val="Numbered11"/>
      </w:pPr>
      <w:r w:rsidRPr="00D00D9A">
        <w:t xml:space="preserve">To the extent that any Contract Change requires testing and/or a programme for implementation, then the Parties shall follow the procedures set out in </w:t>
      </w:r>
      <w:r>
        <w:rPr>
          <w:rFonts w:cs="Arial"/>
        </w:rPr>
        <w:fldChar w:fldCharType="begin"/>
      </w:r>
      <w:r>
        <w:rPr>
          <w:rFonts w:cs="Arial"/>
        </w:rPr>
        <w:instrText xml:space="preserve"> REF Schedule14 \h </w:instrText>
      </w:r>
      <w:r>
        <w:rPr>
          <w:rFonts w:cs="Arial"/>
        </w:rPr>
      </w:r>
      <w:r>
        <w:rPr>
          <w:rFonts w:cs="Arial"/>
        </w:rPr>
        <w:fldChar w:fldCharType="separate"/>
      </w:r>
      <w:r w:rsidR="007A1473" w:rsidRPr="005D0525">
        <w:t>Schedule</w:t>
      </w:r>
      <w:r w:rsidR="007A1473">
        <w:t> </w:t>
      </w:r>
      <w:r w:rsidR="007A1473" w:rsidRPr="005D0525">
        <w:t>14</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Schedule14Heading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Testing Procedures</w:t>
      </w:r>
      <w:r w:rsidRPr="00B91437">
        <w:rPr>
          <w:rFonts w:cs="Arial"/>
          <w:i/>
          <w:iCs/>
        </w:rPr>
        <w:fldChar w:fldCharType="end"/>
      </w:r>
      <w:r>
        <w:rPr>
          <w:rFonts w:cs="Arial"/>
        </w:rPr>
        <w:t>)</w:t>
      </w:r>
      <w:r w:rsidRPr="00D00D9A">
        <w:t xml:space="preserve">, and, where appropriate, the Change Authorisation Note relating to such a Contract Change shall </w:t>
      </w:r>
      <w:r w:rsidRPr="00A10867">
        <w:t>specify Milestones and/or a Key Milestone and Milestone Date(s) in respect of such Contract Change for the purposes of such procedures.</w:t>
      </w:r>
    </w:p>
    <w:p w14:paraId="6732DB64" w14:textId="4E16CCC5" w:rsidR="00F67E9E" w:rsidRPr="00D00D9A" w:rsidRDefault="00F67E9E" w:rsidP="00F67E9E">
      <w:pPr>
        <w:pStyle w:val="Numbered11"/>
      </w:pPr>
      <w:r w:rsidRPr="00A10867">
        <w:t>Until a Change Authorisatio</w:t>
      </w:r>
      <w:r w:rsidRPr="00D00D9A">
        <w:t xml:space="preserve">n Note has been signed and issued in accordance with </w:t>
      </w:r>
      <w:bookmarkStart w:id="1391" w:name="_9kMIH5YVtCIBBJMLIVGy1nHSI62D8BSA2ILLQHF"/>
      <w:r w:rsidRPr="00D00D9A">
        <w:t xml:space="preserve">Paragraph </w:t>
      </w:r>
      <w:r w:rsidRPr="00D00D9A">
        <w:fldChar w:fldCharType="begin"/>
      </w:r>
      <w:r w:rsidRPr="00D00D9A">
        <w:instrText xml:space="preserve"> REF _Ref_ContractCompanion_9kb9Us5DE \n \h \t \* MERGEFORMAT </w:instrText>
      </w:r>
      <w:r w:rsidRPr="00D00D9A">
        <w:fldChar w:fldCharType="separate"/>
      </w:r>
      <w:r w:rsidR="007A1473">
        <w:t>6.2</w:t>
      </w:r>
      <w:r w:rsidRPr="00D00D9A">
        <w:fldChar w:fldCharType="end"/>
      </w:r>
      <w:bookmarkEnd w:id="1391"/>
      <w:r w:rsidRPr="00D00D9A">
        <w:t>, then:</w:t>
      </w:r>
    </w:p>
    <w:p w14:paraId="251782D7" w14:textId="77777777" w:rsidR="00F67E9E" w:rsidRPr="00A10867" w:rsidRDefault="00F67E9E" w:rsidP="00F67E9E">
      <w:pPr>
        <w:pStyle w:val="Numbered111"/>
      </w:pPr>
      <w:r w:rsidRPr="00D00D9A">
        <w:t xml:space="preserve">unless the Authority expressly agrees (or requires) otherwise in writing, the Supplier shall continue to supply the Services in accordance with the existing terms of this </w:t>
      </w:r>
      <w:r w:rsidRPr="00A10867">
        <w:t>Contract as if the proposed Contract Change did not apply; and</w:t>
      </w:r>
    </w:p>
    <w:p w14:paraId="12034115" w14:textId="77777777" w:rsidR="00F67E9E" w:rsidRPr="00D00D9A" w:rsidRDefault="00F67E9E" w:rsidP="00F67E9E">
      <w:pPr>
        <w:pStyle w:val="Numbered111"/>
      </w:pPr>
      <w:r w:rsidRPr="00A10867">
        <w:t>any discussions, negotiations or other communications which may take place between the Authority and the Supplier in connection with any proposed Contract Change, including the submission of any Change Communications, shall be without preju</w:t>
      </w:r>
      <w:r w:rsidRPr="00D00D9A">
        <w:t>dice to each Party</w:t>
      </w:r>
      <w:r>
        <w:t>’</w:t>
      </w:r>
      <w:r w:rsidRPr="00D00D9A">
        <w:t>s other rights under this Contract.</w:t>
      </w:r>
    </w:p>
    <w:p w14:paraId="21E48757" w14:textId="77777777" w:rsidR="00F67E9E" w:rsidRPr="00D00D9A" w:rsidRDefault="00F67E9E" w:rsidP="00F67E9E">
      <w:pPr>
        <w:pStyle w:val="Numbered11"/>
      </w:pPr>
      <w:bookmarkStart w:id="1392" w:name="_Ref_ContractCompanion_9kb9Us7DG"/>
      <w:r w:rsidRPr="00133BD5">
        <w:t xml:space="preserve">Unless the Authority directs otherwise, </w:t>
      </w:r>
      <w:r>
        <w:t>t</w:t>
      </w:r>
      <w:r w:rsidRPr="00D00D9A">
        <w:t xml:space="preserve">he </w:t>
      </w:r>
      <w:r w:rsidRPr="00A10867">
        <w:t>Supplier</w:t>
      </w:r>
      <w:r w:rsidRPr="00D00D9A">
        <w:t xml:space="preserve"> shall:</w:t>
      </w:r>
      <w:bookmarkEnd w:id="1392"/>
    </w:p>
    <w:p w14:paraId="5728DDBC" w14:textId="77777777" w:rsidR="00F67E9E" w:rsidRPr="00A10867" w:rsidRDefault="00F67E9E" w:rsidP="00F67E9E">
      <w:pPr>
        <w:pStyle w:val="Numbered111"/>
      </w:pPr>
      <w:r w:rsidRPr="00D00D9A">
        <w:t xml:space="preserve">within 10 Working Days of the </w:t>
      </w:r>
      <w:r>
        <w:t>final</w:t>
      </w:r>
      <w:r w:rsidRPr="00D00D9A">
        <w:t xml:space="preserve"> signature and issue of a Change Authorisation Note, deliver to the Authority a copy of this Contract updated to reflect all Contract Changes agreed in the relevant Change Authorisation Note and annotated with a </w:t>
      </w:r>
      <w:r w:rsidRPr="00A10867">
        <w:t>reference to the Change Authorisation Note pursuant to which the relevant Contract Changes were agreed; and</w:t>
      </w:r>
    </w:p>
    <w:p w14:paraId="55CF59ED" w14:textId="77777777" w:rsidR="00F67E9E" w:rsidRPr="00D00D9A" w:rsidRDefault="00F67E9E" w:rsidP="00F67E9E">
      <w:pPr>
        <w:pStyle w:val="Numbered111"/>
      </w:pPr>
      <w:r w:rsidRPr="00A10867">
        <w:t>thereafter provide to the Authority such further copies of the updated Contract as the Authority may from</w:t>
      </w:r>
      <w:r w:rsidRPr="00D00D9A">
        <w:t xml:space="preserve"> time to time request.</w:t>
      </w:r>
    </w:p>
    <w:p w14:paraId="0EB9B0C4" w14:textId="77777777" w:rsidR="00F67E9E" w:rsidRPr="00D00D9A" w:rsidRDefault="00F67E9E" w:rsidP="00F67E9E">
      <w:pPr>
        <w:pStyle w:val="Numbered1"/>
      </w:pPr>
      <w:r w:rsidRPr="00D00D9A">
        <w:t>Costs</w:t>
      </w:r>
    </w:p>
    <w:p w14:paraId="04BF169D" w14:textId="1E0E6015" w:rsidR="00F67E9E" w:rsidRPr="00D00D9A" w:rsidRDefault="00F67E9E" w:rsidP="00F67E9E">
      <w:pPr>
        <w:pStyle w:val="Numbered11"/>
      </w:pPr>
      <w:r w:rsidRPr="00D00D9A">
        <w:t xml:space="preserve">Subject to </w:t>
      </w:r>
      <w:bookmarkStart w:id="1393" w:name="_9kMHG5YVtCIBBJPLGPI71YMvF7t430HNOEA5DTR"/>
      <w:r w:rsidRPr="00A10867">
        <w:t>Paragraph</w:t>
      </w:r>
      <w:r w:rsidRPr="00D00D9A">
        <w:t xml:space="preserve"> </w:t>
      </w:r>
      <w:r w:rsidRPr="00D00D9A">
        <w:fldChar w:fldCharType="begin"/>
      </w:r>
      <w:r w:rsidRPr="00D00D9A">
        <w:instrText xml:space="preserve"> REF _Ref_ContractCompanion_9kb9Us5DH \n \h \t \* MERGEFORMAT </w:instrText>
      </w:r>
      <w:r w:rsidRPr="00D00D9A">
        <w:fldChar w:fldCharType="separate"/>
      </w:r>
      <w:r w:rsidR="007A1473">
        <w:t>3.3</w:t>
      </w:r>
      <w:r w:rsidRPr="00D00D9A">
        <w:fldChar w:fldCharType="end"/>
      </w:r>
      <w:bookmarkEnd w:id="1393"/>
      <w:r w:rsidRPr="00D00D9A">
        <w:t>:</w:t>
      </w:r>
    </w:p>
    <w:p w14:paraId="7FA1A73A" w14:textId="26961825" w:rsidR="002138B2" w:rsidRDefault="002138B2" w:rsidP="00F67E9E">
      <w:pPr>
        <w:pStyle w:val="Numbered111"/>
      </w:pPr>
      <w:r>
        <w:t>where the Change Request is made by the Authority, the Authority will bear its own costs in preparing such Change Request;</w:t>
      </w:r>
    </w:p>
    <w:p w14:paraId="31D33C7C" w14:textId="726E96EB" w:rsidR="00F67E9E" w:rsidRPr="00A10867" w:rsidRDefault="002138B2" w:rsidP="00F67E9E">
      <w:pPr>
        <w:pStyle w:val="Numbered111"/>
      </w:pPr>
      <w:r>
        <w:lastRenderedPageBreak/>
        <w:t>where the Change Request is made by the Supplier, the Supplier will bear its own costs in preparing such Change Request</w:t>
      </w:r>
      <w:r w:rsidR="00F67E9E" w:rsidRPr="00A10867">
        <w:t>; and</w:t>
      </w:r>
    </w:p>
    <w:p w14:paraId="0FC42469" w14:textId="5414CAC5" w:rsidR="00F67E9E" w:rsidRPr="00D35048" w:rsidRDefault="00F67E9E" w:rsidP="00F67E9E">
      <w:pPr>
        <w:pStyle w:val="Numbered111"/>
      </w:pPr>
      <w:r w:rsidRPr="00A10867">
        <w:t xml:space="preserve">the costs incurred by the Supplier in undertaking an Impact Assessment </w:t>
      </w:r>
      <w:r w:rsidR="002138B2">
        <w:t xml:space="preserve">(regardless of which Party made the Change Request) </w:t>
      </w:r>
      <w:r w:rsidRPr="00A10867">
        <w:t xml:space="preserve">shall be borne by the </w:t>
      </w:r>
      <w:r w:rsidR="002138B2">
        <w:t>Supplier.</w:t>
      </w:r>
    </w:p>
    <w:p w14:paraId="44A03432" w14:textId="4D00587C" w:rsidR="00F67E9E" w:rsidRPr="00A10867" w:rsidRDefault="00F67E9E" w:rsidP="00F67E9E">
      <w:pPr>
        <w:pStyle w:val="Numbered11"/>
      </w:pPr>
      <w:r w:rsidRPr="00D00D9A">
        <w:t xml:space="preserve">The </w:t>
      </w:r>
      <w:r w:rsidR="002138B2">
        <w:t xml:space="preserve">proposed </w:t>
      </w:r>
      <w:r w:rsidRPr="00D00D9A">
        <w:t xml:space="preserve">cost of </w:t>
      </w:r>
      <w:r w:rsidR="002138B2">
        <w:t xml:space="preserve">implementing </w:t>
      </w:r>
      <w:r w:rsidRPr="00D00D9A">
        <w:t xml:space="preserve">any Contract Change shall be calculated and charged in accordance with the principles and day rates or day costs (as applicable) set out in </w:t>
      </w:r>
      <w:r>
        <w:rPr>
          <w:rFonts w:cs="Arial"/>
        </w:rPr>
        <w:fldChar w:fldCharType="begin"/>
      </w:r>
      <w:r>
        <w:rPr>
          <w:rFonts w:cs="Arial"/>
        </w:rPr>
        <w:instrText xml:space="preserve"> REF Schedule15 \h </w:instrText>
      </w:r>
      <w:r>
        <w:rPr>
          <w:rFonts w:cs="Arial"/>
        </w:rPr>
      </w:r>
      <w:r>
        <w:rPr>
          <w:rFonts w:cs="Arial"/>
        </w:rPr>
        <w:fldChar w:fldCharType="separate"/>
      </w:r>
      <w:r w:rsidR="007A1473" w:rsidRPr="005D0525">
        <w:t>Schedule</w:t>
      </w:r>
      <w:r w:rsidR="007A1473">
        <w:t> </w:t>
      </w:r>
      <w:r w:rsidR="007A1473" w:rsidRPr="005D0525">
        <w:t>15</w:t>
      </w:r>
      <w:r>
        <w:rPr>
          <w:rFonts w:cs="Arial"/>
        </w:rPr>
        <w:fldChar w:fldCharType="end"/>
      </w:r>
      <w:r>
        <w:rPr>
          <w:rFonts w:cs="Arial"/>
        </w:rPr>
        <w:t xml:space="preserve"> (</w:t>
      </w:r>
      <w:r w:rsidRPr="00B91437">
        <w:rPr>
          <w:rFonts w:cs="Arial"/>
          <w:i/>
          <w:iCs/>
        </w:rPr>
        <w:fldChar w:fldCharType="begin"/>
      </w:r>
      <w:r w:rsidRPr="00B91437">
        <w:rPr>
          <w:rFonts w:cs="Arial"/>
          <w:i/>
          <w:iCs/>
        </w:rPr>
        <w:instrText xml:space="preserve"> REF Schedule15Heading \h </w:instrText>
      </w:r>
      <w:r>
        <w:rPr>
          <w:rFonts w:cs="Arial"/>
          <w:i/>
          <w:iCs/>
        </w:rPr>
        <w:instrText xml:space="preserve"> \* MERGEFORMAT </w:instrText>
      </w:r>
      <w:r w:rsidRPr="00B91437">
        <w:rPr>
          <w:rFonts w:cs="Arial"/>
          <w:i/>
          <w:iCs/>
        </w:rPr>
      </w:r>
      <w:r w:rsidRPr="00B91437">
        <w:rPr>
          <w:rFonts w:cs="Arial"/>
          <w:i/>
          <w:iCs/>
        </w:rPr>
        <w:fldChar w:fldCharType="separate"/>
      </w:r>
      <w:r w:rsidR="007A1473" w:rsidRPr="007A1473">
        <w:rPr>
          <w:i/>
          <w:iCs/>
        </w:rPr>
        <w:t>Charges and Invoicing</w:t>
      </w:r>
      <w:r w:rsidRPr="00B91437">
        <w:rPr>
          <w:rFonts w:cs="Arial"/>
          <w:i/>
          <w:iCs/>
        </w:rPr>
        <w:fldChar w:fldCharType="end"/>
      </w:r>
      <w:r>
        <w:rPr>
          <w:rFonts w:cs="Arial"/>
        </w:rPr>
        <w:t>)</w:t>
      </w:r>
      <w:r w:rsidR="002138B2">
        <w:rPr>
          <w:rFonts w:cs="Arial"/>
        </w:rPr>
        <w:t xml:space="preserve"> and will be clearly explained in the Impact Assessment</w:t>
      </w:r>
      <w:r w:rsidRPr="00D00D9A">
        <w:t>.</w:t>
      </w:r>
      <w:r>
        <w:t xml:space="preserve"> </w:t>
      </w:r>
      <w:r w:rsidRPr="00D00D9A">
        <w:t xml:space="preserve">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w:t>
      </w:r>
      <w:r w:rsidRPr="00A10867">
        <w:t>Contract Change.</w:t>
      </w:r>
    </w:p>
    <w:p w14:paraId="50FF2F1D" w14:textId="17F29A72" w:rsidR="00F67E9E" w:rsidRPr="00D35048" w:rsidRDefault="00F67E9E" w:rsidP="00F67E9E">
      <w:pPr>
        <w:pStyle w:val="Numbered11"/>
      </w:pPr>
      <w:bookmarkStart w:id="1394" w:name="_Ref_ContractCompanion_9kb9Us5DH"/>
      <w:bookmarkStart w:id="1395" w:name="_9kR3WTrAG99HNJENG5zWKtD5r21yFLMC83BRPD0"/>
      <w:r w:rsidRPr="00A10867">
        <w:t>Both Parties’ costs incurred in respect of any use of this Change Control Procedure as a result of any error or Default</w:t>
      </w:r>
      <w:r w:rsidRPr="00D35048">
        <w:t xml:space="preserve"> by the Supplier shall be paid for by the Supplier.</w:t>
      </w:r>
      <w:bookmarkEnd w:id="1394"/>
      <w:bookmarkEnd w:id="1395"/>
    </w:p>
    <w:p w14:paraId="68BF5A47" w14:textId="77777777" w:rsidR="00F67E9E" w:rsidRPr="00D35048" w:rsidRDefault="00F67E9E" w:rsidP="00F67E9E">
      <w:pPr>
        <w:pStyle w:val="Numbered1"/>
      </w:pPr>
      <w:bookmarkStart w:id="1396" w:name="_Ref_ContractCompanion_9kb9Us4CH"/>
      <w:bookmarkStart w:id="1397" w:name="_9kR3WTrAG98GNiJfifw5qEQNYtsz6yABBSHGW"/>
      <w:bookmarkStart w:id="1398" w:name="_Ref_ContractCompanion_9kb9Us798"/>
      <w:r w:rsidRPr="00D35048">
        <w:t xml:space="preserve">Change </w:t>
      </w:r>
      <w:r w:rsidRPr="00A10867">
        <w:t>Request</w:t>
      </w:r>
      <w:bookmarkEnd w:id="1396"/>
      <w:bookmarkEnd w:id="1397"/>
      <w:bookmarkEnd w:id="1398"/>
    </w:p>
    <w:p w14:paraId="0FF74178" w14:textId="6E05147C" w:rsidR="00F67E9E" w:rsidRPr="00D00D9A" w:rsidRDefault="00F67E9E" w:rsidP="00F67E9E">
      <w:pPr>
        <w:pStyle w:val="Numbered11"/>
      </w:pPr>
      <w:r w:rsidRPr="00D00D9A">
        <w:t>Either Party may issue a Change Request to the other Party at any time during the Term.</w:t>
      </w:r>
      <w:r>
        <w:t xml:space="preserve"> </w:t>
      </w:r>
      <w:r w:rsidRPr="00D00D9A">
        <w:t xml:space="preserve">A Change Request shall be substantially in the form of </w:t>
      </w:r>
      <w:r>
        <w:t xml:space="preserve">Annex </w:t>
      </w:r>
      <w:r>
        <w:fldChar w:fldCharType="begin"/>
      </w:r>
      <w:r>
        <w:instrText xml:space="preserve"> REF ANNEX1_SCHEDULE22 \h </w:instrText>
      </w:r>
      <w:r>
        <w:fldChar w:fldCharType="separate"/>
      </w:r>
      <w:r w:rsidR="007A1473" w:rsidRPr="00D00D9A">
        <w:t>1</w:t>
      </w:r>
      <w:r>
        <w:fldChar w:fldCharType="end"/>
      </w:r>
      <w:r w:rsidRPr="00D00D9A">
        <w:t xml:space="preserve"> and state whether the Party issuing the Change Request considers the proposed Contract Change to be a Fast-track Change.</w:t>
      </w:r>
    </w:p>
    <w:p w14:paraId="1B974CBF" w14:textId="77777777" w:rsidR="00F67E9E" w:rsidRPr="00D00D9A" w:rsidRDefault="00F67E9E" w:rsidP="00F67E9E">
      <w:pPr>
        <w:pStyle w:val="Numbered11"/>
      </w:pPr>
      <w:r w:rsidRPr="00D00D9A">
        <w:t>If the Supplier issues the Change Request, then it shall also provide an Impact Assessment to the Authority as soon as is reasonably practicable but in any event within 10 Working Days of the date of issuing the Change Request.</w:t>
      </w:r>
    </w:p>
    <w:p w14:paraId="1667FF0D" w14:textId="77777777" w:rsidR="00F67E9E" w:rsidRPr="00D00D9A" w:rsidRDefault="00F67E9E" w:rsidP="00F67E9E">
      <w:pPr>
        <w:pStyle w:val="Numbered11"/>
      </w:pPr>
      <w:bookmarkStart w:id="1399" w:name="_9kR3WTrAHA9HEBFUEwzlFQG40B69QGBMPCBRH3Z"/>
      <w:bookmarkStart w:id="1400" w:name="_9kR3WTrAG99HHEFUEwzlFQG40B69QGBMPCBRH3Z"/>
      <w:bookmarkStart w:id="1401" w:name="_Ref_ContractCompanion_9kb9Us5CH"/>
      <w:bookmarkStart w:id="1402" w:name="_Ref_ContractCompanion_9kb9Us5DB"/>
      <w:bookmarkStart w:id="1403" w:name="_Ref_ContractCompanion_9kb9Us7DC"/>
      <w:r w:rsidRPr="00D00D9A">
        <w:t>If the Authority issues the Change Request, then the Supplier shall provide as soon as reasonably practical and in any event within ten (10) Working Days of the date of receiving the Change Request an estimate (</w:t>
      </w:r>
      <w:r>
        <w:t>“</w:t>
      </w:r>
      <w:r w:rsidRPr="00D00D9A">
        <w:rPr>
          <w:rStyle w:val="StdBodyTextBoldChar"/>
          <w:rFonts w:eastAsiaTheme="majorEastAsia" w:cs="Arial"/>
        </w:rPr>
        <w:t>Impact Assessment</w:t>
      </w:r>
      <w:r w:rsidRPr="00D00D9A">
        <w:t xml:space="preserve"> </w:t>
      </w:r>
      <w:r w:rsidRPr="00D00D9A">
        <w:rPr>
          <w:rStyle w:val="StdBodyTextBoldChar"/>
          <w:rFonts w:eastAsiaTheme="majorEastAsia" w:cs="Arial"/>
        </w:rPr>
        <w:t>Estimate</w:t>
      </w:r>
      <w:r>
        <w:t>”</w:t>
      </w:r>
      <w:r w:rsidRPr="00D00D9A">
        <w:t>) of the cost of preparing an Impact Assessment and the timetable for preparing it.</w:t>
      </w:r>
      <w:bookmarkEnd w:id="1399"/>
      <w:bookmarkEnd w:id="1400"/>
      <w:r w:rsidRPr="00D00D9A">
        <w:t xml:space="preserve"> The timetable shall provide for the completed Impact Assessment to be received by the Authority within ten (10) Working Days of acceptance of the Impact Assessment Estimate or within any longer time period agreed by the Authority.</w:t>
      </w:r>
      <w:bookmarkEnd w:id="1401"/>
      <w:bookmarkEnd w:id="1402"/>
      <w:bookmarkEnd w:id="1403"/>
    </w:p>
    <w:p w14:paraId="2EB04A06" w14:textId="77777777" w:rsidR="00F67E9E" w:rsidRPr="00D00D9A" w:rsidRDefault="00F67E9E" w:rsidP="00F67E9E">
      <w:pPr>
        <w:pStyle w:val="Numbered11"/>
      </w:pPr>
      <w:r w:rsidRPr="00D00D9A">
        <w:t>If the Authority accepts an Impact Assessment Estimate then following receipt of notice of such acceptance the Supplier shall provide the completed Impact Assessment to the Authority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Authority and provided that sufficient information is received by the Authority to fully understand:</w:t>
      </w:r>
    </w:p>
    <w:p w14:paraId="3C1499C7" w14:textId="77777777" w:rsidR="00F67E9E" w:rsidRPr="00A10867" w:rsidRDefault="00F67E9E" w:rsidP="00F67E9E">
      <w:pPr>
        <w:pStyle w:val="Numbered111"/>
      </w:pPr>
      <w:r w:rsidRPr="00D00D9A">
        <w:t xml:space="preserve">The </w:t>
      </w:r>
      <w:r w:rsidRPr="00A10867">
        <w:t>nature of the request for clarification; and</w:t>
      </w:r>
    </w:p>
    <w:p w14:paraId="7D5C39B6" w14:textId="77777777" w:rsidR="00F67E9E" w:rsidRPr="00D00D9A" w:rsidRDefault="00F67E9E" w:rsidP="00F67E9E">
      <w:pPr>
        <w:pStyle w:val="Numbered111"/>
      </w:pPr>
      <w:r w:rsidRPr="00A10867">
        <w:t>The reas</w:t>
      </w:r>
      <w:r w:rsidRPr="00D00D9A">
        <w:t>onable justification for the request;</w:t>
      </w:r>
    </w:p>
    <w:p w14:paraId="561EF3D3" w14:textId="77777777" w:rsidR="00F67E9E" w:rsidRPr="00D00D9A" w:rsidRDefault="00F67E9E" w:rsidP="00F67E9E">
      <w:pPr>
        <w:pStyle w:val="StdBodyText2"/>
        <w:rPr>
          <w:rFonts w:cs="Arial"/>
        </w:rPr>
      </w:pPr>
      <w:r w:rsidRPr="00D00D9A">
        <w:rPr>
          <w:rFonts w:cs="Arial"/>
        </w:rPr>
        <w:lastRenderedPageBreak/>
        <w:t>the time period to complete the Impact Assessment shall be extended by the time taken by the Authority to provide that clarification.</w:t>
      </w:r>
      <w:r>
        <w:rPr>
          <w:rFonts w:cs="Arial"/>
        </w:rPr>
        <w:t xml:space="preserve"> </w:t>
      </w:r>
      <w:r w:rsidRPr="00D00D9A">
        <w:rPr>
          <w:rFonts w:cs="Arial"/>
        </w:rPr>
        <w:t xml:space="preserve">The Authority shall respond to the request for clarification as soon as is reasonably practicable. </w:t>
      </w:r>
    </w:p>
    <w:p w14:paraId="7C7CD777" w14:textId="77777777" w:rsidR="00F67E9E" w:rsidRPr="00D00D9A" w:rsidRDefault="00F67E9E" w:rsidP="00F67E9E">
      <w:pPr>
        <w:pStyle w:val="Numbered1"/>
      </w:pPr>
      <w:bookmarkStart w:id="1404" w:name="_Ref_ContractCompanion_9kb9Us4CE"/>
      <w:bookmarkStart w:id="1405" w:name="_9kR3WTrAG98GKfJfifw5qEQOf4C1p988REFUPCE"/>
      <w:bookmarkStart w:id="1406" w:name="_Ref_ContractCompanion_9kb9Us783"/>
      <w:r w:rsidRPr="00A10867">
        <w:t>Impact</w:t>
      </w:r>
      <w:r w:rsidRPr="00D00D9A">
        <w:t xml:space="preserve"> Assessment</w:t>
      </w:r>
      <w:bookmarkEnd w:id="1404"/>
      <w:bookmarkEnd w:id="1405"/>
      <w:bookmarkEnd w:id="1406"/>
    </w:p>
    <w:p w14:paraId="5C62ED0F" w14:textId="77777777" w:rsidR="00F67E9E" w:rsidRPr="00D00D9A" w:rsidRDefault="00F67E9E" w:rsidP="00F67E9E">
      <w:pPr>
        <w:pStyle w:val="Numbered11"/>
      </w:pPr>
      <w:r w:rsidRPr="00D00D9A">
        <w:t>Each Impact Assessment shall be completed in good faith and shall include:</w:t>
      </w:r>
    </w:p>
    <w:p w14:paraId="5A2D49F7" w14:textId="77777777" w:rsidR="00F67E9E" w:rsidRPr="00A10867" w:rsidRDefault="00F67E9E" w:rsidP="00F67E9E">
      <w:pPr>
        <w:pStyle w:val="Numbered111"/>
      </w:pPr>
      <w:r w:rsidRPr="00D00D9A">
        <w:t xml:space="preserve">details </w:t>
      </w:r>
      <w:r w:rsidRPr="00A10867">
        <w:t>of the proposed Contract Change including the reason for the Contract Change; and</w:t>
      </w:r>
    </w:p>
    <w:p w14:paraId="167B69B1" w14:textId="77777777" w:rsidR="00F67E9E" w:rsidRPr="00A10867" w:rsidRDefault="00F67E9E" w:rsidP="00F67E9E">
      <w:pPr>
        <w:pStyle w:val="Numbered111"/>
      </w:pPr>
      <w:r w:rsidRPr="00A10867">
        <w:t>details of the impact of the proposed Contract Change on the Services, the Optional Services (if any) and the Supplier’s ability to meet its other obligations under this Contract;</w:t>
      </w:r>
    </w:p>
    <w:p w14:paraId="1792606E" w14:textId="77777777" w:rsidR="00F67E9E" w:rsidRPr="00D00D9A" w:rsidRDefault="00F67E9E" w:rsidP="00F67E9E">
      <w:pPr>
        <w:pStyle w:val="Numbered111"/>
      </w:pPr>
      <w:r w:rsidRPr="00A10867">
        <w:t>any variation</w:t>
      </w:r>
      <w:r w:rsidRPr="00D00D9A">
        <w:t xml:space="preserve"> to the terms of this Contract that will be required as a result of that impact, including changes to:</w:t>
      </w:r>
    </w:p>
    <w:p w14:paraId="658A071E" w14:textId="77777777" w:rsidR="00F67E9E" w:rsidRPr="00A10867" w:rsidRDefault="00F67E9E" w:rsidP="00F67E9E">
      <w:pPr>
        <w:pStyle w:val="Numbered111a"/>
      </w:pPr>
      <w:r w:rsidRPr="00D00D9A">
        <w:t xml:space="preserve">the </w:t>
      </w:r>
      <w:r w:rsidRPr="00A10867">
        <w:t>Services Description, the Performance Indicators and/or the Target Performance Levels;</w:t>
      </w:r>
    </w:p>
    <w:p w14:paraId="7B3FFBB6" w14:textId="77777777" w:rsidR="00F67E9E" w:rsidRPr="00A10867" w:rsidRDefault="00F67E9E" w:rsidP="00F67E9E">
      <w:pPr>
        <w:pStyle w:val="Numbered111a"/>
      </w:pPr>
      <w:r w:rsidRPr="00A10867">
        <w:t>the format of Authority Data, as set out in the Services Description;</w:t>
      </w:r>
    </w:p>
    <w:p w14:paraId="60A871F2" w14:textId="77777777" w:rsidR="00F67E9E" w:rsidRPr="00A10867" w:rsidRDefault="00F67E9E" w:rsidP="00F67E9E">
      <w:pPr>
        <w:pStyle w:val="Numbered111a"/>
      </w:pPr>
      <w:r w:rsidRPr="00A10867">
        <w:t>the Milestones, Implementation Plan and any other timetable previously agreed by the Parties;</w:t>
      </w:r>
    </w:p>
    <w:p w14:paraId="3928426E" w14:textId="77777777" w:rsidR="00F67E9E" w:rsidRPr="00D00D9A" w:rsidRDefault="00F67E9E" w:rsidP="00F67E9E">
      <w:pPr>
        <w:pStyle w:val="Numbered111a"/>
      </w:pPr>
      <w:r w:rsidRPr="00A10867">
        <w:t>other services provided by third party contractors to the Authority, including any changes required by the proposed Contract Change to the Authority’s IT infrastructure</w:t>
      </w:r>
      <w:r w:rsidRPr="00D00D9A">
        <w:t>;</w:t>
      </w:r>
    </w:p>
    <w:p w14:paraId="588956EB" w14:textId="77777777" w:rsidR="00F67E9E" w:rsidRPr="00A10867" w:rsidRDefault="00F67E9E" w:rsidP="00F67E9E">
      <w:pPr>
        <w:pStyle w:val="Numbered111"/>
      </w:pPr>
      <w:bookmarkStart w:id="1407" w:name="_Ref_ContractCompanion_9kb9Us5EE"/>
      <w:bookmarkStart w:id="1408" w:name="_9kR3WTrAG99IKHEndfwtjv6Ay47tp0HNK72AII8"/>
      <w:r w:rsidRPr="00D00D9A">
        <w:t xml:space="preserve">details </w:t>
      </w:r>
      <w:r w:rsidRPr="00A10867">
        <w:t>of the cost of implementing the proposed Contract Change;</w:t>
      </w:r>
      <w:bookmarkEnd w:id="1407"/>
      <w:bookmarkEnd w:id="1408"/>
    </w:p>
    <w:p w14:paraId="27D850DC" w14:textId="77777777" w:rsidR="00F67E9E" w:rsidRPr="00A10867" w:rsidRDefault="00F67E9E" w:rsidP="00F67E9E">
      <w:pPr>
        <w:pStyle w:val="Numbered111"/>
      </w:pPr>
      <w:bookmarkStart w:id="1409" w:name="_Ref_ContractCompanion_9kb9Ur25D"/>
      <w:r w:rsidRPr="00A10867">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bookmarkEnd w:id="1409"/>
    </w:p>
    <w:p w14:paraId="30A2D972" w14:textId="77777777" w:rsidR="00F67E9E" w:rsidRPr="00A10867" w:rsidRDefault="00F67E9E" w:rsidP="00F67E9E">
      <w:pPr>
        <w:pStyle w:val="Numbered111"/>
      </w:pPr>
      <w:r w:rsidRPr="00A10867">
        <w:t>a timetable for the implementation, together with any proposals for the testing of the Contract Change;</w:t>
      </w:r>
    </w:p>
    <w:p w14:paraId="727CB5DD" w14:textId="77777777" w:rsidR="00F67E9E" w:rsidRPr="00A10867" w:rsidRDefault="00F67E9E" w:rsidP="00F67E9E">
      <w:pPr>
        <w:pStyle w:val="Numbered111"/>
      </w:pPr>
      <w:r w:rsidRPr="00A10867">
        <w:t>details of how the proposed Contract Change will ensure compliance with any applicable Change in Law; and</w:t>
      </w:r>
    </w:p>
    <w:p w14:paraId="3559DC1E" w14:textId="77777777" w:rsidR="00F67E9E" w:rsidRPr="00D00D9A" w:rsidRDefault="00F67E9E" w:rsidP="00F67E9E">
      <w:pPr>
        <w:pStyle w:val="Numbered111"/>
      </w:pPr>
      <w:r w:rsidRPr="00A10867">
        <w:t>such other information as the Authority may reasonably request in (or in response to) the Change</w:t>
      </w:r>
      <w:r w:rsidRPr="00D00D9A">
        <w:t xml:space="preserve"> Request.</w:t>
      </w:r>
    </w:p>
    <w:p w14:paraId="535E360D" w14:textId="77777777" w:rsidR="00F67E9E" w:rsidRPr="00D00D9A" w:rsidRDefault="00F67E9E" w:rsidP="00F67E9E">
      <w:pPr>
        <w:pStyle w:val="Numbered11"/>
      </w:pPr>
      <w:r w:rsidRPr="00D00D9A">
        <w:t xml:space="preserve">If the Contract Change involves the processing or transfer of any Personal Data outside the </w:t>
      </w:r>
      <w:r w:rsidRPr="00D664B2">
        <w:t>UK, in the event of the Personal Data being subject to UK GDPR, or the EU, in the event of the Personal Data being subject to EU GDPR</w:t>
      </w:r>
      <w:r w:rsidRPr="00D00D9A">
        <w:t xml:space="preserve">, the preparation of the Impact Assessment shall also be subject to </w:t>
      </w:r>
      <w:bookmarkStart w:id="1410" w:name="_9kMIH5YVt4EE7AFQEjtCx8L"/>
      <w:bookmarkStart w:id="1411" w:name="_9kMIH5YVt4EE7AHSEjtCx8L"/>
      <w:r w:rsidRPr="00A10867">
        <w:t>Clause</w:t>
      </w:r>
      <w:r w:rsidRPr="00D00D9A">
        <w:t xml:space="preserve"> 21</w:t>
      </w:r>
      <w:bookmarkEnd w:id="1410"/>
      <w:bookmarkEnd w:id="1411"/>
      <w:r w:rsidRPr="00D00D9A">
        <w:t xml:space="preserve"> (</w:t>
      </w:r>
      <w:r w:rsidRPr="00D00D9A">
        <w:rPr>
          <w:i/>
        </w:rPr>
        <w:t>Protection of Personal Data</w:t>
      </w:r>
      <w:r w:rsidRPr="00D00D9A">
        <w:t>).</w:t>
      </w:r>
    </w:p>
    <w:p w14:paraId="604C71AE" w14:textId="1BBE6076" w:rsidR="00F67E9E" w:rsidRPr="00D00D9A" w:rsidRDefault="00F67E9E" w:rsidP="00F67E9E">
      <w:pPr>
        <w:pStyle w:val="Numbered11"/>
      </w:pPr>
      <w:r w:rsidRPr="00D00D9A">
        <w:t xml:space="preserve">Subject to the provisions of </w:t>
      </w:r>
      <w:bookmarkStart w:id="1412" w:name="_9kMHG5YVtCIBBKJGJXGy1nHSI62D8BSIDPF1mhz"/>
      <w:r w:rsidRPr="00D00D9A">
        <w:t xml:space="preserve">Paragraph </w:t>
      </w:r>
      <w:r w:rsidRPr="00D00D9A">
        <w:fldChar w:fldCharType="begin"/>
      </w:r>
      <w:r w:rsidRPr="00D00D9A">
        <w:instrText xml:space="preserve"> REF _Ref_ContractCompanion_9kb9Us5EB \n \h \t \* MERGEFORMAT </w:instrText>
      </w:r>
      <w:r w:rsidRPr="00D00D9A">
        <w:fldChar w:fldCharType="separate"/>
      </w:r>
      <w:r w:rsidR="007A1473">
        <w:t>5.4</w:t>
      </w:r>
      <w:r w:rsidRPr="00D00D9A">
        <w:fldChar w:fldCharType="end"/>
      </w:r>
      <w:bookmarkEnd w:id="1412"/>
      <w:r w:rsidRPr="00D00D9A">
        <w:t xml:space="preserve">, the Authority shall review the Impact Assessment and respond to the Supplier in accordance with </w:t>
      </w:r>
      <w:bookmarkStart w:id="1413" w:name="_9kMIH5YVtCIBAIJeLhkhy7sGSRa6QEALGJaaULB"/>
      <w:r w:rsidRPr="00D00D9A">
        <w:t xml:space="preserve">Paragraph </w:t>
      </w:r>
      <w:r w:rsidRPr="00D00D9A">
        <w:fldChar w:fldCharType="begin"/>
      </w:r>
      <w:r w:rsidRPr="00D00D9A">
        <w:instrText xml:space="preserve"> REF _Ref_ContractCompanion_9kb9Us4CB \w \n \h \t \* MERGEFORMAT </w:instrText>
      </w:r>
      <w:r w:rsidRPr="00D00D9A">
        <w:fldChar w:fldCharType="separate"/>
      </w:r>
      <w:r w:rsidR="007A1473">
        <w:t>6</w:t>
      </w:r>
      <w:r w:rsidRPr="00D00D9A">
        <w:fldChar w:fldCharType="end"/>
      </w:r>
      <w:bookmarkEnd w:id="1413"/>
      <w:r w:rsidRPr="00D00D9A">
        <w:t xml:space="preserve"> within 15 Working Days of receiving the Impact </w:t>
      </w:r>
      <w:r w:rsidRPr="00A10867">
        <w:t>Assessment</w:t>
      </w:r>
      <w:r w:rsidRPr="00D00D9A">
        <w:t>, it.</w:t>
      </w:r>
    </w:p>
    <w:p w14:paraId="6FB1FBB2" w14:textId="61EBE01F" w:rsidR="00F67E9E" w:rsidRPr="00D00D9A" w:rsidRDefault="00F67E9E" w:rsidP="00F67E9E">
      <w:pPr>
        <w:pStyle w:val="Numbered11"/>
      </w:pPr>
      <w:bookmarkStart w:id="1414" w:name="_9kR3WTrAG99IHEHVEwzlFQG40B69QGBNDzkfxy5"/>
      <w:bookmarkStart w:id="1415" w:name="_Ref_ContractCompanion_9kb9Us5EB"/>
      <w:r w:rsidRPr="00D00D9A">
        <w:lastRenderedPageBreak/>
        <w:t xml:space="preserve">If the Authority </w:t>
      </w:r>
      <w:r w:rsidRPr="005C7D7B">
        <w:t xml:space="preserve">receives a proposed Contract Change from the Supplier </w:t>
      </w:r>
      <w:r w:rsidRPr="00D00D9A">
        <w:t>and the Authority reasonably considers that it requires further information regarding the proposed Contract Change so that it may properly evaluate the Change Request and the Impact Assessment, then within 5 Working Days of receiving the Impact Assessment, it shall notify the Supplier of this fact and detail the further information that it requires.</w:t>
      </w:r>
      <w:bookmarkEnd w:id="1414"/>
      <w:r>
        <w:t xml:space="preserve"> </w:t>
      </w:r>
      <w:r w:rsidRPr="00D00D9A">
        <w:t>The Supplier shall then re-issue the relevant Impact Assessment to the Authority within 10 Working Days of receiving such notification.</w:t>
      </w:r>
      <w:r>
        <w:t xml:space="preserve"> </w:t>
      </w:r>
      <w:r w:rsidRPr="00D00D9A">
        <w:t>At the Authority</w:t>
      </w:r>
      <w:r>
        <w:t>’</w:t>
      </w:r>
      <w:r w:rsidRPr="00D00D9A">
        <w:t xml:space="preserve">s discretion, the Parties may repeat the process described in this </w:t>
      </w:r>
      <w:bookmarkStart w:id="1416" w:name="_9kMIH5YVtCIBBKJGJXGy1nHSI62D8BSIDPF1mhz"/>
      <w:r w:rsidRPr="00D00D9A">
        <w:t xml:space="preserve">Paragraph </w:t>
      </w:r>
      <w:r w:rsidRPr="00D00D9A">
        <w:fldChar w:fldCharType="begin"/>
      </w:r>
      <w:r w:rsidRPr="00D00D9A">
        <w:instrText xml:space="preserve"> REF _Ref_ContractCompanion_9kb9Us5EB \n \h \t \* MERGEFORMAT </w:instrText>
      </w:r>
      <w:r w:rsidRPr="00D00D9A">
        <w:fldChar w:fldCharType="separate"/>
      </w:r>
      <w:r w:rsidR="007A1473">
        <w:t>5.4</w:t>
      </w:r>
      <w:r w:rsidRPr="00D00D9A">
        <w:fldChar w:fldCharType="end"/>
      </w:r>
      <w:bookmarkEnd w:id="1416"/>
      <w:r w:rsidRPr="00D00D9A">
        <w:t xml:space="preserve"> until the Authority is satisfied that it has sufficient information to properly evaluate the Change Request and Impact Assessment.</w:t>
      </w:r>
      <w:bookmarkEnd w:id="1415"/>
    </w:p>
    <w:p w14:paraId="1A11D38D" w14:textId="1717D724" w:rsidR="00F67E9E" w:rsidRPr="00D00D9A" w:rsidRDefault="00F67E9E" w:rsidP="00F67E9E">
      <w:pPr>
        <w:pStyle w:val="Numbered11"/>
      </w:pPr>
      <w:r w:rsidRPr="00D00D9A">
        <w:t xml:space="preserve">The calculation of costs for the purposes of </w:t>
      </w:r>
      <w:bookmarkStart w:id="1417" w:name="_9kMHG5YVtCIBBKMJGpfhyvlx8C069vr2JPM94CK"/>
      <w:r w:rsidRPr="00D00D9A">
        <w:t xml:space="preserve">Paragraphs </w:t>
      </w:r>
      <w:r w:rsidRPr="00D00D9A">
        <w:fldChar w:fldCharType="begin"/>
      </w:r>
      <w:r w:rsidRPr="00D00D9A">
        <w:instrText xml:space="preserve"> REF _Ref_ContractCompanion_9kb9Us5EE \w \h \t \* MERGEFORMAT </w:instrText>
      </w:r>
      <w:r w:rsidRPr="00D00D9A">
        <w:fldChar w:fldCharType="separate"/>
      </w:r>
      <w:r w:rsidR="007A1473">
        <w:t>5.1.4</w:t>
      </w:r>
      <w:r w:rsidRPr="00D00D9A">
        <w:fldChar w:fldCharType="end"/>
      </w:r>
      <w:bookmarkEnd w:id="1417"/>
      <w:r w:rsidRPr="00D00D9A">
        <w:t xml:space="preserve"> and </w:t>
      </w:r>
      <w:bookmarkStart w:id="1418" w:name="_9kR3WTr2CC6AAm"/>
      <w:r w:rsidRPr="00D00D9A">
        <w:fldChar w:fldCharType="begin"/>
      </w:r>
      <w:r w:rsidRPr="00D00D9A">
        <w:instrText xml:space="preserve"> REF _Ref_ContractCompanion_9kb9Ur25D \w \n \h \t \* MERGEFORMAT </w:instrText>
      </w:r>
      <w:r w:rsidRPr="00D00D9A">
        <w:fldChar w:fldCharType="separate"/>
      </w:r>
      <w:r w:rsidR="007A1473">
        <w:t>5.1.5</w:t>
      </w:r>
      <w:r w:rsidRPr="00D00D9A">
        <w:fldChar w:fldCharType="end"/>
      </w:r>
      <w:bookmarkEnd w:id="1418"/>
      <w:r w:rsidRPr="00D00D9A">
        <w:t xml:space="preserve"> shall:</w:t>
      </w:r>
    </w:p>
    <w:p w14:paraId="38ED93AD" w14:textId="77777777" w:rsidR="00F67E9E" w:rsidRPr="00A10867" w:rsidRDefault="00F67E9E" w:rsidP="00F67E9E">
      <w:pPr>
        <w:pStyle w:val="Numbered111"/>
      </w:pPr>
      <w:r w:rsidRPr="00D00D9A">
        <w:t xml:space="preserve">be </w:t>
      </w:r>
      <w:r w:rsidRPr="00A10867">
        <w:t>based on the Financial Model;</w:t>
      </w:r>
    </w:p>
    <w:p w14:paraId="0D472A51" w14:textId="77777777" w:rsidR="00F67E9E" w:rsidRPr="00A10867" w:rsidRDefault="00F67E9E" w:rsidP="00F67E9E">
      <w:pPr>
        <w:pStyle w:val="Numbered111"/>
      </w:pPr>
      <w:r w:rsidRPr="00A10867">
        <w:t>facilitate the Financial Transparency Objectives;</w:t>
      </w:r>
    </w:p>
    <w:p w14:paraId="7E2F306D" w14:textId="77777777" w:rsidR="00F67E9E" w:rsidRPr="00A10867" w:rsidRDefault="00F67E9E" w:rsidP="00F67E9E">
      <w:pPr>
        <w:pStyle w:val="Numbered111"/>
      </w:pPr>
      <w:r w:rsidRPr="00A10867">
        <w:t>include estimated volumes of each type of resource to be employed and the applicable rate card;</w:t>
      </w:r>
    </w:p>
    <w:p w14:paraId="7361BEFB" w14:textId="77777777" w:rsidR="00F67E9E" w:rsidRPr="00A10867" w:rsidRDefault="00F67E9E" w:rsidP="00F67E9E">
      <w:pPr>
        <w:pStyle w:val="Numbered111"/>
      </w:pPr>
      <w:r w:rsidRPr="00A10867">
        <w:t xml:space="preserve">include full disclosure of any assumptions underlying such Impact Assessment; </w:t>
      </w:r>
    </w:p>
    <w:p w14:paraId="07E886EB" w14:textId="77777777" w:rsidR="00F67E9E" w:rsidRPr="00A10867" w:rsidRDefault="00F67E9E" w:rsidP="00F67E9E">
      <w:pPr>
        <w:pStyle w:val="Numbered111"/>
      </w:pPr>
      <w:r w:rsidRPr="00A10867">
        <w:t>include evidence of the cost of any assets required for the Change; and</w:t>
      </w:r>
    </w:p>
    <w:p w14:paraId="7E8C8FDA" w14:textId="77777777" w:rsidR="00F67E9E" w:rsidRPr="00D00D9A" w:rsidRDefault="00F67E9E" w:rsidP="00F67E9E">
      <w:pPr>
        <w:pStyle w:val="Numbered111"/>
      </w:pPr>
      <w:r w:rsidRPr="00A10867">
        <w:t>include</w:t>
      </w:r>
      <w:r w:rsidRPr="00D00D9A">
        <w:t xml:space="preserve"> details of any new Sub-contracts necessary to accomplish the Change.</w:t>
      </w:r>
    </w:p>
    <w:p w14:paraId="71779E05" w14:textId="77777777" w:rsidR="00F67E9E" w:rsidRPr="00D00D9A" w:rsidRDefault="00F67E9E" w:rsidP="00F67E9E">
      <w:pPr>
        <w:pStyle w:val="Numbered1"/>
      </w:pPr>
      <w:bookmarkStart w:id="1419" w:name="_Ref_ContractCompanion_9kb9Us4CB"/>
      <w:bookmarkStart w:id="1420" w:name="_9kR3WTrAG98GHcJfifw5qEQPY4OC8JEHYYSJ99N"/>
      <w:r w:rsidRPr="00D00D9A">
        <w:t>Authority</w:t>
      </w:r>
      <w:r>
        <w:t>’</w:t>
      </w:r>
      <w:r w:rsidRPr="00D00D9A">
        <w:t xml:space="preserve">s Right </w:t>
      </w:r>
      <w:r>
        <w:t>o</w:t>
      </w:r>
      <w:r w:rsidRPr="00D00D9A">
        <w:t xml:space="preserve">f </w:t>
      </w:r>
      <w:r w:rsidRPr="00A10867">
        <w:t>Approval</w:t>
      </w:r>
      <w:bookmarkEnd w:id="1419"/>
      <w:bookmarkEnd w:id="1420"/>
    </w:p>
    <w:p w14:paraId="14F62187" w14:textId="3530FC8F" w:rsidR="00F67E9E" w:rsidRPr="00D00D9A" w:rsidRDefault="00F67E9E" w:rsidP="00F67E9E">
      <w:pPr>
        <w:pStyle w:val="Numbered11"/>
      </w:pPr>
      <w:bookmarkStart w:id="1421" w:name="_Ref_ContractCompanion_9kb9Us5EH"/>
      <w:bookmarkStart w:id="1422" w:name="_9kR3WTrAG99INLFgVzzpwGMsjB8043UJBUL9DDz"/>
      <w:r w:rsidRPr="00D00D9A">
        <w:t xml:space="preserve">Within 15 Working Days of receiving the </w:t>
      </w:r>
      <w:r w:rsidRPr="00A10867">
        <w:t>Impact</w:t>
      </w:r>
      <w:r w:rsidRPr="00D00D9A">
        <w:t xml:space="preserve"> Assessment from the Supplier or within 10 Working Days of receiving the further information that it may request pursuant to </w:t>
      </w:r>
      <w:bookmarkStart w:id="1423" w:name="_9kMJI5YVtCIBBKJGJXGy1nHSI62D8BSIDPF1mhz"/>
      <w:r w:rsidRPr="00D00D9A">
        <w:t xml:space="preserve">Paragraph </w:t>
      </w:r>
      <w:r w:rsidRPr="00D00D9A">
        <w:fldChar w:fldCharType="begin"/>
      </w:r>
      <w:r w:rsidRPr="00D00D9A">
        <w:instrText xml:space="preserve"> REF _Ref_ContractCompanion_9kb9Us5EB \n \h \t \* MERGEFORMAT </w:instrText>
      </w:r>
      <w:r w:rsidRPr="00D00D9A">
        <w:fldChar w:fldCharType="separate"/>
      </w:r>
      <w:r w:rsidR="007A1473">
        <w:t>5.4</w:t>
      </w:r>
      <w:r w:rsidRPr="00D00D9A">
        <w:fldChar w:fldCharType="end"/>
      </w:r>
      <w:bookmarkEnd w:id="1423"/>
      <w:r w:rsidRPr="00D00D9A">
        <w:t>, the Authority shall evaluate the Change Request and the Impact Assessment and shall do one of the following:</w:t>
      </w:r>
      <w:bookmarkEnd w:id="1421"/>
      <w:bookmarkEnd w:id="1422"/>
    </w:p>
    <w:p w14:paraId="4170E753" w14:textId="43840E19" w:rsidR="00F67E9E" w:rsidRPr="00D00D9A" w:rsidRDefault="00F67E9E" w:rsidP="00F67E9E">
      <w:pPr>
        <w:pStyle w:val="Numbered111"/>
      </w:pPr>
      <w:r w:rsidRPr="00D00D9A">
        <w:t xml:space="preserve">approve the proposed Contract Change, in which case the Parties shall follow the procedure set out in </w:t>
      </w:r>
      <w:bookmarkStart w:id="1424" w:name="_9kMJI5YVtCIBBJMLIVGy1nHSI62D8BSA2ILLQHF"/>
      <w:r w:rsidRPr="00A10867">
        <w:t>Paragraph</w:t>
      </w:r>
      <w:r w:rsidRPr="00D00D9A">
        <w:t xml:space="preserve"> </w:t>
      </w:r>
      <w:r w:rsidRPr="00D00D9A">
        <w:fldChar w:fldCharType="begin"/>
      </w:r>
      <w:r w:rsidRPr="00D00D9A">
        <w:instrText xml:space="preserve"> REF _Ref_ContractCompanion_9kb9Us5DE \n \h \t \* MERGEFORMAT </w:instrText>
      </w:r>
      <w:r w:rsidRPr="00D00D9A">
        <w:fldChar w:fldCharType="separate"/>
      </w:r>
      <w:r w:rsidR="007A1473">
        <w:t>6.2</w:t>
      </w:r>
      <w:r w:rsidRPr="00D00D9A">
        <w:fldChar w:fldCharType="end"/>
      </w:r>
      <w:bookmarkEnd w:id="1424"/>
      <w:r w:rsidRPr="00D00D9A">
        <w:t>;</w:t>
      </w:r>
    </w:p>
    <w:p w14:paraId="2367263C" w14:textId="77777777" w:rsidR="00F67E9E" w:rsidRPr="00D00D9A" w:rsidRDefault="00F67E9E" w:rsidP="00F67E9E">
      <w:pPr>
        <w:pStyle w:val="Numbered111"/>
      </w:pPr>
      <w:r w:rsidRPr="00D00D9A">
        <w:t>in its absolute discretion reject the Contract Change, in which case it shall notify the Supplier of the rejection.</w:t>
      </w:r>
      <w:r>
        <w:t xml:space="preserve"> </w:t>
      </w:r>
      <w:r w:rsidRPr="00D00D9A">
        <w:t>The Authority shall not reject any proposed Contract Change to the extent that the Contract Change is necessary for the Supplier or the Services to comply with any Changes in Law.</w:t>
      </w:r>
      <w:r>
        <w:t xml:space="preserve"> </w:t>
      </w:r>
      <w:r w:rsidRPr="00D00D9A">
        <w:t>If the Authority does reject a Contract Change, then it shall explain its reasons in writing to the Supplier as soon as is reasonably practicable following such rejection; or</w:t>
      </w:r>
    </w:p>
    <w:p w14:paraId="47327F6C" w14:textId="56D2A7AD" w:rsidR="00F67E9E" w:rsidRPr="00D00D9A" w:rsidRDefault="00F67E9E" w:rsidP="00F67E9E">
      <w:pPr>
        <w:pStyle w:val="Numbered111"/>
      </w:pPr>
      <w:r w:rsidRPr="00D00D9A">
        <w:t xml:space="preserve">in the event that it reasonably believes that a Change Request or Impact Assessment contains errors or omissions, require the Supplier to modify the relevant document accordingly, in which event the Supplier shall make such modifications within 5 Working Days of such request. Subject to </w:t>
      </w:r>
      <w:bookmarkStart w:id="1425" w:name="_9kMKJ5YVtCIBBKJGJXGy1nHSI62D8BSIDPF1mhz"/>
      <w:r w:rsidRPr="00D00D9A">
        <w:t xml:space="preserve">Paragraph </w:t>
      </w:r>
      <w:r w:rsidRPr="00D00D9A">
        <w:fldChar w:fldCharType="begin"/>
      </w:r>
      <w:r w:rsidRPr="00D00D9A">
        <w:instrText xml:space="preserve"> REF _Ref_ContractCompanion_9kb9Us5EB \n \h \t \* MERGEFORMAT </w:instrText>
      </w:r>
      <w:r w:rsidRPr="00D00D9A">
        <w:fldChar w:fldCharType="separate"/>
      </w:r>
      <w:r w:rsidR="007A1473">
        <w:t>5.4</w:t>
      </w:r>
      <w:r w:rsidRPr="00D00D9A">
        <w:fldChar w:fldCharType="end"/>
      </w:r>
      <w:bookmarkEnd w:id="1425"/>
      <w:r w:rsidRPr="00D00D9A">
        <w:t>, on receiving the modified Change Request and/or Impact Assessment, the Authority shall approve or reject the proposed Contract Change within 10 Working Days.</w:t>
      </w:r>
    </w:p>
    <w:p w14:paraId="774F31D7" w14:textId="12350DF3" w:rsidR="00F67E9E" w:rsidRPr="00D00D9A" w:rsidRDefault="00F67E9E" w:rsidP="00F67E9E">
      <w:pPr>
        <w:pStyle w:val="Numbered11"/>
      </w:pPr>
      <w:bookmarkStart w:id="1426" w:name="_9kR3WTrAG99HKJGTEwzlFQG40B69Q80GJJOFDTJ"/>
      <w:bookmarkStart w:id="1427" w:name="_Ref_ContractCompanion_9kb9Us5DE"/>
      <w:bookmarkStart w:id="1428" w:name="_Ref141297267"/>
      <w:r w:rsidRPr="00D00D9A">
        <w:t xml:space="preserve">If the Authority approves the proposed Contract Change pursuant to </w:t>
      </w:r>
      <w:bookmarkStart w:id="1429" w:name="_9kMHG5YVtCIBBKPNHiX11ryIOulDA265WLDWNBF"/>
      <w:r w:rsidRPr="00D00D9A">
        <w:t xml:space="preserve">Paragraph </w:t>
      </w:r>
      <w:r w:rsidRPr="00D00D9A">
        <w:fldChar w:fldCharType="begin"/>
      </w:r>
      <w:r w:rsidRPr="00D00D9A">
        <w:instrText xml:space="preserve"> REF _Ref_ContractCompanion_9kb9Us5EH \n \h \t \* MERGEFORMAT </w:instrText>
      </w:r>
      <w:r w:rsidRPr="00D00D9A">
        <w:fldChar w:fldCharType="separate"/>
      </w:r>
      <w:r w:rsidR="007A1473">
        <w:t>6.1</w:t>
      </w:r>
      <w:r w:rsidRPr="00D00D9A">
        <w:fldChar w:fldCharType="end"/>
      </w:r>
      <w:bookmarkEnd w:id="1429"/>
      <w:r w:rsidRPr="00D00D9A">
        <w:t xml:space="preserve"> and it has not been rejected by the Supplier in accordance with </w:t>
      </w:r>
      <w:bookmarkStart w:id="1430" w:name="_9kMIH5YVtCIBAIGbLhkhy7sGSStOMIF93DSTKAA"/>
      <w:r w:rsidRPr="00D00D9A">
        <w:t xml:space="preserve">Paragraph </w:t>
      </w:r>
      <w:r w:rsidRPr="00D00D9A">
        <w:fldChar w:fldCharType="begin"/>
      </w:r>
      <w:r w:rsidRPr="00D00D9A">
        <w:instrText xml:space="preserve"> REF _Ref_ContractCompanion_9kb9Us4BH \w \n \h \t \* MERGEFORMAT </w:instrText>
      </w:r>
      <w:r w:rsidRPr="00D00D9A">
        <w:fldChar w:fldCharType="separate"/>
      </w:r>
      <w:r w:rsidR="007A1473">
        <w:t>6.3</w:t>
      </w:r>
      <w:r w:rsidRPr="00D00D9A">
        <w:fldChar w:fldCharType="end"/>
      </w:r>
      <w:bookmarkEnd w:id="1430"/>
      <w:r w:rsidRPr="00D00D9A">
        <w:t>, then it shall inform the Supplier and</w:t>
      </w:r>
      <w:r w:rsidRPr="00A8707E">
        <w:t xml:space="preserve">, unless otherwise directed by the Authority, </w:t>
      </w:r>
      <w:r w:rsidRPr="00D00D9A">
        <w:t>the Supplier</w:t>
      </w:r>
      <w:r>
        <w:t xml:space="preserve"> shall be </w:t>
      </w:r>
      <w:r>
        <w:lastRenderedPageBreak/>
        <w:t>the Drafting Party</w:t>
      </w:r>
      <w:r w:rsidRPr="00D00D9A">
        <w:t>.</w:t>
      </w:r>
      <w:bookmarkEnd w:id="1426"/>
      <w:r>
        <w:t xml:space="preserve"> </w:t>
      </w:r>
      <w:bookmarkEnd w:id="1427"/>
      <w:r w:rsidRPr="00FB63A1">
        <w:t>Following receipt by the Receiving Party of the Change Authorisation Note, it shall sign both copies and return one copy to the Drafting Party. Unless otherwise specified, on the Receiving Party's signature the Change Authorisation Note shall constitute (or, where the Authority has agreed to or required the implementation of a Change prior to signature of a Change Authorisation Note, shall constitute confirmation of) a binding variation to this Contract.</w:t>
      </w:r>
      <w:bookmarkEnd w:id="1428"/>
    </w:p>
    <w:p w14:paraId="3437FC9E" w14:textId="2DE6F9D4" w:rsidR="00F67E9E" w:rsidRPr="004278DC" w:rsidRDefault="00F67E9E" w:rsidP="00F67E9E">
      <w:pPr>
        <w:pStyle w:val="Numbered11"/>
      </w:pPr>
      <w:bookmarkStart w:id="1431" w:name="_Ref_ContractCompanion_9kb9Us4BH"/>
      <w:bookmarkStart w:id="1432" w:name="_9kR3WTrAG98GEZJfifw5qEQQrMKGD71BQRI88MU"/>
      <w:r w:rsidRPr="004278DC">
        <w:t>If the Receiving Party does not sign the Change Authorisation Note within 10 Working Days of receipt, then the Drafting Party shall have the right to notify the Receiving Party and if the Receiving Party does not sign the Change Authorisation Note within 5 Working Days of such notification, then the Drafting Party may refer the matter to the Expedited Dispute Timetable pursuant to the Dispute Resolution Procedure.</w:t>
      </w:r>
    </w:p>
    <w:p w14:paraId="62E30872" w14:textId="77777777" w:rsidR="00F67E9E" w:rsidRPr="00D00D9A" w:rsidRDefault="00F67E9E" w:rsidP="00F67E9E">
      <w:pPr>
        <w:pStyle w:val="Numbered1"/>
      </w:pPr>
      <w:r w:rsidRPr="00D00D9A">
        <w:t>Supplier</w:t>
      </w:r>
      <w:r>
        <w:t>’</w:t>
      </w:r>
      <w:r w:rsidRPr="00D00D9A">
        <w:t xml:space="preserve">s </w:t>
      </w:r>
      <w:r w:rsidRPr="00A10867">
        <w:t>Right</w:t>
      </w:r>
      <w:r w:rsidRPr="00D00D9A">
        <w:t xml:space="preserve"> </w:t>
      </w:r>
      <w:r>
        <w:t>o</w:t>
      </w:r>
      <w:r w:rsidRPr="00D00D9A">
        <w:t>f Approval</w:t>
      </w:r>
      <w:bookmarkEnd w:id="1431"/>
      <w:bookmarkEnd w:id="1432"/>
    </w:p>
    <w:p w14:paraId="3AC7EF75" w14:textId="77777777" w:rsidR="00F67E9E" w:rsidRPr="00D00D9A" w:rsidRDefault="00F67E9E" w:rsidP="00F67E9E">
      <w:pPr>
        <w:pStyle w:val="Numbered11"/>
      </w:pPr>
      <w:r w:rsidRPr="00D00D9A">
        <w:t>Following an Impact Assessment, if:</w:t>
      </w:r>
    </w:p>
    <w:p w14:paraId="233A2084" w14:textId="77777777" w:rsidR="00F67E9E" w:rsidRPr="00D00D9A" w:rsidRDefault="00F67E9E" w:rsidP="00F67E9E">
      <w:pPr>
        <w:pStyle w:val="Numbered111"/>
      </w:pPr>
      <w:r w:rsidRPr="00D00D9A">
        <w:t>the Supplier reasonably believes that any proposed Contract Change which is requested by the Authority would:</w:t>
      </w:r>
    </w:p>
    <w:p w14:paraId="07FE2699" w14:textId="77777777" w:rsidR="00F67E9E" w:rsidRPr="00A10867" w:rsidRDefault="00F67E9E" w:rsidP="00F67E9E">
      <w:pPr>
        <w:pStyle w:val="Numbered111a"/>
      </w:pPr>
      <w:r w:rsidRPr="00A10867">
        <w:t>materially and adversely affect the risks to the health and safety of any person; and/or</w:t>
      </w:r>
    </w:p>
    <w:p w14:paraId="3C1B695D" w14:textId="77777777" w:rsidR="00F67E9E" w:rsidRPr="00D00D9A" w:rsidRDefault="00F67E9E" w:rsidP="00F67E9E">
      <w:pPr>
        <w:pStyle w:val="Numbered111a"/>
      </w:pPr>
      <w:r w:rsidRPr="00A10867">
        <w:t>require the Services to be performed in a way that infringes any Law; and/or</w:t>
      </w:r>
    </w:p>
    <w:p w14:paraId="02A5EDF4" w14:textId="77777777" w:rsidR="00F67E9E" w:rsidRPr="00D00D9A" w:rsidRDefault="00F67E9E" w:rsidP="00F67E9E">
      <w:pPr>
        <w:pStyle w:val="Numbered111"/>
      </w:pPr>
      <w:r w:rsidRPr="00D00D9A">
        <w:t>the Supplier demonstrates to the Authority</w:t>
      </w:r>
      <w:r>
        <w:t>’</w:t>
      </w:r>
      <w:r w:rsidRPr="00D00D9A">
        <w:t>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p>
    <w:p w14:paraId="32A662F6" w14:textId="05EF007B" w:rsidR="00F67E9E" w:rsidRPr="00D00D9A" w:rsidRDefault="00F67E9E" w:rsidP="00F67E9E">
      <w:pPr>
        <w:pStyle w:val="StdBodyText1"/>
        <w:rPr>
          <w:rFonts w:cs="Arial"/>
        </w:rPr>
      </w:pPr>
      <w:r w:rsidRPr="00D00D9A">
        <w:rPr>
          <w:rFonts w:cs="Arial"/>
        </w:rPr>
        <w:t xml:space="preserve">then the Supplier shall be entitled to reject the proposed Contract Change and shall notify the Authority of its reasons for doing so within 5 Working Days after the date on which it is obliged to deliver the Impact Assessment pursuant to </w:t>
      </w:r>
      <w:bookmarkStart w:id="1433" w:name="_9kMIH5YVtCIBBJJGHWGy1nHSI62D8BSIDOREDTJ"/>
      <w:r w:rsidRPr="00D00D9A">
        <w:rPr>
          <w:rFonts w:cs="Arial"/>
        </w:rPr>
        <w:t xml:space="preserve">Paragraph </w:t>
      </w:r>
      <w:r w:rsidRPr="00D00D9A">
        <w:rPr>
          <w:rFonts w:cs="Arial"/>
        </w:rPr>
        <w:fldChar w:fldCharType="begin"/>
      </w:r>
      <w:r w:rsidRPr="00D00D9A">
        <w:rPr>
          <w:rFonts w:cs="Arial"/>
        </w:rPr>
        <w:instrText xml:space="preserve"> REF _Ref_ContractCompanion_9kb9Us5DB \n \h \t \* MERGEFORMAT </w:instrText>
      </w:r>
      <w:r w:rsidRPr="00D00D9A">
        <w:rPr>
          <w:rFonts w:cs="Arial"/>
        </w:rPr>
      </w:r>
      <w:r w:rsidRPr="00D00D9A">
        <w:rPr>
          <w:rFonts w:cs="Arial"/>
        </w:rPr>
        <w:fldChar w:fldCharType="separate"/>
      </w:r>
      <w:r w:rsidR="007A1473">
        <w:rPr>
          <w:rFonts w:cs="Arial"/>
        </w:rPr>
        <w:t>4.3</w:t>
      </w:r>
      <w:r w:rsidRPr="00D00D9A">
        <w:rPr>
          <w:rFonts w:cs="Arial"/>
        </w:rPr>
        <w:fldChar w:fldCharType="end"/>
      </w:r>
      <w:bookmarkEnd w:id="1433"/>
      <w:r w:rsidRPr="00D00D9A">
        <w:rPr>
          <w:rFonts w:cs="Arial"/>
        </w:rPr>
        <w:t>.</w:t>
      </w:r>
    </w:p>
    <w:p w14:paraId="342F4F7C" w14:textId="77777777" w:rsidR="00F67E9E" w:rsidRPr="00D00D9A" w:rsidRDefault="00F67E9E" w:rsidP="00F67E9E">
      <w:pPr>
        <w:pStyle w:val="Numbered1"/>
      </w:pPr>
      <w:bookmarkStart w:id="1434" w:name="_Ref_ContractCompanion_9kb9Us5CE"/>
      <w:bookmarkStart w:id="1435" w:name="_9kR3WTrAG99GKMVftDFEwitusry5xA"/>
      <w:r w:rsidRPr="00D00D9A">
        <w:t xml:space="preserve">Fast-Track </w:t>
      </w:r>
      <w:r w:rsidRPr="00A10867">
        <w:t>Changes</w:t>
      </w:r>
      <w:bookmarkEnd w:id="1434"/>
      <w:bookmarkEnd w:id="1435"/>
    </w:p>
    <w:p w14:paraId="160929E8" w14:textId="77777777" w:rsidR="00F67E9E" w:rsidRPr="00A10867" w:rsidRDefault="00F67E9E" w:rsidP="00F67E9E">
      <w:pPr>
        <w:pStyle w:val="Numbered11"/>
      </w:pPr>
      <w:r w:rsidRPr="00D00D9A">
        <w:t xml:space="preserve">The Parties acknowledge that to ensure operational efficiency there may be circumstances where it is desirable to expedite the processes set out </w:t>
      </w:r>
      <w:r w:rsidRPr="00A10867">
        <w:t>above.</w:t>
      </w:r>
    </w:p>
    <w:p w14:paraId="7899654C" w14:textId="77777777" w:rsidR="00F67E9E" w:rsidRPr="00A10867" w:rsidRDefault="00F67E9E" w:rsidP="00F67E9E">
      <w:pPr>
        <w:pStyle w:val="Numbered11"/>
      </w:pPr>
      <w:bookmarkStart w:id="1436" w:name="_Ref_ContractCompanion_9kb9Us5EK"/>
      <w:bookmarkStart w:id="1437" w:name="_9kR3WTrAG9AA7GITE"/>
      <w:r w:rsidRPr="00A10867">
        <w:t>If:</w:t>
      </w:r>
      <w:bookmarkEnd w:id="1436"/>
      <w:bookmarkEnd w:id="1437"/>
    </w:p>
    <w:p w14:paraId="2FD00168" w14:textId="77777777" w:rsidR="00F67E9E" w:rsidRPr="00A10867" w:rsidRDefault="00F67E9E" w:rsidP="00F67E9E">
      <w:pPr>
        <w:pStyle w:val="Numbered111"/>
      </w:pPr>
      <w:r w:rsidRPr="00D00D9A">
        <w:t xml:space="preserve">the total number of Contract Changes in relation to which this Fast-track Change procedure has been applied does not </w:t>
      </w:r>
      <w:r w:rsidRPr="00A10867">
        <w:t xml:space="preserve">exceed 4 in any 12 month period; and </w:t>
      </w:r>
    </w:p>
    <w:p w14:paraId="59D2C2BA" w14:textId="720AEBF2" w:rsidR="00F67E9E" w:rsidRPr="00D35048" w:rsidRDefault="00F67E9E" w:rsidP="00F67E9E">
      <w:pPr>
        <w:pStyle w:val="Numbered111"/>
      </w:pPr>
      <w:r w:rsidRPr="00D35048">
        <w:t xml:space="preserve">the </w:t>
      </w:r>
      <w:r w:rsidRPr="00D00D9A">
        <w:t>proposed Contract Change is not significant (as determined by the Authority acting reasonably</w:t>
      </w:r>
      <w:r w:rsidRPr="00D35048">
        <w:t>),</w:t>
      </w:r>
    </w:p>
    <w:p w14:paraId="05855282" w14:textId="11B9396D" w:rsidR="00F67E9E" w:rsidRPr="00D00D9A" w:rsidRDefault="00F67E9E" w:rsidP="00F67E9E">
      <w:pPr>
        <w:pStyle w:val="StdBodyText2"/>
        <w:rPr>
          <w:rFonts w:cs="Arial"/>
        </w:rPr>
      </w:pPr>
      <w:r w:rsidRPr="00D00D9A">
        <w:rPr>
          <w:rFonts w:cs="Arial"/>
        </w:rPr>
        <w:t xml:space="preserve">then the Parties shall confirm to each other in writing that they shall use the process set out in </w:t>
      </w:r>
      <w:bookmarkStart w:id="1438" w:name="_9kMIH5YVtCIBAIPkLhkhy7sGSPavu180CDDUJIY"/>
      <w:r w:rsidRPr="00D00D9A">
        <w:rPr>
          <w:rFonts w:cs="Arial"/>
        </w:rPr>
        <w:t xml:space="preserve">Paragraphs </w:t>
      </w:r>
      <w:r w:rsidRPr="00D00D9A">
        <w:rPr>
          <w:rFonts w:cs="Arial"/>
        </w:rPr>
        <w:fldChar w:fldCharType="begin"/>
      </w:r>
      <w:r w:rsidRPr="00D00D9A">
        <w:rPr>
          <w:rFonts w:cs="Arial"/>
        </w:rPr>
        <w:instrText xml:space="preserve"> REF _Ref_ContractCompanion_9kb9Us4CH \w \n \h \t \* MERGEFORMAT </w:instrText>
      </w:r>
      <w:r w:rsidRPr="00D00D9A">
        <w:rPr>
          <w:rFonts w:cs="Arial"/>
        </w:rPr>
      </w:r>
      <w:r w:rsidRPr="00D00D9A">
        <w:rPr>
          <w:rFonts w:cs="Arial"/>
        </w:rPr>
        <w:fldChar w:fldCharType="separate"/>
      </w:r>
      <w:r w:rsidR="007A1473">
        <w:rPr>
          <w:rFonts w:cs="Arial"/>
        </w:rPr>
        <w:t>4</w:t>
      </w:r>
      <w:r w:rsidRPr="00D00D9A">
        <w:rPr>
          <w:rFonts w:cs="Arial"/>
        </w:rPr>
        <w:fldChar w:fldCharType="end"/>
      </w:r>
      <w:bookmarkEnd w:id="1438"/>
      <w:r w:rsidRPr="00D00D9A">
        <w:rPr>
          <w:rFonts w:cs="Arial"/>
        </w:rPr>
        <w:t xml:space="preserve">, </w:t>
      </w:r>
      <w:bookmarkStart w:id="1439" w:name="_9kMJI5YVtCIBAIMhLhkhy7sGSQh6E3rBAATGHWR"/>
      <w:r w:rsidRPr="00D00D9A">
        <w:rPr>
          <w:rFonts w:cs="Arial"/>
        </w:rPr>
        <w:fldChar w:fldCharType="begin"/>
      </w:r>
      <w:r w:rsidRPr="00D00D9A">
        <w:rPr>
          <w:rFonts w:cs="Arial"/>
        </w:rPr>
        <w:instrText xml:space="preserve"> REF _Ref_ContractCompanion_9kb9Us4CE \w \n \h \t \* MERGEFORMAT </w:instrText>
      </w:r>
      <w:r w:rsidRPr="00D00D9A">
        <w:rPr>
          <w:rFonts w:cs="Arial"/>
        </w:rPr>
      </w:r>
      <w:r w:rsidRPr="00D00D9A">
        <w:rPr>
          <w:rFonts w:cs="Arial"/>
        </w:rPr>
        <w:fldChar w:fldCharType="separate"/>
      </w:r>
      <w:r w:rsidR="007A1473">
        <w:rPr>
          <w:rFonts w:cs="Arial"/>
        </w:rPr>
        <w:t>5</w:t>
      </w:r>
      <w:r w:rsidRPr="00D00D9A">
        <w:rPr>
          <w:rFonts w:cs="Arial"/>
        </w:rPr>
        <w:fldChar w:fldCharType="end"/>
      </w:r>
      <w:bookmarkEnd w:id="1439"/>
      <w:r w:rsidRPr="00D00D9A">
        <w:rPr>
          <w:rFonts w:cs="Arial"/>
        </w:rPr>
        <w:t xml:space="preserve">, </w:t>
      </w:r>
      <w:bookmarkStart w:id="1440" w:name="_9kMJI5YVtCIBAIJeLhkhy7sGSRa6QEALGJaaULB"/>
      <w:r w:rsidRPr="00D00D9A">
        <w:rPr>
          <w:rFonts w:cs="Arial"/>
        </w:rPr>
        <w:fldChar w:fldCharType="begin"/>
      </w:r>
      <w:r w:rsidRPr="00D00D9A">
        <w:rPr>
          <w:rFonts w:cs="Arial"/>
        </w:rPr>
        <w:instrText xml:space="preserve"> REF _Ref_ContractCompanion_9kb9Us4CB \w \n \h \t \* MERGEFORMAT </w:instrText>
      </w:r>
      <w:r w:rsidRPr="00D00D9A">
        <w:rPr>
          <w:rFonts w:cs="Arial"/>
        </w:rPr>
      </w:r>
      <w:r w:rsidRPr="00D00D9A">
        <w:rPr>
          <w:rFonts w:cs="Arial"/>
        </w:rPr>
        <w:fldChar w:fldCharType="separate"/>
      </w:r>
      <w:r w:rsidR="007A1473">
        <w:rPr>
          <w:rFonts w:cs="Arial"/>
        </w:rPr>
        <w:t>6</w:t>
      </w:r>
      <w:r w:rsidRPr="00D00D9A">
        <w:rPr>
          <w:rFonts w:cs="Arial"/>
        </w:rPr>
        <w:fldChar w:fldCharType="end"/>
      </w:r>
      <w:bookmarkEnd w:id="1440"/>
      <w:r w:rsidRPr="00D00D9A">
        <w:rPr>
          <w:rFonts w:cs="Arial"/>
        </w:rPr>
        <w:t xml:space="preserve"> and </w:t>
      </w:r>
      <w:bookmarkStart w:id="1441" w:name="_9kMJI5YVtCIBAIGbLhkhy7sGSStOMIF93DSTKAA"/>
      <w:r w:rsidRPr="00D00D9A">
        <w:rPr>
          <w:rFonts w:cs="Arial"/>
        </w:rPr>
        <w:fldChar w:fldCharType="begin"/>
      </w:r>
      <w:r w:rsidRPr="00D00D9A">
        <w:rPr>
          <w:rFonts w:cs="Arial"/>
        </w:rPr>
        <w:instrText xml:space="preserve"> REF _Ref_ContractCompanion_9kb9Us4BH \w \n \h \t \* MERGEFORMAT </w:instrText>
      </w:r>
      <w:r w:rsidRPr="00D00D9A">
        <w:rPr>
          <w:rFonts w:cs="Arial"/>
        </w:rPr>
      </w:r>
      <w:r w:rsidRPr="00D00D9A">
        <w:rPr>
          <w:rFonts w:cs="Arial"/>
        </w:rPr>
        <w:fldChar w:fldCharType="separate"/>
      </w:r>
      <w:r w:rsidR="007A1473">
        <w:rPr>
          <w:rFonts w:cs="Arial"/>
        </w:rPr>
        <w:t>6.3</w:t>
      </w:r>
      <w:r w:rsidRPr="00D00D9A">
        <w:rPr>
          <w:rFonts w:cs="Arial"/>
        </w:rPr>
        <w:fldChar w:fldCharType="end"/>
      </w:r>
      <w:bookmarkEnd w:id="1441"/>
      <w:r w:rsidRPr="00D00D9A">
        <w:rPr>
          <w:rFonts w:cs="Arial"/>
        </w:rPr>
        <w:t xml:space="preserve"> but with reduced timescales, such that any period of 15 Working Days is reduced to 5 Working Days, any period of 10 Working Days is reduced to 2 Working Days and any period of 5 Working Days is reduced to 1 Working Day.</w:t>
      </w:r>
    </w:p>
    <w:p w14:paraId="66BAFF25" w14:textId="77A50BD8" w:rsidR="00F67E9E" w:rsidRPr="00D00D9A" w:rsidRDefault="00F67E9E" w:rsidP="00F67E9E">
      <w:pPr>
        <w:pStyle w:val="Numbered11"/>
      </w:pPr>
      <w:r w:rsidRPr="00D00D9A">
        <w:lastRenderedPageBreak/>
        <w:t xml:space="preserve">The Parties may agree in writing to revise the parameters set out in </w:t>
      </w:r>
      <w:bookmarkStart w:id="1442" w:name="_9kMHG5YVtCIBCC9IKVG"/>
      <w:r w:rsidRPr="00D00D9A">
        <w:t xml:space="preserve">Paragraph </w:t>
      </w:r>
      <w:r w:rsidRPr="00D00D9A">
        <w:fldChar w:fldCharType="begin"/>
      </w:r>
      <w:r w:rsidRPr="00D00D9A">
        <w:instrText xml:space="preserve"> REF _Ref_ContractCompanion_9kb9Us5EK \n \h \t \* MERGEFORMAT </w:instrText>
      </w:r>
      <w:r w:rsidRPr="00D00D9A">
        <w:fldChar w:fldCharType="separate"/>
      </w:r>
      <w:r w:rsidR="007A1473">
        <w:t>8.2</w:t>
      </w:r>
      <w:r w:rsidRPr="00D00D9A">
        <w:fldChar w:fldCharType="end"/>
      </w:r>
      <w:bookmarkEnd w:id="1442"/>
      <w:r w:rsidRPr="00D00D9A">
        <w:t xml:space="preserve"> from time to time or that the Fast-track Change procedure shall be used in relation to a particular Contract Change notwithstanding that the total number of Contract Changes to which such procedure is applied will then </w:t>
      </w:r>
      <w:r w:rsidRPr="00A10867">
        <w:t>exceed</w:t>
      </w:r>
      <w:r w:rsidRPr="00D00D9A">
        <w:t xml:space="preserve"> 4 in a 12 month period.</w:t>
      </w:r>
    </w:p>
    <w:p w14:paraId="2EDB17F1" w14:textId="77777777" w:rsidR="00F67E9E" w:rsidRPr="00D00D9A" w:rsidRDefault="00F67E9E" w:rsidP="00F67E9E">
      <w:pPr>
        <w:pStyle w:val="Numbered1"/>
      </w:pPr>
      <w:bookmarkStart w:id="1443" w:name="_Ref_ContractCompanion_9kb9Us4BE"/>
      <w:bookmarkStart w:id="1444" w:name="_9kR3WTrAG98FKgJfifw5qEQSpD4747GCI54743A"/>
      <w:r w:rsidRPr="00D00D9A">
        <w:t xml:space="preserve">Operational Change </w:t>
      </w:r>
      <w:r w:rsidRPr="00A10867">
        <w:t>Procedure</w:t>
      </w:r>
      <w:bookmarkEnd w:id="1443"/>
      <w:bookmarkEnd w:id="1444"/>
    </w:p>
    <w:p w14:paraId="263248CD" w14:textId="77777777" w:rsidR="00F67E9E" w:rsidRPr="00D00D9A" w:rsidRDefault="00F67E9E" w:rsidP="00F67E9E">
      <w:pPr>
        <w:pStyle w:val="Numbered11"/>
      </w:pPr>
      <w:r w:rsidRPr="00D00D9A">
        <w:t xml:space="preserve">Any Operational Changes identified by the Supplier to improve operational efficiency of the Services may be implemented by the Supplier without following the Change Control Procedure for proposed Contract Changes </w:t>
      </w:r>
      <w:r w:rsidRPr="00A10867">
        <w:t>provided</w:t>
      </w:r>
      <w:r w:rsidRPr="00D00D9A">
        <w:t xml:space="preserve"> they do not:</w:t>
      </w:r>
    </w:p>
    <w:p w14:paraId="721FA88D" w14:textId="77777777" w:rsidR="00F67E9E" w:rsidRPr="00D00D9A" w:rsidRDefault="00F67E9E" w:rsidP="00F67E9E">
      <w:pPr>
        <w:pStyle w:val="Numbered111"/>
      </w:pPr>
      <w:r w:rsidRPr="00D00D9A">
        <w:t>have an impact on the business of the Authority;</w:t>
      </w:r>
    </w:p>
    <w:p w14:paraId="43921F62" w14:textId="77777777" w:rsidR="00F67E9E" w:rsidRPr="00A10867" w:rsidRDefault="00F67E9E" w:rsidP="00F67E9E">
      <w:pPr>
        <w:pStyle w:val="Numbered111"/>
      </w:pPr>
      <w:r w:rsidRPr="00D00D9A">
        <w:t xml:space="preserve">require a </w:t>
      </w:r>
      <w:r w:rsidRPr="00A10867">
        <w:t>change to this Contract;</w:t>
      </w:r>
    </w:p>
    <w:p w14:paraId="57CADDAC" w14:textId="77777777" w:rsidR="00F67E9E" w:rsidRPr="00A10867" w:rsidRDefault="00F67E9E" w:rsidP="00F67E9E">
      <w:pPr>
        <w:pStyle w:val="Numbered111"/>
      </w:pPr>
      <w:r w:rsidRPr="00A10867">
        <w:t>have a direct impact on use of the Services; or</w:t>
      </w:r>
    </w:p>
    <w:p w14:paraId="1CA6FEFB" w14:textId="77777777" w:rsidR="00F67E9E" w:rsidRPr="00D00D9A" w:rsidRDefault="00F67E9E" w:rsidP="00F67E9E">
      <w:pPr>
        <w:pStyle w:val="Numbered111"/>
      </w:pPr>
      <w:r w:rsidRPr="00A10867">
        <w:t>involve the A</w:t>
      </w:r>
      <w:r w:rsidRPr="00D00D9A">
        <w:t>uthority in paying any additional Charges or other costs.</w:t>
      </w:r>
    </w:p>
    <w:p w14:paraId="4D90A173" w14:textId="77777777" w:rsidR="00F67E9E" w:rsidRPr="00D00D9A" w:rsidRDefault="00F67E9E" w:rsidP="00F67E9E">
      <w:pPr>
        <w:pStyle w:val="Numbered11"/>
      </w:pPr>
      <w:r w:rsidRPr="00D00D9A">
        <w:t>The Authority may request an Operational Change by submitting a written request for Operational Change (</w:t>
      </w:r>
      <w:r>
        <w:t>“</w:t>
      </w:r>
      <w:r w:rsidRPr="00D00D9A">
        <w:rPr>
          <w:rStyle w:val="StdBodyTextBoldChar"/>
          <w:rFonts w:eastAsiaTheme="majorEastAsia" w:cs="Arial"/>
        </w:rPr>
        <w:t>RFOC</w:t>
      </w:r>
      <w:r>
        <w:t>”</w:t>
      </w:r>
      <w:r w:rsidRPr="00D00D9A">
        <w:t>) to the Supplier Representative.</w:t>
      </w:r>
    </w:p>
    <w:p w14:paraId="408E9072" w14:textId="77777777" w:rsidR="00F67E9E" w:rsidRPr="00D00D9A" w:rsidRDefault="00F67E9E" w:rsidP="00F67E9E">
      <w:pPr>
        <w:pStyle w:val="Numbered11"/>
      </w:pPr>
      <w:r w:rsidRPr="00D00D9A">
        <w:t>The RFOC shall include the following details:</w:t>
      </w:r>
    </w:p>
    <w:p w14:paraId="38482CD2" w14:textId="77777777" w:rsidR="00F67E9E" w:rsidRPr="00A10867" w:rsidRDefault="00F67E9E" w:rsidP="00F67E9E">
      <w:pPr>
        <w:pStyle w:val="Numbered111"/>
      </w:pPr>
      <w:r w:rsidRPr="00A10867">
        <w:t>the proposed Operational Change; and</w:t>
      </w:r>
    </w:p>
    <w:p w14:paraId="43EC5219" w14:textId="77777777" w:rsidR="00F67E9E" w:rsidRPr="00D00D9A" w:rsidRDefault="00F67E9E" w:rsidP="00F67E9E">
      <w:pPr>
        <w:pStyle w:val="Numbered111"/>
      </w:pPr>
      <w:r w:rsidRPr="00A10867">
        <w:t>the</w:t>
      </w:r>
      <w:r w:rsidRPr="00D00D9A">
        <w:t xml:space="preserve"> time-scale for completion of the Operational Change.</w:t>
      </w:r>
    </w:p>
    <w:p w14:paraId="5C1672CE" w14:textId="77777777" w:rsidR="00F67E9E" w:rsidRPr="00D00D9A" w:rsidRDefault="00F67E9E" w:rsidP="00F67E9E">
      <w:pPr>
        <w:pStyle w:val="Numbered11"/>
      </w:pPr>
      <w:r w:rsidRPr="00D00D9A">
        <w:t>The Supplier shall inform the Authority of any impact on the Services that may arise from the proposed Operational Change.</w:t>
      </w:r>
    </w:p>
    <w:p w14:paraId="643F2DFD" w14:textId="77777777" w:rsidR="00F67E9E" w:rsidRPr="00D00D9A" w:rsidRDefault="00F67E9E" w:rsidP="00F67E9E">
      <w:pPr>
        <w:pStyle w:val="Numbered11"/>
      </w:pPr>
      <w:r w:rsidRPr="00D00D9A">
        <w:t>The Supplier shall complete the Operational Change by the timescale specified for completion of the Operational Change in the RFOC, and shall promptly notify the Authority when the Operational Change is completed.</w:t>
      </w:r>
    </w:p>
    <w:p w14:paraId="66D424FD" w14:textId="77777777" w:rsidR="00F67E9E" w:rsidRPr="00D00D9A" w:rsidRDefault="00F67E9E" w:rsidP="00F67E9E">
      <w:pPr>
        <w:pStyle w:val="Numbered1"/>
      </w:pPr>
      <w:r w:rsidRPr="00D00D9A">
        <w:t>Communications</w:t>
      </w:r>
    </w:p>
    <w:p w14:paraId="739BF531" w14:textId="77777777" w:rsidR="00F67E9E" w:rsidRDefault="00F67E9E" w:rsidP="00F67E9E">
      <w:pPr>
        <w:pStyle w:val="Numbered11"/>
      </w:pPr>
      <w:r w:rsidRPr="00D00D9A">
        <w:t xml:space="preserve">For any Change Communication to be valid under this Schedule, it must be sent to either the Authority Change Manager or the Supplier Change Manager, as applicable. The provisions of </w:t>
      </w:r>
      <w:bookmarkStart w:id="1445" w:name="_9kR3WTr2CC6ABLChrAv8M"/>
      <w:r w:rsidRPr="00D00D9A">
        <w:t>Clause 42</w:t>
      </w:r>
      <w:bookmarkEnd w:id="1445"/>
      <w:r w:rsidRPr="00D00D9A">
        <w:t xml:space="preserve"> (</w:t>
      </w:r>
      <w:r w:rsidRPr="00D00D9A">
        <w:rPr>
          <w:i/>
        </w:rPr>
        <w:t>Notices</w:t>
      </w:r>
      <w:r w:rsidRPr="00D00D9A">
        <w:t>) shall apply to a Change Communication as if it were a notice.</w:t>
      </w:r>
    </w:p>
    <w:p w14:paraId="411A5F99" w14:textId="77777777" w:rsidR="00F67E9E" w:rsidRDefault="00F67E9E" w:rsidP="00F67E9E"/>
    <w:p w14:paraId="2BD241BB" w14:textId="77777777" w:rsidR="00F67E9E" w:rsidRPr="000B6F69" w:rsidRDefault="00F67E9E" w:rsidP="00F67E9E">
      <w:pPr>
        <w:pStyle w:val="Heading2"/>
        <w:pageBreakBefore/>
      </w:pPr>
      <w:bookmarkStart w:id="1446" w:name="_Ref_ContractCompanion_9kb9Ur7CC"/>
      <w:bookmarkStart w:id="1447" w:name="_Ref_ContractCompanion_9kb9Ur7CE"/>
      <w:bookmarkStart w:id="1448" w:name="_Ref_ContractCompanion_9kb9Ur7DB"/>
      <w:bookmarkStart w:id="1449" w:name="_Toc145412799"/>
      <w:r w:rsidRPr="000038E2">
        <w:lastRenderedPageBreak/>
        <w:t>Annex</w:t>
      </w:r>
      <w:r>
        <w:t> </w:t>
      </w:r>
      <w:bookmarkStart w:id="1450" w:name="ANNEX1_SCHEDULE22"/>
      <w:r w:rsidRPr="00D00D9A">
        <w:t>1</w:t>
      </w:r>
      <w:bookmarkEnd w:id="1450"/>
      <w:r w:rsidRPr="00D00D9A">
        <w:t xml:space="preserve">: </w:t>
      </w:r>
      <w:bookmarkStart w:id="1451" w:name="Annex1HEADINGSCHEDULE22"/>
      <w:r w:rsidRPr="00D00D9A">
        <w:t>Change Request Form</w:t>
      </w:r>
      <w:bookmarkEnd w:id="1446"/>
      <w:bookmarkEnd w:id="1447"/>
      <w:bookmarkEnd w:id="1448"/>
      <w:bookmarkEnd w:id="1449"/>
      <w:bookmarkEnd w:id="1451"/>
    </w:p>
    <w:tbl>
      <w:tblPr>
        <w:tblStyle w:val="TableGrid"/>
        <w:tblW w:w="10205" w:type="dxa"/>
        <w:tblCellMar>
          <w:top w:w="57" w:type="dxa"/>
          <w:left w:w="57" w:type="dxa"/>
          <w:bottom w:w="57" w:type="dxa"/>
          <w:right w:w="57" w:type="dxa"/>
        </w:tblCellMar>
        <w:tblLook w:val="04A0" w:firstRow="1" w:lastRow="0" w:firstColumn="1" w:lastColumn="0" w:noHBand="0" w:noVBand="1"/>
      </w:tblPr>
      <w:tblGrid>
        <w:gridCol w:w="2547"/>
        <w:gridCol w:w="854"/>
        <w:gridCol w:w="903"/>
        <w:gridCol w:w="1436"/>
        <w:gridCol w:w="480"/>
        <w:gridCol w:w="3985"/>
      </w:tblGrid>
      <w:tr w:rsidR="00F67E9E" w:rsidRPr="00D00D9A" w14:paraId="2592EE11" w14:textId="77777777" w:rsidTr="0052486C">
        <w:trPr>
          <w:trHeight w:val="20"/>
        </w:trPr>
        <w:tc>
          <w:tcPr>
            <w:tcW w:w="2547" w:type="dxa"/>
          </w:tcPr>
          <w:p w14:paraId="3C3071E9" w14:textId="77777777" w:rsidR="00F67E9E" w:rsidRPr="00D00D9A" w:rsidRDefault="00F67E9E" w:rsidP="0052486C">
            <w:pPr>
              <w:pStyle w:val="StdBodyText"/>
              <w:spacing w:before="0" w:after="0"/>
              <w:rPr>
                <w:rFonts w:cs="Arial"/>
                <w:sz w:val="24"/>
              </w:rPr>
            </w:pPr>
            <w:r w:rsidRPr="00D00D9A">
              <w:rPr>
                <w:rFonts w:cs="Arial"/>
                <w:sz w:val="24"/>
              </w:rPr>
              <w:t>CR N</w:t>
            </w:r>
            <w:r>
              <w:rPr>
                <w:rFonts w:cs="Arial"/>
                <w:sz w:val="24"/>
              </w:rPr>
              <w:t>o</w:t>
            </w:r>
            <w:r w:rsidRPr="00D00D9A">
              <w:rPr>
                <w:rFonts w:cs="Arial"/>
                <w:sz w:val="24"/>
              </w:rPr>
              <w:t>.:</w:t>
            </w:r>
          </w:p>
        </w:tc>
        <w:tc>
          <w:tcPr>
            <w:tcW w:w="3193" w:type="dxa"/>
            <w:gridSpan w:val="3"/>
          </w:tcPr>
          <w:p w14:paraId="298EBC5B" w14:textId="77777777" w:rsidR="00F67E9E" w:rsidRPr="00D00D9A" w:rsidRDefault="00F67E9E" w:rsidP="0052486C">
            <w:pPr>
              <w:pStyle w:val="StdBodyText"/>
              <w:spacing w:before="0" w:after="0"/>
              <w:rPr>
                <w:rFonts w:cs="Arial"/>
                <w:sz w:val="24"/>
              </w:rPr>
            </w:pPr>
            <w:r w:rsidRPr="00D00D9A">
              <w:rPr>
                <w:rFonts w:cs="Arial"/>
                <w:sz w:val="24"/>
              </w:rPr>
              <w:t>Title:</w:t>
            </w:r>
          </w:p>
        </w:tc>
        <w:tc>
          <w:tcPr>
            <w:tcW w:w="4465" w:type="dxa"/>
            <w:gridSpan w:val="2"/>
          </w:tcPr>
          <w:p w14:paraId="63DCB830" w14:textId="77777777" w:rsidR="00F67E9E" w:rsidRPr="00D00D9A" w:rsidRDefault="00F67E9E" w:rsidP="0052486C">
            <w:pPr>
              <w:pStyle w:val="StdBodyText"/>
              <w:spacing w:before="0" w:after="0"/>
              <w:rPr>
                <w:rFonts w:cs="Arial"/>
                <w:sz w:val="24"/>
              </w:rPr>
            </w:pPr>
            <w:r w:rsidRPr="00D00D9A">
              <w:rPr>
                <w:rFonts w:cs="Arial"/>
                <w:sz w:val="24"/>
              </w:rPr>
              <w:t xml:space="preserve">Type </w:t>
            </w:r>
            <w:r>
              <w:rPr>
                <w:rFonts w:cs="Arial"/>
                <w:sz w:val="24"/>
              </w:rPr>
              <w:t>o</w:t>
            </w:r>
            <w:r w:rsidRPr="00D00D9A">
              <w:rPr>
                <w:rFonts w:cs="Arial"/>
                <w:sz w:val="24"/>
              </w:rPr>
              <w:t xml:space="preserve">f change: </w:t>
            </w:r>
          </w:p>
        </w:tc>
      </w:tr>
      <w:tr w:rsidR="00F67E9E" w:rsidRPr="00D00D9A" w14:paraId="560D412F" w14:textId="77777777" w:rsidTr="0052486C">
        <w:trPr>
          <w:trHeight w:val="20"/>
        </w:trPr>
        <w:tc>
          <w:tcPr>
            <w:tcW w:w="4304" w:type="dxa"/>
            <w:gridSpan w:val="3"/>
          </w:tcPr>
          <w:p w14:paraId="10C3D9D8" w14:textId="77777777" w:rsidR="00F67E9E" w:rsidRPr="00D00D9A" w:rsidRDefault="00F67E9E" w:rsidP="0052486C">
            <w:pPr>
              <w:pStyle w:val="StdBodyText"/>
              <w:spacing w:before="0" w:after="0"/>
              <w:rPr>
                <w:rFonts w:cs="Arial"/>
                <w:sz w:val="24"/>
              </w:rPr>
            </w:pPr>
            <w:r w:rsidRPr="00D00D9A">
              <w:rPr>
                <w:rFonts w:cs="Arial"/>
                <w:sz w:val="24"/>
              </w:rPr>
              <w:t>Contract:</w:t>
            </w:r>
          </w:p>
        </w:tc>
        <w:tc>
          <w:tcPr>
            <w:tcW w:w="5901" w:type="dxa"/>
            <w:gridSpan w:val="3"/>
          </w:tcPr>
          <w:p w14:paraId="4488FAE0" w14:textId="77777777" w:rsidR="00F67E9E" w:rsidRPr="00D00D9A" w:rsidRDefault="00F67E9E" w:rsidP="0052486C">
            <w:pPr>
              <w:pStyle w:val="StdBodyText"/>
              <w:spacing w:before="0" w:after="0"/>
              <w:rPr>
                <w:rFonts w:cs="Arial"/>
                <w:sz w:val="24"/>
              </w:rPr>
            </w:pPr>
            <w:r w:rsidRPr="00D00D9A">
              <w:rPr>
                <w:rFonts w:cs="Arial"/>
                <w:sz w:val="24"/>
              </w:rPr>
              <w:t xml:space="preserve">Required </w:t>
            </w:r>
            <w:r>
              <w:rPr>
                <w:rFonts w:cs="Arial"/>
                <w:sz w:val="24"/>
              </w:rPr>
              <w:t>b</w:t>
            </w:r>
            <w:r w:rsidRPr="00D00D9A">
              <w:rPr>
                <w:rFonts w:cs="Arial"/>
                <w:sz w:val="24"/>
              </w:rPr>
              <w:t>y date:</w:t>
            </w:r>
          </w:p>
        </w:tc>
      </w:tr>
      <w:tr w:rsidR="00F67E9E" w:rsidRPr="00D00D9A" w14:paraId="7E710027" w14:textId="77777777" w:rsidTr="0052486C">
        <w:trPr>
          <w:trHeight w:val="20"/>
        </w:trPr>
        <w:tc>
          <w:tcPr>
            <w:tcW w:w="3401" w:type="dxa"/>
            <w:gridSpan w:val="2"/>
          </w:tcPr>
          <w:p w14:paraId="558A91CC" w14:textId="77777777" w:rsidR="00F67E9E" w:rsidRPr="00D00D9A" w:rsidRDefault="00F67E9E" w:rsidP="0052486C">
            <w:pPr>
              <w:pStyle w:val="StdBodyText"/>
              <w:spacing w:before="0" w:after="0"/>
              <w:rPr>
                <w:rFonts w:cs="Arial"/>
                <w:sz w:val="24"/>
              </w:rPr>
            </w:pPr>
            <w:r w:rsidRPr="00D00D9A">
              <w:rPr>
                <w:rFonts w:cs="Arial"/>
                <w:sz w:val="24"/>
              </w:rPr>
              <w:t xml:space="preserve">Action: </w:t>
            </w:r>
          </w:p>
        </w:tc>
        <w:tc>
          <w:tcPr>
            <w:tcW w:w="2819" w:type="dxa"/>
            <w:gridSpan w:val="3"/>
          </w:tcPr>
          <w:p w14:paraId="40082443" w14:textId="77777777" w:rsidR="00F67E9E" w:rsidRPr="00D00D9A" w:rsidRDefault="00F67E9E" w:rsidP="0052486C">
            <w:pPr>
              <w:pStyle w:val="StdBodyText"/>
              <w:spacing w:before="0" w:after="0"/>
              <w:rPr>
                <w:rFonts w:cs="Arial"/>
                <w:sz w:val="24"/>
              </w:rPr>
            </w:pPr>
            <w:r w:rsidRPr="00D00D9A">
              <w:rPr>
                <w:rFonts w:cs="Arial"/>
                <w:sz w:val="24"/>
              </w:rPr>
              <w:t>Name:</w:t>
            </w:r>
          </w:p>
        </w:tc>
        <w:tc>
          <w:tcPr>
            <w:tcW w:w="3985" w:type="dxa"/>
          </w:tcPr>
          <w:p w14:paraId="1364006D" w14:textId="77777777" w:rsidR="00F67E9E" w:rsidRPr="00D00D9A" w:rsidRDefault="00F67E9E" w:rsidP="0052486C">
            <w:pPr>
              <w:pStyle w:val="StdBodyText"/>
              <w:spacing w:before="0" w:after="0"/>
              <w:rPr>
                <w:rFonts w:cs="Arial"/>
                <w:sz w:val="24"/>
              </w:rPr>
            </w:pPr>
            <w:r w:rsidRPr="00D00D9A">
              <w:rPr>
                <w:rFonts w:cs="Arial"/>
                <w:sz w:val="24"/>
              </w:rPr>
              <w:t>Date:</w:t>
            </w:r>
          </w:p>
        </w:tc>
      </w:tr>
      <w:tr w:rsidR="00F67E9E" w:rsidRPr="00D00D9A" w14:paraId="71B97AE0" w14:textId="77777777" w:rsidTr="0052486C">
        <w:trPr>
          <w:trHeight w:val="20"/>
        </w:trPr>
        <w:tc>
          <w:tcPr>
            <w:tcW w:w="10205" w:type="dxa"/>
            <w:gridSpan w:val="6"/>
          </w:tcPr>
          <w:p w14:paraId="501FDEF7" w14:textId="77777777" w:rsidR="00F67E9E" w:rsidRPr="00D00D9A" w:rsidRDefault="00F67E9E" w:rsidP="0052486C">
            <w:pPr>
              <w:pStyle w:val="StdBodyText"/>
              <w:spacing w:before="0" w:after="0"/>
              <w:rPr>
                <w:rFonts w:cs="Arial"/>
                <w:sz w:val="24"/>
              </w:rPr>
            </w:pPr>
            <w:r w:rsidRPr="00D00D9A">
              <w:rPr>
                <w:rFonts w:cs="Arial"/>
                <w:sz w:val="24"/>
              </w:rPr>
              <w:t xml:space="preserve">Raised </w:t>
            </w:r>
            <w:r>
              <w:rPr>
                <w:rFonts w:cs="Arial"/>
                <w:sz w:val="24"/>
              </w:rPr>
              <w:t>b</w:t>
            </w:r>
            <w:r w:rsidRPr="00D00D9A">
              <w:rPr>
                <w:rFonts w:cs="Arial"/>
                <w:sz w:val="24"/>
              </w:rPr>
              <w:t xml:space="preserve">y: </w:t>
            </w:r>
          </w:p>
        </w:tc>
      </w:tr>
      <w:tr w:rsidR="00F67E9E" w:rsidRPr="00D00D9A" w14:paraId="22A5A957" w14:textId="77777777" w:rsidTr="0052486C">
        <w:trPr>
          <w:trHeight w:val="20"/>
        </w:trPr>
        <w:tc>
          <w:tcPr>
            <w:tcW w:w="10205" w:type="dxa"/>
            <w:gridSpan w:val="6"/>
          </w:tcPr>
          <w:p w14:paraId="73ABD8B6" w14:textId="77777777" w:rsidR="00F67E9E" w:rsidRPr="00D00D9A" w:rsidRDefault="00F67E9E" w:rsidP="0052486C">
            <w:pPr>
              <w:pStyle w:val="StdBodyText"/>
              <w:spacing w:before="0" w:after="0"/>
              <w:rPr>
                <w:rFonts w:cs="Arial"/>
                <w:sz w:val="24"/>
              </w:rPr>
            </w:pPr>
            <w:r w:rsidRPr="00D00D9A">
              <w:rPr>
                <w:rFonts w:cs="Arial"/>
                <w:sz w:val="24"/>
              </w:rPr>
              <w:t>Area(</w:t>
            </w:r>
            <w:r>
              <w:rPr>
                <w:rFonts w:cs="Arial"/>
                <w:sz w:val="24"/>
              </w:rPr>
              <w:t>s</w:t>
            </w:r>
            <w:r w:rsidRPr="00D00D9A">
              <w:rPr>
                <w:rFonts w:cs="Arial"/>
                <w:sz w:val="24"/>
              </w:rPr>
              <w:t>) impacted (</w:t>
            </w:r>
            <w:r w:rsidRPr="00DD4CC2">
              <w:rPr>
                <w:rFonts w:cs="Arial"/>
                <w:iCs/>
                <w:sz w:val="24"/>
              </w:rPr>
              <w:t>optional field</w:t>
            </w:r>
            <w:r w:rsidRPr="00D00D9A">
              <w:rPr>
                <w:rFonts w:cs="Arial"/>
                <w:sz w:val="24"/>
              </w:rPr>
              <w:t xml:space="preserve">): </w:t>
            </w:r>
          </w:p>
        </w:tc>
      </w:tr>
      <w:tr w:rsidR="00F67E9E" w:rsidRPr="00D00D9A" w14:paraId="63A693BD" w14:textId="77777777" w:rsidTr="0052486C">
        <w:trPr>
          <w:trHeight w:val="20"/>
        </w:trPr>
        <w:tc>
          <w:tcPr>
            <w:tcW w:w="10205" w:type="dxa"/>
            <w:gridSpan w:val="6"/>
          </w:tcPr>
          <w:p w14:paraId="485E45BF" w14:textId="77777777" w:rsidR="00F67E9E" w:rsidRPr="00D00D9A" w:rsidRDefault="00F67E9E" w:rsidP="0052486C">
            <w:pPr>
              <w:pStyle w:val="StdBodyText"/>
              <w:spacing w:before="0" w:after="0"/>
              <w:rPr>
                <w:rFonts w:cs="Arial"/>
                <w:sz w:val="24"/>
              </w:rPr>
            </w:pPr>
            <w:r w:rsidRPr="00D00D9A">
              <w:rPr>
                <w:rFonts w:cs="Arial"/>
                <w:sz w:val="24"/>
              </w:rPr>
              <w:t xml:space="preserve">Assigned </w:t>
            </w:r>
            <w:r>
              <w:rPr>
                <w:rFonts w:cs="Arial"/>
                <w:sz w:val="24"/>
              </w:rPr>
              <w:t>f</w:t>
            </w:r>
            <w:r w:rsidRPr="00D00D9A">
              <w:rPr>
                <w:rFonts w:cs="Arial"/>
                <w:sz w:val="24"/>
              </w:rPr>
              <w:t xml:space="preserve">or impact assessment </w:t>
            </w:r>
            <w:r>
              <w:rPr>
                <w:rFonts w:cs="Arial"/>
                <w:sz w:val="24"/>
              </w:rPr>
              <w:t>b</w:t>
            </w:r>
            <w:r w:rsidRPr="00D00D9A">
              <w:rPr>
                <w:rFonts w:cs="Arial"/>
                <w:sz w:val="24"/>
              </w:rPr>
              <w:t xml:space="preserve">y: </w:t>
            </w:r>
          </w:p>
        </w:tc>
      </w:tr>
      <w:tr w:rsidR="00F67E9E" w:rsidRPr="00D00D9A" w14:paraId="7FD86E86" w14:textId="77777777" w:rsidTr="0052486C">
        <w:trPr>
          <w:trHeight w:val="20"/>
        </w:trPr>
        <w:tc>
          <w:tcPr>
            <w:tcW w:w="10205" w:type="dxa"/>
            <w:gridSpan w:val="6"/>
          </w:tcPr>
          <w:p w14:paraId="087EB452" w14:textId="77777777" w:rsidR="00F67E9E" w:rsidRPr="00D00D9A" w:rsidRDefault="00F67E9E" w:rsidP="0052486C">
            <w:pPr>
              <w:pStyle w:val="StdBodyText"/>
              <w:spacing w:before="0" w:after="0"/>
              <w:rPr>
                <w:rFonts w:cs="Arial"/>
                <w:sz w:val="24"/>
              </w:rPr>
            </w:pPr>
            <w:r w:rsidRPr="00D00D9A">
              <w:rPr>
                <w:rFonts w:cs="Arial"/>
                <w:sz w:val="24"/>
              </w:rPr>
              <w:t xml:space="preserve">Assigned </w:t>
            </w:r>
            <w:r>
              <w:rPr>
                <w:rFonts w:cs="Arial"/>
                <w:sz w:val="24"/>
              </w:rPr>
              <w:t>f</w:t>
            </w:r>
            <w:r w:rsidRPr="00D00D9A">
              <w:rPr>
                <w:rFonts w:cs="Arial"/>
                <w:sz w:val="24"/>
              </w:rPr>
              <w:t xml:space="preserve">or impact assessment </w:t>
            </w:r>
            <w:r>
              <w:rPr>
                <w:rFonts w:cs="Arial"/>
                <w:sz w:val="24"/>
              </w:rPr>
              <w:t>t</w:t>
            </w:r>
            <w:r w:rsidRPr="00D00D9A">
              <w:rPr>
                <w:rFonts w:cs="Arial"/>
                <w:sz w:val="24"/>
              </w:rPr>
              <w:t xml:space="preserve">o: </w:t>
            </w:r>
          </w:p>
        </w:tc>
      </w:tr>
      <w:tr w:rsidR="00F67E9E" w:rsidRPr="00D00D9A" w14:paraId="1AF355FD" w14:textId="77777777" w:rsidTr="0052486C">
        <w:trPr>
          <w:trHeight w:val="20"/>
        </w:trPr>
        <w:tc>
          <w:tcPr>
            <w:tcW w:w="10205" w:type="dxa"/>
            <w:gridSpan w:val="6"/>
          </w:tcPr>
          <w:p w14:paraId="2D15087C" w14:textId="77777777" w:rsidR="00F67E9E" w:rsidRPr="00D00D9A" w:rsidRDefault="00F67E9E" w:rsidP="0052486C">
            <w:pPr>
              <w:pStyle w:val="StdBodyText"/>
              <w:spacing w:before="0" w:after="0"/>
              <w:rPr>
                <w:rFonts w:cs="Arial"/>
                <w:sz w:val="24"/>
              </w:rPr>
            </w:pPr>
            <w:r w:rsidRPr="00D00D9A">
              <w:rPr>
                <w:rFonts w:cs="Arial"/>
                <w:sz w:val="24"/>
              </w:rPr>
              <w:t xml:space="preserve">Supplier reference no.: </w:t>
            </w:r>
          </w:p>
        </w:tc>
      </w:tr>
      <w:tr w:rsidR="00F67E9E" w:rsidRPr="00D00D9A" w14:paraId="3D19656B" w14:textId="77777777" w:rsidTr="0052486C">
        <w:trPr>
          <w:trHeight w:val="20"/>
        </w:trPr>
        <w:tc>
          <w:tcPr>
            <w:tcW w:w="10205" w:type="dxa"/>
            <w:gridSpan w:val="6"/>
          </w:tcPr>
          <w:p w14:paraId="043695B1" w14:textId="77777777" w:rsidR="00F67E9E" w:rsidRPr="00D00D9A" w:rsidRDefault="00F67E9E" w:rsidP="0052486C">
            <w:pPr>
              <w:pStyle w:val="StdBodyText"/>
              <w:spacing w:before="0" w:after="0"/>
              <w:rPr>
                <w:rFonts w:cs="Arial"/>
                <w:sz w:val="24"/>
              </w:rPr>
            </w:pPr>
            <w:r w:rsidRPr="00D00D9A">
              <w:rPr>
                <w:rFonts w:cs="Arial"/>
                <w:sz w:val="24"/>
              </w:rPr>
              <w:t xml:space="preserve">Full description </w:t>
            </w:r>
            <w:r>
              <w:rPr>
                <w:rFonts w:cs="Arial"/>
                <w:sz w:val="24"/>
              </w:rPr>
              <w:t>o</w:t>
            </w:r>
            <w:r w:rsidRPr="00D00D9A">
              <w:rPr>
                <w:rFonts w:cs="Arial"/>
                <w:sz w:val="24"/>
              </w:rPr>
              <w:t>f requested contract change (</w:t>
            </w:r>
            <w:r>
              <w:rPr>
                <w:rFonts w:cs="Arial"/>
                <w:sz w:val="24"/>
              </w:rPr>
              <w:t>i</w:t>
            </w:r>
            <w:r w:rsidRPr="00D00D9A">
              <w:rPr>
                <w:rFonts w:cs="Arial"/>
                <w:sz w:val="24"/>
              </w:rPr>
              <w:t xml:space="preserve">ncluding proposed changes </w:t>
            </w:r>
            <w:r>
              <w:rPr>
                <w:rFonts w:cs="Arial"/>
                <w:sz w:val="24"/>
              </w:rPr>
              <w:t>t</w:t>
            </w:r>
            <w:r w:rsidRPr="00D00D9A">
              <w:rPr>
                <w:rFonts w:cs="Arial"/>
                <w:sz w:val="24"/>
              </w:rPr>
              <w:t xml:space="preserve">o </w:t>
            </w:r>
            <w:r>
              <w:rPr>
                <w:rFonts w:cs="Arial"/>
                <w:sz w:val="24"/>
              </w:rPr>
              <w:t>t</w:t>
            </w:r>
            <w:r w:rsidRPr="00D00D9A">
              <w:rPr>
                <w:rFonts w:cs="Arial"/>
                <w:sz w:val="24"/>
              </w:rPr>
              <w:t xml:space="preserve">he wording </w:t>
            </w:r>
            <w:r>
              <w:rPr>
                <w:rFonts w:cs="Arial"/>
                <w:sz w:val="24"/>
              </w:rPr>
              <w:t>o</w:t>
            </w:r>
            <w:r w:rsidRPr="00D00D9A">
              <w:rPr>
                <w:rFonts w:cs="Arial"/>
                <w:sz w:val="24"/>
              </w:rPr>
              <w:t xml:space="preserve">f </w:t>
            </w:r>
            <w:r>
              <w:rPr>
                <w:rFonts w:cs="Arial"/>
                <w:sz w:val="24"/>
              </w:rPr>
              <w:t>t</w:t>
            </w:r>
            <w:r w:rsidRPr="00D00D9A">
              <w:rPr>
                <w:rFonts w:cs="Arial"/>
                <w:sz w:val="24"/>
              </w:rPr>
              <w:t xml:space="preserve">he contract): </w:t>
            </w:r>
          </w:p>
        </w:tc>
      </w:tr>
      <w:tr w:rsidR="00F67E9E" w:rsidRPr="00D00D9A" w14:paraId="4F497A98" w14:textId="77777777" w:rsidTr="0052486C">
        <w:trPr>
          <w:trHeight w:val="20"/>
        </w:trPr>
        <w:tc>
          <w:tcPr>
            <w:tcW w:w="10205" w:type="dxa"/>
            <w:gridSpan w:val="6"/>
          </w:tcPr>
          <w:p w14:paraId="1254839B" w14:textId="77777777" w:rsidR="00F67E9E" w:rsidRPr="00D00D9A" w:rsidRDefault="00F67E9E" w:rsidP="0052486C">
            <w:pPr>
              <w:pStyle w:val="StdBodyText"/>
              <w:spacing w:before="0" w:after="0"/>
              <w:rPr>
                <w:rFonts w:cs="Arial"/>
                <w:sz w:val="24"/>
              </w:rPr>
            </w:pPr>
            <w:r w:rsidRPr="00D00D9A">
              <w:rPr>
                <w:rFonts w:cs="Arial"/>
                <w:sz w:val="24"/>
              </w:rPr>
              <w:t xml:space="preserve">Details </w:t>
            </w:r>
            <w:r>
              <w:rPr>
                <w:rFonts w:cs="Arial"/>
                <w:sz w:val="24"/>
              </w:rPr>
              <w:t>o</w:t>
            </w:r>
            <w:r w:rsidRPr="00D00D9A">
              <w:rPr>
                <w:rFonts w:cs="Arial"/>
                <w:sz w:val="24"/>
              </w:rPr>
              <w:t xml:space="preserve">f </w:t>
            </w:r>
            <w:r>
              <w:rPr>
                <w:rFonts w:cs="Arial"/>
                <w:sz w:val="24"/>
              </w:rPr>
              <w:t>a</w:t>
            </w:r>
            <w:r w:rsidRPr="00D00D9A">
              <w:rPr>
                <w:rFonts w:cs="Arial"/>
                <w:sz w:val="24"/>
              </w:rPr>
              <w:t>ny proposed alternative scenarios:</w:t>
            </w:r>
          </w:p>
        </w:tc>
      </w:tr>
      <w:tr w:rsidR="00F67E9E" w:rsidRPr="00D00D9A" w14:paraId="4724F28F" w14:textId="77777777" w:rsidTr="0052486C">
        <w:trPr>
          <w:trHeight w:val="20"/>
        </w:trPr>
        <w:tc>
          <w:tcPr>
            <w:tcW w:w="10205" w:type="dxa"/>
            <w:gridSpan w:val="6"/>
          </w:tcPr>
          <w:p w14:paraId="50F0F647" w14:textId="77777777" w:rsidR="00F67E9E" w:rsidRPr="00D00D9A" w:rsidRDefault="00F67E9E" w:rsidP="0052486C">
            <w:pPr>
              <w:pStyle w:val="StdBodyText"/>
              <w:spacing w:before="0" w:after="0"/>
              <w:rPr>
                <w:rFonts w:cs="Arial"/>
                <w:sz w:val="24"/>
              </w:rPr>
            </w:pPr>
            <w:r w:rsidRPr="00D00D9A">
              <w:rPr>
                <w:rFonts w:cs="Arial"/>
                <w:sz w:val="24"/>
              </w:rPr>
              <w:t xml:space="preserve">Reasons </w:t>
            </w:r>
            <w:r>
              <w:rPr>
                <w:rFonts w:cs="Arial"/>
                <w:sz w:val="24"/>
              </w:rPr>
              <w:t>f</w:t>
            </w:r>
            <w:r w:rsidRPr="00D00D9A">
              <w:rPr>
                <w:rFonts w:cs="Arial"/>
                <w:sz w:val="24"/>
              </w:rPr>
              <w:t xml:space="preserve">or </w:t>
            </w:r>
            <w:r>
              <w:rPr>
                <w:rFonts w:cs="Arial"/>
                <w:sz w:val="24"/>
              </w:rPr>
              <w:t>a</w:t>
            </w:r>
            <w:r w:rsidRPr="00D00D9A">
              <w:rPr>
                <w:rFonts w:cs="Arial"/>
                <w:sz w:val="24"/>
              </w:rPr>
              <w:t xml:space="preserve">nd benefits </w:t>
            </w:r>
            <w:r>
              <w:rPr>
                <w:rFonts w:cs="Arial"/>
                <w:sz w:val="24"/>
              </w:rPr>
              <w:t>a</w:t>
            </w:r>
            <w:r w:rsidRPr="00D00D9A">
              <w:rPr>
                <w:rFonts w:cs="Arial"/>
                <w:sz w:val="24"/>
              </w:rPr>
              <w:t xml:space="preserve">nd disadvantages </w:t>
            </w:r>
            <w:r>
              <w:rPr>
                <w:rFonts w:cs="Arial"/>
                <w:sz w:val="24"/>
              </w:rPr>
              <w:t>o</w:t>
            </w:r>
            <w:r w:rsidRPr="00D00D9A">
              <w:rPr>
                <w:rFonts w:cs="Arial"/>
                <w:sz w:val="24"/>
              </w:rPr>
              <w:t>f requested contract change:</w:t>
            </w:r>
          </w:p>
        </w:tc>
      </w:tr>
      <w:tr w:rsidR="00F67E9E" w:rsidRPr="00D00D9A" w14:paraId="3FF42B9D" w14:textId="77777777" w:rsidTr="0052486C">
        <w:trPr>
          <w:trHeight w:val="20"/>
        </w:trPr>
        <w:tc>
          <w:tcPr>
            <w:tcW w:w="10205" w:type="dxa"/>
            <w:gridSpan w:val="6"/>
          </w:tcPr>
          <w:p w14:paraId="6F7A3FF2" w14:textId="77777777" w:rsidR="00F67E9E" w:rsidRPr="00D00D9A" w:rsidRDefault="00F67E9E" w:rsidP="0052486C">
            <w:pPr>
              <w:pStyle w:val="StdBodyText"/>
              <w:spacing w:before="0" w:after="0"/>
              <w:rPr>
                <w:rFonts w:cs="Arial"/>
                <w:sz w:val="24"/>
              </w:rPr>
            </w:pPr>
            <w:r w:rsidRPr="00D00D9A">
              <w:rPr>
                <w:rFonts w:cs="Arial"/>
                <w:sz w:val="24"/>
              </w:rPr>
              <w:t xml:space="preserve">Signature </w:t>
            </w:r>
            <w:r>
              <w:rPr>
                <w:rFonts w:cs="Arial"/>
                <w:sz w:val="24"/>
              </w:rPr>
              <w:t>o</w:t>
            </w:r>
            <w:r w:rsidRPr="00D00D9A">
              <w:rPr>
                <w:rFonts w:cs="Arial"/>
                <w:sz w:val="24"/>
              </w:rPr>
              <w:t>f requesting change owner:</w:t>
            </w:r>
          </w:p>
        </w:tc>
      </w:tr>
      <w:tr w:rsidR="00F67E9E" w:rsidRPr="00D00D9A" w14:paraId="6B4E1ABD" w14:textId="77777777" w:rsidTr="0052486C">
        <w:trPr>
          <w:trHeight w:val="20"/>
        </w:trPr>
        <w:tc>
          <w:tcPr>
            <w:tcW w:w="10205" w:type="dxa"/>
            <w:gridSpan w:val="6"/>
          </w:tcPr>
          <w:p w14:paraId="1539F3E3" w14:textId="77777777" w:rsidR="00F67E9E" w:rsidRPr="00D00D9A" w:rsidRDefault="00F67E9E" w:rsidP="0052486C">
            <w:pPr>
              <w:pStyle w:val="StdBodyText"/>
              <w:spacing w:before="0" w:after="0"/>
              <w:rPr>
                <w:rFonts w:cs="Arial"/>
                <w:sz w:val="24"/>
              </w:rPr>
            </w:pPr>
            <w:r w:rsidRPr="00D00D9A">
              <w:rPr>
                <w:rFonts w:cs="Arial"/>
                <w:sz w:val="24"/>
              </w:rPr>
              <w:t xml:space="preserve">Date </w:t>
            </w:r>
            <w:r>
              <w:rPr>
                <w:rFonts w:cs="Arial"/>
                <w:sz w:val="24"/>
              </w:rPr>
              <w:t>o</w:t>
            </w:r>
            <w:r w:rsidRPr="00D00D9A">
              <w:rPr>
                <w:rFonts w:cs="Arial"/>
                <w:sz w:val="24"/>
              </w:rPr>
              <w:t>f request:</w:t>
            </w:r>
          </w:p>
        </w:tc>
      </w:tr>
    </w:tbl>
    <w:p w14:paraId="2E64A53E" w14:textId="77777777" w:rsidR="00F67E9E" w:rsidRDefault="00F67E9E" w:rsidP="00F67E9E">
      <w:pPr>
        <w:rPr>
          <w:lang w:eastAsia="en-GB"/>
        </w:rPr>
      </w:pPr>
    </w:p>
    <w:p w14:paraId="66241A9B" w14:textId="77777777" w:rsidR="00F67E9E" w:rsidRPr="000B6F69" w:rsidRDefault="00F67E9E" w:rsidP="00F67E9E">
      <w:pPr>
        <w:pStyle w:val="Heading2"/>
        <w:pageBreakBefore/>
      </w:pPr>
      <w:bookmarkStart w:id="1452" w:name="_Ref44507489"/>
      <w:bookmarkStart w:id="1453" w:name="_Toc145412800"/>
      <w:r w:rsidRPr="00D00D9A">
        <w:lastRenderedPageBreak/>
        <w:t xml:space="preserve">Annex </w:t>
      </w:r>
      <w:bookmarkStart w:id="1454" w:name="ANNEX2_SCHEDULE22"/>
      <w:r w:rsidRPr="00D00D9A">
        <w:t>2</w:t>
      </w:r>
      <w:bookmarkEnd w:id="1454"/>
      <w:r w:rsidRPr="00D00D9A">
        <w:t>: Change Authorisation Note</w:t>
      </w:r>
      <w:bookmarkEnd w:id="1452"/>
      <w:bookmarkEnd w:id="1453"/>
    </w:p>
    <w:tbl>
      <w:tblPr>
        <w:tblStyle w:val="TableGrid"/>
        <w:tblW w:w="10206" w:type="dxa"/>
        <w:tblCellMar>
          <w:top w:w="57" w:type="dxa"/>
          <w:left w:w="57" w:type="dxa"/>
          <w:bottom w:w="57" w:type="dxa"/>
          <w:right w:w="57" w:type="dxa"/>
        </w:tblCellMar>
        <w:tblLook w:val="04A0" w:firstRow="1" w:lastRow="0" w:firstColumn="1" w:lastColumn="0" w:noHBand="0" w:noVBand="1"/>
      </w:tblPr>
      <w:tblGrid>
        <w:gridCol w:w="2708"/>
        <w:gridCol w:w="2394"/>
        <w:gridCol w:w="1597"/>
        <w:gridCol w:w="3507"/>
      </w:tblGrid>
      <w:tr w:rsidR="00F67E9E" w:rsidRPr="00D00D9A" w14:paraId="6A7D0E73" w14:textId="77777777" w:rsidTr="0052486C">
        <w:trPr>
          <w:trHeight w:val="20"/>
        </w:trPr>
        <w:tc>
          <w:tcPr>
            <w:tcW w:w="2708" w:type="dxa"/>
          </w:tcPr>
          <w:p w14:paraId="121D9968" w14:textId="77777777" w:rsidR="00F67E9E" w:rsidRPr="00D00D9A" w:rsidRDefault="00F67E9E" w:rsidP="0052486C">
            <w:pPr>
              <w:pStyle w:val="StdBodyText"/>
              <w:spacing w:before="0" w:after="0"/>
              <w:rPr>
                <w:rFonts w:cs="Arial"/>
                <w:sz w:val="24"/>
              </w:rPr>
            </w:pPr>
            <w:r w:rsidRPr="00D00D9A">
              <w:rPr>
                <w:rFonts w:cs="Arial"/>
                <w:sz w:val="24"/>
              </w:rPr>
              <w:t>CR N</w:t>
            </w:r>
            <w:r>
              <w:rPr>
                <w:rFonts w:cs="Arial"/>
                <w:sz w:val="24"/>
              </w:rPr>
              <w:t>o</w:t>
            </w:r>
            <w:r w:rsidRPr="00D00D9A">
              <w:rPr>
                <w:rFonts w:cs="Arial"/>
                <w:sz w:val="24"/>
              </w:rPr>
              <w:t>.:</w:t>
            </w:r>
          </w:p>
        </w:tc>
        <w:tc>
          <w:tcPr>
            <w:tcW w:w="3991" w:type="dxa"/>
            <w:gridSpan w:val="2"/>
          </w:tcPr>
          <w:p w14:paraId="1492F03E" w14:textId="77777777" w:rsidR="00F67E9E" w:rsidRPr="00D00D9A" w:rsidRDefault="00F67E9E" w:rsidP="0052486C">
            <w:pPr>
              <w:pStyle w:val="StdBodyText"/>
              <w:spacing w:before="0" w:after="0"/>
              <w:rPr>
                <w:rFonts w:cs="Arial"/>
                <w:sz w:val="24"/>
              </w:rPr>
            </w:pPr>
            <w:r w:rsidRPr="00D00D9A">
              <w:rPr>
                <w:rFonts w:cs="Arial"/>
                <w:sz w:val="24"/>
              </w:rPr>
              <w:t>Title:</w:t>
            </w:r>
          </w:p>
        </w:tc>
        <w:tc>
          <w:tcPr>
            <w:tcW w:w="3507" w:type="dxa"/>
          </w:tcPr>
          <w:p w14:paraId="64173C9C" w14:textId="77777777" w:rsidR="00F67E9E" w:rsidRPr="00D00D9A" w:rsidRDefault="00F67E9E" w:rsidP="0052486C">
            <w:pPr>
              <w:pStyle w:val="StdBodyText"/>
              <w:spacing w:before="0" w:after="0"/>
              <w:rPr>
                <w:rFonts w:cs="Arial"/>
                <w:sz w:val="24"/>
              </w:rPr>
            </w:pPr>
            <w:r w:rsidRPr="00D00D9A">
              <w:rPr>
                <w:rFonts w:cs="Arial"/>
                <w:sz w:val="24"/>
              </w:rPr>
              <w:t xml:space="preserve">Date raised: </w:t>
            </w:r>
          </w:p>
        </w:tc>
      </w:tr>
      <w:tr w:rsidR="00F67E9E" w:rsidRPr="00D35048" w14:paraId="767E81C2" w14:textId="77777777" w:rsidTr="0052486C">
        <w:trPr>
          <w:trHeight w:val="20"/>
        </w:trPr>
        <w:tc>
          <w:tcPr>
            <w:tcW w:w="2708" w:type="dxa"/>
          </w:tcPr>
          <w:p w14:paraId="5AA0538D" w14:textId="77777777" w:rsidR="00F67E9E" w:rsidRPr="00D00D9A" w:rsidRDefault="00F67E9E" w:rsidP="0052486C">
            <w:pPr>
              <w:pStyle w:val="StdBodyText"/>
              <w:spacing w:before="0" w:after="0"/>
              <w:rPr>
                <w:rFonts w:cs="Arial"/>
                <w:sz w:val="24"/>
              </w:rPr>
            </w:pPr>
            <w:r w:rsidRPr="00D00D9A">
              <w:rPr>
                <w:rFonts w:cs="Arial"/>
                <w:sz w:val="24"/>
              </w:rPr>
              <w:t>Contract:</w:t>
            </w:r>
          </w:p>
        </w:tc>
        <w:tc>
          <w:tcPr>
            <w:tcW w:w="3991" w:type="dxa"/>
            <w:gridSpan w:val="2"/>
          </w:tcPr>
          <w:p w14:paraId="53B23924" w14:textId="77777777" w:rsidR="00F67E9E" w:rsidRPr="00D00D9A" w:rsidRDefault="00F67E9E" w:rsidP="0052486C">
            <w:pPr>
              <w:pStyle w:val="StdBodyText"/>
              <w:spacing w:before="0" w:after="0"/>
              <w:rPr>
                <w:rFonts w:cs="Arial"/>
                <w:sz w:val="24"/>
              </w:rPr>
            </w:pPr>
            <w:r w:rsidRPr="00D00D9A">
              <w:rPr>
                <w:rFonts w:cs="Arial"/>
                <w:sz w:val="24"/>
              </w:rPr>
              <w:t>Type of change:</w:t>
            </w:r>
          </w:p>
        </w:tc>
        <w:tc>
          <w:tcPr>
            <w:tcW w:w="3507" w:type="dxa"/>
          </w:tcPr>
          <w:p w14:paraId="7746E9A6" w14:textId="77777777" w:rsidR="00F67E9E" w:rsidRPr="00D35048" w:rsidRDefault="00F67E9E" w:rsidP="0052486C">
            <w:pPr>
              <w:pStyle w:val="StdBodyText"/>
              <w:spacing w:before="0" w:after="0"/>
              <w:rPr>
                <w:rFonts w:cs="Arial"/>
                <w:sz w:val="24"/>
              </w:rPr>
            </w:pPr>
            <w:r w:rsidRPr="00D00D9A">
              <w:rPr>
                <w:rFonts w:cs="Arial"/>
                <w:sz w:val="24"/>
              </w:rPr>
              <w:t>Required by date:</w:t>
            </w:r>
            <w:r w:rsidRPr="00D35048">
              <w:rPr>
                <w:rFonts w:cs="Arial"/>
                <w:sz w:val="24"/>
              </w:rPr>
              <w:t xml:space="preserve"> </w:t>
            </w:r>
          </w:p>
        </w:tc>
      </w:tr>
      <w:tr w:rsidR="00F67E9E" w:rsidRPr="00D35048" w14:paraId="63FC8B5B" w14:textId="77777777" w:rsidTr="0052486C">
        <w:trPr>
          <w:trHeight w:val="20"/>
        </w:trPr>
        <w:tc>
          <w:tcPr>
            <w:tcW w:w="10206" w:type="dxa"/>
            <w:gridSpan w:val="4"/>
          </w:tcPr>
          <w:p w14:paraId="6E44E470" w14:textId="77777777" w:rsidR="00F67E9E" w:rsidRPr="00D35048" w:rsidRDefault="00F67E9E" w:rsidP="0052486C">
            <w:pPr>
              <w:pStyle w:val="StdBodyText"/>
              <w:spacing w:before="0" w:after="0"/>
              <w:rPr>
                <w:rFonts w:cs="Arial"/>
                <w:sz w:val="24"/>
              </w:rPr>
            </w:pPr>
            <w:r w:rsidRPr="00D35048">
              <w:rPr>
                <w:rFonts w:cs="Arial"/>
                <w:sz w:val="24"/>
                <w:highlight w:val="yellow"/>
              </w:rPr>
              <w:t>[Key milestone date: [</w:t>
            </w:r>
            <w:r w:rsidRPr="00DD4CC2">
              <w:rPr>
                <w:rFonts w:cs="Arial"/>
                <w:iCs/>
                <w:sz w:val="24"/>
                <w:highlight w:val="yellow"/>
              </w:rPr>
              <w:t>if any</w:t>
            </w:r>
            <w:r w:rsidRPr="00D35048">
              <w:rPr>
                <w:rFonts w:cs="Arial"/>
                <w:sz w:val="24"/>
                <w:highlight w:val="yellow"/>
              </w:rPr>
              <w:t>]   ]</w:t>
            </w:r>
          </w:p>
        </w:tc>
      </w:tr>
      <w:tr w:rsidR="00F67E9E" w:rsidRPr="00D35048" w14:paraId="0CC22559" w14:textId="77777777" w:rsidTr="0052486C">
        <w:trPr>
          <w:trHeight w:val="20"/>
        </w:trPr>
        <w:tc>
          <w:tcPr>
            <w:tcW w:w="10206" w:type="dxa"/>
            <w:gridSpan w:val="4"/>
          </w:tcPr>
          <w:p w14:paraId="6A7B06D6" w14:textId="77777777" w:rsidR="00F67E9E" w:rsidRPr="00D00D9A" w:rsidRDefault="00F67E9E" w:rsidP="0052486C">
            <w:pPr>
              <w:pStyle w:val="StdBodyText"/>
              <w:spacing w:before="0" w:after="0"/>
              <w:rPr>
                <w:rFonts w:cs="Arial"/>
                <w:sz w:val="24"/>
              </w:rPr>
            </w:pPr>
            <w:r w:rsidRPr="00D00D9A">
              <w:rPr>
                <w:rFonts w:cs="Arial"/>
                <w:sz w:val="24"/>
              </w:rPr>
              <w:t xml:space="preserve">Detailed description of contract change for which impact assessment is being prepared and wording of related changes to the contract: </w:t>
            </w:r>
          </w:p>
        </w:tc>
      </w:tr>
      <w:tr w:rsidR="00F67E9E" w:rsidRPr="00D35048" w14:paraId="477794B2" w14:textId="77777777" w:rsidTr="0052486C">
        <w:trPr>
          <w:trHeight w:val="20"/>
        </w:trPr>
        <w:tc>
          <w:tcPr>
            <w:tcW w:w="10206" w:type="dxa"/>
            <w:gridSpan w:val="4"/>
          </w:tcPr>
          <w:p w14:paraId="0F1F8680" w14:textId="77777777" w:rsidR="00F67E9E" w:rsidRPr="00D00D9A" w:rsidRDefault="00F67E9E" w:rsidP="0052486C">
            <w:pPr>
              <w:pStyle w:val="StdBodyText"/>
              <w:spacing w:before="0" w:after="0"/>
              <w:rPr>
                <w:rFonts w:cs="Arial"/>
                <w:sz w:val="24"/>
              </w:rPr>
            </w:pPr>
            <w:r w:rsidRPr="00D00D9A">
              <w:rPr>
                <w:rFonts w:cs="Arial"/>
                <w:sz w:val="24"/>
              </w:rPr>
              <w:t>Proposed adjustment to the charges resulting from the contract change:</w:t>
            </w:r>
          </w:p>
        </w:tc>
      </w:tr>
      <w:tr w:rsidR="00F67E9E" w:rsidRPr="00D35048" w14:paraId="7BDE4E8D" w14:textId="77777777" w:rsidTr="0052486C">
        <w:trPr>
          <w:trHeight w:val="20"/>
        </w:trPr>
        <w:tc>
          <w:tcPr>
            <w:tcW w:w="10206" w:type="dxa"/>
            <w:gridSpan w:val="4"/>
          </w:tcPr>
          <w:p w14:paraId="51905358" w14:textId="77777777" w:rsidR="00F67E9E" w:rsidRPr="00D35048" w:rsidRDefault="00F67E9E" w:rsidP="0052486C">
            <w:pPr>
              <w:pStyle w:val="StdBodyText"/>
              <w:spacing w:before="0" w:after="0"/>
              <w:rPr>
                <w:rFonts w:cs="Arial"/>
                <w:sz w:val="24"/>
              </w:rPr>
            </w:pPr>
            <w:r w:rsidRPr="00D35048">
              <w:rPr>
                <w:rFonts w:cs="Arial"/>
                <w:sz w:val="24"/>
              </w:rPr>
              <w:t xml:space="preserve">Details of proposed one-off additional charges and means for determining these (e.g. fixed price basis): </w:t>
            </w:r>
          </w:p>
          <w:p w14:paraId="28DA3947" w14:textId="77777777" w:rsidR="00F67E9E" w:rsidRPr="00D35048" w:rsidRDefault="00F67E9E" w:rsidP="0052486C">
            <w:pPr>
              <w:pStyle w:val="StdBodyText"/>
              <w:spacing w:before="0" w:after="0"/>
              <w:rPr>
                <w:rFonts w:cs="Arial"/>
                <w:sz w:val="24"/>
              </w:rPr>
            </w:pPr>
          </w:p>
          <w:p w14:paraId="56D41842" w14:textId="77777777" w:rsidR="00F67E9E" w:rsidRPr="00D35048" w:rsidRDefault="00F67E9E" w:rsidP="0052486C">
            <w:pPr>
              <w:pStyle w:val="StdBodyText"/>
              <w:spacing w:before="0" w:after="0"/>
              <w:rPr>
                <w:rFonts w:cs="Arial"/>
                <w:sz w:val="24"/>
              </w:rPr>
            </w:pPr>
          </w:p>
          <w:p w14:paraId="21B3700C" w14:textId="77777777" w:rsidR="00F67E9E" w:rsidRPr="00D35048" w:rsidRDefault="00F67E9E" w:rsidP="0052486C">
            <w:pPr>
              <w:pStyle w:val="StdBodyText"/>
              <w:spacing w:before="0" w:after="0"/>
              <w:rPr>
                <w:rFonts w:cs="Arial"/>
                <w:sz w:val="24"/>
              </w:rPr>
            </w:pPr>
          </w:p>
        </w:tc>
      </w:tr>
      <w:tr w:rsidR="00F67E9E" w:rsidRPr="00D35048" w14:paraId="147DCDEB" w14:textId="77777777" w:rsidTr="0052486C">
        <w:trPr>
          <w:trHeight w:val="20"/>
        </w:trPr>
        <w:tc>
          <w:tcPr>
            <w:tcW w:w="5102" w:type="dxa"/>
            <w:gridSpan w:val="2"/>
          </w:tcPr>
          <w:p w14:paraId="1A788165" w14:textId="77777777" w:rsidR="00F67E9E" w:rsidRPr="00D35048" w:rsidRDefault="00F67E9E" w:rsidP="0052486C">
            <w:pPr>
              <w:pStyle w:val="StdBodyText"/>
              <w:spacing w:before="0" w:after="0"/>
              <w:rPr>
                <w:rFonts w:cs="Arial"/>
                <w:sz w:val="24"/>
              </w:rPr>
            </w:pPr>
            <w:r w:rsidRPr="00D35048">
              <w:rPr>
                <w:rFonts w:cs="Arial"/>
                <w:sz w:val="24"/>
              </w:rPr>
              <w:t>Signed on behalf of the authority:</w:t>
            </w:r>
          </w:p>
        </w:tc>
        <w:tc>
          <w:tcPr>
            <w:tcW w:w="5104" w:type="dxa"/>
            <w:gridSpan w:val="2"/>
          </w:tcPr>
          <w:p w14:paraId="1C08B112" w14:textId="77777777" w:rsidR="00F67E9E" w:rsidRPr="00D35048" w:rsidRDefault="00F67E9E" w:rsidP="0052486C">
            <w:pPr>
              <w:pStyle w:val="StdBodyText"/>
              <w:spacing w:before="0" w:after="0"/>
              <w:rPr>
                <w:rFonts w:cs="Arial"/>
                <w:sz w:val="24"/>
              </w:rPr>
            </w:pPr>
            <w:r w:rsidRPr="00D35048">
              <w:rPr>
                <w:rFonts w:cs="Arial"/>
                <w:sz w:val="24"/>
              </w:rPr>
              <w:t>Signed on behalf of the supplier:</w:t>
            </w:r>
          </w:p>
        </w:tc>
      </w:tr>
      <w:tr w:rsidR="00F67E9E" w:rsidRPr="00D35048" w14:paraId="4CCD5379" w14:textId="77777777" w:rsidTr="0052486C">
        <w:trPr>
          <w:trHeight w:val="20"/>
        </w:trPr>
        <w:tc>
          <w:tcPr>
            <w:tcW w:w="5102" w:type="dxa"/>
            <w:gridSpan w:val="2"/>
          </w:tcPr>
          <w:p w14:paraId="395163B3" w14:textId="77777777" w:rsidR="00F67E9E" w:rsidRPr="00D35048" w:rsidRDefault="00F67E9E" w:rsidP="0052486C">
            <w:pPr>
              <w:pStyle w:val="StdBodyText"/>
              <w:spacing w:before="0" w:after="0"/>
              <w:rPr>
                <w:rFonts w:cs="Arial"/>
                <w:sz w:val="24"/>
              </w:rPr>
            </w:pPr>
            <w:r w:rsidRPr="00D35048">
              <w:rPr>
                <w:rFonts w:cs="Arial"/>
                <w:sz w:val="24"/>
              </w:rPr>
              <w:t>Signature:_____________________</w:t>
            </w:r>
          </w:p>
        </w:tc>
        <w:tc>
          <w:tcPr>
            <w:tcW w:w="5104" w:type="dxa"/>
            <w:gridSpan w:val="2"/>
          </w:tcPr>
          <w:p w14:paraId="026A8DC4" w14:textId="77777777" w:rsidR="00F67E9E" w:rsidRPr="00D35048" w:rsidRDefault="00F67E9E" w:rsidP="0052486C">
            <w:pPr>
              <w:pStyle w:val="StdBodyText"/>
              <w:spacing w:before="0" w:after="0"/>
              <w:rPr>
                <w:rFonts w:cs="Arial"/>
                <w:sz w:val="24"/>
              </w:rPr>
            </w:pPr>
            <w:r w:rsidRPr="00D35048">
              <w:rPr>
                <w:rFonts w:cs="Arial"/>
                <w:sz w:val="24"/>
              </w:rPr>
              <w:t>Signature:_____________________</w:t>
            </w:r>
          </w:p>
        </w:tc>
      </w:tr>
      <w:tr w:rsidR="00F67E9E" w:rsidRPr="00D35048" w14:paraId="1C2CB363" w14:textId="77777777" w:rsidTr="0052486C">
        <w:trPr>
          <w:trHeight w:val="20"/>
        </w:trPr>
        <w:tc>
          <w:tcPr>
            <w:tcW w:w="5102" w:type="dxa"/>
            <w:gridSpan w:val="2"/>
          </w:tcPr>
          <w:p w14:paraId="7C08166F" w14:textId="77777777" w:rsidR="00F67E9E" w:rsidRPr="00D35048" w:rsidRDefault="00F67E9E" w:rsidP="0052486C">
            <w:pPr>
              <w:pStyle w:val="StdBodyText"/>
              <w:spacing w:before="0" w:after="0"/>
              <w:rPr>
                <w:rFonts w:cs="Arial"/>
                <w:sz w:val="24"/>
              </w:rPr>
            </w:pPr>
            <w:r w:rsidRPr="00D35048">
              <w:rPr>
                <w:rFonts w:cs="Arial"/>
                <w:sz w:val="24"/>
              </w:rPr>
              <w:t>Name:________________________</w:t>
            </w:r>
          </w:p>
        </w:tc>
        <w:tc>
          <w:tcPr>
            <w:tcW w:w="5104" w:type="dxa"/>
            <w:gridSpan w:val="2"/>
          </w:tcPr>
          <w:p w14:paraId="5D518A1F" w14:textId="77777777" w:rsidR="00F67E9E" w:rsidRPr="00D35048" w:rsidRDefault="00F67E9E" w:rsidP="0052486C">
            <w:pPr>
              <w:pStyle w:val="StdBodyText"/>
              <w:spacing w:before="0" w:after="0"/>
              <w:rPr>
                <w:rFonts w:cs="Arial"/>
                <w:sz w:val="24"/>
              </w:rPr>
            </w:pPr>
            <w:r w:rsidRPr="00D35048">
              <w:rPr>
                <w:rFonts w:cs="Arial"/>
                <w:sz w:val="24"/>
              </w:rPr>
              <w:t>Name:________________________</w:t>
            </w:r>
          </w:p>
        </w:tc>
      </w:tr>
      <w:tr w:rsidR="00F67E9E" w:rsidRPr="00D35048" w14:paraId="661322A8" w14:textId="77777777" w:rsidTr="0052486C">
        <w:trPr>
          <w:trHeight w:val="20"/>
        </w:trPr>
        <w:tc>
          <w:tcPr>
            <w:tcW w:w="5102" w:type="dxa"/>
            <w:gridSpan w:val="2"/>
          </w:tcPr>
          <w:p w14:paraId="79EA948F" w14:textId="77777777" w:rsidR="00F67E9E" w:rsidRPr="00D35048" w:rsidRDefault="00F67E9E" w:rsidP="0052486C">
            <w:pPr>
              <w:pStyle w:val="StdBodyText"/>
              <w:spacing w:before="0" w:after="0"/>
              <w:rPr>
                <w:rFonts w:cs="Arial"/>
                <w:sz w:val="24"/>
              </w:rPr>
            </w:pPr>
            <w:r w:rsidRPr="00D35048">
              <w:rPr>
                <w:rFonts w:cs="Arial"/>
                <w:sz w:val="24"/>
              </w:rPr>
              <w:t>Position:______________________</w:t>
            </w:r>
          </w:p>
        </w:tc>
        <w:tc>
          <w:tcPr>
            <w:tcW w:w="5104" w:type="dxa"/>
            <w:gridSpan w:val="2"/>
          </w:tcPr>
          <w:p w14:paraId="3752299C" w14:textId="77777777" w:rsidR="00F67E9E" w:rsidRPr="00D35048" w:rsidRDefault="00F67E9E" w:rsidP="0052486C">
            <w:pPr>
              <w:pStyle w:val="StdBodyText"/>
              <w:spacing w:before="0" w:after="0"/>
              <w:rPr>
                <w:rFonts w:cs="Arial"/>
                <w:sz w:val="24"/>
              </w:rPr>
            </w:pPr>
            <w:r w:rsidRPr="00D35048">
              <w:rPr>
                <w:rFonts w:cs="Arial"/>
                <w:sz w:val="24"/>
              </w:rPr>
              <w:t>Position:______________________</w:t>
            </w:r>
          </w:p>
        </w:tc>
      </w:tr>
      <w:tr w:rsidR="00F67E9E" w:rsidRPr="00D35048" w14:paraId="6CA959AC" w14:textId="77777777" w:rsidTr="0052486C">
        <w:trPr>
          <w:trHeight w:val="20"/>
        </w:trPr>
        <w:tc>
          <w:tcPr>
            <w:tcW w:w="5102" w:type="dxa"/>
            <w:gridSpan w:val="2"/>
          </w:tcPr>
          <w:p w14:paraId="072570D5" w14:textId="77777777" w:rsidR="00F67E9E" w:rsidRPr="00D35048" w:rsidRDefault="00F67E9E" w:rsidP="0052486C">
            <w:pPr>
              <w:pStyle w:val="StdBodyText"/>
              <w:spacing w:before="0" w:after="0"/>
              <w:rPr>
                <w:rFonts w:cs="Arial"/>
                <w:sz w:val="24"/>
              </w:rPr>
            </w:pPr>
            <w:r w:rsidRPr="00D35048">
              <w:rPr>
                <w:rFonts w:cs="Arial"/>
                <w:sz w:val="24"/>
              </w:rPr>
              <w:t>Date:________________________</w:t>
            </w:r>
          </w:p>
        </w:tc>
        <w:tc>
          <w:tcPr>
            <w:tcW w:w="5104" w:type="dxa"/>
            <w:gridSpan w:val="2"/>
          </w:tcPr>
          <w:p w14:paraId="42666123" w14:textId="77777777" w:rsidR="00F67E9E" w:rsidRPr="00D35048" w:rsidRDefault="00F67E9E" w:rsidP="0052486C">
            <w:pPr>
              <w:pStyle w:val="StdBodyText"/>
              <w:spacing w:before="0" w:after="0"/>
              <w:rPr>
                <w:rFonts w:cs="Arial"/>
                <w:sz w:val="24"/>
              </w:rPr>
            </w:pPr>
            <w:r w:rsidRPr="00D35048">
              <w:rPr>
                <w:rFonts w:cs="Arial"/>
                <w:sz w:val="24"/>
              </w:rPr>
              <w:t>Date:_________________________</w:t>
            </w:r>
          </w:p>
        </w:tc>
      </w:tr>
    </w:tbl>
    <w:p w14:paraId="37E21325" w14:textId="77777777" w:rsidR="00F67E9E" w:rsidRDefault="00F67E9E" w:rsidP="00F67E9E"/>
    <w:p w14:paraId="77054F6D" w14:textId="77777777" w:rsidR="00F67E9E" w:rsidRDefault="00F67E9E" w:rsidP="00F67E9E"/>
    <w:p w14:paraId="21C4F266" w14:textId="77777777" w:rsidR="00F67E9E" w:rsidRDefault="00F67E9E" w:rsidP="00F67E9E">
      <w:pPr>
        <w:rPr>
          <w:lang w:eastAsia="en-GB"/>
        </w:rPr>
        <w:sectPr w:rsidR="00F67E9E" w:rsidSect="00240D26">
          <w:headerReference w:type="default" r:id="rId137"/>
          <w:footerReference w:type="default" r:id="rId138"/>
          <w:pgSz w:w="11909" w:h="16834"/>
          <w:pgMar w:top="1701" w:right="851" w:bottom="1134" w:left="851" w:header="567" w:footer="567" w:gutter="0"/>
          <w:cols w:space="720"/>
          <w:docGrid w:linePitch="326"/>
        </w:sectPr>
      </w:pPr>
    </w:p>
    <w:p w14:paraId="1B93F8D1" w14:textId="77777777" w:rsidR="00F67E9E" w:rsidRPr="00EE4F10" w:rsidRDefault="00F67E9E" w:rsidP="00F67E9E">
      <w:pPr>
        <w:pStyle w:val="Dividername"/>
      </w:pPr>
      <w:r w:rsidRPr="00EE4F10">
        <w:lastRenderedPageBreak/>
        <w:t>Schedule 23</w:t>
      </w:r>
    </w:p>
    <w:p w14:paraId="16BD2187" w14:textId="77777777" w:rsidR="00F67E9E" w:rsidRPr="00EE4F10" w:rsidRDefault="00F67E9E" w:rsidP="00F67E9E">
      <w:pPr>
        <w:pStyle w:val="Dividername"/>
      </w:pPr>
      <w:r w:rsidRPr="00EE4F10">
        <w:t>Dispute Resolution Procedure</w:t>
      </w:r>
    </w:p>
    <w:p w14:paraId="70BBE2F9" w14:textId="77777777" w:rsidR="00F67E9E" w:rsidRDefault="00F67E9E" w:rsidP="00F67E9E">
      <w:pPr>
        <w:rPr>
          <w:lang w:eastAsia="en-GB"/>
        </w:rPr>
      </w:pPr>
    </w:p>
    <w:p w14:paraId="72FF6DBB" w14:textId="77777777" w:rsidR="00F67E9E" w:rsidRDefault="00F67E9E" w:rsidP="00F67E9E">
      <w:pPr>
        <w:rPr>
          <w:lang w:eastAsia="en-GB"/>
        </w:rPr>
      </w:pPr>
    </w:p>
    <w:p w14:paraId="4C2181C3" w14:textId="77777777" w:rsidR="00F67E9E" w:rsidRDefault="00F67E9E" w:rsidP="00F67E9E">
      <w:pPr>
        <w:rPr>
          <w:lang w:eastAsia="en-GB"/>
        </w:rPr>
      </w:pPr>
      <w:r>
        <w:rPr>
          <w:lang w:eastAsia="en-GB"/>
        </w:rPr>
        <w:br w:type="page"/>
      </w:r>
    </w:p>
    <w:p w14:paraId="3C7C0628" w14:textId="77777777" w:rsidR="00F67E9E" w:rsidRPr="005D0525" w:rsidRDefault="00F67E9E" w:rsidP="00F67E9E">
      <w:pPr>
        <w:pStyle w:val="Heading1"/>
      </w:pPr>
      <w:bookmarkStart w:id="1455" w:name="Schedule23"/>
      <w:bookmarkStart w:id="1456" w:name="_Ref92200032"/>
      <w:bookmarkStart w:id="1457" w:name="_Toc145412801"/>
      <w:r w:rsidRPr="005D0525">
        <w:lastRenderedPageBreak/>
        <w:t>Schedule</w:t>
      </w:r>
      <w:r>
        <w:t> </w:t>
      </w:r>
      <w:r w:rsidRPr="005D0525">
        <w:t>23</w:t>
      </w:r>
      <w:bookmarkEnd w:id="1455"/>
      <w:r>
        <w:t xml:space="preserve">: </w:t>
      </w:r>
      <w:bookmarkStart w:id="1458" w:name="Schedule23Heading"/>
      <w:r w:rsidRPr="00DD4CC2">
        <w:t>Dispute Resolution Procedure</w:t>
      </w:r>
      <w:bookmarkEnd w:id="1456"/>
      <w:bookmarkEnd w:id="1457"/>
      <w:bookmarkEnd w:id="1458"/>
    </w:p>
    <w:p w14:paraId="7D051115" w14:textId="77777777" w:rsidR="00F67E9E" w:rsidRPr="00D00D9A" w:rsidRDefault="00F67E9E" w:rsidP="00F13933">
      <w:pPr>
        <w:pStyle w:val="Numbered1"/>
        <w:numPr>
          <w:ilvl w:val="0"/>
          <w:numId w:val="102"/>
        </w:numPr>
      </w:pPr>
      <w:r w:rsidRPr="00D00D9A">
        <w:t>Definitions</w:t>
      </w:r>
    </w:p>
    <w:p w14:paraId="466D49B1" w14:textId="77777777" w:rsidR="00F67E9E" w:rsidRPr="00D00D9A" w:rsidRDefault="00F67E9E" w:rsidP="00F67E9E">
      <w:pPr>
        <w:pStyle w:val="Numbered11"/>
      </w:pPr>
      <w:r w:rsidRPr="00D00D9A">
        <w:t xml:space="preserve">In this Schedule, the following definitions shall </w:t>
      </w:r>
      <w:r w:rsidRPr="00154D56">
        <w:t>apply</w:t>
      </w:r>
      <w:r w:rsidRPr="00D00D9A">
        <w:t>:</w:t>
      </w:r>
    </w:p>
    <w:tbl>
      <w:tblPr>
        <w:tblStyle w:val="MSAdefinitions"/>
        <w:tblW w:w="9638" w:type="dxa"/>
        <w:tblLook w:val="04A0" w:firstRow="1" w:lastRow="0" w:firstColumn="1" w:lastColumn="0" w:noHBand="0" w:noVBand="1"/>
      </w:tblPr>
      <w:tblGrid>
        <w:gridCol w:w="2835"/>
        <w:gridCol w:w="6803"/>
      </w:tblGrid>
      <w:tr w:rsidR="00F67E9E" w:rsidRPr="00D00D9A" w14:paraId="3C7D72EA" w14:textId="77777777" w:rsidTr="0052486C">
        <w:tc>
          <w:tcPr>
            <w:tcW w:w="2835" w:type="dxa"/>
          </w:tcPr>
          <w:p w14:paraId="69B0D6E7" w14:textId="77777777" w:rsidR="00F67E9E" w:rsidRPr="00D00D9A" w:rsidRDefault="00F67E9E" w:rsidP="0052486C">
            <w:pPr>
              <w:pStyle w:val="StdBodyTextBold"/>
              <w:rPr>
                <w:rFonts w:cs="Arial"/>
              </w:rPr>
            </w:pPr>
            <w:r>
              <w:rPr>
                <w:rFonts w:cs="Arial"/>
              </w:rPr>
              <w:t>“</w:t>
            </w:r>
            <w:r w:rsidRPr="00D00D9A">
              <w:rPr>
                <w:rFonts w:cs="Arial"/>
              </w:rPr>
              <w:t>CEDR</w:t>
            </w:r>
            <w:r>
              <w:rPr>
                <w:rFonts w:cs="Arial"/>
              </w:rPr>
              <w:t>”</w:t>
            </w:r>
          </w:p>
        </w:tc>
        <w:tc>
          <w:tcPr>
            <w:tcW w:w="6803" w:type="dxa"/>
          </w:tcPr>
          <w:p w14:paraId="40314052" w14:textId="77777777" w:rsidR="00F67E9E" w:rsidRPr="00D00D9A" w:rsidRDefault="00F67E9E" w:rsidP="0052486C">
            <w:pPr>
              <w:pStyle w:val="StdBodyText"/>
              <w:rPr>
                <w:rFonts w:cs="Arial"/>
              </w:rPr>
            </w:pPr>
            <w:r w:rsidRPr="00D00D9A">
              <w:rPr>
                <w:rFonts w:cs="Arial"/>
              </w:rPr>
              <w:t>the Centre for Effective Dispute Resolution of International Dispute Resolution Centre 1 Patternoster Lane, St Paul</w:t>
            </w:r>
            <w:r>
              <w:rPr>
                <w:rFonts w:cs="Arial"/>
              </w:rPr>
              <w:t>’</w:t>
            </w:r>
            <w:r w:rsidRPr="00D00D9A">
              <w:rPr>
                <w:rFonts w:cs="Arial"/>
              </w:rPr>
              <w:t>s, London, EC4M 7BQ;</w:t>
            </w:r>
          </w:p>
        </w:tc>
      </w:tr>
      <w:tr w:rsidR="00F67E9E" w:rsidRPr="00D00D9A" w14:paraId="44F8DF1C" w14:textId="77777777" w:rsidTr="0052486C">
        <w:tc>
          <w:tcPr>
            <w:tcW w:w="2835" w:type="dxa"/>
          </w:tcPr>
          <w:p w14:paraId="33AE4EC7" w14:textId="77777777" w:rsidR="00F67E9E" w:rsidRPr="00D00D9A" w:rsidRDefault="00F67E9E" w:rsidP="0052486C">
            <w:pPr>
              <w:pStyle w:val="StdBodyTextBold"/>
              <w:rPr>
                <w:rFonts w:cs="Arial"/>
              </w:rPr>
            </w:pPr>
            <w:r>
              <w:rPr>
                <w:rFonts w:cs="Arial"/>
              </w:rPr>
              <w:t>“</w:t>
            </w:r>
            <w:r w:rsidRPr="00D00D9A">
              <w:rPr>
                <w:rFonts w:cs="Arial"/>
              </w:rPr>
              <w:t>Counter Notice</w:t>
            </w:r>
            <w:r>
              <w:rPr>
                <w:rFonts w:cs="Arial"/>
              </w:rPr>
              <w:t>”</w:t>
            </w:r>
          </w:p>
        </w:tc>
        <w:tc>
          <w:tcPr>
            <w:tcW w:w="6803" w:type="dxa"/>
          </w:tcPr>
          <w:p w14:paraId="411104FB" w14:textId="2AFB8FC7" w:rsidR="00F67E9E" w:rsidRPr="00D00D9A" w:rsidRDefault="00F67E9E" w:rsidP="0052486C">
            <w:pPr>
              <w:pStyle w:val="StdBodyText"/>
              <w:rPr>
                <w:rFonts w:cs="Arial"/>
              </w:rPr>
            </w:pPr>
            <w:r w:rsidRPr="00D00D9A">
              <w:rPr>
                <w:rFonts w:cs="Arial"/>
              </w:rPr>
              <w:t xml:space="preserve">has the meaning given in </w:t>
            </w:r>
            <w:bookmarkStart w:id="1459" w:name="_9kMHG5YVtCJCCCCKJO8ju7y15rdoIEB5z986HG9"/>
            <w:bookmarkStart w:id="1460" w:name="_9kMHG5YVtCIBCCFNJO8ju7y15rdoIEB5z986HG9"/>
            <w:r w:rsidRPr="00D00D9A">
              <w:rPr>
                <w:rFonts w:cs="Arial"/>
              </w:rPr>
              <w:t xml:space="preserve">Paragraph </w:t>
            </w:r>
            <w:bookmarkEnd w:id="1459"/>
            <w:r w:rsidRPr="00D00D9A">
              <w:rPr>
                <w:rFonts w:cs="Arial"/>
              </w:rPr>
              <w:fldChar w:fldCharType="begin"/>
            </w:r>
            <w:r w:rsidRPr="00D00D9A">
              <w:rPr>
                <w:rFonts w:cs="Arial"/>
              </w:rPr>
              <w:instrText xml:space="preserve"> REF _Ref_ContractCompanion_9kb9Us667 \n \h \t \* MERGEFORMAT </w:instrText>
            </w:r>
            <w:r w:rsidRPr="00D00D9A">
              <w:rPr>
                <w:rFonts w:cs="Arial"/>
              </w:rPr>
            </w:r>
            <w:r w:rsidRPr="00D00D9A">
              <w:rPr>
                <w:rFonts w:cs="Arial"/>
              </w:rPr>
              <w:fldChar w:fldCharType="separate"/>
            </w:r>
            <w:r w:rsidR="007A1473">
              <w:rPr>
                <w:rFonts w:cs="Arial"/>
              </w:rPr>
              <w:t>7.2</w:t>
            </w:r>
            <w:r w:rsidRPr="00D00D9A">
              <w:rPr>
                <w:rFonts w:cs="Arial"/>
              </w:rPr>
              <w:fldChar w:fldCharType="end"/>
            </w:r>
            <w:bookmarkEnd w:id="1460"/>
            <w:r w:rsidRPr="00D00D9A">
              <w:rPr>
                <w:rFonts w:cs="Arial"/>
              </w:rPr>
              <w:t>;</w:t>
            </w:r>
          </w:p>
        </w:tc>
      </w:tr>
      <w:tr w:rsidR="00F67E9E" w:rsidRPr="00D00D9A" w14:paraId="1832B27B" w14:textId="77777777" w:rsidTr="0052486C">
        <w:tc>
          <w:tcPr>
            <w:tcW w:w="2835" w:type="dxa"/>
          </w:tcPr>
          <w:p w14:paraId="1A940B6B" w14:textId="77777777" w:rsidR="00F67E9E" w:rsidRPr="00D00D9A" w:rsidRDefault="00F67E9E" w:rsidP="0052486C">
            <w:pPr>
              <w:pStyle w:val="StdBodyTextBold"/>
              <w:rPr>
                <w:rFonts w:cs="Arial"/>
              </w:rPr>
            </w:pPr>
            <w:r>
              <w:rPr>
                <w:rFonts w:cs="Arial"/>
              </w:rPr>
              <w:t>“</w:t>
            </w:r>
            <w:r w:rsidRPr="00D00D9A">
              <w:rPr>
                <w:rFonts w:cs="Arial"/>
              </w:rPr>
              <w:t>Expert</w:t>
            </w:r>
            <w:r>
              <w:rPr>
                <w:rFonts w:cs="Arial"/>
              </w:rPr>
              <w:t>”</w:t>
            </w:r>
          </w:p>
        </w:tc>
        <w:tc>
          <w:tcPr>
            <w:tcW w:w="6803" w:type="dxa"/>
          </w:tcPr>
          <w:p w14:paraId="3C86BDF8" w14:textId="4268D263" w:rsidR="00F67E9E" w:rsidRPr="00D00D9A" w:rsidRDefault="00F67E9E" w:rsidP="0052486C">
            <w:pPr>
              <w:pStyle w:val="StdBodyText"/>
              <w:rPr>
                <w:rFonts w:cs="Arial"/>
              </w:rPr>
            </w:pPr>
            <w:r w:rsidRPr="00D00D9A">
              <w:rPr>
                <w:rFonts w:cs="Arial"/>
              </w:rPr>
              <w:t xml:space="preserve">in relation to a Dispute, a person appointed in accordance with </w:t>
            </w:r>
            <w:bookmarkStart w:id="1461" w:name="_9kMHG5YVtCIBCD9FIgTlj3Fx0GI7qv7yss4KKEE"/>
            <w:r w:rsidRPr="00D00D9A">
              <w:rPr>
                <w:rFonts w:cs="Arial"/>
              </w:rPr>
              <w:t xml:space="preserve">Paragraph </w:t>
            </w:r>
            <w:r w:rsidRPr="00D00D9A">
              <w:rPr>
                <w:rFonts w:cs="Arial"/>
              </w:rPr>
              <w:fldChar w:fldCharType="begin"/>
            </w:r>
            <w:r w:rsidRPr="00D00D9A">
              <w:rPr>
                <w:rFonts w:cs="Arial"/>
              </w:rPr>
              <w:instrText xml:space="preserve"> REF _Ref_ContractCompanion_9kb9Us66A \n \h \t \* MERGEFORMAT </w:instrText>
            </w:r>
            <w:r w:rsidRPr="00D00D9A">
              <w:rPr>
                <w:rFonts w:cs="Arial"/>
              </w:rPr>
            </w:r>
            <w:r w:rsidRPr="00D00D9A">
              <w:rPr>
                <w:rFonts w:cs="Arial"/>
              </w:rPr>
              <w:fldChar w:fldCharType="separate"/>
            </w:r>
            <w:r w:rsidR="007A1473">
              <w:rPr>
                <w:rFonts w:cs="Arial"/>
              </w:rPr>
              <w:t>6.2</w:t>
            </w:r>
            <w:r w:rsidRPr="00D00D9A">
              <w:rPr>
                <w:rFonts w:cs="Arial"/>
              </w:rPr>
              <w:fldChar w:fldCharType="end"/>
            </w:r>
            <w:bookmarkEnd w:id="1461"/>
            <w:r w:rsidRPr="00D00D9A">
              <w:rPr>
                <w:rFonts w:cs="Arial"/>
              </w:rPr>
              <w:t xml:space="preserve"> to act as an expert in relation to that Dispute;</w:t>
            </w:r>
          </w:p>
        </w:tc>
      </w:tr>
      <w:tr w:rsidR="00F67E9E" w:rsidRPr="00D00D9A" w14:paraId="1751835A" w14:textId="77777777" w:rsidTr="0052486C">
        <w:tc>
          <w:tcPr>
            <w:tcW w:w="2835" w:type="dxa"/>
          </w:tcPr>
          <w:p w14:paraId="6BF5D4EC" w14:textId="77777777" w:rsidR="00F67E9E" w:rsidRPr="00D00D9A" w:rsidRDefault="00F67E9E" w:rsidP="0052486C">
            <w:pPr>
              <w:pStyle w:val="StdBodyTextBold"/>
              <w:rPr>
                <w:rFonts w:cs="Arial"/>
              </w:rPr>
            </w:pPr>
            <w:r>
              <w:rPr>
                <w:rFonts w:cs="Arial"/>
              </w:rPr>
              <w:t>“</w:t>
            </w:r>
            <w:r w:rsidRPr="00D00D9A">
              <w:rPr>
                <w:rFonts w:cs="Arial"/>
              </w:rPr>
              <w:t>Expert Determination</w:t>
            </w:r>
            <w:r>
              <w:rPr>
                <w:rFonts w:cs="Arial"/>
              </w:rPr>
              <w:t>”</w:t>
            </w:r>
          </w:p>
        </w:tc>
        <w:tc>
          <w:tcPr>
            <w:tcW w:w="6803" w:type="dxa"/>
          </w:tcPr>
          <w:p w14:paraId="50F6636F" w14:textId="4401573A" w:rsidR="00F67E9E" w:rsidRPr="00D00D9A" w:rsidRDefault="00F67E9E" w:rsidP="0052486C">
            <w:pPr>
              <w:pStyle w:val="StdBodyText"/>
              <w:rPr>
                <w:rFonts w:cs="Arial"/>
              </w:rPr>
            </w:pPr>
            <w:r w:rsidRPr="00D00D9A">
              <w:rPr>
                <w:rFonts w:cs="Arial"/>
              </w:rPr>
              <w:t xml:space="preserve">determination by an Expert in accordance with </w:t>
            </w:r>
            <w:bookmarkStart w:id="1462" w:name="_9kMHG5YVtCIBAGJgLhkhy7sGTSeDP7AQDzGHGPH"/>
            <w:r w:rsidRPr="00D00D9A">
              <w:rPr>
                <w:rFonts w:cs="Arial"/>
              </w:rPr>
              <w:t xml:space="preserve">Paragraph </w:t>
            </w:r>
            <w:r w:rsidRPr="00D00D9A">
              <w:rPr>
                <w:rFonts w:cs="Arial"/>
              </w:rPr>
              <w:fldChar w:fldCharType="begin"/>
            </w:r>
            <w:r w:rsidRPr="00D00D9A">
              <w:rPr>
                <w:rFonts w:cs="Arial"/>
              </w:rPr>
              <w:instrText xml:space="preserve"> REF _Ref_ContractCompanion_9kb9Us4AB \w \n \h \t \* MERGEFORMAT </w:instrText>
            </w:r>
            <w:r w:rsidRPr="00D00D9A">
              <w:rPr>
                <w:rFonts w:cs="Arial"/>
              </w:rPr>
            </w:r>
            <w:r w:rsidRPr="00D00D9A">
              <w:rPr>
                <w:rFonts w:cs="Arial"/>
              </w:rPr>
              <w:fldChar w:fldCharType="separate"/>
            </w:r>
            <w:r w:rsidR="007A1473">
              <w:rPr>
                <w:rFonts w:cs="Arial"/>
              </w:rPr>
              <w:t>6</w:t>
            </w:r>
            <w:r w:rsidRPr="00D00D9A">
              <w:rPr>
                <w:rFonts w:cs="Arial"/>
              </w:rPr>
              <w:fldChar w:fldCharType="end"/>
            </w:r>
            <w:bookmarkEnd w:id="1462"/>
            <w:r w:rsidRPr="00D00D9A">
              <w:rPr>
                <w:rFonts w:cs="Arial"/>
              </w:rPr>
              <w:t>;</w:t>
            </w:r>
          </w:p>
        </w:tc>
      </w:tr>
      <w:tr w:rsidR="00F67E9E" w:rsidRPr="00D00D9A" w14:paraId="18BEF739" w14:textId="77777777" w:rsidTr="0052486C">
        <w:tc>
          <w:tcPr>
            <w:tcW w:w="2835" w:type="dxa"/>
          </w:tcPr>
          <w:p w14:paraId="2D28C7FF" w14:textId="77777777" w:rsidR="00F67E9E" w:rsidRPr="00D00D9A" w:rsidRDefault="00F67E9E" w:rsidP="0052486C">
            <w:pPr>
              <w:pStyle w:val="StdBodyTextBold"/>
              <w:rPr>
                <w:rFonts w:cs="Arial"/>
              </w:rPr>
            </w:pPr>
            <w:r>
              <w:rPr>
                <w:rFonts w:cs="Arial"/>
              </w:rPr>
              <w:t>“</w:t>
            </w:r>
            <w:r w:rsidRPr="00D00D9A">
              <w:rPr>
                <w:rFonts w:cs="Arial"/>
              </w:rPr>
              <w:t>Mediation Notice</w:t>
            </w:r>
            <w:r>
              <w:rPr>
                <w:rFonts w:cs="Arial"/>
              </w:rPr>
              <w:t>”</w:t>
            </w:r>
          </w:p>
        </w:tc>
        <w:tc>
          <w:tcPr>
            <w:tcW w:w="6803" w:type="dxa"/>
          </w:tcPr>
          <w:p w14:paraId="108D533D" w14:textId="6E1520D8" w:rsidR="00F67E9E" w:rsidRPr="00D00D9A" w:rsidRDefault="00F67E9E" w:rsidP="0052486C">
            <w:pPr>
              <w:pStyle w:val="StdBodyText"/>
              <w:rPr>
                <w:rFonts w:cs="Arial"/>
              </w:rPr>
            </w:pPr>
            <w:r w:rsidRPr="00D00D9A">
              <w:rPr>
                <w:rFonts w:cs="Arial"/>
              </w:rPr>
              <w:t xml:space="preserve">has the meaning given in </w:t>
            </w:r>
            <w:bookmarkStart w:id="1463" w:name="_9kMHG5YVtCJCCDCGGVG"/>
            <w:bookmarkStart w:id="1464" w:name="_9kMHG5YVtCIBCDDHGVG"/>
            <w:r w:rsidRPr="00D00D9A">
              <w:rPr>
                <w:rFonts w:cs="Arial"/>
              </w:rPr>
              <w:t xml:space="preserve">Paragraph </w:t>
            </w:r>
            <w:r w:rsidRPr="00D00D9A">
              <w:rPr>
                <w:rFonts w:cs="Arial"/>
              </w:rPr>
              <w:fldChar w:fldCharType="begin"/>
            </w:r>
            <w:r w:rsidRPr="00D00D9A">
              <w:rPr>
                <w:rFonts w:cs="Arial"/>
              </w:rPr>
              <w:instrText xml:space="preserve"> REF _Ref_ContractCompanion_9kb9Us674 \n \h \t \* MERGEFORMAT </w:instrText>
            </w:r>
            <w:r w:rsidRPr="00D00D9A">
              <w:rPr>
                <w:rFonts w:cs="Arial"/>
              </w:rPr>
            </w:r>
            <w:r w:rsidRPr="00D00D9A">
              <w:rPr>
                <w:rFonts w:cs="Arial"/>
              </w:rPr>
              <w:fldChar w:fldCharType="separate"/>
            </w:r>
            <w:r w:rsidR="007A1473">
              <w:rPr>
                <w:rFonts w:cs="Arial"/>
              </w:rPr>
              <w:t>4.2</w:t>
            </w:r>
            <w:r w:rsidRPr="00D00D9A">
              <w:rPr>
                <w:rFonts w:cs="Arial"/>
              </w:rPr>
              <w:fldChar w:fldCharType="end"/>
            </w:r>
            <w:bookmarkEnd w:id="1463"/>
            <w:bookmarkEnd w:id="1464"/>
            <w:r w:rsidRPr="00D00D9A">
              <w:rPr>
                <w:rFonts w:cs="Arial"/>
              </w:rPr>
              <w:t>;</w:t>
            </w:r>
          </w:p>
        </w:tc>
      </w:tr>
      <w:tr w:rsidR="00F67E9E" w:rsidRPr="00D00D9A" w14:paraId="46AD88DC" w14:textId="77777777" w:rsidTr="0052486C">
        <w:tc>
          <w:tcPr>
            <w:tcW w:w="2835" w:type="dxa"/>
          </w:tcPr>
          <w:p w14:paraId="711EF1B0" w14:textId="77777777" w:rsidR="00F67E9E" w:rsidRPr="00D00D9A" w:rsidRDefault="00F67E9E" w:rsidP="0052486C">
            <w:pPr>
              <w:pStyle w:val="StdBodyTextBold"/>
              <w:rPr>
                <w:rFonts w:cs="Arial"/>
              </w:rPr>
            </w:pPr>
            <w:r>
              <w:rPr>
                <w:rFonts w:cs="Arial"/>
              </w:rPr>
              <w:t>“</w:t>
            </w:r>
            <w:r w:rsidRPr="00D00D9A">
              <w:rPr>
                <w:rFonts w:cs="Arial"/>
              </w:rPr>
              <w:t>Mediator</w:t>
            </w:r>
            <w:r>
              <w:rPr>
                <w:rFonts w:cs="Arial"/>
              </w:rPr>
              <w:t>”</w:t>
            </w:r>
          </w:p>
        </w:tc>
        <w:tc>
          <w:tcPr>
            <w:tcW w:w="6803" w:type="dxa"/>
          </w:tcPr>
          <w:p w14:paraId="4B2ADEAE" w14:textId="193FC99D" w:rsidR="00F67E9E" w:rsidRPr="00D00D9A" w:rsidRDefault="00F67E9E" w:rsidP="0052486C">
            <w:pPr>
              <w:pStyle w:val="StdBodyText"/>
            </w:pPr>
            <w:r w:rsidRPr="00D00D9A">
              <w:t xml:space="preserve">the independent third party appointed in accordance with </w:t>
            </w:r>
            <w:bookmarkStart w:id="1465" w:name="_9kMHG5YVtCIBCDGLHVGy1nWNwG8u5227BL2r37G"/>
            <w:r w:rsidRPr="00D00D9A">
              <w:t xml:space="preserve">Paragraph </w:t>
            </w:r>
            <w:r w:rsidRPr="00D00D9A">
              <w:fldChar w:fldCharType="begin"/>
            </w:r>
            <w:r w:rsidRPr="00D00D9A">
              <w:instrText xml:space="preserve"> REF _Ref_ContractCompanion_9kb9Us678 \n \h \t \* MERGEFORMAT </w:instrText>
            </w:r>
            <w:r w:rsidRPr="00D00D9A">
              <w:fldChar w:fldCharType="separate"/>
            </w:r>
            <w:r w:rsidR="007A1473">
              <w:t>5.2</w:t>
            </w:r>
            <w:r w:rsidRPr="00D00D9A">
              <w:fldChar w:fldCharType="end"/>
            </w:r>
            <w:bookmarkEnd w:id="1465"/>
            <w:r w:rsidRPr="00D00D9A">
              <w:t xml:space="preserve"> to mediate a Dispute;</w:t>
            </w:r>
          </w:p>
        </w:tc>
      </w:tr>
      <w:tr w:rsidR="00F67E9E" w:rsidRPr="00D00D9A" w14:paraId="619FA747" w14:textId="77777777" w:rsidTr="0052486C">
        <w:tc>
          <w:tcPr>
            <w:tcW w:w="2835" w:type="dxa"/>
          </w:tcPr>
          <w:p w14:paraId="0A683CFD" w14:textId="77777777" w:rsidR="00F67E9E" w:rsidRPr="00D00D9A" w:rsidRDefault="00F67E9E" w:rsidP="0052486C">
            <w:pPr>
              <w:pStyle w:val="StdBodyTextBold"/>
              <w:rPr>
                <w:rFonts w:cs="Arial"/>
              </w:rPr>
            </w:pPr>
            <w:r>
              <w:rPr>
                <w:rFonts w:cs="Arial"/>
              </w:rPr>
              <w:t>“</w:t>
            </w:r>
            <w:r w:rsidRPr="00D00D9A">
              <w:rPr>
                <w:rFonts w:cs="Arial"/>
              </w:rPr>
              <w:t>Multi-Party Dispute</w:t>
            </w:r>
            <w:r>
              <w:rPr>
                <w:rFonts w:cs="Arial"/>
              </w:rPr>
              <w:t>”</w:t>
            </w:r>
          </w:p>
        </w:tc>
        <w:tc>
          <w:tcPr>
            <w:tcW w:w="6803" w:type="dxa"/>
          </w:tcPr>
          <w:p w14:paraId="5BF859F3" w14:textId="77777777" w:rsidR="00F67E9E" w:rsidRPr="00D00D9A" w:rsidRDefault="00F67E9E" w:rsidP="0052486C">
            <w:pPr>
              <w:pStyle w:val="StdBodyText"/>
              <w:rPr>
                <w:rFonts w:cs="Arial"/>
              </w:rPr>
            </w:pPr>
            <w:r w:rsidRPr="00D00D9A">
              <w:rPr>
                <w:rFonts w:cs="Arial"/>
              </w:rPr>
              <w:t>a Dispute which involves the Parties and one or more Related Third Parties;</w:t>
            </w:r>
          </w:p>
        </w:tc>
      </w:tr>
      <w:tr w:rsidR="00F67E9E" w:rsidRPr="00D00D9A" w14:paraId="78FBDF81" w14:textId="77777777" w:rsidTr="0052486C">
        <w:tc>
          <w:tcPr>
            <w:tcW w:w="2835" w:type="dxa"/>
          </w:tcPr>
          <w:p w14:paraId="44E12D21" w14:textId="77777777" w:rsidR="00F67E9E" w:rsidRPr="00D00D9A" w:rsidRDefault="00F67E9E" w:rsidP="0052486C">
            <w:pPr>
              <w:pStyle w:val="StdBodyTextBold"/>
              <w:rPr>
                <w:rFonts w:cs="Arial"/>
              </w:rPr>
            </w:pPr>
            <w:r>
              <w:rPr>
                <w:rFonts w:cs="Arial"/>
              </w:rPr>
              <w:t>“</w:t>
            </w:r>
            <w:r w:rsidRPr="00D00D9A">
              <w:rPr>
                <w:rFonts w:cs="Arial"/>
              </w:rPr>
              <w:t>Multi-Party Dispute Representatives</w:t>
            </w:r>
            <w:r>
              <w:rPr>
                <w:rFonts w:cs="Arial"/>
              </w:rPr>
              <w:t>”</w:t>
            </w:r>
          </w:p>
        </w:tc>
        <w:tc>
          <w:tcPr>
            <w:tcW w:w="6803" w:type="dxa"/>
          </w:tcPr>
          <w:p w14:paraId="0D8D18C4" w14:textId="3BE6192A" w:rsidR="00F67E9E" w:rsidRPr="00D00D9A" w:rsidRDefault="00F67E9E" w:rsidP="0052486C">
            <w:pPr>
              <w:pStyle w:val="StdBodyText"/>
              <w:rPr>
                <w:rFonts w:cs="Arial"/>
              </w:rPr>
            </w:pPr>
            <w:r w:rsidRPr="00D00D9A">
              <w:rPr>
                <w:rFonts w:cs="Arial"/>
              </w:rPr>
              <w:t xml:space="preserve">has the meaning given in </w:t>
            </w:r>
            <w:bookmarkStart w:id="1466" w:name="_9kMHG5YVtCJCCEAIPWMzx1D80z544MEwt68vdsO"/>
            <w:bookmarkStart w:id="1467" w:name="_9kMHG5YVtCIBCEBJPWMzx1D80z544MEwt68vdsO"/>
            <w:r w:rsidRPr="00D00D9A">
              <w:rPr>
                <w:rFonts w:cs="Arial"/>
              </w:rPr>
              <w:t xml:space="preserve">Paragraph </w:t>
            </w:r>
            <w:r w:rsidRPr="00D00D9A">
              <w:rPr>
                <w:rFonts w:cs="Arial"/>
              </w:rPr>
              <w:fldChar w:fldCharType="begin"/>
            </w:r>
            <w:r w:rsidRPr="00D00D9A">
              <w:rPr>
                <w:rFonts w:cs="Arial"/>
              </w:rPr>
              <w:instrText xml:space="preserve"> REF _Ref_ContractCompanion_9kb9Us67B \n \h \t \* MERGEFORMAT </w:instrText>
            </w:r>
            <w:r w:rsidRPr="00D00D9A">
              <w:rPr>
                <w:rFonts w:cs="Arial"/>
              </w:rPr>
            </w:r>
            <w:r w:rsidRPr="00D00D9A">
              <w:rPr>
                <w:rFonts w:cs="Arial"/>
              </w:rPr>
              <w:fldChar w:fldCharType="separate"/>
            </w:r>
            <w:r w:rsidR="007A1473">
              <w:rPr>
                <w:rFonts w:cs="Arial"/>
              </w:rPr>
              <w:t>9.6</w:t>
            </w:r>
            <w:r w:rsidRPr="00D00D9A">
              <w:rPr>
                <w:rFonts w:cs="Arial"/>
              </w:rPr>
              <w:fldChar w:fldCharType="end"/>
            </w:r>
            <w:bookmarkEnd w:id="1466"/>
            <w:bookmarkEnd w:id="1467"/>
            <w:r w:rsidRPr="00D00D9A">
              <w:rPr>
                <w:rFonts w:cs="Arial"/>
              </w:rPr>
              <w:t>;</w:t>
            </w:r>
          </w:p>
        </w:tc>
      </w:tr>
      <w:tr w:rsidR="00F67E9E" w:rsidRPr="00D00D9A" w14:paraId="33B93972" w14:textId="77777777" w:rsidTr="0052486C">
        <w:tc>
          <w:tcPr>
            <w:tcW w:w="2835" w:type="dxa"/>
          </w:tcPr>
          <w:p w14:paraId="71BA62ED" w14:textId="77777777" w:rsidR="00F67E9E" w:rsidRPr="00D00D9A" w:rsidRDefault="00F67E9E" w:rsidP="0052486C">
            <w:pPr>
              <w:pStyle w:val="StdBodyTextBold"/>
              <w:rPr>
                <w:rFonts w:cs="Arial"/>
              </w:rPr>
            </w:pPr>
            <w:r>
              <w:rPr>
                <w:rFonts w:cs="Arial"/>
              </w:rPr>
              <w:t>“</w:t>
            </w:r>
            <w:r w:rsidRPr="00D00D9A">
              <w:rPr>
                <w:rFonts w:cs="Arial"/>
              </w:rPr>
              <w:t>Multi-Party Dispute Resolution Board</w:t>
            </w:r>
            <w:r>
              <w:rPr>
                <w:rFonts w:cs="Arial"/>
              </w:rPr>
              <w:t>”</w:t>
            </w:r>
          </w:p>
        </w:tc>
        <w:tc>
          <w:tcPr>
            <w:tcW w:w="6803" w:type="dxa"/>
          </w:tcPr>
          <w:p w14:paraId="16722319" w14:textId="56964EC8" w:rsidR="00F67E9E" w:rsidRPr="00D00D9A" w:rsidRDefault="00F67E9E" w:rsidP="0052486C">
            <w:pPr>
              <w:pStyle w:val="StdBodyText"/>
              <w:rPr>
                <w:rFonts w:cs="Arial"/>
              </w:rPr>
            </w:pPr>
            <w:r w:rsidRPr="00D00D9A">
              <w:rPr>
                <w:rFonts w:cs="Arial"/>
              </w:rPr>
              <w:t xml:space="preserve">has the meaning given in </w:t>
            </w:r>
            <w:bookmarkStart w:id="1468" w:name="_9kMIH5YVtCJCCEAIPWMzx1D80z544MEwt68vdsO"/>
            <w:bookmarkStart w:id="1469" w:name="_9kMIH5YVtCIBCEBJPWMzx1D80z544MEwt68vdsO"/>
            <w:r w:rsidRPr="00D00D9A">
              <w:rPr>
                <w:rFonts w:cs="Arial"/>
              </w:rPr>
              <w:t xml:space="preserve">Paragraph </w:t>
            </w:r>
            <w:r w:rsidRPr="00D00D9A">
              <w:rPr>
                <w:rFonts w:cs="Arial"/>
              </w:rPr>
              <w:fldChar w:fldCharType="begin"/>
            </w:r>
            <w:r w:rsidRPr="00D00D9A">
              <w:rPr>
                <w:rFonts w:cs="Arial"/>
              </w:rPr>
              <w:instrText xml:space="preserve"> REF _Ref_ContractCompanion_9kb9Us67B \n \h \t \* MERGEFORMAT </w:instrText>
            </w:r>
            <w:r w:rsidRPr="00D00D9A">
              <w:rPr>
                <w:rFonts w:cs="Arial"/>
              </w:rPr>
            </w:r>
            <w:r w:rsidRPr="00D00D9A">
              <w:rPr>
                <w:rFonts w:cs="Arial"/>
              </w:rPr>
              <w:fldChar w:fldCharType="separate"/>
            </w:r>
            <w:r w:rsidR="007A1473">
              <w:rPr>
                <w:rFonts w:cs="Arial"/>
              </w:rPr>
              <w:t>9.6</w:t>
            </w:r>
            <w:r w:rsidRPr="00D00D9A">
              <w:rPr>
                <w:rFonts w:cs="Arial"/>
              </w:rPr>
              <w:fldChar w:fldCharType="end"/>
            </w:r>
            <w:bookmarkEnd w:id="1468"/>
            <w:bookmarkEnd w:id="1469"/>
            <w:r w:rsidRPr="00D00D9A">
              <w:rPr>
                <w:rFonts w:cs="Arial"/>
              </w:rPr>
              <w:t>;</w:t>
            </w:r>
          </w:p>
        </w:tc>
      </w:tr>
      <w:tr w:rsidR="00F67E9E" w:rsidRPr="00D00D9A" w14:paraId="3D2DDA8F" w14:textId="77777777" w:rsidTr="0052486C">
        <w:tc>
          <w:tcPr>
            <w:tcW w:w="2835" w:type="dxa"/>
          </w:tcPr>
          <w:p w14:paraId="63DD8934" w14:textId="77777777" w:rsidR="00F67E9E" w:rsidRPr="00D00D9A" w:rsidRDefault="00F67E9E" w:rsidP="0052486C">
            <w:pPr>
              <w:pStyle w:val="StdBodyTextBold"/>
              <w:rPr>
                <w:rFonts w:cs="Arial"/>
              </w:rPr>
            </w:pPr>
            <w:r>
              <w:rPr>
                <w:rFonts w:cs="Arial"/>
              </w:rPr>
              <w:t>“</w:t>
            </w:r>
            <w:r w:rsidRPr="00D00D9A">
              <w:rPr>
                <w:rFonts w:cs="Arial"/>
              </w:rPr>
              <w:t>Related Third Party</w:t>
            </w:r>
            <w:r>
              <w:rPr>
                <w:rFonts w:cs="Arial"/>
              </w:rPr>
              <w:t>”</w:t>
            </w:r>
          </w:p>
        </w:tc>
        <w:tc>
          <w:tcPr>
            <w:tcW w:w="6803" w:type="dxa"/>
          </w:tcPr>
          <w:p w14:paraId="44E571F9" w14:textId="77777777" w:rsidR="00F67E9E" w:rsidRPr="00D00D9A" w:rsidRDefault="00F67E9E" w:rsidP="0052486C">
            <w:pPr>
              <w:pStyle w:val="StdBodyText"/>
              <w:rPr>
                <w:rFonts w:cs="Arial"/>
              </w:rPr>
            </w:pPr>
            <w:r w:rsidRPr="00D00D9A">
              <w:rPr>
                <w:rFonts w:cs="Arial"/>
              </w:rPr>
              <w:t>a party to:</w:t>
            </w:r>
          </w:p>
          <w:p w14:paraId="31522E61" w14:textId="77777777" w:rsidR="00F67E9E" w:rsidRPr="007216EA" w:rsidRDefault="00F67E9E" w:rsidP="00F13933">
            <w:pPr>
              <w:pStyle w:val="DefinitionList"/>
              <w:numPr>
                <w:ilvl w:val="0"/>
                <w:numId w:val="166"/>
              </w:numPr>
            </w:pPr>
            <w:r w:rsidRPr="007216EA">
              <w:t>another contract with the Authority or the Supplier which is relevant to this Contract; or</w:t>
            </w:r>
          </w:p>
          <w:p w14:paraId="38CA1FAC" w14:textId="77777777" w:rsidR="00F67E9E" w:rsidRPr="007216EA" w:rsidRDefault="00F67E9E" w:rsidP="00F13933">
            <w:pPr>
              <w:pStyle w:val="DefinitionList"/>
              <w:numPr>
                <w:ilvl w:val="0"/>
                <w:numId w:val="166"/>
              </w:numPr>
              <w:rPr>
                <w:rFonts w:cs="Arial"/>
              </w:rPr>
            </w:pPr>
            <w:r w:rsidRPr="007216EA">
              <w:t>a Sub-contract; and</w:t>
            </w:r>
          </w:p>
        </w:tc>
      </w:tr>
      <w:tr w:rsidR="00F67E9E" w:rsidRPr="00D00D9A" w14:paraId="2133DC80" w14:textId="77777777" w:rsidTr="0052486C">
        <w:tc>
          <w:tcPr>
            <w:tcW w:w="2835" w:type="dxa"/>
          </w:tcPr>
          <w:p w14:paraId="232667F5" w14:textId="77777777" w:rsidR="00F67E9E" w:rsidRPr="00D00D9A" w:rsidRDefault="00F67E9E" w:rsidP="0052486C">
            <w:pPr>
              <w:pStyle w:val="StdBodyTextBold"/>
              <w:rPr>
                <w:rFonts w:cs="Arial"/>
              </w:rPr>
            </w:pPr>
            <w:r>
              <w:rPr>
                <w:rFonts w:cs="Arial"/>
              </w:rPr>
              <w:t>“</w:t>
            </w:r>
            <w:r w:rsidRPr="00D00D9A">
              <w:rPr>
                <w:rFonts w:cs="Arial"/>
              </w:rPr>
              <w:t>Supplier Request</w:t>
            </w:r>
            <w:r>
              <w:rPr>
                <w:rFonts w:cs="Arial"/>
              </w:rPr>
              <w:t>”</w:t>
            </w:r>
          </w:p>
        </w:tc>
        <w:tc>
          <w:tcPr>
            <w:tcW w:w="6803" w:type="dxa"/>
          </w:tcPr>
          <w:p w14:paraId="136EEAD6" w14:textId="77777777" w:rsidR="00F67E9E" w:rsidRPr="00D00D9A" w:rsidRDefault="00F67E9E" w:rsidP="0052486C">
            <w:pPr>
              <w:pStyle w:val="StdBodyText"/>
              <w:rPr>
                <w:rFonts w:cs="Arial"/>
              </w:rPr>
            </w:pPr>
            <w:r w:rsidRPr="00D00D9A">
              <w:rPr>
                <w:rFonts w:cs="Arial"/>
              </w:rPr>
              <w:t>a notice served by the Supplier requesting that the Dispute be treated as a Multi-Party Dispute, setting out its grounds for that request and specifying each Related Third Party that it believes should be involved in the Multi-Dispute Resolution Procedure in respect of that Dispute.</w:t>
            </w:r>
          </w:p>
        </w:tc>
      </w:tr>
    </w:tbl>
    <w:p w14:paraId="5D9EDC49" w14:textId="77777777" w:rsidR="00F67E9E" w:rsidRPr="00D00D9A" w:rsidRDefault="00F67E9E" w:rsidP="00F67E9E">
      <w:pPr>
        <w:pStyle w:val="Numbered1"/>
      </w:pPr>
      <w:r w:rsidRPr="00D00D9A">
        <w:t>Dispute Notices</w:t>
      </w:r>
    </w:p>
    <w:p w14:paraId="3275C8CB" w14:textId="77777777" w:rsidR="00F67E9E" w:rsidRPr="00D00D9A" w:rsidRDefault="00F67E9E" w:rsidP="00F67E9E">
      <w:pPr>
        <w:pStyle w:val="Numbered11"/>
      </w:pPr>
      <w:bookmarkStart w:id="1470" w:name="_Ref_ContractCompanion_9kb9Us6CF"/>
      <w:bookmarkStart w:id="1471" w:name="_9kR3WTrAG9AGLIBSEdCF19CH2ky7967NDz6"/>
      <w:bookmarkStart w:id="1472" w:name="_Ref_ContractCompanion_9kb9Us7EA"/>
      <w:r w:rsidRPr="00D00D9A">
        <w:t>If a Dispute arises then:</w:t>
      </w:r>
      <w:bookmarkEnd w:id="1470"/>
      <w:bookmarkEnd w:id="1471"/>
      <w:bookmarkEnd w:id="1472"/>
    </w:p>
    <w:p w14:paraId="6BA4D947" w14:textId="77777777" w:rsidR="00F67E9E" w:rsidRPr="00154D56" w:rsidRDefault="00F67E9E" w:rsidP="00F67E9E">
      <w:pPr>
        <w:pStyle w:val="Numbered111"/>
      </w:pPr>
      <w:r w:rsidRPr="00D00D9A">
        <w:t xml:space="preserve">the </w:t>
      </w:r>
      <w:r w:rsidRPr="00154D56">
        <w:t xml:space="preserve">Authority Representative and the Supplier Representative shall attempt in </w:t>
      </w:r>
      <w:r w:rsidRPr="00154D56">
        <w:lastRenderedPageBreak/>
        <w:t>good faith to resolve the Dispute; and</w:t>
      </w:r>
    </w:p>
    <w:p w14:paraId="2E306836" w14:textId="77777777" w:rsidR="00F67E9E" w:rsidRPr="00D00D9A" w:rsidRDefault="00F67E9E" w:rsidP="00F67E9E">
      <w:pPr>
        <w:pStyle w:val="Numbered111"/>
      </w:pPr>
      <w:r w:rsidRPr="00154D56">
        <w:t>if such attempts are not successful within a reasonable period, not being longer than 20 Working</w:t>
      </w:r>
      <w:r w:rsidRPr="00D00D9A">
        <w:t xml:space="preserve"> Days, either Party may issue to the other a Dispute Notice.</w:t>
      </w:r>
    </w:p>
    <w:p w14:paraId="121ABD5B" w14:textId="77777777" w:rsidR="00F67E9E" w:rsidRPr="00D00D9A" w:rsidRDefault="00F67E9E" w:rsidP="00F67E9E">
      <w:pPr>
        <w:pStyle w:val="Numbered11"/>
      </w:pPr>
      <w:bookmarkStart w:id="1473" w:name="_Ref_ContractCompanion_9kb9Us7EF"/>
      <w:r w:rsidRPr="00D00D9A">
        <w:t xml:space="preserve">A Dispute </w:t>
      </w:r>
      <w:r w:rsidRPr="00154D56">
        <w:t>Notice</w:t>
      </w:r>
      <w:r w:rsidRPr="00D00D9A">
        <w:t>:</w:t>
      </w:r>
      <w:bookmarkEnd w:id="1473"/>
    </w:p>
    <w:p w14:paraId="26DF0874" w14:textId="77777777" w:rsidR="00F67E9E" w:rsidRPr="00D00D9A" w:rsidRDefault="00F67E9E" w:rsidP="00F67E9E">
      <w:pPr>
        <w:pStyle w:val="Numbered111"/>
      </w:pPr>
      <w:r w:rsidRPr="00D00D9A">
        <w:t xml:space="preserve">shall set </w:t>
      </w:r>
      <w:r w:rsidRPr="00154D56">
        <w:t>out</w:t>
      </w:r>
      <w:r w:rsidRPr="00D00D9A">
        <w:t>:</w:t>
      </w:r>
    </w:p>
    <w:p w14:paraId="55540D0D" w14:textId="77777777" w:rsidR="00F67E9E" w:rsidRPr="00154D56" w:rsidRDefault="00F67E9E" w:rsidP="00F67E9E">
      <w:pPr>
        <w:pStyle w:val="Numbered111a"/>
      </w:pPr>
      <w:r w:rsidRPr="00D00D9A">
        <w:t xml:space="preserve">the material </w:t>
      </w:r>
      <w:r w:rsidRPr="00154D56">
        <w:t>particulars of the Dispute;</w:t>
      </w:r>
    </w:p>
    <w:p w14:paraId="14858D6F" w14:textId="77777777" w:rsidR="00F67E9E" w:rsidRPr="00154D56" w:rsidRDefault="00F67E9E" w:rsidP="00F67E9E">
      <w:pPr>
        <w:pStyle w:val="Numbered111a"/>
      </w:pPr>
      <w:r w:rsidRPr="00154D56">
        <w:t>the reasons why the Party serving the Dispute Notice believes that the Dispute has arisen; and</w:t>
      </w:r>
    </w:p>
    <w:p w14:paraId="628F8967" w14:textId="77777777" w:rsidR="00F67E9E" w:rsidRPr="00D00D9A" w:rsidRDefault="00F67E9E" w:rsidP="00F67E9E">
      <w:pPr>
        <w:pStyle w:val="Numbered111a"/>
      </w:pPr>
      <w:r w:rsidRPr="00154D56">
        <w:t>if the Party serving the Dispute Notice believes that the Dispute should be dealt with under the</w:t>
      </w:r>
      <w:r w:rsidRPr="00D00D9A">
        <w:t xml:space="preserve"> Expedited Dispute Timetable, the reason why; and</w:t>
      </w:r>
    </w:p>
    <w:p w14:paraId="37972975" w14:textId="1D21419D" w:rsidR="00F67E9E" w:rsidRPr="00D00D9A" w:rsidRDefault="00F67E9E" w:rsidP="00F67E9E">
      <w:pPr>
        <w:pStyle w:val="Numbered111"/>
      </w:pPr>
      <w:bookmarkStart w:id="1474" w:name="_Ref_ContractCompanion_9kb9Us696"/>
      <w:bookmarkStart w:id="1475" w:name="_9kR3WTrAG9ADCCCmkkxG8vjos9D3wmp2I8s36yJ"/>
      <w:r w:rsidRPr="00D00D9A">
        <w:t xml:space="preserve">may specify in </w:t>
      </w:r>
      <w:r w:rsidRPr="00154D56">
        <w:t>accordance</w:t>
      </w:r>
      <w:r w:rsidRPr="00D00D9A">
        <w:t xml:space="preserve"> with the requirements of </w:t>
      </w:r>
      <w:bookmarkStart w:id="1476" w:name="_9kMHG5YVtCIBCEEMLVGfuvqFM71ys3A8COJBAHJ"/>
      <w:r w:rsidRPr="00D00D9A">
        <w:t xml:space="preserve">Paragraphs </w:t>
      </w:r>
      <w:r w:rsidRPr="00D00D9A">
        <w:fldChar w:fldCharType="begin"/>
      </w:r>
      <w:r w:rsidRPr="00D00D9A">
        <w:instrText xml:space="preserve"> REF _Ref_ContractCompanion_9kb9Us686 \n \h \t \* MERGEFORMAT </w:instrText>
      </w:r>
      <w:r w:rsidRPr="00D00D9A">
        <w:fldChar w:fldCharType="separate"/>
      </w:r>
      <w:r w:rsidR="007A1473">
        <w:t>9.2</w:t>
      </w:r>
      <w:r w:rsidRPr="00D00D9A">
        <w:fldChar w:fldCharType="end"/>
      </w:r>
      <w:bookmarkEnd w:id="1476"/>
      <w:r w:rsidRPr="00D00D9A">
        <w:t xml:space="preserve"> and </w:t>
      </w:r>
      <w:bookmarkStart w:id="1477" w:name="_9kMHG5YVtCIBCEHPMWGku1z3FA218AwyDORE9By"/>
      <w:r w:rsidRPr="00D00D9A">
        <w:fldChar w:fldCharType="begin"/>
      </w:r>
      <w:r w:rsidRPr="00D00D9A">
        <w:instrText xml:space="preserve"> REF _Ref_ContractCompanion_9kb9Us689 \n \h \t \* MERGEFORMAT </w:instrText>
      </w:r>
      <w:r w:rsidRPr="00D00D9A">
        <w:fldChar w:fldCharType="separate"/>
      </w:r>
      <w:r w:rsidR="007A1473">
        <w:t>9.3</w:t>
      </w:r>
      <w:r w:rsidRPr="00D00D9A">
        <w:fldChar w:fldCharType="end"/>
      </w:r>
      <w:bookmarkEnd w:id="1477"/>
      <w:r w:rsidRPr="00D00D9A">
        <w:t xml:space="preserve"> that the Party issuing the Dispute Notice has determined (in the case of the Authority) or considers (in the case of the Supplier) that the Dispute is a Multi-Party Dispute, in which case </w:t>
      </w:r>
      <w:bookmarkStart w:id="1478" w:name="_9kMHG5YVtCIBCFBBFWGfEH3BEJ4ZeHCwtAM9x26"/>
      <w:r w:rsidRPr="00D00D9A">
        <w:t xml:space="preserve">Paragraph </w:t>
      </w:r>
      <w:r w:rsidRPr="00D00D9A">
        <w:fldChar w:fldCharType="begin"/>
      </w:r>
      <w:r w:rsidRPr="00D00D9A">
        <w:instrText xml:space="preserve"> REF _Ref_ContractCompanion_9kb9Us68C \n \h \t \* MERGEFORMAT </w:instrText>
      </w:r>
      <w:r w:rsidRPr="00D00D9A">
        <w:fldChar w:fldCharType="separate"/>
      </w:r>
      <w:r w:rsidR="007A1473">
        <w:t>2.3</w:t>
      </w:r>
      <w:r w:rsidRPr="00D00D9A">
        <w:fldChar w:fldCharType="end"/>
      </w:r>
      <w:bookmarkEnd w:id="1478"/>
      <w:r w:rsidRPr="00D00D9A">
        <w:t xml:space="preserve"> shall apply.</w:t>
      </w:r>
      <w:bookmarkEnd w:id="1474"/>
      <w:bookmarkEnd w:id="1475"/>
    </w:p>
    <w:p w14:paraId="3D1E3CB4" w14:textId="44857CAC" w:rsidR="00F67E9E" w:rsidRPr="00D00D9A" w:rsidRDefault="00F67E9E" w:rsidP="00F67E9E">
      <w:pPr>
        <w:pStyle w:val="Numbered11"/>
      </w:pPr>
      <w:bookmarkStart w:id="1479" w:name="_Ref_ContractCompanion_9kb9Us68C"/>
      <w:bookmarkStart w:id="1480" w:name="_9kR3WTrAG9AD99DUEdCF19CH2XcFAur8K7v0455"/>
      <w:r w:rsidRPr="00D00D9A">
        <w:t xml:space="preserve">If a Dispute Notice specifies that the Dispute has been determined or is considered to be a Multi-Party </w:t>
      </w:r>
      <w:r w:rsidRPr="00154D56">
        <w:t>Dispute</w:t>
      </w:r>
      <w:r w:rsidRPr="00D00D9A">
        <w:t xml:space="preserve"> pursuant to </w:t>
      </w:r>
      <w:bookmarkStart w:id="1481" w:name="_9kMHG5YVtCIBCFEEEommzIAxlquBF5yor4KAu58"/>
      <w:r w:rsidRPr="00D00D9A">
        <w:t xml:space="preserve">Paragraph </w:t>
      </w:r>
      <w:r w:rsidRPr="00D00D9A">
        <w:fldChar w:fldCharType="begin"/>
      </w:r>
      <w:r w:rsidRPr="00D00D9A">
        <w:instrText xml:space="preserve"> REF _Ref_ContractCompanion_9kb9Us696 \w \h \t \* MERGEFORMAT </w:instrText>
      </w:r>
      <w:r w:rsidRPr="00D00D9A">
        <w:fldChar w:fldCharType="separate"/>
      </w:r>
      <w:r w:rsidR="007A1473">
        <w:t>2.2.2</w:t>
      </w:r>
      <w:r w:rsidRPr="00D00D9A">
        <w:fldChar w:fldCharType="end"/>
      </w:r>
      <w:bookmarkEnd w:id="1481"/>
      <w:r w:rsidRPr="00D00D9A">
        <w:t>, then:</w:t>
      </w:r>
      <w:bookmarkEnd w:id="1479"/>
      <w:bookmarkEnd w:id="1480"/>
    </w:p>
    <w:p w14:paraId="4C0B9F01" w14:textId="77777777" w:rsidR="00F67E9E" w:rsidRPr="00154D56" w:rsidRDefault="00F67E9E" w:rsidP="00F67E9E">
      <w:pPr>
        <w:pStyle w:val="Numbered111"/>
      </w:pPr>
      <w:r w:rsidRPr="00D00D9A">
        <w:t xml:space="preserve">if it is served by the Authority it shall be treated as a Multi-Party Procedure Initiation </w:t>
      </w:r>
      <w:r w:rsidRPr="00154D56">
        <w:t xml:space="preserve">Notice; and </w:t>
      </w:r>
    </w:p>
    <w:p w14:paraId="74DFCC7E" w14:textId="77777777" w:rsidR="00F67E9E" w:rsidRPr="00D00D9A" w:rsidRDefault="00F67E9E" w:rsidP="00F67E9E">
      <w:pPr>
        <w:pStyle w:val="Numbered111"/>
      </w:pPr>
      <w:r w:rsidRPr="00154D56">
        <w:t>if it is served b</w:t>
      </w:r>
      <w:r w:rsidRPr="00D00D9A">
        <w:t>y the Supplier it shall be treated as a Supplier Request,</w:t>
      </w:r>
    </w:p>
    <w:p w14:paraId="48B4E387" w14:textId="136964BD" w:rsidR="00F67E9E" w:rsidRPr="00D00D9A" w:rsidRDefault="00F67E9E" w:rsidP="00F67E9E">
      <w:pPr>
        <w:pStyle w:val="StdBodyText2"/>
        <w:rPr>
          <w:rFonts w:cs="Arial"/>
        </w:rPr>
      </w:pPr>
      <w:r w:rsidRPr="00D00D9A">
        <w:rPr>
          <w:rFonts w:cs="Arial"/>
        </w:rPr>
        <w:t xml:space="preserve">and in each case the provisions of </w:t>
      </w:r>
      <w:bookmarkStart w:id="1482" w:name="_9kMHG5YVtCIBAFMkLhkhy7sGTVpIIIGD69TbM7N"/>
      <w:r w:rsidRPr="00D00D9A">
        <w:rPr>
          <w:rFonts w:cs="Arial"/>
        </w:rPr>
        <w:t xml:space="preserve">Paragraph </w:t>
      </w:r>
      <w:r w:rsidRPr="00D00D9A">
        <w:rPr>
          <w:rFonts w:cs="Arial"/>
        </w:rPr>
        <w:fldChar w:fldCharType="begin"/>
      </w:r>
      <w:r w:rsidRPr="00D00D9A">
        <w:rPr>
          <w:rFonts w:cs="Arial"/>
        </w:rPr>
        <w:instrText xml:space="preserve"> REF _Ref_ContractCompanion_9kb9Us49E \w \n \h \t \* MERGEFORMAT </w:instrText>
      </w:r>
      <w:r w:rsidRPr="00D00D9A">
        <w:rPr>
          <w:rFonts w:cs="Arial"/>
        </w:rPr>
      </w:r>
      <w:r w:rsidRPr="00D00D9A">
        <w:rPr>
          <w:rFonts w:cs="Arial"/>
        </w:rPr>
        <w:fldChar w:fldCharType="separate"/>
      </w:r>
      <w:r w:rsidR="007A1473">
        <w:rPr>
          <w:rFonts w:cs="Arial"/>
        </w:rPr>
        <w:t>9</w:t>
      </w:r>
      <w:r w:rsidRPr="00D00D9A">
        <w:rPr>
          <w:rFonts w:cs="Arial"/>
        </w:rPr>
        <w:fldChar w:fldCharType="end"/>
      </w:r>
      <w:bookmarkEnd w:id="1482"/>
      <w:r w:rsidRPr="00D00D9A">
        <w:rPr>
          <w:rFonts w:cs="Arial"/>
        </w:rPr>
        <w:t xml:space="preserve"> shall apply.</w:t>
      </w:r>
    </w:p>
    <w:p w14:paraId="5E897F4B" w14:textId="7AF2D3E5" w:rsidR="00F67E9E" w:rsidRPr="00D00D9A" w:rsidRDefault="00F67E9E" w:rsidP="00F67E9E">
      <w:pPr>
        <w:pStyle w:val="Numbered11"/>
      </w:pPr>
      <w:bookmarkStart w:id="1483" w:name="_Ref_ContractCompanion_9kb9Us7FB"/>
      <w:r w:rsidRPr="00D00D9A">
        <w:t xml:space="preserve">Subject to </w:t>
      </w:r>
      <w:bookmarkStart w:id="1484" w:name="_9kMHG5YVtCIBCFHHHiathmqrpq7IL87MCv0C3xE"/>
      <w:r w:rsidRPr="00D00D9A">
        <w:t xml:space="preserve">Paragraphs </w:t>
      </w:r>
      <w:r w:rsidRPr="00D00D9A">
        <w:fldChar w:fldCharType="begin"/>
      </w:r>
      <w:r w:rsidRPr="00D00D9A">
        <w:instrText xml:space="preserve"> REF _Ref_ContractCompanion_9kb9Us699 \n \h \t \* MERGEFORMAT </w:instrText>
      </w:r>
      <w:r w:rsidRPr="00D00D9A">
        <w:fldChar w:fldCharType="separate"/>
      </w:r>
      <w:r w:rsidR="007A1473">
        <w:t>2.5</w:t>
      </w:r>
      <w:r w:rsidRPr="00D00D9A">
        <w:fldChar w:fldCharType="end"/>
      </w:r>
      <w:bookmarkEnd w:id="1484"/>
      <w:r w:rsidRPr="00D00D9A">
        <w:t xml:space="preserve"> and </w:t>
      </w:r>
      <w:bookmarkStart w:id="1485" w:name="_9kMHG5YVtCIBCFKLFVGy1nLZHzotA7sSSEMPUFq"/>
      <w:r w:rsidRPr="00D00D9A">
        <w:fldChar w:fldCharType="begin"/>
      </w:r>
      <w:r w:rsidRPr="00D00D9A">
        <w:instrText xml:space="preserve"> REF _Ref_ContractCompanion_9kb9Us69C \n \h \t \* MERGEFORMAT </w:instrText>
      </w:r>
      <w:r w:rsidRPr="00D00D9A">
        <w:fldChar w:fldCharType="separate"/>
      </w:r>
      <w:r w:rsidR="007A1473">
        <w:t>3.2</w:t>
      </w:r>
      <w:r w:rsidRPr="00D00D9A">
        <w:fldChar w:fldCharType="end"/>
      </w:r>
      <w:bookmarkEnd w:id="1485"/>
      <w:r w:rsidRPr="00D00D9A">
        <w:t xml:space="preserve"> and so long as the Authority has not served a Multi-Party Procedure Initiation Notice in respect of the relevant Dispute, following the issue of a Dispute Notice the Parties shall seek to resolve the Dispute:</w:t>
      </w:r>
      <w:bookmarkEnd w:id="1483"/>
    </w:p>
    <w:p w14:paraId="5BE54480" w14:textId="3A656799" w:rsidR="00F67E9E" w:rsidRPr="00D00D9A" w:rsidRDefault="00F67E9E" w:rsidP="00F67E9E">
      <w:pPr>
        <w:pStyle w:val="Numbered111"/>
      </w:pPr>
      <w:r w:rsidRPr="00D00D9A">
        <w:t xml:space="preserve">first by commercial negotiation (as prescribed in </w:t>
      </w:r>
      <w:bookmarkStart w:id="1486" w:name="_9kMHG5YVtCIBAHGcLhkhy7sGTQa2DC5BA215JD7"/>
      <w:r w:rsidRPr="00D00D9A">
        <w:t xml:space="preserve">Paragraph </w:t>
      </w:r>
      <w:r w:rsidRPr="00D00D9A">
        <w:fldChar w:fldCharType="begin"/>
      </w:r>
      <w:r w:rsidRPr="00D00D9A">
        <w:instrText xml:space="preserve"> REF _Ref_ContractCompanion_9kb9Us4AH \w \n \h \t \* MERGEFORMAT </w:instrText>
      </w:r>
      <w:r w:rsidRPr="00D00D9A">
        <w:fldChar w:fldCharType="separate"/>
      </w:r>
      <w:r w:rsidR="007A1473">
        <w:t>4</w:t>
      </w:r>
      <w:r w:rsidRPr="00D00D9A">
        <w:fldChar w:fldCharType="end"/>
      </w:r>
      <w:bookmarkEnd w:id="1486"/>
      <w:r w:rsidRPr="00D00D9A">
        <w:t>);</w:t>
      </w:r>
    </w:p>
    <w:p w14:paraId="0581BDB1" w14:textId="54BF9CE2" w:rsidR="00F67E9E" w:rsidRPr="00D00D9A" w:rsidRDefault="00F67E9E" w:rsidP="00F67E9E">
      <w:pPr>
        <w:pStyle w:val="Numbered111"/>
      </w:pPr>
      <w:r w:rsidRPr="00D00D9A">
        <w:t xml:space="preserve">then, if either Party serves a Mediation Notice, by mediation (as prescribed in </w:t>
      </w:r>
      <w:bookmarkStart w:id="1487" w:name="_9kMHG5YVtCIBAGMjLhkhy7sGTRl2uzx9IEK"/>
      <w:r w:rsidRPr="00D00D9A">
        <w:t xml:space="preserve">Paragraph </w:t>
      </w:r>
      <w:r w:rsidRPr="00D00D9A">
        <w:fldChar w:fldCharType="begin"/>
      </w:r>
      <w:r w:rsidRPr="00D00D9A">
        <w:instrText xml:space="preserve"> REF _Ref_ContractCompanion_9kb9Us4AE \w \n \h \t \* MERGEFORMAT </w:instrText>
      </w:r>
      <w:r w:rsidRPr="00D00D9A">
        <w:fldChar w:fldCharType="separate"/>
      </w:r>
      <w:r w:rsidR="007A1473">
        <w:t>5</w:t>
      </w:r>
      <w:r w:rsidRPr="00D00D9A">
        <w:fldChar w:fldCharType="end"/>
      </w:r>
      <w:bookmarkEnd w:id="1487"/>
      <w:r w:rsidRPr="00D00D9A">
        <w:t xml:space="preserve">); and </w:t>
      </w:r>
    </w:p>
    <w:p w14:paraId="5D56E4F3" w14:textId="4E7B0B86" w:rsidR="00F67E9E" w:rsidRPr="00D00D9A" w:rsidRDefault="00F67E9E" w:rsidP="00F67E9E">
      <w:pPr>
        <w:pStyle w:val="Numbered111"/>
      </w:pPr>
      <w:r w:rsidRPr="00D00D9A">
        <w:t xml:space="preserve">lastly by recourse to arbitration (as prescribed in </w:t>
      </w:r>
      <w:bookmarkStart w:id="1488" w:name="_9kMHG5YVtCIBAGGdLhkhy7sGTTb35xGQ8BKGM"/>
      <w:r w:rsidRPr="00D00D9A">
        <w:t xml:space="preserve">Paragraph </w:t>
      </w:r>
      <w:r w:rsidRPr="00D00D9A">
        <w:fldChar w:fldCharType="begin"/>
      </w:r>
      <w:r w:rsidRPr="00D00D9A">
        <w:instrText xml:space="preserve"> REF _Ref_ContractCompanion_9kb9Us4A8 \w \n \h \t \* MERGEFORMAT </w:instrText>
      </w:r>
      <w:r w:rsidRPr="00D00D9A">
        <w:fldChar w:fldCharType="separate"/>
      </w:r>
      <w:r w:rsidR="007A1473">
        <w:t>7</w:t>
      </w:r>
      <w:r w:rsidRPr="00D00D9A">
        <w:fldChar w:fldCharType="end"/>
      </w:r>
      <w:bookmarkEnd w:id="1488"/>
      <w:r w:rsidRPr="00D00D9A">
        <w:t xml:space="preserve">) or litigation (in accordance with </w:t>
      </w:r>
      <w:bookmarkStart w:id="1489" w:name="_9kR3WTr2CC6ACMChrAv8O"/>
      <w:r w:rsidRPr="00D00D9A">
        <w:t>Clause 44</w:t>
      </w:r>
      <w:bookmarkEnd w:id="1489"/>
      <w:r w:rsidRPr="00D00D9A">
        <w:t xml:space="preserve"> (</w:t>
      </w:r>
      <w:r w:rsidRPr="00D00D9A">
        <w:rPr>
          <w:i/>
        </w:rPr>
        <w:t>Governing Law and</w:t>
      </w:r>
      <w:r w:rsidRPr="00DD4CC2">
        <w:rPr>
          <w:i/>
          <w:iCs/>
        </w:rPr>
        <w:t xml:space="preserve"> </w:t>
      </w:r>
      <w:r w:rsidRPr="00D00D9A">
        <w:rPr>
          <w:i/>
        </w:rPr>
        <w:t>Jurisdiction</w:t>
      </w:r>
      <w:r w:rsidRPr="00D00D9A">
        <w:t>)).</w:t>
      </w:r>
    </w:p>
    <w:p w14:paraId="699A1A36" w14:textId="588D25B1" w:rsidR="00F67E9E" w:rsidRPr="00D00D9A" w:rsidRDefault="00F67E9E" w:rsidP="00F67E9E">
      <w:pPr>
        <w:pStyle w:val="Numbered11"/>
      </w:pPr>
      <w:bookmarkStart w:id="1490" w:name="_Ref_ContractCompanion_9kb9Us699"/>
      <w:bookmarkStart w:id="1491" w:name="_9kR3WTrAG9ADFFFgYrfkopno5GJ65KAtyA1vCD2"/>
      <w:r w:rsidRPr="00D00D9A">
        <w:t xml:space="preserve">Specific issues shall be referred to Expert Determination (as prescribed in </w:t>
      </w:r>
      <w:bookmarkStart w:id="1492" w:name="_9kMIH5YVtCIBAGJgLhkhy7sGTSeDP7AQDzGHGPH"/>
      <w:r w:rsidRPr="00D00D9A">
        <w:t xml:space="preserve">Paragraph </w:t>
      </w:r>
      <w:r w:rsidRPr="00D00D9A">
        <w:fldChar w:fldCharType="begin"/>
      </w:r>
      <w:r w:rsidRPr="00D00D9A">
        <w:instrText xml:space="preserve"> REF _Ref_ContractCompanion_9kb9Us4AB \w \n \h \t \* MERGEFORMAT </w:instrText>
      </w:r>
      <w:r w:rsidRPr="00D00D9A">
        <w:fldChar w:fldCharType="separate"/>
      </w:r>
      <w:r w:rsidR="007A1473">
        <w:t>6</w:t>
      </w:r>
      <w:r w:rsidRPr="00D00D9A">
        <w:fldChar w:fldCharType="end"/>
      </w:r>
      <w:bookmarkEnd w:id="1492"/>
      <w:r w:rsidRPr="00D00D9A">
        <w:t xml:space="preserve">) where specified under the provisions of this Contract and may also be referred to Expert Determination where otherwise appropriate as specified in </w:t>
      </w:r>
      <w:bookmarkStart w:id="1493" w:name="_9kMHG5YVtCIBCGEHHUGfEH3BEJ434zw5AAQN55U"/>
      <w:r w:rsidRPr="00D00D9A">
        <w:t xml:space="preserve">Paragraph </w:t>
      </w:r>
      <w:r w:rsidRPr="00D00D9A">
        <w:fldChar w:fldCharType="begin"/>
      </w:r>
      <w:r w:rsidRPr="00D00D9A">
        <w:instrText xml:space="preserve"> REF _Ref_ContractCompanion_9kb9Us6A6 \n \h \t \* MERGEFORMAT </w:instrText>
      </w:r>
      <w:r w:rsidRPr="00D00D9A">
        <w:fldChar w:fldCharType="separate"/>
      </w:r>
      <w:r w:rsidR="007A1473">
        <w:t>6.1</w:t>
      </w:r>
      <w:r w:rsidRPr="00D00D9A">
        <w:fldChar w:fldCharType="end"/>
      </w:r>
      <w:bookmarkEnd w:id="1493"/>
      <w:r w:rsidRPr="00D00D9A">
        <w:t>.</w:t>
      </w:r>
      <w:bookmarkEnd w:id="1490"/>
      <w:bookmarkEnd w:id="1491"/>
    </w:p>
    <w:p w14:paraId="57EC84F3" w14:textId="3FA70D54" w:rsidR="00F67E9E" w:rsidRPr="00D00D9A" w:rsidRDefault="00F67E9E" w:rsidP="00F67E9E">
      <w:pPr>
        <w:pStyle w:val="Numbered11"/>
      </w:pPr>
      <w:r w:rsidRPr="00D00D9A">
        <w:t xml:space="preserve">Unless agreed otherwise in writing, the Parties shall continue to comply with their respective obligations under this Contract regardless of the nature of the Dispute and notwithstanding any issue of a Dispute Notice or a Multi-Party Procedure Initiation Notice or proceedings under </w:t>
      </w:r>
      <w:bookmarkStart w:id="1494" w:name="_9kMHG5YVtCIBCGHMmD0owCH3y3xv"/>
      <w:r w:rsidRPr="00D00D9A">
        <w:t xml:space="preserve">Paragraph </w:t>
      </w:r>
      <w:r w:rsidRPr="00D00D9A">
        <w:fldChar w:fldCharType="begin"/>
      </w:r>
      <w:r w:rsidRPr="00D00D9A">
        <w:instrText xml:space="preserve"> REF _Ref_ContractCompanion_9kb9Us6A9 \w \n \h \t \* MERGEFORMAT </w:instrText>
      </w:r>
      <w:r w:rsidRPr="00D00D9A">
        <w:fldChar w:fldCharType="separate"/>
      </w:r>
      <w:r w:rsidR="007A1473">
        <w:t>8</w:t>
      </w:r>
      <w:r w:rsidRPr="00D00D9A">
        <w:fldChar w:fldCharType="end"/>
      </w:r>
      <w:bookmarkEnd w:id="1494"/>
      <w:r w:rsidRPr="00D00D9A">
        <w:t xml:space="preserve"> (</w:t>
      </w:r>
      <w:r w:rsidRPr="00660448">
        <w:rPr>
          <w:i/>
        </w:rPr>
        <w:fldChar w:fldCharType="begin"/>
      </w:r>
      <w:r w:rsidRPr="00660448">
        <w:rPr>
          <w:i/>
        </w:rPr>
        <w:instrText xml:space="preserve"> REF _Ref_ContractCompanion_9kb9Us6A9 \h  \* MERGEFORMAT </w:instrText>
      </w:r>
      <w:r w:rsidRPr="00660448">
        <w:rPr>
          <w:i/>
        </w:rPr>
      </w:r>
      <w:r w:rsidRPr="00660448">
        <w:rPr>
          <w:i/>
        </w:rPr>
        <w:fldChar w:fldCharType="separate"/>
      </w:r>
      <w:r w:rsidR="007A1473" w:rsidRPr="007A1473">
        <w:rPr>
          <w:i/>
        </w:rPr>
        <w:t>Urgent Relief</w:t>
      </w:r>
      <w:r w:rsidRPr="00660448">
        <w:rPr>
          <w:i/>
        </w:rPr>
        <w:fldChar w:fldCharType="end"/>
      </w:r>
      <w:r w:rsidRPr="00D00D9A">
        <w:t>).</w:t>
      </w:r>
    </w:p>
    <w:p w14:paraId="27B5375E" w14:textId="77777777" w:rsidR="00F67E9E" w:rsidRPr="00D00D9A" w:rsidRDefault="00F67E9E" w:rsidP="00F67E9E">
      <w:pPr>
        <w:pStyle w:val="Numbered1"/>
      </w:pPr>
      <w:bookmarkStart w:id="1495" w:name="_Ref_ContractCompanion_9kb9Us4BB"/>
      <w:bookmarkStart w:id="1496" w:name="_9kR3WTrAG98FHdJfifw5qERNZBN5uzGDyy4KSVa"/>
      <w:r w:rsidRPr="00D00D9A">
        <w:lastRenderedPageBreak/>
        <w:t xml:space="preserve">Expedited </w:t>
      </w:r>
      <w:r w:rsidRPr="00154D56">
        <w:t>Dispute</w:t>
      </w:r>
      <w:r w:rsidRPr="00D00D9A">
        <w:t xml:space="preserve"> Timetable</w:t>
      </w:r>
      <w:bookmarkEnd w:id="1495"/>
      <w:bookmarkEnd w:id="1496"/>
    </w:p>
    <w:p w14:paraId="6E19E9DC" w14:textId="77777777" w:rsidR="00F67E9E" w:rsidRPr="00154D56" w:rsidRDefault="00F67E9E" w:rsidP="00F67E9E">
      <w:pPr>
        <w:pStyle w:val="Numbered11"/>
      </w:pPr>
      <w:bookmarkStart w:id="1497" w:name="_9kR3WTrAG9AEIICSMp0zhvB517utwuA59KJRA58"/>
      <w:bookmarkStart w:id="1498" w:name="_Ref_ContractCompanion_9kb9Us6AC"/>
      <w:r w:rsidRPr="00D00D9A">
        <w:t>In exceptional circumstances where the use of the times in this Schedule would be unreasonable, including (by way of example) where one Party would be materially disadvantaged by a delay in resolving the Dispute, the Parties may agree to use the Expedited Dispute Timetable.</w:t>
      </w:r>
      <w:bookmarkEnd w:id="1497"/>
      <w:r>
        <w:t xml:space="preserve"> </w:t>
      </w:r>
      <w:r w:rsidRPr="00D00D9A">
        <w:t xml:space="preserve">If the Parties are unable to reach agreement on whether to use the Expedited Dispute Timetable within 5 Working Days of the issue of a Dispute Notice, the use of </w:t>
      </w:r>
      <w:r w:rsidRPr="00154D56">
        <w:t>the Expedited Dispute Timetable shall be at the sole discretion of the Authority.</w:t>
      </w:r>
      <w:bookmarkEnd w:id="1498"/>
    </w:p>
    <w:p w14:paraId="732D9F85" w14:textId="1801B56F" w:rsidR="00F67E9E" w:rsidRPr="00D00D9A" w:rsidRDefault="00F67E9E" w:rsidP="00F67E9E">
      <w:pPr>
        <w:pStyle w:val="Numbered11"/>
      </w:pPr>
      <w:bookmarkStart w:id="1499" w:name="_Ref_ContractCompanion_9kb9Us69C"/>
      <w:bookmarkStart w:id="1500" w:name="_9kR3WTrAG9ADIJDTEwzlJXFxmr85qQQCKNSDonD"/>
      <w:r w:rsidRPr="00154D56">
        <w:t xml:space="preserve">If the Expedited Dispute Timetable is to be used pursuant to the provisions of </w:t>
      </w:r>
      <w:bookmarkStart w:id="1501" w:name="_9kMHG5YVtCIBCGKKEUOr21jxD739wvywC7BMLTC"/>
      <w:r w:rsidRPr="00154D56">
        <w:t>Paragraph </w:t>
      </w:r>
      <w:r w:rsidRPr="00154D56">
        <w:fldChar w:fldCharType="begin"/>
      </w:r>
      <w:r w:rsidRPr="00154D56">
        <w:instrText xml:space="preserve"> REF _Ref_ContractCompanion_9kb9Us6AC \n \h \t \* MERGEFORMAT </w:instrText>
      </w:r>
      <w:r w:rsidRPr="00154D56">
        <w:fldChar w:fldCharType="separate"/>
      </w:r>
      <w:r w:rsidR="007A1473">
        <w:t>3.1</w:t>
      </w:r>
      <w:r w:rsidRPr="00154D56">
        <w:fldChar w:fldCharType="end"/>
      </w:r>
      <w:bookmarkEnd w:id="1501"/>
      <w:r w:rsidRPr="00154D56">
        <w:t xml:space="preserve"> or is otherwis</w:t>
      </w:r>
      <w:r w:rsidRPr="00D00D9A">
        <w:t>e specified under the provisions of this Contract, then the following periods of time shall apply in lieu of the time periods specified in the applicable Paragraphs:</w:t>
      </w:r>
      <w:bookmarkEnd w:id="1499"/>
      <w:bookmarkEnd w:id="1500"/>
    </w:p>
    <w:p w14:paraId="384DA23C" w14:textId="66C4D22C" w:rsidR="00F67E9E" w:rsidRPr="00154D56" w:rsidRDefault="00F67E9E" w:rsidP="00F67E9E">
      <w:pPr>
        <w:pStyle w:val="Numbered111"/>
      </w:pPr>
      <w:r w:rsidRPr="00D00D9A">
        <w:t xml:space="preserve">in </w:t>
      </w:r>
      <w:bookmarkStart w:id="1502" w:name="_9kMHG5YVtCIBCHEEGpu0mVMvF7t48r6B4FMRDFV"/>
      <w:r w:rsidRPr="00D00D9A">
        <w:t xml:space="preserve">Paragraph </w:t>
      </w:r>
      <w:r w:rsidRPr="00D00D9A">
        <w:fldChar w:fldCharType="begin"/>
      </w:r>
      <w:r w:rsidRPr="00D00D9A">
        <w:instrText xml:space="preserve"> REF _Ref_ContractCompanion_9kb9Us6AF \w \h \t \* MERGEFORMAT </w:instrText>
      </w:r>
      <w:r w:rsidRPr="00D00D9A">
        <w:fldChar w:fldCharType="separate"/>
      </w:r>
      <w:r w:rsidR="007A1473">
        <w:t>4.2.3</w:t>
      </w:r>
      <w:r w:rsidRPr="00D00D9A">
        <w:fldChar w:fldCharType="end"/>
      </w:r>
      <w:bookmarkEnd w:id="1502"/>
      <w:r w:rsidRPr="00D00D9A">
        <w:t xml:space="preserve">, 10 Working </w:t>
      </w:r>
      <w:r w:rsidRPr="00154D56">
        <w:t>Days;</w:t>
      </w:r>
    </w:p>
    <w:p w14:paraId="1555A773" w14:textId="05BFCF59" w:rsidR="00F67E9E" w:rsidRPr="00154D56" w:rsidRDefault="00F67E9E" w:rsidP="00F67E9E">
      <w:pPr>
        <w:pStyle w:val="Numbered111"/>
      </w:pPr>
      <w:r w:rsidRPr="00154D56">
        <w:t xml:space="preserve">in </w:t>
      </w:r>
      <w:bookmarkStart w:id="1503" w:name="_9kMIH5YVtCIBCDGLHVGy1nWNwG8u5227BL2r37G"/>
      <w:r w:rsidRPr="00154D56">
        <w:t xml:space="preserve">Paragraph </w:t>
      </w:r>
      <w:r w:rsidRPr="00154D56">
        <w:fldChar w:fldCharType="begin"/>
      </w:r>
      <w:r w:rsidRPr="00154D56">
        <w:instrText xml:space="preserve"> REF _Ref_ContractCompanion_9kb9Us678 \n \h \t \* MERGEFORMAT </w:instrText>
      </w:r>
      <w:r w:rsidRPr="00154D56">
        <w:fldChar w:fldCharType="separate"/>
      </w:r>
      <w:r w:rsidR="007A1473">
        <w:t>5.2</w:t>
      </w:r>
      <w:r w:rsidRPr="00154D56">
        <w:fldChar w:fldCharType="end"/>
      </w:r>
      <w:bookmarkEnd w:id="1503"/>
      <w:r w:rsidRPr="00154D56">
        <w:t>, 10 Working Days;</w:t>
      </w:r>
    </w:p>
    <w:p w14:paraId="12059D7A" w14:textId="6229F9F2" w:rsidR="00F67E9E" w:rsidRPr="00154D56" w:rsidRDefault="00F67E9E" w:rsidP="00F67E9E">
      <w:pPr>
        <w:pStyle w:val="Numbered111"/>
      </w:pPr>
      <w:r w:rsidRPr="00154D56">
        <w:t xml:space="preserve">in </w:t>
      </w:r>
      <w:bookmarkStart w:id="1504" w:name="_9kMIH5YVtCIBCD9FIgTlj3Fx0GI7qv7yss4KKEE"/>
      <w:r w:rsidRPr="00154D56">
        <w:t xml:space="preserve">Paragraph </w:t>
      </w:r>
      <w:r w:rsidRPr="00154D56">
        <w:fldChar w:fldCharType="begin"/>
      </w:r>
      <w:r w:rsidRPr="00154D56">
        <w:instrText xml:space="preserve"> REF _Ref_ContractCompanion_9kb9Us66A \n \h \t \* MERGEFORMAT </w:instrText>
      </w:r>
      <w:r w:rsidRPr="00154D56">
        <w:fldChar w:fldCharType="separate"/>
      </w:r>
      <w:r w:rsidR="007A1473">
        <w:t>6.2</w:t>
      </w:r>
      <w:r w:rsidRPr="00154D56">
        <w:fldChar w:fldCharType="end"/>
      </w:r>
      <w:bookmarkEnd w:id="1504"/>
      <w:r w:rsidRPr="00154D56">
        <w:t>, 5 Working Days; and</w:t>
      </w:r>
    </w:p>
    <w:p w14:paraId="7C771BB9" w14:textId="2068C1A3" w:rsidR="00F67E9E" w:rsidRPr="00D00D9A" w:rsidRDefault="00F67E9E" w:rsidP="00F67E9E">
      <w:pPr>
        <w:pStyle w:val="Numbered111"/>
      </w:pPr>
      <w:r w:rsidRPr="00154D56">
        <w:t xml:space="preserve">in </w:t>
      </w:r>
      <w:bookmarkStart w:id="1505" w:name="_9kMIH5YVtCIBCCFNJO8ju7y15rdoIEB5z986HG9"/>
      <w:r w:rsidRPr="00154D56">
        <w:t xml:space="preserve">Paragraph </w:t>
      </w:r>
      <w:r w:rsidRPr="00154D56">
        <w:fldChar w:fldCharType="begin"/>
      </w:r>
      <w:r w:rsidRPr="00154D56">
        <w:instrText xml:space="preserve"> REF _Ref_ContractCompanion_9kb9Us667 \n \h \t \* MERGEFORMAT </w:instrText>
      </w:r>
      <w:r w:rsidRPr="00154D56">
        <w:fldChar w:fldCharType="separate"/>
      </w:r>
      <w:r w:rsidR="007A1473">
        <w:t>7.2</w:t>
      </w:r>
      <w:r w:rsidRPr="00154D56">
        <w:fldChar w:fldCharType="end"/>
      </w:r>
      <w:bookmarkEnd w:id="1505"/>
      <w:r w:rsidRPr="00154D56">
        <w:t>, 10 Working Days</w:t>
      </w:r>
      <w:r w:rsidRPr="00D00D9A">
        <w:t>.</w:t>
      </w:r>
    </w:p>
    <w:p w14:paraId="006F7036" w14:textId="43DB2D0E" w:rsidR="00F67E9E" w:rsidRPr="00D00D9A" w:rsidRDefault="00F67E9E" w:rsidP="00F67E9E">
      <w:pPr>
        <w:pStyle w:val="Numbered11"/>
      </w:pPr>
      <w:r w:rsidRPr="00D00D9A">
        <w:t>If at any point it becomes clear that an applicable deadline cannot be met or has passed, the Parties may (but shall be under no obligation to) agree in writing to extend the deadline.</w:t>
      </w:r>
      <w:r>
        <w:t xml:space="preserve"> </w:t>
      </w:r>
      <w:r w:rsidRPr="00D00D9A">
        <w:t xml:space="preserve">If the Parties fail to agree within 2 Working Days after the deadline has passed, the Authority may set a revised deadline provided that it is no less than 5 Working Days before the end of the period of time specified in the applicable Paragraphs (or 2 Working Days in the case of </w:t>
      </w:r>
      <w:bookmarkStart w:id="1506" w:name="_9kMJI5YVtCIBCD9FIgTlj3Fx0GI7qv7yss4KKEE"/>
      <w:r w:rsidRPr="00D00D9A">
        <w:t xml:space="preserve">Paragraph </w:t>
      </w:r>
      <w:r w:rsidRPr="00D00D9A">
        <w:fldChar w:fldCharType="begin"/>
      </w:r>
      <w:r w:rsidRPr="00D00D9A">
        <w:instrText xml:space="preserve"> REF _Ref_ContractCompanion_9kb9Us66A \n \h \t \* MERGEFORMAT </w:instrText>
      </w:r>
      <w:r w:rsidRPr="00D00D9A">
        <w:fldChar w:fldCharType="separate"/>
      </w:r>
      <w:r w:rsidR="007A1473">
        <w:t>6.2</w:t>
      </w:r>
      <w:r w:rsidRPr="00D00D9A">
        <w:fldChar w:fldCharType="end"/>
      </w:r>
      <w:bookmarkEnd w:id="1506"/>
      <w:r w:rsidRPr="00D00D9A">
        <w:t>). Any agreed extension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4E307F97" w14:textId="77777777" w:rsidR="00F67E9E" w:rsidRPr="00712F9B" w:rsidRDefault="00F67E9E" w:rsidP="00F67E9E">
      <w:pPr>
        <w:pStyle w:val="Numbered1"/>
      </w:pPr>
      <w:bookmarkStart w:id="1507" w:name="_Ref_ContractCompanion_9kb9Us4AH"/>
      <w:bookmarkStart w:id="1508" w:name="_9kR3WTrAG98FEaJfifw5qEROY0BA3980z3HB5GU"/>
      <w:r w:rsidRPr="00D00D9A">
        <w:t>Commercial Negotiation</w:t>
      </w:r>
      <w:bookmarkEnd w:id="1507"/>
      <w:bookmarkEnd w:id="1508"/>
    </w:p>
    <w:p w14:paraId="359B91A2" w14:textId="705F2F63" w:rsidR="00F67E9E" w:rsidRPr="00712F9B" w:rsidRDefault="00F67E9E" w:rsidP="00F67E9E">
      <w:pPr>
        <w:pStyle w:val="Numbered11"/>
      </w:pPr>
      <w:bookmarkStart w:id="1509" w:name="_9kR3WTrAG9AFFFDPKxvzB6yx46s455NFxu79wVY"/>
      <w:bookmarkStart w:id="1510" w:name="_Ref_ContractCompanion_9kb9Us6B9"/>
      <w:r w:rsidRPr="00712F9B">
        <w:t>Following the service of a Dispute Notice, then, so long as the Authority has not served a Multi-Party Procedure Initiation Notice in respect of the relevant Dispute, the Authority and the Supplier shall make reasonable endeavours to resolve the Dispute as soon as possible by commercial negotiation between the Authority</w:t>
      </w:r>
      <w:r>
        <w:t>’</w:t>
      </w:r>
      <w:r w:rsidRPr="00712F9B">
        <w:t xml:space="preserve">s </w:t>
      </w:r>
      <w:r w:rsidR="00D82F12">
        <w:t>Project Manager</w:t>
      </w:r>
      <w:r w:rsidRPr="00712F9B">
        <w:t xml:space="preserve"> and the Supplier</w:t>
      </w:r>
      <w:r>
        <w:t>’</w:t>
      </w:r>
      <w:r w:rsidRPr="00712F9B">
        <w:t xml:space="preserve">s </w:t>
      </w:r>
      <w:r w:rsidR="00D82F12">
        <w:t>Project Manager</w:t>
      </w:r>
      <w:r w:rsidRPr="00712F9B">
        <w:t>.</w:t>
      </w:r>
      <w:bookmarkEnd w:id="1509"/>
      <w:r w:rsidRPr="00712F9B">
        <w:t xml:space="preserve"> </w:t>
      </w:r>
      <w:bookmarkEnd w:id="1510"/>
    </w:p>
    <w:p w14:paraId="2C2EC79F" w14:textId="77777777" w:rsidR="00F67E9E" w:rsidRPr="00712F9B" w:rsidRDefault="00F67E9E" w:rsidP="00F67E9E">
      <w:pPr>
        <w:pStyle w:val="Numbered11"/>
      </w:pPr>
      <w:bookmarkStart w:id="1511" w:name="_9kR3WTrAHAABAEETE"/>
      <w:bookmarkStart w:id="1512" w:name="_9kR3WTrAG9ABBFETE"/>
      <w:bookmarkStart w:id="1513" w:name="_Ref_ContractCompanion_9kb9Us674"/>
      <w:r w:rsidRPr="00712F9B">
        <w:t>If:</w:t>
      </w:r>
      <w:bookmarkEnd w:id="1511"/>
      <w:bookmarkEnd w:id="1512"/>
      <w:r w:rsidRPr="00712F9B">
        <w:t xml:space="preserve"> </w:t>
      </w:r>
      <w:bookmarkEnd w:id="1513"/>
    </w:p>
    <w:p w14:paraId="19ACFB73" w14:textId="77777777" w:rsidR="00F67E9E" w:rsidRPr="00712F9B" w:rsidRDefault="00F67E9E" w:rsidP="00F67E9E">
      <w:pPr>
        <w:pStyle w:val="Numbered111"/>
      </w:pPr>
      <w:r w:rsidRPr="00712F9B">
        <w:t xml:space="preserve">either Party is of the reasonable opinion that the resolution of a Dispute by commercial negotiation, or the continuance of commercial negotiation, will not result in an appropriate solution; </w:t>
      </w:r>
    </w:p>
    <w:p w14:paraId="1C3738B5" w14:textId="5468F748" w:rsidR="00F67E9E" w:rsidRPr="00D00D9A" w:rsidRDefault="00F67E9E" w:rsidP="00F67E9E">
      <w:pPr>
        <w:pStyle w:val="Numbered111"/>
      </w:pPr>
      <w:r w:rsidRPr="00D00D9A">
        <w:t xml:space="preserve">the Parties have already held discussions of a nature and intent (or otherwise were conducted in the spirit) that would equate to the conduct of commercial negotiation in accordance with this </w:t>
      </w:r>
      <w:bookmarkStart w:id="1514" w:name="_9kMIH5YVtCIBAHGcLhkhy7sGTQa2DC5BA215JD7"/>
      <w:r w:rsidRPr="00D00D9A">
        <w:t xml:space="preserve">Paragraph </w:t>
      </w:r>
      <w:r w:rsidRPr="00D00D9A">
        <w:fldChar w:fldCharType="begin"/>
      </w:r>
      <w:r w:rsidRPr="00D00D9A">
        <w:instrText xml:space="preserve"> REF _Ref_ContractCompanion_9kb9Us4AH \w \n \h \t \* MERGEFORMAT </w:instrText>
      </w:r>
      <w:r w:rsidRPr="00D00D9A">
        <w:fldChar w:fldCharType="separate"/>
      </w:r>
      <w:r w:rsidR="007A1473">
        <w:t>4</w:t>
      </w:r>
      <w:r w:rsidRPr="00D00D9A">
        <w:fldChar w:fldCharType="end"/>
      </w:r>
      <w:bookmarkEnd w:id="1514"/>
      <w:r w:rsidRPr="00D00D9A">
        <w:t>; or</w:t>
      </w:r>
    </w:p>
    <w:p w14:paraId="0D8727A3" w14:textId="3BB779DC" w:rsidR="00F67E9E" w:rsidRPr="00D00D9A" w:rsidRDefault="00F67E9E" w:rsidP="00F67E9E">
      <w:pPr>
        <w:pStyle w:val="Numbered111"/>
      </w:pPr>
      <w:bookmarkStart w:id="1515" w:name="_9kR3WTrAG9AFCCEnsykTKtD5r26p492DKPBDTM8"/>
      <w:bookmarkStart w:id="1516" w:name="_Ref_ContractCompanion_9kb9Us6AF"/>
      <w:r w:rsidRPr="00D00D9A">
        <w:t xml:space="preserve">the Parties have not settled the Dispute in accordance with </w:t>
      </w:r>
      <w:bookmarkStart w:id="1517" w:name="_9kMHG5YVtCIBCHHHFRMzx1D80z68u677PHzw9By"/>
      <w:r w:rsidRPr="00D00D9A">
        <w:t xml:space="preserve">Paragraph </w:t>
      </w:r>
      <w:r w:rsidRPr="00D00D9A">
        <w:fldChar w:fldCharType="begin"/>
      </w:r>
      <w:r w:rsidRPr="00D00D9A">
        <w:instrText xml:space="preserve"> REF _Ref_ContractCompanion_9kb9Us6B9 \n \h \t \* MERGEFORMAT </w:instrText>
      </w:r>
      <w:r w:rsidRPr="00D00D9A">
        <w:fldChar w:fldCharType="separate"/>
      </w:r>
      <w:r w:rsidR="007A1473">
        <w:t>4.1</w:t>
      </w:r>
      <w:r w:rsidRPr="00D00D9A">
        <w:fldChar w:fldCharType="end"/>
      </w:r>
      <w:bookmarkEnd w:id="1517"/>
      <w:r w:rsidRPr="00D00D9A">
        <w:t xml:space="preserve"> within 30 Working Days of service of the Dispute Notice,</w:t>
      </w:r>
      <w:bookmarkEnd w:id="1515"/>
      <w:r w:rsidRPr="00D00D9A">
        <w:t xml:space="preserve"> </w:t>
      </w:r>
      <w:bookmarkEnd w:id="1516"/>
    </w:p>
    <w:p w14:paraId="15084E51" w14:textId="059A4D77" w:rsidR="00F67E9E" w:rsidRPr="00D00D9A" w:rsidRDefault="00F67E9E" w:rsidP="00F67E9E">
      <w:pPr>
        <w:pStyle w:val="StdBodyText2"/>
        <w:rPr>
          <w:rFonts w:cs="Arial"/>
        </w:rPr>
      </w:pPr>
      <w:r w:rsidRPr="00D00D9A">
        <w:rPr>
          <w:rFonts w:cs="Arial"/>
        </w:rPr>
        <w:lastRenderedPageBreak/>
        <w:t xml:space="preserve">either Party may serve a written notice to proceed to mediation in accordance with </w:t>
      </w:r>
      <w:bookmarkStart w:id="1518" w:name="_9kMIH5YVtCIBAGMjLhkhy7sGTRl2uzx9IEK"/>
      <w:r w:rsidRPr="00D00D9A">
        <w:rPr>
          <w:rFonts w:cs="Arial"/>
        </w:rPr>
        <w:t xml:space="preserve">Paragraph </w:t>
      </w:r>
      <w:r w:rsidRPr="00D00D9A">
        <w:rPr>
          <w:rFonts w:cs="Arial"/>
        </w:rPr>
        <w:fldChar w:fldCharType="begin"/>
      </w:r>
      <w:r w:rsidRPr="00D00D9A">
        <w:rPr>
          <w:rFonts w:cs="Arial"/>
        </w:rPr>
        <w:instrText xml:space="preserve"> REF _Ref_ContractCompanion_9kb9Us4AE \w \n \h \t \* MERGEFORMAT </w:instrText>
      </w:r>
      <w:r w:rsidRPr="00D00D9A">
        <w:rPr>
          <w:rFonts w:cs="Arial"/>
        </w:rPr>
      </w:r>
      <w:r w:rsidRPr="00D00D9A">
        <w:rPr>
          <w:rFonts w:cs="Arial"/>
        </w:rPr>
        <w:fldChar w:fldCharType="separate"/>
      </w:r>
      <w:r w:rsidR="007A1473">
        <w:rPr>
          <w:rFonts w:cs="Arial"/>
        </w:rPr>
        <w:t>5</w:t>
      </w:r>
      <w:r w:rsidRPr="00D00D9A">
        <w:rPr>
          <w:rFonts w:cs="Arial"/>
        </w:rPr>
        <w:fldChar w:fldCharType="end"/>
      </w:r>
      <w:bookmarkEnd w:id="1518"/>
      <w:r w:rsidRPr="00D00D9A">
        <w:rPr>
          <w:rFonts w:cs="Arial"/>
        </w:rPr>
        <w:t xml:space="preserve"> (a </w:t>
      </w:r>
      <w:r>
        <w:rPr>
          <w:rFonts w:cs="Arial"/>
        </w:rPr>
        <w:t>“</w:t>
      </w:r>
      <w:r w:rsidRPr="00D00D9A">
        <w:rPr>
          <w:rStyle w:val="StdBodyTextBoldChar"/>
          <w:rFonts w:eastAsiaTheme="majorEastAsia" w:cs="Arial"/>
        </w:rPr>
        <w:t>Mediation Notice</w:t>
      </w:r>
      <w:r>
        <w:rPr>
          <w:rFonts w:cs="Arial"/>
        </w:rPr>
        <w:t>”</w:t>
      </w:r>
      <w:r w:rsidRPr="00D00D9A">
        <w:rPr>
          <w:rFonts w:cs="Arial"/>
        </w:rPr>
        <w:t>).</w:t>
      </w:r>
    </w:p>
    <w:p w14:paraId="7AB13271" w14:textId="77777777" w:rsidR="00F67E9E" w:rsidRPr="00D00D9A" w:rsidRDefault="00F67E9E" w:rsidP="00F67E9E">
      <w:pPr>
        <w:pStyle w:val="Numbered1"/>
      </w:pPr>
      <w:bookmarkStart w:id="1519" w:name="_Ref_ContractCompanion_9kb9Us4AE"/>
      <w:bookmarkStart w:id="1520" w:name="_9kR3WTrAG98EKhJfifw5qERPj0sxv7GCI"/>
      <w:r w:rsidRPr="00154D56">
        <w:t>Mediation</w:t>
      </w:r>
      <w:bookmarkEnd w:id="1519"/>
      <w:bookmarkEnd w:id="1520"/>
    </w:p>
    <w:p w14:paraId="7AE92204" w14:textId="77777777" w:rsidR="00F67E9E" w:rsidRPr="00154D56" w:rsidRDefault="00F67E9E" w:rsidP="00F67E9E">
      <w:pPr>
        <w:pStyle w:val="Numbered11"/>
      </w:pPr>
      <w:r w:rsidRPr="00D00D9A">
        <w:t>If a Mediation Notice is served, the Parties shall attempt to resolve the dispute in accordance with the version of CEDR</w:t>
      </w:r>
      <w:r>
        <w:t>’</w:t>
      </w:r>
      <w:r w:rsidRPr="00D00D9A">
        <w:t xml:space="preserve">s Model Mediation Procedure which is current at the time the Mediation Notice is served (or such other </w:t>
      </w:r>
      <w:r w:rsidRPr="00154D56">
        <w:t xml:space="preserve">version as the Parties may agree). </w:t>
      </w:r>
    </w:p>
    <w:p w14:paraId="5CCAF527" w14:textId="77777777" w:rsidR="00F67E9E" w:rsidRPr="00154D56" w:rsidRDefault="00F67E9E" w:rsidP="00F67E9E">
      <w:pPr>
        <w:pStyle w:val="Numbered11"/>
      </w:pPr>
      <w:bookmarkStart w:id="1521" w:name="_Ref_ContractCompanion_9kb9Us678"/>
      <w:bookmarkStart w:id="1522" w:name="_9kR3WTrAG9ABEJFTEwzlULuE6s30059J0p15EP7"/>
      <w:r w:rsidRPr="00154D56">
        <w:t>If the Parties are unable to agree on the joint appointment of an independent person to mediate the Dispute within 20 Working Days from (and including) the service of a Mediation Notice then either Party may apply to CEDR to nominate such a person.</w:t>
      </w:r>
      <w:bookmarkEnd w:id="1521"/>
      <w:bookmarkEnd w:id="1522"/>
    </w:p>
    <w:p w14:paraId="712BC330" w14:textId="77777777" w:rsidR="00F67E9E" w:rsidRPr="00154D56" w:rsidRDefault="00F67E9E" w:rsidP="00F67E9E">
      <w:pPr>
        <w:pStyle w:val="Numbered11"/>
      </w:pPr>
      <w:r w:rsidRPr="00154D56">
        <w:t>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36EC0977" w14:textId="77777777" w:rsidR="00F67E9E" w:rsidRPr="00D00D9A" w:rsidRDefault="00F67E9E" w:rsidP="00F67E9E">
      <w:pPr>
        <w:pStyle w:val="Numbered11"/>
      </w:pPr>
      <w:r w:rsidRPr="00154D56">
        <w:t>Any settlement reached in the mediation shall not be legally binding until it has been reduced to writing and signed by, or on behalf</w:t>
      </w:r>
      <w:r w:rsidRPr="00D00D9A">
        <w:t xml:space="preserve"> of, the Parties (in accordance with the Change Control Procedure where appropriate). The Mediator shall assist the Parties in recording the outcome of the mediation.</w:t>
      </w:r>
    </w:p>
    <w:p w14:paraId="1833EBFB" w14:textId="77777777" w:rsidR="00F67E9E" w:rsidRPr="00D00D9A" w:rsidRDefault="00F67E9E" w:rsidP="00F67E9E">
      <w:pPr>
        <w:pStyle w:val="Numbered1"/>
      </w:pPr>
      <w:bookmarkStart w:id="1523" w:name="_Ref_ContractCompanion_9kb9Us4AB"/>
      <w:bookmarkStart w:id="1524" w:name="_9kR3WTrAG98EHeJfifw5qERQcBN58OBxEFENFHA"/>
      <w:r w:rsidRPr="00D00D9A">
        <w:t>Expert Determination</w:t>
      </w:r>
      <w:bookmarkEnd w:id="1523"/>
      <w:bookmarkEnd w:id="1524"/>
    </w:p>
    <w:p w14:paraId="1AF0B62E" w14:textId="16C0344D" w:rsidR="00F67E9E" w:rsidRPr="00D00D9A" w:rsidRDefault="00F67E9E" w:rsidP="00F67E9E">
      <w:pPr>
        <w:pStyle w:val="Numbered11"/>
      </w:pPr>
      <w:bookmarkStart w:id="1525" w:name="_Ref_ContractCompanion_9kb9Us6A6"/>
      <w:bookmarkStart w:id="1526" w:name="_9kR3WTrAG9AECFFSEdCF19CH212xu388OL33SGB"/>
      <w:r w:rsidRPr="00D00D9A">
        <w:t xml:space="preserve">If a Dispute relates to any aspect of the technology underlying the provision of the Services or otherwise relates to a technical matter of an IT, accounting or financing nature and the Dispute has not been resolved by commercial negotiation in accordance with </w:t>
      </w:r>
      <w:bookmarkStart w:id="1527" w:name="_9kMJI5YVtCIBAHGcLhkhy7sGTQa2DC5BA215JD7"/>
      <w:r w:rsidRPr="00D00D9A">
        <w:t xml:space="preserve">Paragraph </w:t>
      </w:r>
      <w:r w:rsidRPr="00D00D9A">
        <w:fldChar w:fldCharType="begin"/>
      </w:r>
      <w:r w:rsidRPr="00D00D9A">
        <w:instrText xml:space="preserve"> REF _Ref_ContractCompanion_9kb9Us4AH \w \n \h \t \* MERGEFORMAT </w:instrText>
      </w:r>
      <w:r w:rsidRPr="00D00D9A">
        <w:fldChar w:fldCharType="separate"/>
      </w:r>
      <w:r w:rsidR="007A1473">
        <w:t>4</w:t>
      </w:r>
      <w:r w:rsidRPr="00D00D9A">
        <w:fldChar w:fldCharType="end"/>
      </w:r>
      <w:bookmarkEnd w:id="1527"/>
      <w:r w:rsidRPr="00D00D9A">
        <w:t xml:space="preserve"> or, if applicable, mediation in accordance with </w:t>
      </w:r>
      <w:bookmarkStart w:id="1528" w:name="_9kMJI5YVtCIBAGMjLhkhy7sGTRl2uzx9IEK"/>
      <w:r w:rsidRPr="00D00D9A">
        <w:t xml:space="preserve">Paragraph </w:t>
      </w:r>
      <w:r w:rsidRPr="00D00D9A">
        <w:fldChar w:fldCharType="begin"/>
      </w:r>
      <w:r w:rsidRPr="00D00D9A">
        <w:instrText xml:space="preserve"> REF _Ref_ContractCompanion_9kb9Us4AE \w \n \h \t \* MERGEFORMAT </w:instrText>
      </w:r>
      <w:r w:rsidRPr="00D00D9A">
        <w:fldChar w:fldCharType="separate"/>
      </w:r>
      <w:r w:rsidR="007A1473">
        <w:t>5</w:t>
      </w:r>
      <w:r w:rsidRPr="00D00D9A">
        <w:fldChar w:fldCharType="end"/>
      </w:r>
      <w:bookmarkEnd w:id="1528"/>
      <w:r w:rsidRPr="00D00D9A">
        <w:t>, then either Party may by written notice to the other request (agreement to which request shall not be unreasonably withheld or delayed) that the Dispute be referred to an expert for determination.</w:t>
      </w:r>
      <w:bookmarkEnd w:id="1525"/>
      <w:bookmarkEnd w:id="1526"/>
    </w:p>
    <w:p w14:paraId="1F89CCD1" w14:textId="1D77913C" w:rsidR="00F67E9E" w:rsidRPr="00D00D9A" w:rsidRDefault="00F67E9E" w:rsidP="00F67E9E">
      <w:pPr>
        <w:pStyle w:val="Numbered11"/>
      </w:pPr>
      <w:bookmarkStart w:id="1529" w:name="_Ref_ContractCompanion_9kb9Us66A"/>
      <w:bookmarkStart w:id="1530" w:name="_9kR3WTrAG9AB7DGeRjh1DvyEG5ot5wqq2IICCOG"/>
      <w:r w:rsidRPr="00D00D9A">
        <w:t xml:space="preserve">The expert shall be appointed by agreement in writing between the Parties, but in the event of a failure to agree within 10 Working Days of the relevant request made pursuant to </w:t>
      </w:r>
      <w:bookmarkStart w:id="1531" w:name="_9kMIH5YVtCIBCGEHHUGfEH3BEJ434zw5AAQN55U"/>
      <w:r w:rsidRPr="00D00D9A">
        <w:t xml:space="preserve">Paragraph </w:t>
      </w:r>
      <w:r w:rsidRPr="00D00D9A">
        <w:fldChar w:fldCharType="begin"/>
      </w:r>
      <w:r w:rsidRPr="00D00D9A">
        <w:instrText xml:space="preserve"> REF _Ref_ContractCompanion_9kb9Us6A6 \n \h \t \* MERGEFORMAT </w:instrText>
      </w:r>
      <w:r w:rsidRPr="00D00D9A">
        <w:fldChar w:fldCharType="separate"/>
      </w:r>
      <w:r w:rsidR="007A1473">
        <w:t>6.1</w:t>
      </w:r>
      <w:r w:rsidRPr="00D00D9A">
        <w:fldChar w:fldCharType="end"/>
      </w:r>
      <w:bookmarkEnd w:id="1531"/>
      <w:r w:rsidRPr="00D00D9A">
        <w:t>, or if the person appointed is unable or unwilling to act, the expert shall be appointed:</w:t>
      </w:r>
      <w:bookmarkEnd w:id="1529"/>
      <w:bookmarkEnd w:id="1530"/>
    </w:p>
    <w:p w14:paraId="04833A0F" w14:textId="77777777" w:rsidR="00F67E9E" w:rsidRPr="00154D56" w:rsidRDefault="00F67E9E" w:rsidP="00F67E9E">
      <w:pPr>
        <w:pStyle w:val="Numbered111"/>
      </w:pPr>
      <w:bookmarkStart w:id="1532" w:name="_9kR3WTrAG9AFIKGlflx0mJI4CFK5450x6BBRO66"/>
      <w:bookmarkStart w:id="1533" w:name="_Ref_ContractCompanion_9kb9Us6BC"/>
      <w:r w:rsidRPr="00D00D9A">
        <w:t xml:space="preserve">if the Dispute relates to any aspect of the technology underlying the provision of the Services or a matter of an IT technical nature, on the instructions of the President of the British Computer Society (or any other association that has replaced the British </w:t>
      </w:r>
      <w:r w:rsidRPr="00154D56">
        <w:t>Computer Society);</w:t>
      </w:r>
      <w:bookmarkEnd w:id="1532"/>
      <w:r w:rsidRPr="00154D56">
        <w:t xml:space="preserve"> </w:t>
      </w:r>
      <w:bookmarkEnd w:id="1533"/>
    </w:p>
    <w:p w14:paraId="3956F38B" w14:textId="77777777" w:rsidR="00F67E9E" w:rsidRPr="00154D56" w:rsidRDefault="00F67E9E" w:rsidP="00F67E9E">
      <w:pPr>
        <w:pStyle w:val="Numbered111"/>
      </w:pPr>
      <w:bookmarkStart w:id="1534" w:name="_Ref_ContractCompanion_9kb9Ur269"/>
      <w:r w:rsidRPr="00154D56">
        <w:t>if the Dispute relates to a matter of a financial technical nature, on the instructions of the President of the Institute of Chartered Accountants of England and Wales; or</w:t>
      </w:r>
      <w:bookmarkEnd w:id="1534"/>
    </w:p>
    <w:p w14:paraId="57C9E7C6" w14:textId="34668D51" w:rsidR="00F67E9E" w:rsidRPr="00D00D9A" w:rsidRDefault="00F67E9E" w:rsidP="00F67E9E">
      <w:pPr>
        <w:pStyle w:val="Numbered111"/>
      </w:pPr>
      <w:r w:rsidRPr="00154D56">
        <w:t>if the Dispute relates to a</w:t>
      </w:r>
      <w:r w:rsidRPr="00D00D9A">
        <w:t xml:space="preserve"> matter of a technical nature not falling within </w:t>
      </w:r>
      <w:bookmarkStart w:id="1535" w:name="_9kMHG5YVtCIBCHKMInhnz2oLK6EHM7672z8DDTQ"/>
      <w:r w:rsidRPr="00D00D9A">
        <w:t xml:space="preserve">Paragraphs </w:t>
      </w:r>
      <w:r w:rsidRPr="00D00D9A">
        <w:fldChar w:fldCharType="begin"/>
      </w:r>
      <w:r w:rsidRPr="00D00D9A">
        <w:instrText xml:space="preserve"> REF _Ref_ContractCompanion_9kb9Us6BC \w \h \t \* MERGEFORMAT </w:instrText>
      </w:r>
      <w:r w:rsidRPr="00D00D9A">
        <w:fldChar w:fldCharType="separate"/>
      </w:r>
      <w:r w:rsidR="007A1473">
        <w:t>6.2.1</w:t>
      </w:r>
      <w:r w:rsidRPr="00D00D9A">
        <w:fldChar w:fldCharType="end"/>
      </w:r>
      <w:bookmarkEnd w:id="1535"/>
      <w:r w:rsidRPr="00D00D9A">
        <w:t xml:space="preserve"> or </w:t>
      </w:r>
      <w:bookmarkStart w:id="1536" w:name="_9kR3WTr2CC6AFo"/>
      <w:r w:rsidRPr="00D00D9A">
        <w:fldChar w:fldCharType="begin"/>
      </w:r>
      <w:r w:rsidRPr="00D00D9A">
        <w:instrText xml:space="preserve"> REF _Ref_ContractCompanion_9kb9Ur269 \w \n \h \t \* MERGEFORMAT </w:instrText>
      </w:r>
      <w:r w:rsidRPr="00D00D9A">
        <w:fldChar w:fldCharType="separate"/>
      </w:r>
      <w:r w:rsidR="007A1473">
        <w:t>6.2.2</w:t>
      </w:r>
      <w:r w:rsidRPr="00D00D9A">
        <w:fldChar w:fldCharType="end"/>
      </w:r>
      <w:bookmarkEnd w:id="1536"/>
      <w:r w:rsidRPr="00D00D9A">
        <w:t>, on the instructions of the president (or equivalent) of:</w:t>
      </w:r>
    </w:p>
    <w:p w14:paraId="77CD6D52" w14:textId="77777777" w:rsidR="00F67E9E" w:rsidRPr="00154D56" w:rsidRDefault="00F67E9E" w:rsidP="00F67E9E">
      <w:pPr>
        <w:pStyle w:val="Numbered111a"/>
      </w:pPr>
      <w:r w:rsidRPr="00D00D9A">
        <w:t xml:space="preserve">an </w:t>
      </w:r>
      <w:r w:rsidRPr="00154D56">
        <w:t>appropriate body agreed between the Parties; or</w:t>
      </w:r>
    </w:p>
    <w:p w14:paraId="1EE7CD31" w14:textId="33F53BCB" w:rsidR="00F67E9E" w:rsidRPr="00D00D9A" w:rsidRDefault="00F67E9E" w:rsidP="00F67E9E">
      <w:pPr>
        <w:pStyle w:val="Numbered111a"/>
      </w:pPr>
      <w:r w:rsidRPr="00154D56">
        <w:lastRenderedPageBreak/>
        <w:t>if the Parties do not reach agreement on the relevant body within 15 Working</w:t>
      </w:r>
      <w:r w:rsidRPr="00D00D9A">
        <w:t xml:space="preserve"> Days of the relevant request made pursuant to </w:t>
      </w:r>
      <w:bookmarkStart w:id="1537" w:name="_9kMJI5YVtCIBCGEHHUGfEH3BEJ434zw5AAQN55U"/>
      <w:r w:rsidRPr="00D00D9A">
        <w:t>Paragraph</w:t>
      </w:r>
      <w:r>
        <w:t> </w:t>
      </w:r>
      <w:r w:rsidRPr="00D00D9A">
        <w:fldChar w:fldCharType="begin"/>
      </w:r>
      <w:r w:rsidRPr="00D00D9A">
        <w:instrText xml:space="preserve"> REF _Ref_ContractCompanion_9kb9Us6A6 \n \h \t \* MERGEFORMAT </w:instrText>
      </w:r>
      <w:r w:rsidRPr="00D00D9A">
        <w:fldChar w:fldCharType="separate"/>
      </w:r>
      <w:r w:rsidR="007A1473">
        <w:t>6.1</w:t>
      </w:r>
      <w:r w:rsidRPr="00D00D9A">
        <w:fldChar w:fldCharType="end"/>
      </w:r>
      <w:bookmarkEnd w:id="1537"/>
      <w:r w:rsidRPr="00D00D9A">
        <w:t>, such body as may be specified by the President of the Law Society on application by either Party.</w:t>
      </w:r>
    </w:p>
    <w:p w14:paraId="3DB78194" w14:textId="77777777" w:rsidR="00F67E9E" w:rsidRPr="00D00D9A" w:rsidRDefault="00F67E9E" w:rsidP="00F67E9E">
      <w:pPr>
        <w:pStyle w:val="Numbered11"/>
      </w:pPr>
      <w:r w:rsidRPr="00D00D9A">
        <w:t>The Expert shall act on the following basis:</w:t>
      </w:r>
    </w:p>
    <w:p w14:paraId="43F2EE1F" w14:textId="28936201" w:rsidR="00F67E9E" w:rsidRPr="00D00D9A" w:rsidRDefault="00A10006" w:rsidP="00F67E9E">
      <w:pPr>
        <w:pStyle w:val="Numbered111"/>
      </w:pPr>
      <w:r>
        <w:t>they</w:t>
      </w:r>
      <w:r w:rsidR="00F67E9E" w:rsidRPr="00D00D9A">
        <w:t xml:space="preserve"> shall act as an expert and not as an arbitrator and shall act fairly and impartially;</w:t>
      </w:r>
    </w:p>
    <w:p w14:paraId="59A5EF8E" w14:textId="77777777" w:rsidR="00F67E9E" w:rsidRPr="00D00D9A" w:rsidRDefault="00F67E9E" w:rsidP="00F67E9E">
      <w:pPr>
        <w:pStyle w:val="Numbered111"/>
      </w:pPr>
      <w:r w:rsidRPr="00D00D9A">
        <w:t>the Expert</w:t>
      </w:r>
      <w:r>
        <w:t>’</w:t>
      </w:r>
      <w:r w:rsidRPr="00D00D9A">
        <w:t>s determination shall (in the absence of a material failure to follow the agreed procedures) be final and binding on the Parties;</w:t>
      </w:r>
    </w:p>
    <w:p w14:paraId="4DE401B0" w14:textId="77777777" w:rsidR="00F67E9E" w:rsidRPr="00D00D9A" w:rsidRDefault="00F67E9E" w:rsidP="00F67E9E">
      <w:pPr>
        <w:pStyle w:val="Numbered111"/>
      </w:pPr>
      <w:r w:rsidRPr="00D00D9A">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3F219461" w14:textId="77777777" w:rsidR="00F67E9E" w:rsidRPr="00D00D9A" w:rsidRDefault="00F67E9E" w:rsidP="00F67E9E">
      <w:pPr>
        <w:pStyle w:val="Numbered111"/>
      </w:pPr>
      <w:r w:rsidRPr="00D00D9A">
        <w:t>any amount payable by one Party to another as a result of the Expert</w:t>
      </w:r>
      <w:r>
        <w:t>’</w:t>
      </w:r>
      <w:r w:rsidRPr="00D00D9A">
        <w:t>s determination shall be due and payable within 20 Working Days of the Expert</w:t>
      </w:r>
      <w:r>
        <w:t>’</w:t>
      </w:r>
      <w:r w:rsidRPr="00D00D9A">
        <w:t>s determination being notified to the Parties;</w:t>
      </w:r>
    </w:p>
    <w:p w14:paraId="0646261B" w14:textId="77777777" w:rsidR="00F67E9E" w:rsidRPr="00D00D9A" w:rsidRDefault="00F67E9E" w:rsidP="00F67E9E">
      <w:pPr>
        <w:pStyle w:val="Numbered111"/>
      </w:pPr>
      <w:r w:rsidRPr="00D00D9A">
        <w:t>the process shall be conducted in private and shall be confidential; and</w:t>
      </w:r>
    </w:p>
    <w:p w14:paraId="4C309D9E" w14:textId="77777777" w:rsidR="00F67E9E" w:rsidRPr="00D00D9A" w:rsidRDefault="00F67E9E" w:rsidP="00F67E9E">
      <w:pPr>
        <w:pStyle w:val="Numbered111"/>
      </w:pPr>
      <w:r w:rsidRPr="00D00D9A">
        <w:t>the Expert shall determine how and by whom the costs of the determination, including his/her fees and expenses, are to be paid.</w:t>
      </w:r>
    </w:p>
    <w:p w14:paraId="001B9F01" w14:textId="77777777" w:rsidR="00F67E9E" w:rsidRPr="00D00D9A" w:rsidRDefault="00F67E9E" w:rsidP="00F67E9E">
      <w:pPr>
        <w:pStyle w:val="Numbered1"/>
      </w:pPr>
      <w:bookmarkStart w:id="1538" w:name="_Ref_ContractCompanion_9kb9Us4A8"/>
      <w:bookmarkStart w:id="1539" w:name="_9kR3WTrAG98EEbJfifw5qERRZ13vEO69IEK"/>
      <w:r w:rsidRPr="00D00D9A">
        <w:t>Arbitration</w:t>
      </w:r>
      <w:bookmarkEnd w:id="1538"/>
      <w:bookmarkEnd w:id="1539"/>
    </w:p>
    <w:p w14:paraId="3EAF8C5B" w14:textId="26A0695D" w:rsidR="00F67E9E" w:rsidRPr="00D00D9A" w:rsidRDefault="00F67E9E" w:rsidP="00F67E9E">
      <w:pPr>
        <w:pStyle w:val="Numbered11"/>
      </w:pPr>
      <w:bookmarkStart w:id="1540" w:name="_Ref_ContractCompanion_9kb9Us6C9"/>
      <w:bookmarkStart w:id="1541" w:name="_9kR3WTrAG9AGFHGcdtjnhxFBvw7993tz2uFKII8"/>
      <w:r w:rsidRPr="00D00D9A">
        <w:t xml:space="preserve">Subject to compliance with its obligations under </w:t>
      </w:r>
      <w:bookmarkStart w:id="1542" w:name="_9kMIH5YVtCIBCHHHFRMzx1D80z68u677PHzw9By"/>
      <w:r w:rsidRPr="00D00D9A">
        <w:t xml:space="preserve">Paragraph </w:t>
      </w:r>
      <w:r w:rsidRPr="00D00D9A">
        <w:fldChar w:fldCharType="begin"/>
      </w:r>
      <w:r w:rsidRPr="00D00D9A">
        <w:instrText xml:space="preserve"> REF _Ref_ContractCompanion_9kb9Us6B9 \n \h \t \* MERGEFORMAT </w:instrText>
      </w:r>
      <w:r w:rsidRPr="00D00D9A">
        <w:fldChar w:fldCharType="separate"/>
      </w:r>
      <w:r w:rsidR="007A1473">
        <w:t>4.1</w:t>
      </w:r>
      <w:r w:rsidRPr="00D00D9A">
        <w:fldChar w:fldCharType="end"/>
      </w:r>
      <w:bookmarkEnd w:id="1542"/>
      <w:r w:rsidRPr="00D00D9A">
        <w:t xml:space="preserve"> and to the provisions of </w:t>
      </w:r>
      <w:bookmarkStart w:id="1543" w:name="_9kMJI5YVtCIBAGJgLhkhy7sGTSeDP7AQDzGHGPH"/>
      <w:r w:rsidRPr="00D00D9A">
        <w:t xml:space="preserve">Paragraph </w:t>
      </w:r>
      <w:r w:rsidRPr="00D00D9A">
        <w:fldChar w:fldCharType="begin"/>
      </w:r>
      <w:r w:rsidRPr="00D00D9A">
        <w:instrText xml:space="preserve"> REF _Ref_ContractCompanion_9kb9Us4AB \w \n \h \t \* MERGEFORMAT </w:instrText>
      </w:r>
      <w:r w:rsidRPr="00D00D9A">
        <w:fldChar w:fldCharType="separate"/>
      </w:r>
      <w:r w:rsidR="007A1473">
        <w:t>6</w:t>
      </w:r>
      <w:r w:rsidRPr="00D00D9A">
        <w:fldChar w:fldCharType="end"/>
      </w:r>
      <w:bookmarkEnd w:id="1543"/>
      <w:r w:rsidRPr="00D00D9A">
        <w:t xml:space="preserve">, the Authority may at any time before court proceedings are commenced refer the Dispute to </w:t>
      </w:r>
      <w:r w:rsidRPr="00154D56">
        <w:t>arbitration</w:t>
      </w:r>
      <w:r w:rsidRPr="00D00D9A">
        <w:t xml:space="preserve"> in accordance with the provisions of </w:t>
      </w:r>
      <w:bookmarkStart w:id="1544" w:name="_9kMHG5YVtCIBCIEGMjTlULuE6s37u56rCE5H95I"/>
      <w:r w:rsidRPr="00D00D9A">
        <w:t xml:space="preserve">Paragraph </w:t>
      </w:r>
      <w:r w:rsidRPr="00D00D9A">
        <w:fldChar w:fldCharType="begin"/>
      </w:r>
      <w:r w:rsidRPr="00D00D9A">
        <w:instrText xml:space="preserve"> REF _Ref_ContractCompanion_9kb9Us6BF \n \h \t \* MERGEFORMAT </w:instrText>
      </w:r>
      <w:r w:rsidRPr="00D00D9A">
        <w:fldChar w:fldCharType="separate"/>
      </w:r>
      <w:r w:rsidR="007A1473">
        <w:t>7.5</w:t>
      </w:r>
      <w:r w:rsidRPr="00D00D9A">
        <w:fldChar w:fldCharType="end"/>
      </w:r>
      <w:bookmarkEnd w:id="1544"/>
      <w:r w:rsidRPr="00D00D9A">
        <w:t>.</w:t>
      </w:r>
      <w:bookmarkEnd w:id="1540"/>
      <w:bookmarkEnd w:id="1541"/>
    </w:p>
    <w:p w14:paraId="6FA8523A" w14:textId="4A111311" w:rsidR="00F67E9E" w:rsidRPr="00D00D9A" w:rsidRDefault="00F67E9E" w:rsidP="00F67E9E">
      <w:pPr>
        <w:pStyle w:val="Numbered11"/>
      </w:pPr>
      <w:bookmarkStart w:id="1545" w:name="_9kR3WTrAHAAAAIHM6hs5wz3pbmGC93x764FE798"/>
      <w:bookmarkStart w:id="1546" w:name="_9kR3WTrAG9AADLHM6hs5wz3pbmGC93x764FE798"/>
      <w:bookmarkStart w:id="1547" w:name="_Ref_ContractCompanion_9kb9Us664"/>
      <w:bookmarkStart w:id="1548" w:name="_Ref_ContractCompanion_9kb9Us667"/>
      <w:r w:rsidRPr="00D00D9A">
        <w:t xml:space="preserve">Before the Supplier commences court proceedings or arbitration, it shall serve written notice on the Authority of its intentions and the Authority shall have 15 Working Days following receipt of such notice to serve a reply (a </w:t>
      </w:r>
      <w:r>
        <w:t>“</w:t>
      </w:r>
      <w:r w:rsidRPr="00D00D9A">
        <w:rPr>
          <w:rStyle w:val="StdBodyTextBoldChar"/>
          <w:rFonts w:eastAsiaTheme="majorEastAsia" w:cs="Arial"/>
        </w:rPr>
        <w:t>Counter</w:t>
      </w:r>
      <w:r w:rsidRPr="00D00D9A">
        <w:t xml:space="preserve"> </w:t>
      </w:r>
      <w:r w:rsidRPr="00D00D9A">
        <w:rPr>
          <w:rStyle w:val="StdBodyTextBoldChar"/>
          <w:rFonts w:eastAsiaTheme="majorEastAsia" w:cs="Arial"/>
        </w:rPr>
        <w:t>Notice</w:t>
      </w:r>
      <w:r>
        <w:t>”</w:t>
      </w:r>
      <w:r w:rsidRPr="00D00D9A">
        <w:t xml:space="preserve">) on the Supplier requiring the Dispute to be referred to and resolved by arbitration in accordance with </w:t>
      </w:r>
      <w:bookmarkStart w:id="1549" w:name="_9kMIH5YVtCIBCIEGMjTlULuE6s37u56rCE5H95I"/>
      <w:r w:rsidRPr="00D00D9A">
        <w:t xml:space="preserve">Paragraph </w:t>
      </w:r>
      <w:r w:rsidRPr="00D00D9A">
        <w:fldChar w:fldCharType="begin"/>
      </w:r>
      <w:r w:rsidRPr="00D00D9A">
        <w:instrText xml:space="preserve"> REF _Ref_ContractCompanion_9kb9Us6BF \n \h \t \* MERGEFORMAT </w:instrText>
      </w:r>
      <w:r w:rsidRPr="00D00D9A">
        <w:fldChar w:fldCharType="separate"/>
      </w:r>
      <w:r w:rsidR="007A1473">
        <w:t>7.5</w:t>
      </w:r>
      <w:r w:rsidRPr="00D00D9A">
        <w:fldChar w:fldCharType="end"/>
      </w:r>
      <w:bookmarkEnd w:id="1549"/>
      <w:r w:rsidRPr="00D00D9A">
        <w:t xml:space="preserve"> or be subject to the exclusive jurisdiction of the courts of England and Wales.</w:t>
      </w:r>
      <w:bookmarkEnd w:id="1545"/>
      <w:bookmarkEnd w:id="1546"/>
      <w:r w:rsidRPr="00D00D9A">
        <w:t xml:space="preserve"> The Supplier shall not commence any court proceedings or arbitration until the expiry of such 15 Working Day period. </w:t>
      </w:r>
      <w:bookmarkEnd w:id="1547"/>
      <w:bookmarkEnd w:id="1548"/>
    </w:p>
    <w:p w14:paraId="27677B20" w14:textId="77777777" w:rsidR="00F67E9E" w:rsidRPr="00D00D9A" w:rsidRDefault="00F67E9E" w:rsidP="00F67E9E">
      <w:pPr>
        <w:pStyle w:val="Numbered11"/>
      </w:pPr>
      <w:r w:rsidRPr="00D00D9A">
        <w:t>If the Authority serves a Counter Notice, then:</w:t>
      </w:r>
    </w:p>
    <w:p w14:paraId="47EB3E6F" w14:textId="02C648FD" w:rsidR="00F67E9E" w:rsidRPr="00154D56" w:rsidRDefault="00F67E9E" w:rsidP="00F67E9E">
      <w:pPr>
        <w:pStyle w:val="Numbered111"/>
      </w:pPr>
      <w:r w:rsidRPr="00D00D9A">
        <w:t xml:space="preserve">if the Counter Notice requires the Dispute to be referred to arbitration, the </w:t>
      </w:r>
      <w:r w:rsidRPr="00154D56">
        <w:t xml:space="preserve">provisions of </w:t>
      </w:r>
      <w:bookmarkStart w:id="1550" w:name="_9kMJI5YVtCIBCIEGMjTlULuE6s37u56rCE5H95I"/>
      <w:r w:rsidRPr="00154D56">
        <w:t xml:space="preserve">Paragraph </w:t>
      </w:r>
      <w:r w:rsidRPr="00154D56">
        <w:fldChar w:fldCharType="begin"/>
      </w:r>
      <w:r w:rsidRPr="00154D56">
        <w:instrText xml:space="preserve"> REF _Ref_ContractCompanion_9kb9Us6BF \n \h \t \* MERGEFORMAT </w:instrText>
      </w:r>
      <w:r w:rsidRPr="00154D56">
        <w:fldChar w:fldCharType="separate"/>
      </w:r>
      <w:r w:rsidR="007A1473">
        <w:t>7.5</w:t>
      </w:r>
      <w:r w:rsidRPr="00154D56">
        <w:fldChar w:fldCharType="end"/>
      </w:r>
      <w:bookmarkEnd w:id="1550"/>
      <w:r w:rsidRPr="00154D56">
        <w:t xml:space="preserve"> shall apply; or</w:t>
      </w:r>
    </w:p>
    <w:p w14:paraId="26C710ED" w14:textId="77777777" w:rsidR="00F67E9E" w:rsidRPr="00D00D9A" w:rsidRDefault="00F67E9E" w:rsidP="00F67E9E">
      <w:pPr>
        <w:pStyle w:val="Numbered111"/>
      </w:pPr>
      <w:r w:rsidRPr="00154D56">
        <w:t>if the Counter Notice requires the Dispute to be subject to the exclusive jurisdiction of the courts of England and Wales, the Dispute shall be so referred to those courts and</w:t>
      </w:r>
      <w:r w:rsidRPr="00D00D9A">
        <w:t xml:space="preserve"> the Supplier shall not commence arbitration proceedings.</w:t>
      </w:r>
    </w:p>
    <w:p w14:paraId="3DE11D74" w14:textId="45FCD729" w:rsidR="00F67E9E" w:rsidRPr="00D00D9A" w:rsidRDefault="00F67E9E" w:rsidP="00F67E9E">
      <w:pPr>
        <w:pStyle w:val="Numbered11"/>
      </w:pPr>
      <w:bookmarkStart w:id="1551" w:name="_Ref44067175"/>
      <w:r w:rsidRPr="00D00D9A">
        <w:t xml:space="preserve">If the Authority does not serve a Counter Notice within the 15 Working Day period referred to in </w:t>
      </w:r>
      <w:bookmarkStart w:id="1552" w:name="_9kMJI5YVtCIBCCFNJO8ju7y15rdoIEB5z986HG9"/>
      <w:r w:rsidRPr="00D00D9A">
        <w:t xml:space="preserve">Paragraph </w:t>
      </w:r>
      <w:r w:rsidRPr="00D00D9A">
        <w:fldChar w:fldCharType="begin"/>
      </w:r>
      <w:r w:rsidRPr="00D00D9A">
        <w:instrText xml:space="preserve"> REF _Ref_ContractCompanion_9kb9Us667 \n \h \t \* MERGEFORMAT </w:instrText>
      </w:r>
      <w:r w:rsidRPr="00D00D9A">
        <w:fldChar w:fldCharType="separate"/>
      </w:r>
      <w:r w:rsidR="007A1473">
        <w:t>7.2</w:t>
      </w:r>
      <w:r w:rsidRPr="00D00D9A">
        <w:fldChar w:fldCharType="end"/>
      </w:r>
      <w:bookmarkEnd w:id="1552"/>
      <w:r w:rsidRPr="00D00D9A">
        <w:t xml:space="preserve">, the Supplier may either commence arbitration proceedings </w:t>
      </w:r>
      <w:r w:rsidRPr="00D00D9A">
        <w:lastRenderedPageBreak/>
        <w:t xml:space="preserve">in accordance with </w:t>
      </w:r>
      <w:bookmarkStart w:id="1553" w:name="_9kMKJ5YVtCIBCIEGMjTlULuE6s37u56rCE5H95I"/>
      <w:r w:rsidRPr="00D00D9A">
        <w:t xml:space="preserve">Paragraph </w:t>
      </w:r>
      <w:r w:rsidRPr="00D00D9A">
        <w:fldChar w:fldCharType="begin"/>
      </w:r>
      <w:r w:rsidRPr="00D00D9A">
        <w:instrText xml:space="preserve"> REF _Ref_ContractCompanion_9kb9Us6BF \n \h \t \* MERGEFORMAT </w:instrText>
      </w:r>
      <w:r w:rsidRPr="00D00D9A">
        <w:fldChar w:fldCharType="separate"/>
      </w:r>
      <w:r w:rsidR="007A1473">
        <w:t>7.5</w:t>
      </w:r>
      <w:r w:rsidRPr="00D00D9A">
        <w:fldChar w:fldCharType="end"/>
      </w:r>
      <w:bookmarkEnd w:id="1553"/>
      <w:r w:rsidRPr="00D00D9A">
        <w:t xml:space="preserve"> or commence court proceedings in the Courts of England and Wales which shall (in those circumstances) have exclusive jurisdiction.</w:t>
      </w:r>
      <w:bookmarkEnd w:id="1551"/>
    </w:p>
    <w:p w14:paraId="0033BE51" w14:textId="7298B9CA" w:rsidR="00F67E9E" w:rsidRPr="00D00D9A" w:rsidRDefault="00F67E9E" w:rsidP="00F67E9E">
      <w:pPr>
        <w:pStyle w:val="Numbered11"/>
      </w:pPr>
      <w:bookmarkStart w:id="1554" w:name="_Ref_ContractCompanion_9kb9Us6BF"/>
      <w:bookmarkStart w:id="1555" w:name="_9kR3WTrAG9AGCEKhRjSJsC4q15s34pAC3F73GLO"/>
      <w:r w:rsidRPr="00D00D9A">
        <w:t xml:space="preserve">The Parties hereby confirm that if any arbitration proceedings are commenced pursuant to </w:t>
      </w:r>
      <w:bookmarkStart w:id="1556" w:name="_9kMHG5YVtCIBCIHJIefvlpjzHDxy9BB5v14wHMK"/>
      <w:r w:rsidRPr="00D00D9A">
        <w:t xml:space="preserve">Paragraphs </w:t>
      </w:r>
      <w:r w:rsidRPr="00D00D9A">
        <w:fldChar w:fldCharType="begin"/>
      </w:r>
      <w:r w:rsidRPr="00D00D9A">
        <w:instrText xml:space="preserve"> REF _Ref_ContractCompanion_9kb9Us6C9 \n \h \t \* MERGEFORMAT </w:instrText>
      </w:r>
      <w:r w:rsidRPr="00D00D9A">
        <w:fldChar w:fldCharType="separate"/>
      </w:r>
      <w:r w:rsidR="007A1473">
        <w:t>7.1</w:t>
      </w:r>
      <w:r w:rsidRPr="00D00D9A">
        <w:fldChar w:fldCharType="end"/>
      </w:r>
      <w:bookmarkEnd w:id="1556"/>
      <w:r w:rsidRPr="00D00D9A">
        <w:t xml:space="preserve"> to </w:t>
      </w:r>
      <w:r w:rsidRPr="00D00D9A">
        <w:fldChar w:fldCharType="begin"/>
      </w:r>
      <w:r w:rsidRPr="00D00D9A">
        <w:instrText xml:space="preserve"> REF _Ref44067175 \r \h  \* MERGEFORMAT </w:instrText>
      </w:r>
      <w:r w:rsidRPr="00D00D9A">
        <w:fldChar w:fldCharType="separate"/>
      </w:r>
      <w:r w:rsidR="007A1473">
        <w:t>7.4</w:t>
      </w:r>
      <w:r w:rsidRPr="00D00D9A">
        <w:fldChar w:fldCharType="end"/>
      </w:r>
      <w:r w:rsidRPr="00D00D9A">
        <w:t>:</w:t>
      </w:r>
      <w:bookmarkEnd w:id="1554"/>
      <w:bookmarkEnd w:id="1555"/>
    </w:p>
    <w:p w14:paraId="5C18CE5D" w14:textId="2841A4D4" w:rsidR="00F67E9E" w:rsidRPr="00154D56" w:rsidRDefault="00F67E9E" w:rsidP="00F67E9E">
      <w:pPr>
        <w:pStyle w:val="Numbered111"/>
      </w:pPr>
      <w:r w:rsidRPr="00D00D9A">
        <w:t>the Dispute shall be referred to and finally resolved by arbitration under the Rules of the London Court of International Arbitration (</w:t>
      </w:r>
      <w:r>
        <w:t>“</w:t>
      </w:r>
      <w:r w:rsidRPr="00D00D9A">
        <w:rPr>
          <w:rStyle w:val="StdBodyTextBoldChar"/>
          <w:rFonts w:eastAsiaTheme="majorEastAsia" w:cs="Arial"/>
        </w:rPr>
        <w:t>LCIA</w:t>
      </w:r>
      <w:r>
        <w:t>”</w:t>
      </w:r>
      <w:r w:rsidRPr="00D00D9A">
        <w:t xml:space="preserve">) (subject to </w:t>
      </w:r>
      <w:bookmarkStart w:id="1557" w:name="_9kMHG5YVtCIBCIKMMuw0mimln5C17Awq46yHR94"/>
      <w:r w:rsidRPr="00D00D9A">
        <w:t xml:space="preserve">Paragraphs </w:t>
      </w:r>
      <w:r w:rsidRPr="00D00D9A">
        <w:fldChar w:fldCharType="begin"/>
      </w:r>
      <w:r w:rsidRPr="00D00D9A">
        <w:instrText xml:space="preserve"> REF _Ref_ContractCompanion_9kb9Us6CC \w \h \t \* MERGEFORMAT </w:instrText>
      </w:r>
      <w:r w:rsidRPr="00D00D9A">
        <w:fldChar w:fldCharType="separate"/>
      </w:r>
      <w:r w:rsidR="007A1473">
        <w:t>7.5.5</w:t>
      </w:r>
      <w:r w:rsidRPr="00D00D9A">
        <w:fldChar w:fldCharType="end"/>
      </w:r>
      <w:bookmarkEnd w:id="1557"/>
      <w:r w:rsidRPr="00D00D9A">
        <w:t xml:space="preserve">, </w:t>
      </w:r>
      <w:bookmarkStart w:id="1558" w:name="_9kR3WTr2CC6AIv"/>
      <w:r w:rsidRPr="00D00D9A">
        <w:fldChar w:fldCharType="begin"/>
      </w:r>
      <w:r w:rsidRPr="00D00D9A">
        <w:instrText xml:space="preserve"> REF _Ref_ContractCompanion_9kb9Ur26C \w \n \h \t \* MERGEFORMAT </w:instrText>
      </w:r>
      <w:r w:rsidRPr="00D00D9A">
        <w:fldChar w:fldCharType="separate"/>
      </w:r>
      <w:r w:rsidR="007A1473">
        <w:t>7.5.6</w:t>
      </w:r>
      <w:r w:rsidRPr="00D00D9A">
        <w:fldChar w:fldCharType="end"/>
      </w:r>
      <w:bookmarkEnd w:id="1558"/>
      <w:r w:rsidRPr="00D00D9A">
        <w:t xml:space="preserve"> and </w:t>
      </w:r>
      <w:bookmarkStart w:id="1559" w:name="_9kR3WTr2CC6BCp"/>
      <w:r w:rsidRPr="00154D56">
        <w:fldChar w:fldCharType="begin"/>
      </w:r>
      <w:r w:rsidRPr="00154D56">
        <w:instrText xml:space="preserve"> REF _Ref_ContractCompanion_9kb9Ur276 \w \n \h \t \* MERGEFORMAT </w:instrText>
      </w:r>
      <w:r w:rsidRPr="00154D56">
        <w:fldChar w:fldCharType="separate"/>
      </w:r>
      <w:r w:rsidR="007A1473">
        <w:t>7.5.7</w:t>
      </w:r>
      <w:r w:rsidRPr="00154D56">
        <w:fldChar w:fldCharType="end"/>
      </w:r>
      <w:bookmarkEnd w:id="1559"/>
      <w:r w:rsidRPr="00154D56">
        <w:t xml:space="preserve">); </w:t>
      </w:r>
    </w:p>
    <w:p w14:paraId="3EB1B4AE" w14:textId="77777777" w:rsidR="00F67E9E" w:rsidRPr="00154D56" w:rsidRDefault="00F67E9E" w:rsidP="00F67E9E">
      <w:pPr>
        <w:pStyle w:val="Numbered111"/>
      </w:pPr>
      <w:r w:rsidRPr="00154D56">
        <w:t>the arbitration shall be administered by the LCIA;</w:t>
      </w:r>
    </w:p>
    <w:p w14:paraId="426D58D8" w14:textId="77777777" w:rsidR="00F67E9E" w:rsidRPr="00154D56" w:rsidRDefault="00F67E9E" w:rsidP="00F67E9E">
      <w:pPr>
        <w:pStyle w:val="Numbered111"/>
      </w:pPr>
      <w:r w:rsidRPr="00154D56">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14:paraId="77F623F1" w14:textId="77777777" w:rsidR="00F67E9E" w:rsidRPr="00154D56" w:rsidRDefault="00F67E9E" w:rsidP="00F67E9E">
      <w:pPr>
        <w:pStyle w:val="Numbered111"/>
      </w:pPr>
      <w:r w:rsidRPr="00154D56">
        <w:t xml:space="preserve">if the Parties fail to agree the appointment of the arbitrator within 10 Working Days from the date on which arbitration proceedings are commenced or if the person appointed is unable or unwilling to act, the arbitrator shall be appointed by the LCIA; </w:t>
      </w:r>
    </w:p>
    <w:p w14:paraId="38CDCDB6" w14:textId="77777777" w:rsidR="00F67E9E" w:rsidRPr="00154D56" w:rsidRDefault="00F67E9E" w:rsidP="00F67E9E">
      <w:pPr>
        <w:pStyle w:val="Numbered111"/>
      </w:pPr>
      <w:bookmarkStart w:id="1560" w:name="_Ref_ContractCompanion_9kb9Us6CC"/>
      <w:bookmarkStart w:id="1561" w:name="_9kR3WTrAG9AGIKKsuykgkjl3Az58uo24wFP72MT"/>
      <w:r w:rsidRPr="00154D56">
        <w:t>the chair of the arbitral tribunal shall be British;</w:t>
      </w:r>
      <w:bookmarkEnd w:id="1560"/>
      <w:bookmarkEnd w:id="1561"/>
    </w:p>
    <w:p w14:paraId="4A598E04" w14:textId="77777777" w:rsidR="00F67E9E" w:rsidRPr="00154D56" w:rsidRDefault="00F67E9E" w:rsidP="00F67E9E">
      <w:pPr>
        <w:pStyle w:val="Numbered111"/>
      </w:pPr>
      <w:bookmarkStart w:id="1562" w:name="_Ref_ContractCompanion_9kb9Ur26C"/>
      <w:r w:rsidRPr="00154D56">
        <w:t>the arbitration proceedings shall take place in London and in the English language; and</w:t>
      </w:r>
      <w:bookmarkEnd w:id="1562"/>
    </w:p>
    <w:p w14:paraId="68AA138E" w14:textId="77777777" w:rsidR="00F67E9E" w:rsidRPr="00D00D9A" w:rsidRDefault="00F67E9E" w:rsidP="00F67E9E">
      <w:pPr>
        <w:pStyle w:val="Numbered111"/>
      </w:pPr>
      <w:bookmarkStart w:id="1563" w:name="_Ref_ContractCompanion_9kb9Ur276"/>
      <w:r w:rsidRPr="00154D56">
        <w:t>the seat of the arbitration</w:t>
      </w:r>
      <w:r w:rsidRPr="00D00D9A">
        <w:t xml:space="preserve"> shall be London. </w:t>
      </w:r>
      <w:bookmarkEnd w:id="1563"/>
    </w:p>
    <w:p w14:paraId="5FBD2233" w14:textId="77777777" w:rsidR="00F67E9E" w:rsidRPr="00D00D9A" w:rsidRDefault="00F67E9E" w:rsidP="00F67E9E">
      <w:pPr>
        <w:pStyle w:val="Numbered1"/>
      </w:pPr>
      <w:bookmarkStart w:id="1564" w:name="_Ref_ContractCompanion_9kb9Us6A9"/>
      <w:bookmarkStart w:id="1565" w:name="_9kR3WTrAG9AEFKkBymuAF1w1vt"/>
      <w:r w:rsidRPr="00D00D9A">
        <w:t>Urgent Relief</w:t>
      </w:r>
      <w:bookmarkEnd w:id="1564"/>
      <w:bookmarkEnd w:id="1565"/>
    </w:p>
    <w:p w14:paraId="75D5E2C7" w14:textId="77777777" w:rsidR="00F67E9E" w:rsidRPr="00D00D9A" w:rsidRDefault="00F67E9E" w:rsidP="00F67E9E">
      <w:pPr>
        <w:pStyle w:val="Numbered11"/>
      </w:pPr>
      <w:r w:rsidRPr="00D00D9A">
        <w:t xml:space="preserve">Either </w:t>
      </w:r>
      <w:r w:rsidRPr="00154D56">
        <w:t>Party</w:t>
      </w:r>
      <w:r w:rsidRPr="00D00D9A">
        <w:t xml:space="preserve"> may at any time take proceedings or seek remedies before any court or tribunal of competent jurisdiction:</w:t>
      </w:r>
    </w:p>
    <w:p w14:paraId="2969EDD8" w14:textId="77777777" w:rsidR="00F67E9E" w:rsidRPr="00154D56" w:rsidRDefault="00F67E9E" w:rsidP="00F67E9E">
      <w:pPr>
        <w:pStyle w:val="Numbered111"/>
      </w:pPr>
      <w:r w:rsidRPr="00D00D9A">
        <w:t xml:space="preserve">for interim or interlocutory remedies in relation to this Contract or infringement by the </w:t>
      </w:r>
      <w:r w:rsidRPr="00154D56">
        <w:t>other Party of that Party’s Intellectual Property Rights; and/or</w:t>
      </w:r>
    </w:p>
    <w:p w14:paraId="5FD6538E" w14:textId="03169F8B" w:rsidR="00F67E9E" w:rsidRPr="00D00D9A" w:rsidRDefault="00F67E9E" w:rsidP="00F67E9E">
      <w:pPr>
        <w:pStyle w:val="Numbered111"/>
      </w:pPr>
      <w:r w:rsidRPr="00154D56">
        <w:t xml:space="preserve">where compliance with </w:t>
      </w:r>
      <w:bookmarkStart w:id="1566" w:name="_9kMHG5YVtCIBCINKDUGfEH3BEJ4m09B89PF18"/>
      <w:r w:rsidRPr="00154D56">
        <w:t xml:space="preserve">Paragraph </w:t>
      </w:r>
      <w:r w:rsidRPr="00154D56">
        <w:fldChar w:fldCharType="begin"/>
      </w:r>
      <w:r w:rsidRPr="00154D56">
        <w:instrText xml:space="preserve"> REF _Ref_ContractCompanion_9kb9Us6CF \n \h \t \* MERGEFORMAT </w:instrText>
      </w:r>
      <w:r w:rsidRPr="00154D56">
        <w:fldChar w:fldCharType="separate"/>
      </w:r>
      <w:r w:rsidR="007A1473">
        <w:t>2.1</w:t>
      </w:r>
      <w:r w:rsidRPr="00154D56">
        <w:fldChar w:fldCharType="end"/>
      </w:r>
      <w:bookmarkEnd w:id="1566"/>
      <w:r w:rsidRPr="00154D56">
        <w:t xml:space="preserve"> and/or referring the Dispute to mediation may l</w:t>
      </w:r>
      <w:r w:rsidRPr="00D00D9A">
        <w:t xml:space="preserve">eave insufficient time for that Party to commence proceedings before the expiry of the limitation period. </w:t>
      </w:r>
    </w:p>
    <w:p w14:paraId="3C50517E" w14:textId="77777777" w:rsidR="00F67E9E" w:rsidRPr="00D00D9A" w:rsidRDefault="00F67E9E" w:rsidP="00F67E9E">
      <w:pPr>
        <w:pStyle w:val="Numbered1"/>
      </w:pPr>
      <w:bookmarkStart w:id="1567" w:name="_Ref_ContractCompanion_9kb9Us49E"/>
      <w:bookmarkStart w:id="1568" w:name="_9kR3WTrAG98DKiJfifw5qERTnGGGEB47RZK5LTW"/>
      <w:r w:rsidRPr="00D00D9A">
        <w:t>Multi-Party Disputes</w:t>
      </w:r>
      <w:bookmarkEnd w:id="1567"/>
      <w:bookmarkEnd w:id="1568"/>
    </w:p>
    <w:p w14:paraId="70531F9E" w14:textId="7FDB6E8D" w:rsidR="00F67E9E" w:rsidRPr="00D00D9A" w:rsidRDefault="00F67E9E" w:rsidP="00F67E9E">
      <w:pPr>
        <w:pStyle w:val="Numbered11"/>
      </w:pPr>
      <w:bookmarkStart w:id="1569" w:name="_Ref44510621"/>
      <w:r w:rsidRPr="00D00D9A">
        <w:t xml:space="preserve">All Multi-Party Disputes shall be resolved in accordance with the procedure set out in this </w:t>
      </w:r>
      <w:bookmarkStart w:id="1570" w:name="_9kMIH5YVtCIBAFMkLhkhy7sGTVpIIIGD69TbM7N"/>
      <w:r w:rsidRPr="00D00D9A">
        <w:t xml:space="preserve">Paragraph </w:t>
      </w:r>
      <w:r w:rsidRPr="00D00D9A">
        <w:fldChar w:fldCharType="begin"/>
      </w:r>
      <w:r w:rsidRPr="00D00D9A">
        <w:instrText xml:space="preserve"> REF _Ref_ContractCompanion_9kb9Us49E \w \n \h \t \* MERGEFORMAT </w:instrText>
      </w:r>
      <w:r w:rsidRPr="00D00D9A">
        <w:fldChar w:fldCharType="separate"/>
      </w:r>
      <w:r w:rsidR="007A1473">
        <w:t>9</w:t>
      </w:r>
      <w:r w:rsidRPr="00D00D9A">
        <w:fldChar w:fldCharType="end"/>
      </w:r>
      <w:bookmarkEnd w:id="1570"/>
      <w:r w:rsidRPr="00D00D9A">
        <w:t xml:space="preserve"> (the </w:t>
      </w:r>
      <w:r>
        <w:t>“</w:t>
      </w:r>
      <w:r w:rsidRPr="00D00D9A">
        <w:rPr>
          <w:rStyle w:val="StdBodyTextBoldChar"/>
          <w:rFonts w:eastAsiaTheme="majorEastAsia" w:cs="Arial"/>
        </w:rPr>
        <w:t>Multi-Party Dispute Resolution Procedure</w:t>
      </w:r>
      <w:r>
        <w:t>”</w:t>
      </w:r>
      <w:r w:rsidRPr="00D00D9A">
        <w:t>).</w:t>
      </w:r>
      <w:bookmarkEnd w:id="1569"/>
    </w:p>
    <w:p w14:paraId="3FF0F03A" w14:textId="77777777" w:rsidR="00F67E9E" w:rsidRPr="00D00D9A" w:rsidRDefault="00F67E9E" w:rsidP="00F67E9E">
      <w:pPr>
        <w:pStyle w:val="Numbered11"/>
      </w:pPr>
      <w:bookmarkStart w:id="1571" w:name="_Ref_ContractCompanion_9kb9Us686"/>
      <w:bookmarkStart w:id="1572" w:name="_9kR3WTrAG9ACCKJTEdstoDK5zwq186AMH98FH35"/>
      <w:r w:rsidRPr="00D00D9A">
        <w:t>If at any time following the issue of a Dispute Notice, the Authority reasonably considers that the matters giving rise to the Dispute involve one or more Related Third Parties, then the Authority shall be entitled to determine that the Dispute is a Multi-Party Dispute and to serve a notice on the Supplier which sets out the Authority</w:t>
      </w:r>
      <w:r>
        <w:t>’</w:t>
      </w:r>
      <w:r w:rsidRPr="00D00D9A">
        <w:t xml:space="preserve">s determination that the Dispute is a Multi-Party Dispute and specifies the Related Third Parties which are to be involved in the Multi-Party Dispute Resolution Procedure, such notice a </w:t>
      </w:r>
      <w:r>
        <w:t>“</w:t>
      </w:r>
      <w:r w:rsidRPr="00D00D9A">
        <w:rPr>
          <w:rStyle w:val="StdBodyTextBoldChar"/>
          <w:rFonts w:eastAsiaTheme="majorEastAsia" w:cs="Arial"/>
        </w:rPr>
        <w:t>Multi-Party Procedure</w:t>
      </w:r>
      <w:r w:rsidRPr="00D00D9A">
        <w:t xml:space="preserve"> </w:t>
      </w:r>
      <w:r w:rsidRPr="00D00D9A">
        <w:rPr>
          <w:rStyle w:val="StdBodyTextBoldChar"/>
          <w:rFonts w:eastAsiaTheme="majorEastAsia" w:cs="Arial"/>
        </w:rPr>
        <w:t>Initiation Notice</w:t>
      </w:r>
      <w:r>
        <w:t>”</w:t>
      </w:r>
      <w:r w:rsidRPr="00D00D9A">
        <w:t>.</w:t>
      </w:r>
      <w:bookmarkEnd w:id="1571"/>
      <w:bookmarkEnd w:id="1572"/>
    </w:p>
    <w:p w14:paraId="193CB66B" w14:textId="0AF3CC01" w:rsidR="00F67E9E" w:rsidRPr="00D00D9A" w:rsidRDefault="00F67E9E" w:rsidP="00F67E9E">
      <w:pPr>
        <w:pStyle w:val="Numbered11"/>
      </w:pPr>
      <w:bookmarkStart w:id="1573" w:name="_Ref_ContractCompanion_9kb9Us689"/>
      <w:bookmarkStart w:id="1574" w:name="_9kR3WTrAG9ACFNKUEiszx1D80z68uwBMPC79wVY"/>
      <w:r w:rsidRPr="00D00D9A">
        <w:t xml:space="preserve">If following the issue of a Dispute Notice but before the Dispute has been referred to </w:t>
      </w:r>
      <w:r w:rsidRPr="00D00D9A">
        <w:lastRenderedPageBreak/>
        <w:t xml:space="preserve">Expert Determination or to arbitration in accordance with </w:t>
      </w:r>
      <w:bookmarkStart w:id="1575" w:name="_9kMIH5YVtCIBAGGdLhkhy7sGTTb35xGQ8BKGM"/>
      <w:r w:rsidRPr="00D00D9A">
        <w:t xml:space="preserve">Paragraph </w:t>
      </w:r>
      <w:r w:rsidRPr="00D00D9A">
        <w:fldChar w:fldCharType="begin"/>
      </w:r>
      <w:r w:rsidRPr="00D00D9A">
        <w:instrText xml:space="preserve"> REF _Ref_ContractCompanion_9kb9Us4A8 \w \n \h \t \* MERGEFORMAT </w:instrText>
      </w:r>
      <w:r w:rsidRPr="00D00D9A">
        <w:fldChar w:fldCharType="separate"/>
      </w:r>
      <w:r w:rsidR="007A1473">
        <w:t>7</w:t>
      </w:r>
      <w:r w:rsidRPr="00D00D9A">
        <w:fldChar w:fldCharType="end"/>
      </w:r>
      <w:bookmarkEnd w:id="1575"/>
      <w:r w:rsidRPr="00D00D9A">
        <w:t>, the Supplier has reasonable grounds to believe that the matters giving rise to the Dispute have been contributed to by one or more Related Third Parties, the Supplier may serve a Supplier Request on the Authority.</w:t>
      </w:r>
      <w:bookmarkEnd w:id="1573"/>
      <w:bookmarkEnd w:id="1574"/>
    </w:p>
    <w:p w14:paraId="492ED613" w14:textId="77777777" w:rsidR="00F67E9E" w:rsidRPr="00D00D9A" w:rsidRDefault="00F67E9E" w:rsidP="00F67E9E">
      <w:pPr>
        <w:pStyle w:val="Numbered11"/>
      </w:pPr>
      <w:r w:rsidRPr="00D00D9A">
        <w:t xml:space="preserve">The </w:t>
      </w:r>
      <w:r w:rsidRPr="00154D56">
        <w:t>Authority</w:t>
      </w:r>
      <w:r w:rsidRPr="00D00D9A">
        <w:t xml:space="preserve"> shall (acting reasonably) consider each Supplier Request and shall determine within 5 Working Days whether the Dispute is:</w:t>
      </w:r>
    </w:p>
    <w:p w14:paraId="24D78161" w14:textId="77777777" w:rsidR="00F67E9E" w:rsidRPr="00154D56" w:rsidRDefault="00F67E9E" w:rsidP="00F67E9E">
      <w:pPr>
        <w:pStyle w:val="Numbered111"/>
      </w:pPr>
      <w:r w:rsidRPr="00D00D9A">
        <w:t xml:space="preserve">a Multi-Party Dispute, in which case the Authority shall serve a Multi-Party </w:t>
      </w:r>
      <w:r w:rsidRPr="00154D56">
        <w:t>Procedure Initiation Notice on the Supplier; or</w:t>
      </w:r>
    </w:p>
    <w:p w14:paraId="7A8B1DFB" w14:textId="5931FBA5" w:rsidR="00F67E9E" w:rsidRPr="00D00D9A" w:rsidRDefault="00F67E9E" w:rsidP="00F67E9E">
      <w:pPr>
        <w:pStyle w:val="Numbered111"/>
      </w:pPr>
      <w:r w:rsidRPr="00154D56">
        <w:t>not a Multi-Party Dispute, in which case the Authority shall serve written notice of such determination</w:t>
      </w:r>
      <w:r w:rsidRPr="00D00D9A">
        <w:t xml:space="preserve"> upon the Supplier and the Dispute shall be treated in accordance with </w:t>
      </w:r>
      <w:bookmarkStart w:id="1576" w:name="_9kMHG5YVtCIBAHJfLhkhy7sGTPbDP7w1IF006MU"/>
      <w:r w:rsidRPr="00D00D9A">
        <w:t xml:space="preserve">Paragraphs </w:t>
      </w:r>
      <w:r w:rsidRPr="00D00D9A">
        <w:fldChar w:fldCharType="begin"/>
      </w:r>
      <w:r w:rsidRPr="00D00D9A">
        <w:instrText xml:space="preserve"> REF _Ref_ContractCompanion_9kb9Us4BB \w \n \h \t \* MERGEFORMAT </w:instrText>
      </w:r>
      <w:r w:rsidRPr="00D00D9A">
        <w:fldChar w:fldCharType="separate"/>
      </w:r>
      <w:r w:rsidR="007A1473">
        <w:t>3</w:t>
      </w:r>
      <w:r w:rsidRPr="00D00D9A">
        <w:fldChar w:fldCharType="end"/>
      </w:r>
      <w:bookmarkEnd w:id="1576"/>
      <w:r w:rsidRPr="00D00D9A">
        <w:t xml:space="preserve"> to </w:t>
      </w:r>
      <w:bookmarkStart w:id="1577" w:name="_9kMIH5YVtCIBCGHMmD0owCH3y3xv"/>
      <w:r w:rsidRPr="00D00D9A">
        <w:fldChar w:fldCharType="begin"/>
      </w:r>
      <w:r w:rsidRPr="00D00D9A">
        <w:instrText xml:space="preserve"> REF _Ref_ContractCompanion_9kb9Us6A9 \w \n \h \t \* MERGEFORMAT </w:instrText>
      </w:r>
      <w:r w:rsidRPr="00D00D9A">
        <w:fldChar w:fldCharType="separate"/>
      </w:r>
      <w:r w:rsidR="007A1473">
        <w:t>8</w:t>
      </w:r>
      <w:r w:rsidRPr="00D00D9A">
        <w:fldChar w:fldCharType="end"/>
      </w:r>
      <w:bookmarkEnd w:id="1577"/>
      <w:r w:rsidRPr="00D00D9A">
        <w:t>.</w:t>
      </w:r>
    </w:p>
    <w:p w14:paraId="460A2BC8" w14:textId="77777777" w:rsidR="00F67E9E" w:rsidRPr="00D00D9A" w:rsidRDefault="00F67E9E" w:rsidP="00F67E9E">
      <w:pPr>
        <w:pStyle w:val="Numbered11"/>
      </w:pPr>
      <w:r w:rsidRPr="00D00D9A">
        <w:t>If the Authority has determined, following a Supplier Request, that a Dispute is not a Multi-Party Dispute, the Supplier may not serve another Supplier Request with reference to the same Dispute.</w:t>
      </w:r>
    </w:p>
    <w:p w14:paraId="0F3E6C67" w14:textId="77777777" w:rsidR="00F67E9E" w:rsidRPr="00D00D9A" w:rsidRDefault="00F67E9E" w:rsidP="00F67E9E">
      <w:pPr>
        <w:pStyle w:val="Numbered11"/>
      </w:pPr>
      <w:bookmarkStart w:id="1578" w:name="_Ref_ContractCompanion_9kb9Us67B"/>
      <w:bookmarkStart w:id="1579" w:name="_9kR3WTrAHAAC8GNUKxvzB6yx322KCur46tbqMMK"/>
      <w:bookmarkStart w:id="1580" w:name="_9kR3WTrAG9AC9HNUKxvzB6yx322KCur46tbqMMK"/>
      <w:r w:rsidRPr="00D00D9A">
        <w:t xml:space="preserve">Following service of a Multi-Party Procedure Initiation Notice a Multi-Party Dispute shall be dealt with by a board (in relation to such Multi-Party Dispute, the </w:t>
      </w:r>
      <w:r>
        <w:t>“</w:t>
      </w:r>
      <w:r w:rsidRPr="00D00D9A">
        <w:rPr>
          <w:rStyle w:val="StdBodyTextBoldChar"/>
          <w:rFonts w:eastAsiaTheme="majorEastAsia" w:cs="Arial"/>
        </w:rPr>
        <w:t>Multi-Party Dispute Resolution Board</w:t>
      </w:r>
      <w:r>
        <w:t>”</w:t>
      </w:r>
      <w:r w:rsidRPr="00D00D9A">
        <w:t>) comprising representatives from the following parties to the Multi-Party Dispute, each of whom shall be of a suitable level of seniority to finalise any agreement with the other parties to settle the Multi-Party Dispute:</w:t>
      </w:r>
      <w:bookmarkEnd w:id="1578"/>
      <w:bookmarkEnd w:id="1579"/>
      <w:bookmarkEnd w:id="1580"/>
    </w:p>
    <w:p w14:paraId="68D16F9A" w14:textId="77777777" w:rsidR="00F67E9E" w:rsidRPr="00D00D9A" w:rsidRDefault="00F67E9E" w:rsidP="00F67E9E">
      <w:pPr>
        <w:pStyle w:val="Numbered111"/>
      </w:pPr>
      <w:r w:rsidRPr="00D00D9A">
        <w:t>the Authority;</w:t>
      </w:r>
    </w:p>
    <w:p w14:paraId="45B34C06" w14:textId="77777777" w:rsidR="00F67E9E" w:rsidRPr="00D00D9A" w:rsidRDefault="00F67E9E" w:rsidP="00F67E9E">
      <w:pPr>
        <w:pStyle w:val="Numbered111"/>
      </w:pPr>
      <w:r w:rsidRPr="00D00D9A">
        <w:t>the Supplier;</w:t>
      </w:r>
    </w:p>
    <w:p w14:paraId="0A785D4C" w14:textId="77777777" w:rsidR="00F67E9E" w:rsidRPr="00D00D9A" w:rsidRDefault="00F67E9E" w:rsidP="00F67E9E">
      <w:pPr>
        <w:pStyle w:val="Numbered111"/>
      </w:pPr>
      <w:r w:rsidRPr="00D00D9A">
        <w:t>each Related Third Party involved in the Multi-Party Dispute; and</w:t>
      </w:r>
    </w:p>
    <w:p w14:paraId="469FDB4A" w14:textId="77777777" w:rsidR="00F67E9E" w:rsidRPr="00D00D9A" w:rsidRDefault="00F67E9E" w:rsidP="00F67E9E">
      <w:pPr>
        <w:pStyle w:val="Numbered111"/>
      </w:pPr>
      <w:r w:rsidRPr="00D00D9A">
        <w:t>any other representatives of any of the Parties and/or any Related Third Parties whom the Authority considers necessary,</w:t>
      </w:r>
    </w:p>
    <w:p w14:paraId="7DAC85F0" w14:textId="77777777" w:rsidR="00F67E9E" w:rsidRPr="00D00D9A" w:rsidRDefault="00F67E9E" w:rsidP="00F67E9E">
      <w:pPr>
        <w:pStyle w:val="StdBodyText2"/>
        <w:rPr>
          <w:rFonts w:cs="Arial"/>
        </w:rPr>
      </w:pPr>
      <w:r w:rsidRPr="00D00D9A">
        <w:rPr>
          <w:rFonts w:cs="Arial"/>
        </w:rPr>
        <w:t xml:space="preserve">(together </w:t>
      </w:r>
      <w:r>
        <w:rPr>
          <w:rFonts w:cs="Arial"/>
        </w:rPr>
        <w:t>“</w:t>
      </w:r>
      <w:r w:rsidRPr="00D00D9A">
        <w:rPr>
          <w:rStyle w:val="StdBodyTextBoldChar"/>
          <w:rFonts w:eastAsiaTheme="majorEastAsia" w:cs="Arial"/>
        </w:rPr>
        <w:t>Multi-Party Dispute Representatives</w:t>
      </w:r>
      <w:r>
        <w:rPr>
          <w:rFonts w:cs="Arial"/>
        </w:rPr>
        <w:t>”</w:t>
      </w:r>
      <w:r w:rsidRPr="00D00D9A">
        <w:rPr>
          <w:rFonts w:cs="Arial"/>
        </w:rPr>
        <w:t>).</w:t>
      </w:r>
    </w:p>
    <w:p w14:paraId="5E9B4325" w14:textId="77777777" w:rsidR="00F67E9E" w:rsidRPr="00D00D9A" w:rsidRDefault="00F67E9E" w:rsidP="00F67E9E">
      <w:pPr>
        <w:pStyle w:val="Numbered11"/>
      </w:pPr>
      <w:r w:rsidRPr="00D00D9A">
        <w:t>The Parties agree that the Multi-Party Dispute Resolution Board shall seek to resolve the relevant Multi-Party Dispute in accordance with the following principles and procedures:</w:t>
      </w:r>
    </w:p>
    <w:p w14:paraId="056BBF22" w14:textId="77777777" w:rsidR="00F67E9E" w:rsidRPr="00D00D9A" w:rsidRDefault="00F67E9E" w:rsidP="00F67E9E">
      <w:pPr>
        <w:pStyle w:val="Numbered111"/>
      </w:pPr>
      <w:r w:rsidRPr="00D00D9A">
        <w:t xml:space="preserve">the Parties shall procure that their Multi-Party Dispute Representatives attend, and shall use their best endeavours to procure that the Multi-Party Dispute Representatives of each Related Third Party attend, all meetings of the Multi-Party Dispute Resolution Board in respect of the Multi-Party Dispute; </w:t>
      </w:r>
    </w:p>
    <w:p w14:paraId="119022EB" w14:textId="77777777" w:rsidR="00F67E9E" w:rsidRPr="00D00D9A" w:rsidRDefault="00F67E9E" w:rsidP="00F67E9E">
      <w:pPr>
        <w:pStyle w:val="Numbered111"/>
      </w:pPr>
      <w:r w:rsidRPr="00D00D9A">
        <w:t>the Multi-Party Dispute Resolution Board shall first meet within 10 Working Days of service of the relevant Multi-Party Procedure Initiation Notice at such time and place as the Parties may agree or, if the Parties do not reach agreement on the time and place within 5 Working Days of service of the relevant Multi-Party Procedure Initiation Notice, at the time and place specified by the Authority, provided such place is at a neutral location within England and that the meeting is to take place between 9.00am and 5.00pm on a Working Day; and</w:t>
      </w:r>
    </w:p>
    <w:p w14:paraId="61984140" w14:textId="77777777" w:rsidR="00F67E9E" w:rsidRPr="00D00D9A" w:rsidRDefault="00F67E9E" w:rsidP="00F67E9E">
      <w:pPr>
        <w:pStyle w:val="Numbered111"/>
      </w:pPr>
      <w:r w:rsidRPr="00D00D9A">
        <w:t xml:space="preserve">in seeking to resolve or settle any Multi-Party Dispute, the members of the </w:t>
      </w:r>
      <w:r w:rsidRPr="00D00D9A">
        <w:lastRenderedPageBreak/>
        <w:t>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290C10B7" w14:textId="77777777" w:rsidR="00F67E9E" w:rsidRPr="00D00D9A" w:rsidRDefault="00F67E9E" w:rsidP="00F67E9E">
      <w:pPr>
        <w:pStyle w:val="Numbered11"/>
      </w:pPr>
      <w:r w:rsidRPr="00D00D9A">
        <w:t xml:space="preserve">If a Multi-Party Dispute is not resolved between the Parties and all Related Third Parties within 25 Working Days of </w:t>
      </w:r>
      <w:r w:rsidRPr="00154D56">
        <w:t>the</w:t>
      </w:r>
      <w:r w:rsidRPr="00D00D9A">
        <w:t xml:space="preserve"> issue of the Multi-Party Procedure Initiation Notice (or such longer period as the Parties may agree in writing), then:</w:t>
      </w:r>
    </w:p>
    <w:p w14:paraId="4EE9F580" w14:textId="3FDF9C71" w:rsidR="00F67E9E" w:rsidRPr="00154D56" w:rsidRDefault="00F67E9E" w:rsidP="00F67E9E">
      <w:pPr>
        <w:pStyle w:val="Numbered111"/>
      </w:pPr>
      <w:r w:rsidRPr="00D00D9A">
        <w:t xml:space="preserve">either Party may serve a Mediation Notice in respect of the Multi-Party Dispute in which case </w:t>
      </w:r>
      <w:bookmarkStart w:id="1581" w:name="_9kMKJ5YVtCIBAGMjLhkhy7sGTRl2uzx9IEK"/>
      <w:r w:rsidRPr="00154D56">
        <w:t xml:space="preserve">Paragraph </w:t>
      </w:r>
      <w:r w:rsidRPr="00154D56">
        <w:fldChar w:fldCharType="begin"/>
      </w:r>
      <w:r w:rsidRPr="00154D56">
        <w:instrText xml:space="preserve"> REF _Ref_ContractCompanion_9kb9Us4AE \w \n \h \t \* MERGEFORMAT </w:instrText>
      </w:r>
      <w:r w:rsidRPr="00154D56">
        <w:fldChar w:fldCharType="separate"/>
      </w:r>
      <w:r w:rsidR="007A1473">
        <w:t>5</w:t>
      </w:r>
      <w:r w:rsidRPr="00154D56">
        <w:fldChar w:fldCharType="end"/>
      </w:r>
      <w:bookmarkEnd w:id="1581"/>
      <w:r w:rsidRPr="00154D56">
        <w:t xml:space="preserve"> shall apply; </w:t>
      </w:r>
    </w:p>
    <w:p w14:paraId="007C121C" w14:textId="7E3245BE" w:rsidR="00F67E9E" w:rsidRPr="00154D56" w:rsidRDefault="00F67E9E" w:rsidP="00F67E9E">
      <w:pPr>
        <w:pStyle w:val="Numbered111"/>
      </w:pPr>
      <w:r w:rsidRPr="00154D56">
        <w:t xml:space="preserve">either Party may request that the Multi-Party Dispute is referred to an expert in which case </w:t>
      </w:r>
      <w:bookmarkStart w:id="1582" w:name="_9kMKJ5YVtCIBAGJgLhkhy7sGTSeDP7AQDzGHGPH"/>
      <w:r w:rsidRPr="00154D56">
        <w:t xml:space="preserve">Paragraph </w:t>
      </w:r>
      <w:r w:rsidRPr="00154D56">
        <w:fldChar w:fldCharType="begin"/>
      </w:r>
      <w:r w:rsidRPr="00154D56">
        <w:instrText xml:space="preserve"> REF _Ref_ContractCompanion_9kb9Us4AB \w \n \h \t \* MERGEFORMAT </w:instrText>
      </w:r>
      <w:r w:rsidRPr="00154D56">
        <w:fldChar w:fldCharType="separate"/>
      </w:r>
      <w:r w:rsidR="007A1473">
        <w:t>6</w:t>
      </w:r>
      <w:r w:rsidRPr="00154D56">
        <w:fldChar w:fldCharType="end"/>
      </w:r>
      <w:bookmarkEnd w:id="1582"/>
      <w:r w:rsidRPr="00154D56">
        <w:t xml:space="preserve"> shall apply; and/or</w:t>
      </w:r>
    </w:p>
    <w:p w14:paraId="32CF7126" w14:textId="5F60FC73" w:rsidR="00F67E9E" w:rsidRPr="00D00D9A" w:rsidRDefault="00F67E9E" w:rsidP="00F67E9E">
      <w:pPr>
        <w:pStyle w:val="Numbered111"/>
      </w:pPr>
      <w:r w:rsidRPr="00154D56">
        <w:t xml:space="preserve">subject to </w:t>
      </w:r>
      <w:bookmarkStart w:id="1583" w:name="_9kMHG5YVtCIBCJHKScGfNc886dQzJRmRDLOTE4J"/>
      <w:r w:rsidRPr="00154D56">
        <w:t>Para</w:t>
      </w:r>
      <w:r w:rsidRPr="00D00D9A">
        <w:t xml:space="preserve">graph </w:t>
      </w:r>
      <w:r w:rsidRPr="00D00D9A">
        <w:fldChar w:fldCharType="begin"/>
      </w:r>
      <w:r w:rsidRPr="00D00D9A">
        <w:instrText xml:space="preserve"> REF _Ref_ContractCompanion_9kb9Us6D9 \n \h \t \* MERGEFORMAT </w:instrText>
      </w:r>
      <w:r w:rsidRPr="00D00D9A">
        <w:fldChar w:fldCharType="separate"/>
      </w:r>
      <w:r w:rsidR="007A1473">
        <w:t>9.9</w:t>
      </w:r>
      <w:r w:rsidRPr="00D00D9A">
        <w:fldChar w:fldCharType="end"/>
      </w:r>
      <w:bookmarkEnd w:id="1583"/>
      <w:r w:rsidRPr="00D00D9A">
        <w:t xml:space="preserve">, </w:t>
      </w:r>
      <w:bookmarkStart w:id="1584" w:name="_9kMJI5YVtCIBAGGdLhkhy7sGTTb35xGQ8BKGM"/>
      <w:r w:rsidRPr="00D00D9A">
        <w:t xml:space="preserve">Paragraph </w:t>
      </w:r>
      <w:r w:rsidRPr="00D00D9A">
        <w:fldChar w:fldCharType="begin"/>
      </w:r>
      <w:r w:rsidRPr="00D00D9A">
        <w:instrText xml:space="preserve"> REF _Ref_ContractCompanion_9kb9Us4A8 \w \n \h \t \* MERGEFORMAT </w:instrText>
      </w:r>
      <w:r w:rsidRPr="00D00D9A">
        <w:fldChar w:fldCharType="separate"/>
      </w:r>
      <w:r w:rsidR="007A1473">
        <w:t>7</w:t>
      </w:r>
      <w:r w:rsidRPr="00D00D9A">
        <w:fldChar w:fldCharType="end"/>
      </w:r>
      <w:bookmarkEnd w:id="1584"/>
      <w:r w:rsidRPr="00D00D9A">
        <w:t xml:space="preserve"> shall apply to the Multi-Party Dispute,</w:t>
      </w:r>
    </w:p>
    <w:p w14:paraId="5B348264" w14:textId="77777777" w:rsidR="00F67E9E" w:rsidRPr="00D00D9A" w:rsidRDefault="00F67E9E" w:rsidP="00F67E9E">
      <w:pPr>
        <w:pStyle w:val="StdBodyText2"/>
        <w:rPr>
          <w:rFonts w:cs="Arial"/>
        </w:rPr>
      </w:pPr>
      <w:r w:rsidRPr="00D00D9A">
        <w:rPr>
          <w:rFonts w:cs="Arial"/>
        </w:rPr>
        <w:t xml:space="preserve">and in each case references to the </w:t>
      </w:r>
      <w:r>
        <w:rPr>
          <w:rFonts w:cs="Arial"/>
        </w:rPr>
        <w:t>“</w:t>
      </w:r>
      <w:r w:rsidRPr="00D00D9A">
        <w:rPr>
          <w:rFonts w:cs="Arial"/>
        </w:rPr>
        <w:t>Supplier</w:t>
      </w:r>
      <w:r>
        <w:rPr>
          <w:rFonts w:cs="Arial"/>
        </w:rPr>
        <w:t>”</w:t>
      </w:r>
      <w:r w:rsidRPr="00D00D9A">
        <w:rPr>
          <w:rFonts w:cs="Arial"/>
        </w:rPr>
        <w:t xml:space="preserve"> or the </w:t>
      </w:r>
      <w:r>
        <w:rPr>
          <w:rFonts w:cs="Arial"/>
        </w:rPr>
        <w:t>“</w:t>
      </w:r>
      <w:r w:rsidRPr="00D00D9A">
        <w:rPr>
          <w:rFonts w:cs="Arial"/>
        </w:rPr>
        <w:t>Parties</w:t>
      </w:r>
      <w:r>
        <w:rPr>
          <w:rFonts w:cs="Arial"/>
        </w:rPr>
        <w:t>”</w:t>
      </w:r>
      <w:r w:rsidRPr="00D00D9A">
        <w:rPr>
          <w:rFonts w:cs="Arial"/>
        </w:rPr>
        <w:t xml:space="preserve"> in such provisions shall include a reference to all Related Third Parties.</w:t>
      </w:r>
    </w:p>
    <w:p w14:paraId="087B1587" w14:textId="4E187545" w:rsidR="00F67E9E" w:rsidRPr="00D00D9A" w:rsidRDefault="00F67E9E" w:rsidP="00F67E9E">
      <w:pPr>
        <w:pStyle w:val="Numbered11"/>
      </w:pPr>
      <w:bookmarkStart w:id="1585" w:name="_9kR3WTrAG9AHFIQaEdLa664bOxHPkPBJMRC2HRE"/>
      <w:bookmarkStart w:id="1586" w:name="_Ref_ContractCompanion_9kb9Us6D9"/>
      <w:r w:rsidRPr="00D00D9A">
        <w:t xml:space="preserve">If a Multi-Party Dispute is referred to arbitration in accordance with </w:t>
      </w:r>
      <w:bookmarkStart w:id="1587" w:name="_9kMKJ5YVtCIBAGGdLhkhy7sGTTb35xGQ8BKGM"/>
      <w:r w:rsidRPr="00D00D9A">
        <w:t xml:space="preserve">Paragraph </w:t>
      </w:r>
      <w:r w:rsidRPr="00D00D9A">
        <w:fldChar w:fldCharType="begin"/>
      </w:r>
      <w:r w:rsidRPr="00D00D9A">
        <w:instrText xml:space="preserve"> REF _Ref_ContractCompanion_9kb9Us4A8 \w \n \h \t \* MERGEFORMAT </w:instrText>
      </w:r>
      <w:r w:rsidRPr="00D00D9A">
        <w:fldChar w:fldCharType="separate"/>
      </w:r>
      <w:r w:rsidR="007A1473">
        <w:t>7</w:t>
      </w:r>
      <w:r w:rsidRPr="00D00D9A">
        <w:fldChar w:fldCharType="end"/>
      </w:r>
      <w:bookmarkEnd w:id="1587"/>
      <w:r w:rsidRPr="00D00D9A">
        <w:t xml:space="preserve"> or a Dispute becomes a Multi-Party Dispute during the course of arbitration proceedings and either Party is unable to compel a Related Third Party to submit to such arbitration proceedings, the Authority or the Supplier may discontinue such arbitration proceedings and instead initiate court proceedings.</w:t>
      </w:r>
      <w:bookmarkEnd w:id="1585"/>
      <w:r w:rsidRPr="00D00D9A">
        <w:t xml:space="preserve"> The costs of any such discontinued arbitration proceedings shall be borne by the Party which is in a direct contractual relationship with the Related Third Party or, where the Related Third Party is a Sub Contractor, by the Supplier. </w:t>
      </w:r>
      <w:bookmarkEnd w:id="1586"/>
    </w:p>
    <w:p w14:paraId="74F59A15" w14:textId="77777777" w:rsidR="00F67E9E" w:rsidRPr="00D00D9A" w:rsidRDefault="00F67E9E" w:rsidP="00F67E9E">
      <w:pPr>
        <w:rPr>
          <w:rFonts w:cs="Arial"/>
          <w:szCs w:val="24"/>
        </w:rPr>
      </w:pPr>
    </w:p>
    <w:p w14:paraId="0D2500C2" w14:textId="77777777" w:rsidR="00F67E9E" w:rsidRPr="00D00D9A" w:rsidRDefault="00F67E9E" w:rsidP="00F67E9E">
      <w:pPr>
        <w:rPr>
          <w:rFonts w:cs="Arial"/>
          <w:szCs w:val="24"/>
        </w:rPr>
      </w:pPr>
    </w:p>
    <w:p w14:paraId="5F9ABFF5" w14:textId="77777777" w:rsidR="00F67E9E" w:rsidRPr="00D00D9A" w:rsidRDefault="00F67E9E" w:rsidP="00F67E9E">
      <w:pPr>
        <w:rPr>
          <w:rFonts w:cs="Arial"/>
          <w:szCs w:val="24"/>
        </w:rPr>
        <w:sectPr w:rsidR="00F67E9E" w:rsidRPr="00D00D9A" w:rsidSect="003565BD">
          <w:headerReference w:type="even" r:id="rId139"/>
          <w:headerReference w:type="default" r:id="rId140"/>
          <w:footerReference w:type="even" r:id="rId141"/>
          <w:footerReference w:type="default" r:id="rId142"/>
          <w:headerReference w:type="first" r:id="rId143"/>
          <w:footerReference w:type="first" r:id="rId144"/>
          <w:pgSz w:w="11900" w:h="16840"/>
          <w:pgMar w:top="1701" w:right="851" w:bottom="1134" w:left="851" w:header="567" w:footer="567" w:gutter="0"/>
          <w:cols w:space="720"/>
          <w:docGrid w:linePitch="360"/>
        </w:sectPr>
      </w:pPr>
    </w:p>
    <w:p w14:paraId="4EC2FDA8" w14:textId="77777777" w:rsidR="00F67E9E" w:rsidRPr="00EE4F10" w:rsidRDefault="00F67E9E" w:rsidP="00F67E9E">
      <w:pPr>
        <w:pStyle w:val="Dividername"/>
      </w:pPr>
      <w:r w:rsidRPr="00EE4F10">
        <w:lastRenderedPageBreak/>
        <w:t>Schedule 24</w:t>
      </w:r>
    </w:p>
    <w:p w14:paraId="298A0633" w14:textId="77777777" w:rsidR="00F67E9E" w:rsidRPr="00EE4F10" w:rsidRDefault="00F67E9E" w:rsidP="00F67E9E">
      <w:pPr>
        <w:pStyle w:val="Dividername"/>
      </w:pPr>
      <w:r w:rsidRPr="00EE4F10">
        <w:t xml:space="preserve">Reports </w:t>
      </w:r>
      <w:r>
        <w:t>a</w:t>
      </w:r>
      <w:r w:rsidRPr="00EE4F10">
        <w:t>nd Records Provisions</w:t>
      </w:r>
    </w:p>
    <w:p w14:paraId="2F1CA925" w14:textId="77777777" w:rsidR="00F67E9E" w:rsidRDefault="00F67E9E" w:rsidP="00F67E9E"/>
    <w:p w14:paraId="7991C961" w14:textId="77777777" w:rsidR="00F67E9E" w:rsidRPr="00D00D9A" w:rsidRDefault="00F67E9E" w:rsidP="00F67E9E">
      <w:r w:rsidRPr="00D00D9A">
        <w:br w:type="page"/>
      </w:r>
    </w:p>
    <w:p w14:paraId="68E77F61" w14:textId="77777777" w:rsidR="00F67E9E" w:rsidRPr="005D0525" w:rsidRDefault="00F67E9E" w:rsidP="00F67E9E">
      <w:pPr>
        <w:pStyle w:val="Heading1"/>
      </w:pPr>
      <w:bookmarkStart w:id="1588" w:name="Schedule24"/>
      <w:bookmarkStart w:id="1589" w:name="_Ref92200040"/>
      <w:bookmarkStart w:id="1590" w:name="_Toc145412802"/>
      <w:r w:rsidRPr="005D0525">
        <w:lastRenderedPageBreak/>
        <w:t>Schedule</w:t>
      </w:r>
      <w:r>
        <w:t> </w:t>
      </w:r>
      <w:r w:rsidRPr="005D0525">
        <w:t>24</w:t>
      </w:r>
      <w:bookmarkEnd w:id="1588"/>
      <w:r>
        <w:t xml:space="preserve">: </w:t>
      </w:r>
      <w:bookmarkStart w:id="1591" w:name="Schedule24Heading"/>
      <w:r w:rsidRPr="00DD4CC2">
        <w:t>Reports and Records Provisions</w:t>
      </w:r>
      <w:bookmarkEnd w:id="1589"/>
      <w:bookmarkEnd w:id="1590"/>
      <w:bookmarkEnd w:id="1591"/>
    </w:p>
    <w:p w14:paraId="140E90DF" w14:textId="77777777" w:rsidR="00F67E9E" w:rsidRPr="00D00D9A" w:rsidRDefault="00F67E9E" w:rsidP="00F13933">
      <w:pPr>
        <w:pStyle w:val="Numbered1"/>
        <w:numPr>
          <w:ilvl w:val="0"/>
          <w:numId w:val="103"/>
        </w:numPr>
      </w:pPr>
      <w:bookmarkStart w:id="1592" w:name="_Ref_ContractCompanion_9kb9Us6EA"/>
      <w:bookmarkStart w:id="1593" w:name="_Ref_ContractCompanion_9kb9Us7FE"/>
      <w:r w:rsidRPr="00E42F6F">
        <w:t>Transparency</w:t>
      </w:r>
      <w:r w:rsidRPr="00D00D9A">
        <w:t xml:space="preserve"> Reports</w:t>
      </w:r>
      <w:bookmarkEnd w:id="1592"/>
      <w:bookmarkEnd w:id="1593"/>
    </w:p>
    <w:p w14:paraId="0DD86C51" w14:textId="7C130B97" w:rsidR="00F67E9E" w:rsidRPr="00D00D9A" w:rsidRDefault="00F67E9E" w:rsidP="00F67E9E">
      <w:pPr>
        <w:pStyle w:val="Numbered11"/>
      </w:pPr>
      <w:bookmarkStart w:id="1594" w:name="_9kR3WTrAG9BGC9AgVzzpw8320oEA9BHCCK8EH3b"/>
      <w:r w:rsidRPr="00D00D9A">
        <w:t xml:space="preserve">Within three (3) months of the Effective Date the Supplier shall provide to the Authority for its approval (such approval not to be unreasonably withheld or delayed) draft reports in accordance with Annex </w:t>
      </w:r>
      <w:r w:rsidRPr="00D00D9A">
        <w:fldChar w:fldCharType="begin"/>
      </w:r>
      <w:r w:rsidRPr="00D00D9A">
        <w:instrText xml:space="preserve"> REF ANNEX1_SCHEDULE24 \h </w:instrText>
      </w:r>
      <w:r>
        <w:instrText xml:space="preserve"> \* MERGEFORMAT </w:instrText>
      </w:r>
      <w:r w:rsidRPr="00D00D9A">
        <w:fldChar w:fldCharType="separate"/>
      </w:r>
      <w:r w:rsidR="007A1473" w:rsidRPr="00D00D9A">
        <w:t>1</w:t>
      </w:r>
      <w:r w:rsidRPr="00D00D9A">
        <w:fldChar w:fldCharType="end"/>
      </w:r>
      <w:r w:rsidRPr="00D00D9A">
        <w:t xml:space="preserve"> (once approved, the </w:t>
      </w:r>
      <w:r>
        <w:t>“</w:t>
      </w:r>
      <w:r w:rsidRPr="00D00D9A">
        <w:rPr>
          <w:rStyle w:val="StdBodyTextBoldChar"/>
          <w:rFonts w:eastAsia="Arial" w:cs="Arial"/>
        </w:rPr>
        <w:t>Transparency Reports</w:t>
      </w:r>
      <w:r>
        <w:t>”</w:t>
      </w:r>
      <w:r w:rsidRPr="00D00D9A">
        <w:t>).</w:t>
      </w:r>
      <w:bookmarkEnd w:id="1594"/>
    </w:p>
    <w:p w14:paraId="42C026D5" w14:textId="77777777" w:rsidR="00F67E9E" w:rsidRPr="00E42F6F" w:rsidRDefault="00F67E9E" w:rsidP="00F67E9E">
      <w:pPr>
        <w:pStyle w:val="Numbered11"/>
      </w:pPr>
      <w:bookmarkStart w:id="1595" w:name="_9kR3WTrAG9CEGGBTEwzlFQG40B69QP6z0uAR95U"/>
      <w:bookmarkStart w:id="1596" w:name="_Ref_ContractCompanion_9kb9Us6DF"/>
      <w:r w:rsidRPr="00D00D9A">
        <w:t xml:space="preserve">If the Authority rejects any draft Transparency Report, the Supplier shall submit a revised version of the relevant report for further approval by the Authority within five (5) days of receipt of any notice of rejection, taking account of any recommendations for revision and </w:t>
      </w:r>
      <w:r w:rsidRPr="00E42F6F">
        <w:t>improvement to the report provided by the Authority.</w:t>
      </w:r>
      <w:bookmarkEnd w:id="1595"/>
      <w:r w:rsidRPr="00E42F6F">
        <w:t xml:space="preserve"> If the Parties fail to agree on a draft Transparency Report the Authority shall determine what should be included.</w:t>
      </w:r>
      <w:bookmarkEnd w:id="1596"/>
    </w:p>
    <w:p w14:paraId="609E9730" w14:textId="31A2743A" w:rsidR="00F67E9E" w:rsidRPr="00E42F6F" w:rsidRDefault="00F67E9E" w:rsidP="00F67E9E">
      <w:pPr>
        <w:pStyle w:val="Numbered11"/>
      </w:pPr>
      <w:bookmarkStart w:id="1597" w:name="_9kR3WTrAG9CCBDCfRjVgA63xr1G7qv7CJJOJ2zx"/>
      <w:r w:rsidRPr="00E42F6F">
        <w:t xml:space="preserve">The Supplier shall provide accurate and up-to-date versions of each Transparency Report to the Authority at the frequency referred to in </w:t>
      </w:r>
      <w:bookmarkStart w:id="1598" w:name="_9kR3WTr2BCAHIMCwozN"/>
      <w:r w:rsidRPr="00E42F6F">
        <w:t xml:space="preserve">Annex </w:t>
      </w:r>
      <w:r w:rsidRPr="00E42F6F">
        <w:fldChar w:fldCharType="begin"/>
      </w:r>
      <w:r w:rsidRPr="00E42F6F">
        <w:instrText xml:space="preserve"> REF ANNEX1_SCHEDULE24 \h  \* MERGEFORMAT </w:instrText>
      </w:r>
      <w:r w:rsidRPr="00E42F6F">
        <w:fldChar w:fldCharType="separate"/>
      </w:r>
      <w:r w:rsidR="007A1473" w:rsidRPr="00D00D9A">
        <w:t>1</w:t>
      </w:r>
      <w:r w:rsidRPr="00E42F6F">
        <w:fldChar w:fldCharType="end"/>
      </w:r>
      <w:bookmarkEnd w:id="1598"/>
      <w:r w:rsidRPr="00E42F6F">
        <w:t>.</w:t>
      </w:r>
      <w:bookmarkEnd w:id="1597"/>
    </w:p>
    <w:p w14:paraId="3F1AF629" w14:textId="195F4A6E" w:rsidR="00F67E9E" w:rsidRPr="00E42F6F" w:rsidRDefault="00F67E9E" w:rsidP="00F67E9E">
      <w:pPr>
        <w:pStyle w:val="Numbered11"/>
      </w:pPr>
      <w:bookmarkStart w:id="1599" w:name="_9kR3WTrAG9CCEGDNE90l1uj10oxy0GC724GG8yE"/>
      <w:r w:rsidRPr="00E42F6F">
        <w:t xml:space="preserve">Any disagreement in connection with the preparation and/or approval of Transparency Reports, other than under Paragraph </w:t>
      </w:r>
      <w:r w:rsidRPr="00E42F6F">
        <w:fldChar w:fldCharType="begin"/>
      </w:r>
      <w:r w:rsidRPr="00E42F6F">
        <w:instrText xml:space="preserve"> REF _Ref_ContractCompanion_9kb9Us6DF \n \h \t \* MERGEFORMAT </w:instrText>
      </w:r>
      <w:r w:rsidRPr="00E42F6F">
        <w:fldChar w:fldCharType="separate"/>
      </w:r>
      <w:r w:rsidR="007A1473">
        <w:t>1.2</w:t>
      </w:r>
      <w:r w:rsidRPr="00E42F6F">
        <w:fldChar w:fldCharType="end"/>
      </w:r>
      <w:r w:rsidRPr="00E42F6F">
        <w:t xml:space="preserve"> above in relation to the contents of a Transparency Report, shall be treated as a Dispute.</w:t>
      </w:r>
      <w:bookmarkEnd w:id="1599"/>
    </w:p>
    <w:p w14:paraId="0862680D" w14:textId="77777777" w:rsidR="00F67E9E" w:rsidRPr="00D00D9A" w:rsidRDefault="00F67E9E" w:rsidP="00F67E9E">
      <w:pPr>
        <w:pStyle w:val="Numbered11"/>
      </w:pPr>
      <w:r w:rsidRPr="00E42F6F">
        <w:t>The requirements for Transparency Reports are in addition to any other reporting requirements</w:t>
      </w:r>
      <w:r w:rsidRPr="00D00D9A">
        <w:t xml:space="preserve"> in this Contract.</w:t>
      </w:r>
    </w:p>
    <w:p w14:paraId="423E7671" w14:textId="77777777" w:rsidR="00F67E9E" w:rsidRPr="00D00D9A" w:rsidRDefault="00F67E9E" w:rsidP="00F67E9E">
      <w:pPr>
        <w:pStyle w:val="Numbered1"/>
      </w:pPr>
      <w:r w:rsidRPr="00D00D9A">
        <w:t xml:space="preserve">Other </w:t>
      </w:r>
      <w:r w:rsidRPr="00E42F6F">
        <w:t>Reports</w:t>
      </w:r>
    </w:p>
    <w:p w14:paraId="71529DF8" w14:textId="77777777" w:rsidR="00F67E9E" w:rsidRPr="00D00D9A" w:rsidRDefault="00F67E9E" w:rsidP="00F67E9E">
      <w:pPr>
        <w:pStyle w:val="Numbered11"/>
      </w:pPr>
      <w:r w:rsidRPr="00D00D9A">
        <w:t xml:space="preserve">The </w:t>
      </w:r>
      <w:r w:rsidRPr="00E42F6F">
        <w:t>Authority</w:t>
      </w:r>
      <w:r w:rsidRPr="00D00D9A">
        <w:t xml:space="preserve"> may require any or all of the following reports:</w:t>
      </w:r>
    </w:p>
    <w:p w14:paraId="098339E5" w14:textId="77777777" w:rsidR="00F67E9E" w:rsidRPr="00E42F6F" w:rsidRDefault="00F67E9E" w:rsidP="00F67E9E">
      <w:pPr>
        <w:pStyle w:val="Numbered111"/>
      </w:pPr>
      <w:r w:rsidRPr="00D00D9A">
        <w:t xml:space="preserve">delay </w:t>
      </w:r>
      <w:r w:rsidRPr="00E42F6F">
        <w:t>reports;</w:t>
      </w:r>
    </w:p>
    <w:p w14:paraId="0A50B0FB" w14:textId="1218D166" w:rsidR="00F67E9E" w:rsidRPr="00D00D9A" w:rsidRDefault="00F67E9E" w:rsidP="00F67E9E">
      <w:pPr>
        <w:pStyle w:val="Numbered111"/>
      </w:pPr>
      <w:r w:rsidRPr="00E42F6F">
        <w:t>reports relating</w:t>
      </w:r>
      <w:r w:rsidRPr="00D00D9A">
        <w:t xml:space="preserve"> to Testing and tests carried out under </w:t>
      </w:r>
      <w:r>
        <w:fldChar w:fldCharType="begin"/>
      </w:r>
      <w:r>
        <w:instrText xml:space="preserve"> REF Schedule5 \h </w:instrText>
      </w:r>
      <w:r>
        <w:fldChar w:fldCharType="separate"/>
      </w:r>
      <w:r w:rsidR="007A1473" w:rsidRPr="005D0525">
        <w:t>Schedule</w:t>
      </w:r>
      <w:r w:rsidR="007A1473">
        <w:t> </w:t>
      </w:r>
      <w:r w:rsidR="007A1473" w:rsidRPr="005D0525">
        <w:t>5</w:t>
      </w:r>
      <w:r>
        <w:fldChar w:fldCharType="end"/>
      </w:r>
      <w:r>
        <w:t xml:space="preserve"> (</w:t>
      </w:r>
      <w:r w:rsidRPr="00A22335">
        <w:rPr>
          <w:i/>
          <w:iCs/>
        </w:rPr>
        <w:fldChar w:fldCharType="begin"/>
      </w:r>
      <w:r w:rsidRPr="00A22335">
        <w:rPr>
          <w:i/>
          <w:iCs/>
        </w:rPr>
        <w:instrText xml:space="preserve"> REF Schedule5Heading \h </w:instrText>
      </w:r>
      <w:r>
        <w:rPr>
          <w:i/>
          <w:iCs/>
        </w:rPr>
        <w:instrText xml:space="preserve"> \* MERGEFORMAT </w:instrText>
      </w:r>
      <w:r w:rsidRPr="00A22335">
        <w:rPr>
          <w:i/>
          <w:iCs/>
        </w:rPr>
      </w:r>
      <w:r w:rsidRPr="00A22335">
        <w:rPr>
          <w:i/>
          <w:iCs/>
        </w:rPr>
        <w:fldChar w:fldCharType="separate"/>
      </w:r>
      <w:r w:rsidR="007A1473" w:rsidRPr="007A1473">
        <w:rPr>
          <w:i/>
          <w:iCs/>
        </w:rPr>
        <w:t>Security Management</w:t>
      </w:r>
      <w:r w:rsidRPr="00A22335">
        <w:rPr>
          <w:i/>
          <w:iCs/>
        </w:rPr>
        <w:fldChar w:fldCharType="end"/>
      </w:r>
      <w:r>
        <w:t>)</w:t>
      </w:r>
      <w:r w:rsidRPr="00D00D9A">
        <w:t xml:space="preserve"> and </w:t>
      </w:r>
      <w:r>
        <w:fldChar w:fldCharType="begin"/>
      </w:r>
      <w:r>
        <w:instrText xml:space="preserve"> REF Schedule26 \h </w:instrText>
      </w:r>
      <w:r>
        <w:fldChar w:fldCharType="separate"/>
      </w:r>
      <w:r w:rsidR="007A1473" w:rsidRPr="005D0525">
        <w:t>Schedule</w:t>
      </w:r>
      <w:r w:rsidR="007A1473">
        <w:t> </w:t>
      </w:r>
      <w:r w:rsidR="007A1473" w:rsidRPr="005D0525">
        <w:t>26</w:t>
      </w:r>
      <w:r>
        <w:fldChar w:fldCharType="end"/>
      </w:r>
      <w:r>
        <w:t xml:space="preserve"> (</w:t>
      </w:r>
      <w:r w:rsidRPr="00A22335">
        <w:rPr>
          <w:i/>
          <w:iCs/>
        </w:rPr>
        <w:fldChar w:fldCharType="begin"/>
      </w:r>
      <w:r w:rsidRPr="00A22335">
        <w:rPr>
          <w:i/>
          <w:iCs/>
        </w:rPr>
        <w:instrText xml:space="preserve"> REF Schedule26Heading \h </w:instrText>
      </w:r>
      <w:r>
        <w:rPr>
          <w:i/>
          <w:iCs/>
        </w:rPr>
        <w:instrText xml:space="preserve"> \* MERGEFORMAT </w:instrText>
      </w:r>
      <w:r w:rsidRPr="00A22335">
        <w:rPr>
          <w:i/>
          <w:iCs/>
        </w:rPr>
      </w:r>
      <w:r w:rsidRPr="00A22335">
        <w:rPr>
          <w:i/>
          <w:iCs/>
        </w:rPr>
        <w:fldChar w:fldCharType="separate"/>
      </w:r>
      <w:r w:rsidR="007A1473" w:rsidRPr="007A1473">
        <w:rPr>
          <w:i/>
          <w:iCs/>
        </w:rPr>
        <w:t>Service Continuity Plan and Corporate Resolution Planning</w:t>
      </w:r>
      <w:r w:rsidRPr="00A22335">
        <w:rPr>
          <w:i/>
          <w:iCs/>
        </w:rPr>
        <w:fldChar w:fldCharType="end"/>
      </w:r>
      <w:r>
        <w:t>)</w:t>
      </w:r>
      <w:r w:rsidRPr="00D00D9A">
        <w:t>;</w:t>
      </w:r>
    </w:p>
    <w:p w14:paraId="54A235CB" w14:textId="77777777" w:rsidR="00F67E9E" w:rsidRPr="00D00D9A" w:rsidRDefault="00F67E9E" w:rsidP="00F67E9E">
      <w:pPr>
        <w:pStyle w:val="Numbered111"/>
      </w:pPr>
      <w:r w:rsidRPr="00D00D9A">
        <w:t>reports which the Supplier is required to supply as part of the Management Information;</w:t>
      </w:r>
    </w:p>
    <w:p w14:paraId="6DF697D1" w14:textId="77777777" w:rsidR="00F67E9E" w:rsidRPr="00D00D9A" w:rsidRDefault="00F67E9E" w:rsidP="00F67E9E">
      <w:pPr>
        <w:pStyle w:val="Numbered111"/>
      </w:pPr>
      <w:r w:rsidRPr="00D00D9A">
        <w:t>annual reports on the Insurances;</w:t>
      </w:r>
    </w:p>
    <w:p w14:paraId="282B1C6C" w14:textId="77777777" w:rsidR="00F67E9E" w:rsidRPr="00D00D9A" w:rsidRDefault="00F67E9E" w:rsidP="00F67E9E">
      <w:pPr>
        <w:pStyle w:val="Numbered111"/>
      </w:pPr>
      <w:r w:rsidRPr="00D00D9A">
        <w:t>security reports; and</w:t>
      </w:r>
    </w:p>
    <w:p w14:paraId="18EE1981" w14:textId="77777777" w:rsidR="00F67E9E" w:rsidRPr="00D00D9A" w:rsidRDefault="00F67E9E" w:rsidP="00F67E9E">
      <w:pPr>
        <w:pStyle w:val="Numbered111"/>
      </w:pPr>
      <w:r w:rsidRPr="00D00D9A">
        <w:t>Force Majeure Event reports.</w:t>
      </w:r>
    </w:p>
    <w:p w14:paraId="01551B2C" w14:textId="77777777" w:rsidR="00F67E9E" w:rsidRPr="00D00D9A" w:rsidRDefault="00F67E9E" w:rsidP="00F67E9E">
      <w:pPr>
        <w:pStyle w:val="Numbered1"/>
      </w:pPr>
      <w:bookmarkStart w:id="1600" w:name="_Ref_ContractCompanion_9kb9Ur58B"/>
      <w:bookmarkStart w:id="1601" w:name="_Ref_ContractCompanion_9kb9Ur9HF"/>
      <w:bookmarkStart w:id="1602" w:name="_Ref_ContractCompanion_9kb9Us7GJ"/>
      <w:r w:rsidRPr="00D00D9A">
        <w:t>Records</w:t>
      </w:r>
      <w:bookmarkEnd w:id="1600"/>
      <w:bookmarkEnd w:id="1601"/>
      <w:bookmarkEnd w:id="1602"/>
    </w:p>
    <w:p w14:paraId="39000807" w14:textId="518FE72A" w:rsidR="00F67E9E" w:rsidRPr="00D00D9A" w:rsidRDefault="00F67E9E" w:rsidP="00F67E9E">
      <w:pPr>
        <w:pStyle w:val="Numbered11"/>
      </w:pPr>
      <w:bookmarkStart w:id="1603" w:name="_9kR3WTrAG9BKMHCdRjVgA63xr1G7qv7E8B8yC56"/>
      <w:r w:rsidRPr="00D00D9A">
        <w:t xml:space="preserve">The Supplier shall retain and maintain all the records (including superseded records) referred to in </w:t>
      </w:r>
      <w:bookmarkStart w:id="1604" w:name="_9kR3WTr2BCAIGYEnoewrqyB"/>
      <w:r w:rsidRPr="00D00D9A">
        <w:t xml:space="preserve">Paragraph </w:t>
      </w:r>
      <w:r w:rsidRPr="00D00D9A">
        <w:fldChar w:fldCharType="begin"/>
      </w:r>
      <w:r w:rsidRPr="00D00D9A">
        <w:instrText xml:space="preserve"> REF _Ref_ContractCompanion_9kb9Us6EA \w \n \h \t \* MERGEFORMAT </w:instrText>
      </w:r>
      <w:r w:rsidRPr="00D00D9A">
        <w:fldChar w:fldCharType="separate"/>
      </w:r>
      <w:r w:rsidR="007A1473">
        <w:t>1</w:t>
      </w:r>
      <w:r w:rsidRPr="00D00D9A">
        <w:fldChar w:fldCharType="end"/>
      </w:r>
      <w:bookmarkEnd w:id="1604"/>
      <w:r w:rsidRPr="00D00D9A">
        <w:t xml:space="preserve"> and Annex </w:t>
      </w:r>
      <w:r w:rsidRPr="00D00D9A">
        <w:fldChar w:fldCharType="begin"/>
      </w:r>
      <w:r w:rsidRPr="00D00D9A">
        <w:instrText xml:space="preserve"> REF ANNEX1_SCHEDULE24 \h </w:instrText>
      </w:r>
      <w:r>
        <w:instrText xml:space="preserve"> \* MERGEFORMAT </w:instrText>
      </w:r>
      <w:r w:rsidRPr="00D00D9A">
        <w:fldChar w:fldCharType="separate"/>
      </w:r>
      <w:r w:rsidR="007A1473" w:rsidRPr="00D00D9A">
        <w:t>1</w:t>
      </w:r>
      <w:r w:rsidRPr="00D00D9A">
        <w:fldChar w:fldCharType="end"/>
      </w:r>
      <w:r w:rsidRPr="00D00D9A">
        <w:t xml:space="preserve"> (together </w:t>
      </w:r>
      <w:r>
        <w:t>“</w:t>
      </w:r>
      <w:r w:rsidRPr="00D00D9A">
        <w:rPr>
          <w:rStyle w:val="StdBodyTextBoldChar"/>
          <w:rFonts w:eastAsia="Arial" w:cs="Arial"/>
        </w:rPr>
        <w:t>Records</w:t>
      </w:r>
      <w:r>
        <w:t>”</w:t>
      </w:r>
      <w:r w:rsidRPr="00D00D9A">
        <w:t>):</w:t>
      </w:r>
      <w:bookmarkEnd w:id="1603"/>
    </w:p>
    <w:p w14:paraId="5140D25B" w14:textId="77777777" w:rsidR="00F67E9E" w:rsidRPr="00D00D9A" w:rsidRDefault="00F67E9E" w:rsidP="00F67E9E">
      <w:pPr>
        <w:pStyle w:val="Numbered111"/>
      </w:pPr>
      <w:r w:rsidRPr="00D00D9A">
        <w:t>in accordance with the requirements of The National Archives and Good Industry Practice;</w:t>
      </w:r>
    </w:p>
    <w:p w14:paraId="3ED2BBE2" w14:textId="77777777" w:rsidR="00F67E9E" w:rsidRPr="00D00D9A" w:rsidRDefault="00F67E9E" w:rsidP="00F67E9E">
      <w:pPr>
        <w:pStyle w:val="Numbered111"/>
      </w:pPr>
      <w:r w:rsidRPr="00D00D9A">
        <w:t>in chronological order;</w:t>
      </w:r>
    </w:p>
    <w:p w14:paraId="357EAA3D" w14:textId="77777777" w:rsidR="00F67E9E" w:rsidRPr="00D00D9A" w:rsidRDefault="00F67E9E" w:rsidP="00F67E9E">
      <w:pPr>
        <w:pStyle w:val="Numbered111"/>
      </w:pPr>
      <w:r w:rsidRPr="00D00D9A">
        <w:t>in a form that is capable of audit; and</w:t>
      </w:r>
    </w:p>
    <w:p w14:paraId="5755B788" w14:textId="77777777" w:rsidR="00F67E9E" w:rsidRPr="00D00D9A" w:rsidRDefault="00F67E9E" w:rsidP="00F67E9E">
      <w:pPr>
        <w:pStyle w:val="Numbered111"/>
      </w:pPr>
      <w:r w:rsidRPr="00D00D9A">
        <w:lastRenderedPageBreak/>
        <w:t>at its own expense.</w:t>
      </w:r>
    </w:p>
    <w:p w14:paraId="0E6EC04A" w14:textId="77777777" w:rsidR="00F67E9E" w:rsidRPr="00D00D9A" w:rsidRDefault="00F67E9E" w:rsidP="00F67E9E">
      <w:pPr>
        <w:pStyle w:val="Numbered11"/>
      </w:pPr>
      <w:r w:rsidRPr="00D00D9A">
        <w:t>The Supplier shall make the Records available for inspection to the Authority on request, subject to the Authority giving reasonable notice.</w:t>
      </w:r>
    </w:p>
    <w:p w14:paraId="49D38F3B" w14:textId="77777777" w:rsidR="00F67E9E" w:rsidRPr="00E42F6F" w:rsidRDefault="00F67E9E" w:rsidP="00F67E9E">
      <w:pPr>
        <w:pStyle w:val="Numbered11"/>
      </w:pPr>
      <w:bookmarkStart w:id="1605" w:name="_9kR3WTrAG9BHCAEiUjuvWRjuA0200567A7xB8z4"/>
      <w:r w:rsidRPr="00D00D9A">
        <w:t xml:space="preserve">Where </w:t>
      </w:r>
      <w:r w:rsidRPr="00E42F6F">
        <w:t>Records are retained in electronic form, the original metadata shall be preserved together with all subsequent metadata in a format reasonably accessible to the Authority.</w:t>
      </w:r>
      <w:bookmarkEnd w:id="1605"/>
    </w:p>
    <w:p w14:paraId="542A94B0" w14:textId="701D2ACB" w:rsidR="00F67E9E" w:rsidRPr="00E42F6F" w:rsidRDefault="00F67E9E" w:rsidP="00F67E9E">
      <w:pPr>
        <w:pStyle w:val="Numbered11"/>
      </w:pPr>
      <w:r w:rsidRPr="00E42F6F">
        <w:t>The Supplier shall, during the Term and a period of at least 7 years following the expiry or termination of this Contract, maintain or cause to be maintained complete and accurate documents and records in relation to the provision of the Services including but not limited to all Records</w:t>
      </w:r>
      <w:r w:rsidR="00967C24">
        <w:t>, subject always to the duties of the Supplier to delete, destroy or return any specific information or records if it is directed to do so by the Authority in accordance with the terms of this Contract</w:t>
      </w:r>
      <w:r w:rsidRPr="00E42F6F">
        <w:t>.</w:t>
      </w:r>
    </w:p>
    <w:p w14:paraId="0096FE01" w14:textId="77777777" w:rsidR="00F67E9E" w:rsidRPr="00E42F6F" w:rsidRDefault="00F67E9E" w:rsidP="00F67E9E">
      <w:pPr>
        <w:pStyle w:val="Numbered11"/>
      </w:pPr>
      <w:r w:rsidRPr="00E42F6F">
        <w:t>Records that contain financial information shall be retained and maintained in safe storage by the Supplier for a period of at least 7 years after the expiry or termination of this Contract.</w:t>
      </w:r>
    </w:p>
    <w:p w14:paraId="3B9B2C94" w14:textId="77777777" w:rsidR="00F67E9E" w:rsidRPr="00D00D9A" w:rsidRDefault="00F67E9E" w:rsidP="00F67E9E">
      <w:pPr>
        <w:pStyle w:val="Numbered11"/>
      </w:pPr>
      <w:r w:rsidRPr="00E42F6F">
        <w:t>Without prejudice</w:t>
      </w:r>
      <w:r w:rsidRPr="00D00D9A">
        <w:t xml:space="preserve"> to the foregoing, the Supplier shall provide the Authority:</w:t>
      </w:r>
    </w:p>
    <w:p w14:paraId="4B09F6CB" w14:textId="77777777" w:rsidR="00F67E9E" w:rsidRPr="00D00D9A" w:rsidRDefault="00F67E9E" w:rsidP="00F67E9E">
      <w:pPr>
        <w:pStyle w:val="Numbered111"/>
      </w:pPr>
      <w:r w:rsidRPr="00D00D9A">
        <w:t>as soon as they are available, and in any event within 60 Working Days after the end of the first 6 months of each financial year of the Supplier during the Term, a copy, certified as a true copy by an authorised representative of the Supplier, of its un-audited interim accounts and, if applicable, of consolidated un-audited interim accounts of the Supplier and its Affiliates which would (if the Supplier were listed on the London Stock Exchange (whether or not it is)) be required to be sent to shareholders as at the end of and for each such 6 month period; and</w:t>
      </w:r>
    </w:p>
    <w:p w14:paraId="584DA48F" w14:textId="77777777" w:rsidR="00F67E9E" w:rsidRPr="00D00D9A" w:rsidRDefault="00F67E9E" w:rsidP="00F67E9E">
      <w:pPr>
        <w:pStyle w:val="Numbered111"/>
      </w:pPr>
      <w:r w:rsidRPr="00D00D9A">
        <w:t>as soon as they shall have been sent to its shareholders in order to be laid before an annual general meeting of the Supplier, but not later than 130 Working Days after the end of each accounting reference period of the Supplier part or all of which falls during the Term, the Supplier</w:t>
      </w:r>
      <w:r>
        <w:t>’</w:t>
      </w:r>
      <w:r w:rsidRPr="00D00D9A">
        <w:t>s audited accounts and if applicable, of the consolidated audited accounts of the Supplier and its Affiliates in respect of that period together with copies of all related directors</w:t>
      </w:r>
      <w:r>
        <w:t>’</w:t>
      </w:r>
      <w:r w:rsidRPr="00D00D9A">
        <w:t xml:space="preserve"> and auditors</w:t>
      </w:r>
      <w:r>
        <w:t>’</w:t>
      </w:r>
      <w:r w:rsidRPr="00D00D9A">
        <w:t xml:space="preserve"> reports and all other notices/circulars to shareholders.</w:t>
      </w:r>
    </w:p>
    <w:p w14:paraId="35AEE17C" w14:textId="77777777" w:rsidR="00F67E9E" w:rsidRPr="00D00D9A" w:rsidRDefault="00F67E9E" w:rsidP="00F67E9E">
      <w:pPr>
        <w:pStyle w:val="Numbered1"/>
      </w:pPr>
      <w:bookmarkStart w:id="1606" w:name="_Ref_ContractCompanion_9kb9Us6FB"/>
      <w:bookmarkStart w:id="1607" w:name="_9kR3WTr29B889bJfifw5qESPrd6IM4wiax778X"/>
      <w:r w:rsidRPr="00D00D9A">
        <w:t>Virtual Library</w:t>
      </w:r>
      <w:bookmarkEnd w:id="1606"/>
      <w:bookmarkEnd w:id="1607"/>
    </w:p>
    <w:p w14:paraId="110D1C3B" w14:textId="77777777" w:rsidR="00F67E9E" w:rsidRPr="00D00D9A" w:rsidRDefault="00F67E9E" w:rsidP="00F67E9E">
      <w:pPr>
        <w:pStyle w:val="Numbered11"/>
      </w:pPr>
      <w:bookmarkStart w:id="1608" w:name="_Ref_ContractCompanion_9kb9Us6EF"/>
      <w:bookmarkStart w:id="1609" w:name="_9kR3WTrAG9AINKDdRjVgA63xr1G7qv7AED09EDT"/>
      <w:r w:rsidRPr="00D00D9A">
        <w:t xml:space="preserve">The Supplier shall, no later than eight (8) weeks prior to the Operational Service Commencement Date and without charge to the Authority, create a Virtual Library on which the Supplier shall (subject to any applicable legislation governing the use or processing of personal data) make information about this Contract available in </w:t>
      </w:r>
      <w:bookmarkStart w:id="1610" w:name="_9kMHG5YVt7C969Ars"/>
      <w:r w:rsidRPr="00D00D9A">
        <w:t>in</w:t>
      </w:r>
      <w:bookmarkEnd w:id="1610"/>
      <w:r w:rsidRPr="00D00D9A">
        <w:t xml:space="preserve"> accordance with the requirements outlined in this Schedule.</w:t>
      </w:r>
      <w:bookmarkEnd w:id="1608"/>
      <w:bookmarkEnd w:id="1609"/>
    </w:p>
    <w:p w14:paraId="3F00B02B" w14:textId="77777777" w:rsidR="00F67E9E" w:rsidRPr="00D00D9A" w:rsidRDefault="00F67E9E" w:rsidP="00F67E9E">
      <w:pPr>
        <w:pStyle w:val="Numbered11"/>
      </w:pPr>
      <w:bookmarkStart w:id="1611" w:name="_9kR3WTrAG9BFDEEeRjVgA63xr1G7qv714JRRCFJ"/>
      <w:r w:rsidRPr="00D00D9A">
        <w:t>The Supplier shall ensure that the Virtual Library is:</w:t>
      </w:r>
      <w:bookmarkEnd w:id="1611"/>
    </w:p>
    <w:p w14:paraId="187325F5" w14:textId="37EA691F" w:rsidR="00F67E9E" w:rsidRPr="00E42F6F" w:rsidRDefault="00F67E9E" w:rsidP="00F67E9E">
      <w:pPr>
        <w:pStyle w:val="Numbered111"/>
      </w:pPr>
      <w:r w:rsidRPr="00D00D9A">
        <w:t xml:space="preserve">capable of holding and allowing access to the information described in 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 xml:space="preserve"> of this </w:t>
      </w:r>
      <w:r w:rsidRPr="00E42F6F">
        <w:t>Schedule and includes full and accurate file details of all uploaded items including date and time of upload, version number and the name of the uploader;</w:t>
      </w:r>
    </w:p>
    <w:p w14:paraId="1483F4A9" w14:textId="77777777" w:rsidR="00F67E9E" w:rsidRPr="00E42F6F" w:rsidRDefault="00F67E9E" w:rsidP="00F67E9E">
      <w:pPr>
        <w:pStyle w:val="Numbered111"/>
      </w:pPr>
      <w:r w:rsidRPr="00E42F6F">
        <w:t xml:space="preserve">structured so that each document uploaded has a unique identifier which is </w:t>
      </w:r>
      <w:r w:rsidRPr="00E42F6F">
        <w:lastRenderedPageBreak/>
        <w:t>automatically assigned;</w:t>
      </w:r>
    </w:p>
    <w:p w14:paraId="254DA3E7" w14:textId="77777777" w:rsidR="00F67E9E" w:rsidRPr="00E42F6F" w:rsidRDefault="00F67E9E" w:rsidP="00F67E9E">
      <w:pPr>
        <w:pStyle w:val="Numbered111"/>
      </w:pPr>
      <w:r w:rsidRPr="00E42F6F">
        <w:t xml:space="preserve">readily accessible by the Authority at all times in full via a user-friendly, password protected interface to such nominated users as are notified to the Supplier by the Authority from time to time, </w:t>
      </w:r>
    </w:p>
    <w:p w14:paraId="2E95AAB6" w14:textId="77777777" w:rsidR="00F67E9E" w:rsidRPr="00E42F6F" w:rsidRDefault="00F67E9E" w:rsidP="00F67E9E">
      <w:pPr>
        <w:pStyle w:val="Numbered111"/>
      </w:pPr>
      <w:r w:rsidRPr="00E42F6F">
        <w:t>structured so as to allow nominated users to download either specific documents or the complete Virtual Library (to the extent it has Access Permission) in bulk and store and view the content offline (on a regular and automated basis);</w:t>
      </w:r>
    </w:p>
    <w:p w14:paraId="3EC2E122" w14:textId="63A6F2C4" w:rsidR="00F67E9E" w:rsidRPr="00D00D9A" w:rsidRDefault="00F67E9E" w:rsidP="00F67E9E">
      <w:pPr>
        <w:pStyle w:val="Numbered111"/>
      </w:pPr>
      <w:r w:rsidRPr="00E42F6F">
        <w:t>structure</w:t>
      </w:r>
      <w:r w:rsidRPr="00D00D9A">
        <w:t xml:space="preserve">d and maintained in accordance with the security requirements as set out in this Contract including those set out in </w:t>
      </w:r>
      <w:r>
        <w:fldChar w:fldCharType="begin"/>
      </w:r>
      <w:r>
        <w:instrText xml:space="preserve"> REF Schedule5 \h </w:instrText>
      </w:r>
      <w:r>
        <w:fldChar w:fldCharType="separate"/>
      </w:r>
      <w:r w:rsidR="007A1473" w:rsidRPr="005D0525">
        <w:t>Schedule</w:t>
      </w:r>
      <w:r w:rsidR="007A1473">
        <w:t> </w:t>
      </w:r>
      <w:r w:rsidR="007A1473" w:rsidRPr="005D0525">
        <w:t>5</w:t>
      </w:r>
      <w:r>
        <w:fldChar w:fldCharType="end"/>
      </w:r>
      <w:r>
        <w:t xml:space="preserve"> (</w:t>
      </w:r>
      <w:r w:rsidRPr="00A22335">
        <w:rPr>
          <w:i/>
          <w:iCs/>
        </w:rPr>
        <w:fldChar w:fldCharType="begin"/>
      </w:r>
      <w:r w:rsidRPr="00A22335">
        <w:rPr>
          <w:i/>
          <w:iCs/>
        </w:rPr>
        <w:instrText xml:space="preserve"> REF Schedule5Heading \h </w:instrText>
      </w:r>
      <w:r>
        <w:rPr>
          <w:i/>
          <w:iCs/>
        </w:rPr>
        <w:instrText xml:space="preserve"> \* MERGEFORMAT </w:instrText>
      </w:r>
      <w:r w:rsidRPr="00A22335">
        <w:rPr>
          <w:i/>
          <w:iCs/>
        </w:rPr>
      </w:r>
      <w:r w:rsidRPr="00A22335">
        <w:rPr>
          <w:i/>
          <w:iCs/>
        </w:rPr>
        <w:fldChar w:fldCharType="separate"/>
      </w:r>
      <w:r w:rsidR="007A1473" w:rsidRPr="007A1473">
        <w:rPr>
          <w:i/>
          <w:iCs/>
        </w:rPr>
        <w:t>Security Management</w:t>
      </w:r>
      <w:r w:rsidRPr="00A22335">
        <w:rPr>
          <w:i/>
          <w:iCs/>
        </w:rPr>
        <w:fldChar w:fldCharType="end"/>
      </w:r>
      <w:r>
        <w:t>)</w:t>
      </w:r>
      <w:r w:rsidRPr="00D00D9A">
        <w:t>;</w:t>
      </w:r>
    </w:p>
    <w:p w14:paraId="5543A719" w14:textId="756680B4" w:rsidR="00F67E9E" w:rsidRPr="00D00D9A" w:rsidRDefault="00F67E9E" w:rsidP="00F67E9E">
      <w:pPr>
        <w:pStyle w:val="Numbered111"/>
      </w:pPr>
      <w:r w:rsidRPr="00D00D9A">
        <w:t xml:space="preserve">created and based on open standards in </w:t>
      </w:r>
      <w:r>
        <w:fldChar w:fldCharType="begin"/>
      </w:r>
      <w:r>
        <w:instrText xml:space="preserve"> REF Schedule4 \h </w:instrText>
      </w:r>
      <w:r>
        <w:fldChar w:fldCharType="separate"/>
      </w:r>
      <w:r w:rsidR="007A1473" w:rsidRPr="005D0525">
        <w:t>Schedule</w:t>
      </w:r>
      <w:r w:rsidR="007A1473">
        <w:t> </w:t>
      </w:r>
      <w:r w:rsidR="007A1473" w:rsidRPr="005D0525">
        <w:t>4</w:t>
      </w:r>
      <w:r>
        <w:fldChar w:fldCharType="end"/>
      </w:r>
      <w:r>
        <w:t xml:space="preserve"> (</w:t>
      </w:r>
      <w:r w:rsidRPr="00A22335">
        <w:rPr>
          <w:i/>
          <w:iCs/>
        </w:rPr>
        <w:fldChar w:fldCharType="begin"/>
      </w:r>
      <w:r w:rsidRPr="00A22335">
        <w:rPr>
          <w:i/>
          <w:iCs/>
        </w:rPr>
        <w:instrText xml:space="preserve"> REF Schedule4Heading \h </w:instrText>
      </w:r>
      <w:r>
        <w:rPr>
          <w:i/>
          <w:iCs/>
        </w:rPr>
        <w:instrText xml:space="preserve"> \* MERGEFORMAT </w:instrText>
      </w:r>
      <w:r w:rsidRPr="00A22335">
        <w:rPr>
          <w:i/>
          <w:iCs/>
        </w:rPr>
      </w:r>
      <w:r w:rsidRPr="00A22335">
        <w:rPr>
          <w:i/>
          <w:iCs/>
        </w:rPr>
        <w:fldChar w:fldCharType="separate"/>
      </w:r>
      <w:r w:rsidR="007A1473" w:rsidRPr="007A1473">
        <w:rPr>
          <w:i/>
          <w:iCs/>
        </w:rPr>
        <w:t>Standards</w:t>
      </w:r>
      <w:r w:rsidRPr="00A22335">
        <w:rPr>
          <w:i/>
          <w:iCs/>
        </w:rPr>
        <w:fldChar w:fldCharType="end"/>
      </w:r>
      <w:r>
        <w:t>)</w:t>
      </w:r>
      <w:r w:rsidRPr="00D00D9A">
        <w:t>; and</w:t>
      </w:r>
    </w:p>
    <w:p w14:paraId="1F6E4A71" w14:textId="77777777" w:rsidR="00F67E9E" w:rsidRPr="00D00D9A" w:rsidRDefault="00F67E9E" w:rsidP="00F67E9E">
      <w:pPr>
        <w:pStyle w:val="Numbered111"/>
      </w:pPr>
      <w:r w:rsidRPr="00D00D9A">
        <w:t>backed up on a secure off-site system.</w:t>
      </w:r>
    </w:p>
    <w:p w14:paraId="652A9B27" w14:textId="4225FDED" w:rsidR="00F67E9E" w:rsidRPr="00E42F6F" w:rsidRDefault="00F67E9E" w:rsidP="00F67E9E">
      <w:pPr>
        <w:pStyle w:val="Numbered11"/>
      </w:pPr>
      <w:bookmarkStart w:id="1612" w:name="_9kR3WTrAG9BHIHFRK390mgyD1rkvyq35v5NBBUJ"/>
      <w:r w:rsidRPr="00D00D9A">
        <w:t xml:space="preserve">For the avoidance of doubt, the Virtual Library (excluding any Software used to host it) shall form a </w:t>
      </w:r>
      <w:r w:rsidRPr="00E42F6F">
        <w:t xml:space="preserve">database which constitute Project Specific IPR which shall be assigned to the Authority pursuant to </w:t>
      </w:r>
      <w:r w:rsidRPr="002C4626">
        <w:t xml:space="preserve">Paragraph </w:t>
      </w:r>
      <w:r w:rsidR="00086C29">
        <w:t>2</w:t>
      </w:r>
      <w:r w:rsidRPr="00E42F6F">
        <w:t xml:space="preserve"> of </w:t>
      </w:r>
      <w:r>
        <w:fldChar w:fldCharType="begin"/>
      </w:r>
      <w:r>
        <w:instrText xml:space="preserve"> REF Schedule32 \h </w:instrText>
      </w:r>
      <w:r>
        <w:fldChar w:fldCharType="separate"/>
      </w:r>
      <w:r w:rsidR="007A1473" w:rsidRPr="00477926">
        <w:t>Schedule</w:t>
      </w:r>
      <w:r w:rsidR="007A1473">
        <w:t> </w:t>
      </w:r>
      <w:r w:rsidR="007A1473" w:rsidRPr="00477926">
        <w:t>32</w:t>
      </w:r>
      <w:r>
        <w:fldChar w:fldCharType="end"/>
      </w:r>
      <w:r w:rsidRPr="00E42F6F">
        <w:rPr>
          <w:rStyle w:val="StdBodyTextBoldChar"/>
          <w:rFonts w:asciiTheme="minorHAnsi" w:eastAsia="Arial" w:hAnsiTheme="minorHAnsi" w:cstheme="minorHAnsi"/>
          <w:b w:val="0"/>
          <w:lang w:eastAsia="en-US"/>
        </w:rPr>
        <w:t xml:space="preserve"> (</w:t>
      </w:r>
      <w:r w:rsidRPr="002F79D9">
        <w:rPr>
          <w:rStyle w:val="StdBodyTextBoldChar"/>
          <w:rFonts w:asciiTheme="minorHAnsi" w:eastAsia="Arial" w:hAnsiTheme="minorHAnsi" w:cstheme="minorHAnsi"/>
          <w:b w:val="0"/>
          <w:i/>
          <w:iCs/>
          <w:lang w:eastAsia="en-US"/>
        </w:rPr>
        <w:fldChar w:fldCharType="begin"/>
      </w:r>
      <w:r w:rsidRPr="002F79D9">
        <w:rPr>
          <w:rStyle w:val="StdBodyTextBoldChar"/>
          <w:rFonts w:asciiTheme="minorHAnsi" w:eastAsia="Arial" w:hAnsiTheme="minorHAnsi" w:cstheme="minorHAnsi"/>
          <w:b w:val="0"/>
          <w:i/>
          <w:iCs/>
          <w:lang w:eastAsia="en-US"/>
        </w:rPr>
        <w:instrText xml:space="preserve"> REF Schedule32Heading \h </w:instrText>
      </w:r>
      <w:r>
        <w:rPr>
          <w:rStyle w:val="StdBodyTextBoldChar"/>
          <w:rFonts w:asciiTheme="minorHAnsi" w:eastAsia="Arial" w:hAnsiTheme="minorHAnsi" w:cstheme="minorHAnsi"/>
          <w:b w:val="0"/>
          <w:i/>
          <w:iCs/>
          <w:lang w:eastAsia="en-US"/>
        </w:rPr>
        <w:instrText xml:space="preserve"> \* MERGEFORMAT </w:instrText>
      </w:r>
      <w:r w:rsidRPr="002F79D9">
        <w:rPr>
          <w:rStyle w:val="StdBodyTextBoldChar"/>
          <w:rFonts w:asciiTheme="minorHAnsi" w:eastAsia="Arial" w:hAnsiTheme="minorHAnsi" w:cstheme="minorHAnsi"/>
          <w:b w:val="0"/>
          <w:i/>
          <w:iCs/>
          <w:lang w:eastAsia="en-US"/>
        </w:rPr>
      </w:r>
      <w:r w:rsidRPr="002F79D9">
        <w:rPr>
          <w:rStyle w:val="StdBodyTextBoldChar"/>
          <w:rFonts w:asciiTheme="minorHAnsi" w:eastAsia="Arial" w:hAnsiTheme="minorHAnsi" w:cstheme="minorHAnsi"/>
          <w:b w:val="0"/>
          <w:i/>
          <w:iCs/>
          <w:lang w:eastAsia="en-US"/>
        </w:rPr>
        <w:fldChar w:fldCharType="separate"/>
      </w:r>
      <w:r w:rsidR="007A1473" w:rsidRPr="007A1473">
        <w:rPr>
          <w:i/>
          <w:iCs/>
        </w:rPr>
        <w:t>Intellectual Property Rights</w:t>
      </w:r>
      <w:r w:rsidRPr="002F79D9">
        <w:rPr>
          <w:rStyle w:val="StdBodyTextBoldChar"/>
          <w:rFonts w:asciiTheme="minorHAnsi" w:eastAsia="Arial" w:hAnsiTheme="minorHAnsi" w:cstheme="minorHAnsi"/>
          <w:b w:val="0"/>
          <w:i/>
          <w:iCs/>
          <w:lang w:eastAsia="en-US"/>
        </w:rPr>
        <w:fldChar w:fldCharType="end"/>
      </w:r>
      <w:r w:rsidRPr="00E42F6F">
        <w:rPr>
          <w:rStyle w:val="StdBodyTextBoldChar"/>
          <w:rFonts w:asciiTheme="minorHAnsi" w:eastAsia="Arial" w:hAnsiTheme="minorHAnsi" w:cstheme="minorHAnsi"/>
          <w:b w:val="0"/>
          <w:lang w:eastAsia="en-US"/>
        </w:rPr>
        <w:t>)</w:t>
      </w:r>
      <w:r w:rsidRPr="00E42F6F">
        <w:t xml:space="preserve"> of this Contract.</w:t>
      </w:r>
      <w:bookmarkEnd w:id="1612"/>
      <w:r w:rsidRPr="00E42F6F">
        <w:t xml:space="preserve"> </w:t>
      </w:r>
    </w:p>
    <w:p w14:paraId="2E8F19A9" w14:textId="169877DD" w:rsidR="00F67E9E" w:rsidRPr="00E42F6F" w:rsidRDefault="00F67E9E" w:rsidP="00F67E9E">
      <w:pPr>
        <w:pStyle w:val="Numbered11"/>
      </w:pPr>
      <w:bookmarkStart w:id="1613" w:name="_9kR3WTrAG9BBAFGgRjVgA63xr1G7qv7HMEE4ux9"/>
      <w:r w:rsidRPr="00E42F6F">
        <w:t xml:space="preserve">The Supplier shall upload complete and accurate information specified in Annex </w:t>
      </w:r>
      <w:r w:rsidRPr="00E42F6F">
        <w:fldChar w:fldCharType="begin"/>
      </w:r>
      <w:r w:rsidRPr="00E42F6F">
        <w:instrText xml:space="preserve"> REF ANNEX3_SCHEDULE24 \h  \* MERGEFORMAT </w:instrText>
      </w:r>
      <w:r w:rsidRPr="00E42F6F">
        <w:fldChar w:fldCharType="separate"/>
      </w:r>
      <w:r w:rsidR="007A1473" w:rsidRPr="00D00D9A">
        <w:t>3</w:t>
      </w:r>
      <w:r w:rsidRPr="00E42F6F">
        <w:fldChar w:fldCharType="end"/>
      </w:r>
      <w:r w:rsidRPr="00E42F6F">
        <w:t xml:space="preserve"> by the Initial Upload Date (except where prior to the launch of the Virtual Library in which case the date at which the Virtual Library is made available in accordance with </w:t>
      </w:r>
      <w:bookmarkStart w:id="1614" w:name="_9kMHG5YVtCIBCKPMFfTlXiC85zt3I9sx9CGF2BG"/>
      <w:r w:rsidRPr="00E42F6F">
        <w:t xml:space="preserve">Paragraph </w:t>
      </w:r>
      <w:r w:rsidRPr="00E42F6F">
        <w:fldChar w:fldCharType="begin"/>
      </w:r>
      <w:r w:rsidRPr="00E42F6F">
        <w:instrText xml:space="preserve"> REF _Ref_ContractCompanion_9kb9Us6EF \n \h \t \* MERGEFORMAT </w:instrText>
      </w:r>
      <w:r w:rsidRPr="00E42F6F">
        <w:fldChar w:fldCharType="separate"/>
      </w:r>
      <w:r w:rsidR="007A1473">
        <w:t>4.1</w:t>
      </w:r>
      <w:r w:rsidRPr="00E42F6F">
        <w:fldChar w:fldCharType="end"/>
      </w:r>
      <w:bookmarkEnd w:id="1614"/>
      <w:r w:rsidRPr="00E42F6F">
        <w:t>) onto Virtual Library in the format specified.</w:t>
      </w:r>
      <w:bookmarkEnd w:id="1613"/>
    </w:p>
    <w:p w14:paraId="42D830DA" w14:textId="77777777" w:rsidR="00F67E9E" w:rsidRPr="00093486" w:rsidRDefault="00F67E9E" w:rsidP="00F67E9E">
      <w:pPr>
        <w:pStyle w:val="Numbered11"/>
      </w:pPr>
      <w:r w:rsidRPr="00E42F6F">
        <w:t>Upon a</w:t>
      </w:r>
      <w:r w:rsidRPr="00093486">
        <w:t>ny document being uploaded to the Virtual Library, and where the Authority has been granted Access Permission to that document, the Supplier shall email on the same date as the upload, a copy of the document to the nominated Authority email address at:</w:t>
      </w:r>
    </w:p>
    <w:p w14:paraId="7AD6E778" w14:textId="78E051A0" w:rsidR="00F67E9E" w:rsidRPr="00093486" w:rsidRDefault="00C8035E" w:rsidP="00F67E9E">
      <w:pPr>
        <w:pStyle w:val="StdBodyText3"/>
        <w:ind w:left="0" w:firstLine="720"/>
        <w:rPr>
          <w:rFonts w:cs="Arial"/>
        </w:rPr>
      </w:pPr>
      <w:r w:rsidRPr="00C8035E">
        <w:rPr>
          <w:rFonts w:cs="Arial"/>
        </w:rPr>
        <w:t>changerequests.csjobs@cabinetoffice.gov.uk</w:t>
      </w:r>
    </w:p>
    <w:p w14:paraId="217AE35A" w14:textId="603CD14D" w:rsidR="00F67E9E" w:rsidRPr="00D00D9A" w:rsidRDefault="00F67E9E" w:rsidP="00F67E9E">
      <w:pPr>
        <w:pStyle w:val="Numbered11"/>
      </w:pPr>
      <w:r w:rsidRPr="00D00D9A">
        <w:t xml:space="preserve">Except for notices under </w:t>
      </w:r>
      <w:bookmarkStart w:id="1615" w:name="_9kR3WTr2CC6BENChrAv8MN"/>
      <w:r w:rsidRPr="00D00D9A">
        <w:t>Clause 42.4</w:t>
      </w:r>
      <w:bookmarkEnd w:id="1615"/>
      <w:r w:rsidRPr="00D00D9A">
        <w:t xml:space="preserve"> or items covered by </w:t>
      </w:r>
      <w:bookmarkStart w:id="1616" w:name="_9kR3WTr2CC6BFOChrAv8MP"/>
      <w:r w:rsidRPr="00D00D9A">
        <w:t>Clause 42.6</w:t>
      </w:r>
      <w:bookmarkEnd w:id="1616"/>
      <w:r w:rsidRPr="00D00D9A">
        <w:t>, where the Supplier is under an obligation to provide information to the Authority in a provision under this Contract, then the Supplier</w:t>
      </w:r>
      <w:r>
        <w:t>’</w:t>
      </w:r>
      <w:r w:rsidRPr="00D00D9A">
        <w:t>s upload of that information onto the Virtual Library shall satisfy the Supplier</w:t>
      </w:r>
      <w:r>
        <w:t>’</w:t>
      </w:r>
      <w:r w:rsidRPr="00D00D9A">
        <w:t xml:space="preserve">s obligation to provide the Authority with that information provided that the Authority has access in accordance with this </w:t>
      </w:r>
      <w:bookmarkStart w:id="1617" w:name="_9kR3WTr2BCAJHyknoewrqyE"/>
      <w:r w:rsidRPr="00D00D9A">
        <w:t xml:space="preserve">Paragraph </w:t>
      </w:r>
      <w:r w:rsidRPr="00D00D9A">
        <w:fldChar w:fldCharType="begin"/>
      </w:r>
      <w:r w:rsidRPr="00D00D9A">
        <w:instrText xml:space="preserve"> REF _Ref_ContractCompanion_9kb9Us6FB \w \n \h \t \* MERGEFORMAT </w:instrText>
      </w:r>
      <w:r w:rsidRPr="00D00D9A">
        <w:fldChar w:fldCharType="separate"/>
      </w:r>
      <w:bookmarkStart w:id="1618" w:name="_9kMHG5YVt4BDAABdLhkhy7sGURtf8KO6ykcz99A"/>
      <w:r w:rsidR="007A1473">
        <w:t>4</w:t>
      </w:r>
      <w:bookmarkEnd w:id="1618"/>
      <w:r w:rsidRPr="00D00D9A">
        <w:fldChar w:fldCharType="end"/>
      </w:r>
      <w:bookmarkEnd w:id="1617"/>
      <w:r w:rsidRPr="00D00D9A">
        <w:t xml:space="preserve"> and the uploaded information meets the requirements more particularly specified in the relevant provision. </w:t>
      </w:r>
    </w:p>
    <w:p w14:paraId="0270B7CF" w14:textId="130B76AC" w:rsidR="00F67E9E" w:rsidRPr="00D00D9A" w:rsidRDefault="00F67E9E" w:rsidP="00F67E9E">
      <w:pPr>
        <w:pStyle w:val="Numbered11"/>
      </w:pPr>
      <w:r w:rsidRPr="00D00D9A">
        <w:t xml:space="preserve">Except to the extent that the requirements provide for earlier and more regular Authority access to up-to-date information, 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 xml:space="preserve"> shall not take precedence over any other obligation to provide information in this Contract and the Supplier shall refer to the applicable clause for further details as to the requirement.</w:t>
      </w:r>
    </w:p>
    <w:p w14:paraId="394837F2" w14:textId="3E680FEF" w:rsidR="00F67E9E" w:rsidRPr="00D00D9A" w:rsidRDefault="00F67E9E" w:rsidP="00F67E9E">
      <w:pPr>
        <w:pStyle w:val="Numbered11"/>
      </w:pPr>
      <w:r w:rsidRPr="00D00D9A">
        <w:t>The Suppl</w:t>
      </w:r>
      <w:r w:rsidR="00A10006">
        <w:t>i</w:t>
      </w:r>
      <w:r w:rsidRPr="00D00D9A">
        <w:t xml:space="preserve">er shall provide each specified person (as set out in column 6 of the table at 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 xml:space="preserve">) access to view and download the specified information in the Virtual Library in 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 xml:space="preserve"> subject upon the occurrence of the event specified in the column marked Access Permission in 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 xml:space="preserve"> to this Schedule.</w:t>
      </w:r>
    </w:p>
    <w:p w14:paraId="22971E27" w14:textId="7C578A8E" w:rsidR="00F67E9E" w:rsidRPr="00D00D9A" w:rsidRDefault="00F67E9E" w:rsidP="00F67E9E">
      <w:pPr>
        <w:pStyle w:val="Numbered11"/>
      </w:pPr>
      <w:r w:rsidRPr="00D00D9A">
        <w:t xml:space="preserve">Where Access Permission is not listed (in column 6 of the table at 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 xml:space="preserve">) as being subject to the occurrence of a certain event the Supplier shall grant access to the person </w:t>
      </w:r>
      <w:r w:rsidRPr="00D00D9A">
        <w:lastRenderedPageBreak/>
        <w:t xml:space="preserve">and information specified (in column 6 of the table at 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 xml:space="preserve">) from the Initial Upload Date. </w:t>
      </w:r>
    </w:p>
    <w:p w14:paraId="1A6C837B" w14:textId="77777777" w:rsidR="00F67E9E" w:rsidRPr="00D00D9A" w:rsidRDefault="00F67E9E" w:rsidP="00F67E9E">
      <w:pPr>
        <w:pStyle w:val="Numbered11"/>
      </w:pPr>
      <w:r w:rsidRPr="00D00D9A">
        <w:t>Where Access Permission is specified as being granted to the Authority</w:t>
      </w:r>
      <w:r>
        <w:t>’</w:t>
      </w:r>
      <w:r w:rsidRPr="00D00D9A">
        <w:t>s Third Party Auditor (prior to the Authority being granted access) it shall:</w:t>
      </w:r>
    </w:p>
    <w:p w14:paraId="4FFCB9D5" w14:textId="3F6E3D30" w:rsidR="00F67E9E" w:rsidRPr="00E42F6F" w:rsidRDefault="00F67E9E" w:rsidP="00F67E9E">
      <w:pPr>
        <w:pStyle w:val="Numbered111"/>
      </w:pPr>
      <w:r w:rsidRPr="00D00D9A">
        <w:t xml:space="preserve">be entitled to access, view and download information specified in 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 xml:space="preserve"> subject to it entering into a confidentiality agreement with the Supplier to keep the contents confidential (except to the extent disclosure of the confidential information </w:t>
      </w:r>
      <w:r w:rsidRPr="00E42F6F">
        <w:t xml:space="preserve">is required under </w:t>
      </w:r>
      <w:bookmarkStart w:id="1619" w:name="_9kMHG5YVtCIBCLOKFCnswv69FIEF9vPaQEALGJa"/>
      <w:r w:rsidRPr="00E42F6F">
        <w:t xml:space="preserve">Paragraph </w:t>
      </w:r>
      <w:r w:rsidRPr="00E42F6F">
        <w:fldChar w:fldCharType="begin"/>
      </w:r>
      <w:r w:rsidRPr="00E42F6F">
        <w:instrText xml:space="preserve"> REF _Ref_ContractCompanion_9kb9Us6FG \w \h \t \* MERGEFORMAT </w:instrText>
      </w:r>
      <w:r w:rsidRPr="00E42F6F">
        <w:fldChar w:fldCharType="separate"/>
      </w:r>
      <w:r w:rsidR="007A1473">
        <w:t>4.10.2</w:t>
      </w:r>
      <w:r w:rsidRPr="00E42F6F">
        <w:fldChar w:fldCharType="end"/>
      </w:r>
      <w:bookmarkEnd w:id="1619"/>
      <w:r w:rsidRPr="00E42F6F">
        <w:t xml:space="preserve"> of this Schedule); and</w:t>
      </w:r>
    </w:p>
    <w:p w14:paraId="2D720A67" w14:textId="77777777" w:rsidR="00F67E9E" w:rsidRPr="00D00D9A" w:rsidRDefault="00F67E9E" w:rsidP="00F67E9E">
      <w:pPr>
        <w:pStyle w:val="Numbered111"/>
      </w:pPr>
      <w:bookmarkStart w:id="1620" w:name="_9kR3WTrAG9AJMIDAlqut47DGCD7tNYOC8JEHYGC"/>
      <w:bookmarkStart w:id="1621" w:name="_Ref_ContractCompanion_9kb9Us6FG"/>
      <w:r w:rsidRPr="00E42F6F">
        <w:t>report to the Authority</w:t>
      </w:r>
      <w:r w:rsidRPr="00D00D9A">
        <w:t xml:space="preserve"> (at its request) as to the completeness and accuracy of the information but not the substance of the information.</w:t>
      </w:r>
      <w:bookmarkEnd w:id="1620"/>
      <w:r w:rsidRPr="00D00D9A">
        <w:t xml:space="preserve"> </w:t>
      </w:r>
      <w:bookmarkEnd w:id="1621"/>
    </w:p>
    <w:p w14:paraId="0B05EC16" w14:textId="1C29F2DA" w:rsidR="00F67E9E" w:rsidRPr="00D00D9A" w:rsidRDefault="00F67E9E" w:rsidP="00F67E9E">
      <w:pPr>
        <w:pStyle w:val="Numbered11"/>
      </w:pPr>
      <w:r w:rsidRPr="00D00D9A">
        <w:t xml:space="preserve">The Supplier shall ensure that the Virtual Library retains in an accessible form all historic or superseded records of the information specified </w:t>
      </w:r>
      <w:bookmarkStart w:id="1622" w:name="_9kR3WTr2BCAJNPCwozP"/>
      <w:bookmarkEnd w:id="1622"/>
      <w:r w:rsidRPr="00D00D9A">
        <w:t xml:space="preserve">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w:t>
      </w:r>
      <w:r>
        <w:t xml:space="preserve"> </w:t>
      </w:r>
      <w:r w:rsidRPr="00D00D9A">
        <w:t>In order to maintain the integrity of the historic archive of the information and documentation and for the purposes of maintaining a clear audit trail, the Supplier shall not delete or overwrite any information that has been stored in the Virtual Library, except for the purposes of maintenance (provided no information is lost during maintenance) or to enable the Supplier to comply with Data Protection Legislation.</w:t>
      </w:r>
    </w:p>
    <w:p w14:paraId="7D3EB339" w14:textId="77777777" w:rsidR="00F67E9E" w:rsidRPr="00D00D9A" w:rsidRDefault="00F67E9E" w:rsidP="00F67E9E">
      <w:pPr>
        <w:pStyle w:val="Numbered11"/>
      </w:pPr>
      <w:r w:rsidRPr="00D00D9A">
        <w:t xml:space="preserve">The Supplier warrants that the information uploaded to the Virtual Library is accurate, complete, up-to-date and in accordance with this Contract at the date of upload. </w:t>
      </w:r>
    </w:p>
    <w:p w14:paraId="696E8A7D" w14:textId="18F0785D" w:rsidR="00F67E9E" w:rsidRPr="00D00D9A" w:rsidRDefault="00F67E9E" w:rsidP="00F67E9E">
      <w:pPr>
        <w:pStyle w:val="Numbered11"/>
      </w:pPr>
      <w:r w:rsidRPr="00D00D9A">
        <w:t xml:space="preserve">Where the Supplier becomes aware that any of the information provided on the Virtual Library is materially inaccurate, incomplete or out of date (other than in respect of historic versions of documents) the Supplier shall provide an update to the information within fourteen (14) days unless already due to be updated beforehand due to an Update Requirement specified in </w:t>
      </w:r>
      <w:bookmarkStart w:id="1623" w:name="_9kMHG5YVt4DECLPREyq1R"/>
      <w:bookmarkEnd w:id="1623"/>
      <w:r w:rsidRPr="00D00D9A">
        <w:t xml:space="preserve">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w:t>
      </w:r>
    </w:p>
    <w:p w14:paraId="50C3D61E" w14:textId="5014795E" w:rsidR="00F67E9E" w:rsidRPr="00D00D9A" w:rsidRDefault="00F67E9E" w:rsidP="00F67E9E">
      <w:pPr>
        <w:pStyle w:val="Numbered11"/>
      </w:pPr>
      <w:r w:rsidRPr="00D00D9A">
        <w:t xml:space="preserve">In the event of a conflict between any requirement in this Contract (excluding 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 xml:space="preserve">) for the Supplier to provide information to the Authority and the requirements set out in Annex </w:t>
      </w:r>
      <w:r w:rsidRPr="00D00D9A">
        <w:fldChar w:fldCharType="begin"/>
      </w:r>
      <w:r w:rsidRPr="00D00D9A">
        <w:instrText xml:space="preserve"> REF ANNEX3_SCHEDULE24 \h </w:instrText>
      </w:r>
      <w:r>
        <w:instrText xml:space="preserve"> \* MERGEFORMAT </w:instrText>
      </w:r>
      <w:r w:rsidRPr="00D00D9A">
        <w:fldChar w:fldCharType="separate"/>
      </w:r>
      <w:r w:rsidR="007A1473" w:rsidRPr="00D00D9A">
        <w:t>3</w:t>
      </w:r>
      <w:r w:rsidRPr="00D00D9A">
        <w:fldChar w:fldCharType="end"/>
      </w:r>
      <w:r w:rsidRPr="00D00D9A">
        <w:t xml:space="preserve"> of this Schedule, the requirement elsewhere in this Contract shall prevail. </w:t>
      </w:r>
    </w:p>
    <w:p w14:paraId="03FA2EA5" w14:textId="77777777" w:rsidR="00F67E9E" w:rsidRPr="00D00D9A" w:rsidRDefault="00F67E9E" w:rsidP="00F67E9E">
      <w:pPr>
        <w:pStyle w:val="Numbered11"/>
      </w:pPr>
      <w:r w:rsidRPr="00D00D9A">
        <w:t xml:space="preserve">The Supplier shall ensure that all approved users of the Virtual Library are alerted by email each time that information in the Virtual Library is uploaded or updated as it occurs. </w:t>
      </w:r>
    </w:p>
    <w:p w14:paraId="2FDC1914" w14:textId="77777777" w:rsidR="00F67E9E" w:rsidRPr="00D00D9A" w:rsidRDefault="00F67E9E" w:rsidP="00F67E9E">
      <w:pPr>
        <w:pStyle w:val="Numbered11"/>
      </w:pPr>
      <w:r w:rsidRPr="00D00D9A">
        <w:t>No later than one (1) Month prior to the Operational Service Commencement Date, the Supplier shall provide training manuals to the Authority relating to the use of the Virtual Library.</w:t>
      </w:r>
    </w:p>
    <w:p w14:paraId="29BAE364" w14:textId="77777777" w:rsidR="00F67E9E" w:rsidRPr="00D00D9A" w:rsidRDefault="00F67E9E" w:rsidP="00F67E9E">
      <w:pPr>
        <w:pStyle w:val="Numbered11"/>
      </w:pPr>
      <w:r w:rsidRPr="00D00D9A">
        <w:t>On request by the Authority the Supplier shall provide the Authority</w:t>
      </w:r>
      <w:r>
        <w:t>’</w:t>
      </w:r>
      <w:r w:rsidRPr="00D00D9A">
        <w:t xml:space="preserve">s nominated users with a reasonable level of training and ongoing support to enable them to make use of the Virtual Library. </w:t>
      </w:r>
    </w:p>
    <w:p w14:paraId="01B245FA" w14:textId="77777777" w:rsidR="00F67E9E" w:rsidRPr="00D00D9A" w:rsidRDefault="00F67E9E" w:rsidP="00F67E9E">
      <w:pPr>
        <w:pStyle w:val="Numbered11"/>
      </w:pPr>
      <w:r w:rsidRPr="00D00D9A">
        <w:t>For the avoidance of doubt, the cost of any redactions, access restrictions or compliance with the Data Protection Legislation in respect of the information hosted on the Virtual Library shall be at the Supplier</w:t>
      </w:r>
      <w:r>
        <w:t>’</w:t>
      </w:r>
      <w:r w:rsidRPr="00D00D9A">
        <w:t>s own cost and expense.</w:t>
      </w:r>
    </w:p>
    <w:p w14:paraId="2F3348B6" w14:textId="77777777" w:rsidR="00F67E9E" w:rsidRDefault="00F67E9E" w:rsidP="00F67E9E">
      <w:pPr>
        <w:rPr>
          <w:lang w:eastAsia="en-GB"/>
        </w:rPr>
      </w:pPr>
    </w:p>
    <w:p w14:paraId="5D792D22" w14:textId="77777777" w:rsidR="00F67E9E" w:rsidRPr="004B01D8" w:rsidRDefault="00F67E9E" w:rsidP="00F67E9E">
      <w:pPr>
        <w:pStyle w:val="Heading2"/>
        <w:pageBreakBefore/>
      </w:pPr>
      <w:bookmarkStart w:id="1624" w:name="_Ref_ContractCompanion_9kb9Ur7D7"/>
      <w:bookmarkStart w:id="1625" w:name="_Ref_ContractCompanion_9kb9Ur7D9"/>
      <w:bookmarkStart w:id="1626" w:name="_Ref_ContractCompanion_9kb9Ur7DD"/>
      <w:bookmarkStart w:id="1627" w:name="_Ref_ContractCompanion_9kb9Us6DC"/>
      <w:bookmarkStart w:id="1628" w:name="_Toc145412803"/>
      <w:r w:rsidRPr="00D00D9A">
        <w:lastRenderedPageBreak/>
        <w:t xml:space="preserve">Annex </w:t>
      </w:r>
      <w:bookmarkStart w:id="1629" w:name="ANNEX1_SCHEDULE24"/>
      <w:r w:rsidRPr="00D00D9A">
        <w:t>1</w:t>
      </w:r>
      <w:bookmarkEnd w:id="1629"/>
      <w:r w:rsidRPr="00D00D9A">
        <w:t>: Transparency Reports</w:t>
      </w:r>
      <w:bookmarkEnd w:id="1624"/>
      <w:bookmarkEnd w:id="1625"/>
      <w:bookmarkEnd w:id="1626"/>
      <w:bookmarkEnd w:id="1627"/>
      <w:bookmarkEnd w:id="1628"/>
    </w:p>
    <w:p w14:paraId="4A1B3B11" w14:textId="5BD27D7F" w:rsidR="00C8035E" w:rsidRDefault="00C8035E" w:rsidP="00F67E9E">
      <w:pPr>
        <w:rPr>
          <w:b/>
          <w:bCs/>
          <w:i/>
          <w:iCs/>
          <w:lang w:eastAsia="en-GB"/>
        </w:rPr>
      </w:pPr>
    </w:p>
    <w:tbl>
      <w:tblPr>
        <w:tblW w:w="9063" w:type="dxa"/>
        <w:tblLayout w:type="fixed"/>
        <w:tblLook w:val="0000" w:firstRow="0" w:lastRow="0" w:firstColumn="0" w:lastColumn="0" w:noHBand="0" w:noVBand="0"/>
      </w:tblPr>
      <w:tblGrid>
        <w:gridCol w:w="2265"/>
        <w:gridCol w:w="2266"/>
        <w:gridCol w:w="2266"/>
        <w:gridCol w:w="2266"/>
      </w:tblGrid>
      <w:tr w:rsidR="00C8035E" w14:paraId="0CCDC2F9" w14:textId="77777777" w:rsidTr="00EC35C4">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D9D0E" w14:textId="77777777" w:rsidR="00C8035E" w:rsidRDefault="00C8035E" w:rsidP="00EC35C4">
            <w:pPr>
              <w:pBdr>
                <w:top w:val="nil"/>
                <w:left w:val="nil"/>
                <w:bottom w:val="nil"/>
                <w:right w:val="nil"/>
                <w:between w:val="nil"/>
              </w:pBdr>
              <w:spacing w:before="100" w:after="200"/>
              <w:rPr>
                <w:rFonts w:eastAsia="Arial"/>
                <w:b/>
                <w:color w:val="000000"/>
                <w:szCs w:val="24"/>
              </w:rPr>
            </w:pPr>
            <w:r>
              <w:rPr>
                <w:rFonts w:eastAsia="Arial" w:cs="Arial"/>
                <w:b/>
                <w:color w:val="000000"/>
                <w:szCs w:val="24"/>
              </w:rPr>
              <w:t>TITLE</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ED9D6" w14:textId="77777777" w:rsidR="00C8035E" w:rsidRDefault="00C8035E" w:rsidP="00EC35C4">
            <w:pPr>
              <w:pBdr>
                <w:top w:val="nil"/>
                <w:left w:val="nil"/>
                <w:bottom w:val="nil"/>
                <w:right w:val="nil"/>
                <w:between w:val="nil"/>
              </w:pBdr>
              <w:spacing w:before="100" w:after="200"/>
              <w:rPr>
                <w:rFonts w:eastAsia="Arial"/>
                <w:b/>
                <w:color w:val="000000"/>
                <w:szCs w:val="24"/>
              </w:rPr>
            </w:pPr>
            <w:r>
              <w:rPr>
                <w:rFonts w:eastAsia="Arial" w:cs="Arial"/>
                <w:b/>
                <w:color w:val="000000"/>
                <w:szCs w:val="24"/>
              </w:rPr>
              <w:t>CONTENT</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9F9D" w14:textId="77777777" w:rsidR="00C8035E" w:rsidRDefault="00C8035E" w:rsidP="00EC35C4">
            <w:pPr>
              <w:pBdr>
                <w:top w:val="nil"/>
                <w:left w:val="nil"/>
                <w:bottom w:val="nil"/>
                <w:right w:val="nil"/>
                <w:between w:val="nil"/>
              </w:pBdr>
              <w:spacing w:before="100" w:after="200"/>
              <w:rPr>
                <w:rFonts w:eastAsia="Arial"/>
                <w:b/>
                <w:color w:val="000000"/>
                <w:szCs w:val="24"/>
              </w:rPr>
            </w:pPr>
            <w:r>
              <w:rPr>
                <w:rFonts w:eastAsia="Arial" w:cs="Arial"/>
                <w:b/>
                <w:color w:val="000000"/>
                <w:szCs w:val="24"/>
              </w:rPr>
              <w:t>FORMAT</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31EB5" w14:textId="77777777" w:rsidR="00C8035E" w:rsidRDefault="00C8035E" w:rsidP="00EC35C4">
            <w:pPr>
              <w:pBdr>
                <w:top w:val="nil"/>
                <w:left w:val="nil"/>
                <w:bottom w:val="nil"/>
                <w:right w:val="nil"/>
                <w:between w:val="nil"/>
              </w:pBdr>
              <w:spacing w:before="100" w:after="200"/>
              <w:rPr>
                <w:rFonts w:eastAsia="Arial"/>
                <w:b/>
                <w:color w:val="000000"/>
                <w:szCs w:val="24"/>
              </w:rPr>
            </w:pPr>
            <w:r>
              <w:rPr>
                <w:rFonts w:eastAsia="Arial" w:cs="Arial"/>
                <w:b/>
                <w:color w:val="000000"/>
                <w:szCs w:val="24"/>
              </w:rPr>
              <w:t>FREQUENCY</w:t>
            </w:r>
          </w:p>
        </w:tc>
      </w:tr>
      <w:tr w:rsidR="00C8035E" w14:paraId="70DFBE89" w14:textId="77777777" w:rsidTr="00EC35C4">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D8D4B" w14:textId="1B205F51" w:rsidR="00C8035E" w:rsidRDefault="00C8035E" w:rsidP="00EC35C4">
            <w:pPr>
              <w:pBdr>
                <w:top w:val="nil"/>
                <w:left w:val="nil"/>
                <w:bottom w:val="nil"/>
                <w:right w:val="nil"/>
                <w:between w:val="nil"/>
              </w:pBdr>
              <w:spacing w:before="100" w:after="200"/>
              <w:rPr>
                <w:rFonts w:eastAsia="Arial"/>
                <w:i/>
                <w:color w:val="000000"/>
                <w:szCs w:val="24"/>
              </w:rPr>
            </w:pPr>
            <w:r>
              <w:rPr>
                <w:rFonts w:eastAsia="Arial" w:cs="Arial"/>
                <w:b/>
                <w:color w:val="000000"/>
                <w:szCs w:val="24"/>
              </w:rPr>
              <w:t xml:space="preserve">Key </w:t>
            </w:r>
            <w:r>
              <w:rPr>
                <w:rFonts w:eastAsia="Arial" w:cs="Arial"/>
                <w:i/>
                <w:color w:val="000000"/>
                <w:szCs w:val="24"/>
              </w:rPr>
              <w:t>Performance</w:t>
            </w:r>
            <w:r>
              <w:rPr>
                <w:i/>
              </w:rPr>
              <w:t xml:space="preserve"> Indicator 1: Service Availability</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250FD" w14:textId="10EAA4C7" w:rsidR="00C8035E" w:rsidRDefault="00C8035E" w:rsidP="00EC35C4">
            <w:pPr>
              <w:pBdr>
                <w:top w:val="nil"/>
                <w:left w:val="nil"/>
                <w:bottom w:val="nil"/>
                <w:right w:val="nil"/>
                <w:between w:val="nil"/>
              </w:pBdr>
              <w:spacing w:before="100" w:after="200"/>
              <w:rPr>
                <w:rFonts w:eastAsia="Arial"/>
                <w:color w:val="000000"/>
                <w:szCs w:val="24"/>
              </w:rPr>
            </w:pPr>
            <w:r>
              <w:rPr>
                <w:rFonts w:eastAsia="Arial" w:cs="Arial"/>
                <w:i/>
                <w:color w:val="000000"/>
                <w:szCs w:val="24"/>
              </w:rPr>
              <w:t>As per Part A of Annex 1 in Schedule 3 (Performance Levels)</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AC1C" w14:textId="6E51769D" w:rsidR="00C8035E" w:rsidRDefault="00C8035E" w:rsidP="00EC35C4">
            <w:pPr>
              <w:spacing w:before="100" w:after="200"/>
              <w:rPr>
                <w:rFonts w:eastAsia="Arial"/>
                <w:color w:val="000000"/>
                <w:szCs w:val="24"/>
              </w:rPr>
            </w:pPr>
            <w:r>
              <w:rPr>
                <w:rFonts w:eastAsia="Arial" w:cs="Arial"/>
                <w:color w:val="000000"/>
                <w:szCs w:val="24"/>
              </w:rPr>
              <w:t>As per Part A of Annex 1 in Schedule 3 (Performance Levels)</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A2D7" w14:textId="21613CCC" w:rsidR="00C8035E" w:rsidRDefault="00C8035E" w:rsidP="00EC35C4">
            <w:pPr>
              <w:pBdr>
                <w:top w:val="nil"/>
                <w:left w:val="nil"/>
                <w:bottom w:val="nil"/>
                <w:right w:val="nil"/>
                <w:between w:val="nil"/>
              </w:pBdr>
              <w:spacing w:before="100" w:after="200"/>
              <w:rPr>
                <w:rFonts w:eastAsia="Arial"/>
                <w:color w:val="000000"/>
                <w:szCs w:val="24"/>
              </w:rPr>
            </w:pPr>
            <w:r>
              <w:rPr>
                <w:rFonts w:eastAsia="Arial" w:cs="Arial"/>
                <w:color w:val="000000"/>
                <w:szCs w:val="24"/>
              </w:rPr>
              <w:t>Monthly</w:t>
            </w:r>
          </w:p>
        </w:tc>
      </w:tr>
      <w:tr w:rsidR="00C8035E" w14:paraId="3C5E7A8F" w14:textId="77777777" w:rsidTr="00EC35C4">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82F5" w14:textId="45F0E14B" w:rsidR="00C8035E" w:rsidRDefault="00C8035E" w:rsidP="00EC35C4">
            <w:pPr>
              <w:pBdr>
                <w:top w:val="nil"/>
                <w:left w:val="nil"/>
                <w:bottom w:val="nil"/>
                <w:right w:val="nil"/>
                <w:between w:val="nil"/>
              </w:pBdr>
              <w:spacing w:before="100" w:after="200"/>
              <w:rPr>
                <w:rFonts w:eastAsia="Arial"/>
                <w:i/>
                <w:color w:val="000000"/>
                <w:szCs w:val="24"/>
              </w:rPr>
            </w:pPr>
            <w:r>
              <w:rPr>
                <w:rFonts w:eastAsia="Arial" w:cs="Arial"/>
                <w:i/>
                <w:color w:val="000000"/>
                <w:szCs w:val="24"/>
              </w:rPr>
              <w:t>Key Performance Indicator 2 - Client Help Desk Response Times</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CE23" w14:textId="58EC1322" w:rsidR="00C8035E" w:rsidRDefault="00C8035E" w:rsidP="00EC35C4">
            <w:pPr>
              <w:spacing w:before="100" w:after="200"/>
              <w:rPr>
                <w:rFonts w:eastAsia="Arial"/>
                <w:color w:val="000000"/>
                <w:szCs w:val="24"/>
              </w:rPr>
            </w:pPr>
            <w:r>
              <w:rPr>
                <w:rFonts w:eastAsia="Arial" w:cs="Arial"/>
                <w:i/>
                <w:color w:val="000000"/>
                <w:szCs w:val="24"/>
              </w:rPr>
              <w:t>As per Part A of Annex 1 in Schedule 3 (Performance Levels)</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20C72" w14:textId="3146C8B5" w:rsidR="00C8035E" w:rsidRDefault="00C8035E" w:rsidP="00EC35C4">
            <w:pPr>
              <w:spacing w:before="100" w:after="200"/>
              <w:rPr>
                <w:rFonts w:eastAsia="Arial"/>
                <w:color w:val="000000"/>
                <w:szCs w:val="24"/>
              </w:rPr>
            </w:pPr>
            <w:r>
              <w:rPr>
                <w:rFonts w:eastAsia="Arial" w:cs="Arial"/>
                <w:color w:val="000000"/>
                <w:szCs w:val="24"/>
              </w:rPr>
              <w:t>As per Part A of Annex 1 in Schedule 3 (Performance Levels)</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47BCE" w14:textId="164BBE05" w:rsidR="00C8035E" w:rsidRDefault="00C8035E" w:rsidP="00EC35C4">
            <w:pPr>
              <w:spacing w:before="100" w:after="200"/>
              <w:rPr>
                <w:rFonts w:eastAsia="Arial"/>
                <w:color w:val="000000"/>
                <w:szCs w:val="24"/>
              </w:rPr>
            </w:pPr>
            <w:r>
              <w:rPr>
                <w:rFonts w:eastAsia="Arial" w:cs="Arial"/>
                <w:color w:val="000000"/>
                <w:szCs w:val="24"/>
              </w:rPr>
              <w:t>Monthly</w:t>
            </w:r>
          </w:p>
        </w:tc>
      </w:tr>
      <w:tr w:rsidR="00C8035E" w14:paraId="3E24D897" w14:textId="77777777" w:rsidTr="00EC35C4">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88EF" w14:textId="188FA886" w:rsidR="00C8035E" w:rsidRDefault="00C8035E" w:rsidP="00EC35C4">
            <w:pPr>
              <w:pBdr>
                <w:top w:val="nil"/>
                <w:left w:val="nil"/>
                <w:bottom w:val="nil"/>
                <w:right w:val="nil"/>
                <w:between w:val="nil"/>
              </w:pBdr>
              <w:spacing w:before="100" w:after="200"/>
              <w:rPr>
                <w:rFonts w:eastAsia="Arial"/>
                <w:i/>
                <w:color w:val="000000"/>
                <w:szCs w:val="24"/>
              </w:rPr>
            </w:pPr>
            <w:r>
              <w:rPr>
                <w:rFonts w:eastAsia="Arial" w:cs="Arial"/>
                <w:i/>
                <w:color w:val="000000"/>
                <w:szCs w:val="24"/>
              </w:rPr>
              <w:t>Key Performance Indicator 3 - Candidate Help Desk Response Times</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1E927" w14:textId="416460D8" w:rsidR="00C8035E" w:rsidRDefault="00C8035E" w:rsidP="00EC35C4">
            <w:pPr>
              <w:spacing w:before="100" w:after="200"/>
              <w:rPr>
                <w:rFonts w:eastAsia="Arial"/>
                <w:color w:val="000000"/>
                <w:szCs w:val="24"/>
              </w:rPr>
            </w:pPr>
            <w:r>
              <w:rPr>
                <w:rFonts w:eastAsia="Arial" w:cs="Arial"/>
                <w:i/>
                <w:color w:val="000000"/>
                <w:szCs w:val="24"/>
              </w:rPr>
              <w:t>As per Part A of Annex 1 in Schedule 3 (Performance Levels)</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A5D14" w14:textId="35C77E85" w:rsidR="00C8035E" w:rsidRDefault="00C8035E" w:rsidP="00EC35C4">
            <w:pPr>
              <w:spacing w:before="100" w:after="200"/>
              <w:rPr>
                <w:rFonts w:eastAsia="Arial"/>
                <w:color w:val="000000"/>
                <w:szCs w:val="24"/>
              </w:rPr>
            </w:pPr>
            <w:r>
              <w:rPr>
                <w:rFonts w:eastAsia="Arial" w:cs="Arial"/>
                <w:color w:val="000000"/>
                <w:szCs w:val="24"/>
              </w:rPr>
              <w:t>As per Part A of Annex 1 in Schedule 3 (Performance Levels)</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18EEC" w14:textId="327A80D1" w:rsidR="00C8035E" w:rsidRDefault="00C8035E" w:rsidP="00EC35C4">
            <w:pPr>
              <w:spacing w:before="100" w:after="200"/>
              <w:rPr>
                <w:rFonts w:eastAsia="Arial"/>
                <w:color w:val="000000"/>
                <w:szCs w:val="24"/>
              </w:rPr>
            </w:pPr>
            <w:r>
              <w:rPr>
                <w:rFonts w:eastAsia="Arial" w:cs="Arial"/>
                <w:color w:val="000000"/>
                <w:szCs w:val="24"/>
              </w:rPr>
              <w:t>Monthly</w:t>
            </w:r>
          </w:p>
        </w:tc>
      </w:tr>
      <w:tr w:rsidR="00C8035E" w14:paraId="3759D9FC" w14:textId="77777777" w:rsidTr="00EC35C4">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8681E" w14:textId="141FD606" w:rsidR="00C8035E" w:rsidRDefault="00C8035E" w:rsidP="00EC35C4">
            <w:pPr>
              <w:pBdr>
                <w:top w:val="nil"/>
                <w:left w:val="nil"/>
                <w:bottom w:val="nil"/>
                <w:right w:val="nil"/>
                <w:between w:val="nil"/>
              </w:pBdr>
              <w:spacing w:before="100" w:after="200"/>
              <w:rPr>
                <w:rFonts w:eastAsia="Arial"/>
                <w:i/>
                <w:color w:val="000000"/>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F3378" w14:textId="77777777" w:rsidR="00C8035E" w:rsidRDefault="00C8035E" w:rsidP="00EC35C4">
            <w:pPr>
              <w:spacing w:before="100" w:after="200"/>
              <w:rPr>
                <w:rFonts w:eastAsia="Arial"/>
                <w:color w:val="000000"/>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66400" w14:textId="77777777" w:rsidR="00C8035E" w:rsidRDefault="00C8035E" w:rsidP="00EC35C4">
            <w:pPr>
              <w:spacing w:before="100" w:after="200"/>
              <w:rPr>
                <w:rFonts w:eastAsia="Arial"/>
                <w:color w:val="000000"/>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32EF" w14:textId="77777777" w:rsidR="00C8035E" w:rsidRDefault="00C8035E" w:rsidP="00EC35C4">
            <w:pPr>
              <w:pBdr>
                <w:top w:val="nil"/>
                <w:left w:val="nil"/>
                <w:bottom w:val="nil"/>
                <w:right w:val="nil"/>
                <w:between w:val="nil"/>
              </w:pBdr>
              <w:spacing w:before="100" w:after="200"/>
              <w:rPr>
                <w:rFonts w:eastAsia="Arial"/>
                <w:color w:val="000000"/>
                <w:szCs w:val="24"/>
              </w:rPr>
            </w:pPr>
          </w:p>
        </w:tc>
      </w:tr>
    </w:tbl>
    <w:p w14:paraId="35255325" w14:textId="77777777" w:rsidR="00C8035E" w:rsidRPr="00266335" w:rsidRDefault="00C8035E" w:rsidP="00F67E9E">
      <w:pPr>
        <w:rPr>
          <w:b/>
          <w:bCs/>
          <w:i/>
          <w:iCs/>
          <w:lang w:eastAsia="zh-CN"/>
        </w:rPr>
      </w:pPr>
    </w:p>
    <w:p w14:paraId="7F438C80" w14:textId="77777777" w:rsidR="00F67E9E" w:rsidRPr="004B01D8" w:rsidRDefault="00F67E9E" w:rsidP="00F67E9E">
      <w:pPr>
        <w:pStyle w:val="Heading2"/>
        <w:pageBreakBefore/>
      </w:pPr>
      <w:bookmarkStart w:id="1630" w:name="_Ref92447023"/>
      <w:bookmarkStart w:id="1631" w:name="_Toc145412804"/>
      <w:r w:rsidRPr="00D00D9A">
        <w:lastRenderedPageBreak/>
        <w:t xml:space="preserve">Annex </w:t>
      </w:r>
      <w:bookmarkStart w:id="1632" w:name="ANNEX2_SCHEDULE24"/>
      <w:r w:rsidRPr="00D00D9A">
        <w:t>2</w:t>
      </w:r>
      <w:bookmarkEnd w:id="1632"/>
      <w:r w:rsidRPr="00D00D9A">
        <w:t xml:space="preserve">: Records </w:t>
      </w:r>
      <w:r>
        <w:t>t</w:t>
      </w:r>
      <w:r w:rsidRPr="00D00D9A">
        <w:t xml:space="preserve">o </w:t>
      </w:r>
      <w:r>
        <w:t>b</w:t>
      </w:r>
      <w:r w:rsidRPr="00D00D9A">
        <w:t xml:space="preserve">e Kept </w:t>
      </w:r>
      <w:r>
        <w:t>b</w:t>
      </w:r>
      <w:r w:rsidRPr="00D00D9A">
        <w:t xml:space="preserve">y </w:t>
      </w:r>
      <w:r>
        <w:t>t</w:t>
      </w:r>
      <w:r w:rsidRPr="00D00D9A">
        <w:t>he Supplier</w:t>
      </w:r>
      <w:bookmarkEnd w:id="1630"/>
      <w:bookmarkEnd w:id="1631"/>
    </w:p>
    <w:p w14:paraId="5D7208C1" w14:textId="77777777" w:rsidR="00F67E9E" w:rsidRPr="00D00D9A" w:rsidRDefault="00F67E9E" w:rsidP="00F67E9E">
      <w:pPr>
        <w:pStyle w:val="StdBodyText"/>
        <w:rPr>
          <w:rFonts w:cs="Arial"/>
        </w:rPr>
      </w:pPr>
      <w:r w:rsidRPr="00D00D9A">
        <w:rPr>
          <w:rFonts w:cs="Arial"/>
        </w:rPr>
        <w:t>The records to be kept by the Supplier are:</w:t>
      </w:r>
    </w:p>
    <w:p w14:paraId="7AC6B07F" w14:textId="77777777" w:rsidR="00F67E9E" w:rsidRPr="009E3F09" w:rsidRDefault="00F67E9E" w:rsidP="00F13933">
      <w:pPr>
        <w:pStyle w:val="AppendixText1"/>
        <w:numPr>
          <w:ilvl w:val="0"/>
          <w:numId w:val="45"/>
        </w:numPr>
        <w:tabs>
          <w:tab w:val="clear" w:pos="720"/>
          <w:tab w:val="num" w:pos="1080"/>
        </w:tabs>
        <w:rPr>
          <w:b w:val="0"/>
          <w:bCs/>
        </w:rPr>
      </w:pPr>
      <w:bookmarkStart w:id="1633" w:name="_9kR3WTrAG9BJMPCwozOGiWs4XG43r013JFGR1g2"/>
      <w:r w:rsidRPr="009E3F09">
        <w:rPr>
          <w:b w:val="0"/>
          <w:bCs/>
        </w:rPr>
        <w:t>This Contract, its Schedules and all amendments to such documents.</w:t>
      </w:r>
      <w:bookmarkEnd w:id="1633"/>
    </w:p>
    <w:p w14:paraId="336DF6EB" w14:textId="77777777" w:rsidR="00F67E9E" w:rsidRPr="009E3F09" w:rsidRDefault="00F67E9E" w:rsidP="00F67E9E">
      <w:pPr>
        <w:pStyle w:val="AppendixText1"/>
        <w:keepNext w:val="0"/>
        <w:rPr>
          <w:b w:val="0"/>
          <w:bCs/>
        </w:rPr>
      </w:pPr>
      <w:r w:rsidRPr="009E3F09">
        <w:rPr>
          <w:b w:val="0"/>
          <w:bCs/>
        </w:rPr>
        <w:t>All other documents which this Contract expressly requires to be prepared.</w:t>
      </w:r>
    </w:p>
    <w:p w14:paraId="1CA655BD" w14:textId="77777777" w:rsidR="00F67E9E" w:rsidRPr="009E3F09" w:rsidRDefault="00F67E9E" w:rsidP="00F67E9E">
      <w:pPr>
        <w:pStyle w:val="AppendixText1"/>
        <w:keepNext w:val="0"/>
        <w:rPr>
          <w:b w:val="0"/>
          <w:bCs/>
        </w:rPr>
      </w:pPr>
      <w:bookmarkStart w:id="1634" w:name="_9kR3WTrAG9CC6HCwozOIiRjuA02H4zw5E98FOPJ"/>
      <w:r w:rsidRPr="009E3F09">
        <w:rPr>
          <w:b w:val="0"/>
          <w:bCs/>
        </w:rPr>
        <w:t>Records relating to the appointment and succession of the Supplier Representative and each member of the Key Personnel.</w:t>
      </w:r>
      <w:bookmarkEnd w:id="1634"/>
    </w:p>
    <w:p w14:paraId="3433E843" w14:textId="77777777" w:rsidR="00F67E9E" w:rsidRPr="009E3F09" w:rsidRDefault="00F67E9E" w:rsidP="00F67E9E">
      <w:pPr>
        <w:pStyle w:val="AppendixText1"/>
        <w:keepNext w:val="0"/>
        <w:rPr>
          <w:b w:val="0"/>
          <w:bCs/>
        </w:rPr>
      </w:pPr>
      <w:bookmarkStart w:id="1635" w:name="_9kR3WTrAG9BDENCwozOJfXA5pm3H43EHNP7379Q"/>
      <w:r w:rsidRPr="009E3F09">
        <w:rPr>
          <w:b w:val="0"/>
          <w:bCs/>
        </w:rPr>
        <w:t>Notices, reports and other documentation submitted by any Expert.</w:t>
      </w:r>
      <w:bookmarkEnd w:id="1635"/>
    </w:p>
    <w:p w14:paraId="46621972" w14:textId="77777777" w:rsidR="00F67E9E" w:rsidRPr="009E3F09" w:rsidRDefault="00F67E9E" w:rsidP="00F67E9E">
      <w:pPr>
        <w:pStyle w:val="AppendixText1"/>
        <w:keepNext w:val="0"/>
        <w:rPr>
          <w:b w:val="0"/>
          <w:bCs/>
        </w:rPr>
      </w:pPr>
      <w:bookmarkStart w:id="1636" w:name="_9kR3WTrAG9BC9JCwozOKTHz38z2z2B7D015530E"/>
      <w:r w:rsidRPr="009E3F09">
        <w:rPr>
          <w:b w:val="0"/>
          <w:bCs/>
        </w:rPr>
        <w:t>All operation and maintenance manuals prepared by the Supplier for the purpose of maintaining the provision of the Services and the underlying IT Environment and Supplier Equipment.</w:t>
      </w:r>
      <w:bookmarkEnd w:id="1636"/>
    </w:p>
    <w:p w14:paraId="3C7712B7" w14:textId="77777777" w:rsidR="00F67E9E" w:rsidRPr="009E3F09" w:rsidRDefault="00F67E9E" w:rsidP="00F67E9E">
      <w:pPr>
        <w:pStyle w:val="AppendixText1"/>
        <w:keepNext w:val="0"/>
        <w:rPr>
          <w:b w:val="0"/>
          <w:bCs/>
        </w:rPr>
      </w:pPr>
      <w:bookmarkStart w:id="1637" w:name="_9kR3WTrAG9BEGOCwozOLXNt0BwyEKHH7636BywI"/>
      <w:r w:rsidRPr="009E3F09">
        <w:rPr>
          <w:b w:val="0"/>
          <w:bCs/>
        </w:rPr>
        <w:t>Documents prepared by the Supplier or received by the Supplier from a third party relating to a Force Majeure Event.</w:t>
      </w:r>
      <w:bookmarkEnd w:id="1637"/>
    </w:p>
    <w:p w14:paraId="3F15CA53" w14:textId="77777777" w:rsidR="00F67E9E" w:rsidRPr="009E3F09" w:rsidRDefault="00F67E9E" w:rsidP="00F67E9E">
      <w:pPr>
        <w:pStyle w:val="AppendixText1"/>
        <w:keepNext w:val="0"/>
        <w:rPr>
          <w:b w:val="0"/>
          <w:bCs/>
        </w:rPr>
      </w:pPr>
      <w:r w:rsidRPr="009E3F09">
        <w:rPr>
          <w:b w:val="0"/>
          <w:bCs/>
        </w:rPr>
        <w:t>All formal notices, reports or submissions made by the Supplier to the Authority Representative in connection with the provision of the Services.</w:t>
      </w:r>
    </w:p>
    <w:p w14:paraId="41FFB5CF" w14:textId="77777777" w:rsidR="00F67E9E" w:rsidRPr="009E3F09" w:rsidRDefault="00F67E9E" w:rsidP="00F67E9E">
      <w:pPr>
        <w:pStyle w:val="AppendixText1"/>
        <w:keepNext w:val="0"/>
        <w:rPr>
          <w:b w:val="0"/>
          <w:bCs/>
        </w:rPr>
      </w:pPr>
      <w:bookmarkStart w:id="1638" w:name="_9kR3WTrAG9CEDMCwozONWHzrl1H9wxvo6BBJA2z"/>
      <w:r w:rsidRPr="009E3F09">
        <w:rPr>
          <w:b w:val="0"/>
          <w:bCs/>
        </w:rPr>
        <w:t>All certificates, licences, registrations or warranties in each case obtained by the Supplier in relation to the provision of the Services.</w:t>
      </w:r>
      <w:bookmarkEnd w:id="1638"/>
    </w:p>
    <w:p w14:paraId="09EE9002" w14:textId="77777777" w:rsidR="00F67E9E" w:rsidRPr="009E3F09" w:rsidRDefault="00F67E9E" w:rsidP="00F67E9E">
      <w:pPr>
        <w:pStyle w:val="AppendixText1"/>
        <w:keepNext w:val="0"/>
        <w:rPr>
          <w:b w:val="0"/>
          <w:bCs/>
        </w:rPr>
      </w:pPr>
      <w:r w:rsidRPr="009E3F09">
        <w:rPr>
          <w:b w:val="0"/>
          <w:bCs/>
        </w:rPr>
        <w:t>Documents prepared by the Supplier in support of claims for the Charges.</w:t>
      </w:r>
    </w:p>
    <w:p w14:paraId="20174CFC" w14:textId="77777777" w:rsidR="00F67E9E" w:rsidRPr="009E3F09" w:rsidRDefault="00F67E9E" w:rsidP="00F67E9E">
      <w:pPr>
        <w:pStyle w:val="AppendixText1"/>
        <w:keepNext w:val="0"/>
        <w:rPr>
          <w:b w:val="0"/>
          <w:bCs/>
        </w:rPr>
      </w:pPr>
      <w:r w:rsidRPr="009E3F09">
        <w:rPr>
          <w:b w:val="0"/>
          <w:bCs/>
        </w:rPr>
        <w:t>Documents submitted by the Supplier pursuant to the Change Control Procedure.</w:t>
      </w:r>
    </w:p>
    <w:p w14:paraId="38F11220" w14:textId="77777777" w:rsidR="00F67E9E" w:rsidRPr="009E3F09" w:rsidRDefault="00F67E9E" w:rsidP="00F67E9E">
      <w:pPr>
        <w:pStyle w:val="AppendixText1"/>
        <w:keepNext w:val="0"/>
        <w:rPr>
          <w:b w:val="0"/>
          <w:bCs/>
        </w:rPr>
      </w:pPr>
      <w:bookmarkStart w:id="1639" w:name="_9kR3WTrAG9CFCKCwozOGGTOu1CxzFLLO819HTF0"/>
      <w:r w:rsidRPr="009E3F09">
        <w:rPr>
          <w:b w:val="0"/>
          <w:bCs/>
        </w:rPr>
        <w:t>Documents submitted by the Supplier pursuant to invocation by it or the Authority of the Dispute Resolution Procedure.</w:t>
      </w:r>
      <w:bookmarkEnd w:id="1639"/>
    </w:p>
    <w:p w14:paraId="13512068" w14:textId="77777777" w:rsidR="00F67E9E" w:rsidRPr="009E3F09" w:rsidRDefault="00F67E9E" w:rsidP="00F67E9E">
      <w:pPr>
        <w:pStyle w:val="AppendixText1"/>
        <w:keepNext w:val="0"/>
        <w:rPr>
          <w:b w:val="0"/>
          <w:bCs/>
        </w:rPr>
      </w:pPr>
      <w:r w:rsidRPr="009E3F09">
        <w:rPr>
          <w:b w:val="0"/>
          <w:bCs/>
        </w:rPr>
        <w:t>Documents evidencing any change in ownership or any interest in any or all of the shares in the Supplier and/or the Guarantor, where such change may cause a change of Control; and including documents detailing the identity of the persons changing such ownership or interest.</w:t>
      </w:r>
    </w:p>
    <w:p w14:paraId="2A54F3E6" w14:textId="77777777" w:rsidR="00F67E9E" w:rsidRPr="009E3F09" w:rsidRDefault="00F67E9E" w:rsidP="00F67E9E">
      <w:pPr>
        <w:pStyle w:val="AppendixText1"/>
        <w:keepNext w:val="0"/>
        <w:rPr>
          <w:b w:val="0"/>
          <w:bCs/>
        </w:rPr>
      </w:pPr>
      <w:r w:rsidRPr="009E3F09">
        <w:rPr>
          <w:b w:val="0"/>
          <w:bCs/>
        </w:rPr>
        <w:t>Invoices and records related to VAT sought to be recovered by the Supplier.</w:t>
      </w:r>
    </w:p>
    <w:p w14:paraId="181D8849" w14:textId="77777777" w:rsidR="00F67E9E" w:rsidRPr="009E3F09" w:rsidRDefault="00F67E9E" w:rsidP="00F67E9E">
      <w:pPr>
        <w:pStyle w:val="AppendixText1"/>
        <w:keepNext w:val="0"/>
        <w:rPr>
          <w:b w:val="0"/>
          <w:bCs/>
        </w:rPr>
      </w:pPr>
      <w:r w:rsidRPr="009E3F09">
        <w:rPr>
          <w:b w:val="0"/>
          <w:bCs/>
        </w:rPr>
        <w:t>Financial records, including audited and un-audited accounts of the Guarantor and the Supplier.</w:t>
      </w:r>
    </w:p>
    <w:p w14:paraId="4002282B" w14:textId="77777777" w:rsidR="00F67E9E" w:rsidRPr="009E3F09" w:rsidRDefault="00F67E9E" w:rsidP="00F67E9E">
      <w:pPr>
        <w:pStyle w:val="AppendixText1"/>
        <w:keepNext w:val="0"/>
        <w:rPr>
          <w:b w:val="0"/>
          <w:bCs/>
        </w:rPr>
      </w:pPr>
      <w:r w:rsidRPr="009E3F09">
        <w:rPr>
          <w:b w:val="0"/>
          <w:bCs/>
        </w:rPr>
        <w:t>Records required to be retained by the Supplier by Law, including in relation to health and safety matters and health and safety files and all consents.</w:t>
      </w:r>
    </w:p>
    <w:p w14:paraId="2DCBD6AF" w14:textId="77777777" w:rsidR="00F67E9E" w:rsidRPr="009E3F09" w:rsidRDefault="00F67E9E" w:rsidP="00F67E9E">
      <w:pPr>
        <w:pStyle w:val="AppendixText1"/>
        <w:keepNext w:val="0"/>
        <w:rPr>
          <w:b w:val="0"/>
          <w:bCs/>
        </w:rPr>
      </w:pPr>
      <w:bookmarkStart w:id="1640" w:name="_9kR3WTrAG84CKOm0s3sGLVI0txx4F02IONA52BK"/>
      <w:r w:rsidRPr="009E3F09">
        <w:rPr>
          <w:b w:val="0"/>
          <w:bCs/>
        </w:rPr>
        <w:t>All documents relating to the insurances to be maintained under this Contract and any claims made in respect of them.</w:t>
      </w:r>
      <w:bookmarkEnd w:id="1640"/>
    </w:p>
    <w:p w14:paraId="7FF7C1F9" w14:textId="030081DA" w:rsidR="00F67E9E" w:rsidRPr="009E3F09" w:rsidRDefault="00F67E9E" w:rsidP="00F67E9E">
      <w:pPr>
        <w:pStyle w:val="AppendixText1"/>
        <w:keepNext w:val="0"/>
        <w:rPr>
          <w:b w:val="0"/>
          <w:bCs/>
        </w:rPr>
      </w:pPr>
      <w:bookmarkStart w:id="1641" w:name="_9kR3WTrAG87GLOCwozOGMWI0z3FJDxwF515tBF4"/>
      <w:r w:rsidRPr="0027261A">
        <w:rPr>
          <w:b w:val="0"/>
          <w:bCs/>
        </w:rPr>
        <w:t xml:space="preserve">All journals and audit trail data referred to in </w:t>
      </w:r>
      <w:r w:rsidRPr="0027261A">
        <w:rPr>
          <w:rFonts w:cs="Arial"/>
          <w:b w:val="0"/>
          <w:bCs/>
        </w:rPr>
        <w:fldChar w:fldCharType="begin"/>
      </w:r>
      <w:r w:rsidRPr="0027261A">
        <w:rPr>
          <w:rFonts w:cs="Arial"/>
          <w:b w:val="0"/>
          <w:bCs/>
        </w:rPr>
        <w:instrText xml:space="preserve"> REF Schedule5 \h  \* MERGEFORMAT </w:instrText>
      </w:r>
      <w:r w:rsidRPr="0027261A">
        <w:rPr>
          <w:rFonts w:cs="Arial"/>
          <w:b w:val="0"/>
          <w:bCs/>
        </w:rPr>
      </w:r>
      <w:r w:rsidRPr="0027261A">
        <w:rPr>
          <w:rFonts w:cs="Arial"/>
          <w:b w:val="0"/>
          <w:bCs/>
        </w:rPr>
        <w:fldChar w:fldCharType="separate"/>
      </w:r>
      <w:r w:rsidR="007A1473" w:rsidRPr="007A1473">
        <w:rPr>
          <w:b w:val="0"/>
          <w:bCs/>
        </w:rPr>
        <w:t>Schedule 5</w:t>
      </w:r>
      <w:r w:rsidRPr="0027261A">
        <w:rPr>
          <w:rFonts w:cs="Arial"/>
          <w:b w:val="0"/>
          <w:bCs/>
        </w:rPr>
        <w:fldChar w:fldCharType="end"/>
      </w:r>
      <w:r w:rsidRPr="0027261A">
        <w:rPr>
          <w:rFonts w:cs="Arial"/>
          <w:b w:val="0"/>
          <w:bCs/>
        </w:rPr>
        <w:t xml:space="preserve"> (</w:t>
      </w:r>
      <w:r w:rsidRPr="0027261A">
        <w:rPr>
          <w:rFonts w:cs="Arial"/>
          <w:b w:val="0"/>
          <w:bCs/>
          <w:i/>
          <w:iCs/>
        </w:rPr>
        <w:fldChar w:fldCharType="begin"/>
      </w:r>
      <w:r w:rsidRPr="0027261A">
        <w:rPr>
          <w:rFonts w:cs="Arial"/>
          <w:b w:val="0"/>
          <w:bCs/>
          <w:i/>
          <w:iCs/>
        </w:rPr>
        <w:instrText xml:space="preserve"> REF Schedule5Heading \h  \* MERGEFORMAT </w:instrText>
      </w:r>
      <w:r w:rsidRPr="0027261A">
        <w:rPr>
          <w:rFonts w:cs="Arial"/>
          <w:b w:val="0"/>
          <w:bCs/>
          <w:i/>
          <w:iCs/>
        </w:rPr>
      </w:r>
      <w:r w:rsidRPr="0027261A">
        <w:rPr>
          <w:rFonts w:cs="Arial"/>
          <w:b w:val="0"/>
          <w:bCs/>
          <w:i/>
          <w:iCs/>
        </w:rPr>
        <w:fldChar w:fldCharType="separate"/>
      </w:r>
      <w:r w:rsidR="007A1473" w:rsidRPr="007A1473">
        <w:rPr>
          <w:b w:val="0"/>
          <w:bCs/>
          <w:i/>
          <w:iCs/>
        </w:rPr>
        <w:t>Security Management</w:t>
      </w:r>
      <w:r w:rsidRPr="0027261A">
        <w:rPr>
          <w:rFonts w:cs="Arial"/>
          <w:b w:val="0"/>
          <w:bCs/>
          <w:i/>
          <w:iCs/>
        </w:rPr>
        <w:fldChar w:fldCharType="end"/>
      </w:r>
      <w:r w:rsidRPr="0027261A">
        <w:rPr>
          <w:rFonts w:cs="Arial"/>
          <w:b w:val="0"/>
          <w:bCs/>
        </w:rPr>
        <w:t>)</w:t>
      </w:r>
      <w:r w:rsidRPr="009E3F09">
        <w:rPr>
          <w:b w:val="0"/>
          <w:bCs/>
        </w:rPr>
        <w:t>.</w:t>
      </w:r>
      <w:bookmarkEnd w:id="1641"/>
    </w:p>
    <w:p w14:paraId="5ED97BD2" w14:textId="77777777" w:rsidR="00F67E9E" w:rsidRPr="009E3F09" w:rsidRDefault="00F67E9E" w:rsidP="00F67E9E">
      <w:pPr>
        <w:pStyle w:val="AppendixText1"/>
        <w:keepNext w:val="0"/>
        <w:rPr>
          <w:b w:val="0"/>
          <w:bCs/>
        </w:rPr>
      </w:pPr>
      <w:r w:rsidRPr="009E3F09">
        <w:rPr>
          <w:b w:val="0"/>
          <w:bCs/>
        </w:rPr>
        <w:t>All other records, notices or certificates required to be produced and/or maintained by the Supplier pursuant to this Contract.</w:t>
      </w:r>
    </w:p>
    <w:p w14:paraId="5870059F" w14:textId="77777777" w:rsidR="00F67E9E" w:rsidRPr="005E6F6F" w:rsidRDefault="00F67E9E" w:rsidP="00F67E9E">
      <w:pPr>
        <w:sectPr w:rsidR="00F67E9E" w:rsidRPr="005E6F6F" w:rsidSect="00240D26">
          <w:headerReference w:type="default" r:id="rId145"/>
          <w:footerReference w:type="default" r:id="rId146"/>
          <w:pgSz w:w="11909" w:h="16834"/>
          <w:pgMar w:top="1701" w:right="851" w:bottom="1134" w:left="851" w:header="567" w:footer="567" w:gutter="0"/>
          <w:cols w:space="720"/>
          <w:docGrid w:linePitch="326"/>
        </w:sectPr>
      </w:pPr>
    </w:p>
    <w:p w14:paraId="5C9498E6" w14:textId="77777777" w:rsidR="00F67E9E" w:rsidRDefault="00F67E9E" w:rsidP="00F67E9E">
      <w:pPr>
        <w:pStyle w:val="Heading2"/>
      </w:pPr>
      <w:bookmarkStart w:id="1642" w:name="_Ref_ContractCompanion_9kb9Ur5BA"/>
      <w:bookmarkStart w:id="1643" w:name="_Ref_ContractCompanion_9kb9Ur786"/>
      <w:bookmarkStart w:id="1644" w:name="_Ref_ContractCompanion_9kb9Ur795"/>
      <w:bookmarkStart w:id="1645" w:name="_Ref_ContractCompanion_9kb9Us6ED"/>
      <w:bookmarkStart w:id="1646" w:name="_Ref_ContractCompanion_9kb9Us6FE"/>
      <w:bookmarkStart w:id="1647" w:name="_Toc145412805"/>
      <w:r w:rsidRPr="00D00D9A">
        <w:lastRenderedPageBreak/>
        <w:t xml:space="preserve">Annex </w:t>
      </w:r>
      <w:bookmarkStart w:id="1648" w:name="ANNEX3_SCHEDULE24"/>
      <w:r w:rsidRPr="00D00D9A">
        <w:t>3</w:t>
      </w:r>
      <w:bookmarkEnd w:id="1648"/>
      <w:r w:rsidRPr="00D00D9A">
        <w:t>:</w:t>
      </w:r>
      <w:r w:rsidRPr="00F0375C">
        <w:t xml:space="preserve"> Records </w:t>
      </w:r>
      <w:r>
        <w:t>t</w:t>
      </w:r>
      <w:r w:rsidRPr="00F0375C">
        <w:t xml:space="preserve">o Upload </w:t>
      </w:r>
      <w:r>
        <w:t>t</w:t>
      </w:r>
      <w:r w:rsidRPr="00F0375C">
        <w:t>o Virtual Library</w:t>
      </w:r>
      <w:bookmarkEnd w:id="1642"/>
      <w:bookmarkEnd w:id="1643"/>
      <w:bookmarkEnd w:id="1644"/>
      <w:bookmarkEnd w:id="1645"/>
      <w:bookmarkEnd w:id="1646"/>
      <w:bookmarkEnd w:id="1647"/>
    </w:p>
    <w:p w14:paraId="4BBA9E39" w14:textId="16AEA918" w:rsidR="00F67E9E" w:rsidRPr="00C8035E" w:rsidRDefault="00C8035E" w:rsidP="00F67E9E">
      <w:pPr>
        <w:pStyle w:val="StdBodyText"/>
        <w:rPr>
          <w:rFonts w:cs="Arial"/>
          <w:bCs/>
          <w:sz w:val="22"/>
        </w:rPr>
      </w:pPr>
      <w:r w:rsidRPr="00C8035E">
        <w:rPr>
          <w:rFonts w:cs="Arial"/>
          <w:sz w:val="22"/>
        </w:rPr>
        <w:t>The table below will be populated by the Parties as soon as reasonably practicable after the Effective Date as part of Contract mobilisation</w:t>
      </w:r>
      <w:r>
        <w:rPr>
          <w:rFonts w:cs="Arial"/>
          <w:b/>
          <w:sz w:val="22"/>
        </w:rPr>
        <w:t xml:space="preserve"> </w:t>
      </w:r>
      <w:r w:rsidRPr="00C8035E">
        <w:rPr>
          <w:rFonts w:cs="Arial"/>
          <w:sz w:val="22"/>
        </w:rPr>
        <w:t xml:space="preserve">to reflect the records that will be held in the Virtual Library and the </w:t>
      </w:r>
      <w:r>
        <w:rPr>
          <w:rFonts w:cs="Arial"/>
          <w:sz w:val="22"/>
        </w:rPr>
        <w:t xml:space="preserve">relevant </w:t>
      </w:r>
      <w:r w:rsidRPr="00C8035E">
        <w:rPr>
          <w:rFonts w:cs="Arial"/>
          <w:sz w:val="22"/>
        </w:rPr>
        <w:t>associated details</w:t>
      </w:r>
      <w:r w:rsidR="00B76B16">
        <w:rPr>
          <w:rFonts w:cs="Arial"/>
          <w:sz w:val="22"/>
        </w:rPr>
        <w:t>.</w:t>
      </w:r>
    </w:p>
    <w:tbl>
      <w:tblPr>
        <w:tblStyle w:val="MSATable-header"/>
        <w:tblW w:w="15139" w:type="dxa"/>
        <w:tblLook w:val="04A0" w:firstRow="1" w:lastRow="0" w:firstColumn="1" w:lastColumn="0" w:noHBand="0" w:noVBand="1"/>
      </w:tblPr>
      <w:tblGrid>
        <w:gridCol w:w="2268"/>
        <w:gridCol w:w="2966"/>
        <w:gridCol w:w="1996"/>
        <w:gridCol w:w="2666"/>
        <w:gridCol w:w="2862"/>
        <w:gridCol w:w="2381"/>
      </w:tblGrid>
      <w:tr w:rsidR="00F67E9E" w:rsidRPr="005E6F6F" w14:paraId="03296651" w14:textId="77777777" w:rsidTr="0052486C">
        <w:trPr>
          <w:cnfStyle w:val="100000000000" w:firstRow="1" w:lastRow="0" w:firstColumn="0" w:lastColumn="0" w:oddVBand="0" w:evenVBand="0" w:oddHBand="0" w:evenHBand="0" w:firstRowFirstColumn="0" w:firstRowLastColumn="0" w:lastRowFirstColumn="0" w:lastRowLastColumn="0"/>
          <w:trHeight w:val="20"/>
          <w:tblHeader/>
        </w:trPr>
        <w:tc>
          <w:tcPr>
            <w:tcW w:w="2268" w:type="dxa"/>
            <w:vAlign w:val="bottom"/>
          </w:tcPr>
          <w:p w14:paraId="5154D569" w14:textId="77777777" w:rsidR="00F67E9E" w:rsidRPr="005E6F6F" w:rsidRDefault="00F67E9E" w:rsidP="0052486C">
            <w:pPr>
              <w:pStyle w:val="StdBodyTextBold"/>
              <w:spacing w:before="0" w:after="0"/>
              <w:rPr>
                <w:rFonts w:cs="Arial"/>
                <w:b/>
                <w:bCs/>
              </w:rPr>
            </w:pPr>
            <w:r w:rsidRPr="005E6F6F">
              <w:rPr>
                <w:rFonts w:cs="Arial"/>
                <w:b/>
                <w:bCs/>
              </w:rPr>
              <w:t>Applicable Clause/ Paragraph</w:t>
            </w:r>
          </w:p>
        </w:tc>
        <w:tc>
          <w:tcPr>
            <w:tcW w:w="2966" w:type="dxa"/>
            <w:vAlign w:val="bottom"/>
          </w:tcPr>
          <w:p w14:paraId="3E8BFBC8" w14:textId="77777777" w:rsidR="00F67E9E" w:rsidRPr="005E6F6F" w:rsidRDefault="00F67E9E" w:rsidP="0052486C">
            <w:pPr>
              <w:pStyle w:val="StdBodyTextBold"/>
              <w:spacing w:before="0" w:after="0"/>
              <w:rPr>
                <w:rFonts w:cs="Arial"/>
                <w:b/>
                <w:bCs/>
              </w:rPr>
            </w:pPr>
            <w:r w:rsidRPr="005E6F6F">
              <w:rPr>
                <w:rFonts w:cs="Arial"/>
                <w:b/>
                <w:bCs/>
              </w:rPr>
              <w:t>Required Data</w:t>
            </w:r>
          </w:p>
        </w:tc>
        <w:tc>
          <w:tcPr>
            <w:tcW w:w="1996" w:type="dxa"/>
            <w:vAlign w:val="bottom"/>
          </w:tcPr>
          <w:p w14:paraId="1B46EAF2" w14:textId="77777777" w:rsidR="00F67E9E" w:rsidRPr="005E6F6F" w:rsidRDefault="00F67E9E" w:rsidP="0052486C">
            <w:pPr>
              <w:pStyle w:val="StdBodyTextBold"/>
              <w:spacing w:before="0" w:after="0"/>
              <w:rPr>
                <w:rFonts w:cs="Arial"/>
                <w:b/>
                <w:bCs/>
              </w:rPr>
            </w:pPr>
            <w:r w:rsidRPr="005E6F6F">
              <w:rPr>
                <w:rFonts w:cs="Arial"/>
                <w:b/>
                <w:bCs/>
              </w:rPr>
              <w:t>Format of Data</w:t>
            </w:r>
          </w:p>
        </w:tc>
        <w:tc>
          <w:tcPr>
            <w:tcW w:w="2666" w:type="dxa"/>
            <w:vAlign w:val="bottom"/>
          </w:tcPr>
          <w:p w14:paraId="0AAFFDBD" w14:textId="77777777" w:rsidR="00F67E9E" w:rsidRPr="005E6F6F" w:rsidRDefault="00F67E9E" w:rsidP="0052486C">
            <w:pPr>
              <w:pStyle w:val="StdBodyTextBold"/>
              <w:spacing w:before="0" w:after="0"/>
              <w:rPr>
                <w:rFonts w:cs="Arial"/>
                <w:b/>
                <w:bCs/>
              </w:rPr>
            </w:pPr>
            <w:r w:rsidRPr="005E6F6F">
              <w:rPr>
                <w:rFonts w:cs="Arial"/>
                <w:b/>
                <w:bCs/>
              </w:rPr>
              <w:t>Initial Upload Date</w:t>
            </w:r>
          </w:p>
        </w:tc>
        <w:tc>
          <w:tcPr>
            <w:tcW w:w="2862" w:type="dxa"/>
            <w:vAlign w:val="bottom"/>
          </w:tcPr>
          <w:p w14:paraId="1CA5FB80" w14:textId="77777777" w:rsidR="00F67E9E" w:rsidRPr="005E6F6F" w:rsidRDefault="00F67E9E" w:rsidP="0052486C">
            <w:pPr>
              <w:pStyle w:val="StdBodyTextBold"/>
              <w:spacing w:before="0" w:after="0"/>
              <w:rPr>
                <w:rFonts w:cs="Arial"/>
                <w:b/>
                <w:bCs/>
              </w:rPr>
            </w:pPr>
            <w:r w:rsidRPr="005E6F6F">
              <w:rPr>
                <w:rFonts w:cs="Arial"/>
                <w:b/>
                <w:bCs/>
              </w:rPr>
              <w:t>Update Requirement</w:t>
            </w:r>
          </w:p>
        </w:tc>
        <w:tc>
          <w:tcPr>
            <w:tcW w:w="2381" w:type="dxa"/>
            <w:vAlign w:val="bottom"/>
          </w:tcPr>
          <w:p w14:paraId="26AE2E0D" w14:textId="77777777" w:rsidR="00F67E9E" w:rsidRPr="005E6F6F" w:rsidRDefault="00F67E9E" w:rsidP="0052486C">
            <w:pPr>
              <w:pStyle w:val="StdBodyTextBold"/>
              <w:spacing w:before="0" w:after="0"/>
              <w:rPr>
                <w:rFonts w:cs="Arial"/>
                <w:b/>
                <w:bCs/>
              </w:rPr>
            </w:pPr>
            <w:r w:rsidRPr="005E6F6F">
              <w:rPr>
                <w:rFonts w:cs="Arial"/>
                <w:b/>
                <w:bCs/>
              </w:rPr>
              <w:t>Access Permission and Access Event (where applicable)</w:t>
            </w:r>
          </w:p>
        </w:tc>
      </w:tr>
      <w:tr w:rsidR="00C8035E" w:rsidRPr="005356F1" w14:paraId="2C6EF17E" w14:textId="77777777" w:rsidTr="0052486C">
        <w:trPr>
          <w:trHeight w:val="20"/>
        </w:trPr>
        <w:tc>
          <w:tcPr>
            <w:tcW w:w="2268" w:type="dxa"/>
          </w:tcPr>
          <w:p w14:paraId="6646F0BD" w14:textId="1BD37399" w:rsidR="00C8035E" w:rsidRPr="005356F1" w:rsidRDefault="00C8035E" w:rsidP="00C8035E">
            <w:pPr>
              <w:pStyle w:val="StdBodyText"/>
              <w:spacing w:before="0" w:after="0"/>
              <w:rPr>
                <w:rFonts w:cs="Arial"/>
              </w:rPr>
            </w:pPr>
            <w:r w:rsidRPr="00C8035E">
              <w:rPr>
                <w:rFonts w:cs="Arial"/>
                <w:highlight w:val="yellow"/>
              </w:rPr>
              <w:t>[    ]</w:t>
            </w:r>
          </w:p>
        </w:tc>
        <w:tc>
          <w:tcPr>
            <w:tcW w:w="2966" w:type="dxa"/>
          </w:tcPr>
          <w:p w14:paraId="4A8E6F29" w14:textId="25B4F36A" w:rsidR="00C8035E" w:rsidRPr="005356F1" w:rsidRDefault="00C8035E" w:rsidP="00C8035E">
            <w:pPr>
              <w:pStyle w:val="StdBodyText"/>
              <w:spacing w:before="0" w:after="0"/>
              <w:rPr>
                <w:rFonts w:cs="Arial"/>
              </w:rPr>
            </w:pPr>
            <w:r w:rsidRPr="00840124">
              <w:rPr>
                <w:rFonts w:cs="Arial"/>
                <w:highlight w:val="yellow"/>
              </w:rPr>
              <w:t>[    ]</w:t>
            </w:r>
          </w:p>
        </w:tc>
        <w:tc>
          <w:tcPr>
            <w:tcW w:w="1996" w:type="dxa"/>
          </w:tcPr>
          <w:p w14:paraId="554B42F9" w14:textId="104BF61C" w:rsidR="00C8035E" w:rsidRPr="005356F1" w:rsidRDefault="00C8035E" w:rsidP="00C8035E">
            <w:pPr>
              <w:pStyle w:val="StdBodyText"/>
              <w:spacing w:before="0" w:after="0"/>
              <w:rPr>
                <w:rFonts w:cs="Arial"/>
              </w:rPr>
            </w:pPr>
            <w:r w:rsidRPr="00840124">
              <w:rPr>
                <w:rFonts w:cs="Arial"/>
                <w:highlight w:val="yellow"/>
              </w:rPr>
              <w:t>[    ]</w:t>
            </w:r>
          </w:p>
        </w:tc>
        <w:tc>
          <w:tcPr>
            <w:tcW w:w="2666" w:type="dxa"/>
          </w:tcPr>
          <w:p w14:paraId="43552472" w14:textId="001B6DA9" w:rsidR="00C8035E" w:rsidRPr="005356F1" w:rsidRDefault="00C8035E" w:rsidP="00C8035E">
            <w:pPr>
              <w:pStyle w:val="StdBodyText"/>
              <w:spacing w:before="0" w:after="0"/>
              <w:rPr>
                <w:rFonts w:cs="Arial"/>
              </w:rPr>
            </w:pPr>
            <w:r w:rsidRPr="00840124">
              <w:rPr>
                <w:rFonts w:cs="Arial"/>
                <w:highlight w:val="yellow"/>
              </w:rPr>
              <w:t>[    ]</w:t>
            </w:r>
          </w:p>
        </w:tc>
        <w:tc>
          <w:tcPr>
            <w:tcW w:w="2862" w:type="dxa"/>
          </w:tcPr>
          <w:p w14:paraId="34640906" w14:textId="04192507" w:rsidR="00C8035E" w:rsidRPr="005356F1" w:rsidRDefault="00C8035E" w:rsidP="00C8035E">
            <w:pPr>
              <w:pStyle w:val="StdBodyText"/>
              <w:spacing w:before="0" w:after="0"/>
              <w:rPr>
                <w:rFonts w:cs="Arial"/>
              </w:rPr>
            </w:pPr>
            <w:r w:rsidRPr="00840124">
              <w:rPr>
                <w:rFonts w:cs="Arial"/>
                <w:highlight w:val="yellow"/>
              </w:rPr>
              <w:t>[    ]</w:t>
            </w:r>
          </w:p>
        </w:tc>
        <w:tc>
          <w:tcPr>
            <w:tcW w:w="2381" w:type="dxa"/>
          </w:tcPr>
          <w:p w14:paraId="7CBAFC53" w14:textId="23D4CC1F" w:rsidR="00C8035E" w:rsidRPr="005356F1" w:rsidRDefault="00C8035E" w:rsidP="00C8035E">
            <w:pPr>
              <w:pStyle w:val="StdBodyText"/>
              <w:spacing w:before="0" w:after="0"/>
              <w:rPr>
                <w:rFonts w:cs="Arial"/>
              </w:rPr>
            </w:pPr>
            <w:r w:rsidRPr="00840124">
              <w:rPr>
                <w:rFonts w:cs="Arial"/>
                <w:highlight w:val="yellow"/>
              </w:rPr>
              <w:t>[    ]</w:t>
            </w:r>
          </w:p>
        </w:tc>
      </w:tr>
    </w:tbl>
    <w:p w14:paraId="1EEFFD4F" w14:textId="77777777" w:rsidR="00F67E9E" w:rsidRDefault="00F67E9E" w:rsidP="00F67E9E">
      <w:pPr>
        <w:rPr>
          <w:rFonts w:eastAsia="Times New Roman" w:cs="Arial"/>
          <w:szCs w:val="24"/>
          <w:lang w:eastAsia="en-GB"/>
        </w:rPr>
      </w:pPr>
    </w:p>
    <w:p w14:paraId="77D5889A" w14:textId="06013054" w:rsidR="00F67E9E" w:rsidRDefault="00F67E9E" w:rsidP="00F67E9E">
      <w:pPr>
        <w:pStyle w:val="Heading2"/>
        <w:pageBreakBefore/>
      </w:pPr>
      <w:bookmarkStart w:id="1649" w:name="_Ref_ContractCompanion_9kb9Ur6BA"/>
      <w:bookmarkStart w:id="1650" w:name="_Toc145412806"/>
      <w:r w:rsidRPr="00B224EC">
        <w:lastRenderedPageBreak/>
        <w:t xml:space="preserve">Annex </w:t>
      </w:r>
      <w:bookmarkStart w:id="1651" w:name="ANNEX4_SCHEDULE24"/>
      <w:r w:rsidRPr="00B224EC">
        <w:t>4</w:t>
      </w:r>
      <w:bookmarkEnd w:id="1651"/>
      <w:r w:rsidRPr="00B224EC">
        <w:t>: Supply</w:t>
      </w:r>
      <w:r w:rsidRPr="00F0375C">
        <w:t xml:space="preserve"> Chain Transparency Information Template</w:t>
      </w:r>
      <w:bookmarkEnd w:id="1649"/>
      <w:bookmarkEnd w:id="1650"/>
    </w:p>
    <w:p w14:paraId="76A7BB0A" w14:textId="412962D0" w:rsidR="00C8035E" w:rsidRDefault="00C8035E" w:rsidP="00C8035E">
      <w:r w:rsidRPr="00B76B16">
        <w:t>This table will be populated by the Supplier on an annual basis</w:t>
      </w:r>
      <w:r w:rsidR="009C1510" w:rsidRPr="00B76B16">
        <w:t xml:space="preserve"> in accordance with Clause 15.28 of the Core Terms</w:t>
      </w:r>
      <w:r w:rsidR="00B76B16" w:rsidRPr="00B76B16">
        <w:t>.</w:t>
      </w:r>
    </w:p>
    <w:p w14:paraId="1EF382A2" w14:textId="77777777" w:rsidR="00C8035E" w:rsidRPr="00C8035E" w:rsidRDefault="00C8035E" w:rsidP="00C8035E"/>
    <w:tbl>
      <w:tblPr>
        <w:tblStyle w:val="MSATable-header"/>
        <w:tblW w:w="0" w:type="auto"/>
        <w:tblLayout w:type="fixed"/>
        <w:tblLook w:val="04A0" w:firstRow="1" w:lastRow="0" w:firstColumn="1" w:lastColumn="0" w:noHBand="0" w:noVBand="1"/>
      </w:tblPr>
      <w:tblGrid>
        <w:gridCol w:w="4819"/>
        <w:gridCol w:w="2551"/>
        <w:gridCol w:w="2551"/>
        <w:gridCol w:w="2551"/>
        <w:gridCol w:w="2552"/>
      </w:tblGrid>
      <w:tr w:rsidR="00F67E9E" w:rsidRPr="00996FED" w14:paraId="28AC3D79" w14:textId="77777777" w:rsidTr="0052486C">
        <w:trPr>
          <w:cnfStyle w:val="100000000000" w:firstRow="1" w:lastRow="0" w:firstColumn="0" w:lastColumn="0" w:oddVBand="0" w:evenVBand="0" w:oddHBand="0" w:evenHBand="0" w:firstRowFirstColumn="0" w:firstRowLastColumn="0" w:lastRowFirstColumn="0" w:lastRowLastColumn="0"/>
          <w:trHeight w:val="20"/>
          <w:tblHeader/>
        </w:trPr>
        <w:tc>
          <w:tcPr>
            <w:tcW w:w="4819" w:type="dxa"/>
            <w:vMerge w:val="restart"/>
            <w:vAlign w:val="bottom"/>
          </w:tcPr>
          <w:p w14:paraId="55E67208" w14:textId="77777777" w:rsidR="00F67E9E" w:rsidRPr="00996FED" w:rsidRDefault="00F67E9E" w:rsidP="0052486C">
            <w:pPr>
              <w:pStyle w:val="StdBodyText"/>
              <w:spacing w:before="0" w:after="0"/>
              <w:rPr>
                <w:rFonts w:cs="Arial"/>
                <w:bCs/>
              </w:rPr>
            </w:pPr>
          </w:p>
        </w:tc>
        <w:tc>
          <w:tcPr>
            <w:tcW w:w="10205" w:type="dxa"/>
            <w:gridSpan w:val="4"/>
            <w:vAlign w:val="bottom"/>
          </w:tcPr>
          <w:p w14:paraId="04B180F1" w14:textId="77777777" w:rsidR="00F67E9E" w:rsidRPr="00996FED" w:rsidRDefault="00F67E9E" w:rsidP="0052486C">
            <w:pPr>
              <w:pStyle w:val="StdBodyTextBold"/>
              <w:spacing w:before="0" w:after="0"/>
              <w:jc w:val="center"/>
              <w:rPr>
                <w:rFonts w:cs="Arial"/>
                <w:b/>
                <w:bCs/>
              </w:rPr>
            </w:pPr>
            <w:r w:rsidRPr="00996FED">
              <w:rPr>
                <w:rFonts w:cs="Arial"/>
                <w:b/>
                <w:bCs/>
              </w:rPr>
              <w:t>Financial Year 20</w:t>
            </w:r>
            <w:r w:rsidRPr="00996FED">
              <w:rPr>
                <w:rFonts w:cs="Arial"/>
                <w:b/>
                <w:bCs/>
                <w:highlight w:val="yellow"/>
              </w:rPr>
              <w:t>[    ]</w:t>
            </w:r>
          </w:p>
        </w:tc>
      </w:tr>
      <w:tr w:rsidR="00F67E9E" w:rsidRPr="00996FED" w14:paraId="3400B31B" w14:textId="77777777" w:rsidTr="0052486C">
        <w:trPr>
          <w:cnfStyle w:val="100000000000" w:firstRow="1" w:lastRow="0" w:firstColumn="0" w:lastColumn="0" w:oddVBand="0" w:evenVBand="0" w:oddHBand="0" w:evenHBand="0" w:firstRowFirstColumn="0" w:firstRowLastColumn="0" w:lastRowFirstColumn="0" w:lastRowLastColumn="0"/>
          <w:trHeight w:val="20"/>
          <w:tblHeader/>
        </w:trPr>
        <w:tc>
          <w:tcPr>
            <w:tcW w:w="4819" w:type="dxa"/>
            <w:vMerge/>
            <w:vAlign w:val="bottom"/>
          </w:tcPr>
          <w:p w14:paraId="72BF0CF7" w14:textId="77777777" w:rsidR="00F67E9E" w:rsidRPr="00996FED" w:rsidRDefault="00F67E9E" w:rsidP="0052486C">
            <w:pPr>
              <w:pStyle w:val="StdBodyText"/>
              <w:spacing w:before="0" w:after="0"/>
              <w:rPr>
                <w:rFonts w:cs="Arial"/>
                <w:bCs/>
              </w:rPr>
            </w:pPr>
          </w:p>
        </w:tc>
        <w:tc>
          <w:tcPr>
            <w:tcW w:w="5102" w:type="dxa"/>
            <w:gridSpan w:val="2"/>
            <w:vAlign w:val="bottom"/>
          </w:tcPr>
          <w:p w14:paraId="266160E9" w14:textId="77777777" w:rsidR="00F67E9E" w:rsidRPr="00996FED" w:rsidRDefault="00F67E9E" w:rsidP="0052486C">
            <w:pPr>
              <w:pStyle w:val="StdBodyTextBold"/>
              <w:spacing w:before="0" w:after="0"/>
              <w:jc w:val="center"/>
              <w:rPr>
                <w:rFonts w:cs="Arial"/>
                <w:b/>
                <w:bCs/>
              </w:rPr>
            </w:pPr>
            <w:r w:rsidRPr="00996FED">
              <w:rPr>
                <w:rFonts w:cs="Arial"/>
                <w:b/>
                <w:bCs/>
              </w:rPr>
              <w:t>Under this Contract</w:t>
            </w:r>
          </w:p>
        </w:tc>
        <w:tc>
          <w:tcPr>
            <w:tcW w:w="5103" w:type="dxa"/>
            <w:gridSpan w:val="2"/>
            <w:vAlign w:val="bottom"/>
          </w:tcPr>
          <w:p w14:paraId="00CF83D2" w14:textId="77777777" w:rsidR="00F67E9E" w:rsidRPr="00996FED" w:rsidRDefault="00F67E9E" w:rsidP="0052486C">
            <w:pPr>
              <w:pStyle w:val="StdBodyTextBold"/>
              <w:spacing w:before="0" w:after="0"/>
              <w:jc w:val="center"/>
              <w:rPr>
                <w:rFonts w:cs="Arial"/>
                <w:b/>
                <w:bCs/>
              </w:rPr>
            </w:pPr>
            <w:r w:rsidRPr="00996FED">
              <w:rPr>
                <w:rFonts w:cs="Arial"/>
                <w:b/>
                <w:bCs/>
              </w:rPr>
              <w:t>Supplier as a whole</w:t>
            </w:r>
          </w:p>
        </w:tc>
      </w:tr>
      <w:tr w:rsidR="00F67E9E" w:rsidRPr="00996FED" w14:paraId="729CC530" w14:textId="77777777" w:rsidTr="0052486C">
        <w:trPr>
          <w:cnfStyle w:val="100000000000" w:firstRow="1" w:lastRow="0" w:firstColumn="0" w:lastColumn="0" w:oddVBand="0" w:evenVBand="0" w:oddHBand="0" w:evenHBand="0" w:firstRowFirstColumn="0" w:firstRowLastColumn="0" w:lastRowFirstColumn="0" w:lastRowLastColumn="0"/>
          <w:trHeight w:val="20"/>
          <w:tblHeader/>
        </w:trPr>
        <w:tc>
          <w:tcPr>
            <w:tcW w:w="4819" w:type="dxa"/>
            <w:vMerge/>
            <w:vAlign w:val="bottom"/>
          </w:tcPr>
          <w:p w14:paraId="19E3E5E8" w14:textId="77777777" w:rsidR="00F67E9E" w:rsidRPr="00996FED" w:rsidRDefault="00F67E9E" w:rsidP="0052486C">
            <w:pPr>
              <w:pStyle w:val="StdBodyText"/>
              <w:spacing w:before="0" w:after="0"/>
              <w:rPr>
                <w:rFonts w:cs="Arial"/>
                <w:bCs/>
              </w:rPr>
            </w:pPr>
          </w:p>
        </w:tc>
        <w:tc>
          <w:tcPr>
            <w:tcW w:w="2551" w:type="dxa"/>
            <w:vAlign w:val="bottom"/>
          </w:tcPr>
          <w:p w14:paraId="56F7C51E" w14:textId="77777777" w:rsidR="00F67E9E" w:rsidRPr="00996FED" w:rsidRDefault="00F67E9E" w:rsidP="0052486C">
            <w:pPr>
              <w:pStyle w:val="StdBodyTextBold"/>
              <w:spacing w:before="0" w:after="0"/>
              <w:jc w:val="center"/>
              <w:rPr>
                <w:rFonts w:cs="Arial"/>
                <w:b/>
                <w:bCs/>
              </w:rPr>
            </w:pPr>
            <w:r w:rsidRPr="00996FED">
              <w:rPr>
                <w:rFonts w:cs="Arial"/>
                <w:b/>
                <w:bCs/>
              </w:rPr>
              <w:t>£</w:t>
            </w:r>
          </w:p>
        </w:tc>
        <w:tc>
          <w:tcPr>
            <w:tcW w:w="2551" w:type="dxa"/>
            <w:vAlign w:val="bottom"/>
          </w:tcPr>
          <w:p w14:paraId="7A51EB32" w14:textId="77777777" w:rsidR="00F67E9E" w:rsidRPr="00996FED" w:rsidRDefault="00F67E9E" w:rsidP="0052486C">
            <w:pPr>
              <w:pStyle w:val="StdBodyTextBold"/>
              <w:spacing w:before="0" w:after="0"/>
              <w:jc w:val="center"/>
              <w:rPr>
                <w:rFonts w:cs="Arial"/>
                <w:b/>
                <w:bCs/>
              </w:rPr>
            </w:pPr>
            <w:r w:rsidRPr="00996FED">
              <w:rPr>
                <w:rFonts w:cs="Arial"/>
                <w:b/>
                <w:bCs/>
              </w:rPr>
              <w:t>%</w:t>
            </w:r>
          </w:p>
        </w:tc>
        <w:tc>
          <w:tcPr>
            <w:tcW w:w="2551" w:type="dxa"/>
            <w:vAlign w:val="bottom"/>
          </w:tcPr>
          <w:p w14:paraId="33B8D6D9" w14:textId="77777777" w:rsidR="00F67E9E" w:rsidRPr="00996FED" w:rsidRDefault="00F67E9E" w:rsidP="0052486C">
            <w:pPr>
              <w:pStyle w:val="StdBodyTextBold"/>
              <w:spacing w:before="0" w:after="0"/>
              <w:jc w:val="center"/>
              <w:rPr>
                <w:rFonts w:cs="Arial"/>
                <w:b/>
                <w:bCs/>
              </w:rPr>
            </w:pPr>
            <w:r w:rsidRPr="00996FED">
              <w:rPr>
                <w:rFonts w:cs="Arial"/>
                <w:b/>
                <w:bCs/>
              </w:rPr>
              <w:t>£</w:t>
            </w:r>
          </w:p>
        </w:tc>
        <w:tc>
          <w:tcPr>
            <w:tcW w:w="2552" w:type="dxa"/>
            <w:vAlign w:val="bottom"/>
          </w:tcPr>
          <w:p w14:paraId="55171C12" w14:textId="77777777" w:rsidR="00F67E9E" w:rsidRPr="00996FED" w:rsidRDefault="00F67E9E" w:rsidP="0052486C">
            <w:pPr>
              <w:pStyle w:val="StdBodyTextBold"/>
              <w:spacing w:before="0" w:after="0"/>
              <w:jc w:val="center"/>
              <w:rPr>
                <w:rFonts w:cs="Arial"/>
                <w:b/>
                <w:bCs/>
              </w:rPr>
            </w:pPr>
            <w:r w:rsidRPr="00996FED">
              <w:rPr>
                <w:rFonts w:cs="Arial"/>
                <w:b/>
                <w:bCs/>
              </w:rPr>
              <w:t>%</w:t>
            </w:r>
          </w:p>
        </w:tc>
      </w:tr>
      <w:tr w:rsidR="00F67E9E" w:rsidRPr="00093486" w14:paraId="45430802" w14:textId="77777777" w:rsidTr="0052486C">
        <w:trPr>
          <w:trHeight w:val="20"/>
        </w:trPr>
        <w:tc>
          <w:tcPr>
            <w:tcW w:w="4819" w:type="dxa"/>
          </w:tcPr>
          <w:p w14:paraId="0345BCCD" w14:textId="77777777" w:rsidR="00F67E9E" w:rsidRPr="00B224EC" w:rsidRDefault="00F67E9E" w:rsidP="0052486C">
            <w:pPr>
              <w:pStyle w:val="StdBodyText"/>
              <w:spacing w:before="0" w:after="0"/>
              <w:rPr>
                <w:rFonts w:cs="Arial"/>
              </w:rPr>
            </w:pPr>
            <w:r w:rsidRPr="00B224EC">
              <w:rPr>
                <w:rFonts w:cs="Arial"/>
              </w:rPr>
              <w:t>Estimated total contract revenue (£) to be received in this Financial Year</w:t>
            </w:r>
          </w:p>
        </w:tc>
        <w:tc>
          <w:tcPr>
            <w:tcW w:w="2551" w:type="dxa"/>
          </w:tcPr>
          <w:p w14:paraId="2568A96A" w14:textId="77777777" w:rsidR="00F67E9E" w:rsidRPr="00093486" w:rsidRDefault="00F67E9E" w:rsidP="0052486C">
            <w:pPr>
              <w:pStyle w:val="StdBodyText"/>
              <w:spacing w:before="0" w:after="0"/>
              <w:jc w:val="center"/>
              <w:rPr>
                <w:rFonts w:cs="Arial"/>
              </w:rPr>
            </w:pPr>
            <w:r w:rsidRPr="00093486">
              <w:rPr>
                <w:rFonts w:cs="Arial"/>
                <w:highlight w:val="yellow"/>
              </w:rPr>
              <w:t>£[    ]</w:t>
            </w:r>
          </w:p>
        </w:tc>
        <w:tc>
          <w:tcPr>
            <w:tcW w:w="2551" w:type="dxa"/>
          </w:tcPr>
          <w:p w14:paraId="3B38100B" w14:textId="77777777" w:rsidR="00F67E9E" w:rsidRPr="00093486" w:rsidRDefault="00F67E9E" w:rsidP="0052486C">
            <w:pPr>
              <w:pStyle w:val="StdBodyText"/>
              <w:spacing w:before="0" w:after="0"/>
              <w:jc w:val="center"/>
              <w:rPr>
                <w:rFonts w:cs="Arial"/>
              </w:rPr>
            </w:pPr>
            <w:r w:rsidRPr="00093486">
              <w:rPr>
                <w:rFonts w:cs="Arial"/>
              </w:rPr>
              <w:t>100%</w:t>
            </w:r>
          </w:p>
        </w:tc>
        <w:tc>
          <w:tcPr>
            <w:tcW w:w="2551" w:type="dxa"/>
          </w:tcPr>
          <w:p w14:paraId="70CC39E1" w14:textId="77777777" w:rsidR="00F67E9E" w:rsidRPr="00093486" w:rsidRDefault="00F67E9E" w:rsidP="0052486C">
            <w:pPr>
              <w:pStyle w:val="StdBodyText"/>
              <w:spacing w:before="0" w:after="0"/>
              <w:jc w:val="center"/>
              <w:rPr>
                <w:rFonts w:cs="Arial"/>
              </w:rPr>
            </w:pPr>
            <w:r w:rsidRPr="00093486">
              <w:rPr>
                <w:rFonts w:cs="Arial"/>
                <w:highlight w:val="yellow"/>
              </w:rPr>
              <w:t>£[    ]</w:t>
            </w:r>
          </w:p>
        </w:tc>
        <w:tc>
          <w:tcPr>
            <w:tcW w:w="2552" w:type="dxa"/>
          </w:tcPr>
          <w:p w14:paraId="65D55C4E" w14:textId="77777777" w:rsidR="00F67E9E" w:rsidRPr="00093486" w:rsidRDefault="00F67E9E" w:rsidP="0052486C">
            <w:pPr>
              <w:pStyle w:val="StdBodyText"/>
              <w:spacing w:before="0" w:after="0"/>
              <w:jc w:val="center"/>
              <w:rPr>
                <w:rFonts w:cs="Arial"/>
              </w:rPr>
            </w:pPr>
            <w:r w:rsidRPr="00093486">
              <w:rPr>
                <w:rFonts w:cs="Arial"/>
              </w:rPr>
              <w:t>100%</w:t>
            </w:r>
          </w:p>
        </w:tc>
      </w:tr>
      <w:tr w:rsidR="00F67E9E" w:rsidRPr="00093486" w14:paraId="060D4768" w14:textId="77777777" w:rsidTr="0052486C">
        <w:trPr>
          <w:trHeight w:val="20"/>
        </w:trPr>
        <w:tc>
          <w:tcPr>
            <w:tcW w:w="4819" w:type="dxa"/>
          </w:tcPr>
          <w:p w14:paraId="37970F3E" w14:textId="77777777" w:rsidR="00F67E9E" w:rsidRPr="00B224EC" w:rsidRDefault="00F67E9E" w:rsidP="0052486C">
            <w:pPr>
              <w:pStyle w:val="StdBodyText"/>
              <w:spacing w:before="0" w:after="0"/>
              <w:rPr>
                <w:rFonts w:cs="Arial"/>
              </w:rPr>
            </w:pPr>
            <w:r w:rsidRPr="00B224EC">
              <w:rPr>
                <w:rFonts w:cs="Arial"/>
              </w:rPr>
              <w:t>Total value of Sub-contracted revenues (£) in this Financial Year</w:t>
            </w:r>
          </w:p>
        </w:tc>
        <w:tc>
          <w:tcPr>
            <w:tcW w:w="2551" w:type="dxa"/>
          </w:tcPr>
          <w:p w14:paraId="3930812F" w14:textId="77777777" w:rsidR="00F67E9E" w:rsidRPr="00093486" w:rsidRDefault="00F67E9E" w:rsidP="0052486C">
            <w:pPr>
              <w:pStyle w:val="StdBodyText"/>
              <w:spacing w:before="0" w:after="0"/>
              <w:jc w:val="center"/>
              <w:rPr>
                <w:rFonts w:cs="Arial"/>
              </w:rPr>
            </w:pPr>
            <w:r w:rsidRPr="00093486">
              <w:rPr>
                <w:rFonts w:cs="Arial"/>
                <w:highlight w:val="yellow"/>
              </w:rPr>
              <w:t>£[    ]</w:t>
            </w:r>
          </w:p>
        </w:tc>
        <w:tc>
          <w:tcPr>
            <w:tcW w:w="2551" w:type="dxa"/>
          </w:tcPr>
          <w:p w14:paraId="14D8C2BE" w14:textId="77777777" w:rsidR="00F67E9E" w:rsidRPr="00093486" w:rsidRDefault="00F67E9E" w:rsidP="0052486C">
            <w:pPr>
              <w:pStyle w:val="StdBodyText"/>
              <w:spacing w:before="0" w:after="0"/>
              <w:jc w:val="center"/>
              <w:rPr>
                <w:rFonts w:cs="Arial"/>
              </w:rPr>
            </w:pPr>
            <w:r w:rsidRPr="00093486">
              <w:rPr>
                <w:rFonts w:cs="Arial"/>
                <w:highlight w:val="yellow"/>
              </w:rPr>
              <w:t>[    ]</w:t>
            </w:r>
          </w:p>
        </w:tc>
        <w:tc>
          <w:tcPr>
            <w:tcW w:w="2551" w:type="dxa"/>
          </w:tcPr>
          <w:p w14:paraId="5AB39E41" w14:textId="77777777" w:rsidR="00F67E9E" w:rsidRPr="00093486" w:rsidRDefault="00F67E9E" w:rsidP="0052486C">
            <w:pPr>
              <w:pStyle w:val="StdBodyText"/>
              <w:spacing w:before="0" w:after="0"/>
              <w:jc w:val="center"/>
              <w:rPr>
                <w:rFonts w:cs="Arial"/>
              </w:rPr>
            </w:pPr>
            <w:r w:rsidRPr="00093486">
              <w:rPr>
                <w:rFonts w:cs="Arial"/>
                <w:highlight w:val="yellow"/>
              </w:rPr>
              <w:t>£[    ]</w:t>
            </w:r>
          </w:p>
        </w:tc>
        <w:tc>
          <w:tcPr>
            <w:tcW w:w="2552" w:type="dxa"/>
          </w:tcPr>
          <w:p w14:paraId="37CB1C66" w14:textId="77777777" w:rsidR="00F67E9E" w:rsidRPr="00093486" w:rsidRDefault="00F67E9E" w:rsidP="0052486C">
            <w:pPr>
              <w:pStyle w:val="StdBodyText"/>
              <w:spacing w:before="0" w:after="0"/>
              <w:jc w:val="center"/>
              <w:rPr>
                <w:rFonts w:cs="Arial"/>
              </w:rPr>
            </w:pPr>
            <w:r w:rsidRPr="00093486">
              <w:rPr>
                <w:rFonts w:cs="Arial"/>
                <w:highlight w:val="yellow"/>
              </w:rPr>
              <w:t>[    ]</w:t>
            </w:r>
          </w:p>
        </w:tc>
      </w:tr>
      <w:tr w:rsidR="00F67E9E" w:rsidRPr="00093486" w14:paraId="7817BD29" w14:textId="77777777" w:rsidTr="0052486C">
        <w:trPr>
          <w:trHeight w:val="20"/>
        </w:trPr>
        <w:tc>
          <w:tcPr>
            <w:tcW w:w="4819" w:type="dxa"/>
          </w:tcPr>
          <w:p w14:paraId="467905CC" w14:textId="77777777" w:rsidR="00F67E9E" w:rsidRPr="00B224EC" w:rsidRDefault="00F67E9E" w:rsidP="0052486C">
            <w:pPr>
              <w:pStyle w:val="StdBodyText"/>
              <w:spacing w:before="0" w:after="0"/>
              <w:rPr>
                <w:rFonts w:cs="Arial"/>
              </w:rPr>
            </w:pPr>
            <w:r w:rsidRPr="00B224EC">
              <w:rPr>
                <w:rFonts w:cs="Arial"/>
              </w:rPr>
              <w:t xml:space="preserve">Total value of Sub-contracted revenues to SMEs (£) in this Financial Year </w:t>
            </w:r>
          </w:p>
        </w:tc>
        <w:tc>
          <w:tcPr>
            <w:tcW w:w="2551" w:type="dxa"/>
          </w:tcPr>
          <w:p w14:paraId="2BE0329C" w14:textId="77777777" w:rsidR="00F67E9E" w:rsidRPr="00093486" w:rsidRDefault="00F67E9E" w:rsidP="0052486C">
            <w:pPr>
              <w:pStyle w:val="StdBodyText"/>
              <w:spacing w:before="0" w:after="0"/>
              <w:jc w:val="center"/>
              <w:rPr>
                <w:rFonts w:cs="Arial"/>
              </w:rPr>
            </w:pPr>
            <w:r w:rsidRPr="00093486">
              <w:rPr>
                <w:rFonts w:cs="Arial"/>
                <w:highlight w:val="yellow"/>
              </w:rPr>
              <w:t>£[    ]</w:t>
            </w:r>
          </w:p>
        </w:tc>
        <w:tc>
          <w:tcPr>
            <w:tcW w:w="2551" w:type="dxa"/>
          </w:tcPr>
          <w:p w14:paraId="530259CC" w14:textId="77777777" w:rsidR="00F67E9E" w:rsidRPr="00093486" w:rsidRDefault="00F67E9E" w:rsidP="0052486C">
            <w:pPr>
              <w:pStyle w:val="StdBodyText"/>
              <w:spacing w:before="0" w:after="0"/>
              <w:jc w:val="center"/>
              <w:rPr>
                <w:rFonts w:cs="Arial"/>
              </w:rPr>
            </w:pPr>
            <w:r w:rsidRPr="00093486">
              <w:rPr>
                <w:rFonts w:cs="Arial"/>
                <w:highlight w:val="yellow"/>
              </w:rPr>
              <w:t>[    ]</w:t>
            </w:r>
          </w:p>
        </w:tc>
        <w:tc>
          <w:tcPr>
            <w:tcW w:w="2551" w:type="dxa"/>
          </w:tcPr>
          <w:p w14:paraId="1C3BB9C2" w14:textId="77777777" w:rsidR="00F67E9E" w:rsidRPr="00093486" w:rsidRDefault="00F67E9E" w:rsidP="0052486C">
            <w:pPr>
              <w:pStyle w:val="StdBodyText"/>
              <w:spacing w:before="0" w:after="0"/>
              <w:jc w:val="center"/>
              <w:rPr>
                <w:rFonts w:cs="Arial"/>
              </w:rPr>
            </w:pPr>
            <w:r w:rsidRPr="00093486">
              <w:rPr>
                <w:rFonts w:cs="Arial"/>
                <w:highlight w:val="yellow"/>
              </w:rPr>
              <w:t>£[    ]</w:t>
            </w:r>
          </w:p>
        </w:tc>
        <w:tc>
          <w:tcPr>
            <w:tcW w:w="2552" w:type="dxa"/>
          </w:tcPr>
          <w:p w14:paraId="3A52085D" w14:textId="77777777" w:rsidR="00F67E9E" w:rsidRPr="00093486" w:rsidRDefault="00F67E9E" w:rsidP="0052486C">
            <w:pPr>
              <w:pStyle w:val="StdBodyText"/>
              <w:spacing w:before="0" w:after="0"/>
              <w:jc w:val="center"/>
              <w:rPr>
                <w:rFonts w:cs="Arial"/>
              </w:rPr>
            </w:pPr>
            <w:r w:rsidRPr="00093486">
              <w:rPr>
                <w:rFonts w:cs="Arial"/>
                <w:highlight w:val="yellow"/>
              </w:rPr>
              <w:t>[    ]</w:t>
            </w:r>
          </w:p>
        </w:tc>
      </w:tr>
      <w:tr w:rsidR="00F67E9E" w:rsidRPr="00093486" w14:paraId="7910F8A7" w14:textId="77777777" w:rsidTr="0052486C">
        <w:trPr>
          <w:trHeight w:val="20"/>
        </w:trPr>
        <w:tc>
          <w:tcPr>
            <w:tcW w:w="4819" w:type="dxa"/>
          </w:tcPr>
          <w:p w14:paraId="41C0C4E2" w14:textId="77777777" w:rsidR="00F67E9E" w:rsidRPr="00B224EC" w:rsidRDefault="00F67E9E" w:rsidP="0052486C">
            <w:pPr>
              <w:pStyle w:val="StdBodyText"/>
              <w:spacing w:before="0" w:after="0"/>
              <w:rPr>
                <w:rFonts w:cs="Arial"/>
              </w:rPr>
            </w:pPr>
            <w:r w:rsidRPr="00B224EC">
              <w:rPr>
                <w:rFonts w:cs="Arial"/>
              </w:rPr>
              <w:t>Total value of Sub-contracted revenues to VCSEs (£) in this Financial Year</w:t>
            </w:r>
          </w:p>
        </w:tc>
        <w:tc>
          <w:tcPr>
            <w:tcW w:w="2551" w:type="dxa"/>
          </w:tcPr>
          <w:p w14:paraId="1B4DD6AA" w14:textId="77777777" w:rsidR="00F67E9E" w:rsidRPr="00093486" w:rsidRDefault="00F67E9E" w:rsidP="0052486C">
            <w:pPr>
              <w:pStyle w:val="StdBodyText"/>
              <w:spacing w:before="0" w:after="0"/>
              <w:jc w:val="center"/>
              <w:rPr>
                <w:rFonts w:cs="Arial"/>
              </w:rPr>
            </w:pPr>
            <w:r w:rsidRPr="00093486">
              <w:rPr>
                <w:rFonts w:cs="Arial"/>
                <w:highlight w:val="yellow"/>
              </w:rPr>
              <w:t>£[    ]</w:t>
            </w:r>
          </w:p>
        </w:tc>
        <w:tc>
          <w:tcPr>
            <w:tcW w:w="2551" w:type="dxa"/>
          </w:tcPr>
          <w:p w14:paraId="1430F2F4" w14:textId="77777777" w:rsidR="00F67E9E" w:rsidRPr="00093486" w:rsidRDefault="00F67E9E" w:rsidP="0052486C">
            <w:pPr>
              <w:pStyle w:val="StdBodyText"/>
              <w:spacing w:before="0" w:after="0"/>
              <w:jc w:val="center"/>
              <w:rPr>
                <w:rFonts w:cs="Arial"/>
              </w:rPr>
            </w:pPr>
            <w:r w:rsidRPr="00093486">
              <w:rPr>
                <w:rFonts w:cs="Arial"/>
                <w:highlight w:val="yellow"/>
              </w:rPr>
              <w:t>[    ]</w:t>
            </w:r>
          </w:p>
        </w:tc>
        <w:tc>
          <w:tcPr>
            <w:tcW w:w="2551" w:type="dxa"/>
          </w:tcPr>
          <w:p w14:paraId="34E54126" w14:textId="77777777" w:rsidR="00F67E9E" w:rsidRPr="00093486" w:rsidRDefault="00F67E9E" w:rsidP="0052486C">
            <w:pPr>
              <w:pStyle w:val="StdBodyText"/>
              <w:spacing w:before="0" w:after="0"/>
              <w:jc w:val="center"/>
              <w:rPr>
                <w:rFonts w:cs="Arial"/>
              </w:rPr>
            </w:pPr>
            <w:r w:rsidRPr="00093486">
              <w:rPr>
                <w:rFonts w:cs="Arial"/>
                <w:highlight w:val="yellow"/>
              </w:rPr>
              <w:t>£[    ]</w:t>
            </w:r>
          </w:p>
        </w:tc>
        <w:tc>
          <w:tcPr>
            <w:tcW w:w="2552" w:type="dxa"/>
          </w:tcPr>
          <w:p w14:paraId="5A0125B8" w14:textId="77777777" w:rsidR="00F67E9E" w:rsidRPr="00093486" w:rsidRDefault="00F67E9E" w:rsidP="0052486C">
            <w:pPr>
              <w:pStyle w:val="StdBodyText"/>
              <w:spacing w:before="0" w:after="0"/>
              <w:jc w:val="center"/>
              <w:rPr>
                <w:rFonts w:cs="Arial"/>
              </w:rPr>
            </w:pPr>
            <w:r w:rsidRPr="00093486">
              <w:rPr>
                <w:rFonts w:cs="Arial"/>
                <w:highlight w:val="yellow"/>
              </w:rPr>
              <w:t>[    ]</w:t>
            </w:r>
          </w:p>
        </w:tc>
      </w:tr>
    </w:tbl>
    <w:p w14:paraId="1B2025B1" w14:textId="77777777" w:rsidR="00F67E9E" w:rsidRDefault="00F67E9E" w:rsidP="00F67E9E">
      <w:pPr>
        <w:rPr>
          <w:lang w:eastAsia="en-GB"/>
        </w:rPr>
      </w:pPr>
    </w:p>
    <w:p w14:paraId="3B52B711" w14:textId="77777777" w:rsidR="00F67E9E" w:rsidRDefault="00F67E9E" w:rsidP="00F67E9E">
      <w:pPr>
        <w:rPr>
          <w:lang w:eastAsia="en-GB"/>
        </w:rPr>
      </w:pPr>
    </w:p>
    <w:p w14:paraId="6F45D0C1" w14:textId="77777777" w:rsidR="00F67E9E" w:rsidRDefault="00F67E9E" w:rsidP="00F67E9E">
      <w:pPr>
        <w:rPr>
          <w:lang w:eastAsia="en-GB"/>
        </w:rPr>
        <w:sectPr w:rsidR="00F67E9E" w:rsidSect="00240D26">
          <w:footerReference w:type="default" r:id="rId147"/>
          <w:pgSz w:w="16834" w:h="11909" w:orient="landscape"/>
          <w:pgMar w:top="1701" w:right="851" w:bottom="1134" w:left="851" w:header="567" w:footer="567" w:gutter="0"/>
          <w:cols w:space="720"/>
          <w:docGrid w:linePitch="326"/>
        </w:sectPr>
      </w:pPr>
    </w:p>
    <w:p w14:paraId="64666430" w14:textId="77777777" w:rsidR="00F67E9E" w:rsidRPr="00EE4F10" w:rsidRDefault="00F67E9E" w:rsidP="00F67E9E">
      <w:pPr>
        <w:pStyle w:val="Dividername"/>
      </w:pPr>
      <w:r w:rsidRPr="00EE4F10">
        <w:lastRenderedPageBreak/>
        <w:t>Schedule 25</w:t>
      </w:r>
    </w:p>
    <w:p w14:paraId="471E6AD1" w14:textId="77777777" w:rsidR="00F67E9E" w:rsidRPr="00EE4F10" w:rsidRDefault="00F67E9E" w:rsidP="00F67E9E">
      <w:pPr>
        <w:pStyle w:val="Dividername"/>
      </w:pPr>
      <w:r w:rsidRPr="00EE4F10">
        <w:t>Exit Management</w:t>
      </w:r>
    </w:p>
    <w:p w14:paraId="74F4A48C" w14:textId="77777777" w:rsidR="00F67E9E" w:rsidRPr="00B224EC" w:rsidRDefault="00F67E9E" w:rsidP="00F67E9E">
      <w:pPr>
        <w:rPr>
          <w:lang w:eastAsia="en-GB"/>
        </w:rPr>
      </w:pPr>
    </w:p>
    <w:p w14:paraId="685979C8" w14:textId="77777777" w:rsidR="00F67E9E" w:rsidRDefault="00F67E9E" w:rsidP="00F67E9E">
      <w:pPr>
        <w:rPr>
          <w:lang w:eastAsia="en-GB"/>
        </w:rPr>
      </w:pPr>
      <w:r>
        <w:rPr>
          <w:lang w:eastAsia="en-GB"/>
        </w:rPr>
        <w:br w:type="page"/>
      </w:r>
    </w:p>
    <w:p w14:paraId="4BA1CF4A" w14:textId="77777777" w:rsidR="00F67E9E" w:rsidRPr="005D0525" w:rsidRDefault="00F67E9E" w:rsidP="00F67E9E">
      <w:pPr>
        <w:pStyle w:val="Heading1"/>
      </w:pPr>
      <w:bookmarkStart w:id="1652" w:name="Schedule25"/>
      <w:bookmarkStart w:id="1653" w:name="_Ref92200048"/>
      <w:bookmarkStart w:id="1654" w:name="_Toc145412807"/>
      <w:r w:rsidRPr="005D0525">
        <w:lastRenderedPageBreak/>
        <w:t>Schedule 25</w:t>
      </w:r>
      <w:bookmarkEnd w:id="1652"/>
      <w:r>
        <w:t xml:space="preserve">: </w:t>
      </w:r>
      <w:bookmarkStart w:id="1655" w:name="Schedule25Heading"/>
      <w:r w:rsidRPr="00DD4CC2">
        <w:t>Exit Management</w:t>
      </w:r>
      <w:bookmarkEnd w:id="1653"/>
      <w:bookmarkEnd w:id="1654"/>
      <w:bookmarkEnd w:id="1655"/>
    </w:p>
    <w:p w14:paraId="199A175D" w14:textId="77777777" w:rsidR="00F67E9E" w:rsidRPr="00B224EC" w:rsidRDefault="00F67E9E" w:rsidP="00F13933">
      <w:pPr>
        <w:pStyle w:val="Numbered1"/>
        <w:numPr>
          <w:ilvl w:val="0"/>
          <w:numId w:val="134"/>
        </w:numPr>
      </w:pPr>
      <w:r w:rsidRPr="00B224EC">
        <w:t>Definitions</w:t>
      </w:r>
    </w:p>
    <w:p w14:paraId="477EF738" w14:textId="77777777" w:rsidR="00F67E9E" w:rsidRPr="00B224EC" w:rsidRDefault="00F67E9E" w:rsidP="00F67E9E">
      <w:pPr>
        <w:pStyle w:val="Numbered11"/>
      </w:pPr>
      <w:r w:rsidRPr="00B224EC">
        <w:t>In this Schedule, the following definitions shall apply:</w:t>
      </w:r>
    </w:p>
    <w:tbl>
      <w:tblPr>
        <w:tblStyle w:val="MSAdefinitions"/>
        <w:tblW w:w="9638" w:type="dxa"/>
        <w:tblLook w:val="04A0" w:firstRow="1" w:lastRow="0" w:firstColumn="1" w:lastColumn="0" w:noHBand="0" w:noVBand="1"/>
      </w:tblPr>
      <w:tblGrid>
        <w:gridCol w:w="2835"/>
        <w:gridCol w:w="6803"/>
      </w:tblGrid>
      <w:tr w:rsidR="00F67E9E" w:rsidRPr="00B224EC" w14:paraId="2452CE37" w14:textId="77777777" w:rsidTr="0052486C">
        <w:tc>
          <w:tcPr>
            <w:tcW w:w="2835" w:type="dxa"/>
          </w:tcPr>
          <w:p w14:paraId="6CDEEE2A" w14:textId="77777777" w:rsidR="00F67E9E" w:rsidRPr="00B224EC" w:rsidRDefault="00F67E9E" w:rsidP="0052486C">
            <w:pPr>
              <w:pStyle w:val="StdBodyTextBold"/>
              <w:rPr>
                <w:rFonts w:cs="Arial"/>
              </w:rPr>
            </w:pPr>
            <w:r>
              <w:rPr>
                <w:rFonts w:cs="Arial"/>
              </w:rPr>
              <w:t>“</w:t>
            </w:r>
            <w:r w:rsidRPr="00B224EC">
              <w:rPr>
                <w:rFonts w:cs="Arial"/>
              </w:rPr>
              <w:t>Emergency Exit</w:t>
            </w:r>
            <w:r>
              <w:rPr>
                <w:rFonts w:cs="Arial"/>
              </w:rPr>
              <w:t>”</w:t>
            </w:r>
          </w:p>
        </w:tc>
        <w:tc>
          <w:tcPr>
            <w:tcW w:w="6803" w:type="dxa"/>
          </w:tcPr>
          <w:p w14:paraId="3F63C4C2" w14:textId="77777777" w:rsidR="00F67E9E" w:rsidRPr="00B224EC" w:rsidRDefault="00F67E9E" w:rsidP="0052486C">
            <w:pPr>
              <w:pStyle w:val="StdBodyText"/>
              <w:rPr>
                <w:rFonts w:cs="Arial"/>
              </w:rPr>
            </w:pPr>
            <w:r w:rsidRPr="00B224EC">
              <w:rPr>
                <w:rFonts w:cs="Arial"/>
              </w:rPr>
              <w:t>any termination of this Contract which is a:</w:t>
            </w:r>
          </w:p>
          <w:p w14:paraId="718017EC" w14:textId="77777777" w:rsidR="00F67E9E" w:rsidRPr="00436D9D" w:rsidRDefault="00F67E9E" w:rsidP="00F13933">
            <w:pPr>
              <w:pStyle w:val="DefinitionList"/>
              <w:numPr>
                <w:ilvl w:val="0"/>
                <w:numId w:val="135"/>
              </w:numPr>
            </w:pPr>
            <w:r w:rsidRPr="00436D9D">
              <w:t xml:space="preserve">termination of the whole or part of this Contract in accordance with </w:t>
            </w:r>
            <w:bookmarkStart w:id="1656" w:name="_9kR3WTr2CC6DCJChrAv7K"/>
            <w:r w:rsidRPr="00436D9D">
              <w:t>Clause 31</w:t>
            </w:r>
            <w:bookmarkEnd w:id="1656"/>
            <w:r w:rsidRPr="00436D9D">
              <w:t xml:space="preserve"> (</w:t>
            </w:r>
            <w:r w:rsidRPr="004B3795">
              <w:rPr>
                <w:i/>
                <w:iCs/>
              </w:rPr>
              <w:t>Termination Rights</w:t>
            </w:r>
            <w:r w:rsidRPr="00436D9D">
              <w:t xml:space="preserve">), except where the period of notice given under that Clause is greater than or equal to 6 months; </w:t>
            </w:r>
          </w:p>
          <w:p w14:paraId="5A22A395" w14:textId="77777777" w:rsidR="00F67E9E" w:rsidRPr="00436D9D" w:rsidRDefault="00F67E9E" w:rsidP="00F13933">
            <w:pPr>
              <w:pStyle w:val="DefinitionList"/>
              <w:numPr>
                <w:ilvl w:val="0"/>
                <w:numId w:val="78"/>
              </w:numPr>
            </w:pPr>
            <w:r w:rsidRPr="00436D9D">
              <w:t xml:space="preserve">termination of the provision of the Services for any reason prior to the expiry of any period of notice of termination served pursuant to </w:t>
            </w:r>
            <w:bookmarkStart w:id="1657" w:name="_9kMHG5YVt4EE8FELEjtCx9M"/>
            <w:r w:rsidRPr="00436D9D">
              <w:t>Clause 31</w:t>
            </w:r>
            <w:bookmarkEnd w:id="1657"/>
            <w:r w:rsidRPr="00436D9D">
              <w:t xml:space="preserve"> (</w:t>
            </w:r>
            <w:r w:rsidRPr="004B3795">
              <w:rPr>
                <w:i/>
                <w:iCs/>
              </w:rPr>
              <w:t>Termination Rights</w:t>
            </w:r>
            <w:r w:rsidRPr="00436D9D">
              <w:t>); or</w:t>
            </w:r>
          </w:p>
          <w:p w14:paraId="7DEA65DD" w14:textId="77777777" w:rsidR="00F67E9E" w:rsidRPr="00B224EC" w:rsidRDefault="00F67E9E" w:rsidP="00F13933">
            <w:pPr>
              <w:pStyle w:val="DefinitionList"/>
              <w:numPr>
                <w:ilvl w:val="0"/>
                <w:numId w:val="78"/>
              </w:numPr>
            </w:pPr>
            <w:r w:rsidRPr="00436D9D">
              <w:t>wrongful termination or repudiation of this Contract by either Party</w:t>
            </w:r>
            <w:r w:rsidRPr="00B224EC">
              <w:t>;</w:t>
            </w:r>
          </w:p>
        </w:tc>
      </w:tr>
      <w:tr w:rsidR="00F67E9E" w:rsidRPr="00B224EC" w14:paraId="42677160" w14:textId="77777777" w:rsidTr="0052486C">
        <w:tc>
          <w:tcPr>
            <w:tcW w:w="2835" w:type="dxa"/>
          </w:tcPr>
          <w:p w14:paraId="17BDE26F" w14:textId="77777777" w:rsidR="00F67E9E" w:rsidRPr="00B224EC" w:rsidRDefault="00F67E9E" w:rsidP="0052486C">
            <w:pPr>
              <w:pStyle w:val="StdBodyTextBold"/>
              <w:rPr>
                <w:rFonts w:cs="Arial"/>
              </w:rPr>
            </w:pPr>
            <w:r>
              <w:rPr>
                <w:rFonts w:cs="Arial"/>
              </w:rPr>
              <w:t>“</w:t>
            </w:r>
            <w:r w:rsidRPr="00B224EC">
              <w:rPr>
                <w:rFonts w:cs="Arial"/>
              </w:rPr>
              <w:t>Ethical Wall Agreement</w:t>
            </w:r>
            <w:r>
              <w:rPr>
                <w:rFonts w:cs="Arial"/>
              </w:rPr>
              <w:t>”</w:t>
            </w:r>
          </w:p>
        </w:tc>
        <w:tc>
          <w:tcPr>
            <w:tcW w:w="6803" w:type="dxa"/>
          </w:tcPr>
          <w:p w14:paraId="6AA4769E" w14:textId="0CDA238D" w:rsidR="00F67E9E" w:rsidRPr="00B224EC" w:rsidRDefault="00F67E9E" w:rsidP="0052486C">
            <w:pPr>
              <w:pStyle w:val="StdBodyText"/>
              <w:rPr>
                <w:rFonts w:cs="Arial"/>
              </w:rPr>
            </w:pPr>
            <w:r w:rsidRPr="00B224EC">
              <w:rPr>
                <w:rFonts w:cs="Arial"/>
              </w:rPr>
              <w:t xml:space="preserve">an ethical wall agreement in a form similar to the draft ethical wall agreement set out at </w:t>
            </w:r>
            <w:bookmarkStart w:id="1658" w:name="_9kMHG5YVt4DEDGEMEyq1Q"/>
            <w:r w:rsidRPr="00B224EC">
              <w:rPr>
                <w:rFonts w:cs="Arial"/>
              </w:rPr>
              <w:t xml:space="preserve">Annex </w:t>
            </w:r>
            <w:r w:rsidRPr="00B224EC">
              <w:rPr>
                <w:rFonts w:cs="Arial"/>
              </w:rPr>
              <w:fldChar w:fldCharType="begin"/>
            </w:r>
            <w:r w:rsidRPr="00B224EC">
              <w:rPr>
                <w:rFonts w:cs="Arial"/>
              </w:rPr>
              <w:instrText xml:space="preserve"> REF ANNEX2_SCHEDULE25 \h </w:instrText>
            </w:r>
            <w:r>
              <w:rPr>
                <w:rFonts w:cs="Arial"/>
              </w:rPr>
              <w:instrText xml:space="preserve"> \* MERGEFORMAT </w:instrText>
            </w:r>
            <w:r w:rsidRPr="00B224EC">
              <w:rPr>
                <w:rFonts w:cs="Arial"/>
              </w:rPr>
            </w:r>
            <w:r w:rsidRPr="00B224EC">
              <w:rPr>
                <w:rFonts w:cs="Arial"/>
              </w:rPr>
              <w:fldChar w:fldCharType="separate"/>
            </w:r>
            <w:r w:rsidR="007A1473" w:rsidRPr="007A1473">
              <w:rPr>
                <w:rFonts w:cs="Arial"/>
              </w:rPr>
              <w:t>2</w:t>
            </w:r>
            <w:r w:rsidRPr="00B224EC">
              <w:rPr>
                <w:rFonts w:cs="Arial"/>
              </w:rPr>
              <w:fldChar w:fldCharType="end"/>
            </w:r>
            <w:bookmarkEnd w:id="1658"/>
            <w:r w:rsidRPr="00B224EC">
              <w:rPr>
                <w:rFonts w:cs="Arial"/>
              </w:rPr>
              <w:t>;</w:t>
            </w:r>
          </w:p>
        </w:tc>
      </w:tr>
      <w:tr w:rsidR="00F67E9E" w:rsidRPr="00B224EC" w14:paraId="4CDB9EA4" w14:textId="77777777" w:rsidTr="0052486C">
        <w:tc>
          <w:tcPr>
            <w:tcW w:w="2835" w:type="dxa"/>
          </w:tcPr>
          <w:p w14:paraId="157551E2" w14:textId="77777777" w:rsidR="00F67E9E" w:rsidRPr="00B224EC" w:rsidRDefault="00F67E9E" w:rsidP="0052486C">
            <w:pPr>
              <w:pStyle w:val="StdBodyTextBold"/>
              <w:rPr>
                <w:rFonts w:cs="Arial"/>
              </w:rPr>
            </w:pPr>
            <w:r>
              <w:rPr>
                <w:rFonts w:cs="Arial"/>
              </w:rPr>
              <w:t>“</w:t>
            </w:r>
            <w:r w:rsidRPr="00B224EC">
              <w:rPr>
                <w:rFonts w:cs="Arial"/>
              </w:rPr>
              <w:t>Exclusive Assets</w:t>
            </w:r>
            <w:r>
              <w:rPr>
                <w:rFonts w:cs="Arial"/>
              </w:rPr>
              <w:t>”</w:t>
            </w:r>
          </w:p>
        </w:tc>
        <w:tc>
          <w:tcPr>
            <w:tcW w:w="6803" w:type="dxa"/>
          </w:tcPr>
          <w:p w14:paraId="50D3150E" w14:textId="77777777" w:rsidR="00F67E9E" w:rsidRPr="00B224EC" w:rsidRDefault="00F67E9E" w:rsidP="0052486C">
            <w:pPr>
              <w:pStyle w:val="StdBodyText"/>
              <w:rPr>
                <w:rFonts w:cs="Arial"/>
              </w:rPr>
            </w:pPr>
            <w:r w:rsidRPr="00B224EC">
              <w:rPr>
                <w:rFonts w:cs="Arial"/>
              </w:rPr>
              <w:t>those Assets used by the Supplier or a Key Sub-contractor which are used exclusively in the provision of the Services;</w:t>
            </w:r>
          </w:p>
        </w:tc>
      </w:tr>
      <w:tr w:rsidR="00F67E9E" w:rsidRPr="00B224EC" w14:paraId="4200143A" w14:textId="77777777" w:rsidTr="0052486C">
        <w:tc>
          <w:tcPr>
            <w:tcW w:w="2835" w:type="dxa"/>
          </w:tcPr>
          <w:p w14:paraId="2061CA47" w14:textId="77777777" w:rsidR="00F67E9E" w:rsidRPr="00B224EC" w:rsidRDefault="00F67E9E" w:rsidP="0052486C">
            <w:pPr>
              <w:pStyle w:val="StdBodyTextBold"/>
              <w:rPr>
                <w:rFonts w:cs="Arial"/>
              </w:rPr>
            </w:pPr>
            <w:r>
              <w:rPr>
                <w:rFonts w:cs="Arial"/>
              </w:rPr>
              <w:t>“</w:t>
            </w:r>
            <w:r w:rsidRPr="00B224EC">
              <w:rPr>
                <w:rFonts w:cs="Arial"/>
              </w:rPr>
              <w:t>Exit Information</w:t>
            </w:r>
            <w:r>
              <w:rPr>
                <w:rFonts w:cs="Arial"/>
              </w:rPr>
              <w:t>”</w:t>
            </w:r>
          </w:p>
        </w:tc>
        <w:tc>
          <w:tcPr>
            <w:tcW w:w="6803" w:type="dxa"/>
          </w:tcPr>
          <w:p w14:paraId="6299D152" w14:textId="3C1D22AA" w:rsidR="00F67E9E" w:rsidRPr="00B224EC" w:rsidRDefault="00F67E9E" w:rsidP="0052486C">
            <w:pPr>
              <w:pStyle w:val="StdBodyText"/>
              <w:rPr>
                <w:rFonts w:cs="Arial"/>
              </w:rPr>
            </w:pPr>
            <w:r w:rsidRPr="00B224EC">
              <w:rPr>
                <w:rFonts w:cs="Arial"/>
              </w:rPr>
              <w:t xml:space="preserve">has the meaning given in </w:t>
            </w:r>
            <w:bookmarkStart w:id="1659" w:name="_9kMHG5YVtCIBEHHIEaU4wgvA6tiuy1CJEyvuAB6"/>
            <w:bookmarkStart w:id="1660" w:name="_9kMHG5YVtCJCEHIJEaU4wgvA6tiuy1CJEyvuAB6"/>
            <w:r w:rsidRPr="00B224EC">
              <w:rPr>
                <w:rFonts w:cs="Arial"/>
              </w:rPr>
              <w:t xml:space="preserve">Paragraph </w:t>
            </w:r>
            <w:r w:rsidRPr="00B224EC">
              <w:rPr>
                <w:rFonts w:cs="Arial"/>
              </w:rPr>
              <w:fldChar w:fldCharType="begin"/>
            </w:r>
            <w:r w:rsidRPr="00B224EC">
              <w:rPr>
                <w:rFonts w:cs="Arial"/>
              </w:rPr>
              <w:instrText xml:space="preserve"> REF _Ref_ContractCompanion_9kb9Us8B9 \n \h \t \* MERGEFORMAT </w:instrText>
            </w:r>
            <w:r w:rsidRPr="00B224EC">
              <w:rPr>
                <w:rFonts w:cs="Arial"/>
              </w:rPr>
            </w:r>
            <w:r w:rsidRPr="00B224EC">
              <w:rPr>
                <w:rFonts w:cs="Arial"/>
              </w:rPr>
              <w:fldChar w:fldCharType="separate"/>
            </w:r>
            <w:r w:rsidR="007A1473">
              <w:rPr>
                <w:rFonts w:cs="Arial"/>
              </w:rPr>
              <w:t>3.1</w:t>
            </w:r>
            <w:r w:rsidRPr="00B224EC">
              <w:rPr>
                <w:rFonts w:cs="Arial"/>
              </w:rPr>
              <w:fldChar w:fldCharType="end"/>
            </w:r>
            <w:bookmarkEnd w:id="1659"/>
            <w:bookmarkEnd w:id="1660"/>
            <w:r w:rsidRPr="00B224EC">
              <w:rPr>
                <w:rFonts w:cs="Arial"/>
              </w:rPr>
              <w:t>;</w:t>
            </w:r>
          </w:p>
        </w:tc>
      </w:tr>
      <w:tr w:rsidR="00F67E9E" w:rsidRPr="00B224EC" w14:paraId="0C2D607B" w14:textId="77777777" w:rsidTr="0052486C">
        <w:tc>
          <w:tcPr>
            <w:tcW w:w="2835" w:type="dxa"/>
          </w:tcPr>
          <w:p w14:paraId="1814BBF5" w14:textId="77777777" w:rsidR="00F67E9E" w:rsidRPr="00B224EC" w:rsidRDefault="00F67E9E" w:rsidP="0052486C">
            <w:pPr>
              <w:pStyle w:val="StdBodyTextBold"/>
              <w:rPr>
                <w:rFonts w:cs="Arial"/>
              </w:rPr>
            </w:pPr>
            <w:r>
              <w:rPr>
                <w:rFonts w:cs="Arial"/>
              </w:rPr>
              <w:t>“</w:t>
            </w:r>
            <w:r w:rsidRPr="00B224EC">
              <w:rPr>
                <w:rFonts w:cs="Arial"/>
              </w:rPr>
              <w:t>Exit Manager</w:t>
            </w:r>
            <w:r>
              <w:rPr>
                <w:rFonts w:cs="Arial"/>
              </w:rPr>
              <w:t>”</w:t>
            </w:r>
          </w:p>
        </w:tc>
        <w:tc>
          <w:tcPr>
            <w:tcW w:w="6803" w:type="dxa"/>
          </w:tcPr>
          <w:p w14:paraId="6E7B5309" w14:textId="3C194FB8" w:rsidR="00F67E9E" w:rsidRPr="00B224EC" w:rsidRDefault="00F67E9E" w:rsidP="0052486C">
            <w:pPr>
              <w:pStyle w:val="StdBodyText"/>
              <w:rPr>
                <w:rFonts w:cs="Arial"/>
              </w:rPr>
            </w:pPr>
            <w:r w:rsidRPr="00B224EC">
              <w:rPr>
                <w:rFonts w:cs="Arial"/>
              </w:rPr>
              <w:t xml:space="preserve">the person appointed by each Party pursuant to </w:t>
            </w:r>
            <w:bookmarkStart w:id="1661" w:name="_9kR3WTr2BCCGAWEnoewrqyCM"/>
            <w:r w:rsidRPr="00B224EC">
              <w:rPr>
                <w:rFonts w:cs="Arial"/>
              </w:rPr>
              <w:t xml:space="preserve">Paragraph </w:t>
            </w:r>
            <w:r w:rsidRPr="00B224EC">
              <w:rPr>
                <w:rFonts w:cs="Arial"/>
              </w:rPr>
              <w:fldChar w:fldCharType="begin"/>
            </w:r>
            <w:r w:rsidRPr="00B224EC">
              <w:rPr>
                <w:rFonts w:cs="Arial"/>
              </w:rPr>
              <w:instrText xml:space="preserve"> REF _Ref_ContractCompanion_9kb9Us8BD \n \h \t \* MERGEFORMAT </w:instrText>
            </w:r>
            <w:r w:rsidRPr="00B224EC">
              <w:rPr>
                <w:rFonts w:cs="Arial"/>
              </w:rPr>
            </w:r>
            <w:r w:rsidRPr="00B224EC">
              <w:rPr>
                <w:rFonts w:cs="Arial"/>
              </w:rPr>
              <w:fldChar w:fldCharType="separate"/>
            </w:r>
            <w:r w:rsidR="007A1473">
              <w:rPr>
                <w:rFonts w:cs="Arial"/>
              </w:rPr>
              <w:t>2.3</w:t>
            </w:r>
            <w:r w:rsidRPr="00B224EC">
              <w:rPr>
                <w:rFonts w:cs="Arial"/>
              </w:rPr>
              <w:fldChar w:fldCharType="end"/>
            </w:r>
            <w:bookmarkEnd w:id="1661"/>
            <w:r w:rsidRPr="00B224EC">
              <w:rPr>
                <w:rFonts w:cs="Arial"/>
              </w:rPr>
              <w:t xml:space="preserve"> for managing the Parties</w:t>
            </w:r>
            <w:r>
              <w:rPr>
                <w:rFonts w:cs="Arial"/>
              </w:rPr>
              <w:t>’</w:t>
            </w:r>
            <w:r w:rsidRPr="00B224EC">
              <w:rPr>
                <w:rFonts w:cs="Arial"/>
              </w:rPr>
              <w:t xml:space="preserve"> respective obligations under this Schedule;</w:t>
            </w:r>
          </w:p>
        </w:tc>
      </w:tr>
      <w:tr w:rsidR="00F67E9E" w:rsidRPr="00B224EC" w14:paraId="2EE07F62" w14:textId="77777777" w:rsidTr="0052486C">
        <w:tc>
          <w:tcPr>
            <w:tcW w:w="2835" w:type="dxa"/>
          </w:tcPr>
          <w:p w14:paraId="43DB0ADA" w14:textId="77777777" w:rsidR="00F67E9E" w:rsidRPr="00B224EC" w:rsidRDefault="00F67E9E" w:rsidP="0052486C">
            <w:pPr>
              <w:pStyle w:val="StdBodyTextBold"/>
              <w:rPr>
                <w:rFonts w:cs="Arial"/>
              </w:rPr>
            </w:pPr>
            <w:r>
              <w:rPr>
                <w:rFonts w:cs="Arial"/>
              </w:rPr>
              <w:t>“</w:t>
            </w:r>
            <w:r w:rsidRPr="00B224EC">
              <w:rPr>
                <w:rFonts w:cs="Arial"/>
              </w:rPr>
              <w:t>Net Book Value</w:t>
            </w:r>
            <w:r>
              <w:rPr>
                <w:rFonts w:cs="Arial"/>
              </w:rPr>
              <w:t>”</w:t>
            </w:r>
          </w:p>
        </w:tc>
        <w:tc>
          <w:tcPr>
            <w:tcW w:w="6803" w:type="dxa"/>
          </w:tcPr>
          <w:p w14:paraId="453C2191" w14:textId="77777777" w:rsidR="00F67E9E" w:rsidRPr="00B224EC" w:rsidRDefault="00F67E9E" w:rsidP="0052486C">
            <w:pPr>
              <w:pStyle w:val="StdBodyText"/>
              <w:rPr>
                <w:rFonts w:cs="Arial"/>
              </w:rPr>
            </w:pPr>
            <w:r w:rsidRPr="00B224EC">
              <w:rPr>
                <w:rFonts w:cs="Arial"/>
              </w:rPr>
              <w:t>the net book value of the relevant Asset(s) calculated in accordance with the depreciation policy of the Supplier set out in the letter in the agreed form from the Supplier to the Authority of the same date as this Contract;</w:t>
            </w:r>
          </w:p>
        </w:tc>
      </w:tr>
      <w:tr w:rsidR="00F67E9E" w:rsidRPr="00B224EC" w14:paraId="33E7622F" w14:textId="77777777" w:rsidTr="0052486C">
        <w:tc>
          <w:tcPr>
            <w:tcW w:w="2835" w:type="dxa"/>
          </w:tcPr>
          <w:p w14:paraId="7583A5EB" w14:textId="77777777" w:rsidR="00F67E9E" w:rsidRPr="00B224EC" w:rsidRDefault="00F67E9E" w:rsidP="0052486C">
            <w:pPr>
              <w:pStyle w:val="StdBodyTextBold"/>
              <w:rPr>
                <w:rFonts w:cs="Arial"/>
              </w:rPr>
            </w:pPr>
            <w:r>
              <w:rPr>
                <w:rFonts w:cs="Arial"/>
              </w:rPr>
              <w:t>“</w:t>
            </w:r>
            <w:r w:rsidRPr="00B224EC">
              <w:rPr>
                <w:rFonts w:cs="Arial"/>
              </w:rPr>
              <w:t>Non-Exclusive Assets</w:t>
            </w:r>
            <w:r>
              <w:rPr>
                <w:rFonts w:cs="Arial"/>
              </w:rPr>
              <w:t>”</w:t>
            </w:r>
          </w:p>
        </w:tc>
        <w:tc>
          <w:tcPr>
            <w:tcW w:w="6803" w:type="dxa"/>
          </w:tcPr>
          <w:p w14:paraId="568127F9" w14:textId="77777777" w:rsidR="00F67E9E" w:rsidRPr="00B224EC" w:rsidRDefault="00F67E9E" w:rsidP="0052486C">
            <w:pPr>
              <w:pStyle w:val="StdBodyText"/>
              <w:rPr>
                <w:rFonts w:cs="Arial"/>
              </w:rPr>
            </w:pPr>
            <w:r w:rsidRPr="00B224EC">
              <w:rPr>
                <w:rFonts w:cs="Arial"/>
              </w:rPr>
              <w:t>those Assets (if any) which are used by the Supplier or a Key Sub-contractor in connection with the Services but which are also used by the Supplier or Key Sub-contractor for other purposes of material value;</w:t>
            </w:r>
          </w:p>
        </w:tc>
      </w:tr>
      <w:tr w:rsidR="00F67E9E" w:rsidRPr="00B224EC" w14:paraId="3786B046" w14:textId="77777777" w:rsidTr="0052486C">
        <w:tc>
          <w:tcPr>
            <w:tcW w:w="2835" w:type="dxa"/>
          </w:tcPr>
          <w:p w14:paraId="4EAE8009" w14:textId="77777777" w:rsidR="00F67E9E" w:rsidRPr="00B224EC" w:rsidRDefault="00F67E9E" w:rsidP="0052486C">
            <w:pPr>
              <w:pStyle w:val="StdBodyTextBold"/>
              <w:rPr>
                <w:rFonts w:cs="Arial"/>
              </w:rPr>
            </w:pPr>
            <w:r>
              <w:rPr>
                <w:rFonts w:cs="Arial"/>
              </w:rPr>
              <w:t>“</w:t>
            </w:r>
            <w:r w:rsidRPr="00B224EC">
              <w:rPr>
                <w:rFonts w:cs="Arial"/>
              </w:rPr>
              <w:t>Ordinary Exit</w:t>
            </w:r>
            <w:r>
              <w:rPr>
                <w:rFonts w:cs="Arial"/>
              </w:rPr>
              <w:t>”</w:t>
            </w:r>
          </w:p>
        </w:tc>
        <w:tc>
          <w:tcPr>
            <w:tcW w:w="6803" w:type="dxa"/>
          </w:tcPr>
          <w:p w14:paraId="1772C6BE" w14:textId="77777777" w:rsidR="00F67E9E" w:rsidRPr="00B224EC" w:rsidRDefault="00F67E9E" w:rsidP="0052486C">
            <w:pPr>
              <w:pStyle w:val="StdBodyText"/>
              <w:rPr>
                <w:rFonts w:cs="Arial"/>
              </w:rPr>
            </w:pPr>
            <w:r w:rsidRPr="00B224EC">
              <w:rPr>
                <w:rFonts w:cs="Arial"/>
              </w:rPr>
              <w:t xml:space="preserve">any termination of the whole or any part of this Contract which occurs: </w:t>
            </w:r>
          </w:p>
          <w:p w14:paraId="293F28F6" w14:textId="77777777" w:rsidR="00F67E9E" w:rsidRPr="00436D9D" w:rsidRDefault="00F67E9E" w:rsidP="00E1349E">
            <w:pPr>
              <w:pStyle w:val="DefinitionList"/>
              <w:numPr>
                <w:ilvl w:val="0"/>
                <w:numId w:val="179"/>
              </w:numPr>
            </w:pPr>
            <w:r w:rsidRPr="00436D9D">
              <w:t xml:space="preserve">pursuant to </w:t>
            </w:r>
            <w:bookmarkStart w:id="1662" w:name="_9kMIH5YVt4EE8FELEjtCx9M"/>
            <w:r w:rsidRPr="00436D9D">
              <w:t>Clause 31</w:t>
            </w:r>
            <w:bookmarkEnd w:id="1662"/>
            <w:r w:rsidRPr="00436D9D">
              <w:t xml:space="preserve"> (</w:t>
            </w:r>
            <w:r w:rsidRPr="004B3795">
              <w:rPr>
                <w:i/>
                <w:iCs/>
              </w:rPr>
              <w:t>Termination Rights</w:t>
            </w:r>
            <w:r w:rsidRPr="00436D9D">
              <w:t xml:space="preserve">) where the period of notice given by the Party serving notice to </w:t>
            </w:r>
            <w:r w:rsidRPr="00436D9D">
              <w:lastRenderedPageBreak/>
              <w:t xml:space="preserve">terminate pursuant to such Clause is greater than or equal to 6 months; or </w:t>
            </w:r>
          </w:p>
          <w:p w14:paraId="77133935" w14:textId="77777777" w:rsidR="00F67E9E" w:rsidRPr="00B224EC" w:rsidRDefault="00F67E9E" w:rsidP="00F13933">
            <w:pPr>
              <w:pStyle w:val="DefinitionList"/>
              <w:numPr>
                <w:ilvl w:val="0"/>
                <w:numId w:val="78"/>
              </w:numPr>
            </w:pPr>
            <w:r w:rsidRPr="00436D9D">
              <w:t>as a result of the expiry of the Initial Term or any Extension Period;</w:t>
            </w:r>
          </w:p>
        </w:tc>
      </w:tr>
      <w:tr w:rsidR="00F67E9E" w:rsidRPr="00B224EC" w14:paraId="58E2C23A" w14:textId="77777777" w:rsidTr="0052486C">
        <w:tc>
          <w:tcPr>
            <w:tcW w:w="2835" w:type="dxa"/>
          </w:tcPr>
          <w:p w14:paraId="45253762" w14:textId="77777777" w:rsidR="00F67E9E" w:rsidRPr="00B224EC" w:rsidRDefault="00F67E9E" w:rsidP="0052486C">
            <w:pPr>
              <w:pStyle w:val="StdBodyTextBold"/>
              <w:rPr>
                <w:rFonts w:cs="Arial"/>
              </w:rPr>
            </w:pPr>
            <w:r>
              <w:rPr>
                <w:rFonts w:cs="Arial"/>
              </w:rPr>
              <w:lastRenderedPageBreak/>
              <w:t>“</w:t>
            </w:r>
            <w:r w:rsidRPr="00B224EC">
              <w:rPr>
                <w:rFonts w:cs="Arial"/>
              </w:rPr>
              <w:t>Transferable Assets</w:t>
            </w:r>
            <w:r>
              <w:rPr>
                <w:rFonts w:cs="Arial"/>
              </w:rPr>
              <w:t>”</w:t>
            </w:r>
          </w:p>
        </w:tc>
        <w:tc>
          <w:tcPr>
            <w:tcW w:w="6803" w:type="dxa"/>
          </w:tcPr>
          <w:p w14:paraId="3FCA8F28" w14:textId="77777777" w:rsidR="00F67E9E" w:rsidRPr="00B224EC" w:rsidRDefault="00F67E9E" w:rsidP="0052486C">
            <w:pPr>
              <w:pStyle w:val="StdBodyText"/>
              <w:rPr>
                <w:rFonts w:cs="Arial"/>
              </w:rPr>
            </w:pPr>
            <w:r w:rsidRPr="00B224EC">
              <w:rPr>
                <w:rFonts w:cs="Arial"/>
              </w:rPr>
              <w:t>those of the Exclusive Assets which are capable of legal transfer to the Authority;</w:t>
            </w:r>
          </w:p>
        </w:tc>
      </w:tr>
      <w:tr w:rsidR="00F67E9E" w:rsidRPr="00B224EC" w14:paraId="426C33B8" w14:textId="77777777" w:rsidTr="0052486C">
        <w:tc>
          <w:tcPr>
            <w:tcW w:w="2835" w:type="dxa"/>
          </w:tcPr>
          <w:p w14:paraId="0E421CF7" w14:textId="77777777" w:rsidR="00F67E9E" w:rsidRPr="00B224EC" w:rsidRDefault="00F67E9E" w:rsidP="0052486C">
            <w:pPr>
              <w:pStyle w:val="StdBodyTextBold"/>
              <w:rPr>
                <w:rFonts w:cs="Arial"/>
              </w:rPr>
            </w:pPr>
            <w:r>
              <w:rPr>
                <w:rFonts w:cs="Arial"/>
              </w:rPr>
              <w:t>“</w:t>
            </w:r>
            <w:r w:rsidRPr="00B224EC">
              <w:rPr>
                <w:rFonts w:cs="Arial"/>
              </w:rPr>
              <w:t>Transferable Contracts</w:t>
            </w:r>
            <w:r>
              <w:rPr>
                <w:rFonts w:cs="Arial"/>
              </w:rPr>
              <w:t>”</w:t>
            </w:r>
          </w:p>
        </w:tc>
        <w:tc>
          <w:tcPr>
            <w:tcW w:w="6803" w:type="dxa"/>
          </w:tcPr>
          <w:p w14:paraId="195DE6CE" w14:textId="77777777" w:rsidR="00F67E9E" w:rsidRPr="00B224EC" w:rsidRDefault="00F67E9E" w:rsidP="0052486C">
            <w:pPr>
              <w:pStyle w:val="StdBodyText"/>
              <w:rPr>
                <w:rFonts w:cs="Arial"/>
              </w:rPr>
            </w:pPr>
            <w:r w:rsidRPr="00B224EC">
              <w:rPr>
                <w:rFonts w:cs="Arial"/>
              </w:rPr>
              <w:t>the Sub-contracts, licences for Supplier</w:t>
            </w:r>
            <w:r>
              <w:rPr>
                <w:rFonts w:cs="Arial"/>
              </w:rPr>
              <w:t>’</w:t>
            </w:r>
            <w:r w:rsidRPr="00B224EC">
              <w:rPr>
                <w:rFonts w:cs="Arial"/>
              </w:rPr>
              <w:t>s Software, licences for Third Party Software or other agreements which are necessary to enable the Authority or any Replacement Supplier to perform the Services or the Replacement Services, including in relation to licences all relevant Documentation; and</w:t>
            </w:r>
          </w:p>
        </w:tc>
      </w:tr>
      <w:tr w:rsidR="00F67E9E" w:rsidRPr="00B224EC" w14:paraId="53AD81AE" w14:textId="77777777" w:rsidTr="0052486C">
        <w:tc>
          <w:tcPr>
            <w:tcW w:w="2835" w:type="dxa"/>
          </w:tcPr>
          <w:p w14:paraId="4C08ED3D" w14:textId="77777777" w:rsidR="00F67E9E" w:rsidRPr="00B224EC" w:rsidRDefault="00F67E9E" w:rsidP="0052486C">
            <w:pPr>
              <w:pStyle w:val="StdBodyTextBold"/>
              <w:rPr>
                <w:rFonts w:cs="Arial"/>
              </w:rPr>
            </w:pPr>
            <w:r>
              <w:rPr>
                <w:rFonts w:cs="Arial"/>
              </w:rPr>
              <w:t>“</w:t>
            </w:r>
            <w:bookmarkStart w:id="1663" w:name="_9kR3WTr2AC7CEcZnk3wjwA2zyOR9FK2o8"/>
            <w:r w:rsidRPr="00B224EC">
              <w:rPr>
                <w:rFonts w:cs="Arial"/>
              </w:rPr>
              <w:t>Transferring Contracts</w:t>
            </w:r>
            <w:bookmarkEnd w:id="1663"/>
          </w:p>
        </w:tc>
        <w:tc>
          <w:tcPr>
            <w:tcW w:w="6803" w:type="dxa"/>
          </w:tcPr>
          <w:p w14:paraId="0D821D5F" w14:textId="487AD4F9" w:rsidR="00F67E9E" w:rsidRPr="00B224EC" w:rsidRDefault="00F67E9E" w:rsidP="0052486C">
            <w:pPr>
              <w:pStyle w:val="StdBodyText"/>
              <w:rPr>
                <w:rFonts w:cs="Arial"/>
              </w:rPr>
            </w:pPr>
            <w:r w:rsidRPr="00B224EC">
              <w:rPr>
                <w:rFonts w:cs="Arial"/>
              </w:rPr>
              <w:t xml:space="preserve">has the meaning given in </w:t>
            </w:r>
            <w:bookmarkStart w:id="1664" w:name="_9kR3WTr2CC6DDXEnoewrqyHQw"/>
            <w:r w:rsidRPr="00B224EC">
              <w:rPr>
                <w:rFonts w:cs="Arial"/>
              </w:rPr>
              <w:t xml:space="preserve">Paragraph </w:t>
            </w:r>
            <w:bookmarkEnd w:id="1664"/>
            <w:r w:rsidRPr="00B224EC">
              <w:rPr>
                <w:rFonts w:cs="Arial"/>
              </w:rPr>
              <w:fldChar w:fldCharType="begin"/>
            </w:r>
            <w:r w:rsidRPr="00B224EC">
              <w:rPr>
                <w:rFonts w:cs="Arial"/>
              </w:rPr>
              <w:instrText xml:space="preserve"> REF _Ref_ContractCompanion_9kb9Us8FA \r \h  \* MERGEFORMAT </w:instrText>
            </w:r>
            <w:r w:rsidRPr="00B224EC">
              <w:rPr>
                <w:rFonts w:cs="Arial"/>
              </w:rPr>
            </w:r>
            <w:r w:rsidRPr="00B224EC">
              <w:rPr>
                <w:rFonts w:cs="Arial"/>
              </w:rPr>
              <w:fldChar w:fldCharType="separate"/>
            </w:r>
            <w:r w:rsidR="007A1473">
              <w:rPr>
                <w:rFonts w:cs="Arial"/>
              </w:rPr>
              <w:t>7.2.3</w:t>
            </w:r>
            <w:r w:rsidRPr="00B224EC">
              <w:rPr>
                <w:rFonts w:cs="Arial"/>
              </w:rPr>
              <w:fldChar w:fldCharType="end"/>
            </w:r>
            <w:r w:rsidRPr="00B224EC">
              <w:rPr>
                <w:rFonts w:cs="Arial"/>
              </w:rPr>
              <w:t>.</w:t>
            </w:r>
          </w:p>
        </w:tc>
      </w:tr>
    </w:tbl>
    <w:p w14:paraId="4254C495" w14:textId="77777777" w:rsidR="00F67E9E" w:rsidRPr="00B224EC" w:rsidRDefault="00F67E9E" w:rsidP="00F67E9E">
      <w:pPr>
        <w:pStyle w:val="Numbered1"/>
      </w:pPr>
      <w:r w:rsidRPr="00B224EC">
        <w:t xml:space="preserve">Obligations During </w:t>
      </w:r>
      <w:r w:rsidRPr="00436D9D">
        <w:t>the</w:t>
      </w:r>
      <w:r w:rsidRPr="00B224EC">
        <w:t xml:space="preserve"> Term </w:t>
      </w:r>
      <w:r>
        <w:t>t</w:t>
      </w:r>
      <w:r w:rsidRPr="00B224EC">
        <w:t>o Facilitate Exit</w:t>
      </w:r>
    </w:p>
    <w:p w14:paraId="49064FD6" w14:textId="77777777" w:rsidR="00F67E9E" w:rsidRPr="00B224EC" w:rsidRDefault="00F67E9E" w:rsidP="00F67E9E">
      <w:pPr>
        <w:pStyle w:val="Numbered11"/>
      </w:pPr>
      <w:r w:rsidRPr="00B224EC">
        <w:t>During the Term, the Supplier shall:</w:t>
      </w:r>
    </w:p>
    <w:p w14:paraId="12319811" w14:textId="77777777" w:rsidR="00F67E9E" w:rsidRPr="00B224EC" w:rsidRDefault="00F67E9E" w:rsidP="00F67E9E">
      <w:pPr>
        <w:pStyle w:val="Numbered111"/>
      </w:pPr>
      <w:bookmarkStart w:id="1665" w:name="_Ref_ContractCompanion_9kb9Us7FJ"/>
      <w:bookmarkStart w:id="1666" w:name="_Ref_ContractCompanion_9kb9Us8C7"/>
      <w:r w:rsidRPr="00B224EC">
        <w:t xml:space="preserve">create and </w:t>
      </w:r>
      <w:r w:rsidRPr="00436D9D">
        <w:t>maintain</w:t>
      </w:r>
      <w:r w:rsidRPr="00B224EC">
        <w:t xml:space="preserve"> a register of all:</w:t>
      </w:r>
      <w:bookmarkEnd w:id="1665"/>
      <w:bookmarkEnd w:id="1666"/>
    </w:p>
    <w:p w14:paraId="13A3770E" w14:textId="77777777" w:rsidR="00F67E9E" w:rsidRPr="00436D9D" w:rsidRDefault="00F67E9E" w:rsidP="00F67E9E">
      <w:pPr>
        <w:pStyle w:val="Numbered111a"/>
      </w:pPr>
      <w:r w:rsidRPr="00B224EC">
        <w:t xml:space="preserve">Assets, </w:t>
      </w:r>
      <w:r w:rsidRPr="00436D9D">
        <w:t>detailing their:</w:t>
      </w:r>
    </w:p>
    <w:p w14:paraId="011B1461" w14:textId="77777777" w:rsidR="00F67E9E" w:rsidRPr="00436D9D" w:rsidRDefault="00F67E9E" w:rsidP="00F67E9E">
      <w:pPr>
        <w:pStyle w:val="Numbered111a"/>
      </w:pPr>
      <w:r w:rsidRPr="00436D9D">
        <w:t>make, model and asset number;</w:t>
      </w:r>
    </w:p>
    <w:p w14:paraId="06E97AE0" w14:textId="77777777" w:rsidR="00F67E9E" w:rsidRPr="00436D9D" w:rsidRDefault="00F67E9E" w:rsidP="00F67E9E">
      <w:pPr>
        <w:pStyle w:val="Numbered111a"/>
      </w:pPr>
      <w:r w:rsidRPr="00436D9D">
        <w:t xml:space="preserve">ownership and status as either Exclusive Assets or Non-Exclusive Assets; </w:t>
      </w:r>
    </w:p>
    <w:p w14:paraId="461B883E" w14:textId="77777777" w:rsidR="00F67E9E" w:rsidRPr="00436D9D" w:rsidRDefault="00F67E9E" w:rsidP="00F67E9E">
      <w:pPr>
        <w:pStyle w:val="Numbered111a"/>
      </w:pPr>
      <w:r w:rsidRPr="00436D9D">
        <w:t>Net Book Value;</w:t>
      </w:r>
    </w:p>
    <w:p w14:paraId="29467F97" w14:textId="77777777" w:rsidR="00F67E9E" w:rsidRPr="00436D9D" w:rsidRDefault="00F67E9E" w:rsidP="00F67E9E">
      <w:pPr>
        <w:pStyle w:val="Numbered111a"/>
      </w:pPr>
      <w:r w:rsidRPr="00436D9D">
        <w:t>condition and physical location; and</w:t>
      </w:r>
    </w:p>
    <w:p w14:paraId="1099838C" w14:textId="77777777" w:rsidR="00F67E9E" w:rsidRPr="00436D9D" w:rsidRDefault="00F67E9E" w:rsidP="00F67E9E">
      <w:pPr>
        <w:pStyle w:val="Numbered111a"/>
      </w:pPr>
      <w:r w:rsidRPr="00436D9D">
        <w:t>use (including technical specifications); and</w:t>
      </w:r>
    </w:p>
    <w:p w14:paraId="6C585478" w14:textId="77777777" w:rsidR="00F67E9E" w:rsidRPr="00B224EC" w:rsidRDefault="00F67E9E" w:rsidP="00F67E9E">
      <w:pPr>
        <w:pStyle w:val="Numbered111a"/>
      </w:pPr>
      <w:r w:rsidRPr="00436D9D">
        <w:t>Sub-contracts and other relevant agreements (including relevant software licences, maintenance</w:t>
      </w:r>
      <w:r w:rsidRPr="00B224EC">
        <w:t xml:space="preserve"> and support agreements and equipment rental and lease agreements) required for the performance of the Services;</w:t>
      </w:r>
    </w:p>
    <w:p w14:paraId="13AD6BCB" w14:textId="77777777" w:rsidR="00F67E9E" w:rsidRPr="00436D9D" w:rsidRDefault="00F67E9E" w:rsidP="00F67E9E">
      <w:pPr>
        <w:pStyle w:val="Numbered111"/>
      </w:pPr>
      <w:bookmarkStart w:id="1667" w:name="_Ref_ContractCompanion_9kb9Us7GD"/>
      <w:bookmarkStart w:id="1668" w:name="_Ref_ContractCompanion_9kb9Us8CA"/>
      <w:r w:rsidRPr="00B224EC">
        <w:t xml:space="preserve">create and maintain a configuration database detailing the technical infrastructure and operating procedures through which the Supplier provides the Services, which </w:t>
      </w:r>
      <w:r w:rsidRPr="00436D9D">
        <w:t>shall contain sufficient detail to permit the Authority and/or Replacement Supplier to understand how the Supplier provides the Services and to enable the smooth transition of the Services with the minimum of disruption;</w:t>
      </w:r>
      <w:bookmarkEnd w:id="1667"/>
      <w:bookmarkEnd w:id="1668"/>
    </w:p>
    <w:p w14:paraId="7F0D094F" w14:textId="77777777" w:rsidR="00F67E9E" w:rsidRPr="00436D9D" w:rsidRDefault="00F67E9E" w:rsidP="00F67E9E">
      <w:pPr>
        <w:pStyle w:val="Numbered111"/>
      </w:pPr>
      <w:r w:rsidRPr="00436D9D">
        <w:t>agree the format of the Registers with the Authority as part of the process of agreeing the Exit Plan; and</w:t>
      </w:r>
    </w:p>
    <w:p w14:paraId="322B0F3D" w14:textId="77777777" w:rsidR="00F67E9E" w:rsidRPr="00B224EC" w:rsidRDefault="00F67E9E" w:rsidP="00F67E9E">
      <w:pPr>
        <w:pStyle w:val="Numbered111"/>
      </w:pPr>
      <w:r w:rsidRPr="00436D9D">
        <w:t xml:space="preserve">at all times keep the Registers up to date, in particular in the event that Assets, </w:t>
      </w:r>
      <w:r w:rsidRPr="00436D9D">
        <w:lastRenderedPageBreak/>
        <w:t>Sub-contracts</w:t>
      </w:r>
      <w:r w:rsidRPr="00B224EC">
        <w:t xml:space="preserve"> or other relevant agreements are added to or removed from the Services.</w:t>
      </w:r>
    </w:p>
    <w:p w14:paraId="38F47499" w14:textId="77777777" w:rsidR="00F67E9E" w:rsidRPr="00B224EC" w:rsidRDefault="00F67E9E" w:rsidP="00F67E9E">
      <w:pPr>
        <w:pStyle w:val="Numbered11"/>
      </w:pPr>
      <w:r w:rsidRPr="00B224EC">
        <w:t xml:space="preserve">The Supplier shall procure that all Exclusive Assets listed in the Registers are clearly marked to identify that they are exclusively used for the provision of the Services under this Contract. </w:t>
      </w:r>
    </w:p>
    <w:p w14:paraId="1529D878" w14:textId="77777777" w:rsidR="00F67E9E" w:rsidRPr="00B224EC" w:rsidRDefault="00F67E9E" w:rsidP="00F67E9E">
      <w:pPr>
        <w:pStyle w:val="Numbered11"/>
      </w:pPr>
      <w:bookmarkStart w:id="1669" w:name="_Ref_ContractCompanion_9kb9Us8BD"/>
      <w:r w:rsidRPr="00B224EC">
        <w:t>Each Party shall appoint a person for the purposes of managing the Parties</w:t>
      </w:r>
      <w:r>
        <w:t>’</w:t>
      </w:r>
      <w:r w:rsidRPr="00B224EC">
        <w:t xml:space="preserve"> respective obligations under this Schedule and provide written notification of such appointment to the other Party within 3 months of the Effective Date.</w:t>
      </w:r>
      <w:r>
        <w:t xml:space="preserve"> </w:t>
      </w:r>
      <w:r w:rsidRPr="00B224EC">
        <w:t>The Supplier</w:t>
      </w:r>
      <w:r>
        <w:t>’</w:t>
      </w:r>
      <w:r w:rsidRPr="00B224EC">
        <w:t>s Exit Manager shall be responsible for ensuring that the Supplier and its employees, agents and Sub-contractors comply with this Schedule.</w:t>
      </w:r>
      <w:r>
        <w:t xml:space="preserve"> </w:t>
      </w:r>
      <w:r w:rsidRPr="00B224EC">
        <w:t>The Supplier shall ensure that its Exit Manager has the requisite authority to arrange and procure any resources of the Supplier as are reasonably necessary to enable the Supplier to comply with the requirements set out in this Schedule.</w:t>
      </w:r>
      <w:r>
        <w:t xml:space="preserve"> </w:t>
      </w:r>
      <w:r w:rsidRPr="00B224EC">
        <w:t>The Parties</w:t>
      </w:r>
      <w:r>
        <w:t>’</w:t>
      </w:r>
      <w:r w:rsidRPr="00B224EC">
        <w:t xml:space="preserve"> Exit Managers will liaise with one another in relation to all issues relevant to the termination of this Contract and all matters connected with this Schedule and each Party</w:t>
      </w:r>
      <w:r>
        <w:t>’</w:t>
      </w:r>
      <w:r w:rsidRPr="00B224EC">
        <w:t>s compliance with it.</w:t>
      </w:r>
      <w:bookmarkEnd w:id="1669"/>
    </w:p>
    <w:p w14:paraId="016220A1" w14:textId="77777777" w:rsidR="00F67E9E" w:rsidRPr="00B224EC" w:rsidRDefault="00F67E9E" w:rsidP="00F67E9E">
      <w:pPr>
        <w:pStyle w:val="Numbered1"/>
      </w:pPr>
      <w:r w:rsidRPr="00B224EC">
        <w:t xml:space="preserve">Obligations </w:t>
      </w:r>
      <w:r>
        <w:t>t</w:t>
      </w:r>
      <w:r w:rsidRPr="00B224EC">
        <w:t xml:space="preserve">o Assist </w:t>
      </w:r>
      <w:r>
        <w:t>o</w:t>
      </w:r>
      <w:r w:rsidRPr="00B224EC">
        <w:t>n Re-</w:t>
      </w:r>
      <w:r>
        <w:t>t</w:t>
      </w:r>
      <w:r w:rsidRPr="00B224EC">
        <w:t xml:space="preserve">endering </w:t>
      </w:r>
      <w:r>
        <w:t>o</w:t>
      </w:r>
      <w:r w:rsidRPr="00B224EC">
        <w:t>f Services</w:t>
      </w:r>
    </w:p>
    <w:p w14:paraId="2C8A7A56" w14:textId="77777777" w:rsidR="00F67E9E" w:rsidRPr="00B224EC" w:rsidRDefault="00F67E9E" w:rsidP="00F67E9E">
      <w:pPr>
        <w:pStyle w:val="Numbered11"/>
      </w:pPr>
      <w:bookmarkStart w:id="1670" w:name="_Ref_ContractCompanion_9kb9Us7GG"/>
      <w:bookmarkStart w:id="1671" w:name="_Ref_ContractCompanion_9kb9Us8B9"/>
      <w:bookmarkStart w:id="1672" w:name="_9kR3WTrAG9CFFGCYS2uet84rgswzAHCwts894TW"/>
      <w:bookmarkStart w:id="1673" w:name="_9kR3WTrAHACFGHCYS2uet84rgswzAHCwts894TW"/>
      <w:r w:rsidRPr="00B224EC">
        <w:t>On reasonable notice at any point during the Term,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bookmarkEnd w:id="1670"/>
      <w:bookmarkEnd w:id="1671"/>
      <w:bookmarkEnd w:id="1672"/>
      <w:bookmarkEnd w:id="1673"/>
    </w:p>
    <w:p w14:paraId="5783F169" w14:textId="77777777" w:rsidR="00F67E9E" w:rsidRPr="00B224EC" w:rsidRDefault="00F67E9E" w:rsidP="00F67E9E">
      <w:pPr>
        <w:pStyle w:val="Numbered111"/>
      </w:pPr>
      <w:r w:rsidRPr="00B224EC">
        <w:t>details of the Service(s);</w:t>
      </w:r>
    </w:p>
    <w:p w14:paraId="7BD12903" w14:textId="77777777" w:rsidR="00F67E9E" w:rsidRPr="00B224EC" w:rsidRDefault="00F67E9E" w:rsidP="00F67E9E">
      <w:pPr>
        <w:pStyle w:val="Numbered111"/>
      </w:pPr>
      <w:r w:rsidRPr="00B224EC">
        <w:t xml:space="preserve">a copy of the Registers, updated by the Supplier up to the date of delivery of such Registers; </w:t>
      </w:r>
    </w:p>
    <w:p w14:paraId="221F54C6" w14:textId="77777777" w:rsidR="00F67E9E" w:rsidRPr="00B224EC" w:rsidRDefault="00F67E9E" w:rsidP="00F67E9E">
      <w:pPr>
        <w:pStyle w:val="Numbered111"/>
      </w:pPr>
      <w:r w:rsidRPr="00B224EC">
        <w:t>an inventory of Authority Data in the Supplier</w:t>
      </w:r>
      <w:r>
        <w:t>’</w:t>
      </w:r>
      <w:r w:rsidRPr="00B224EC">
        <w:t>s possession or control;</w:t>
      </w:r>
    </w:p>
    <w:p w14:paraId="2703ED00" w14:textId="77777777" w:rsidR="00F67E9E" w:rsidRPr="00B224EC" w:rsidRDefault="00F67E9E" w:rsidP="00F67E9E">
      <w:pPr>
        <w:pStyle w:val="Numbered111"/>
      </w:pPr>
      <w:r w:rsidRPr="00B224EC">
        <w:t>details of any key terms of any third party contracts and licences, particularly as regards charges, termination, assignment and novation;</w:t>
      </w:r>
    </w:p>
    <w:p w14:paraId="5CA7CDE6" w14:textId="77777777" w:rsidR="00F67E9E" w:rsidRPr="00B224EC" w:rsidRDefault="00F67E9E" w:rsidP="00F67E9E">
      <w:pPr>
        <w:pStyle w:val="Numbered111"/>
      </w:pPr>
      <w:r w:rsidRPr="00B224EC">
        <w:t>a list of on-going and/or threatened disputes in relation to the provision of the Services;</w:t>
      </w:r>
    </w:p>
    <w:p w14:paraId="2C92D389" w14:textId="77777777" w:rsidR="00F67E9E" w:rsidRPr="00B224EC" w:rsidRDefault="00F67E9E" w:rsidP="00F67E9E">
      <w:pPr>
        <w:pStyle w:val="Numbered111"/>
      </w:pPr>
      <w:r w:rsidRPr="00B224EC">
        <w:t>to the extent permitted by applicable Law, all information relating to Transferring Supplier Employees required to be provided by the Supplier under this Contract; and</w:t>
      </w:r>
    </w:p>
    <w:p w14:paraId="17CA0697" w14:textId="77777777" w:rsidR="00F67E9E" w:rsidRPr="00B224EC" w:rsidRDefault="00F67E9E" w:rsidP="00F67E9E">
      <w:pPr>
        <w:pStyle w:val="Numbered111"/>
      </w:pPr>
      <w:r w:rsidRPr="00B224EC">
        <w:t>such other material and information as the Authority shall reasonably require,</w:t>
      </w:r>
    </w:p>
    <w:p w14:paraId="3C6B7DD6" w14:textId="77777777" w:rsidR="00F67E9E" w:rsidRPr="00B224EC" w:rsidRDefault="00F67E9E" w:rsidP="00F67E9E">
      <w:pPr>
        <w:pStyle w:val="StdBodyText2"/>
        <w:rPr>
          <w:rFonts w:cs="Arial"/>
        </w:rPr>
      </w:pPr>
      <w:r w:rsidRPr="00B224EC">
        <w:rPr>
          <w:rFonts w:cs="Arial"/>
        </w:rPr>
        <w:t xml:space="preserve">(together, the </w:t>
      </w:r>
      <w:r>
        <w:rPr>
          <w:rFonts w:cs="Arial"/>
        </w:rPr>
        <w:t>“</w:t>
      </w:r>
      <w:r w:rsidRPr="00B224EC">
        <w:rPr>
          <w:rStyle w:val="StdBodyTextBoldChar"/>
          <w:rFonts w:cs="Arial"/>
        </w:rPr>
        <w:t>Exit Information</w:t>
      </w:r>
      <w:r>
        <w:rPr>
          <w:rFonts w:cs="Arial"/>
        </w:rPr>
        <w:t>”</w:t>
      </w:r>
      <w:r w:rsidRPr="00B224EC">
        <w:rPr>
          <w:rFonts w:cs="Arial"/>
        </w:rPr>
        <w:t>).</w:t>
      </w:r>
    </w:p>
    <w:p w14:paraId="02C75050" w14:textId="2F0F477A" w:rsidR="00F67E9E" w:rsidRPr="00B224EC" w:rsidRDefault="00F67E9E" w:rsidP="00F67E9E">
      <w:pPr>
        <w:pStyle w:val="Numbered11"/>
      </w:pPr>
      <w:bookmarkStart w:id="1674" w:name="_9kR3WTrAG9CGJJDeRjVgA63xr1ykv7CMK3wz1EU"/>
      <w:bookmarkStart w:id="1675" w:name="_Ref_ContractCompanion_9kb9Us8CD"/>
      <w:r w:rsidRPr="00B224EC">
        <w:t>The Supplier acknowledges that the Authority may disclose the Supplier</w:t>
      </w:r>
      <w:r>
        <w:t>’</w:t>
      </w:r>
      <w:r w:rsidRPr="00B224EC">
        <w:t>s Confidential Information to an actual or prospective Replacement Supplier or any third party whom the Authority is considering engaging to the extent that such disclosure is necessary in connection with such engagement (except that the Authority may not under this</w:t>
      </w:r>
      <w:bookmarkEnd w:id="1674"/>
      <w:r w:rsidRPr="00B224EC">
        <w:t xml:space="preserve"> </w:t>
      </w:r>
      <w:bookmarkStart w:id="1676" w:name="_9kMHG5YVtCIBEILLFgTlXiC85zt30mx9EOM5y13"/>
      <w:r w:rsidRPr="00B224EC">
        <w:t xml:space="preserve">Paragraph </w:t>
      </w:r>
      <w:r w:rsidRPr="00B224EC">
        <w:fldChar w:fldCharType="begin"/>
      </w:r>
      <w:r w:rsidRPr="00B224EC">
        <w:instrText xml:space="preserve"> REF _Ref_ContractCompanion_9kb9Us8CD \n \h \t \* MERGEFORMAT </w:instrText>
      </w:r>
      <w:r w:rsidRPr="00B224EC">
        <w:fldChar w:fldCharType="separate"/>
      </w:r>
      <w:r w:rsidR="007A1473">
        <w:t>3.2</w:t>
      </w:r>
      <w:r w:rsidRPr="00B224EC">
        <w:fldChar w:fldCharType="end"/>
      </w:r>
      <w:bookmarkEnd w:id="1676"/>
      <w:r w:rsidRPr="00B224EC">
        <w:t xml:space="preserve"> disclose any Supplier</w:t>
      </w:r>
      <w:r>
        <w:t>’</w:t>
      </w:r>
      <w:r w:rsidRPr="00B224EC">
        <w:t>s Confidential Information which is information relating to the Supplier</w:t>
      </w:r>
      <w:r>
        <w:t>’</w:t>
      </w:r>
      <w:r w:rsidRPr="00B224EC">
        <w:t>s or its Sub-contractors</w:t>
      </w:r>
      <w:r>
        <w:t>’</w:t>
      </w:r>
      <w:r w:rsidRPr="00B224EC">
        <w:t xml:space="preserve"> prices or costs).</w:t>
      </w:r>
      <w:bookmarkEnd w:id="1675"/>
    </w:p>
    <w:p w14:paraId="3360D12C" w14:textId="77777777" w:rsidR="00F67E9E" w:rsidRPr="00B224EC" w:rsidRDefault="00F67E9E" w:rsidP="00F67E9E">
      <w:pPr>
        <w:pStyle w:val="Numbered11"/>
      </w:pPr>
      <w:r w:rsidRPr="00B224EC">
        <w:lastRenderedPageBreak/>
        <w:t>The Supplier shall:</w:t>
      </w:r>
    </w:p>
    <w:p w14:paraId="24456319" w14:textId="77777777" w:rsidR="00F67E9E" w:rsidRPr="00436D9D" w:rsidRDefault="00F67E9E" w:rsidP="00F67E9E">
      <w:pPr>
        <w:pStyle w:val="Numbered111"/>
      </w:pPr>
      <w:r w:rsidRPr="00B224EC">
        <w:t xml:space="preserve">notify the Authority within 5 Working Days of any material change to the Exit Information which may adversely impact upon the potential transfer and/or continuance of any Services and shall consult with the Authority regarding such proposed </w:t>
      </w:r>
      <w:r w:rsidRPr="00436D9D">
        <w:t>material changes; and</w:t>
      </w:r>
    </w:p>
    <w:p w14:paraId="14F785F5" w14:textId="77777777" w:rsidR="00F67E9E" w:rsidRPr="00B224EC" w:rsidRDefault="00F67E9E" w:rsidP="00F67E9E">
      <w:pPr>
        <w:pStyle w:val="Numbered111"/>
      </w:pPr>
      <w:r w:rsidRPr="00436D9D">
        <w:t>provide complete updates of the Exit Information on an as-requested basis as soon as reasonably practicable and in any event within 10 Working Days of a request in writing fr</w:t>
      </w:r>
      <w:r w:rsidRPr="00B224EC">
        <w:t>om the Authority.</w:t>
      </w:r>
    </w:p>
    <w:p w14:paraId="76DAD39B" w14:textId="77777777" w:rsidR="00F67E9E" w:rsidRPr="00B224EC" w:rsidRDefault="00F67E9E" w:rsidP="00F67E9E">
      <w:pPr>
        <w:pStyle w:val="Numbered11"/>
      </w:pPr>
      <w:r w:rsidRPr="00B224EC">
        <w:t>The Supplier may charge the Authority for its reasonable additional costs to the extent the Authority requests more than 4 updates in any 6 month period.</w:t>
      </w:r>
    </w:p>
    <w:p w14:paraId="43F4C5B6" w14:textId="77777777" w:rsidR="00F67E9E" w:rsidRPr="00B224EC" w:rsidRDefault="00F67E9E" w:rsidP="00F67E9E">
      <w:pPr>
        <w:pStyle w:val="Numbered11"/>
      </w:pPr>
      <w:r w:rsidRPr="00B224EC">
        <w:t>The Exit Information shall be accurate and complete in all material respects and the level of detail to be provided by the Supplier shall be such as would be reasonably necessary to enable a third party to:</w:t>
      </w:r>
    </w:p>
    <w:p w14:paraId="2051C03E" w14:textId="77777777" w:rsidR="00F67E9E" w:rsidRPr="00B224EC" w:rsidRDefault="00F67E9E" w:rsidP="00F67E9E">
      <w:pPr>
        <w:pStyle w:val="Numbered111"/>
      </w:pPr>
      <w:r w:rsidRPr="00B224EC">
        <w:t>prepare an informed offer for those Services; and</w:t>
      </w:r>
    </w:p>
    <w:p w14:paraId="7B48DE4A" w14:textId="77777777" w:rsidR="00F67E9E" w:rsidRPr="00B224EC" w:rsidRDefault="00F67E9E" w:rsidP="00F67E9E">
      <w:pPr>
        <w:pStyle w:val="Numbered111"/>
      </w:pPr>
      <w:r w:rsidRPr="00B224EC">
        <w:t>not be disadvantaged in any subsequent procurement process compared to the Supplier (if the Supplier is invited to participate).</w:t>
      </w:r>
    </w:p>
    <w:p w14:paraId="3584BFEF" w14:textId="77777777" w:rsidR="00F67E9E" w:rsidRPr="00B224EC" w:rsidRDefault="00F67E9E" w:rsidP="00F67E9E">
      <w:pPr>
        <w:pStyle w:val="Numbered1"/>
      </w:pPr>
      <w:bookmarkStart w:id="1677" w:name="_Ref44508664"/>
      <w:r w:rsidRPr="00B224EC">
        <w:t xml:space="preserve">Obligation </w:t>
      </w:r>
      <w:r>
        <w:t>t</w:t>
      </w:r>
      <w:r w:rsidRPr="00B224EC">
        <w:t xml:space="preserve">o </w:t>
      </w:r>
      <w:r>
        <w:t>e</w:t>
      </w:r>
      <w:r w:rsidRPr="00B224EC">
        <w:t xml:space="preserve">nter </w:t>
      </w:r>
      <w:r>
        <w:t>i</w:t>
      </w:r>
      <w:r w:rsidRPr="00B224EC">
        <w:t xml:space="preserve">nto </w:t>
      </w:r>
      <w:r>
        <w:t>a</w:t>
      </w:r>
      <w:r w:rsidRPr="00B224EC">
        <w:t xml:space="preserve">n Ethical Wall Agreement </w:t>
      </w:r>
      <w:r>
        <w:t>o</w:t>
      </w:r>
      <w:r w:rsidRPr="00B224EC">
        <w:t>n Re-</w:t>
      </w:r>
      <w:r>
        <w:t>t</w:t>
      </w:r>
      <w:r w:rsidRPr="00B224EC">
        <w:t xml:space="preserve">endering </w:t>
      </w:r>
      <w:r>
        <w:t>o</w:t>
      </w:r>
      <w:r w:rsidRPr="00B224EC">
        <w:t>f Services</w:t>
      </w:r>
      <w:bookmarkEnd w:id="1677"/>
    </w:p>
    <w:p w14:paraId="40C401D3" w14:textId="77777777" w:rsidR="00F67E9E" w:rsidRPr="00B224EC" w:rsidRDefault="00F67E9E" w:rsidP="00F67E9E">
      <w:pPr>
        <w:pStyle w:val="Numbered11"/>
      </w:pPr>
      <w:bookmarkStart w:id="1678" w:name="_Ref_ContractCompanion_9kb9Us6EH"/>
      <w:r w:rsidRPr="00B224EC">
        <w:t>The Authority may require the Supplier to enter into the Ethical Wall Agreement at any point during a re-tendering or contemplated re-tendering of the Services or any part of the Services.</w:t>
      </w:r>
      <w:bookmarkEnd w:id="1678"/>
    </w:p>
    <w:p w14:paraId="3A86D8DD" w14:textId="77777777" w:rsidR="00F67E9E" w:rsidRPr="00B224EC" w:rsidRDefault="00F67E9E" w:rsidP="00F67E9E">
      <w:pPr>
        <w:pStyle w:val="Numbered11"/>
      </w:pPr>
      <w:r w:rsidRPr="00B224EC">
        <w:t>If required to enter into the Ethical Wall Agreement, the Supplier will return a signed copy of the Ethical Wall Agreement within 10 Working Days of receipt.</w:t>
      </w:r>
      <w:r>
        <w:t xml:space="preserve"> </w:t>
      </w:r>
      <w:r w:rsidRPr="00B224EC">
        <w:t>The Supplier</w:t>
      </w:r>
      <w:r>
        <w:t>’</w:t>
      </w:r>
      <w:r w:rsidRPr="00B224EC">
        <w:t>s costs of entering into the Ethical Wall Agreement will be borne solely by the Supplier.</w:t>
      </w:r>
    </w:p>
    <w:p w14:paraId="623A6EA0" w14:textId="77777777" w:rsidR="00F67E9E" w:rsidRPr="00B224EC" w:rsidRDefault="00F67E9E" w:rsidP="00F67E9E">
      <w:pPr>
        <w:pStyle w:val="Numbered1"/>
      </w:pPr>
      <w:bookmarkStart w:id="1679" w:name="_Ref44572429"/>
      <w:r w:rsidRPr="00B224EC">
        <w:t>Exit Plan</w:t>
      </w:r>
      <w:bookmarkEnd w:id="1679"/>
    </w:p>
    <w:p w14:paraId="76B2CFE1" w14:textId="77777777" w:rsidR="00F67E9E" w:rsidRPr="00B224EC" w:rsidRDefault="00F67E9E" w:rsidP="00F67E9E">
      <w:pPr>
        <w:pStyle w:val="Numbered11"/>
      </w:pPr>
      <w:bookmarkStart w:id="1680" w:name="_Ref99012462"/>
      <w:r w:rsidRPr="00B224EC">
        <w:t>The Supplier shall, within 3 months after the Effective Date, deliver to the Authority an Exit Plan which:</w:t>
      </w:r>
      <w:bookmarkEnd w:id="1680"/>
    </w:p>
    <w:p w14:paraId="44DDF030" w14:textId="77777777" w:rsidR="00F67E9E" w:rsidRPr="00B224EC" w:rsidRDefault="00F67E9E" w:rsidP="00F67E9E">
      <w:pPr>
        <w:pStyle w:val="Numbered111"/>
      </w:pPr>
      <w:r w:rsidRPr="00B224EC">
        <w:t>sets out the Supplier</w:t>
      </w:r>
      <w:r>
        <w:t>’</w:t>
      </w:r>
      <w:r w:rsidRPr="00B224EC">
        <w:t>s proposed methodology for achieving an orderly transition of the relevant Services from the Supplier to the Authority and/or its Replacement Supplier on the Partial Termination, expiry or termination of this Contract;</w:t>
      </w:r>
    </w:p>
    <w:p w14:paraId="1154283F" w14:textId="446E36E2" w:rsidR="00F67E9E" w:rsidRPr="00B224EC" w:rsidRDefault="00F67E9E" w:rsidP="00F67E9E">
      <w:pPr>
        <w:pStyle w:val="Numbered111"/>
      </w:pPr>
      <w:r w:rsidRPr="00B224EC">
        <w:t xml:space="preserve">complies with the requirements set out in </w:t>
      </w:r>
      <w:bookmarkStart w:id="1681" w:name="_9kMHG5YVtCIBEJFGHgTlULuE6s3I8rw8IQBBCwB"/>
      <w:r w:rsidRPr="00B224EC">
        <w:t xml:space="preserve">Paragraph </w:t>
      </w:r>
      <w:r w:rsidRPr="00B224EC">
        <w:fldChar w:fldCharType="begin"/>
      </w:r>
      <w:r w:rsidRPr="00B224EC">
        <w:instrText xml:space="preserve"> REF _Ref_ContractCompanion_9kb9Us8D7 \n \h \t \* MERGEFORMAT </w:instrText>
      </w:r>
      <w:r w:rsidRPr="00B224EC">
        <w:fldChar w:fldCharType="separate"/>
      </w:r>
      <w:r w:rsidR="007A1473">
        <w:t>5.2</w:t>
      </w:r>
      <w:r w:rsidRPr="00B224EC">
        <w:fldChar w:fldCharType="end"/>
      </w:r>
      <w:bookmarkEnd w:id="1681"/>
      <w:r w:rsidRPr="00B224EC">
        <w:t>; and</w:t>
      </w:r>
    </w:p>
    <w:p w14:paraId="6498C550" w14:textId="77777777" w:rsidR="00F67E9E" w:rsidRPr="00B224EC" w:rsidRDefault="00F67E9E" w:rsidP="00F67E9E">
      <w:pPr>
        <w:pStyle w:val="Numbered111"/>
      </w:pPr>
      <w:r w:rsidRPr="00B224EC">
        <w:t>is otherwise reasonably satisfactory to the Authority.</w:t>
      </w:r>
    </w:p>
    <w:p w14:paraId="53D67264" w14:textId="77777777" w:rsidR="00F67E9E" w:rsidRPr="00B224EC" w:rsidRDefault="00F67E9E" w:rsidP="00F67E9E">
      <w:pPr>
        <w:pStyle w:val="Numbered11"/>
      </w:pPr>
      <w:bookmarkStart w:id="1682" w:name="_9kR3WTrAG9CHDEFeRjSJsC4q1G6pu6GO99Au9OK"/>
      <w:bookmarkStart w:id="1683" w:name="_Ref_ContractCompanion_9kb9Us8D7"/>
      <w:r w:rsidRPr="00B224EC">
        <w:t>The Parties shall use reasonable endeavours to agree the contents of the Exit Plan.</w:t>
      </w:r>
      <w:bookmarkEnd w:id="1682"/>
      <w:r>
        <w:t xml:space="preserve"> </w:t>
      </w:r>
      <w:r w:rsidRPr="00B224EC">
        <w:t>If the Parties are unable to agree the contents of the Exit Plan within 20 Working Days of its submission, then such Dispute shall be resolved in accordance with the Dispute Resolution Procedure.</w:t>
      </w:r>
      <w:bookmarkEnd w:id="1683"/>
    </w:p>
    <w:p w14:paraId="64EF487B" w14:textId="77777777" w:rsidR="00F67E9E" w:rsidRPr="00B224EC" w:rsidRDefault="00F67E9E" w:rsidP="00F67E9E">
      <w:pPr>
        <w:pStyle w:val="Numbered11"/>
      </w:pPr>
      <w:bookmarkStart w:id="1684" w:name="_Ref44673694"/>
      <w:r w:rsidRPr="00B224EC">
        <w:t>The Exit Plan shall set out, as a minimum:</w:t>
      </w:r>
      <w:bookmarkEnd w:id="1684"/>
    </w:p>
    <w:p w14:paraId="4ABC94F0" w14:textId="77777777" w:rsidR="00F67E9E" w:rsidRPr="00B224EC" w:rsidRDefault="00F67E9E" w:rsidP="00F67E9E">
      <w:pPr>
        <w:pStyle w:val="Numbered111"/>
      </w:pPr>
      <w:r w:rsidRPr="00B224EC">
        <w:t>how the Exit Information is obtained;</w:t>
      </w:r>
    </w:p>
    <w:p w14:paraId="3FAA9780" w14:textId="77777777" w:rsidR="00F67E9E" w:rsidRPr="00B224EC" w:rsidRDefault="00F67E9E" w:rsidP="00F67E9E">
      <w:pPr>
        <w:pStyle w:val="Numbered111"/>
      </w:pPr>
      <w:r w:rsidRPr="00B224EC">
        <w:lastRenderedPageBreak/>
        <w:t>separate mechanisms for dealing with Ordinary Exit and Emergency Exit, the provisions relating to Emergency Exit being prepared on the assumption that the Supplier may be unable to provide the full level of assistance which is required by the provisions relating to Ordinary Exit, and in the case of Emergency Exit, provision for the supply by the Supplier of all such reasonable assistance as the Authority shall require to enable the Authority or its sub-contractors to provide the Services;</w:t>
      </w:r>
    </w:p>
    <w:p w14:paraId="0E82DAF3" w14:textId="77777777" w:rsidR="00F67E9E" w:rsidRPr="00B224EC" w:rsidRDefault="00F67E9E" w:rsidP="00F67E9E">
      <w:pPr>
        <w:pStyle w:val="Numbered111"/>
      </w:pPr>
      <w:r w:rsidRPr="00B224EC">
        <w:t>a mechanism for dealing with Partial Termination on the assumption that the Supplier will continue to provide the remaining Services under this Contract;</w:t>
      </w:r>
    </w:p>
    <w:p w14:paraId="4D1660C3" w14:textId="77777777" w:rsidR="00F67E9E" w:rsidRPr="00B224EC" w:rsidRDefault="00F67E9E" w:rsidP="00F67E9E">
      <w:pPr>
        <w:pStyle w:val="Numbered111"/>
      </w:pPr>
      <w:r w:rsidRPr="00B224EC">
        <w:t xml:space="preserve">the management structure to be employed during both transfer and cessation of the Services in an Ordinary Exit and an Emergency Exit; </w:t>
      </w:r>
    </w:p>
    <w:p w14:paraId="6E8AF36D" w14:textId="77777777" w:rsidR="00F67E9E" w:rsidRPr="00B224EC" w:rsidRDefault="00F67E9E" w:rsidP="00F67E9E">
      <w:pPr>
        <w:pStyle w:val="Numbered111"/>
      </w:pPr>
      <w:r w:rsidRPr="00B224EC">
        <w:t>the management structure to be employed during the Termination Assistance Period;</w:t>
      </w:r>
    </w:p>
    <w:p w14:paraId="63A98D96" w14:textId="77777777" w:rsidR="00F67E9E" w:rsidRPr="00B224EC" w:rsidRDefault="00F67E9E" w:rsidP="00F67E9E">
      <w:pPr>
        <w:pStyle w:val="Numbered111"/>
      </w:pPr>
      <w:r w:rsidRPr="00B224EC">
        <w:t xml:space="preserve">a detailed description of both the transfer and cessation processes, including a timetable, applicable in the case of an Ordinary Exit and an Emergency Exit; </w:t>
      </w:r>
    </w:p>
    <w:p w14:paraId="7AA9B065" w14:textId="77777777" w:rsidR="00F67E9E" w:rsidRPr="00B224EC" w:rsidRDefault="00F67E9E" w:rsidP="00F67E9E">
      <w:pPr>
        <w:pStyle w:val="Numbered111"/>
      </w:pPr>
      <w:r w:rsidRPr="00B224EC">
        <w:t>how the Services will transfer to the Replacement Supplier and/or the Authority, including details of the processes, documentation, data transfer, systems migration, security and the segregation of the Authority</w:t>
      </w:r>
      <w:r>
        <w:t>’</w:t>
      </w:r>
      <w:r w:rsidRPr="00B224EC">
        <w:t>s technology components from any technology components operated by the Supplier or its Sub-contractors (where applicable);</w:t>
      </w:r>
    </w:p>
    <w:p w14:paraId="5AE10B06" w14:textId="6979CCCF" w:rsidR="00F67E9E" w:rsidRPr="00B224EC" w:rsidRDefault="00F67E9E" w:rsidP="00F67E9E">
      <w:pPr>
        <w:pStyle w:val="Numbered111"/>
      </w:pPr>
      <w:r w:rsidRPr="00B224EC">
        <w:t xml:space="preserve">the scope of the Termination Services that may be required for the benefit of the Authority (including such of the services set out in Annex </w:t>
      </w:r>
      <w:r w:rsidRPr="00B224EC">
        <w:fldChar w:fldCharType="begin"/>
      </w:r>
      <w:r w:rsidRPr="00B224EC">
        <w:instrText xml:space="preserve"> REF ANNEX1_SCHEDULE25 \h </w:instrText>
      </w:r>
      <w:r>
        <w:instrText xml:space="preserve"> \* MERGEFORMAT </w:instrText>
      </w:r>
      <w:r w:rsidRPr="00B224EC">
        <w:fldChar w:fldCharType="separate"/>
      </w:r>
      <w:r w:rsidR="007A1473" w:rsidRPr="00B224EC">
        <w:t>1</w:t>
      </w:r>
      <w:r w:rsidRPr="00B224EC">
        <w:fldChar w:fldCharType="end"/>
      </w:r>
      <w:r>
        <w:t xml:space="preserve"> </w:t>
      </w:r>
      <w:r w:rsidRPr="00B224EC">
        <w:t>as are applicable);</w:t>
      </w:r>
    </w:p>
    <w:p w14:paraId="0670DA99" w14:textId="77777777" w:rsidR="00F67E9E" w:rsidRPr="00B224EC" w:rsidRDefault="00F67E9E" w:rsidP="00F67E9E">
      <w:pPr>
        <w:pStyle w:val="Numbered111"/>
      </w:pPr>
      <w:r w:rsidRPr="00B224EC">
        <w:t xml:space="preserve">a timetable and critical issues for providing the Termination Services; </w:t>
      </w:r>
    </w:p>
    <w:p w14:paraId="327EC4E6" w14:textId="77777777" w:rsidR="00F67E9E" w:rsidRPr="00B224EC" w:rsidRDefault="00F67E9E" w:rsidP="00F67E9E">
      <w:pPr>
        <w:pStyle w:val="Numbered111"/>
      </w:pPr>
      <w:r w:rsidRPr="00B224EC">
        <w:t>any charges that would be payable for the provision of the Termination Services (calculated in accordance with the methodology that would apply if such Services were being treated as a Contract Change), together with a capped estimate of such charges;</w:t>
      </w:r>
    </w:p>
    <w:p w14:paraId="44547090" w14:textId="77777777" w:rsidR="00F67E9E" w:rsidRPr="00B224EC" w:rsidRDefault="00F67E9E" w:rsidP="00F67E9E">
      <w:pPr>
        <w:pStyle w:val="Numbered111"/>
      </w:pPr>
      <w:r w:rsidRPr="00B224EC">
        <w:t>how the Termination Services would be provided (if required) during the Termination Assistance Period;</w:t>
      </w:r>
    </w:p>
    <w:p w14:paraId="766F2950" w14:textId="3EAB9B79" w:rsidR="00F67E9E" w:rsidRPr="00B224EC" w:rsidRDefault="00F67E9E" w:rsidP="00F67E9E">
      <w:pPr>
        <w:pStyle w:val="Numbered111"/>
      </w:pPr>
      <w:r w:rsidRPr="00B224EC">
        <w:t xml:space="preserve">procedures to deal with requests made by the Authority and/or a Replacement Supplier for Staffing Information pursuant to </w:t>
      </w:r>
      <w:r>
        <w:fldChar w:fldCharType="begin"/>
      </w:r>
      <w:r>
        <w:instrText xml:space="preserve"> REF Schedule28 \h </w:instrText>
      </w:r>
      <w:r>
        <w:fldChar w:fldCharType="separate"/>
      </w:r>
      <w:r w:rsidR="007A1473" w:rsidRPr="005D0525">
        <w:t>Schedule</w:t>
      </w:r>
      <w:r w:rsidR="007A1473">
        <w:t> </w:t>
      </w:r>
      <w:r w:rsidR="007A1473" w:rsidRPr="005D0525">
        <w:t>28</w:t>
      </w:r>
      <w:r>
        <w:fldChar w:fldCharType="end"/>
      </w:r>
      <w:r>
        <w:t xml:space="preserve"> (</w:t>
      </w:r>
      <w:r w:rsidRPr="006F064F">
        <w:rPr>
          <w:i/>
          <w:iCs/>
        </w:rPr>
        <w:fldChar w:fldCharType="begin"/>
      </w:r>
      <w:r w:rsidRPr="006F064F">
        <w:rPr>
          <w:i/>
          <w:iCs/>
        </w:rPr>
        <w:instrText xml:space="preserve"> REF Schedule28Heading \h </w:instrText>
      </w:r>
      <w:r>
        <w:rPr>
          <w:i/>
          <w:iCs/>
        </w:rPr>
        <w:instrText xml:space="preserve"> \* MERGEFORMAT </w:instrText>
      </w:r>
      <w:r w:rsidRPr="006F064F">
        <w:rPr>
          <w:i/>
          <w:iCs/>
        </w:rPr>
      </w:r>
      <w:r w:rsidRPr="006F064F">
        <w:rPr>
          <w:i/>
          <w:iCs/>
        </w:rPr>
        <w:fldChar w:fldCharType="separate"/>
      </w:r>
      <w:r w:rsidR="007A1473" w:rsidRPr="007A1473">
        <w:rPr>
          <w:i/>
          <w:iCs/>
        </w:rPr>
        <w:t>Staff Transfer</w:t>
      </w:r>
      <w:r w:rsidRPr="006F064F">
        <w:rPr>
          <w:i/>
          <w:iCs/>
        </w:rPr>
        <w:fldChar w:fldCharType="end"/>
      </w:r>
      <w:r>
        <w:t>)</w:t>
      </w:r>
      <w:r w:rsidRPr="00B224EC">
        <w:t>; and</w:t>
      </w:r>
    </w:p>
    <w:p w14:paraId="2190DC93" w14:textId="77777777" w:rsidR="00F67E9E" w:rsidRPr="00B224EC" w:rsidRDefault="00F67E9E" w:rsidP="00F67E9E">
      <w:pPr>
        <w:pStyle w:val="Numbered111"/>
      </w:pPr>
      <w:r w:rsidRPr="00B224EC">
        <w:t xml:space="preserve">how each of the issues set out in this Schedule will be addressed to facilitate the transition of the Services from the Supplier to the Replacement Supplier and/or the Authority with the aim of ensuring that there is no disruption to or degradation of the Services during the Termination Assistance Period. </w:t>
      </w:r>
    </w:p>
    <w:p w14:paraId="4D6AA647" w14:textId="77777777" w:rsidR="00F67E9E" w:rsidRPr="00B224EC" w:rsidRDefault="00F67E9E" w:rsidP="00F67E9E">
      <w:pPr>
        <w:pStyle w:val="Numbered11"/>
      </w:pPr>
      <w:r w:rsidRPr="00B224EC">
        <w:t>The Parties acknowledge that the migration of the Services from the Supplier to the Authority and/or its Replacement Supplier may be phased, such that certain of the Services are handed over before others.</w:t>
      </w:r>
    </w:p>
    <w:p w14:paraId="0F79D873" w14:textId="77777777" w:rsidR="00F67E9E" w:rsidRPr="00B224EC" w:rsidRDefault="00F67E9E" w:rsidP="00F67E9E">
      <w:pPr>
        <w:pStyle w:val="Numbered11"/>
      </w:pPr>
      <w:r w:rsidRPr="00B224EC">
        <w:t xml:space="preserve">The Supplier shall review and (if appropriate) update the Exit Plan on a basis consistent with the principles set out in this Schedule in the first month of each Contract Year </w:t>
      </w:r>
      <w:r w:rsidRPr="00B224EC">
        <w:lastRenderedPageBreak/>
        <w:t>(commencing with the second Contract Year) and if requested by the Authority following the occurrence of a Financial Distress Event, within 14 days of such request, to reflect any changes in the Services that have occurred since the Exit Plan was last agreed.</w:t>
      </w:r>
      <w:r>
        <w:t xml:space="preserve"> </w:t>
      </w:r>
      <w:r w:rsidRPr="00B224EC">
        <w:t>Following such update, the Supplier shall submit the revised Exit Plan to the Authority for review.</w:t>
      </w:r>
      <w:r>
        <w:t xml:space="preserve"> </w:t>
      </w:r>
      <w:r w:rsidRPr="00B224EC">
        <w:t>Within 20 Working Days following submission of the revised Exit Plan, the Parties shall meet and use reasonable endeavours to agree the contents of the revised Exit Plan.</w:t>
      </w:r>
      <w:r>
        <w:t xml:space="preserve"> </w:t>
      </w:r>
      <w:r w:rsidRPr="00B224EC">
        <w:t>If the Parties are unable to agree the contents of the revised Exit Plan within that 20 Working Day period, such dispute shall be resolved in accordance with the Dispute Resolution Procedure.</w:t>
      </w:r>
    </w:p>
    <w:p w14:paraId="50716168" w14:textId="77777777" w:rsidR="00F67E9E" w:rsidRPr="00B224EC" w:rsidRDefault="00F67E9E" w:rsidP="00F67E9E">
      <w:pPr>
        <w:pStyle w:val="StdBodyText1"/>
        <w:ind w:left="360"/>
        <w:rPr>
          <w:rFonts w:cs="Arial"/>
        </w:rPr>
      </w:pPr>
      <w:r w:rsidRPr="00B224EC">
        <w:rPr>
          <w:rStyle w:val="StdBodyTextBoldChar"/>
          <w:rFonts w:cs="Arial"/>
        </w:rPr>
        <w:t>Finalisation of the Exit</w:t>
      </w:r>
      <w:r w:rsidRPr="00B224EC">
        <w:rPr>
          <w:rFonts w:cs="Arial"/>
        </w:rPr>
        <w:t xml:space="preserve"> </w:t>
      </w:r>
      <w:r w:rsidRPr="00B224EC">
        <w:rPr>
          <w:rStyle w:val="StdBodyTextBoldChar"/>
          <w:rFonts w:cs="Arial"/>
        </w:rPr>
        <w:t>Plan</w:t>
      </w:r>
    </w:p>
    <w:p w14:paraId="28B2C460" w14:textId="77777777" w:rsidR="00F67E9E" w:rsidRPr="00B224EC" w:rsidRDefault="00F67E9E" w:rsidP="00F67E9E">
      <w:pPr>
        <w:pStyle w:val="Numbered11"/>
      </w:pPr>
      <w:r w:rsidRPr="00B224EC">
        <w:t xml:space="preserve">Within 20 Working Days after service of a </w:t>
      </w:r>
      <w:bookmarkStart w:id="1685" w:name="_9kMPO5YVt4CE9ELjOt2uwpw517hdGBvs"/>
      <w:r w:rsidRPr="00B224EC">
        <w:t>Termination Notice</w:t>
      </w:r>
      <w:bookmarkEnd w:id="1685"/>
      <w:r w:rsidRPr="00B224EC">
        <w:t xml:space="preserve"> by either Party or 6 months prior to the expiry of this Contract, the Supplier will submit for the Authority</w:t>
      </w:r>
      <w:r>
        <w:t>’</w:t>
      </w:r>
      <w:r w:rsidRPr="00B224EC">
        <w:t>s approval the Exit Plan in a final form that could be implemented immediately.</w:t>
      </w:r>
      <w:r>
        <w:t xml:space="preserve"> </w:t>
      </w:r>
      <w:r w:rsidRPr="00B224EC">
        <w:t>The final form of the Exit Plan shall be prepared on a basis consistent with the principles set out in this Schedule and shall reflect any changes in the Services that have occurred since the Exit Plan was last agreed.</w:t>
      </w:r>
    </w:p>
    <w:p w14:paraId="6D24586F" w14:textId="77777777" w:rsidR="00F67E9E" w:rsidRPr="00B224EC" w:rsidRDefault="00F67E9E" w:rsidP="00F67E9E">
      <w:pPr>
        <w:pStyle w:val="Numbered11"/>
      </w:pPr>
      <w:bookmarkStart w:id="1686" w:name="_9kR3WTrAG9BHJJKjRjSJsC4q1KB1571uA726EUF"/>
      <w:r w:rsidRPr="00B224EC">
        <w:t>The Parties will meet and use their respective reasonable endeavours to agree the contents of the final form of the Exit Plan.</w:t>
      </w:r>
      <w:bookmarkEnd w:id="1686"/>
      <w:r>
        <w:t xml:space="preserve"> </w:t>
      </w:r>
      <w:r w:rsidRPr="00B224EC">
        <w:t>If the Parties are unable to agree the contents of the Exit Plan within 20 Working Days following its delivery to the Authority then such Dispute shall be resolved in accordance with the Dispute Resolution Procedure.</w:t>
      </w:r>
      <w:r>
        <w:t xml:space="preserve"> </w:t>
      </w:r>
      <w:r w:rsidRPr="00B224EC">
        <w:t>Until the agreement of the final form of the Exit Plan, the Supplier shall provide the Termination Services in accordance with the principles set out in this Schedule and the last approved version of the Exit Plan (insofar as relevant).</w:t>
      </w:r>
    </w:p>
    <w:p w14:paraId="2661980E" w14:textId="77777777" w:rsidR="00F67E9E" w:rsidRPr="00B224EC" w:rsidRDefault="00F67E9E" w:rsidP="00F67E9E">
      <w:pPr>
        <w:pStyle w:val="Numbered1"/>
      </w:pPr>
      <w:r w:rsidRPr="00B224EC">
        <w:t>Termination Services</w:t>
      </w:r>
    </w:p>
    <w:p w14:paraId="09132323" w14:textId="77777777" w:rsidR="00F67E9E" w:rsidRPr="00B224EC" w:rsidRDefault="00F67E9E" w:rsidP="00F67E9E">
      <w:pPr>
        <w:pStyle w:val="StdBodyText1"/>
        <w:ind w:left="360"/>
        <w:rPr>
          <w:rFonts w:cs="Arial"/>
        </w:rPr>
      </w:pPr>
      <w:r w:rsidRPr="00B224EC">
        <w:rPr>
          <w:rStyle w:val="StdBodyTextBoldChar"/>
          <w:rFonts w:cs="Arial"/>
        </w:rPr>
        <w:t>Notification of Requirements for Termination</w:t>
      </w:r>
      <w:r w:rsidRPr="00B224EC">
        <w:rPr>
          <w:rFonts w:cs="Arial"/>
        </w:rPr>
        <w:t xml:space="preserve"> </w:t>
      </w:r>
      <w:r w:rsidRPr="00B224EC">
        <w:rPr>
          <w:rStyle w:val="StdBodyTextBoldChar"/>
          <w:rFonts w:cs="Arial"/>
        </w:rPr>
        <w:t>Services</w:t>
      </w:r>
    </w:p>
    <w:p w14:paraId="3E37A538" w14:textId="77777777" w:rsidR="00F67E9E" w:rsidRPr="00B224EC" w:rsidRDefault="00F67E9E" w:rsidP="00F67E9E">
      <w:pPr>
        <w:pStyle w:val="Numbered11"/>
      </w:pPr>
      <w:bookmarkStart w:id="1687" w:name="_9kR3WTrAG9CHGIFdRjDOE2y947OO8rw8ztx7NJK"/>
      <w:bookmarkStart w:id="1688" w:name="_Ref_ContractCompanion_9kb9Us8DA"/>
      <w:r w:rsidRPr="00B224EC">
        <w:t xml:space="preserve">The Authority shall be entitled to require the provision of Termination Services at any time during the Term by giving written notice to the Supplier (a </w:t>
      </w:r>
      <w:r>
        <w:t>“</w:t>
      </w:r>
      <w:bookmarkStart w:id="1689" w:name="_9kR3WTr2AC7CKiMr0sunu3z5SSH89L4z2uglOJ3"/>
      <w:r w:rsidRPr="00B224EC">
        <w:rPr>
          <w:rStyle w:val="StdBodyTextBoldChar"/>
          <w:rFonts w:eastAsia="Arial" w:cs="Arial"/>
        </w:rPr>
        <w:t>Termination Assistance Notice</w:t>
      </w:r>
      <w:bookmarkEnd w:id="1689"/>
      <w:r>
        <w:t>”</w:t>
      </w:r>
      <w:r w:rsidRPr="00B224EC">
        <w:t>) at least 4 months prior to the date of termination or expiry of this Contract or as soon as reasonably practicable (but in any event, not later than 1 month) following the service by either Party of a Termination Notice.</w:t>
      </w:r>
      <w:bookmarkEnd w:id="1687"/>
      <w:r>
        <w:t xml:space="preserve"> </w:t>
      </w:r>
      <w:r w:rsidRPr="00B224EC">
        <w:t xml:space="preserve">The </w:t>
      </w:r>
      <w:bookmarkStart w:id="1690" w:name="_9kMHG5YVt4CE9EMkOt2uwpw517UUJABN614winQ"/>
      <w:r w:rsidRPr="00B224EC">
        <w:t>Termination Assistance Notice</w:t>
      </w:r>
      <w:bookmarkEnd w:id="1690"/>
      <w:r w:rsidRPr="00B224EC">
        <w:t xml:space="preserve"> shall specify:</w:t>
      </w:r>
      <w:bookmarkEnd w:id="1688"/>
    </w:p>
    <w:p w14:paraId="77CA3553" w14:textId="77777777" w:rsidR="00F67E9E" w:rsidRPr="00B224EC" w:rsidRDefault="00F67E9E" w:rsidP="00F67E9E">
      <w:pPr>
        <w:pStyle w:val="Numbered111"/>
      </w:pPr>
      <w:r w:rsidRPr="00B224EC">
        <w:t>the date from which Termination Services are required;</w:t>
      </w:r>
    </w:p>
    <w:p w14:paraId="236CA525" w14:textId="77777777" w:rsidR="00F67E9E" w:rsidRPr="00B224EC" w:rsidRDefault="00F67E9E" w:rsidP="00F67E9E">
      <w:pPr>
        <w:pStyle w:val="Numbered111"/>
      </w:pPr>
      <w:r w:rsidRPr="00B224EC">
        <w:t>the nature of the Termination Services required; and</w:t>
      </w:r>
    </w:p>
    <w:p w14:paraId="1A0836D0" w14:textId="77777777" w:rsidR="00F67E9E" w:rsidRPr="00B224EC" w:rsidRDefault="00F67E9E" w:rsidP="00F67E9E">
      <w:pPr>
        <w:pStyle w:val="Numbered111"/>
      </w:pPr>
      <w:r w:rsidRPr="00B224EC">
        <w:t>the period during which it is anticipated that Termination Services will be required, which shall continue no longer than 24 months after the expiry of the Initial Term or any Extension Period or earlier termination of this Contract;</w:t>
      </w:r>
    </w:p>
    <w:p w14:paraId="482B9025" w14:textId="77777777" w:rsidR="00F67E9E" w:rsidRPr="00B224EC" w:rsidRDefault="00F67E9E" w:rsidP="00F67E9E">
      <w:pPr>
        <w:pStyle w:val="Numbered11"/>
      </w:pPr>
      <w:bookmarkStart w:id="1691" w:name="_Ref_ContractCompanion_9kb9Us8FG"/>
      <w:bookmarkStart w:id="1692" w:name="_9kR3WTrAG9CJMMGeRjDOE2y947OO8rw85vAF"/>
      <w:r w:rsidRPr="00B224EC">
        <w:t>The Authority shall have:</w:t>
      </w:r>
      <w:bookmarkEnd w:id="1691"/>
      <w:bookmarkEnd w:id="1692"/>
    </w:p>
    <w:p w14:paraId="4A45B954" w14:textId="77777777" w:rsidR="00F67E9E" w:rsidRPr="00B224EC" w:rsidRDefault="00F67E9E" w:rsidP="00F67E9E">
      <w:pPr>
        <w:pStyle w:val="Numbered111"/>
      </w:pPr>
      <w:bookmarkStart w:id="1693" w:name="_Ref44573069"/>
      <w:r w:rsidRPr="00B224EC">
        <w:t xml:space="preserve">an option to extend the period of assistance beyond the period specified in the </w:t>
      </w:r>
      <w:bookmarkStart w:id="1694" w:name="_9kMIH5YVt4CE9EMkOt2uwpw517UUJABN614winQ"/>
      <w:r w:rsidRPr="00B224EC">
        <w:t>Termination Assistance Notice</w:t>
      </w:r>
      <w:bookmarkEnd w:id="1694"/>
      <w:r w:rsidRPr="00B224EC">
        <w:t xml:space="preserve"> provided that such extension shall not extend the Termination Assistance period beyond the date which is 30 months after expiry of the Initial Term or any Extension Period or earlier termination of this Contract ;and provided that it shall notify the Supplier to such effect no later </w:t>
      </w:r>
      <w:r w:rsidRPr="00B224EC">
        <w:lastRenderedPageBreak/>
        <w:t>than 20 Working Days prior to the date on which the provision of Termination Services is otherwise due to expire; and</w:t>
      </w:r>
      <w:bookmarkEnd w:id="1693"/>
      <w:r w:rsidRPr="00B224EC">
        <w:t xml:space="preserve"> </w:t>
      </w:r>
    </w:p>
    <w:p w14:paraId="6FE395D8" w14:textId="77777777" w:rsidR="00F67E9E" w:rsidRPr="00B224EC" w:rsidRDefault="00F67E9E" w:rsidP="00F67E9E">
      <w:pPr>
        <w:pStyle w:val="Numbered111"/>
      </w:pPr>
      <w:r w:rsidRPr="00B224EC">
        <w:t>the right to terminate its requirement for Termination Services by serving not less than 20 Working Days</w:t>
      </w:r>
      <w:r>
        <w:t>’</w:t>
      </w:r>
      <w:r w:rsidRPr="00B224EC">
        <w:t xml:space="preserve"> written notice upon the Supplier to such effect.</w:t>
      </w:r>
    </w:p>
    <w:p w14:paraId="08F86081" w14:textId="77777777" w:rsidR="00F67E9E" w:rsidRPr="00B224EC" w:rsidRDefault="00F67E9E" w:rsidP="00F67E9E">
      <w:pPr>
        <w:pStyle w:val="StdBodyText1"/>
        <w:ind w:left="360"/>
        <w:rPr>
          <w:rFonts w:cs="Arial"/>
        </w:rPr>
      </w:pPr>
      <w:r w:rsidRPr="00B224EC">
        <w:rPr>
          <w:rStyle w:val="StdBodyTextBoldChar"/>
          <w:rFonts w:cs="Arial"/>
        </w:rPr>
        <w:t>Termination Assistance</w:t>
      </w:r>
      <w:r w:rsidRPr="00B224EC">
        <w:rPr>
          <w:rFonts w:cs="Arial"/>
        </w:rPr>
        <w:t xml:space="preserve"> </w:t>
      </w:r>
      <w:r w:rsidRPr="00B224EC">
        <w:rPr>
          <w:rStyle w:val="StdBodyTextBoldChar"/>
          <w:rFonts w:cs="Arial"/>
        </w:rPr>
        <w:t>Period</w:t>
      </w:r>
      <w:r w:rsidRPr="00B224EC">
        <w:rPr>
          <w:rFonts w:cs="Arial"/>
        </w:rPr>
        <w:t xml:space="preserve"> </w:t>
      </w:r>
    </w:p>
    <w:p w14:paraId="3B9AF108" w14:textId="77777777" w:rsidR="00F67E9E" w:rsidRPr="00B224EC" w:rsidRDefault="00F67E9E" w:rsidP="00F67E9E">
      <w:pPr>
        <w:pStyle w:val="Numbered11"/>
      </w:pPr>
      <w:r w:rsidRPr="00B224EC">
        <w:t>Throughout the Termination Assistance Period, or such shorter period as the Authority may require, the Supplier shall:</w:t>
      </w:r>
    </w:p>
    <w:p w14:paraId="421D9447" w14:textId="1B9AB19C" w:rsidR="00F67E9E" w:rsidRPr="00B224EC" w:rsidRDefault="00F67E9E" w:rsidP="00F67E9E">
      <w:pPr>
        <w:pStyle w:val="Numbered111"/>
      </w:pPr>
      <w:r w:rsidRPr="00B224EC">
        <w:t xml:space="preserve">continue to provide the Services (as applicable) and, if required by the Authority pursuant to </w:t>
      </w:r>
      <w:bookmarkStart w:id="1695" w:name="_9kMHG5YVtCIBEJIKHfTlFQG40B69QQAtyA1vz9P"/>
      <w:r w:rsidRPr="00B224EC">
        <w:t xml:space="preserve">Paragraph </w:t>
      </w:r>
      <w:r w:rsidRPr="00B224EC">
        <w:fldChar w:fldCharType="begin"/>
      </w:r>
      <w:r w:rsidRPr="00B224EC">
        <w:instrText xml:space="preserve"> REF _Ref_ContractCompanion_9kb9Us8DA \n \h \t \* MERGEFORMAT </w:instrText>
      </w:r>
      <w:r w:rsidRPr="00B224EC">
        <w:fldChar w:fldCharType="separate"/>
      </w:r>
      <w:r w:rsidR="007A1473">
        <w:t>6.1</w:t>
      </w:r>
      <w:r w:rsidRPr="00B224EC">
        <w:fldChar w:fldCharType="end"/>
      </w:r>
      <w:bookmarkEnd w:id="1695"/>
      <w:r w:rsidRPr="00B224EC">
        <w:t>, provide the Termination Services;</w:t>
      </w:r>
    </w:p>
    <w:p w14:paraId="03CE2F81" w14:textId="77777777" w:rsidR="00F67E9E" w:rsidRPr="00B224EC" w:rsidRDefault="00F67E9E" w:rsidP="00F67E9E">
      <w:pPr>
        <w:pStyle w:val="Numbered111"/>
      </w:pPr>
      <w:bookmarkStart w:id="1696" w:name="_Ref_ContractCompanion_9kb9Us8DD"/>
      <w:bookmarkStart w:id="1697" w:name="_9kR3WTrAG9CHJLHngtmdhn4517DFCGGLGz0BAHJ"/>
      <w:r w:rsidRPr="00B224EC">
        <w:t>in addition to providing the Services and the Termination Services, provide to the Authority any reasonable assistance requested by the Authority to allow the Services to continue without interruption following the Partial Termination, termination or expiry of this Contract and to facilitate the orderly transfer of responsibility for and conduct of the Services to the Authority and/or its Replacement Supplier;</w:t>
      </w:r>
      <w:bookmarkEnd w:id="1696"/>
      <w:bookmarkEnd w:id="1697"/>
    </w:p>
    <w:p w14:paraId="180114D3" w14:textId="439AF137" w:rsidR="00F67E9E" w:rsidRPr="00B224EC" w:rsidRDefault="00F67E9E" w:rsidP="00F67E9E">
      <w:pPr>
        <w:pStyle w:val="Numbered111"/>
      </w:pPr>
      <w:bookmarkStart w:id="1698" w:name="_Ref_ContractCompanion_9kb9Us8EA"/>
      <w:bookmarkStart w:id="1699" w:name="_9kR3WTrAG9CIGHHotAvemy5zjyD9wlx1v55xvDS"/>
      <w:r w:rsidRPr="00B224EC">
        <w:t xml:space="preserve">use all reasonable endeavours to reallocate resources to provide such assistance as is referred to in </w:t>
      </w:r>
      <w:bookmarkStart w:id="1700" w:name="_9kMHG5YVtCIBEJLNJpivofjp6739FHEIINI12DC"/>
      <w:r w:rsidRPr="00B224EC">
        <w:t xml:space="preserve">Paragraph </w:t>
      </w:r>
      <w:r w:rsidRPr="00B224EC">
        <w:fldChar w:fldCharType="begin"/>
      </w:r>
      <w:r w:rsidRPr="00B224EC">
        <w:instrText xml:space="preserve"> REF _Ref_ContractCompanion_9kb9Us8DD \w \h \t \* MERGEFORMAT </w:instrText>
      </w:r>
      <w:r w:rsidRPr="00B224EC">
        <w:fldChar w:fldCharType="separate"/>
      </w:r>
      <w:r w:rsidR="007A1473">
        <w:t>6.3.2</w:t>
      </w:r>
      <w:r w:rsidRPr="00B224EC">
        <w:fldChar w:fldCharType="end"/>
      </w:r>
      <w:bookmarkEnd w:id="1700"/>
      <w:r w:rsidRPr="00B224EC">
        <w:t xml:space="preserve"> without additional costs to the Authority;</w:t>
      </w:r>
      <w:bookmarkEnd w:id="1698"/>
      <w:bookmarkEnd w:id="1699"/>
    </w:p>
    <w:p w14:paraId="7C889586" w14:textId="5C9FC944" w:rsidR="00F67E9E" w:rsidRPr="00B224EC" w:rsidRDefault="00F67E9E" w:rsidP="00F67E9E">
      <w:pPr>
        <w:pStyle w:val="Numbered111"/>
      </w:pPr>
      <w:r w:rsidRPr="00B224EC">
        <w:t xml:space="preserve">provide the Services and the Termination Services at no detriment to the Target Performance Levels, save to the extent that the Parties agree otherwise in accordance with </w:t>
      </w:r>
      <w:bookmarkStart w:id="1701" w:name="_9kMHG5YVtCIBEKFGLYGy1nZkEA71v55t3EGLSSA"/>
      <w:r w:rsidRPr="00B224EC">
        <w:t xml:space="preserve">Paragraph </w:t>
      </w:r>
      <w:r w:rsidRPr="00B224EC">
        <w:fldChar w:fldCharType="begin"/>
      </w:r>
      <w:r w:rsidRPr="00B224EC">
        <w:instrText xml:space="preserve"> REF _Ref_ContractCompanion_9kb9Us8DG \n \h \t \* MERGEFORMAT </w:instrText>
      </w:r>
      <w:r w:rsidRPr="00B224EC">
        <w:fldChar w:fldCharType="separate"/>
      </w:r>
      <w:r w:rsidR="007A1473">
        <w:t>6.5</w:t>
      </w:r>
      <w:r w:rsidRPr="00B224EC">
        <w:fldChar w:fldCharType="end"/>
      </w:r>
      <w:bookmarkEnd w:id="1701"/>
      <w:r w:rsidRPr="00B224EC">
        <w:t>; and</w:t>
      </w:r>
    </w:p>
    <w:p w14:paraId="1EDD42B2" w14:textId="77777777" w:rsidR="00F67E9E" w:rsidRPr="00B224EC" w:rsidRDefault="00F67E9E" w:rsidP="00F67E9E">
      <w:pPr>
        <w:pStyle w:val="Numbered111"/>
      </w:pPr>
      <w:bookmarkStart w:id="1702" w:name="_Ref_ContractCompanion_9kb9Us8EG"/>
      <w:bookmarkStart w:id="1703" w:name="_9kR3WTrAG9CJDDHqbrB0mGRH51C7ARRL88PEDTC"/>
      <w:r w:rsidRPr="00B224EC">
        <w:t>at the Authority</w:t>
      </w:r>
      <w:r>
        <w:t>’</w:t>
      </w:r>
      <w:r w:rsidRPr="00B224EC">
        <w:t>s request and on reasonable notice, deliver up-to-date Registers to the Authority.</w:t>
      </w:r>
      <w:bookmarkEnd w:id="1702"/>
      <w:bookmarkEnd w:id="1703"/>
    </w:p>
    <w:p w14:paraId="29547ACF" w14:textId="62F89473" w:rsidR="00F67E9E" w:rsidRPr="00B224EC" w:rsidRDefault="00F67E9E" w:rsidP="00F67E9E">
      <w:pPr>
        <w:pStyle w:val="Numbered11"/>
      </w:pPr>
      <w:r w:rsidRPr="00B224EC">
        <w:t>Without prejudice to the Supplier</w:t>
      </w:r>
      <w:r>
        <w:t>’</w:t>
      </w:r>
      <w:r w:rsidRPr="00B224EC">
        <w:t xml:space="preserve">s obligations under </w:t>
      </w:r>
      <w:bookmarkStart w:id="1704" w:name="_9kMHG5YVtCIBEKIJJqvCxgo071l0FBynz3x77zx"/>
      <w:r w:rsidRPr="00B224EC">
        <w:t xml:space="preserve">Paragraph </w:t>
      </w:r>
      <w:r w:rsidRPr="00B224EC">
        <w:fldChar w:fldCharType="begin"/>
      </w:r>
      <w:r w:rsidRPr="00B224EC">
        <w:instrText xml:space="preserve"> REF _Ref_ContractCompanion_9kb9Us8EA \w \h \t \* MERGEFORMAT </w:instrText>
      </w:r>
      <w:r w:rsidRPr="00B224EC">
        <w:fldChar w:fldCharType="separate"/>
      </w:r>
      <w:r w:rsidR="007A1473">
        <w:t>6.3.3</w:t>
      </w:r>
      <w:r w:rsidRPr="00B224EC">
        <w:fldChar w:fldCharType="end"/>
      </w:r>
      <w:bookmarkEnd w:id="1704"/>
      <w:r w:rsidRPr="00B224EC">
        <w:t xml:space="preserve">, if it is not possible for the Supplier to reallocate resources to provide such assistance as is referred to in </w:t>
      </w:r>
      <w:bookmarkStart w:id="1705" w:name="_9kMIH5YVtCIBEJLNJpivofjp6739FHEIINI12DC"/>
      <w:r w:rsidRPr="00B224EC">
        <w:t xml:space="preserve">Paragraph </w:t>
      </w:r>
      <w:r w:rsidRPr="00B224EC">
        <w:fldChar w:fldCharType="begin"/>
      </w:r>
      <w:r w:rsidRPr="00B224EC">
        <w:instrText xml:space="preserve"> REF _Ref_ContractCompanion_9kb9Us8DD \w \h \t \* MERGEFORMAT </w:instrText>
      </w:r>
      <w:r w:rsidRPr="00B224EC">
        <w:fldChar w:fldCharType="separate"/>
      </w:r>
      <w:r w:rsidR="007A1473">
        <w:t>6.3.2</w:t>
      </w:r>
      <w:r w:rsidRPr="00B224EC">
        <w:fldChar w:fldCharType="end"/>
      </w:r>
      <w:bookmarkEnd w:id="1705"/>
      <w:r w:rsidRPr="00B224EC">
        <w:t xml:space="preserve"> without additional costs to the Authority, any additional costs incurred by the Supplier in providing such reasonable assistance which is not already in the scope of the Termination Services or the Exit Plan shall be subject to the Change Control Procedure.</w:t>
      </w:r>
    </w:p>
    <w:p w14:paraId="28F8305E" w14:textId="77777777" w:rsidR="00F67E9E" w:rsidRDefault="00F67E9E" w:rsidP="00F67E9E">
      <w:pPr>
        <w:pStyle w:val="Numbered11"/>
      </w:pPr>
      <w:bookmarkStart w:id="1706" w:name="_Ref_ContractCompanion_9kb9Us8DG"/>
      <w:bookmarkStart w:id="1707" w:name="_9kR3WTrAG9CIDEJWEwzlXiC85zt33r1CEJQQ8BG"/>
      <w:r w:rsidRPr="00B224EC">
        <w:t>If the Supplier demonstrates to the Authority</w:t>
      </w:r>
      <w:r>
        <w:t>’</w:t>
      </w:r>
      <w:r w:rsidRPr="00B224EC">
        <w:t>s reasonable satisfaction that transition of the Services and provision of the Termination Services during the Termination Assistance Period will have a material, unavoidable adverse effect on the Supplier</w:t>
      </w:r>
      <w:r>
        <w:t>’</w:t>
      </w:r>
      <w:r w:rsidRPr="00B224EC">
        <w:t>s ability to meet one or more particular Target Performance Level(s), the Parties shall vary the relevant Target Performance Level(s) and/or the applicable Service Credits to take account of such adverse effect.</w:t>
      </w:r>
      <w:bookmarkEnd w:id="1706"/>
      <w:bookmarkEnd w:id="1707"/>
    </w:p>
    <w:p w14:paraId="54643F78" w14:textId="77777777" w:rsidR="00F67E9E" w:rsidRPr="00B224EC" w:rsidRDefault="00F67E9E" w:rsidP="00F67E9E">
      <w:pPr>
        <w:pStyle w:val="StdBodyText1"/>
        <w:keepNext/>
        <w:keepLines/>
        <w:ind w:left="360"/>
        <w:rPr>
          <w:rFonts w:cs="Arial"/>
        </w:rPr>
      </w:pPr>
      <w:r w:rsidRPr="00B224EC">
        <w:rPr>
          <w:rStyle w:val="StdBodyTextBoldChar"/>
          <w:rFonts w:cs="Arial"/>
        </w:rPr>
        <w:t>Termination</w:t>
      </w:r>
      <w:r w:rsidRPr="00B224EC">
        <w:rPr>
          <w:rFonts w:cs="Arial"/>
        </w:rPr>
        <w:t xml:space="preserve"> </w:t>
      </w:r>
      <w:r w:rsidRPr="00B224EC">
        <w:rPr>
          <w:rStyle w:val="StdBodyTextBoldChar"/>
          <w:rFonts w:cs="Arial"/>
        </w:rPr>
        <w:t>Obligations</w:t>
      </w:r>
    </w:p>
    <w:p w14:paraId="24E3B6B6" w14:textId="77777777" w:rsidR="00F67E9E" w:rsidRPr="00B224EC" w:rsidRDefault="00F67E9E" w:rsidP="00F67E9E">
      <w:pPr>
        <w:pStyle w:val="Numbered11"/>
      </w:pPr>
      <w:r w:rsidRPr="00B224EC">
        <w:t>The Supplier shall comply with all of its obligations contained in the Exit Plan in respect of any Partial Termination or termination.</w:t>
      </w:r>
    </w:p>
    <w:p w14:paraId="4EE52EF8" w14:textId="77777777" w:rsidR="00F67E9E" w:rsidRPr="00B224EC" w:rsidRDefault="00F67E9E" w:rsidP="00F67E9E">
      <w:pPr>
        <w:pStyle w:val="Numbered11"/>
      </w:pPr>
      <w:r w:rsidRPr="00B224EC">
        <w:t>Upon termination or expiry (as the case may be) or at the end of the Termination Assistance Period (or earlier if this does not adversely affect the Supplier</w:t>
      </w:r>
      <w:r>
        <w:t>’</w:t>
      </w:r>
      <w:r w:rsidRPr="00B224EC">
        <w:t xml:space="preserve">s performance of the Services and the Termination Services and its compliance with the other </w:t>
      </w:r>
      <w:r w:rsidRPr="00B224EC">
        <w:lastRenderedPageBreak/>
        <w:t>provisions of this Schedule) in respect of the Services that have been terminated, the Supplier shall:</w:t>
      </w:r>
    </w:p>
    <w:p w14:paraId="4947CB8A" w14:textId="77777777" w:rsidR="00F67E9E" w:rsidRPr="00B224EC" w:rsidRDefault="00F67E9E" w:rsidP="00F67E9E">
      <w:pPr>
        <w:pStyle w:val="Numbered111"/>
      </w:pPr>
      <w:r w:rsidRPr="00B224EC">
        <w:t>cease to use the Authority Data;</w:t>
      </w:r>
    </w:p>
    <w:p w14:paraId="6258591A" w14:textId="77777777" w:rsidR="00F67E9E" w:rsidRPr="00B224EC" w:rsidRDefault="00F67E9E" w:rsidP="00F67E9E">
      <w:pPr>
        <w:pStyle w:val="Numbered111"/>
      </w:pPr>
      <w:bookmarkStart w:id="1708" w:name="_Ref44674016"/>
      <w:r w:rsidRPr="00B224EC">
        <w:t>provide the Authority and/or the Replacement Supplier with a complete and uncorrupted version of the Authority Data in electronic form (or such other format as reasonably required by the Authority);</w:t>
      </w:r>
      <w:bookmarkEnd w:id="1708"/>
    </w:p>
    <w:p w14:paraId="725F30D4" w14:textId="77777777" w:rsidR="00F67E9E" w:rsidRPr="00B224EC" w:rsidRDefault="00F67E9E" w:rsidP="00F67E9E">
      <w:pPr>
        <w:pStyle w:val="Numbered111"/>
      </w:pPr>
      <w:r w:rsidRPr="00B224EC">
        <w:t>erase from any computers, storage devices and storage media that are to be retained by the Supplier after the end of the Termination Assistance Period all Authority Data and promptly certify to the Authority that it has completed such deletion;</w:t>
      </w:r>
    </w:p>
    <w:p w14:paraId="48E134EB" w14:textId="77777777" w:rsidR="00F67E9E" w:rsidRPr="00B224EC" w:rsidRDefault="00F67E9E" w:rsidP="00F67E9E">
      <w:pPr>
        <w:pStyle w:val="Numbered111"/>
      </w:pPr>
      <w:r w:rsidRPr="00B224EC">
        <w:t>return to the Authority such of the following as is in the Supplier</w:t>
      </w:r>
      <w:r>
        <w:t>’</w:t>
      </w:r>
      <w:r w:rsidRPr="00B224EC">
        <w:t>s possession or control:</w:t>
      </w:r>
    </w:p>
    <w:p w14:paraId="02B7F79D" w14:textId="77777777" w:rsidR="00F67E9E" w:rsidRPr="00436D9D" w:rsidRDefault="00F67E9E" w:rsidP="00F67E9E">
      <w:pPr>
        <w:pStyle w:val="Numbered111a"/>
      </w:pPr>
      <w:r w:rsidRPr="00436D9D">
        <w:t>any parts of the IT Environment and any other equipment which belongs to the Authority; and</w:t>
      </w:r>
    </w:p>
    <w:p w14:paraId="66A2E626" w14:textId="77777777" w:rsidR="00F67E9E" w:rsidRPr="00B224EC" w:rsidRDefault="00F67E9E" w:rsidP="00F67E9E">
      <w:pPr>
        <w:pStyle w:val="Numbered111a"/>
      </w:pPr>
      <w:r w:rsidRPr="00436D9D">
        <w:t>any items</w:t>
      </w:r>
      <w:r w:rsidRPr="00B224EC">
        <w:t xml:space="preserve"> that have been on-charged to the Authority, such as consumables;</w:t>
      </w:r>
    </w:p>
    <w:p w14:paraId="12642EC7" w14:textId="77777777" w:rsidR="00F67E9E" w:rsidRPr="00B224EC" w:rsidRDefault="00F67E9E" w:rsidP="00F67E9E">
      <w:pPr>
        <w:pStyle w:val="Numbered111"/>
      </w:pPr>
      <w:r w:rsidRPr="00B224EC">
        <w:t>vacate any Authority Premises unless access is required to continue to deliver the Services;</w:t>
      </w:r>
    </w:p>
    <w:p w14:paraId="28635326" w14:textId="77777777" w:rsidR="00F67E9E" w:rsidRPr="00B224EC" w:rsidRDefault="00F67E9E" w:rsidP="00F67E9E">
      <w:pPr>
        <w:pStyle w:val="Numbered111"/>
      </w:pPr>
      <w:r w:rsidRPr="00B224EC">
        <w:t>provide access during normal working hours to the Authority and/or the Replacement Supplier for up to 12 months after the Partial Termination, expiry or termination of this Contract to:</w:t>
      </w:r>
    </w:p>
    <w:p w14:paraId="05799DE4" w14:textId="77777777" w:rsidR="00F67E9E" w:rsidRPr="00436D9D" w:rsidRDefault="00F67E9E" w:rsidP="00F67E9E">
      <w:pPr>
        <w:pStyle w:val="Numbered111a"/>
      </w:pPr>
      <w:r w:rsidRPr="00B224EC">
        <w:t xml:space="preserve">such information </w:t>
      </w:r>
      <w:r w:rsidRPr="00436D9D">
        <w:t>relating to the Services as remains in the possession or control of the Supplier; and</w:t>
      </w:r>
    </w:p>
    <w:p w14:paraId="25AAF970" w14:textId="129A9455" w:rsidR="00F67E9E" w:rsidRPr="00B224EC" w:rsidRDefault="00F67E9E" w:rsidP="00F67E9E">
      <w:pPr>
        <w:pStyle w:val="Numbered111a"/>
      </w:pPr>
      <w:bookmarkStart w:id="1709" w:name="_9kR3WTrAG9CIJKLvkozCxlwuvtm3IG4ADzlwQMJ"/>
      <w:bookmarkStart w:id="1710" w:name="_Ref_ContractCompanion_9kb9Us8ED"/>
      <w:r w:rsidRPr="00436D9D">
        <w:t>such members of the Supplier Personnel as have been involved in the design, development and</w:t>
      </w:r>
      <w:r w:rsidRPr="00B224EC">
        <w:t xml:space="preserve"> provision of the Services and who are still employed by the Supplier, provided that the Authority and/or the Replacement Supplier shall pay the reasonable costs of the Supplier actually incurred in responding to requests for access under this</w:t>
      </w:r>
      <w:bookmarkEnd w:id="1709"/>
      <w:r w:rsidRPr="00B224EC">
        <w:t xml:space="preserve"> </w:t>
      </w:r>
      <w:bookmarkStart w:id="1711" w:name="_9kMHG5YVtCIBEKLMNxmq1Eznywxvo5KI6CF1nyS"/>
      <w:r w:rsidRPr="00B224EC">
        <w:t xml:space="preserve">Paragraph </w:t>
      </w:r>
      <w:r w:rsidRPr="00B224EC">
        <w:fldChar w:fldCharType="begin"/>
      </w:r>
      <w:r w:rsidRPr="00B224EC">
        <w:instrText xml:space="preserve"> REF _Ref_ContractCompanion_9kb9Us8ED \w \h \t \* MERGEFORMAT </w:instrText>
      </w:r>
      <w:r w:rsidRPr="00B224EC">
        <w:fldChar w:fldCharType="separate"/>
      </w:r>
      <w:r w:rsidR="007A1473">
        <w:t>6.7.6(b)</w:t>
      </w:r>
      <w:r w:rsidRPr="00B224EC">
        <w:fldChar w:fldCharType="end"/>
      </w:r>
      <w:bookmarkEnd w:id="1711"/>
      <w:r w:rsidRPr="00B224EC">
        <w:t>.</w:t>
      </w:r>
      <w:bookmarkEnd w:id="1710"/>
    </w:p>
    <w:p w14:paraId="2B300DB6" w14:textId="77777777" w:rsidR="00F67E9E" w:rsidRPr="00B224EC" w:rsidRDefault="00F67E9E" w:rsidP="00F67E9E">
      <w:pPr>
        <w:pStyle w:val="Numbered11"/>
      </w:pPr>
      <w:r w:rsidRPr="00B224EC">
        <w:t>Upon Partial Termination, termination or expiry (as the case may be) or at the end of the Termination Assistance Period (or earlier if this does not adversely affect the Supplier</w:t>
      </w:r>
      <w:r>
        <w:t>’</w:t>
      </w:r>
      <w:r w:rsidRPr="00B224EC">
        <w:t>s performance of the Services and the Termination Services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w:t>
      </w:r>
      <w:r>
        <w:t>’</w:t>
      </w:r>
      <w:r w:rsidRPr="00B224EC">
        <w:t xml:space="preserve">s Confidential Information save to the extent (and for the limited period) that such information needs to be retained by the Party in question for the purposes of providing or receiving any Services or Termination Services or for statutory compliance purposes. </w:t>
      </w:r>
    </w:p>
    <w:p w14:paraId="6D8AD8A7" w14:textId="77777777" w:rsidR="00F67E9E" w:rsidRPr="00B224EC" w:rsidRDefault="00F67E9E" w:rsidP="00F67E9E">
      <w:pPr>
        <w:pStyle w:val="Numbered1"/>
      </w:pPr>
      <w:r w:rsidRPr="00B224EC">
        <w:t>Assets, Sub-</w:t>
      </w:r>
      <w:r>
        <w:t>c</w:t>
      </w:r>
      <w:r w:rsidRPr="00B224EC">
        <w:t xml:space="preserve">ontracts </w:t>
      </w:r>
      <w:r>
        <w:t>a</w:t>
      </w:r>
      <w:r w:rsidRPr="00B224EC">
        <w:t>nd Software</w:t>
      </w:r>
    </w:p>
    <w:p w14:paraId="02A68132" w14:textId="77777777" w:rsidR="00F67E9E" w:rsidRPr="00B224EC" w:rsidRDefault="00F67E9E" w:rsidP="00F67E9E">
      <w:pPr>
        <w:pStyle w:val="Numbered11"/>
      </w:pPr>
      <w:r w:rsidRPr="00B224EC">
        <w:t xml:space="preserve">Following notice of termination or Partial Termination of this Contract and during the Termination Assistance Period, the Supplier shall not, in respect of the terminated </w:t>
      </w:r>
      <w:r w:rsidRPr="00B224EC">
        <w:lastRenderedPageBreak/>
        <w:t>Services, without the Authority</w:t>
      </w:r>
      <w:r>
        <w:t>’</w:t>
      </w:r>
      <w:r w:rsidRPr="00B224EC">
        <w:t>s prior written consent:</w:t>
      </w:r>
    </w:p>
    <w:p w14:paraId="48B71ED3" w14:textId="77777777" w:rsidR="00F67E9E" w:rsidRPr="00436D9D" w:rsidRDefault="00F67E9E" w:rsidP="00F67E9E">
      <w:pPr>
        <w:pStyle w:val="Numbered111"/>
      </w:pPr>
      <w:r w:rsidRPr="00B224EC">
        <w:t xml:space="preserve">terminate, enter into or vary any Sub-contract except to the extent that such change </w:t>
      </w:r>
      <w:r w:rsidRPr="00436D9D">
        <w:t>does not or will not affect the provision of Services or the Charges;</w:t>
      </w:r>
    </w:p>
    <w:p w14:paraId="34265F52" w14:textId="77777777" w:rsidR="00F67E9E" w:rsidRPr="00436D9D" w:rsidRDefault="00F67E9E" w:rsidP="00F67E9E">
      <w:pPr>
        <w:pStyle w:val="Numbered111"/>
      </w:pPr>
      <w:r w:rsidRPr="00436D9D">
        <w:t>(subject to normal maintenance requirements) make material modifications to, or dispose of, any existing Assets or acquire any new Assets; or</w:t>
      </w:r>
    </w:p>
    <w:p w14:paraId="3F238F07" w14:textId="77777777" w:rsidR="00F67E9E" w:rsidRPr="00B224EC" w:rsidRDefault="00F67E9E" w:rsidP="00F67E9E">
      <w:pPr>
        <w:pStyle w:val="Numbered111"/>
      </w:pPr>
      <w:r w:rsidRPr="00436D9D">
        <w:t>terminate, enter into or vary any licence for software in connection with the Services</w:t>
      </w:r>
      <w:r w:rsidRPr="00B224EC">
        <w:t>.</w:t>
      </w:r>
    </w:p>
    <w:p w14:paraId="5232C8E6" w14:textId="61C54B47" w:rsidR="00F67E9E" w:rsidRPr="00B224EC" w:rsidRDefault="00F67E9E" w:rsidP="00F67E9E">
      <w:pPr>
        <w:pStyle w:val="Numbered11"/>
      </w:pPr>
      <w:r w:rsidRPr="00B224EC">
        <w:t xml:space="preserve">Within 20 Working Days of receipt of the up-to-date Registers provided by the Supplier pursuant to </w:t>
      </w:r>
      <w:bookmarkStart w:id="1712" w:name="_9kMHG5YVtCIBELFFJsdtD2oITJ73E9CTTNAARGF"/>
      <w:r w:rsidRPr="00B224EC">
        <w:t xml:space="preserve">Paragraph </w:t>
      </w:r>
      <w:r w:rsidRPr="00B224EC">
        <w:fldChar w:fldCharType="begin"/>
      </w:r>
      <w:r w:rsidRPr="00B224EC">
        <w:instrText xml:space="preserve"> REF _Ref_ContractCompanion_9kb9Us8EG \w \h \t \* MERGEFORMAT </w:instrText>
      </w:r>
      <w:r w:rsidRPr="00B224EC">
        <w:fldChar w:fldCharType="separate"/>
      </w:r>
      <w:r w:rsidR="007A1473">
        <w:t>6.3.5</w:t>
      </w:r>
      <w:r w:rsidRPr="00B224EC">
        <w:fldChar w:fldCharType="end"/>
      </w:r>
      <w:bookmarkEnd w:id="1712"/>
      <w:r w:rsidRPr="00B224EC">
        <w:t>, the Authority shall provide written notice to the Supplier setting out:</w:t>
      </w:r>
    </w:p>
    <w:p w14:paraId="0151F2BB" w14:textId="77777777" w:rsidR="00F67E9E" w:rsidRPr="00B224EC" w:rsidRDefault="00F67E9E" w:rsidP="00F67E9E">
      <w:pPr>
        <w:pStyle w:val="Numbered111"/>
      </w:pPr>
      <w:r w:rsidRPr="00B224EC">
        <w:t>which, if any, of the Transferable Assets the Authority requires to be transferred to the Authority and/or the Replacement Supplier in respect of the terminated Services (</w:t>
      </w:r>
      <w:r>
        <w:t>“</w:t>
      </w:r>
      <w:r w:rsidRPr="00B224EC">
        <w:rPr>
          <w:rStyle w:val="StdBodyTextBoldChar"/>
          <w:rFonts w:eastAsia="Arial" w:cs="Arial"/>
        </w:rPr>
        <w:t>Transferring Assets</w:t>
      </w:r>
      <w:r>
        <w:t>”</w:t>
      </w:r>
      <w:r w:rsidRPr="00B224EC">
        <w:t>);</w:t>
      </w:r>
    </w:p>
    <w:p w14:paraId="3FD994E0" w14:textId="77777777" w:rsidR="00F67E9E" w:rsidRPr="00B224EC" w:rsidRDefault="00F67E9E" w:rsidP="00F67E9E">
      <w:pPr>
        <w:pStyle w:val="Numbered111"/>
      </w:pPr>
      <w:r w:rsidRPr="00B224EC">
        <w:t>which, if any, of:</w:t>
      </w:r>
    </w:p>
    <w:p w14:paraId="19311DE9" w14:textId="77777777" w:rsidR="00F67E9E" w:rsidRPr="00A22C54" w:rsidRDefault="00F67E9E" w:rsidP="00F67E9E">
      <w:pPr>
        <w:pStyle w:val="Numbered111a"/>
      </w:pPr>
      <w:r w:rsidRPr="00B224EC">
        <w:t>th</w:t>
      </w:r>
      <w:r w:rsidRPr="00A22C54">
        <w:t xml:space="preserve">e Exclusive Assets that are not Transferable Assets; and </w:t>
      </w:r>
    </w:p>
    <w:p w14:paraId="0C552BFE" w14:textId="77777777" w:rsidR="00F67E9E" w:rsidRPr="00B224EC" w:rsidRDefault="00F67E9E" w:rsidP="00F67E9E">
      <w:pPr>
        <w:pStyle w:val="Numbered111a"/>
      </w:pPr>
      <w:r w:rsidRPr="00A22C54">
        <w:t>the</w:t>
      </w:r>
      <w:r w:rsidRPr="00B224EC">
        <w:t xml:space="preserve"> Non-Exclusive Assets,</w:t>
      </w:r>
    </w:p>
    <w:p w14:paraId="3A857987" w14:textId="77777777" w:rsidR="00F67E9E" w:rsidRPr="00B224EC" w:rsidRDefault="00F67E9E" w:rsidP="00F67E9E">
      <w:pPr>
        <w:pStyle w:val="StdBodyText5"/>
        <w:ind w:left="1800"/>
        <w:rPr>
          <w:rFonts w:cs="Arial"/>
        </w:rPr>
      </w:pPr>
      <w:r w:rsidRPr="00B224EC">
        <w:rPr>
          <w:rFonts w:cs="Arial"/>
        </w:rPr>
        <w:t>the Authority and/or the Replacement Supplier requires the continued use of; and</w:t>
      </w:r>
    </w:p>
    <w:p w14:paraId="2D940A1C" w14:textId="77777777" w:rsidR="00F67E9E" w:rsidRPr="00B224EC" w:rsidRDefault="00F67E9E" w:rsidP="00F67E9E">
      <w:pPr>
        <w:pStyle w:val="Numbered111"/>
      </w:pPr>
      <w:bookmarkStart w:id="1713" w:name="_Ref_ContractCompanion_9kb9Us8FA"/>
      <w:bookmarkStart w:id="1714" w:name="_9kR3WTrAG9CJGHHmu1okkrqjsHJ1ho2zIByB8t5"/>
      <w:bookmarkStart w:id="1715" w:name="_9kR3WTr344DHHLHmu1okkrqjsHJ1ho2zIByB8t5"/>
      <w:r w:rsidRPr="00B224EC">
        <w:t xml:space="preserve">which, if any, of Transferable Contracts the Authority requires to be assigned or novated to the Authority and/or the Replacement Supplier (the </w:t>
      </w:r>
      <w:r>
        <w:t>“</w:t>
      </w:r>
      <w:bookmarkStart w:id="1716" w:name="_9kMHG5YVt4CE9EGebpm5ylyC410QTBHM4qA"/>
      <w:r w:rsidRPr="00B224EC">
        <w:rPr>
          <w:rStyle w:val="StdBodyTextBoldChar"/>
          <w:rFonts w:eastAsia="Arial" w:cs="Arial"/>
        </w:rPr>
        <w:t>Transferring Contracts</w:t>
      </w:r>
      <w:bookmarkEnd w:id="1716"/>
      <w:r>
        <w:t>”</w:t>
      </w:r>
      <w:r w:rsidRPr="00B224EC">
        <w:t>),</w:t>
      </w:r>
      <w:bookmarkEnd w:id="1713"/>
      <w:bookmarkEnd w:id="1714"/>
      <w:bookmarkEnd w:id="1715"/>
    </w:p>
    <w:p w14:paraId="23549463" w14:textId="77777777" w:rsidR="00F67E9E" w:rsidRPr="00B224EC" w:rsidRDefault="00F67E9E" w:rsidP="00F67E9E">
      <w:pPr>
        <w:pStyle w:val="StdBodyText2"/>
        <w:rPr>
          <w:rFonts w:cs="Arial"/>
        </w:rPr>
      </w:pPr>
      <w:r w:rsidRPr="00B224EC">
        <w:rPr>
          <w:rFonts w:cs="Arial"/>
        </w:rPr>
        <w:t>in order for the Authority and/or its Replacement Supplier to provide the Services from the expiry of the Termination Assistance Period.</w:t>
      </w:r>
      <w:r>
        <w:rPr>
          <w:rFonts w:cs="Arial"/>
        </w:rPr>
        <w:t xml:space="preserve"> </w:t>
      </w:r>
      <w:r w:rsidRPr="00B224EC">
        <w:rPr>
          <w:rFonts w:cs="Arial"/>
        </w:rPr>
        <w:t>Where requested by the Authority and/or its Replacement Supplier, the Supplier shall provide all reasonable assistance to the Authority and/or its Replacement Supplier to enable it to determine which Transferable Assets and Transferable Contracts the Authority and/or its Replacement Supplier requires to provide the Services or Replacement Services.</w:t>
      </w:r>
      <w:r>
        <w:rPr>
          <w:rFonts w:cs="Arial"/>
        </w:rPr>
        <w:t xml:space="preserve"> </w:t>
      </w:r>
      <w:r w:rsidRPr="00B224EC">
        <w:t>Where requested by the Supplier, the Authority and/or its Replacement Supplier shall discuss in good faith with the Supplier which Transferable Contracts are used by the Supplier in matters unconnected to the Services or Replacement Services. </w:t>
      </w:r>
    </w:p>
    <w:p w14:paraId="7ECD66FD" w14:textId="77777777" w:rsidR="00F67E9E" w:rsidRPr="00B224EC" w:rsidRDefault="00F67E9E" w:rsidP="00F67E9E">
      <w:pPr>
        <w:pStyle w:val="Numbered11"/>
      </w:pPr>
      <w:r w:rsidRPr="00B224EC">
        <w:t>With effect from the expiry of the Termination Assistance Period, the Supplier shall sell the Transferring Assets to the Authority and/or its nominated Replacement Supplier for a consideration equal to their Net Book Value, except where:</w:t>
      </w:r>
    </w:p>
    <w:p w14:paraId="28F4EDA0" w14:textId="77777777" w:rsidR="00F67E9E" w:rsidRPr="00436D9D" w:rsidRDefault="00F67E9E" w:rsidP="00F67E9E">
      <w:pPr>
        <w:pStyle w:val="Numbered111"/>
      </w:pPr>
      <w:r w:rsidRPr="00B224EC">
        <w:t xml:space="preserve">a Termination Payment is payable by the Authority to the Supplier, in which case, payment for </w:t>
      </w:r>
      <w:r w:rsidRPr="00436D9D">
        <w:t>such Assets shall be included within the Termination Payment; or</w:t>
      </w:r>
    </w:p>
    <w:p w14:paraId="574CD463" w14:textId="77777777" w:rsidR="00F67E9E" w:rsidRPr="00B224EC" w:rsidRDefault="00F67E9E" w:rsidP="00F67E9E">
      <w:pPr>
        <w:pStyle w:val="Numbered111"/>
      </w:pPr>
      <w:r w:rsidRPr="00436D9D">
        <w:t>the cost of the Tra</w:t>
      </w:r>
      <w:r w:rsidRPr="00B224EC">
        <w:t xml:space="preserve">nsferring Asset has been partially or fully paid for through the Charges at the time of expiry or termination of this Contract, in which case the Authority shall pay the Supplier the Net Book Value of the Transferring Asset less the amount already paid through the Charges. </w:t>
      </w:r>
    </w:p>
    <w:p w14:paraId="397CBBD2" w14:textId="77777777" w:rsidR="00F67E9E" w:rsidRPr="00B224EC" w:rsidRDefault="00F67E9E" w:rsidP="00F67E9E">
      <w:pPr>
        <w:pStyle w:val="Numbered11"/>
      </w:pPr>
      <w:r w:rsidRPr="00B224EC">
        <w:lastRenderedPageBreak/>
        <w:t>Risk in the Transferring Assets shall pass to the Authority or the Replacement Supplier (as appropriate) at the end of the Termination Assistance Period and title to the Transferring Assets shall pass to the Authority or the Replacement Supplier (as appropriate) on payment for the same.</w:t>
      </w:r>
    </w:p>
    <w:p w14:paraId="013E49AD" w14:textId="5533EE77" w:rsidR="00F67E9E" w:rsidRPr="00B224EC" w:rsidRDefault="00F67E9E" w:rsidP="00F67E9E">
      <w:pPr>
        <w:pStyle w:val="Numbered11"/>
      </w:pPr>
      <w:bookmarkStart w:id="1717" w:name="_Ref_ContractCompanion_9kb9Ur07G"/>
      <w:r w:rsidRPr="00B224EC">
        <w:t xml:space="preserve">Where the Supplier is notified in accordance with </w:t>
      </w:r>
      <w:bookmarkStart w:id="1718" w:name="_9kMHG5YVtCIBELIJJow3qmmtsluJL3jq41KD0DA"/>
      <w:r w:rsidRPr="00B224EC">
        <w:t xml:space="preserve">Paragraph </w:t>
      </w:r>
      <w:r w:rsidRPr="00B224EC">
        <w:fldChar w:fldCharType="begin"/>
      </w:r>
      <w:r w:rsidRPr="00B224EC">
        <w:instrText xml:space="preserve"> REF _Ref_ContractCompanion_9kb9Us8FA \w \h \t \* MERGEFORMAT </w:instrText>
      </w:r>
      <w:r w:rsidRPr="00B224EC">
        <w:fldChar w:fldCharType="separate"/>
      </w:r>
      <w:bookmarkStart w:id="1719" w:name="_9kMHG5YVt566FJJNJow3qmmtsluJL3jq41KD0DA"/>
      <w:r w:rsidR="007A1473">
        <w:t>7.2.3</w:t>
      </w:r>
      <w:bookmarkEnd w:id="1719"/>
      <w:r w:rsidRPr="00B224EC">
        <w:fldChar w:fldCharType="end"/>
      </w:r>
      <w:bookmarkEnd w:id="1718"/>
      <w:r w:rsidRPr="00B224EC">
        <w:t xml:space="preserve"> that the Authority and/or the Replacement Supplier requires continued use of any Exclusive Assets that are not Transferable Assets or any Non-Exclusive Assets, the Supplier shall as soon as reasonably practicable:</w:t>
      </w:r>
      <w:bookmarkEnd w:id="1717"/>
    </w:p>
    <w:p w14:paraId="4D9D11EB" w14:textId="77777777" w:rsidR="00F67E9E" w:rsidRPr="00B224EC" w:rsidRDefault="00F67E9E" w:rsidP="00F67E9E">
      <w:pPr>
        <w:pStyle w:val="Numbered111"/>
      </w:pPr>
      <w:r w:rsidRPr="00B224EC">
        <w:t>procure a non-exclusive, perpetual, royalty-free licence (or licence on such other terms that have been agreed by the Authority) for the Authority and/or the Replacement Supplier to use such assets (with a right of sub-licence or assignment on the same terms); or failing which</w:t>
      </w:r>
    </w:p>
    <w:p w14:paraId="1DC53453" w14:textId="77777777" w:rsidR="00F67E9E" w:rsidRPr="00B224EC" w:rsidRDefault="00F67E9E" w:rsidP="00F67E9E">
      <w:pPr>
        <w:pStyle w:val="Numbered111"/>
      </w:pPr>
      <w:r w:rsidRPr="00B224EC">
        <w:t>procure a suitable alternative to such assets and the Authority or the Replacement Supplier shall bear the reasonable proven costs of procuring the same.</w:t>
      </w:r>
    </w:p>
    <w:p w14:paraId="31750BD3" w14:textId="77777777" w:rsidR="00F67E9E" w:rsidRPr="00B224EC" w:rsidRDefault="00F67E9E" w:rsidP="00F67E9E">
      <w:pPr>
        <w:pStyle w:val="Numbered11"/>
      </w:pPr>
      <w:bookmarkStart w:id="1720" w:name="_9kR3WTrAG9CJJKLiRjVgA63xr1G7qv7x5OLII5B"/>
      <w:bookmarkStart w:id="1721" w:name="_Ref_ContractCompanion_9kb9Us8FD"/>
      <w:r w:rsidRPr="00B224EC">
        <w:t>The Supplier shall as soon as reasonably practicable assign or procure the novation to the Authority and/or the Replacement Supplier of the Transferring Contracts.</w:t>
      </w:r>
      <w:bookmarkEnd w:id="1720"/>
      <w:r>
        <w:t xml:space="preserve"> </w:t>
      </w:r>
      <w:r w:rsidRPr="00B224EC">
        <w:t>The Supplier shall execute such documents and provide such other assistance as the Authority reasonably requires to effect this novation or assignment.</w:t>
      </w:r>
      <w:bookmarkEnd w:id="1721"/>
    </w:p>
    <w:p w14:paraId="725375EA" w14:textId="77777777" w:rsidR="00F67E9E" w:rsidRPr="00B224EC" w:rsidRDefault="00F67E9E" w:rsidP="00F67E9E">
      <w:pPr>
        <w:pStyle w:val="Numbered11"/>
        <w:keepNext/>
      </w:pPr>
      <w:r w:rsidRPr="00B224EC">
        <w:t>The Authority shall:</w:t>
      </w:r>
    </w:p>
    <w:p w14:paraId="06DF912A" w14:textId="77777777" w:rsidR="00F67E9E" w:rsidRPr="00B224EC" w:rsidRDefault="00F67E9E" w:rsidP="00F67E9E">
      <w:pPr>
        <w:pStyle w:val="Numbered111"/>
      </w:pPr>
      <w:r w:rsidRPr="00B224EC">
        <w:t xml:space="preserve">accept assignments from the Supplier or join with the Supplier in procuring a novation of each </w:t>
      </w:r>
      <w:bookmarkStart w:id="1722" w:name="_9kMIH5YVt4CE9EGebpm5ylyC410QTBHM4qA"/>
      <w:r w:rsidRPr="00B224EC">
        <w:t>Transferring Contract</w:t>
      </w:r>
      <w:bookmarkEnd w:id="1722"/>
      <w:r w:rsidRPr="00B224EC">
        <w:t>; and</w:t>
      </w:r>
    </w:p>
    <w:p w14:paraId="49D0B52D" w14:textId="77777777" w:rsidR="00F67E9E" w:rsidRPr="00B224EC" w:rsidRDefault="00F67E9E" w:rsidP="00F67E9E">
      <w:pPr>
        <w:pStyle w:val="Numbered111"/>
      </w:pPr>
      <w:r w:rsidRPr="00B224EC">
        <w:t xml:space="preserve">once a </w:t>
      </w:r>
      <w:bookmarkStart w:id="1723" w:name="_9kMJI5YVt4CE9EGebpm5ylyC410QTBHM4qA"/>
      <w:r w:rsidRPr="00B224EC">
        <w:t>Transferring Contract</w:t>
      </w:r>
      <w:bookmarkEnd w:id="1723"/>
      <w:r w:rsidRPr="00B224EC">
        <w:t xml:space="preserve"> is novated or assigned to the Authority and/or the Replacement Supplier, carry out, perform and discharge all the obligations and liabilities created by or arising under that </w:t>
      </w:r>
      <w:bookmarkStart w:id="1724" w:name="_9kMKJ5YVt4CE9EGebpm5ylyC410QTBHM4qA"/>
      <w:r w:rsidRPr="00B224EC">
        <w:t>Transferring Contract</w:t>
      </w:r>
      <w:bookmarkEnd w:id="1724"/>
      <w:r w:rsidRPr="00B224EC">
        <w:t xml:space="preserve"> and exercise its rights arising under that </w:t>
      </w:r>
      <w:bookmarkStart w:id="1725" w:name="_9kMLK5YVt4CE9EGebpm5ylyC410QTBHM4qA"/>
      <w:r w:rsidRPr="00B224EC">
        <w:t>Transferring Contract</w:t>
      </w:r>
      <w:bookmarkEnd w:id="1725"/>
      <w:r w:rsidRPr="00B224EC">
        <w:t>, or as applicable, procure that the Replacement Supplier does the same.</w:t>
      </w:r>
    </w:p>
    <w:p w14:paraId="66C34CAC" w14:textId="77777777" w:rsidR="00F67E9E" w:rsidRPr="00B224EC" w:rsidRDefault="00F67E9E" w:rsidP="00F67E9E">
      <w:pPr>
        <w:pStyle w:val="Numbered11"/>
      </w:pPr>
      <w:r w:rsidRPr="00B224EC">
        <w:t xml:space="preserve">The Supplier shall hold any </w:t>
      </w:r>
      <w:bookmarkStart w:id="1726" w:name="_9kMML5YVt4CE9EGebpm5ylyC410QTBHM4qA"/>
      <w:r w:rsidRPr="00B224EC">
        <w:t>Transferring Contracts</w:t>
      </w:r>
      <w:bookmarkEnd w:id="1726"/>
      <w:r w:rsidRPr="00B224EC">
        <w:t xml:space="preserve"> on trust for the Authority until such time as the transfer of the relevant </w:t>
      </w:r>
      <w:bookmarkStart w:id="1727" w:name="_9kR3WTr2AC7CDbZnk3wjwA2zyOR9FK2o8QMNH3X"/>
      <w:r w:rsidRPr="00B224EC">
        <w:t>Transferring Contract to the Authority</w:t>
      </w:r>
      <w:bookmarkEnd w:id="1727"/>
      <w:r w:rsidRPr="00B224EC">
        <w:t xml:space="preserve"> and/or the Replacement Supplier has been effected.</w:t>
      </w:r>
    </w:p>
    <w:p w14:paraId="6D614DB4" w14:textId="52296F85" w:rsidR="00F67E9E" w:rsidRPr="00B224EC" w:rsidRDefault="00F67E9E" w:rsidP="00F67E9E">
      <w:pPr>
        <w:pStyle w:val="Numbered11"/>
      </w:pPr>
      <w:r w:rsidRPr="00B224EC">
        <w:t xml:space="preserve">The Supplier shall indemnify the Authority (and/or the Replacement Supplier, as applicable) against each loss, liability and cost arising out of any claims made by a counterparty to a </w:t>
      </w:r>
      <w:bookmarkStart w:id="1728" w:name="_9kMNM5YVt4CE9EGebpm5ylyC410QTBHM4qA"/>
      <w:r w:rsidRPr="00B224EC">
        <w:t>Transferring Contract</w:t>
      </w:r>
      <w:bookmarkEnd w:id="1728"/>
      <w:r w:rsidRPr="00B224EC">
        <w:t xml:space="preserve"> which is assigned or novated to the Authority (and/or Replacement Supplier) pursuant to </w:t>
      </w:r>
      <w:bookmarkStart w:id="1729" w:name="_9kMHG5YVtCIBELLMNkTlXiC85zt3I9sx9z7QNKK"/>
      <w:r w:rsidRPr="00B224EC">
        <w:t xml:space="preserve">Paragraph </w:t>
      </w:r>
      <w:r w:rsidRPr="00B224EC">
        <w:fldChar w:fldCharType="begin"/>
      </w:r>
      <w:r w:rsidRPr="00B224EC">
        <w:instrText xml:space="preserve"> REF _Ref_ContractCompanion_9kb9Us8FD \n \h \t \* MERGEFORMAT </w:instrText>
      </w:r>
      <w:r w:rsidRPr="00B224EC">
        <w:fldChar w:fldCharType="separate"/>
      </w:r>
      <w:r w:rsidR="007A1473">
        <w:t>7.6</w:t>
      </w:r>
      <w:r w:rsidRPr="00B224EC">
        <w:fldChar w:fldCharType="end"/>
      </w:r>
      <w:bookmarkEnd w:id="1729"/>
      <w:r w:rsidRPr="00B224EC">
        <w:t xml:space="preserve"> both: </w:t>
      </w:r>
    </w:p>
    <w:p w14:paraId="48EEEFD2" w14:textId="77777777" w:rsidR="00F67E9E" w:rsidRPr="00436D9D" w:rsidRDefault="00F67E9E" w:rsidP="00F67E9E">
      <w:pPr>
        <w:pStyle w:val="Numbered111"/>
      </w:pPr>
      <w:r w:rsidRPr="00B224EC">
        <w:t xml:space="preserve">in relation to any matters arising prior to the date of assignment or novation of such </w:t>
      </w:r>
      <w:r w:rsidRPr="00436D9D">
        <w:t>Sub-contract; and</w:t>
      </w:r>
    </w:p>
    <w:p w14:paraId="117327D4" w14:textId="30504363" w:rsidR="00F67E9E" w:rsidRPr="00B224EC" w:rsidRDefault="00F67E9E" w:rsidP="00F67E9E">
      <w:pPr>
        <w:pStyle w:val="Numbered111"/>
      </w:pPr>
      <w:r w:rsidRPr="00436D9D">
        <w:t>in relation to any matters arising after the date of assignment or novation of such Sub-contract</w:t>
      </w:r>
      <w:r w:rsidRPr="00B224EC">
        <w:t xml:space="preserve"> where the loss, liability or cost arises as a result of the Supplier</w:t>
      </w:r>
      <w:r>
        <w:t>’</w:t>
      </w:r>
      <w:r w:rsidRPr="00B224EC">
        <w:t xml:space="preserve">s failure to comply with </w:t>
      </w:r>
      <w:bookmarkStart w:id="1730" w:name="_9kMJI5YVtCIA6EMQo2u5uINXK2vzz6H24KQPC74"/>
      <w:r w:rsidRPr="00B224EC">
        <w:t>Clause 16</w:t>
      </w:r>
      <w:bookmarkEnd w:id="1730"/>
      <w:r w:rsidRPr="00B224EC">
        <w:t xml:space="preserve"> (</w:t>
      </w:r>
      <w:r w:rsidRPr="00B224EC">
        <w:rPr>
          <w:i/>
        </w:rPr>
        <w:t>Intellectual Property Rights</w:t>
      </w:r>
      <w:r w:rsidRPr="00B224EC">
        <w:t xml:space="preserve">) and/or </w:t>
      </w:r>
      <w:r>
        <w:fldChar w:fldCharType="begin"/>
      </w:r>
      <w:r>
        <w:instrText xml:space="preserve"> REF Schedule32 \h </w:instrText>
      </w:r>
      <w:r>
        <w:fldChar w:fldCharType="separate"/>
      </w:r>
      <w:r w:rsidR="007A1473" w:rsidRPr="00477926">
        <w:t>Schedule</w:t>
      </w:r>
      <w:r w:rsidR="007A1473">
        <w:t> </w:t>
      </w:r>
      <w:r w:rsidR="007A1473" w:rsidRPr="00477926">
        <w:t>32</w:t>
      </w:r>
      <w:r>
        <w:fldChar w:fldCharType="end"/>
      </w:r>
      <w:r w:rsidRPr="005356F1">
        <w:rPr>
          <w:rStyle w:val="StdBodyTextBoldChar"/>
          <w:rFonts w:eastAsiaTheme="majorEastAsia" w:cs="Arial"/>
          <w:b w:val="0"/>
          <w:bCs/>
          <w:lang w:eastAsia="en-US"/>
        </w:rPr>
        <w:t xml:space="preserve"> </w:t>
      </w:r>
      <w:r w:rsidRPr="002F79D9">
        <w:rPr>
          <w:rStyle w:val="StdBodyTextBoldChar"/>
          <w:rFonts w:eastAsiaTheme="majorEastAsia" w:cs="Arial"/>
          <w:b w:val="0"/>
          <w:bCs/>
          <w:i/>
          <w:iCs/>
          <w:lang w:eastAsia="en-US"/>
        </w:rPr>
        <w:t>(</w:t>
      </w:r>
      <w:r w:rsidRPr="002F79D9">
        <w:rPr>
          <w:rStyle w:val="StdBodyTextBoldChar"/>
          <w:rFonts w:eastAsiaTheme="majorEastAsia" w:cs="Arial"/>
          <w:b w:val="0"/>
          <w:bCs/>
          <w:i/>
          <w:iCs/>
          <w:lang w:eastAsia="en-US"/>
        </w:rPr>
        <w:fldChar w:fldCharType="begin"/>
      </w:r>
      <w:r w:rsidRPr="002F79D9">
        <w:rPr>
          <w:rStyle w:val="StdBodyTextBoldChar"/>
          <w:rFonts w:eastAsiaTheme="majorEastAsia" w:cs="Arial"/>
          <w:b w:val="0"/>
          <w:bCs/>
          <w:i/>
          <w:iCs/>
          <w:lang w:eastAsia="en-US"/>
        </w:rPr>
        <w:instrText xml:space="preserve"> REF Schedule32Heading \h </w:instrText>
      </w:r>
      <w:r>
        <w:rPr>
          <w:rStyle w:val="StdBodyTextBoldChar"/>
          <w:rFonts w:eastAsiaTheme="majorEastAsia" w:cs="Arial"/>
          <w:b w:val="0"/>
          <w:bCs/>
          <w:i/>
          <w:iCs/>
          <w:lang w:eastAsia="en-US"/>
        </w:rPr>
        <w:instrText xml:space="preserve"> \* MERGEFORMAT </w:instrText>
      </w:r>
      <w:r w:rsidRPr="002F79D9">
        <w:rPr>
          <w:rStyle w:val="StdBodyTextBoldChar"/>
          <w:rFonts w:eastAsiaTheme="majorEastAsia" w:cs="Arial"/>
          <w:b w:val="0"/>
          <w:bCs/>
          <w:i/>
          <w:iCs/>
          <w:lang w:eastAsia="en-US"/>
        </w:rPr>
      </w:r>
      <w:r w:rsidRPr="002F79D9">
        <w:rPr>
          <w:rStyle w:val="StdBodyTextBoldChar"/>
          <w:rFonts w:eastAsiaTheme="majorEastAsia" w:cs="Arial"/>
          <w:b w:val="0"/>
          <w:bCs/>
          <w:i/>
          <w:iCs/>
          <w:lang w:eastAsia="en-US"/>
        </w:rPr>
        <w:fldChar w:fldCharType="separate"/>
      </w:r>
      <w:r w:rsidR="007A1473" w:rsidRPr="007A1473">
        <w:rPr>
          <w:i/>
          <w:iCs/>
        </w:rPr>
        <w:t>Intellectual Property Rights</w:t>
      </w:r>
      <w:r w:rsidRPr="002F79D9">
        <w:rPr>
          <w:rStyle w:val="StdBodyTextBoldChar"/>
          <w:rFonts w:eastAsiaTheme="majorEastAsia" w:cs="Arial"/>
          <w:b w:val="0"/>
          <w:bCs/>
          <w:i/>
          <w:iCs/>
          <w:lang w:eastAsia="en-US"/>
        </w:rPr>
        <w:fldChar w:fldCharType="end"/>
      </w:r>
      <w:r w:rsidRPr="005356F1">
        <w:rPr>
          <w:rStyle w:val="StdBodyTextBoldChar"/>
          <w:rFonts w:eastAsiaTheme="majorEastAsia" w:cs="Arial"/>
          <w:b w:val="0"/>
          <w:bCs/>
          <w:lang w:eastAsia="en-US"/>
        </w:rPr>
        <w:t>)</w:t>
      </w:r>
      <w:r w:rsidRPr="00DD4CC2">
        <w:rPr>
          <w:iCs/>
        </w:rPr>
        <w:t>.</w:t>
      </w:r>
    </w:p>
    <w:p w14:paraId="09CBB002" w14:textId="77777777" w:rsidR="00F67E9E" w:rsidRPr="00B224EC" w:rsidRDefault="00F67E9E" w:rsidP="00F67E9E">
      <w:pPr>
        <w:pStyle w:val="Numbered1"/>
      </w:pPr>
      <w:r w:rsidRPr="00B224EC">
        <w:lastRenderedPageBreak/>
        <w:t>Supplier Personnel</w:t>
      </w:r>
    </w:p>
    <w:p w14:paraId="662BF4D9" w14:textId="7FC94043" w:rsidR="00F67E9E" w:rsidRPr="00B224EC" w:rsidRDefault="00F67E9E" w:rsidP="00F67E9E">
      <w:pPr>
        <w:pStyle w:val="Numbered11"/>
      </w:pPr>
      <w:r w:rsidRPr="00B224EC">
        <w:t xml:space="preserve">The Authority and Supplier agree and acknowledge that in the event of the Supplier ceasing to provide the Services or part of them for any reason, </w:t>
      </w:r>
      <w:r>
        <w:rPr>
          <w:rFonts w:cs="Arial"/>
        </w:rPr>
        <w:fldChar w:fldCharType="begin"/>
      </w:r>
      <w:r>
        <w:rPr>
          <w:rFonts w:cs="Arial"/>
        </w:rPr>
        <w:instrText xml:space="preserve"> REF Schedule28 \h </w:instrText>
      </w:r>
      <w:r>
        <w:rPr>
          <w:rFonts w:cs="Arial"/>
        </w:rPr>
      </w:r>
      <w:r>
        <w:rPr>
          <w:rFonts w:cs="Arial"/>
        </w:rPr>
        <w:fldChar w:fldCharType="separate"/>
      </w:r>
      <w:r w:rsidR="007A1473" w:rsidRPr="005D0525">
        <w:t>Schedule</w:t>
      </w:r>
      <w:r w:rsidR="007A1473">
        <w:t> </w:t>
      </w:r>
      <w:r w:rsidR="007A1473" w:rsidRPr="005D0525">
        <w:t>28</w:t>
      </w:r>
      <w:r>
        <w:rPr>
          <w:rFonts w:cs="Arial"/>
        </w:rPr>
        <w:fldChar w:fldCharType="end"/>
      </w:r>
      <w:r>
        <w:rPr>
          <w:rFonts w:cs="Arial"/>
        </w:rPr>
        <w:t xml:space="preserve"> (</w:t>
      </w:r>
      <w:r w:rsidRPr="006F064F">
        <w:rPr>
          <w:rFonts w:cs="Arial"/>
          <w:i/>
          <w:iCs/>
        </w:rPr>
        <w:fldChar w:fldCharType="begin"/>
      </w:r>
      <w:r w:rsidRPr="006F064F">
        <w:rPr>
          <w:rFonts w:cs="Arial"/>
          <w:i/>
          <w:iCs/>
        </w:rPr>
        <w:instrText xml:space="preserve"> REF Schedule28Heading \h </w:instrText>
      </w:r>
      <w:r>
        <w:rPr>
          <w:rFonts w:cs="Arial"/>
          <w:i/>
          <w:iCs/>
        </w:rPr>
        <w:instrText xml:space="preserve"> \* MERGEFORMAT </w:instrText>
      </w:r>
      <w:r w:rsidRPr="006F064F">
        <w:rPr>
          <w:rFonts w:cs="Arial"/>
          <w:i/>
          <w:iCs/>
        </w:rPr>
      </w:r>
      <w:r w:rsidRPr="006F064F">
        <w:rPr>
          <w:rFonts w:cs="Arial"/>
          <w:i/>
          <w:iCs/>
        </w:rPr>
        <w:fldChar w:fldCharType="separate"/>
      </w:r>
      <w:r w:rsidR="007A1473" w:rsidRPr="007A1473">
        <w:rPr>
          <w:i/>
          <w:iCs/>
        </w:rPr>
        <w:t>Staff Transfer</w:t>
      </w:r>
      <w:r w:rsidRPr="006F064F">
        <w:rPr>
          <w:rFonts w:cs="Arial"/>
          <w:i/>
          <w:iCs/>
        </w:rPr>
        <w:fldChar w:fldCharType="end"/>
      </w:r>
      <w:r>
        <w:rPr>
          <w:rFonts w:cs="Arial"/>
        </w:rPr>
        <w:t>)</w:t>
      </w:r>
      <w:r w:rsidRPr="00B224EC">
        <w:t xml:space="preserve"> shall apply.</w:t>
      </w:r>
    </w:p>
    <w:p w14:paraId="3F5D048B" w14:textId="77777777" w:rsidR="00F67E9E" w:rsidRPr="00B224EC" w:rsidRDefault="00F67E9E" w:rsidP="00F67E9E">
      <w:pPr>
        <w:pStyle w:val="Numbered11"/>
      </w:pPr>
      <w:r w:rsidRPr="00B224EC">
        <w:t>The Supplier shall not take any step (expressly or implicitly or directly or indirectly by itself or through any other person) to dissuade or discourage any employees engaged in the provision of the Services from transferring their employment to the Authority and/or the Replacement Supplier.</w:t>
      </w:r>
    </w:p>
    <w:p w14:paraId="6E842EEC" w14:textId="77777777" w:rsidR="00F67E9E" w:rsidRPr="00B224EC" w:rsidRDefault="00F67E9E" w:rsidP="00F67E9E">
      <w:pPr>
        <w:pStyle w:val="Numbered11"/>
      </w:pPr>
      <w:r w:rsidRPr="00B224EC">
        <w:t>During the Termination Assistance Period, the Supplier shall give the Authority and/or the Replacement Supplier reasonable access to the Supplier</w:t>
      </w:r>
      <w:r>
        <w:t>’</w:t>
      </w:r>
      <w:r w:rsidRPr="00B224EC">
        <w:t>s personnel to present the case for transferring their employment to the Authority and/or the Replacement Supplier.</w:t>
      </w:r>
    </w:p>
    <w:p w14:paraId="6008F930" w14:textId="77777777" w:rsidR="00F67E9E" w:rsidRPr="00B224EC" w:rsidRDefault="00F67E9E" w:rsidP="00F67E9E">
      <w:pPr>
        <w:pStyle w:val="Numbered11"/>
      </w:pPr>
      <w:r w:rsidRPr="00B224EC">
        <w:t>The Supplier shall immediately notify the Authority or, at the direction of the Authority, the Replacement Supplier of any period of notice given by the Supplier or received from any person referred to in the Staffing Information, regardless of when such notice takes effect.</w:t>
      </w:r>
    </w:p>
    <w:p w14:paraId="534C7E2D" w14:textId="77777777" w:rsidR="00F67E9E" w:rsidRPr="00B224EC" w:rsidRDefault="00F67E9E" w:rsidP="00F67E9E">
      <w:pPr>
        <w:pStyle w:val="Numbered11"/>
      </w:pPr>
      <w:r w:rsidRPr="00B224EC">
        <w:t>The Supplier shall not for a period of 12 months from the date of transfer re-employ or re-engage or entice any employees, suppliers or Sub-contractors whose employment or engagement is transferred to the Authority and/or the Replacement Supplier, except that this Paragraph shall not apply where the employee, supplier or Sub-contractor applies in response to a public advertisement of a vacancy.</w:t>
      </w:r>
    </w:p>
    <w:p w14:paraId="38917916" w14:textId="77777777" w:rsidR="00F67E9E" w:rsidRPr="00B224EC" w:rsidRDefault="00F67E9E" w:rsidP="00F67E9E">
      <w:pPr>
        <w:pStyle w:val="Numbered1"/>
      </w:pPr>
      <w:r w:rsidRPr="00B224EC">
        <w:t>Charges</w:t>
      </w:r>
    </w:p>
    <w:p w14:paraId="3FDF1AAF" w14:textId="77777777" w:rsidR="00F67E9E" w:rsidRPr="00B224EC" w:rsidRDefault="00F67E9E" w:rsidP="00F67E9E">
      <w:pPr>
        <w:pStyle w:val="Numbered11"/>
      </w:pPr>
      <w:r w:rsidRPr="00B224EC">
        <w:t>During the Termination Assistance Period (or for such shorter period as the Authority may require the Supplier to provide the Termination Services), the Authority shall pay the Charges to the Supplier in respect of the Termination Services in accordance with the rates set out in the Exit Plan (but shall not be required to pay costs in excess of the estimate set out in the Exit Plan). If the scope or timing of the Termination Services is changed and this results in a change to the costs of such Termination Services, the estimate may be varied in accordance with the Change Control Procedure.</w:t>
      </w:r>
    </w:p>
    <w:p w14:paraId="6D0F6F4F" w14:textId="098FAD9B" w:rsidR="00F67E9E" w:rsidRPr="00DF3219" w:rsidRDefault="00F67E9E" w:rsidP="00F67E9E">
      <w:pPr>
        <w:pStyle w:val="Numbered11"/>
      </w:pPr>
      <w:r w:rsidRPr="00B224EC">
        <w:t xml:space="preserve">Where the Authority requests an extension to the Termination Services beyond the Termination Assistance Period in accordance with </w:t>
      </w:r>
      <w:bookmarkStart w:id="1731" w:name="_9kMHG5YVtCIBELOOIgTlFQG40B69QQAtyA7xCH"/>
      <w:r w:rsidRPr="00B224EC">
        <w:t>Paragraph</w:t>
      </w:r>
      <w:r w:rsidRPr="00DF3219">
        <w:t xml:space="preserve"> </w:t>
      </w:r>
      <w:r w:rsidRPr="00DF3219">
        <w:fldChar w:fldCharType="begin"/>
      </w:r>
      <w:r w:rsidRPr="00DF3219">
        <w:instrText xml:space="preserve"> REF _Ref_ContractCompanion_9kb9Us8FG \n \h \t \* MERGEFORMAT </w:instrText>
      </w:r>
      <w:r w:rsidRPr="00DF3219">
        <w:fldChar w:fldCharType="separate"/>
      </w:r>
      <w:r w:rsidR="007A1473">
        <w:t>6.2</w:t>
      </w:r>
      <w:r w:rsidRPr="00DF3219">
        <w:fldChar w:fldCharType="end"/>
      </w:r>
      <w:bookmarkEnd w:id="1731"/>
      <w:r w:rsidRPr="00DF3219">
        <w:t xml:space="preserve">: </w:t>
      </w:r>
    </w:p>
    <w:p w14:paraId="042E0B56" w14:textId="77777777" w:rsidR="00F67E9E" w:rsidRPr="00DF3219" w:rsidRDefault="00F67E9E" w:rsidP="00F67E9E">
      <w:pPr>
        <w:pStyle w:val="Numbered111"/>
      </w:pPr>
      <w:r w:rsidRPr="00DF3219">
        <w:t>where more than 6 months</w:t>
      </w:r>
      <w:r>
        <w:t>’</w:t>
      </w:r>
      <w:r w:rsidRPr="00DF3219">
        <w:t xml:space="preserve"> notice is provided, the same rate as set out in the Exit Plan (or the Charges when not stated in the Exit Plan) shall be payable; and</w:t>
      </w:r>
    </w:p>
    <w:p w14:paraId="7575896D" w14:textId="71B12913" w:rsidR="00F67E9E" w:rsidRPr="00DF3219" w:rsidRDefault="00F67E9E" w:rsidP="00F67E9E">
      <w:pPr>
        <w:pStyle w:val="Numbered111"/>
      </w:pPr>
      <w:r w:rsidRPr="00DF3219">
        <w:t xml:space="preserve">where less than </w:t>
      </w:r>
      <w:r w:rsidR="00EA0875">
        <w:t>3</w:t>
      </w:r>
      <w:r w:rsidRPr="00DF3219">
        <w:t xml:space="preserve"> months</w:t>
      </w:r>
      <w:r>
        <w:t>’</w:t>
      </w:r>
      <w:r w:rsidRPr="00DF3219">
        <w:t xml:space="preserve"> notice is provided, no more than </w:t>
      </w:r>
      <w:bookmarkStart w:id="1732" w:name="_9kR3WTr2BCCKE8B"/>
      <w:r w:rsidRPr="00EA0875">
        <w:t>1.2</w:t>
      </w:r>
      <w:bookmarkEnd w:id="1732"/>
      <w:r w:rsidRPr="00DF3219">
        <w:t xml:space="preserve"> times the rate as set out in the Exit Plan (or the Charges when not stated in the Exit Plan) shall be payable.</w:t>
      </w:r>
    </w:p>
    <w:p w14:paraId="39261ABA" w14:textId="77777777" w:rsidR="00F67E9E" w:rsidRPr="00DF3219" w:rsidRDefault="00F67E9E" w:rsidP="00F67E9E">
      <w:pPr>
        <w:pStyle w:val="Numbered11"/>
      </w:pPr>
      <w:r w:rsidRPr="00DF3219">
        <w:t>For the purpose of calculating the costs of providing the Termination Services for inclusion in the Exit Plan or, if no Exit Plan has been agreed, the costs of providing Termination Services shall be determined in accordance with the Change Control Procedure.</w:t>
      </w:r>
    </w:p>
    <w:p w14:paraId="05DC1C6D" w14:textId="77777777" w:rsidR="00F67E9E" w:rsidRPr="00B224EC" w:rsidRDefault="00F67E9E" w:rsidP="00F67E9E">
      <w:pPr>
        <w:pStyle w:val="Numbered11"/>
      </w:pPr>
      <w:r w:rsidRPr="00B224EC">
        <w:t xml:space="preserve">Except as otherwise expressly specified in this Agreement, the Supplier shall not make any charges for the services provided by the Supplier pursuant to, and the Authority shall </w:t>
      </w:r>
      <w:r w:rsidRPr="00B224EC">
        <w:lastRenderedPageBreak/>
        <w:t>not be obliged to pay for costs incurred by the Supplier in relation to its compliance with, this Schedule including the preparation and implementation of the Exit Plan and any activities mutually agreed between the Parties to carry on after the expiry of the Termination Assistance Period.</w:t>
      </w:r>
    </w:p>
    <w:p w14:paraId="683B46AE" w14:textId="77777777" w:rsidR="00F67E9E" w:rsidRPr="00B224EC" w:rsidRDefault="00F67E9E" w:rsidP="00F67E9E">
      <w:pPr>
        <w:pStyle w:val="Numbered1"/>
      </w:pPr>
      <w:r w:rsidRPr="00B224EC">
        <w:t>Apportionments</w:t>
      </w:r>
    </w:p>
    <w:p w14:paraId="45136D2F" w14:textId="77777777" w:rsidR="00F67E9E" w:rsidRPr="00DF3219" w:rsidRDefault="00F67E9E" w:rsidP="00F67E9E">
      <w:pPr>
        <w:pStyle w:val="Numbered11"/>
      </w:pPr>
      <w:bookmarkStart w:id="1733" w:name="_Ref_ContractCompanion_9kb9Us8GB"/>
      <w:bookmarkStart w:id="1734" w:name="_9kR3WTrAG9CKHB9ALDvz9F2y11061x1tEQ87MEF"/>
      <w:r w:rsidRPr="00B224EC">
        <w:t xml:space="preserve">All outgoings and expenses (including any remuneration due) and all rents, royalties and other periodical payments receivable in respect of the </w:t>
      </w:r>
      <w:bookmarkStart w:id="1735" w:name="_9kR3WTr2AC7CFdZnk3wjwA2zyMTI57M404lu85O"/>
      <w:r w:rsidRPr="00B224EC">
        <w:t>Transferring Assets and Transferring Contracts</w:t>
      </w:r>
      <w:bookmarkEnd w:id="1735"/>
      <w:r w:rsidRPr="00DF3219">
        <w:t xml:space="preserve"> shall be apportioned between the Authority and the Supplier and/or the Replacement Supplier and the Supplier (as applicable) as follows:</w:t>
      </w:r>
      <w:bookmarkEnd w:id="1733"/>
      <w:bookmarkEnd w:id="1734"/>
    </w:p>
    <w:p w14:paraId="1550741A" w14:textId="77777777" w:rsidR="00F67E9E" w:rsidRPr="00DF3219" w:rsidRDefault="00F67E9E" w:rsidP="00F67E9E">
      <w:pPr>
        <w:pStyle w:val="Numbered111"/>
      </w:pPr>
      <w:r w:rsidRPr="00DF3219">
        <w:t>the amounts shall be annualised and divided by 365 to reach a daily rate;</w:t>
      </w:r>
    </w:p>
    <w:p w14:paraId="4A82BC9F" w14:textId="77777777" w:rsidR="00F67E9E" w:rsidRPr="00DF3219" w:rsidRDefault="00F67E9E" w:rsidP="00F67E9E">
      <w:pPr>
        <w:pStyle w:val="Numbered111"/>
      </w:pPr>
      <w:r w:rsidRPr="00DF3219">
        <w:t>the Authority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48AFBED" w14:textId="77777777" w:rsidR="00F67E9E" w:rsidRPr="00DF3219" w:rsidRDefault="00F67E9E" w:rsidP="00F67E9E">
      <w:pPr>
        <w:pStyle w:val="Numbered111"/>
      </w:pPr>
      <w:r w:rsidRPr="00DF3219">
        <w:t>the Supplier shall be responsible for or entitled to (as the case may be) the rest of the invoice.</w:t>
      </w:r>
    </w:p>
    <w:p w14:paraId="32EF769C" w14:textId="742A3BF9" w:rsidR="00F67E9E" w:rsidRPr="00B224EC" w:rsidRDefault="00F67E9E" w:rsidP="00F67E9E">
      <w:pPr>
        <w:pStyle w:val="Numbered11"/>
      </w:pPr>
      <w:r w:rsidRPr="00B224EC">
        <w:t xml:space="preserve">Each Party shall pay (and/or the Authority shall procure that the Replacement Supplier shall pay) any monies due under </w:t>
      </w:r>
      <w:bookmarkStart w:id="1736" w:name="_9kMHG5YVtCIBEMJDBCNFx1BH4033283z3vGSA9O"/>
      <w:r w:rsidRPr="00B224EC">
        <w:t xml:space="preserve">Paragraph </w:t>
      </w:r>
      <w:r w:rsidRPr="00B224EC">
        <w:fldChar w:fldCharType="begin"/>
      </w:r>
      <w:r w:rsidRPr="00B224EC">
        <w:instrText xml:space="preserve"> REF _Ref_ContractCompanion_9kb9Us8GB \n \h \t \* MERGEFORMAT </w:instrText>
      </w:r>
      <w:r w:rsidRPr="00B224EC">
        <w:fldChar w:fldCharType="separate"/>
      </w:r>
      <w:r w:rsidR="007A1473">
        <w:t>10.1</w:t>
      </w:r>
      <w:r w:rsidRPr="00B224EC">
        <w:fldChar w:fldCharType="end"/>
      </w:r>
      <w:bookmarkEnd w:id="1736"/>
      <w:r w:rsidRPr="00B224EC">
        <w:t xml:space="preserve"> as soon as reasonably practicable.</w:t>
      </w:r>
    </w:p>
    <w:p w14:paraId="27A60B66" w14:textId="77777777" w:rsidR="00F67E9E" w:rsidRDefault="00F67E9E" w:rsidP="00F67E9E"/>
    <w:p w14:paraId="281021E5" w14:textId="77777777" w:rsidR="00F67E9E" w:rsidRDefault="00F67E9E" w:rsidP="00F67E9E">
      <w:pPr>
        <w:pStyle w:val="Heading2"/>
        <w:pageBreakBefore/>
      </w:pPr>
      <w:bookmarkStart w:id="1737" w:name="_Ref_ContractCompanion_9kb9Us883"/>
      <w:bookmarkStart w:id="1738" w:name="_Toc145412808"/>
      <w:r w:rsidRPr="00B224EC">
        <w:lastRenderedPageBreak/>
        <w:t xml:space="preserve">Annex </w:t>
      </w:r>
      <w:bookmarkStart w:id="1739" w:name="ANNEX1_SCHEDULE25"/>
      <w:r w:rsidRPr="00B224EC">
        <w:t>1</w:t>
      </w:r>
      <w:bookmarkEnd w:id="1739"/>
      <w:r w:rsidRPr="00B224EC">
        <w:t xml:space="preserve">: Scope </w:t>
      </w:r>
      <w:r>
        <w:t>o</w:t>
      </w:r>
      <w:r w:rsidRPr="00B224EC">
        <w:t xml:space="preserve">f </w:t>
      </w:r>
      <w:r>
        <w:t>t</w:t>
      </w:r>
      <w:r w:rsidRPr="00B224EC">
        <w:t>he Termination Services</w:t>
      </w:r>
      <w:bookmarkEnd w:id="1737"/>
      <w:bookmarkEnd w:id="1738"/>
    </w:p>
    <w:p w14:paraId="0DF11FDE" w14:textId="77777777" w:rsidR="00F67E9E" w:rsidRPr="00B224EC" w:rsidRDefault="00F67E9E" w:rsidP="00F13933">
      <w:pPr>
        <w:pStyle w:val="AppendixText1"/>
        <w:numPr>
          <w:ilvl w:val="0"/>
          <w:numId w:val="46"/>
        </w:numPr>
      </w:pPr>
      <w:bookmarkStart w:id="1740" w:name="_Ref_ContractCompanion_9kb9Us7FG"/>
      <w:r w:rsidRPr="00F306D2">
        <w:t xml:space="preserve">Scope of the </w:t>
      </w:r>
      <w:r w:rsidRPr="00122216">
        <w:t>Termination</w:t>
      </w:r>
      <w:r w:rsidRPr="00F306D2">
        <w:t xml:space="preserve"> Services</w:t>
      </w:r>
    </w:p>
    <w:p w14:paraId="76603AAC" w14:textId="77777777" w:rsidR="00F67E9E" w:rsidRPr="00B224EC" w:rsidRDefault="00F67E9E" w:rsidP="00F67E9E">
      <w:pPr>
        <w:pStyle w:val="AppendixText2"/>
      </w:pPr>
      <w:bookmarkStart w:id="1741" w:name="_Ref99013643"/>
      <w:r w:rsidRPr="00B224EC">
        <w:t xml:space="preserve">The Termination Services to be provided by the Supplier shall include such of the following services as the </w:t>
      </w:r>
      <w:r w:rsidRPr="00122216">
        <w:t>Authority</w:t>
      </w:r>
      <w:r w:rsidRPr="00B224EC">
        <w:t xml:space="preserve"> may specify:</w:t>
      </w:r>
      <w:bookmarkEnd w:id="1740"/>
      <w:bookmarkEnd w:id="1741"/>
    </w:p>
    <w:p w14:paraId="64B7CD12" w14:textId="77777777" w:rsidR="00F67E9E" w:rsidRPr="00122216" w:rsidRDefault="00F67E9E" w:rsidP="00F67E9E">
      <w:pPr>
        <w:pStyle w:val="AppendixText3"/>
      </w:pPr>
      <w:r w:rsidRPr="00B224EC">
        <w:t xml:space="preserve">ceasing all non-critical Software changes (except where agreed in writing with the </w:t>
      </w:r>
      <w:r w:rsidRPr="00122216">
        <w:t>Authority);</w:t>
      </w:r>
    </w:p>
    <w:p w14:paraId="7A431DA7" w14:textId="77777777" w:rsidR="00F67E9E" w:rsidRPr="00122216" w:rsidRDefault="00F67E9E" w:rsidP="00F67E9E">
      <w:pPr>
        <w:pStyle w:val="AppendixText3"/>
      </w:pPr>
      <w:r w:rsidRPr="00122216">
        <w:t>notifying the Sub-contractors of procedures to be followed during the Termination Assistance Period and providing management to ensure these procedures are followed;</w:t>
      </w:r>
    </w:p>
    <w:p w14:paraId="7BD58201" w14:textId="77777777" w:rsidR="00F67E9E" w:rsidRPr="00122216" w:rsidRDefault="00F67E9E" w:rsidP="00F67E9E">
      <w:pPr>
        <w:pStyle w:val="AppendixText3"/>
      </w:pPr>
      <w:r w:rsidRPr="00122216">
        <w:t>providing assistance and expertise as necessary to examine all operational and business processes (including all supporting documentation) in place and re-writing and implementing processes and procedures such that they are appropriate for use by the Authority and/or the Replacement Supplier after the end of the Termination Assistance Period;</w:t>
      </w:r>
    </w:p>
    <w:p w14:paraId="48E967C2" w14:textId="77777777" w:rsidR="00F67E9E" w:rsidRPr="00122216" w:rsidRDefault="00F67E9E" w:rsidP="00F67E9E">
      <w:pPr>
        <w:pStyle w:val="AppendixText3"/>
      </w:pPr>
      <w:r w:rsidRPr="00122216">
        <w:t>delivering to the Authority the existing systems support profiles, monitoring or system logs, problem tracking/resolution documentation and status reports all relating to the 12 month period immediately prior to the commencement of the Termination Services;</w:t>
      </w:r>
    </w:p>
    <w:p w14:paraId="3D3E6002" w14:textId="77777777" w:rsidR="00F67E9E" w:rsidRPr="00122216" w:rsidRDefault="00F67E9E" w:rsidP="00F67E9E">
      <w:pPr>
        <w:pStyle w:val="AppendixText3"/>
      </w:pPr>
      <w:r w:rsidRPr="00122216">
        <w:t>providing details of work volumes and staffing requirements over the 12 month period immediately prior to the commencement of the Termination Services;</w:t>
      </w:r>
    </w:p>
    <w:p w14:paraId="1CF60119" w14:textId="77777777" w:rsidR="00F67E9E" w:rsidRPr="00122216" w:rsidRDefault="00F67E9E" w:rsidP="00F67E9E">
      <w:pPr>
        <w:pStyle w:val="AppendixText3"/>
      </w:pPr>
      <w:r w:rsidRPr="00122216">
        <w:t>with respect to work in progress as at the end of the Termination Assistance Period, documenting the current status and stabilising for continuity during transition;</w:t>
      </w:r>
    </w:p>
    <w:p w14:paraId="2494E3CA" w14:textId="77777777" w:rsidR="00F67E9E" w:rsidRPr="00122216" w:rsidRDefault="00F67E9E" w:rsidP="00F67E9E">
      <w:pPr>
        <w:pStyle w:val="AppendixText3"/>
      </w:pPr>
      <w:r w:rsidRPr="00122216">
        <w:t>providing the Authority with any problem logs which have not previously been provided to the Authority;</w:t>
      </w:r>
    </w:p>
    <w:p w14:paraId="7EF38FB3" w14:textId="77777777" w:rsidR="00F67E9E" w:rsidRPr="00122216" w:rsidRDefault="00F67E9E" w:rsidP="00F67E9E">
      <w:pPr>
        <w:pStyle w:val="AppendixText3"/>
      </w:pPr>
      <w:r w:rsidRPr="00122216">
        <w:t>providing assistance and expertise as necessary to examine all governance and reports in place for the provision of the Services and re-writing and implementing these during and for a period of 12 months after the Termination Assistance Period;</w:t>
      </w:r>
    </w:p>
    <w:p w14:paraId="60DCC5A1" w14:textId="77777777" w:rsidR="00F67E9E" w:rsidRPr="00122216" w:rsidRDefault="00F67E9E" w:rsidP="00F67E9E">
      <w:pPr>
        <w:pStyle w:val="AppendixText3"/>
      </w:pPr>
      <w:r w:rsidRPr="00122216">
        <w:t>providing assistance and expertise as necessary to examine all relevant roles and responsibilities in place for the provision of the Services and re-writing and implementing these such that they are appropriate for the continuation of the Services after the Termination Assistance Period;</w:t>
      </w:r>
    </w:p>
    <w:p w14:paraId="10969838" w14:textId="77777777" w:rsidR="00F67E9E" w:rsidRPr="00122216" w:rsidRDefault="00F67E9E" w:rsidP="00F67E9E">
      <w:pPr>
        <w:pStyle w:val="AppendixText3"/>
      </w:pPr>
      <w:r w:rsidRPr="00122216">
        <w:t xml:space="preserve">agreeing with the Authority an effective communication strategy and joint communications plan which sets out the implications for Supplier Personnel, Authority staff, customers and key stakeholders; </w:t>
      </w:r>
    </w:p>
    <w:p w14:paraId="7C5A50F1" w14:textId="77777777" w:rsidR="00F67E9E" w:rsidRPr="00122216" w:rsidRDefault="00F67E9E" w:rsidP="00F67E9E">
      <w:pPr>
        <w:pStyle w:val="AppendixText3"/>
      </w:pPr>
      <w:r w:rsidRPr="00122216">
        <w:t>reviewing all Software libraries used in connection with the Services and providing details of these to the Authority and/or the Replacement Supplier;</w:t>
      </w:r>
    </w:p>
    <w:p w14:paraId="2FE01B06" w14:textId="77777777" w:rsidR="00F67E9E" w:rsidRPr="00B224EC" w:rsidRDefault="00F67E9E" w:rsidP="00F67E9E">
      <w:pPr>
        <w:pStyle w:val="AppendixText3"/>
      </w:pPr>
      <w:bookmarkStart w:id="1742" w:name="_Ref44579654"/>
      <w:r w:rsidRPr="00122216">
        <w:t>providing assistance</w:t>
      </w:r>
      <w:r w:rsidRPr="00B224EC">
        <w:t xml:space="preserve"> and expertise as necessary to support the Authority </w:t>
      </w:r>
      <w:r w:rsidRPr="00B224EC">
        <w:lastRenderedPageBreak/>
        <w:t>and/or the Replacement Supplier develop the migration plan for business operations and Authority Data to the Replacement Supplier, which may include migration approach, testing of plans, contingency options, and handling of historic or archived Authority Data;</w:t>
      </w:r>
      <w:bookmarkEnd w:id="1742"/>
    </w:p>
    <w:p w14:paraId="43797731" w14:textId="77777777" w:rsidR="00F67E9E" w:rsidRPr="00B224EC" w:rsidRDefault="00F67E9E" w:rsidP="00F67E9E">
      <w:pPr>
        <w:pStyle w:val="AppendixText3"/>
      </w:pPr>
      <w:r w:rsidRPr="00B224EC">
        <w:t xml:space="preserve">provide all necessary support, equipment, tools, and Software such as data migration services and/or Automated Programming Interfaces, in order to enable and support the execution of the migration plan by the Authority and/or Replacement Supplier; </w:t>
      </w:r>
    </w:p>
    <w:p w14:paraId="25DE6D9E" w14:textId="77777777" w:rsidR="00F67E9E" w:rsidRPr="00B224EC" w:rsidRDefault="00F67E9E" w:rsidP="00F67E9E">
      <w:pPr>
        <w:pStyle w:val="AppendixText3"/>
      </w:pPr>
      <w:bookmarkStart w:id="1743" w:name="_Ref88553311"/>
      <w:r w:rsidRPr="00B224EC">
        <w:t>making available to the Authority and/or the Replacement Supplier expertise to analyse training requirements and provide all necessary training for the use of tools by such staff as are nominated by the Authority (acting reasonably) at the time of termination or expiry;</w:t>
      </w:r>
      <w:bookmarkEnd w:id="1743"/>
    </w:p>
    <w:p w14:paraId="611FFF91" w14:textId="77777777" w:rsidR="00F67E9E" w:rsidRPr="00B224EC" w:rsidRDefault="00F67E9E" w:rsidP="00F67E9E">
      <w:pPr>
        <w:pStyle w:val="AppendixText3"/>
      </w:pPr>
      <w:r w:rsidRPr="00B224EC">
        <w:t>assisting in establishing naming conventions for any new production site;</w:t>
      </w:r>
    </w:p>
    <w:p w14:paraId="239C4E38" w14:textId="77777777" w:rsidR="00F67E9E" w:rsidRPr="00DF3219" w:rsidRDefault="00F67E9E" w:rsidP="00F67E9E">
      <w:pPr>
        <w:pStyle w:val="AppendixText3"/>
      </w:pPr>
      <w:bookmarkStart w:id="1744" w:name="_Ref44579667"/>
      <w:r w:rsidRPr="00DF3219">
        <w:t>analysing and providing information about capacity and performance requirements, processor requirements and bandwidth requirements, and known planned requirements for capacity growth across these areas;</w:t>
      </w:r>
      <w:bookmarkEnd w:id="1744"/>
    </w:p>
    <w:p w14:paraId="3E718D71" w14:textId="069D7771" w:rsidR="00F67E9E" w:rsidRPr="00DF3219" w:rsidRDefault="00F67E9E" w:rsidP="001E5A0C">
      <w:pPr>
        <w:pStyle w:val="AppendixText3"/>
      </w:pPr>
      <w:r w:rsidRPr="00DF3219">
        <w:t xml:space="preserve">generating a computer listing </w:t>
      </w:r>
      <w:r w:rsidRPr="00F57508">
        <w:t xml:space="preserve">of the </w:t>
      </w:r>
      <w:bookmarkStart w:id="1745" w:name="_9kR3WTr2AC7DGcV48rfGLtk"/>
      <w:r w:rsidRPr="00F57508">
        <w:t>Source Code</w:t>
      </w:r>
      <w:bookmarkEnd w:id="1745"/>
      <w:r w:rsidRPr="00F57508">
        <w:t xml:space="preserve"> of relevant </w:t>
      </w:r>
      <w:r w:rsidR="00E52155" w:rsidRPr="00F57508">
        <w:t xml:space="preserve">Specially Written </w:t>
      </w:r>
      <w:r w:rsidRPr="00F57508">
        <w:t>Software in a form and on media reasonably</w:t>
      </w:r>
      <w:r w:rsidRPr="00DF3219">
        <w:t xml:space="preserve"> requested by the Authority;</w:t>
      </w:r>
    </w:p>
    <w:p w14:paraId="254BEC63" w14:textId="77777777" w:rsidR="00F67E9E" w:rsidRPr="00DF3219" w:rsidRDefault="00F67E9E" w:rsidP="00F67E9E">
      <w:pPr>
        <w:pStyle w:val="AppendixText3"/>
      </w:pPr>
      <w:bookmarkStart w:id="1746" w:name="_Ref88552689"/>
      <w:r w:rsidRPr="00DF3219">
        <w:t>agreeing with the Authority a handover plan for all of the Supplier</w:t>
      </w:r>
      <w:r>
        <w:t>’</w:t>
      </w:r>
      <w:r w:rsidRPr="00DF3219">
        <w:t>s responsibilities as set out in the Security Management Plan;</w:t>
      </w:r>
      <w:bookmarkEnd w:id="1746"/>
    </w:p>
    <w:p w14:paraId="6CB85E9D" w14:textId="77777777" w:rsidR="00F67E9E" w:rsidRPr="00DF3219" w:rsidRDefault="00F67E9E" w:rsidP="00F67E9E">
      <w:pPr>
        <w:pStyle w:val="AppendixText3"/>
      </w:pPr>
      <w:r w:rsidRPr="00DF3219">
        <w:t>delivering copies of the production databases (with content listings) to the Authority</w:t>
      </w:r>
      <w:r>
        <w:t>’</w:t>
      </w:r>
      <w:r w:rsidRPr="00DF3219">
        <w:t>s and/or the Replacement Supplier</w:t>
      </w:r>
      <w:r>
        <w:t>’</w:t>
      </w:r>
      <w:r w:rsidRPr="00DF3219">
        <w:t>s operations staff (on appropriate media) as reasonably requested by the Authority;</w:t>
      </w:r>
    </w:p>
    <w:p w14:paraId="7812A644" w14:textId="77777777" w:rsidR="00F67E9E" w:rsidRPr="00DF3219" w:rsidRDefault="00F67E9E" w:rsidP="00F67E9E">
      <w:pPr>
        <w:pStyle w:val="AppendixText3"/>
      </w:pPr>
      <w:r w:rsidRPr="00DF3219">
        <w:t>assisting with the loading, testing and implementation of the production databases;</w:t>
      </w:r>
    </w:p>
    <w:p w14:paraId="7E817B01" w14:textId="77777777" w:rsidR="00F67E9E" w:rsidRPr="00DF3219" w:rsidRDefault="00F67E9E" w:rsidP="00F67E9E">
      <w:pPr>
        <w:pStyle w:val="AppendixText3"/>
      </w:pPr>
      <w:r w:rsidRPr="00DF3219">
        <w:t xml:space="preserve">assisting in the </w:t>
      </w:r>
      <w:r w:rsidRPr="00B224EC">
        <w:t>execution of a parallel operation until the effective date of expiry or termination of this Contract;</w:t>
      </w:r>
    </w:p>
    <w:p w14:paraId="4858E2C1" w14:textId="5E0EE005" w:rsidR="00F67E9E" w:rsidRPr="00DF3219" w:rsidRDefault="00F67E9E" w:rsidP="00F67E9E">
      <w:pPr>
        <w:pStyle w:val="AppendixText3"/>
      </w:pPr>
      <w:r w:rsidRPr="00DF3219">
        <w:t xml:space="preserve">in respect of the maintenance and support of the Supplier System, providing historical performance data for the previous </w:t>
      </w:r>
      <w:r w:rsidR="001E5A0C" w:rsidRPr="001E5A0C">
        <w:t>12 months</w:t>
      </w:r>
      <w:r w:rsidRPr="00DF3219">
        <w:t>;</w:t>
      </w:r>
    </w:p>
    <w:p w14:paraId="14FFD6AA" w14:textId="77777777" w:rsidR="00F67E9E" w:rsidRPr="00DF3219" w:rsidRDefault="00F67E9E" w:rsidP="00F67E9E">
      <w:pPr>
        <w:pStyle w:val="AppendixText3"/>
      </w:pPr>
      <w:r w:rsidRPr="00DF3219">
        <w:t>assisting in the execution of a parallel operation of the maintenance and support of the Supplier System until the end of the Termination Assistance Period or as otherwise specified by the Authority (provided that these Services shall end on a date no later than the end of the Termination Assistance Period);</w:t>
      </w:r>
    </w:p>
    <w:p w14:paraId="35DAF55A" w14:textId="77777777" w:rsidR="00F67E9E" w:rsidRPr="00DF3219" w:rsidRDefault="00F67E9E" w:rsidP="00F67E9E">
      <w:pPr>
        <w:pStyle w:val="AppendixText3"/>
      </w:pPr>
      <w:bookmarkStart w:id="1747" w:name="_Ref44579677"/>
      <w:r w:rsidRPr="00DF3219">
        <w:t>providing an information pack listing and describing the Services for use by the Authority in the procurement of the Replacement Services;</w:t>
      </w:r>
      <w:bookmarkEnd w:id="1747"/>
    </w:p>
    <w:p w14:paraId="2C033D03" w14:textId="77777777" w:rsidR="00F67E9E" w:rsidRPr="00DF3219" w:rsidRDefault="00F67E9E" w:rsidP="00F67E9E">
      <w:pPr>
        <w:pStyle w:val="AppendixText3"/>
      </w:pPr>
      <w:r w:rsidRPr="00DF3219">
        <w:t>answering all reasonable questions from the Authority and/or the Replacement Supplier regarding the Services;</w:t>
      </w:r>
    </w:p>
    <w:p w14:paraId="1348623A" w14:textId="77777777" w:rsidR="00F67E9E" w:rsidRPr="00DF3219" w:rsidRDefault="00F67E9E" w:rsidP="00F67E9E">
      <w:pPr>
        <w:pStyle w:val="AppendixText3"/>
      </w:pPr>
      <w:bookmarkStart w:id="1748" w:name="_Ref44579690"/>
      <w:r w:rsidRPr="00DF3219">
        <w:t xml:space="preserve">agreeing with the Authority and/or the Replacement Supplier a plan for the migration of the Authority Data to the Authority and/or the Replacement </w:t>
      </w:r>
      <w:r w:rsidRPr="00DF3219">
        <w:lastRenderedPageBreak/>
        <w:t>Supplier;</w:t>
      </w:r>
      <w:bookmarkEnd w:id="1748"/>
    </w:p>
    <w:p w14:paraId="5AECFF25" w14:textId="77777777" w:rsidR="00F67E9E" w:rsidRPr="00DF3219" w:rsidRDefault="00F67E9E" w:rsidP="00F67E9E">
      <w:pPr>
        <w:pStyle w:val="AppendixText3"/>
      </w:pPr>
      <w:bookmarkStart w:id="1749" w:name="_Ref88552407"/>
      <w:r w:rsidRPr="00DF3219">
        <w:t>providing access to the Authority and/or the Replacement Supplier during the Termination Assistance Period and for a period not exceeding 6 months afterwards for the purpose of the smooth transfer of the Services to the Authority and/or the Replacement Supplier:</w:t>
      </w:r>
      <w:bookmarkEnd w:id="1749"/>
    </w:p>
    <w:p w14:paraId="5105117F" w14:textId="77777777" w:rsidR="00F67E9E" w:rsidRPr="00122216" w:rsidRDefault="00F67E9E" w:rsidP="00F67E9E">
      <w:pPr>
        <w:pStyle w:val="AppendixText4"/>
      </w:pPr>
      <w:r w:rsidRPr="00B224EC">
        <w:t>to information and documentation relating to the Transferring Services that is in the possession or control of the Supplier or its Sub-contractors (and the Supplier agrees and shall procure that its Sub-contractors do not destro</w:t>
      </w:r>
      <w:r w:rsidRPr="00AE5E59">
        <w:t xml:space="preserve">y or dispose of that information within this period) including the right to take </w:t>
      </w:r>
      <w:r w:rsidRPr="00122216">
        <w:t>reasonable copies of that material; and</w:t>
      </w:r>
    </w:p>
    <w:p w14:paraId="4A7D13EC" w14:textId="77777777" w:rsidR="00F67E9E" w:rsidRPr="00B224EC" w:rsidRDefault="00F67E9E" w:rsidP="00F67E9E">
      <w:pPr>
        <w:pStyle w:val="AppendixText4"/>
      </w:pPr>
      <w:r w:rsidRPr="00122216">
        <w:t>following</w:t>
      </w:r>
      <w:r w:rsidRPr="00AE5E59">
        <w:t xml:space="preserve"> reasonable notice and during the Supplier’s normal business hours, to members of the Supplier Personnel who have been involved in the provisi</w:t>
      </w:r>
      <w:r w:rsidRPr="00B224EC">
        <w:t>on or management of the Services and who are still employed or engaged by the Supplier or its Sub-contractors; and</w:t>
      </w:r>
    </w:p>
    <w:p w14:paraId="3B7215F5" w14:textId="77777777" w:rsidR="00F67E9E" w:rsidRPr="00DF3219" w:rsidRDefault="00F67E9E" w:rsidP="00F67E9E">
      <w:pPr>
        <w:pStyle w:val="AppendixText3"/>
      </w:pPr>
      <w:r w:rsidRPr="00DF3219">
        <w:t>knowledge transfer services, including:</w:t>
      </w:r>
    </w:p>
    <w:p w14:paraId="22C12DF3" w14:textId="77777777" w:rsidR="00F67E9E" w:rsidRPr="00DF3219" w:rsidRDefault="00F67E9E" w:rsidP="00F67E9E">
      <w:pPr>
        <w:pStyle w:val="AppendixText4"/>
      </w:pPr>
      <w:r w:rsidRPr="00DF3219">
        <w:t>transferring all training material and providing appropriate training to those Authority and/or Replacement Supplier staff responsible for internal training in connection with the provision of the Services;</w:t>
      </w:r>
    </w:p>
    <w:p w14:paraId="680C83DD" w14:textId="77777777" w:rsidR="00F67E9E" w:rsidRPr="00DF3219" w:rsidRDefault="00F67E9E" w:rsidP="00F67E9E">
      <w:pPr>
        <w:pStyle w:val="AppendixText4"/>
      </w:pPr>
      <w:r w:rsidRPr="00DF3219">
        <w:t xml:space="preserve">providing for transfer to the Authority and/or the Replacement Supplier of all knowledge reasonably required for the provision of the Services which may, as appropriate, include information, records and documents; </w:t>
      </w:r>
    </w:p>
    <w:p w14:paraId="432BA527" w14:textId="77777777" w:rsidR="00F67E9E" w:rsidRPr="00B224EC" w:rsidRDefault="00F67E9E" w:rsidP="00F67E9E">
      <w:pPr>
        <w:pStyle w:val="AppendixText4"/>
      </w:pPr>
      <w:r w:rsidRPr="00B224EC">
        <w:t>providing the Supplier and/or the Replacement Supplier with access to such members of the Supplier</w:t>
      </w:r>
      <w:r>
        <w:t>’</w:t>
      </w:r>
      <w:r w:rsidRPr="00B224EC">
        <w:t>s or its Sub-contractors</w:t>
      </w:r>
      <w:r>
        <w:t>’</w:t>
      </w:r>
      <w:r w:rsidRPr="00B224EC">
        <w:t xml:space="preserve"> personnel as have been involved in the design, development</w:t>
      </w:r>
      <w:r w:rsidRPr="00DF3219">
        <w:t xml:space="preserve">, provision or management of the Services and </w:t>
      </w:r>
      <w:r w:rsidRPr="00B224EC">
        <w:t>who are still employed or engaged by the Supplier or its Sub-contractors; and</w:t>
      </w:r>
    </w:p>
    <w:p w14:paraId="7C6BAA46" w14:textId="77777777" w:rsidR="00F67E9E" w:rsidRPr="00B224EC" w:rsidRDefault="00F67E9E" w:rsidP="00F67E9E">
      <w:pPr>
        <w:pStyle w:val="AppendixText4"/>
      </w:pPr>
      <w:r w:rsidRPr="00B224EC">
        <w:t>allowing the Authority and/or the Replacement Supplier to work alongside and observe the performance of the Services by the Supplier at its Sites used to fulfil the Services (subject to compliance by the Authority and the Replacement Supplier with any applicable security and/or health and safety restrictions,</w:t>
      </w:r>
    </w:p>
    <w:p w14:paraId="497028DB" w14:textId="77777777" w:rsidR="00F67E9E" w:rsidRPr="00B224EC" w:rsidRDefault="00F67E9E" w:rsidP="00F67E9E">
      <w:pPr>
        <w:pStyle w:val="AppendixText5"/>
        <w:numPr>
          <w:ilvl w:val="0"/>
          <w:numId w:val="0"/>
        </w:numPr>
        <w:ind w:left="1800"/>
      </w:pPr>
      <w:r w:rsidRPr="00B224EC">
        <w:t>and any such person who is provided with such knowledge transfer services will sign a confidentiality undertaking in favour of the Supplier (in such form as the Supplier shall reasonably require)).</w:t>
      </w:r>
    </w:p>
    <w:p w14:paraId="6EDC22E9" w14:textId="77777777" w:rsidR="00F67E9E" w:rsidRPr="00B224EC" w:rsidRDefault="00F67E9E" w:rsidP="00F67E9E">
      <w:pPr>
        <w:pStyle w:val="AppendixText2"/>
      </w:pPr>
      <w:bookmarkStart w:id="1750" w:name="_Ref99013651"/>
      <w:r w:rsidRPr="00B224EC">
        <w:t xml:space="preserve">The </w:t>
      </w:r>
      <w:r w:rsidRPr="00122216">
        <w:t>Supplier</w:t>
      </w:r>
      <w:r w:rsidRPr="00B224EC">
        <w:t xml:space="preserve"> shall:</w:t>
      </w:r>
      <w:bookmarkEnd w:id="1750"/>
    </w:p>
    <w:p w14:paraId="0E343E2E" w14:textId="5A7AB9EF" w:rsidR="00F67E9E" w:rsidRPr="00122216" w:rsidRDefault="00F67E9E" w:rsidP="00F67E9E">
      <w:pPr>
        <w:pStyle w:val="AppendixText3"/>
      </w:pPr>
      <w:r w:rsidRPr="00B224EC">
        <w:t xml:space="preserve">provide a documented plan relating to the training matters referred to in </w:t>
      </w:r>
      <w:bookmarkStart w:id="1751" w:name="_9kR3WTr2CC6DEYEnoewrqyBJ3"/>
      <w:r w:rsidRPr="00B224EC">
        <w:t xml:space="preserve">Paragraph </w:t>
      </w:r>
      <w:r w:rsidRPr="00B224EC">
        <w:fldChar w:fldCharType="begin"/>
      </w:r>
      <w:r w:rsidRPr="00B224EC">
        <w:instrText xml:space="preserve"> REF _Ref88553311 \r \h </w:instrText>
      </w:r>
      <w:r>
        <w:instrText xml:space="preserve"> \* MERGEFORMAT </w:instrText>
      </w:r>
      <w:r w:rsidRPr="00B224EC">
        <w:fldChar w:fldCharType="separate"/>
      </w:r>
      <w:r w:rsidR="007A1473">
        <w:t>1.1.14</w:t>
      </w:r>
      <w:r w:rsidRPr="00B224EC">
        <w:fldChar w:fldCharType="end"/>
      </w:r>
      <w:bookmarkEnd w:id="1751"/>
      <w:r w:rsidRPr="00B224EC">
        <w:t xml:space="preserve"> for agreement by the Authority at the time of termination or expiry of this </w:t>
      </w:r>
      <w:r w:rsidRPr="00122216">
        <w:t>Contract;</w:t>
      </w:r>
    </w:p>
    <w:p w14:paraId="0542362B" w14:textId="6164E9E7" w:rsidR="00F67E9E" w:rsidRPr="00122216" w:rsidRDefault="00F67E9E" w:rsidP="00F67E9E">
      <w:pPr>
        <w:pStyle w:val="AppendixText3"/>
      </w:pPr>
      <w:r w:rsidRPr="00122216">
        <w:t xml:space="preserve">co-operate fully in the execution of the handover plan agreed pursuant to </w:t>
      </w:r>
      <w:bookmarkStart w:id="1752" w:name="_9kR3WTr2CC6DFZEnoewrqyBJ7"/>
      <w:r w:rsidRPr="00122216">
        <w:t xml:space="preserve">Paragraph </w:t>
      </w:r>
      <w:bookmarkEnd w:id="1752"/>
      <w:r w:rsidRPr="00122216">
        <w:fldChar w:fldCharType="begin"/>
      </w:r>
      <w:r w:rsidRPr="00122216">
        <w:instrText xml:space="preserve"> REF _Ref88552689 \r \h  \* MERGEFORMAT </w:instrText>
      </w:r>
      <w:r w:rsidRPr="00122216">
        <w:fldChar w:fldCharType="separate"/>
      </w:r>
      <w:r w:rsidR="007A1473">
        <w:t>1.1.18</w:t>
      </w:r>
      <w:r w:rsidRPr="00122216">
        <w:fldChar w:fldCharType="end"/>
      </w:r>
      <w:r w:rsidRPr="00122216">
        <w:t>, providing skills and expertise of a suitable standard; and</w:t>
      </w:r>
    </w:p>
    <w:p w14:paraId="5824BFB9" w14:textId="57A26104" w:rsidR="00F67E9E" w:rsidRPr="00DF3219" w:rsidRDefault="00F67E9E" w:rsidP="00F67E9E">
      <w:pPr>
        <w:pStyle w:val="AppendixText3"/>
      </w:pPr>
      <w:r w:rsidRPr="00122216">
        <w:t>fully</w:t>
      </w:r>
      <w:r w:rsidRPr="00B224EC">
        <w:t xml:space="preserve"> co-operate in the execution of the Authority Data migration plan agreed </w:t>
      </w:r>
      <w:r w:rsidRPr="00B224EC">
        <w:lastRenderedPageBreak/>
        <w:t xml:space="preserve">pursuant to </w:t>
      </w:r>
      <w:bookmarkStart w:id="1753" w:name="_9kR3WTr2CC6DGaEnoewrqyBJF"/>
      <w:r w:rsidRPr="00B224EC">
        <w:t xml:space="preserve">Paragraph </w:t>
      </w:r>
      <w:bookmarkEnd w:id="1753"/>
      <w:r w:rsidRPr="00B224EC">
        <w:fldChar w:fldCharType="begin"/>
      </w:r>
      <w:r w:rsidRPr="00B224EC">
        <w:instrText xml:space="preserve"> REF _Ref44579690 \r \h </w:instrText>
      </w:r>
      <w:r>
        <w:instrText xml:space="preserve"> \* MERGEFORMAT </w:instrText>
      </w:r>
      <w:r w:rsidRPr="00B224EC">
        <w:fldChar w:fldCharType="separate"/>
      </w:r>
      <w:r w:rsidR="007A1473">
        <w:t>1.1.26</w:t>
      </w:r>
      <w:r w:rsidRPr="00B224EC">
        <w:fldChar w:fldCharType="end"/>
      </w:r>
      <w:r w:rsidRPr="00B224EC">
        <w:t>, providing</w:t>
      </w:r>
      <w:r w:rsidRPr="00DF3219">
        <w:t xml:space="preserve"> skills and expertise of a reasonably acceptable standard.</w:t>
      </w:r>
    </w:p>
    <w:p w14:paraId="14DC0D94" w14:textId="77777777" w:rsidR="00F67E9E" w:rsidRPr="00DF3219" w:rsidRDefault="00F67E9E" w:rsidP="00F67E9E">
      <w:pPr>
        <w:pStyle w:val="AppendixText2"/>
      </w:pPr>
      <w:bookmarkStart w:id="1754" w:name="_Ref_ContractCompanion_9kb9Us885"/>
      <w:r w:rsidRPr="00DF3219">
        <w:t>To facilitate the transfer of knowledge from the Supplier to the Authority and/or its Replacement Supplier, the Supplier shall provide a detailed explanation of the procedures and operations used to provide the Services, the change management process and other standards and procedures to the operations personnel of the Authority and/or the Replacement Supplier.</w:t>
      </w:r>
      <w:bookmarkEnd w:id="1754"/>
    </w:p>
    <w:p w14:paraId="5901936C" w14:textId="334FF0F0" w:rsidR="00F67E9E" w:rsidRPr="00B224EC" w:rsidRDefault="00F67E9E" w:rsidP="00F67E9E">
      <w:pPr>
        <w:pStyle w:val="AppendixText2"/>
      </w:pPr>
      <w:bookmarkStart w:id="1755" w:name="_Ref_ContractCompanion_9kb9Us888"/>
      <w:r w:rsidRPr="00B224EC">
        <w:t xml:space="preserve">The information which the Supplier shall provide to the Authority and/or the Replacement Supplier pursuant to </w:t>
      </w:r>
      <w:bookmarkStart w:id="1756" w:name="_9kR3WTr2CC6DHbEnoewrqyBJH"/>
      <w:r w:rsidRPr="00B224EC">
        <w:t xml:space="preserve">Paragraph </w:t>
      </w:r>
      <w:r w:rsidRPr="00B224EC">
        <w:fldChar w:fldCharType="begin"/>
      </w:r>
      <w:r w:rsidRPr="00B224EC">
        <w:instrText xml:space="preserve"> REF _Ref88552407 \r \h </w:instrText>
      </w:r>
      <w:r>
        <w:instrText xml:space="preserve"> \* MERGEFORMAT </w:instrText>
      </w:r>
      <w:r w:rsidRPr="00B224EC">
        <w:fldChar w:fldCharType="separate"/>
      </w:r>
      <w:r w:rsidR="007A1473">
        <w:t>1.1.27</w:t>
      </w:r>
      <w:r w:rsidRPr="00B224EC">
        <w:fldChar w:fldCharType="end"/>
      </w:r>
      <w:r w:rsidRPr="00B224EC">
        <w:t xml:space="preserve"> </w:t>
      </w:r>
      <w:bookmarkEnd w:id="1756"/>
      <w:r w:rsidRPr="00B224EC">
        <w:fldChar w:fldCharType="begin"/>
      </w:r>
      <w:r w:rsidRPr="00B224EC">
        <w:instrText xml:space="preserve"> REF _Ref44579690 \r \h  \* MERGEFORMAT </w:instrText>
      </w:r>
      <w:r w:rsidRPr="00B224EC">
        <w:fldChar w:fldCharType="separate"/>
      </w:r>
      <w:r w:rsidR="007A1473">
        <w:t>1.1.26</w:t>
      </w:r>
      <w:r w:rsidRPr="00B224EC">
        <w:fldChar w:fldCharType="end"/>
      </w:r>
      <w:r w:rsidRPr="00B224EC">
        <w:t xml:space="preserve"> shall include:</w:t>
      </w:r>
      <w:bookmarkEnd w:id="1755"/>
    </w:p>
    <w:p w14:paraId="2C8179F7" w14:textId="77777777" w:rsidR="00F67E9E" w:rsidRPr="00B224EC" w:rsidRDefault="00F67E9E" w:rsidP="00F67E9E">
      <w:pPr>
        <w:pStyle w:val="AppendixText3"/>
      </w:pPr>
      <w:r w:rsidRPr="00B224EC">
        <w:t>copies of up-to-date procedures and operations manuals;</w:t>
      </w:r>
    </w:p>
    <w:p w14:paraId="7E30C980" w14:textId="77777777" w:rsidR="00F67E9E" w:rsidRPr="00B224EC" w:rsidRDefault="00F67E9E" w:rsidP="00F67E9E">
      <w:pPr>
        <w:pStyle w:val="AppendixText3"/>
      </w:pPr>
      <w:r w:rsidRPr="00B224EC">
        <w:t>product information;</w:t>
      </w:r>
    </w:p>
    <w:p w14:paraId="30AF2C5C" w14:textId="77777777" w:rsidR="00F67E9E" w:rsidRPr="00B224EC" w:rsidRDefault="00F67E9E" w:rsidP="00F67E9E">
      <w:pPr>
        <w:pStyle w:val="AppendixText3"/>
      </w:pPr>
      <w:r w:rsidRPr="00B224EC">
        <w:t>agreements with third party suppliers of goods and services which are to be transferred to the Authority and/or the Replacement Supplier;</w:t>
      </w:r>
    </w:p>
    <w:p w14:paraId="4B459ED0" w14:textId="77777777" w:rsidR="00F67E9E" w:rsidRPr="00B224EC" w:rsidRDefault="00F67E9E" w:rsidP="00F67E9E">
      <w:pPr>
        <w:pStyle w:val="AppendixText3"/>
      </w:pPr>
      <w:r w:rsidRPr="00B224EC">
        <w:t>key support contact details for third party supplier personnel under contracts which are to be assigned or novated to the Authority pursuant to this Schedule;</w:t>
      </w:r>
    </w:p>
    <w:p w14:paraId="48EA5FCA" w14:textId="77777777" w:rsidR="00F67E9E" w:rsidRPr="00DF3219" w:rsidRDefault="00F67E9E" w:rsidP="00F67E9E">
      <w:pPr>
        <w:pStyle w:val="AppendixText3"/>
      </w:pPr>
      <w:r w:rsidRPr="00DF3219">
        <w:t>information regarding any unresolved faults in progress at the commencement of the Termination Assistance Period as well as those expected to be in progress at the end of the Termination Assistance Period;</w:t>
      </w:r>
    </w:p>
    <w:p w14:paraId="62699422" w14:textId="77777777" w:rsidR="00F67E9E" w:rsidRPr="00DF3219" w:rsidRDefault="00F67E9E" w:rsidP="00F67E9E">
      <w:pPr>
        <w:pStyle w:val="AppendixText3"/>
      </w:pPr>
      <w:r w:rsidRPr="00DF3219">
        <w:t>details of physical and logical security processes and tools which will be available to the Authority; and</w:t>
      </w:r>
    </w:p>
    <w:p w14:paraId="0764CEB2" w14:textId="77777777" w:rsidR="00F67E9E" w:rsidRDefault="00F67E9E" w:rsidP="00F67E9E">
      <w:pPr>
        <w:pStyle w:val="AppendixText3"/>
      </w:pPr>
      <w:r w:rsidRPr="00DF3219">
        <w:t>any relevant interface information</w:t>
      </w:r>
      <w:r>
        <w:t>,</w:t>
      </w:r>
    </w:p>
    <w:p w14:paraId="415A3D2F" w14:textId="77777777" w:rsidR="00F67E9E" w:rsidRPr="00DF3219" w:rsidRDefault="00F67E9E" w:rsidP="00F67E9E">
      <w:pPr>
        <w:pStyle w:val="AppendixText2continued"/>
        <w:ind w:left="720"/>
      </w:pPr>
      <w:r w:rsidRPr="00C80D6C">
        <w:t>and such information shall be updated by the Supplier at the end of the Termination Assistance Period.</w:t>
      </w:r>
      <w:r>
        <w:t xml:space="preserve"> </w:t>
      </w:r>
    </w:p>
    <w:p w14:paraId="3DEA0898" w14:textId="77777777" w:rsidR="00F67E9E" w:rsidRPr="00DF3219" w:rsidRDefault="00F67E9E" w:rsidP="00F67E9E">
      <w:pPr>
        <w:pStyle w:val="AppendixText2"/>
      </w:pPr>
      <w:bookmarkStart w:id="1757" w:name="_Ref_ContractCompanion_9kb9Us8GE"/>
      <w:bookmarkStart w:id="1758" w:name="_9kR3WTrAG9CKKEERO9yvu13pcX2B35y5EAGddSJ"/>
      <w:r w:rsidRPr="00DF3219">
        <w:t>During the Termination Assistance Period the Supplier shall grant any agent or personnel (including employees, consultants and Suppliers) of the Replacement Supplier and/or the Authority access, during business hours and upon reasonable prior written notice, to any Sites for the purpose of effecting a prompt knowledge transfer provided that:</w:t>
      </w:r>
      <w:bookmarkEnd w:id="1757"/>
      <w:bookmarkEnd w:id="1758"/>
    </w:p>
    <w:p w14:paraId="565884DC" w14:textId="18AF1C1F" w:rsidR="00F67E9E" w:rsidRPr="00B224EC" w:rsidRDefault="00F67E9E" w:rsidP="00F67E9E">
      <w:pPr>
        <w:pStyle w:val="AppendixText3"/>
      </w:pPr>
      <w:r w:rsidRPr="00B224EC">
        <w:t xml:space="preserve">any such agent or personnel (including employees, consultants and suppliers) having access to any Sites pursuant to this </w:t>
      </w:r>
      <w:bookmarkStart w:id="1759" w:name="_9kMHG5YVtCIBEMMGGTQB0xw35reZ4D5707GCIff"/>
      <w:r w:rsidRPr="00B224EC">
        <w:t xml:space="preserve">Paragraph </w:t>
      </w:r>
      <w:r w:rsidRPr="00B224EC">
        <w:fldChar w:fldCharType="begin"/>
      </w:r>
      <w:r w:rsidRPr="00B224EC">
        <w:instrText xml:space="preserve"> REF _Ref_ContractCompanion_9kb9Us8GE \n \h \t \* MERGEFORMAT </w:instrText>
      </w:r>
      <w:r w:rsidRPr="00B224EC">
        <w:fldChar w:fldCharType="separate"/>
      </w:r>
      <w:r w:rsidR="007A1473">
        <w:t>1.5</w:t>
      </w:r>
      <w:r w:rsidRPr="00B224EC">
        <w:fldChar w:fldCharType="end"/>
      </w:r>
      <w:bookmarkEnd w:id="1759"/>
      <w:r w:rsidRPr="00B224EC">
        <w:t xml:space="preserve"> shall:</w:t>
      </w:r>
    </w:p>
    <w:p w14:paraId="1CEDDD5E" w14:textId="77777777" w:rsidR="00F67E9E" w:rsidRPr="00122216" w:rsidRDefault="00F67E9E" w:rsidP="00F67E9E">
      <w:pPr>
        <w:pStyle w:val="AppendixText4"/>
      </w:pPr>
      <w:r w:rsidRPr="00B224EC">
        <w:t xml:space="preserve">sign a confidentiality undertaking in favour of the Supplier (in such form as the </w:t>
      </w:r>
      <w:r w:rsidRPr="00122216">
        <w:t>Supplier shall reasonably require); and</w:t>
      </w:r>
    </w:p>
    <w:p w14:paraId="6C5212C6" w14:textId="77777777" w:rsidR="00F67E9E" w:rsidRPr="00B224EC" w:rsidRDefault="00F67E9E" w:rsidP="00F67E9E">
      <w:pPr>
        <w:pStyle w:val="AppendixText4"/>
      </w:pPr>
      <w:r w:rsidRPr="00122216">
        <w:t>during each period of access comply with the security, systems and facilities ope</w:t>
      </w:r>
      <w:r w:rsidRPr="00B224EC">
        <w:t>rating procedures of the Supplier relevant to such Site and that the Authority deems reasonable; and</w:t>
      </w:r>
    </w:p>
    <w:p w14:paraId="23A7158A" w14:textId="77777777" w:rsidR="00F67E9E" w:rsidRPr="00B224EC" w:rsidRDefault="00F67E9E" w:rsidP="00F67E9E">
      <w:pPr>
        <w:pStyle w:val="AppendixText3"/>
      </w:pPr>
      <w:r w:rsidRPr="00B224EC">
        <w:t>the Authority and/or the Replacement Supplier shall pay the reasonable, proven and proper costs of the Supplier incurred in facilitating such access.</w:t>
      </w:r>
    </w:p>
    <w:p w14:paraId="5BF22047" w14:textId="77777777" w:rsidR="00F67E9E" w:rsidRDefault="00F67E9E" w:rsidP="00F67E9E">
      <w:pPr>
        <w:rPr>
          <w:rFonts w:eastAsia="Times New Roman" w:cs="Arial"/>
          <w:szCs w:val="24"/>
          <w:lang w:eastAsia="en-GB"/>
        </w:rPr>
      </w:pPr>
    </w:p>
    <w:p w14:paraId="72CD3921" w14:textId="77777777" w:rsidR="00F67E9E" w:rsidRDefault="00F67E9E" w:rsidP="00F67E9E">
      <w:pPr>
        <w:pStyle w:val="Heading2"/>
        <w:pageBreakBefore/>
      </w:pPr>
      <w:bookmarkStart w:id="1760" w:name="_Ref_ContractCompanion_9kb9Ur46C"/>
      <w:bookmarkStart w:id="1761" w:name="_9kR3WTrAG88B9ICwozOSzxm667B1xq0ND3F51JI"/>
      <w:bookmarkStart w:id="1762" w:name="_Ref_ContractCompanion_9kb9Us79D"/>
      <w:bookmarkStart w:id="1763" w:name="_Ref92447272"/>
      <w:bookmarkStart w:id="1764" w:name="_Toc145412809"/>
      <w:r w:rsidRPr="00B224EC">
        <w:lastRenderedPageBreak/>
        <w:t xml:space="preserve">Annex </w:t>
      </w:r>
      <w:bookmarkStart w:id="1765" w:name="ANNEX2_SCHEDULE25"/>
      <w:r w:rsidRPr="00B224EC">
        <w:t>2</w:t>
      </w:r>
      <w:bookmarkEnd w:id="1765"/>
      <w:r w:rsidRPr="00B224EC">
        <w:t>: Draft Ethical Wall Agreement</w:t>
      </w:r>
      <w:bookmarkEnd w:id="1760"/>
      <w:bookmarkEnd w:id="1761"/>
      <w:bookmarkEnd w:id="1762"/>
      <w:bookmarkEnd w:id="1763"/>
      <w:bookmarkEnd w:id="1764"/>
    </w:p>
    <w:p w14:paraId="46159210" w14:textId="77777777" w:rsidR="00F67E9E" w:rsidRPr="00DF3219" w:rsidRDefault="00F67E9E" w:rsidP="00F67E9E">
      <w:pPr>
        <w:jc w:val="center"/>
        <w:rPr>
          <w:rFonts w:cs="Arial"/>
          <w:highlight w:val="yellow"/>
        </w:rPr>
      </w:pPr>
      <w:r w:rsidRPr="00DF3219">
        <w:rPr>
          <w:rFonts w:cs="Arial"/>
          <w:highlight w:val="yellow"/>
        </w:rPr>
        <w:t>[THE AUTHORITY]</w:t>
      </w:r>
    </w:p>
    <w:p w14:paraId="44913904" w14:textId="77777777" w:rsidR="00F67E9E" w:rsidRPr="00DF3219" w:rsidRDefault="00F67E9E" w:rsidP="00F67E9E">
      <w:pPr>
        <w:pStyle w:val="StdBodyText"/>
        <w:jc w:val="center"/>
        <w:rPr>
          <w:rFonts w:cs="Arial"/>
        </w:rPr>
      </w:pPr>
    </w:p>
    <w:p w14:paraId="12453A0E" w14:textId="77777777" w:rsidR="00F67E9E" w:rsidRPr="00DF3219" w:rsidRDefault="00F67E9E" w:rsidP="00F67E9E">
      <w:pPr>
        <w:jc w:val="center"/>
        <w:rPr>
          <w:rFonts w:cs="Arial"/>
        </w:rPr>
      </w:pPr>
      <w:r w:rsidRPr="00DF3219">
        <w:rPr>
          <w:rStyle w:val="StdBodyTextBoldChar"/>
          <w:rFonts w:eastAsiaTheme="minorHAnsi" w:cs="Arial"/>
        </w:rPr>
        <w:t>and</w:t>
      </w:r>
    </w:p>
    <w:p w14:paraId="04D0D846" w14:textId="77777777" w:rsidR="00F67E9E" w:rsidRPr="00DF3219" w:rsidRDefault="00F67E9E" w:rsidP="00F67E9E">
      <w:pPr>
        <w:pStyle w:val="StdBodyText"/>
        <w:jc w:val="center"/>
        <w:rPr>
          <w:rFonts w:cs="Arial"/>
        </w:rPr>
      </w:pPr>
    </w:p>
    <w:p w14:paraId="5B0596D9" w14:textId="77777777" w:rsidR="00F67E9E" w:rsidRPr="00DF3219" w:rsidRDefault="00F67E9E" w:rsidP="00F67E9E">
      <w:pPr>
        <w:jc w:val="center"/>
        <w:rPr>
          <w:rFonts w:cs="Arial"/>
          <w:highlight w:val="yellow"/>
        </w:rPr>
      </w:pPr>
      <w:r w:rsidRPr="00DF3219">
        <w:rPr>
          <w:rFonts w:cs="Arial"/>
          <w:highlight w:val="yellow"/>
        </w:rPr>
        <w:t>[THE COUNTERPARTY]</w:t>
      </w:r>
    </w:p>
    <w:p w14:paraId="0078DD20" w14:textId="77777777" w:rsidR="00F67E9E" w:rsidRPr="00DF3219" w:rsidRDefault="00F67E9E" w:rsidP="00F67E9E">
      <w:pPr>
        <w:pStyle w:val="StdBodyText"/>
        <w:jc w:val="center"/>
        <w:rPr>
          <w:rFonts w:cs="Arial"/>
        </w:rPr>
      </w:pPr>
    </w:p>
    <w:p w14:paraId="37C7C362" w14:textId="77777777" w:rsidR="00F67E9E" w:rsidRPr="00DF3219" w:rsidRDefault="00F67E9E" w:rsidP="00F67E9E">
      <w:pPr>
        <w:pStyle w:val="StdBodyText"/>
        <w:jc w:val="center"/>
        <w:rPr>
          <w:rFonts w:cs="Arial"/>
        </w:rPr>
      </w:pPr>
    </w:p>
    <w:p w14:paraId="059F4745" w14:textId="77777777" w:rsidR="00F67E9E" w:rsidRPr="00DF3219" w:rsidRDefault="00F67E9E" w:rsidP="00F67E9E">
      <w:pPr>
        <w:jc w:val="center"/>
        <w:rPr>
          <w:rFonts w:cs="Arial"/>
        </w:rPr>
      </w:pPr>
      <w:r w:rsidRPr="00B224EC">
        <w:rPr>
          <w:rStyle w:val="StdBodyTextBoldChar"/>
          <w:rFonts w:eastAsiaTheme="minorHAnsi" w:cs="Arial"/>
        </w:rPr>
        <w:t>ETHICAL WALL</w:t>
      </w:r>
      <w:r w:rsidRPr="00B224EC">
        <w:rPr>
          <w:rFonts w:cs="Arial"/>
        </w:rPr>
        <w:t xml:space="preserve"> </w:t>
      </w:r>
      <w:r w:rsidRPr="00B224EC">
        <w:rPr>
          <w:rStyle w:val="StdBodyTextBoldChar"/>
          <w:rFonts w:eastAsiaTheme="minorHAnsi" w:cs="Arial"/>
        </w:rPr>
        <w:t>AGREEMENT</w:t>
      </w:r>
    </w:p>
    <w:p w14:paraId="4A7DD7A4" w14:textId="77777777" w:rsidR="00F67E9E" w:rsidRDefault="00F67E9E" w:rsidP="00F67E9E">
      <w:pPr>
        <w:jc w:val="center"/>
        <w:rPr>
          <w:rFonts w:cs="Arial"/>
          <w:szCs w:val="24"/>
        </w:rPr>
      </w:pPr>
    </w:p>
    <w:p w14:paraId="58C6838C" w14:textId="77777777" w:rsidR="00F67E9E" w:rsidRDefault="00F67E9E" w:rsidP="00F67E9E">
      <w:pPr>
        <w:jc w:val="center"/>
        <w:rPr>
          <w:rFonts w:cs="Arial"/>
          <w:szCs w:val="24"/>
        </w:rPr>
      </w:pPr>
    </w:p>
    <w:p w14:paraId="52B16AF3" w14:textId="77777777" w:rsidR="00F67E9E" w:rsidRDefault="00F67E9E" w:rsidP="00F67E9E">
      <w:pPr>
        <w:jc w:val="center"/>
        <w:rPr>
          <w:rFonts w:cs="Arial"/>
          <w:szCs w:val="24"/>
        </w:rPr>
      </w:pPr>
    </w:p>
    <w:p w14:paraId="7B60C4FD" w14:textId="77777777" w:rsidR="00F67E9E" w:rsidRPr="00830C78" w:rsidRDefault="00F67E9E" w:rsidP="00F67E9E">
      <w:pPr>
        <w:rPr>
          <w:rFonts w:cs="Arial"/>
          <w:szCs w:val="24"/>
        </w:rPr>
      </w:pPr>
      <w:r w:rsidRPr="00830C78">
        <w:rPr>
          <w:rFonts w:cs="Arial"/>
          <w:szCs w:val="24"/>
        </w:rPr>
        <w:t xml:space="preserve">This Agreement is dated </w:t>
      </w:r>
      <w:r w:rsidRPr="007A5E8D">
        <w:rPr>
          <w:rFonts w:cs="Arial"/>
          <w:szCs w:val="24"/>
          <w:highlight w:val="yellow"/>
        </w:rPr>
        <w:t>[</w:t>
      </w:r>
      <w:r w:rsidRPr="007A5E8D">
        <w:rPr>
          <w:rFonts w:cs="Arial"/>
          <w:szCs w:val="24"/>
          <w:highlight w:val="yellow"/>
        </w:rPr>
        <w:tab/>
      </w:r>
      <w:r w:rsidRPr="007A5E8D">
        <w:rPr>
          <w:rFonts w:cs="Arial"/>
          <w:szCs w:val="24"/>
          <w:highlight w:val="yellow"/>
        </w:rPr>
        <w:tab/>
        <w:t>]</w:t>
      </w:r>
      <w:r w:rsidRPr="00830C78">
        <w:rPr>
          <w:rFonts w:cs="Arial"/>
          <w:szCs w:val="24"/>
        </w:rPr>
        <w:t xml:space="preserve"> 20</w:t>
      </w:r>
      <w:r w:rsidRPr="007A5E8D">
        <w:rPr>
          <w:rFonts w:cs="Arial"/>
          <w:szCs w:val="24"/>
          <w:highlight w:val="yellow"/>
        </w:rPr>
        <w:t>[ ]</w:t>
      </w:r>
      <w:r w:rsidRPr="00830C78">
        <w:rPr>
          <w:rFonts w:cs="Arial"/>
          <w:szCs w:val="24"/>
        </w:rPr>
        <w:t xml:space="preserve"> (the </w:t>
      </w:r>
      <w:r>
        <w:rPr>
          <w:rFonts w:cs="Arial"/>
          <w:szCs w:val="24"/>
        </w:rPr>
        <w:t>“</w:t>
      </w:r>
      <w:r w:rsidRPr="00830C78">
        <w:rPr>
          <w:rFonts w:cs="Arial"/>
          <w:szCs w:val="24"/>
        </w:rPr>
        <w:t>Effective Date</w:t>
      </w:r>
      <w:r>
        <w:rPr>
          <w:rFonts w:cs="Arial"/>
          <w:szCs w:val="24"/>
        </w:rPr>
        <w:t>”</w:t>
      </w:r>
      <w:r w:rsidRPr="00830C78">
        <w:rPr>
          <w:rFonts w:cs="Arial"/>
          <w:szCs w:val="24"/>
        </w:rPr>
        <w:t>).</w:t>
      </w:r>
    </w:p>
    <w:p w14:paraId="4A722083" w14:textId="77777777" w:rsidR="00F67E9E" w:rsidRPr="00830C78" w:rsidRDefault="00F67E9E" w:rsidP="00F67E9E">
      <w:pPr>
        <w:pStyle w:val="Leader"/>
        <w:spacing w:line="240" w:lineRule="auto"/>
        <w:rPr>
          <w:rFonts w:cs="Arial"/>
          <w:sz w:val="24"/>
          <w:szCs w:val="24"/>
        </w:rPr>
      </w:pPr>
      <w:r w:rsidRPr="00830C78">
        <w:rPr>
          <w:rFonts w:cs="Arial"/>
          <w:sz w:val="24"/>
          <w:szCs w:val="24"/>
        </w:rPr>
        <w:t>BETWEEN:</w:t>
      </w:r>
    </w:p>
    <w:p w14:paraId="17560C25" w14:textId="77777777" w:rsidR="00F67E9E" w:rsidRPr="006202C8" w:rsidRDefault="00F67E9E" w:rsidP="00F13933">
      <w:pPr>
        <w:pStyle w:val="PartiesBodyText"/>
        <w:numPr>
          <w:ilvl w:val="0"/>
          <w:numId w:val="104"/>
        </w:numPr>
        <w:tabs>
          <w:tab w:val="clear" w:pos="720"/>
          <w:tab w:val="num" w:pos="1080"/>
        </w:tabs>
      </w:pPr>
      <w:r w:rsidRPr="00B73DD6">
        <w:rPr>
          <w:b/>
          <w:highlight w:val="yellow"/>
        </w:rPr>
        <w:t>[insert</w:t>
      </w:r>
      <w:r w:rsidRPr="00E155D8">
        <w:rPr>
          <w:b/>
          <w:highlight w:val="yellow"/>
        </w:rPr>
        <w:t xml:space="preserve"> NAME OF AUTHORITY]</w:t>
      </w:r>
      <w:r w:rsidRPr="006202C8">
        <w:t xml:space="preserve"> (the </w:t>
      </w:r>
      <w:bookmarkStart w:id="1766" w:name="_9kR3WTr1BC48GOJ9xt4z2J"/>
      <w:r w:rsidRPr="006202C8">
        <w:t>“</w:t>
      </w:r>
      <w:r w:rsidRPr="00E155D8">
        <w:rPr>
          <w:b/>
        </w:rPr>
        <w:t>Authority</w:t>
      </w:r>
      <w:bookmarkEnd w:id="1766"/>
      <w:r w:rsidRPr="006202C8">
        <w:t xml:space="preserve">”) </w:t>
      </w:r>
      <w:r w:rsidRPr="00E155D8">
        <w:rPr>
          <w:highlight w:val="yellow"/>
        </w:rPr>
        <w:t xml:space="preserve">[acting on behalf of the </w:t>
      </w:r>
      <w:bookmarkStart w:id="1767" w:name="_9kR3WTr26645BOI177"/>
      <w:r w:rsidRPr="00E155D8">
        <w:rPr>
          <w:highlight w:val="yellow"/>
        </w:rPr>
        <w:t>Crown</w:t>
      </w:r>
      <w:bookmarkEnd w:id="1767"/>
      <w:r w:rsidRPr="00E155D8">
        <w:rPr>
          <w:highlight w:val="yellow"/>
        </w:rPr>
        <w:t>]</w:t>
      </w:r>
      <w:r w:rsidRPr="006202C8">
        <w:t xml:space="preserve"> of </w:t>
      </w:r>
      <w:r w:rsidRPr="00B73DD6">
        <w:rPr>
          <w:b/>
        </w:rPr>
        <w:t>[</w:t>
      </w:r>
      <w:r w:rsidRPr="004B30F8">
        <w:rPr>
          <w:b/>
          <w:highlight w:val="yellow"/>
        </w:rPr>
        <w:t>insert</w:t>
      </w:r>
      <w:r w:rsidRPr="004B30F8">
        <w:rPr>
          <w:highlight w:val="yellow"/>
        </w:rPr>
        <w:t xml:space="preserve"> </w:t>
      </w:r>
      <w:bookmarkStart w:id="1768" w:name="_9kR3WTr67349H"/>
      <w:r w:rsidRPr="004B30F8">
        <w:rPr>
          <w:highlight w:val="yellow"/>
        </w:rPr>
        <w:t>Authority’</w:t>
      </w:r>
      <w:bookmarkStart w:id="1769" w:name="_9kR3WTr5A749I"/>
      <w:r w:rsidRPr="004B30F8">
        <w:rPr>
          <w:highlight w:val="yellow"/>
        </w:rPr>
        <w:t>s</w:t>
      </w:r>
      <w:bookmarkEnd w:id="1768"/>
      <w:bookmarkEnd w:id="1769"/>
      <w:r w:rsidRPr="004B30F8">
        <w:rPr>
          <w:highlight w:val="yellow"/>
        </w:rPr>
        <w:t xml:space="preserve"> address</w:t>
      </w:r>
      <w:r w:rsidRPr="006202C8">
        <w:t>]; and</w:t>
      </w:r>
    </w:p>
    <w:p w14:paraId="5B1CB704" w14:textId="77777777" w:rsidR="00F67E9E" w:rsidRPr="00830C78" w:rsidRDefault="00F67E9E" w:rsidP="00F13933">
      <w:pPr>
        <w:pStyle w:val="PartiesBodyText"/>
        <w:numPr>
          <w:ilvl w:val="0"/>
          <w:numId w:val="104"/>
        </w:numPr>
        <w:tabs>
          <w:tab w:val="clear" w:pos="720"/>
          <w:tab w:val="num" w:pos="1080"/>
        </w:tabs>
        <w:rPr>
          <w:rFonts w:cs="Arial"/>
        </w:rPr>
      </w:pPr>
      <w:bookmarkStart w:id="1770" w:name="bmkNotParty2_002"/>
      <w:r w:rsidRPr="007A5E8D">
        <w:rPr>
          <w:rFonts w:cs="Arial"/>
          <w:b/>
          <w:highlight w:val="yellow"/>
        </w:rPr>
        <w:t>[NAME OF COUNTERPARTY]</w:t>
      </w:r>
      <w:r w:rsidRPr="00680F14">
        <w:rPr>
          <w:rFonts w:cs="Arial"/>
          <w:bCs/>
        </w:rPr>
        <w:t xml:space="preserve"> </w:t>
      </w:r>
      <w:r w:rsidRPr="00830C78">
        <w:t>a [</w:t>
      </w:r>
      <w:r w:rsidRPr="007A5E8D">
        <w:rPr>
          <w:highlight w:val="yellow"/>
        </w:rPr>
        <w:t>company]</w:t>
      </w:r>
      <w:r w:rsidRPr="00830C78">
        <w:t>/[</w:t>
      </w:r>
      <w:r w:rsidRPr="007A5E8D">
        <w:rPr>
          <w:highlight w:val="yellow"/>
        </w:rPr>
        <w:t>limited liability partnership</w:t>
      </w:r>
      <w:r w:rsidRPr="00830C78">
        <w:t xml:space="preserve">] registered in England and Wales under registered number </w:t>
      </w:r>
      <w:r w:rsidRPr="00B73DD6">
        <w:rPr>
          <w:b/>
        </w:rPr>
        <w:t>[</w:t>
      </w:r>
      <w:r w:rsidRPr="004B30F8">
        <w:rPr>
          <w:b/>
          <w:highlight w:val="yellow"/>
        </w:rPr>
        <w:t>insert</w:t>
      </w:r>
      <w:r w:rsidRPr="004B30F8">
        <w:rPr>
          <w:highlight w:val="yellow"/>
        </w:rPr>
        <w:t xml:space="preserve"> registered number</w:t>
      </w:r>
      <w:r w:rsidRPr="00830C78">
        <w:t xml:space="preserve">] whose registered office is at </w:t>
      </w:r>
      <w:r w:rsidRPr="00B73DD6">
        <w:rPr>
          <w:b/>
          <w:highlight w:val="yellow"/>
        </w:rPr>
        <w:t>[insert</w:t>
      </w:r>
      <w:r w:rsidRPr="007A5E8D">
        <w:rPr>
          <w:highlight w:val="yellow"/>
        </w:rPr>
        <w:t xml:space="preserve"> </w:t>
      </w:r>
      <w:bookmarkStart w:id="1771" w:name="_9kMHG5YVt8956BJ"/>
      <w:r w:rsidRPr="007A5E8D">
        <w:rPr>
          <w:highlight w:val="yellow"/>
        </w:rPr>
        <w:t>Counterparty</w:t>
      </w:r>
      <w:r>
        <w:rPr>
          <w:highlight w:val="yellow"/>
        </w:rPr>
        <w:t>’</w:t>
      </w:r>
      <w:r w:rsidRPr="007A5E8D">
        <w:rPr>
          <w:highlight w:val="yellow"/>
        </w:rPr>
        <w:t>s</w:t>
      </w:r>
      <w:bookmarkEnd w:id="1771"/>
      <w:r w:rsidRPr="007A5E8D">
        <w:rPr>
          <w:highlight w:val="yellow"/>
        </w:rPr>
        <w:t xml:space="preserve"> registered address</w:t>
      </w:r>
      <w:r w:rsidRPr="00830C78">
        <w:t>]</w:t>
      </w:r>
      <w:r w:rsidRPr="00166697">
        <w:t xml:space="preserve"> </w:t>
      </w:r>
      <w:r w:rsidRPr="00830C78">
        <w:rPr>
          <w:rFonts w:cs="Arial"/>
        </w:rPr>
        <w:t xml:space="preserve">(the </w:t>
      </w:r>
      <w:bookmarkStart w:id="1772" w:name="_9kR3WTr24447CNF444wv7ruEM"/>
      <w:bookmarkStart w:id="1773" w:name="_9kR3WTr1BC48HRF444wv7ruEM"/>
      <w:r>
        <w:rPr>
          <w:rFonts w:cs="Arial"/>
          <w:bCs/>
        </w:rPr>
        <w:t>“</w:t>
      </w:r>
      <w:r w:rsidRPr="00830C78">
        <w:rPr>
          <w:rFonts w:cs="Arial"/>
          <w:b/>
        </w:rPr>
        <w:t>Counterparty</w:t>
      </w:r>
      <w:bookmarkEnd w:id="1772"/>
      <w:bookmarkEnd w:id="1773"/>
      <w:r>
        <w:rPr>
          <w:rFonts w:cs="Arial"/>
        </w:rPr>
        <w:t>”</w:t>
      </w:r>
      <w:r w:rsidRPr="00830C78">
        <w:rPr>
          <w:rFonts w:cs="Arial"/>
        </w:rPr>
        <w:t>),</w:t>
      </w:r>
    </w:p>
    <w:p w14:paraId="77A5EA8B" w14:textId="77777777" w:rsidR="00F67E9E" w:rsidRPr="00830C78" w:rsidRDefault="00F67E9E" w:rsidP="00F67E9E">
      <w:pPr>
        <w:spacing w:before="100" w:after="200"/>
        <w:rPr>
          <w:rFonts w:cs="Arial"/>
          <w:szCs w:val="24"/>
        </w:rPr>
      </w:pPr>
      <w:r w:rsidRPr="00830C78">
        <w:rPr>
          <w:szCs w:val="24"/>
        </w:rPr>
        <w:t xml:space="preserve">together the </w:t>
      </w:r>
      <w:r>
        <w:rPr>
          <w:szCs w:val="24"/>
        </w:rPr>
        <w:t>“</w:t>
      </w:r>
      <w:r w:rsidRPr="00830C78">
        <w:rPr>
          <w:b/>
          <w:szCs w:val="24"/>
        </w:rPr>
        <w:t>Parties</w:t>
      </w:r>
      <w:r>
        <w:rPr>
          <w:szCs w:val="24"/>
        </w:rPr>
        <w:t>”</w:t>
      </w:r>
      <w:r w:rsidRPr="00830C78">
        <w:rPr>
          <w:szCs w:val="24"/>
        </w:rPr>
        <w:t xml:space="preserve"> and each a </w:t>
      </w:r>
      <w:bookmarkStart w:id="1774" w:name="_9kR3WTr244478WEn7F"/>
      <w:bookmarkStart w:id="1775" w:name="_9kR3WTr1BC48IfEn7F"/>
      <w:r>
        <w:rPr>
          <w:szCs w:val="24"/>
        </w:rPr>
        <w:t>“</w:t>
      </w:r>
      <w:r w:rsidRPr="00830C78">
        <w:rPr>
          <w:b/>
          <w:szCs w:val="24"/>
        </w:rPr>
        <w:t>Party</w:t>
      </w:r>
      <w:bookmarkEnd w:id="1774"/>
      <w:bookmarkEnd w:id="1775"/>
      <w:r>
        <w:rPr>
          <w:szCs w:val="24"/>
        </w:rPr>
        <w:t>”</w:t>
      </w:r>
      <w:r w:rsidRPr="00830C78">
        <w:rPr>
          <w:szCs w:val="24"/>
        </w:rPr>
        <w:t>.</w:t>
      </w:r>
    </w:p>
    <w:bookmarkEnd w:id="1770"/>
    <w:p w14:paraId="3323CB63" w14:textId="77777777" w:rsidR="00F67E9E" w:rsidRPr="00830C78" w:rsidRDefault="00F67E9E" w:rsidP="00F67E9E">
      <w:pPr>
        <w:pStyle w:val="Leader"/>
        <w:spacing w:line="240" w:lineRule="auto"/>
        <w:rPr>
          <w:rFonts w:cs="Arial"/>
          <w:sz w:val="24"/>
          <w:szCs w:val="24"/>
        </w:rPr>
      </w:pPr>
      <w:r w:rsidRPr="00830C78">
        <w:rPr>
          <w:rFonts w:cs="Arial"/>
          <w:sz w:val="24"/>
          <w:szCs w:val="24"/>
        </w:rPr>
        <w:t>BACKGROUND</w:t>
      </w:r>
    </w:p>
    <w:p w14:paraId="7F3E5639" w14:textId="77777777" w:rsidR="00F67E9E" w:rsidRDefault="00F67E9E" w:rsidP="00F67E9E">
      <w:pPr>
        <w:ind w:left="720" w:hanging="720"/>
      </w:pPr>
      <w:r>
        <w:t>(A)</w:t>
      </w:r>
      <w:r>
        <w:tab/>
      </w:r>
      <w:r w:rsidRPr="00830C78">
        <w:t xml:space="preserve">The Authority is obliged to ensure transparency, fairness, non-discrimination and equal treatment in relation to its </w:t>
      </w:r>
      <w:bookmarkStart w:id="1776" w:name="_9kMHG5YVt46669BZX3pwCxtuwCpiE0r8N"/>
      <w:bookmarkStart w:id="1777" w:name="_9kMHG5YVt4666BCYX3pwCxtuwCpiE0r8N"/>
      <w:bookmarkStart w:id="1778" w:name="_9kMHG5YVt4666BEaX3pwCxtuwCpiE0r8N"/>
      <w:r w:rsidRPr="00830C78">
        <w:t>procurement process</w:t>
      </w:r>
      <w:bookmarkEnd w:id="1776"/>
      <w:bookmarkEnd w:id="1777"/>
      <w:bookmarkEnd w:id="1778"/>
      <w:r w:rsidRPr="00830C78">
        <w:t xml:space="preserve"> pursuant to the Procurement Regulations (defined below). The </w:t>
      </w:r>
      <w:bookmarkStart w:id="1779" w:name="_9kMHG5YVt46669Fda9537y"/>
      <w:r w:rsidRPr="00830C78">
        <w:t>purpose</w:t>
      </w:r>
      <w:bookmarkEnd w:id="1779"/>
      <w:r w:rsidRPr="00830C78">
        <w:t xml:space="preserve"> of this document (</w:t>
      </w:r>
      <w:r>
        <w:t>“</w:t>
      </w:r>
      <w:r w:rsidRPr="00830C78">
        <w:rPr>
          <w:b/>
        </w:rPr>
        <w:t>Agreement</w:t>
      </w:r>
      <w:r>
        <w:t>”</w:t>
      </w:r>
      <w:r w:rsidRPr="00830C78">
        <w:t>) is to define the protocols to be followed to prevent, identify and remedy any conflict of interest (whether actual, potential or perceived) in the context of the Purpose (defined below).</w:t>
      </w:r>
      <w:bookmarkStart w:id="1780" w:name="_Ref498070824"/>
    </w:p>
    <w:p w14:paraId="157ED0EE" w14:textId="77777777" w:rsidR="00F67E9E" w:rsidRDefault="00F67E9E" w:rsidP="00F67E9E">
      <w:pPr>
        <w:ind w:left="720" w:hanging="720"/>
        <w:rPr>
          <w:rFonts w:cs="Arial"/>
          <w:szCs w:val="24"/>
        </w:rPr>
      </w:pPr>
    </w:p>
    <w:p w14:paraId="3D21F6A1" w14:textId="77777777" w:rsidR="00F67E9E" w:rsidRPr="00830C78" w:rsidRDefault="00F67E9E" w:rsidP="00F67E9E">
      <w:pPr>
        <w:ind w:left="720" w:hanging="720"/>
        <w:rPr>
          <w:rFonts w:cs="Arial"/>
          <w:szCs w:val="24"/>
        </w:rPr>
      </w:pPr>
      <w:r>
        <w:rPr>
          <w:rFonts w:cs="Arial"/>
          <w:szCs w:val="24"/>
        </w:rPr>
        <w:t>(B)</w:t>
      </w:r>
      <w:r>
        <w:rPr>
          <w:rFonts w:cs="Arial"/>
          <w:szCs w:val="24"/>
        </w:rPr>
        <w:tab/>
      </w:r>
      <w:r w:rsidRPr="00830C78">
        <w:rPr>
          <w:rFonts w:cs="Arial"/>
          <w:szCs w:val="24"/>
        </w:rPr>
        <w:t xml:space="preserve">The Authority is conducting a procurement exercise for the </w:t>
      </w:r>
      <w:r w:rsidRPr="007A5E8D">
        <w:rPr>
          <w:rFonts w:cs="Arial"/>
          <w:szCs w:val="24"/>
          <w:highlight w:val="yellow"/>
        </w:rPr>
        <w:t>[supply/purchase/provision</w:t>
      </w:r>
      <w:r w:rsidRPr="00830C78">
        <w:rPr>
          <w:rFonts w:cs="Arial"/>
          <w:szCs w:val="24"/>
        </w:rPr>
        <w:t xml:space="preserve">] of </w:t>
      </w:r>
      <w:r w:rsidRPr="00B73DD6">
        <w:rPr>
          <w:rFonts w:cs="Arial"/>
          <w:b/>
          <w:szCs w:val="24"/>
        </w:rPr>
        <w:t>[insert</w:t>
      </w:r>
      <w:r w:rsidRPr="007A5E8D">
        <w:rPr>
          <w:rFonts w:cs="Arial"/>
          <w:szCs w:val="24"/>
          <w:highlight w:val="yellow"/>
        </w:rPr>
        <w:t xml:space="preserve"> details of project/goods/services</w:t>
      </w:r>
      <w:r w:rsidRPr="00830C78">
        <w:rPr>
          <w:rFonts w:cs="Arial"/>
          <w:szCs w:val="24"/>
        </w:rPr>
        <w:t xml:space="preserve">] (the </w:t>
      </w:r>
      <w:bookmarkStart w:id="1781" w:name="_9kR3WTr24447DbY7315w"/>
      <w:r>
        <w:rPr>
          <w:rFonts w:cs="Arial"/>
          <w:bCs/>
          <w:szCs w:val="24"/>
        </w:rPr>
        <w:t>“</w:t>
      </w:r>
      <w:r w:rsidRPr="00830C78">
        <w:rPr>
          <w:rFonts w:cs="Arial"/>
          <w:b/>
          <w:szCs w:val="24"/>
        </w:rPr>
        <w:t>Purpose</w:t>
      </w:r>
      <w:bookmarkEnd w:id="1781"/>
      <w:r>
        <w:rPr>
          <w:rFonts w:cs="Arial"/>
          <w:bCs/>
          <w:szCs w:val="24"/>
        </w:rPr>
        <w:t>”</w:t>
      </w:r>
      <w:r w:rsidRPr="00830C78">
        <w:rPr>
          <w:rFonts w:cs="Arial"/>
          <w:szCs w:val="24"/>
        </w:rPr>
        <w:t>).</w:t>
      </w:r>
      <w:bookmarkEnd w:id="1780"/>
    </w:p>
    <w:p w14:paraId="5AFF52DB" w14:textId="77777777" w:rsidR="00F67E9E" w:rsidRPr="00830C78" w:rsidRDefault="00F67E9E" w:rsidP="00F67E9E">
      <w:pPr>
        <w:ind w:left="360"/>
        <w:rPr>
          <w:szCs w:val="24"/>
        </w:rPr>
      </w:pPr>
    </w:p>
    <w:p w14:paraId="101A89A2" w14:textId="77777777" w:rsidR="00F67E9E" w:rsidRPr="009C7441" w:rsidRDefault="00F67E9E" w:rsidP="00F67E9E">
      <w:pPr>
        <w:ind w:left="720" w:hanging="720"/>
        <w:rPr>
          <w:rFonts w:cs="Arial"/>
          <w:szCs w:val="24"/>
        </w:rPr>
      </w:pPr>
      <w:r>
        <w:rPr>
          <w:rFonts w:cs="Arial"/>
          <w:szCs w:val="24"/>
        </w:rPr>
        <w:t>(C)</w:t>
      </w:r>
      <w:r>
        <w:rPr>
          <w:rFonts w:cs="Arial"/>
          <w:szCs w:val="24"/>
        </w:rPr>
        <w:tab/>
      </w:r>
      <w:r w:rsidRPr="009C7441">
        <w:rPr>
          <w:rFonts w:cs="Arial"/>
          <w:szCs w:val="24"/>
        </w:rPr>
        <w:t xml:space="preserve">The Parties wish to enter into this Agreement to ensure that a set of management processes, barriers and disciplines are put in place to ensure that conflicts of interest do not arise, and that the Counterparty does not obtain an unfair competitive advantage over </w:t>
      </w:r>
      <w:bookmarkStart w:id="1782" w:name="_9kMHG5YVt46669GdYykvTFokm1"/>
      <w:r w:rsidRPr="009C7441">
        <w:rPr>
          <w:rFonts w:cs="Arial"/>
          <w:szCs w:val="24"/>
        </w:rPr>
        <w:t>Other Bidders</w:t>
      </w:r>
      <w:bookmarkEnd w:id="1782"/>
      <w:r w:rsidRPr="009C7441">
        <w:rPr>
          <w:rFonts w:cs="Arial"/>
          <w:szCs w:val="24"/>
        </w:rPr>
        <w:t>.</w:t>
      </w:r>
    </w:p>
    <w:p w14:paraId="651EB8CE" w14:textId="77777777" w:rsidR="00F67E9E" w:rsidRPr="00830C78" w:rsidRDefault="00F67E9E" w:rsidP="00F67E9E">
      <w:pPr>
        <w:pStyle w:val="ListParagraph"/>
        <w:ind w:left="207"/>
        <w:jc w:val="both"/>
        <w:rPr>
          <w:rFonts w:cs="Arial"/>
          <w:szCs w:val="24"/>
        </w:rPr>
      </w:pPr>
    </w:p>
    <w:p w14:paraId="66A4B670" w14:textId="77777777" w:rsidR="00F67E9E" w:rsidRPr="00830C78" w:rsidRDefault="00F67E9E" w:rsidP="00F67E9E">
      <w:pPr>
        <w:pStyle w:val="Leader"/>
        <w:keepNext/>
        <w:keepLines/>
        <w:spacing w:line="240" w:lineRule="auto"/>
        <w:rPr>
          <w:rFonts w:cs="Arial"/>
          <w:b w:val="0"/>
          <w:sz w:val="24"/>
          <w:szCs w:val="24"/>
        </w:rPr>
      </w:pPr>
      <w:r w:rsidRPr="00830C78">
        <w:rPr>
          <w:rFonts w:cs="Arial"/>
          <w:sz w:val="24"/>
          <w:szCs w:val="24"/>
        </w:rPr>
        <w:lastRenderedPageBreak/>
        <w:t>IT IS AGREED</w:t>
      </w:r>
      <w:r w:rsidRPr="00830C78">
        <w:rPr>
          <w:rFonts w:cs="Arial"/>
          <w:b w:val="0"/>
          <w:sz w:val="24"/>
          <w:szCs w:val="24"/>
        </w:rPr>
        <w:t>:</w:t>
      </w:r>
    </w:p>
    <w:p w14:paraId="57F7CD57" w14:textId="77777777" w:rsidR="00F67E9E" w:rsidRPr="00830C78" w:rsidRDefault="00F67E9E" w:rsidP="00F13933">
      <w:pPr>
        <w:pStyle w:val="AppendixText1"/>
        <w:numPr>
          <w:ilvl w:val="0"/>
          <w:numId w:val="47"/>
        </w:numPr>
      </w:pPr>
      <w:bookmarkStart w:id="1783" w:name="_Toc378171386"/>
      <w:bookmarkStart w:id="1784" w:name="_Toc493689907"/>
      <w:r w:rsidRPr="00830C78">
        <w:t xml:space="preserve">Definitions </w:t>
      </w:r>
      <w:r>
        <w:t>a</w:t>
      </w:r>
      <w:r w:rsidRPr="00830C78">
        <w:t xml:space="preserve">nd </w:t>
      </w:r>
      <w:r w:rsidRPr="00122216">
        <w:t>Interpretation</w:t>
      </w:r>
      <w:bookmarkEnd w:id="1783"/>
      <w:bookmarkEnd w:id="1784"/>
    </w:p>
    <w:p w14:paraId="588D5699" w14:textId="77777777" w:rsidR="00F67E9E" w:rsidRPr="00830C78" w:rsidRDefault="00F67E9E" w:rsidP="00F67E9E">
      <w:pPr>
        <w:pStyle w:val="AppendixText2"/>
      </w:pPr>
      <w:r w:rsidRPr="00830C78">
        <w:t xml:space="preserve">The following capitalised words and expressions shall have the following meanings in this </w:t>
      </w:r>
      <w:r w:rsidRPr="00122216">
        <w:t>Agreement</w:t>
      </w:r>
      <w:r w:rsidRPr="00830C78">
        <w:t xml:space="preserve"> and its recitals:</w:t>
      </w:r>
    </w:p>
    <w:p w14:paraId="41401D2C" w14:textId="77777777" w:rsidR="00F67E9E" w:rsidRPr="00830C78" w:rsidRDefault="00F67E9E" w:rsidP="00F67E9E">
      <w:pPr>
        <w:pStyle w:val="AppendixText2continued"/>
        <w:ind w:left="720"/>
      </w:pPr>
      <w:r>
        <w:t>“</w:t>
      </w:r>
      <w:r w:rsidRPr="00830C78">
        <w:rPr>
          <w:b/>
        </w:rPr>
        <w:t>Affiliate</w:t>
      </w:r>
      <w:r>
        <w:t>”</w:t>
      </w:r>
      <w:r w:rsidRPr="00830C78">
        <w:t xml:space="preserve"> means in relation to a body corporate, any other entity which directly or indirectly Controls, is Controlled by, or is under direct or indirect common Control of that body corporate from time to time; </w:t>
      </w:r>
    </w:p>
    <w:p w14:paraId="53AC08E9" w14:textId="77777777" w:rsidR="00F67E9E" w:rsidRPr="00830C78" w:rsidRDefault="00F67E9E" w:rsidP="00F67E9E">
      <w:pPr>
        <w:pStyle w:val="AppendixText2continued"/>
        <w:ind w:left="720"/>
        <w:rPr>
          <w:szCs w:val="24"/>
        </w:rPr>
      </w:pPr>
      <w:r>
        <w:rPr>
          <w:szCs w:val="24"/>
        </w:rPr>
        <w:t>“</w:t>
      </w:r>
      <w:r w:rsidRPr="00830C78">
        <w:rPr>
          <w:b/>
          <w:szCs w:val="24"/>
        </w:rPr>
        <w:t>Agreement</w:t>
      </w:r>
      <w:r>
        <w:rPr>
          <w:szCs w:val="24"/>
        </w:rPr>
        <w:t>”</w:t>
      </w:r>
      <w:r w:rsidRPr="00830C78">
        <w:rPr>
          <w:szCs w:val="24"/>
        </w:rPr>
        <w:t xml:space="preserve"> means this ethical </w:t>
      </w:r>
      <w:r w:rsidRPr="00830C78">
        <w:rPr>
          <w:rFonts w:cs="Arial"/>
          <w:szCs w:val="24"/>
        </w:rPr>
        <w:t>walls</w:t>
      </w:r>
      <w:r w:rsidRPr="00830C78">
        <w:rPr>
          <w:szCs w:val="24"/>
        </w:rPr>
        <w:t xml:space="preserve"> agreement duly executed by the Parties;</w:t>
      </w:r>
    </w:p>
    <w:p w14:paraId="09DEAA04" w14:textId="77777777" w:rsidR="00F67E9E" w:rsidRPr="00830C78" w:rsidRDefault="00F67E9E" w:rsidP="00F67E9E">
      <w:pPr>
        <w:pStyle w:val="AppendixText2continued"/>
        <w:ind w:left="720"/>
        <w:rPr>
          <w:rFonts w:cs="Arial"/>
          <w:szCs w:val="24"/>
        </w:rPr>
      </w:pPr>
      <w:r>
        <w:rPr>
          <w:rFonts w:cs="Arial"/>
          <w:szCs w:val="24"/>
        </w:rPr>
        <w:t>“</w:t>
      </w:r>
      <w:r w:rsidRPr="00830C78">
        <w:rPr>
          <w:rFonts w:cs="Arial"/>
          <w:b/>
          <w:szCs w:val="24"/>
        </w:rPr>
        <w:t>Bid Team</w:t>
      </w:r>
      <w:r>
        <w:rPr>
          <w:rFonts w:cs="Arial"/>
          <w:szCs w:val="24"/>
        </w:rPr>
        <w:t>”</w:t>
      </w:r>
      <w:r w:rsidRPr="00830C78">
        <w:rPr>
          <w:rFonts w:cs="Arial"/>
          <w:szCs w:val="24"/>
        </w:rPr>
        <w:t xml:space="preserve"> means any Representatives of the Counterparty, any of its Affiliates and/or any Subcontractors connected to the preparation of an ITT Response; </w:t>
      </w:r>
    </w:p>
    <w:p w14:paraId="3E2D06FD" w14:textId="77777777" w:rsidR="00F67E9E" w:rsidRPr="00830C78" w:rsidRDefault="00F67E9E" w:rsidP="00F67E9E">
      <w:pPr>
        <w:pStyle w:val="AppendixText2continued"/>
        <w:ind w:left="720"/>
        <w:rPr>
          <w:rFonts w:cs="Arial"/>
          <w:szCs w:val="24"/>
        </w:rPr>
      </w:pPr>
      <w:r>
        <w:rPr>
          <w:rFonts w:cs="Arial"/>
          <w:szCs w:val="24"/>
        </w:rPr>
        <w:t>“</w:t>
      </w:r>
      <w:r>
        <w:rPr>
          <w:rFonts w:cs="Arial"/>
          <w:b/>
          <w:bCs/>
          <w:szCs w:val="24"/>
        </w:rPr>
        <w:t>Crown Body</w:t>
      </w:r>
      <w:r>
        <w:rPr>
          <w:rFonts w:cs="Arial"/>
          <w:szCs w:val="24"/>
        </w:rPr>
        <w:t>”</w:t>
      </w:r>
      <w:r w:rsidRPr="00830C78">
        <w:rPr>
          <w:rFonts w:cs="Arial"/>
          <w:szCs w:val="24"/>
        </w:rPr>
        <w:t xml:space="preserve"> means a body listed in one of the following sub-categories of the </w:t>
      </w:r>
      <w:bookmarkStart w:id="1785" w:name="_9kR3WTr26645CP5n38qlSQC30A6y0G"/>
      <w:r w:rsidRPr="00830C78">
        <w:rPr>
          <w:rFonts w:cs="Arial"/>
          <w:szCs w:val="24"/>
        </w:rPr>
        <w:t>Central Government</w:t>
      </w:r>
      <w:bookmarkEnd w:id="1785"/>
      <w:r w:rsidRPr="00830C78">
        <w:rPr>
          <w:rFonts w:cs="Arial"/>
          <w:szCs w:val="24"/>
        </w:rPr>
        <w:t xml:space="preserve"> classification of the </w:t>
      </w:r>
      <w:bookmarkStart w:id="1786" w:name="_9kR3WTr26645DdYrjrjURiyBAZOt1KBz0yr9IEK"/>
      <w:r w:rsidRPr="00830C78">
        <w:rPr>
          <w:rFonts w:cs="Arial"/>
          <w:szCs w:val="24"/>
        </w:rPr>
        <w:t>Public Sector Classification Guide</w:t>
      </w:r>
      <w:bookmarkEnd w:id="1786"/>
      <w:r w:rsidRPr="00830C78">
        <w:rPr>
          <w:rFonts w:cs="Arial"/>
          <w:szCs w:val="24"/>
        </w:rPr>
        <w:t xml:space="preserve">, as published and amended from time to time by the Office for National Statistics, </w:t>
      </w:r>
      <w:r w:rsidRPr="004D5D04">
        <w:t>including</w:t>
      </w:r>
      <w:r w:rsidRPr="00830C78">
        <w:rPr>
          <w:rFonts w:cs="Arial"/>
          <w:szCs w:val="24"/>
        </w:rPr>
        <w:t>:</w:t>
      </w:r>
    </w:p>
    <w:p w14:paraId="6071DFD7" w14:textId="77777777" w:rsidR="00F67E9E" w:rsidRPr="00830C78" w:rsidRDefault="00F67E9E" w:rsidP="00F13933">
      <w:pPr>
        <w:pStyle w:val="AppendixText4"/>
        <w:numPr>
          <w:ilvl w:val="3"/>
          <w:numId w:val="48"/>
        </w:numPr>
        <w:tabs>
          <w:tab w:val="clear" w:pos="2520"/>
          <w:tab w:val="num" w:pos="1811"/>
        </w:tabs>
        <w:ind w:left="1451"/>
      </w:pPr>
      <w:r w:rsidRPr="00830C78">
        <w:t>Government Departments;</w:t>
      </w:r>
    </w:p>
    <w:p w14:paraId="0BA52356" w14:textId="77777777" w:rsidR="00F67E9E" w:rsidRPr="00830C78" w:rsidRDefault="00F67E9E" w:rsidP="00F67E9E">
      <w:pPr>
        <w:pStyle w:val="AppendixText4"/>
        <w:tabs>
          <w:tab w:val="clear" w:pos="2520"/>
          <w:tab w:val="num" w:pos="1811"/>
        </w:tabs>
        <w:ind w:left="1451"/>
      </w:pPr>
      <w:r w:rsidRPr="00830C78">
        <w:t>Non-</w:t>
      </w:r>
      <w:bookmarkStart w:id="1787" w:name="_9kR3WTr26645ES6pmp95rt9xqgk3v3vPW502DOO"/>
      <w:r w:rsidRPr="00830C78">
        <w:t>Departmental Public Bodies or Assembly Sponsored Public Bodies</w:t>
      </w:r>
      <w:bookmarkEnd w:id="1787"/>
      <w:r w:rsidRPr="00830C78">
        <w:t xml:space="preserve"> (advisory, executive, or tribunal);</w:t>
      </w:r>
    </w:p>
    <w:p w14:paraId="594940C1" w14:textId="77777777" w:rsidR="00F67E9E" w:rsidRPr="00830C78" w:rsidRDefault="00F67E9E" w:rsidP="00F67E9E">
      <w:pPr>
        <w:pStyle w:val="AppendixText4"/>
        <w:tabs>
          <w:tab w:val="clear" w:pos="2520"/>
          <w:tab w:val="num" w:pos="1811"/>
        </w:tabs>
        <w:ind w:left="1451"/>
      </w:pPr>
      <w:r w:rsidRPr="00830C78">
        <w:t>Non-Ministerial Departments; or</w:t>
      </w:r>
    </w:p>
    <w:p w14:paraId="6A4613E3" w14:textId="77777777" w:rsidR="00F67E9E" w:rsidRPr="00830C78" w:rsidRDefault="00F67E9E" w:rsidP="00F67E9E">
      <w:pPr>
        <w:pStyle w:val="AppendixText4"/>
        <w:tabs>
          <w:tab w:val="clear" w:pos="2520"/>
          <w:tab w:val="num" w:pos="1811"/>
        </w:tabs>
        <w:ind w:left="1451"/>
      </w:pPr>
      <w:r w:rsidRPr="00830C78">
        <w:rPr>
          <w:rFonts w:cs="Arial"/>
        </w:rPr>
        <w:t>Executive Agencies;</w:t>
      </w:r>
    </w:p>
    <w:p w14:paraId="1D75DB43" w14:textId="77777777" w:rsidR="00F67E9E" w:rsidRPr="00830C78" w:rsidRDefault="00F67E9E" w:rsidP="00F67E9E">
      <w:pPr>
        <w:pStyle w:val="AppendixText2continued"/>
        <w:ind w:left="720"/>
        <w:rPr>
          <w:rFonts w:cs="Arial"/>
          <w:szCs w:val="24"/>
        </w:rPr>
      </w:pPr>
      <w:r>
        <w:rPr>
          <w:rFonts w:cs="Arial"/>
          <w:szCs w:val="24"/>
        </w:rPr>
        <w:t>“</w:t>
      </w:r>
      <w:r w:rsidRPr="00830C78">
        <w:rPr>
          <w:rFonts w:cs="Arial"/>
          <w:b/>
          <w:szCs w:val="24"/>
        </w:rPr>
        <w:t>Conflicted Personnel</w:t>
      </w:r>
      <w:r>
        <w:rPr>
          <w:rFonts w:cs="Arial"/>
          <w:szCs w:val="24"/>
        </w:rPr>
        <w:t>”</w:t>
      </w:r>
      <w:r w:rsidRPr="00830C78">
        <w:rPr>
          <w:rFonts w:cs="Arial"/>
          <w:szCs w:val="24"/>
        </w:rPr>
        <w:t xml:space="preserve"> means any Representatives of:</w:t>
      </w:r>
    </w:p>
    <w:p w14:paraId="4D694D1D" w14:textId="77777777" w:rsidR="00F67E9E" w:rsidRPr="00830C78" w:rsidRDefault="00F67E9E" w:rsidP="00F13933">
      <w:pPr>
        <w:pStyle w:val="AppendixText4"/>
        <w:numPr>
          <w:ilvl w:val="3"/>
          <w:numId w:val="49"/>
        </w:numPr>
        <w:tabs>
          <w:tab w:val="clear" w:pos="2520"/>
          <w:tab w:val="num" w:pos="1811"/>
        </w:tabs>
        <w:ind w:left="1451"/>
      </w:pPr>
      <w:r w:rsidRPr="00830C78">
        <w:t>the Counterparty;</w:t>
      </w:r>
    </w:p>
    <w:p w14:paraId="5BC03F14" w14:textId="77777777" w:rsidR="00F67E9E" w:rsidRPr="00830C78" w:rsidRDefault="00F67E9E" w:rsidP="00F13933">
      <w:pPr>
        <w:pStyle w:val="AppendixText4"/>
        <w:numPr>
          <w:ilvl w:val="3"/>
          <w:numId w:val="48"/>
        </w:numPr>
        <w:tabs>
          <w:tab w:val="clear" w:pos="2520"/>
          <w:tab w:val="num" w:pos="1811"/>
        </w:tabs>
        <w:ind w:left="1451"/>
      </w:pPr>
      <w:r w:rsidRPr="00830C78">
        <w:t>any of the Counterparty</w:t>
      </w:r>
      <w:r>
        <w:t>’</w:t>
      </w:r>
      <w:r w:rsidRPr="00830C78">
        <w:t>s Affiliates; and/or</w:t>
      </w:r>
    </w:p>
    <w:p w14:paraId="7940D188" w14:textId="77777777" w:rsidR="00F67E9E" w:rsidRPr="00830C78" w:rsidRDefault="00F67E9E" w:rsidP="00F13933">
      <w:pPr>
        <w:pStyle w:val="AppendixText4"/>
        <w:numPr>
          <w:ilvl w:val="3"/>
          <w:numId w:val="48"/>
        </w:numPr>
        <w:tabs>
          <w:tab w:val="clear" w:pos="2520"/>
          <w:tab w:val="num" w:pos="1811"/>
        </w:tabs>
        <w:ind w:left="1451"/>
      </w:pPr>
      <w:r w:rsidRPr="00830C78">
        <w:t>any Subcontractors,</w:t>
      </w:r>
    </w:p>
    <w:p w14:paraId="46B3447E" w14:textId="77777777" w:rsidR="00F67E9E" w:rsidRPr="00830C78" w:rsidRDefault="00F67E9E" w:rsidP="00F67E9E">
      <w:pPr>
        <w:pStyle w:val="AppendixText2continued"/>
        <w:ind w:left="720"/>
        <w:rPr>
          <w:rFonts w:cs="Arial"/>
          <w:szCs w:val="24"/>
        </w:rPr>
      </w:pPr>
      <w:r w:rsidRPr="00830C78">
        <w:rPr>
          <w:szCs w:val="24"/>
        </w:rPr>
        <w:t>who, because of the Counterparty</w:t>
      </w:r>
      <w:r>
        <w:rPr>
          <w:szCs w:val="24"/>
        </w:rPr>
        <w:t>’</w:t>
      </w:r>
      <w:r w:rsidRPr="00830C78">
        <w:rPr>
          <w:szCs w:val="24"/>
        </w:rPr>
        <w:t>s, any of its Affiliates</w:t>
      </w:r>
      <w:r>
        <w:rPr>
          <w:szCs w:val="24"/>
        </w:rPr>
        <w:t>’</w:t>
      </w:r>
      <w:r w:rsidRPr="00830C78">
        <w:rPr>
          <w:szCs w:val="24"/>
        </w:rPr>
        <w:t xml:space="preserve"> and/or </w:t>
      </w:r>
      <w:r w:rsidRPr="00830C78">
        <w:rPr>
          <w:rFonts w:cs="Arial"/>
          <w:szCs w:val="24"/>
        </w:rPr>
        <w:t>any Subcontractors</w:t>
      </w:r>
      <w:r>
        <w:rPr>
          <w:rFonts w:cs="Arial"/>
          <w:szCs w:val="24"/>
        </w:rPr>
        <w:t>’</w:t>
      </w:r>
      <w:r w:rsidRPr="00830C78">
        <w:rPr>
          <w:szCs w:val="24"/>
        </w:rPr>
        <w:t xml:space="preserve"> relationship with the Authority under any Contract</w:t>
      </w:r>
      <w:r w:rsidRPr="00830C78">
        <w:rPr>
          <w:rFonts w:cs="Arial"/>
          <w:szCs w:val="24"/>
        </w:rPr>
        <w:t>,</w:t>
      </w:r>
      <w:r w:rsidRPr="00830C78">
        <w:rPr>
          <w:szCs w:val="24"/>
        </w:rPr>
        <w:t xml:space="preserve"> have or have had access to information which creates or may create a conflict of interest or provide the Bid Team with an unfair advantage as regards information </w:t>
      </w:r>
      <w:r w:rsidRPr="00830C78">
        <w:rPr>
          <w:rFonts w:cs="Arial"/>
          <w:szCs w:val="24"/>
        </w:rPr>
        <w:t>Other Bidders</w:t>
      </w:r>
      <w:r w:rsidRPr="00830C78">
        <w:rPr>
          <w:szCs w:val="24"/>
        </w:rPr>
        <w:t xml:space="preserve"> would not have;</w:t>
      </w:r>
    </w:p>
    <w:p w14:paraId="665779CD" w14:textId="77777777" w:rsidR="00F67E9E" w:rsidRPr="00830C78" w:rsidRDefault="00F67E9E" w:rsidP="00F67E9E">
      <w:pPr>
        <w:pStyle w:val="AppendixText2continued"/>
        <w:ind w:left="720"/>
        <w:rPr>
          <w:rFonts w:cs="Arial"/>
          <w:szCs w:val="24"/>
        </w:rPr>
      </w:pPr>
      <w:bookmarkStart w:id="1788" w:name="_9kR3WTr244489JFx38qcw"/>
      <w:bookmarkStart w:id="1789" w:name="_9kR3WTr24449BKFx38qcw"/>
      <w:bookmarkStart w:id="1790" w:name="_9kR3WTr24449DMFx38qcw"/>
      <w:r>
        <w:rPr>
          <w:rFonts w:cs="Arial"/>
          <w:szCs w:val="24"/>
        </w:rPr>
        <w:t>“</w:t>
      </w:r>
      <w:r w:rsidRPr="00830C78">
        <w:rPr>
          <w:rFonts w:cs="Arial"/>
          <w:b/>
          <w:szCs w:val="24"/>
        </w:rPr>
        <w:t>Contract</w:t>
      </w:r>
      <w:bookmarkEnd w:id="1788"/>
      <w:bookmarkEnd w:id="1789"/>
      <w:bookmarkEnd w:id="1790"/>
      <w:r>
        <w:rPr>
          <w:rFonts w:cs="Arial"/>
          <w:szCs w:val="24"/>
        </w:rPr>
        <w:t>”</w:t>
      </w:r>
      <w:r w:rsidRPr="00830C78">
        <w:rPr>
          <w:rFonts w:cs="Arial"/>
          <w:szCs w:val="24"/>
        </w:rPr>
        <w:t xml:space="preserve"> means any pre-existing or previous contract between the Authority and:</w:t>
      </w:r>
    </w:p>
    <w:p w14:paraId="44E89A1E" w14:textId="77777777" w:rsidR="00F67E9E" w:rsidRPr="004D5D04" w:rsidRDefault="00F67E9E" w:rsidP="00F13933">
      <w:pPr>
        <w:pStyle w:val="AppendixText4"/>
        <w:numPr>
          <w:ilvl w:val="3"/>
          <w:numId w:val="50"/>
        </w:numPr>
        <w:tabs>
          <w:tab w:val="clear" w:pos="2520"/>
          <w:tab w:val="num" w:pos="1811"/>
        </w:tabs>
        <w:ind w:left="1451"/>
      </w:pPr>
      <w:r w:rsidRPr="004D5D04">
        <w:t>the Counterparty;</w:t>
      </w:r>
    </w:p>
    <w:p w14:paraId="2A6D5946" w14:textId="77777777" w:rsidR="00F67E9E" w:rsidRPr="004D5D04" w:rsidRDefault="00F67E9E" w:rsidP="00F13933">
      <w:pPr>
        <w:pStyle w:val="AppendixText4"/>
        <w:numPr>
          <w:ilvl w:val="3"/>
          <w:numId w:val="50"/>
        </w:numPr>
        <w:tabs>
          <w:tab w:val="clear" w:pos="2520"/>
          <w:tab w:val="num" w:pos="1811"/>
        </w:tabs>
        <w:ind w:left="1451"/>
      </w:pPr>
      <w:r w:rsidRPr="004D5D04">
        <w:t xml:space="preserve">any of the </w:t>
      </w:r>
      <w:bookmarkStart w:id="1791" w:name="_9kMIH5YVt8956BJ"/>
      <w:r w:rsidRPr="004D5D04">
        <w:t>Counterparty</w:t>
      </w:r>
      <w:r>
        <w:t>’</w:t>
      </w:r>
      <w:r w:rsidRPr="004D5D04">
        <w:t>s</w:t>
      </w:r>
      <w:bookmarkEnd w:id="1791"/>
      <w:r w:rsidRPr="004D5D04">
        <w:t xml:space="preserve"> Affiliates; </w:t>
      </w:r>
    </w:p>
    <w:p w14:paraId="4006AD3E" w14:textId="77777777" w:rsidR="00F67E9E" w:rsidRPr="004D5D04" w:rsidRDefault="00F67E9E" w:rsidP="00F13933">
      <w:pPr>
        <w:pStyle w:val="AppendixText4"/>
        <w:numPr>
          <w:ilvl w:val="3"/>
          <w:numId w:val="50"/>
        </w:numPr>
        <w:tabs>
          <w:tab w:val="clear" w:pos="2520"/>
          <w:tab w:val="num" w:pos="1811"/>
        </w:tabs>
        <w:ind w:left="1451"/>
      </w:pPr>
      <w:r w:rsidRPr="004D5D04">
        <w:t>any Subcontractor; and</w:t>
      </w:r>
    </w:p>
    <w:p w14:paraId="5B31030E" w14:textId="77777777" w:rsidR="00F67E9E" w:rsidRPr="004D5D04" w:rsidRDefault="00F67E9E" w:rsidP="00F13933">
      <w:pPr>
        <w:pStyle w:val="AppendixText4"/>
        <w:numPr>
          <w:ilvl w:val="3"/>
          <w:numId w:val="50"/>
        </w:numPr>
        <w:tabs>
          <w:tab w:val="clear" w:pos="2520"/>
          <w:tab w:val="num" w:pos="1811"/>
        </w:tabs>
        <w:ind w:left="1451"/>
      </w:pPr>
      <w:r w:rsidRPr="004D5D04">
        <w:t>any other Third Party,</w:t>
      </w:r>
    </w:p>
    <w:p w14:paraId="024F20A2" w14:textId="77777777" w:rsidR="00F67E9E" w:rsidRPr="00830C78" w:rsidRDefault="00F67E9E" w:rsidP="00F67E9E">
      <w:pPr>
        <w:pStyle w:val="AppendixText2continued"/>
        <w:ind w:left="720"/>
        <w:rPr>
          <w:rFonts w:cs="Arial"/>
          <w:szCs w:val="24"/>
        </w:rPr>
      </w:pPr>
      <w:r w:rsidRPr="00830C78">
        <w:rPr>
          <w:rFonts w:cs="Arial"/>
          <w:szCs w:val="24"/>
        </w:rPr>
        <w:t>relating to the subject matter of the Purpose at the date of the commencement of the ITT Process;</w:t>
      </w:r>
    </w:p>
    <w:p w14:paraId="30A39396" w14:textId="77777777" w:rsidR="00F67E9E" w:rsidRPr="00830C78" w:rsidRDefault="00F67E9E" w:rsidP="00F67E9E">
      <w:pPr>
        <w:pStyle w:val="AppendixText2continued"/>
        <w:ind w:left="720"/>
        <w:rPr>
          <w:rFonts w:cs="Arial"/>
          <w:szCs w:val="24"/>
        </w:rPr>
      </w:pPr>
      <w:r>
        <w:rPr>
          <w:rFonts w:cs="Arial"/>
          <w:szCs w:val="24"/>
        </w:rPr>
        <w:lastRenderedPageBreak/>
        <w:t>“</w:t>
      </w:r>
      <w:r w:rsidRPr="00830C78">
        <w:rPr>
          <w:rFonts w:cs="Arial"/>
          <w:b/>
          <w:szCs w:val="24"/>
        </w:rPr>
        <w:t>Control</w:t>
      </w:r>
      <w:r>
        <w:rPr>
          <w:rFonts w:cs="Arial"/>
          <w:szCs w:val="24"/>
        </w:rPr>
        <w:t>”</w:t>
      </w:r>
      <w:r w:rsidRPr="00830C78">
        <w:rPr>
          <w:rFonts w:cs="Arial"/>
          <w:szCs w:val="24"/>
        </w:rPr>
        <w:t xml:space="preserve"> means the beneficial ownership of more </w:t>
      </w:r>
      <w:r w:rsidRPr="004D5D04">
        <w:t>than</w:t>
      </w:r>
      <w:r w:rsidRPr="00830C78">
        <w:rPr>
          <w:rFonts w:cs="Arial"/>
          <w:szCs w:val="24"/>
        </w:rPr>
        <w:t xml:space="preserve"> 50% of the issued share capital of a company or the legal power to direct or cause the direction of the management of the company and </w:t>
      </w:r>
      <w:r>
        <w:rPr>
          <w:rFonts w:cs="Arial"/>
          <w:szCs w:val="24"/>
        </w:rPr>
        <w:t>“</w:t>
      </w:r>
      <w:r w:rsidRPr="00830C78">
        <w:rPr>
          <w:rFonts w:cs="Arial"/>
          <w:b/>
          <w:szCs w:val="24"/>
        </w:rPr>
        <w:t>Controls</w:t>
      </w:r>
      <w:r>
        <w:rPr>
          <w:rFonts w:cs="Arial"/>
          <w:szCs w:val="24"/>
        </w:rPr>
        <w:t>”</w:t>
      </w:r>
      <w:r w:rsidRPr="00830C78">
        <w:rPr>
          <w:rFonts w:cs="Arial"/>
          <w:szCs w:val="24"/>
        </w:rPr>
        <w:t xml:space="preserve"> and </w:t>
      </w:r>
      <w:r>
        <w:rPr>
          <w:rFonts w:cs="Arial"/>
          <w:szCs w:val="24"/>
        </w:rPr>
        <w:t>“</w:t>
      </w:r>
      <w:r w:rsidRPr="00830C78">
        <w:rPr>
          <w:rFonts w:cs="Arial"/>
          <w:b/>
          <w:szCs w:val="24"/>
        </w:rPr>
        <w:t>Controlled</w:t>
      </w:r>
      <w:r>
        <w:rPr>
          <w:rFonts w:cs="Arial"/>
          <w:szCs w:val="24"/>
        </w:rPr>
        <w:t>”</w:t>
      </w:r>
      <w:r w:rsidRPr="00830C78">
        <w:rPr>
          <w:rFonts w:cs="Arial"/>
          <w:szCs w:val="24"/>
        </w:rPr>
        <w:t xml:space="preserve"> shall be interpreted accordingly;</w:t>
      </w:r>
    </w:p>
    <w:p w14:paraId="0E61A5D5" w14:textId="77777777" w:rsidR="00F67E9E" w:rsidRPr="00830C78" w:rsidRDefault="00F67E9E" w:rsidP="00F67E9E">
      <w:pPr>
        <w:pStyle w:val="AppendixText2continued"/>
        <w:ind w:left="720"/>
        <w:rPr>
          <w:rFonts w:cs="Arial"/>
          <w:szCs w:val="24"/>
        </w:rPr>
      </w:pPr>
      <w:r>
        <w:rPr>
          <w:rFonts w:cs="Arial"/>
          <w:szCs w:val="24"/>
        </w:rPr>
        <w:t>“</w:t>
      </w:r>
      <w:r w:rsidRPr="00830C78">
        <w:rPr>
          <w:rFonts w:cs="Arial"/>
          <w:b/>
          <w:szCs w:val="24"/>
        </w:rPr>
        <w:t>Effective Date</w:t>
      </w:r>
      <w:r>
        <w:rPr>
          <w:rFonts w:cs="Arial"/>
          <w:szCs w:val="24"/>
        </w:rPr>
        <w:t>”</w:t>
      </w:r>
      <w:r w:rsidRPr="00830C78">
        <w:rPr>
          <w:rFonts w:cs="Arial"/>
          <w:szCs w:val="24"/>
        </w:rPr>
        <w:t xml:space="preserve"> means the date of this Agreement as set out above;</w:t>
      </w:r>
    </w:p>
    <w:p w14:paraId="532399AB" w14:textId="77777777" w:rsidR="00F67E9E" w:rsidRPr="00830C78" w:rsidRDefault="00F67E9E" w:rsidP="00F67E9E">
      <w:pPr>
        <w:pStyle w:val="AppendixText2continued"/>
        <w:ind w:left="720"/>
        <w:rPr>
          <w:rFonts w:cs="Arial"/>
          <w:szCs w:val="24"/>
        </w:rPr>
      </w:pPr>
      <w:r>
        <w:rPr>
          <w:rFonts w:cs="Arial"/>
          <w:szCs w:val="24"/>
        </w:rPr>
        <w:t>“</w:t>
      </w:r>
      <w:bookmarkStart w:id="1792" w:name="_9kR3WTr1AB45FYK40zst2y4ACnYzzr6"/>
      <w:r w:rsidRPr="00830C78">
        <w:rPr>
          <w:rFonts w:cs="Arial"/>
          <w:b/>
          <w:szCs w:val="24"/>
        </w:rPr>
        <w:t>Invitation to Tender</w:t>
      </w:r>
      <w:bookmarkEnd w:id="1792"/>
      <w:r>
        <w:rPr>
          <w:rFonts w:cs="Arial"/>
          <w:szCs w:val="24"/>
        </w:rPr>
        <w:t>”</w:t>
      </w:r>
      <w:r w:rsidRPr="00830C78">
        <w:rPr>
          <w:rFonts w:cs="Arial"/>
          <w:szCs w:val="24"/>
        </w:rPr>
        <w:t xml:space="preserve"> or </w:t>
      </w:r>
      <w:r>
        <w:rPr>
          <w:rFonts w:cs="Arial"/>
          <w:szCs w:val="24"/>
        </w:rPr>
        <w:t>“</w:t>
      </w:r>
      <w:r w:rsidRPr="00830C78">
        <w:rPr>
          <w:rFonts w:cs="Arial"/>
          <w:b/>
          <w:szCs w:val="24"/>
        </w:rPr>
        <w:t>ITT</w:t>
      </w:r>
      <w:r>
        <w:rPr>
          <w:rFonts w:cs="Arial"/>
          <w:szCs w:val="24"/>
        </w:rPr>
        <w:t>”</w:t>
      </w:r>
      <w:r w:rsidRPr="00830C78">
        <w:rPr>
          <w:rFonts w:cs="Arial"/>
          <w:szCs w:val="24"/>
        </w:rPr>
        <w:t xml:space="preserve"> means an invitation to submit tenders issued by the Authority as part of an ITT Process (and shall include an Invitation to Negotiate);</w:t>
      </w:r>
    </w:p>
    <w:p w14:paraId="17CB254B" w14:textId="77777777" w:rsidR="00F67E9E" w:rsidRPr="00830C78" w:rsidRDefault="00F67E9E" w:rsidP="00F67E9E">
      <w:pPr>
        <w:pStyle w:val="AppendixText2continued"/>
        <w:ind w:left="720"/>
        <w:rPr>
          <w:rFonts w:cs="Arial"/>
          <w:szCs w:val="24"/>
        </w:rPr>
      </w:pPr>
      <w:r>
        <w:rPr>
          <w:rFonts w:cs="Arial"/>
          <w:szCs w:val="24"/>
        </w:rPr>
        <w:t>“</w:t>
      </w:r>
      <w:r w:rsidRPr="00830C78">
        <w:rPr>
          <w:rFonts w:cs="Arial"/>
          <w:b/>
          <w:szCs w:val="24"/>
        </w:rPr>
        <w:t>ITT Process</w:t>
      </w:r>
      <w:r>
        <w:rPr>
          <w:rFonts w:cs="Arial"/>
          <w:szCs w:val="24"/>
        </w:rPr>
        <w:t>”</w:t>
      </w:r>
      <w:r w:rsidRPr="00830C78">
        <w:rPr>
          <w:rFonts w:cs="Arial"/>
          <w:b/>
          <w:szCs w:val="24"/>
        </w:rPr>
        <w:t xml:space="preserve"> </w:t>
      </w:r>
      <w:r w:rsidRPr="00830C78">
        <w:rPr>
          <w:rFonts w:cs="Arial"/>
          <w:szCs w:val="24"/>
        </w:rPr>
        <w:t xml:space="preserve">means, with regard to the Purpose, the relevant </w:t>
      </w:r>
      <w:r w:rsidRPr="004D5D04">
        <w:t>procedure</w:t>
      </w:r>
      <w:r w:rsidRPr="00830C78">
        <w:rPr>
          <w:rFonts w:cs="Arial"/>
          <w:szCs w:val="24"/>
        </w:rPr>
        <w:t xml:space="preserve"> provided for in the Procurement Regulations (as amended), which the Authority has elected to use to select a contractor or contractors, together with all relevant information, data, correspondence and/or documents issued and/or made available by or on behalf of the Authority as part of that procurement exercise and all information, correspondence and/or documents issued and/or made available by or on behalf of the bidders in response together with any resulting </w:t>
      </w:r>
      <w:bookmarkStart w:id="1793" w:name="_9kMHG5YVt4666ABLHz5Asey"/>
      <w:r w:rsidRPr="00830C78">
        <w:rPr>
          <w:rFonts w:cs="Arial"/>
          <w:szCs w:val="24"/>
        </w:rPr>
        <w:t>contract</w:t>
      </w:r>
      <w:bookmarkEnd w:id="1793"/>
      <w:r w:rsidRPr="00830C78">
        <w:rPr>
          <w:rFonts w:cs="Arial"/>
          <w:szCs w:val="24"/>
        </w:rPr>
        <w:t>s;</w:t>
      </w:r>
    </w:p>
    <w:p w14:paraId="67625E7F" w14:textId="77777777" w:rsidR="00F67E9E" w:rsidRPr="00830C78" w:rsidRDefault="00F67E9E" w:rsidP="00F67E9E">
      <w:pPr>
        <w:pStyle w:val="AppendixText2continued"/>
        <w:ind w:left="720"/>
        <w:rPr>
          <w:rFonts w:cs="Arial"/>
          <w:szCs w:val="24"/>
        </w:rPr>
      </w:pPr>
      <w:r>
        <w:rPr>
          <w:rFonts w:cs="Arial"/>
          <w:szCs w:val="24"/>
        </w:rPr>
        <w:t>“</w:t>
      </w:r>
      <w:r w:rsidRPr="00830C78">
        <w:rPr>
          <w:rFonts w:cs="Arial"/>
          <w:b/>
          <w:szCs w:val="24"/>
        </w:rPr>
        <w:t>ITT Response</w:t>
      </w:r>
      <w:r>
        <w:rPr>
          <w:rFonts w:cs="Arial"/>
          <w:szCs w:val="24"/>
        </w:rPr>
        <w:t>”</w:t>
      </w:r>
      <w:r w:rsidRPr="00830C78">
        <w:rPr>
          <w:rFonts w:cs="Arial"/>
          <w:szCs w:val="24"/>
        </w:rPr>
        <w:t xml:space="preserve"> means the tender(s) submitted, or to be submitted, by the Counterparty,</w:t>
      </w:r>
      <w:r>
        <w:rPr>
          <w:rFonts w:cs="Arial"/>
          <w:szCs w:val="24"/>
        </w:rPr>
        <w:t xml:space="preserve"> </w:t>
      </w:r>
      <w:r w:rsidRPr="00830C78">
        <w:rPr>
          <w:rFonts w:cs="Arial"/>
          <w:szCs w:val="24"/>
        </w:rPr>
        <w:t xml:space="preserve">any of its Affiliates and/or any Subcontractors </w:t>
      </w:r>
      <w:r w:rsidRPr="004D5D04">
        <w:t>in</w:t>
      </w:r>
      <w:r w:rsidRPr="00830C78">
        <w:rPr>
          <w:rFonts w:cs="Arial"/>
          <w:szCs w:val="24"/>
        </w:rPr>
        <w:t xml:space="preserve"> response to any invitation(s) to submit bids under the ITT process;</w:t>
      </w:r>
    </w:p>
    <w:p w14:paraId="43D02D71" w14:textId="77777777" w:rsidR="00F67E9E" w:rsidRPr="00830C78" w:rsidRDefault="00F67E9E" w:rsidP="00F67E9E">
      <w:pPr>
        <w:pStyle w:val="AppendixText2continued"/>
        <w:ind w:left="720"/>
        <w:rPr>
          <w:rFonts w:cs="Arial"/>
          <w:szCs w:val="24"/>
        </w:rPr>
      </w:pPr>
      <w:bookmarkStart w:id="1794" w:name="_9kR3WTr24447EbWwitRDmikz"/>
      <w:r>
        <w:rPr>
          <w:rFonts w:cs="Arial"/>
          <w:szCs w:val="24"/>
        </w:rPr>
        <w:t>“</w:t>
      </w:r>
      <w:r w:rsidRPr="00830C78">
        <w:rPr>
          <w:rFonts w:cs="Arial"/>
          <w:b/>
          <w:szCs w:val="24"/>
        </w:rPr>
        <w:t>Other Bidder</w:t>
      </w:r>
      <w:bookmarkEnd w:id="1794"/>
      <w:r>
        <w:rPr>
          <w:rFonts w:cs="Arial"/>
          <w:szCs w:val="24"/>
        </w:rPr>
        <w:t>”</w:t>
      </w:r>
      <w:r w:rsidRPr="00830C78">
        <w:rPr>
          <w:rFonts w:cs="Arial"/>
          <w:b/>
          <w:szCs w:val="24"/>
        </w:rPr>
        <w:t xml:space="preserve"> </w:t>
      </w:r>
      <w:r w:rsidRPr="00830C78">
        <w:rPr>
          <w:rFonts w:cs="Arial"/>
          <w:szCs w:val="24"/>
        </w:rPr>
        <w:t xml:space="preserve">means any other bidder or </w:t>
      </w:r>
      <w:r w:rsidRPr="004D5D04">
        <w:t>potential</w:t>
      </w:r>
      <w:r w:rsidRPr="00830C78">
        <w:rPr>
          <w:rFonts w:cs="Arial"/>
          <w:szCs w:val="24"/>
        </w:rPr>
        <w:t xml:space="preserve"> bidder that is not the Counterparty or any of its Affiliates that has taken or is taking part in the ITT Process;</w:t>
      </w:r>
    </w:p>
    <w:p w14:paraId="246C12D5" w14:textId="77777777" w:rsidR="00F67E9E" w:rsidRPr="00830C78" w:rsidRDefault="00F67E9E" w:rsidP="00F67E9E">
      <w:pPr>
        <w:pStyle w:val="AppendixText2continued"/>
        <w:ind w:left="720"/>
        <w:rPr>
          <w:rFonts w:cs="Arial"/>
          <w:szCs w:val="24"/>
        </w:rPr>
      </w:pPr>
      <w:bookmarkStart w:id="1795" w:name="_9kR3WTr24449AWV1nuAvrsuAngCyp6L"/>
      <w:bookmarkStart w:id="1796" w:name="_9kR3WTr24449CYV1nuAvrsuAngCyp6L"/>
      <w:r>
        <w:rPr>
          <w:rFonts w:cs="Arial"/>
          <w:szCs w:val="24"/>
        </w:rPr>
        <w:t>“</w:t>
      </w:r>
      <w:r w:rsidRPr="00830C78">
        <w:rPr>
          <w:b/>
          <w:szCs w:val="24"/>
        </w:rPr>
        <w:t>Procurement Process</w:t>
      </w:r>
      <w:bookmarkEnd w:id="1795"/>
      <w:bookmarkEnd w:id="1796"/>
      <w:r>
        <w:rPr>
          <w:rFonts w:cs="Arial"/>
          <w:szCs w:val="24"/>
        </w:rPr>
        <w:t>”</w:t>
      </w:r>
      <w:r w:rsidRPr="00830C78">
        <w:rPr>
          <w:szCs w:val="24"/>
        </w:rPr>
        <w:t xml:space="preserve"> </w:t>
      </w:r>
      <w:r w:rsidRPr="00830C78">
        <w:rPr>
          <w:iCs/>
          <w:szCs w:val="24"/>
        </w:rPr>
        <w:t xml:space="preserve">means the period commencing on the earlier of: (a) the publication of the first notice in relation to the Purpose; and (b) the execution of this Agreement, and ending on the occurrence of: (i) the publication by the </w:t>
      </w:r>
      <w:r w:rsidRPr="004D5D04">
        <w:t>Authority</w:t>
      </w:r>
      <w:r w:rsidRPr="00830C78">
        <w:rPr>
          <w:iCs/>
          <w:szCs w:val="24"/>
        </w:rPr>
        <w:t xml:space="preserve"> of all </w:t>
      </w:r>
      <w:bookmarkStart w:id="1797" w:name="_9kMHG5YVt4666BDMHz5Asey"/>
      <w:bookmarkStart w:id="1798" w:name="_9kMHG5YVt4666BFOHz5Asey"/>
      <w:r w:rsidRPr="00830C78">
        <w:rPr>
          <w:iCs/>
          <w:szCs w:val="24"/>
        </w:rPr>
        <w:t>contract</w:t>
      </w:r>
      <w:bookmarkEnd w:id="1797"/>
      <w:bookmarkEnd w:id="1798"/>
      <w:r w:rsidRPr="00830C78">
        <w:rPr>
          <w:iCs/>
          <w:szCs w:val="24"/>
        </w:rPr>
        <w:t xml:space="preserve"> award notices that result from the ITT Process; or (ii) the abandonment or termination of the ITT Process as notified by the Authority</w:t>
      </w:r>
      <w:r w:rsidRPr="00830C78">
        <w:rPr>
          <w:szCs w:val="24"/>
        </w:rPr>
        <w:t>;</w:t>
      </w:r>
    </w:p>
    <w:p w14:paraId="611B337E" w14:textId="77777777" w:rsidR="00F67E9E" w:rsidRPr="00863151" w:rsidRDefault="00F67E9E" w:rsidP="00F67E9E">
      <w:pPr>
        <w:pStyle w:val="AppendixText2continued"/>
        <w:ind w:left="720"/>
      </w:pPr>
      <w:r>
        <w:rPr>
          <w:rFonts w:cs="Arial"/>
          <w:szCs w:val="24"/>
        </w:rPr>
        <w:t>“</w:t>
      </w:r>
      <w:r w:rsidRPr="00830C78">
        <w:rPr>
          <w:rFonts w:cs="Arial"/>
          <w:b/>
          <w:szCs w:val="24"/>
        </w:rPr>
        <w:t>Procurement Regulations</w:t>
      </w:r>
      <w:r>
        <w:rPr>
          <w:rFonts w:cs="Arial"/>
          <w:szCs w:val="24"/>
        </w:rPr>
        <w:t>”</w:t>
      </w:r>
      <w:r w:rsidRPr="00830C78">
        <w:rPr>
          <w:rFonts w:cs="Arial"/>
          <w:szCs w:val="24"/>
        </w:rPr>
        <w:t xml:space="preserve"> means the Public Contracts Regulations 2015, t</w:t>
      </w:r>
      <w:r w:rsidRPr="00830C78">
        <w:rPr>
          <w:szCs w:val="24"/>
        </w:rPr>
        <w:t xml:space="preserve">he </w:t>
      </w:r>
      <w:bookmarkStart w:id="1799" w:name="_9kR3WTr266467WYrjrjRb7t0G1xy0G"/>
      <w:r w:rsidRPr="00830C78">
        <w:rPr>
          <w:szCs w:val="24"/>
        </w:rPr>
        <w:t>Public Procurement</w:t>
      </w:r>
      <w:bookmarkEnd w:id="1799"/>
      <w:r w:rsidRPr="00830C78">
        <w:rPr>
          <w:szCs w:val="24"/>
        </w:rPr>
        <w:t xml:space="preserve"> (</w:t>
      </w:r>
      <w:bookmarkStart w:id="1800" w:name="_9kR3WTr266468IBmoooqs8"/>
      <w:r w:rsidRPr="00830C78">
        <w:rPr>
          <w:szCs w:val="24"/>
        </w:rPr>
        <w:t>Amendment</w:t>
      </w:r>
      <w:bookmarkEnd w:id="1800"/>
      <w:r w:rsidRPr="00830C78">
        <w:rPr>
          <w:szCs w:val="24"/>
        </w:rPr>
        <w:t xml:space="preserve"> etc.)(</w:t>
      </w:r>
      <w:bookmarkStart w:id="1801" w:name="_9kR3WTr266469NxyS30"/>
      <w:r w:rsidRPr="00830C78">
        <w:rPr>
          <w:szCs w:val="24"/>
        </w:rPr>
        <w:t>EU Exit</w:t>
      </w:r>
      <w:bookmarkEnd w:id="1801"/>
      <w:r w:rsidRPr="00830C78">
        <w:rPr>
          <w:szCs w:val="24"/>
        </w:rPr>
        <w:t xml:space="preserve">) </w:t>
      </w:r>
      <w:bookmarkStart w:id="1802" w:name="_9kR3WTr26646AbKgx3kt2y49PLMN"/>
      <w:r w:rsidRPr="00830C78">
        <w:rPr>
          <w:szCs w:val="24"/>
        </w:rPr>
        <w:t>Regulation</w:t>
      </w:r>
      <w:r w:rsidRPr="00863151">
        <w:t>s 2020</w:t>
      </w:r>
      <w:bookmarkEnd w:id="1802"/>
      <w:r w:rsidRPr="00863151">
        <w:t>, the Defence and Security Public Contracts Regulations 2011, the Utilities Contracts Regulations 2016, and the Concession Contracts Regulations 2016, each as amended from time to time;</w:t>
      </w:r>
      <w:r w:rsidRPr="00863151" w:rsidDel="0047676E">
        <w:t xml:space="preserve"> </w:t>
      </w:r>
    </w:p>
    <w:p w14:paraId="6B9358DD" w14:textId="77777777" w:rsidR="00F67E9E" w:rsidRPr="00830C78" w:rsidRDefault="00F67E9E" w:rsidP="00F67E9E">
      <w:pPr>
        <w:pStyle w:val="AppendixText2continued"/>
        <w:ind w:left="720"/>
        <w:rPr>
          <w:szCs w:val="24"/>
        </w:rPr>
      </w:pPr>
      <w:r>
        <w:rPr>
          <w:rFonts w:cs="Arial"/>
          <w:szCs w:val="24"/>
        </w:rPr>
        <w:t>“</w:t>
      </w:r>
      <w:r w:rsidRPr="00830C78">
        <w:rPr>
          <w:rFonts w:cs="Arial"/>
          <w:b/>
          <w:szCs w:val="24"/>
        </w:rPr>
        <w:t>Professional Advisor</w:t>
      </w:r>
      <w:r>
        <w:rPr>
          <w:rFonts w:cs="Arial"/>
          <w:szCs w:val="24"/>
        </w:rPr>
        <w:t>”</w:t>
      </w:r>
      <w:r w:rsidRPr="00830C78">
        <w:rPr>
          <w:rFonts w:cs="Arial"/>
          <w:szCs w:val="24"/>
        </w:rPr>
        <w:t xml:space="preserve"> means a supplier, subcontractor, advisor or consultant engaged by the Counterparty and/or any of its Affiliates under the auspices of </w:t>
      </w:r>
      <w:r w:rsidRPr="004D5D04">
        <w:t>compiling</w:t>
      </w:r>
      <w:r w:rsidRPr="00830C78">
        <w:rPr>
          <w:rFonts w:cs="Arial"/>
          <w:szCs w:val="24"/>
        </w:rPr>
        <w:t xml:space="preserve"> its ITT response;</w:t>
      </w:r>
    </w:p>
    <w:p w14:paraId="0EC50C4D" w14:textId="77777777" w:rsidR="00F67E9E" w:rsidRPr="00830C78" w:rsidRDefault="00F67E9E" w:rsidP="00F67E9E">
      <w:pPr>
        <w:pStyle w:val="AppendixText2continued"/>
        <w:ind w:left="720"/>
        <w:rPr>
          <w:rFonts w:cs="Arial"/>
          <w:szCs w:val="24"/>
        </w:rPr>
      </w:pPr>
      <w:r>
        <w:rPr>
          <w:rFonts w:cs="Arial"/>
          <w:szCs w:val="24"/>
        </w:rPr>
        <w:t>“</w:t>
      </w:r>
      <w:r w:rsidRPr="00830C78">
        <w:rPr>
          <w:rFonts w:cs="Arial"/>
          <w:b/>
          <w:szCs w:val="24"/>
        </w:rPr>
        <w:t>Purpose</w:t>
      </w:r>
      <w:r>
        <w:rPr>
          <w:rFonts w:cs="Arial"/>
          <w:szCs w:val="24"/>
        </w:rPr>
        <w:t>”</w:t>
      </w:r>
      <w:r w:rsidRPr="00830C78">
        <w:rPr>
          <w:rFonts w:cs="Arial"/>
          <w:szCs w:val="24"/>
        </w:rPr>
        <w:t xml:space="preserve"> has the meaning given to it in recital </w:t>
      </w:r>
      <w:bookmarkStart w:id="1803" w:name="_9kR3WTr26646BMJ34yo0TC0znwxzF"/>
      <w:r w:rsidRPr="00830C78">
        <w:rPr>
          <w:rFonts w:cs="Arial"/>
          <w:szCs w:val="24"/>
        </w:rPr>
        <w:t>B to this Agreement</w:t>
      </w:r>
      <w:bookmarkEnd w:id="1803"/>
      <w:r w:rsidRPr="00830C78">
        <w:rPr>
          <w:rFonts w:cs="Arial"/>
          <w:szCs w:val="24"/>
        </w:rPr>
        <w:t>;</w:t>
      </w:r>
    </w:p>
    <w:p w14:paraId="38759CBF" w14:textId="77777777" w:rsidR="00F67E9E" w:rsidRPr="00830C78" w:rsidRDefault="00F67E9E" w:rsidP="00F67E9E">
      <w:pPr>
        <w:pStyle w:val="AppendixText2continued"/>
        <w:ind w:left="720"/>
        <w:rPr>
          <w:rFonts w:cs="Arial"/>
          <w:szCs w:val="24"/>
        </w:rPr>
      </w:pPr>
      <w:bookmarkStart w:id="1804" w:name="_9kR3WTr24448AZKp3tvws8wx696"/>
      <w:r>
        <w:rPr>
          <w:rFonts w:cs="Arial"/>
          <w:szCs w:val="24"/>
        </w:rPr>
        <w:t>“</w:t>
      </w:r>
      <w:r w:rsidRPr="00830C78">
        <w:rPr>
          <w:rFonts w:cs="Arial"/>
          <w:b/>
          <w:szCs w:val="24"/>
        </w:rPr>
        <w:t>Representative</w:t>
      </w:r>
      <w:bookmarkEnd w:id="1804"/>
      <w:r>
        <w:rPr>
          <w:rFonts w:cs="Arial"/>
          <w:bCs/>
          <w:szCs w:val="24"/>
        </w:rPr>
        <w:t>”</w:t>
      </w:r>
      <w:r w:rsidRPr="00830C78">
        <w:rPr>
          <w:rFonts w:cs="Arial"/>
          <w:b/>
          <w:szCs w:val="24"/>
        </w:rPr>
        <w:t xml:space="preserve"> </w:t>
      </w:r>
      <w:r w:rsidRPr="00830C78">
        <w:rPr>
          <w:rFonts w:cs="Arial"/>
          <w:szCs w:val="24"/>
        </w:rPr>
        <w:t>refers to a person</w:t>
      </w:r>
      <w:r>
        <w:rPr>
          <w:rFonts w:cs="Arial"/>
          <w:szCs w:val="24"/>
        </w:rPr>
        <w:t>’</w:t>
      </w:r>
      <w:r w:rsidRPr="00830C78">
        <w:rPr>
          <w:rFonts w:cs="Arial"/>
          <w:szCs w:val="24"/>
        </w:rPr>
        <w:t>s officers, directors, employees, advisers (including the officers, directors, employees, advisers and agents of any Professional Advisors), agents and, where the context admits, providers or potential providers of finance (including their representatives) to the Counterparty, any of its Affiliates and/or any subcontractors engaged in connection with the ITT Process;</w:t>
      </w:r>
    </w:p>
    <w:p w14:paraId="130B1CC3" w14:textId="77777777" w:rsidR="00F67E9E" w:rsidRPr="00830C78" w:rsidRDefault="00F67E9E" w:rsidP="00F67E9E">
      <w:pPr>
        <w:pStyle w:val="AppendixText2continued"/>
        <w:ind w:left="720"/>
        <w:rPr>
          <w:szCs w:val="24"/>
        </w:rPr>
      </w:pPr>
      <w:r>
        <w:rPr>
          <w:szCs w:val="24"/>
        </w:rPr>
        <w:t>“</w:t>
      </w:r>
      <w:r w:rsidRPr="00830C78">
        <w:rPr>
          <w:b/>
          <w:szCs w:val="24"/>
        </w:rPr>
        <w:t>Subcontractor</w:t>
      </w:r>
      <w:r>
        <w:rPr>
          <w:szCs w:val="24"/>
        </w:rPr>
        <w:t>”</w:t>
      </w:r>
      <w:r w:rsidRPr="00830C78">
        <w:rPr>
          <w:szCs w:val="24"/>
        </w:rPr>
        <w:t xml:space="preserve"> means an existing or </w:t>
      </w:r>
      <w:r w:rsidRPr="004D5D04">
        <w:t>proposed</w:t>
      </w:r>
      <w:r w:rsidRPr="00830C78">
        <w:rPr>
          <w:szCs w:val="24"/>
        </w:rPr>
        <w:t xml:space="preserve"> subcontractor of:</w:t>
      </w:r>
    </w:p>
    <w:p w14:paraId="2C5B225C" w14:textId="77777777" w:rsidR="00F67E9E" w:rsidRPr="00830C78" w:rsidRDefault="00F67E9E" w:rsidP="00F13933">
      <w:pPr>
        <w:pStyle w:val="AppendixText4"/>
        <w:numPr>
          <w:ilvl w:val="3"/>
          <w:numId w:val="51"/>
        </w:numPr>
        <w:tabs>
          <w:tab w:val="clear" w:pos="2520"/>
          <w:tab w:val="num" w:pos="1811"/>
        </w:tabs>
        <w:ind w:left="1451"/>
      </w:pPr>
      <w:r w:rsidRPr="00830C78">
        <w:t>the Counterparty; and/or</w:t>
      </w:r>
    </w:p>
    <w:p w14:paraId="3F41DBC5" w14:textId="77777777" w:rsidR="00F67E9E" w:rsidRPr="00830C78" w:rsidRDefault="00F67E9E" w:rsidP="00F13933">
      <w:pPr>
        <w:pStyle w:val="AppendixText4"/>
        <w:numPr>
          <w:ilvl w:val="3"/>
          <w:numId w:val="50"/>
        </w:numPr>
        <w:tabs>
          <w:tab w:val="clear" w:pos="2520"/>
          <w:tab w:val="num" w:pos="1811"/>
        </w:tabs>
        <w:ind w:left="1451"/>
      </w:pPr>
      <w:r w:rsidRPr="00830C78">
        <w:t>any of the Counterparty</w:t>
      </w:r>
      <w:r>
        <w:t>’</w:t>
      </w:r>
      <w:r w:rsidRPr="00830C78">
        <w:t>s Affiliates,</w:t>
      </w:r>
    </w:p>
    <w:p w14:paraId="5C98DED2" w14:textId="77777777" w:rsidR="00F67E9E" w:rsidRPr="00830C78" w:rsidRDefault="00F67E9E" w:rsidP="00F67E9E">
      <w:pPr>
        <w:pStyle w:val="AppendixText2continued"/>
        <w:ind w:left="720"/>
        <w:rPr>
          <w:rFonts w:cs="Arial"/>
          <w:szCs w:val="24"/>
        </w:rPr>
      </w:pPr>
      <w:r w:rsidRPr="00830C78">
        <w:rPr>
          <w:rFonts w:cs="Arial"/>
          <w:szCs w:val="24"/>
        </w:rPr>
        <w:lastRenderedPageBreak/>
        <w:t xml:space="preserve">who is connected to the </w:t>
      </w:r>
      <w:r w:rsidRPr="004D5D04">
        <w:rPr>
          <w:szCs w:val="24"/>
        </w:rPr>
        <w:t>preparation</w:t>
      </w:r>
      <w:r w:rsidRPr="00830C78">
        <w:rPr>
          <w:rFonts w:cs="Arial"/>
          <w:szCs w:val="24"/>
        </w:rPr>
        <w:t xml:space="preserve"> of an ITT Response (including key subcontractors named in the ITT Response);</w:t>
      </w:r>
    </w:p>
    <w:p w14:paraId="6FA8F85A" w14:textId="77777777" w:rsidR="00F67E9E" w:rsidRPr="00830C78" w:rsidRDefault="00F67E9E" w:rsidP="00F67E9E">
      <w:pPr>
        <w:pStyle w:val="AppendixText2continued"/>
        <w:ind w:left="720"/>
        <w:rPr>
          <w:rFonts w:cs="Arial"/>
          <w:szCs w:val="24"/>
        </w:rPr>
      </w:pPr>
      <w:r>
        <w:rPr>
          <w:rFonts w:cs="Arial"/>
          <w:szCs w:val="24"/>
        </w:rPr>
        <w:t>“</w:t>
      </w:r>
      <w:r w:rsidRPr="00830C78">
        <w:rPr>
          <w:rFonts w:cs="Arial"/>
          <w:b/>
          <w:szCs w:val="24"/>
        </w:rPr>
        <w:t>Third Party</w:t>
      </w:r>
      <w:r>
        <w:rPr>
          <w:rFonts w:cs="Arial"/>
          <w:szCs w:val="24"/>
        </w:rPr>
        <w:t>”</w:t>
      </w:r>
      <w:r w:rsidRPr="00830C78">
        <w:rPr>
          <w:rFonts w:cs="Arial"/>
          <w:szCs w:val="24"/>
        </w:rPr>
        <w:t xml:space="preserve"> means any person who is not a Party, including Other Bidders, their Affiliates and/or their Representatives; and</w:t>
      </w:r>
    </w:p>
    <w:p w14:paraId="404C7B46" w14:textId="77777777" w:rsidR="00F67E9E" w:rsidRPr="00830C78" w:rsidRDefault="00F67E9E" w:rsidP="00F67E9E">
      <w:pPr>
        <w:pStyle w:val="AppendixText2continued"/>
        <w:ind w:left="720"/>
        <w:rPr>
          <w:rFonts w:cs="Arial"/>
          <w:szCs w:val="24"/>
        </w:rPr>
      </w:pPr>
      <w:bookmarkStart w:id="1805" w:name="_9kR3WTr24448FjZ1yqutK91"/>
      <w:r>
        <w:rPr>
          <w:rFonts w:cs="Arial"/>
          <w:szCs w:val="24"/>
        </w:rPr>
        <w:t>“</w:t>
      </w:r>
      <w:r w:rsidRPr="00830C78">
        <w:rPr>
          <w:rFonts w:cs="Arial"/>
          <w:b/>
          <w:bCs/>
          <w:szCs w:val="24"/>
        </w:rPr>
        <w:t>Working Day</w:t>
      </w:r>
      <w:bookmarkEnd w:id="1805"/>
      <w:r>
        <w:rPr>
          <w:rFonts w:cs="Arial"/>
          <w:szCs w:val="24"/>
        </w:rPr>
        <w:t>”</w:t>
      </w:r>
      <w:r w:rsidRPr="00830C78">
        <w:rPr>
          <w:rFonts w:cs="Arial"/>
          <w:szCs w:val="24"/>
        </w:rPr>
        <w:t xml:space="preserve"> means any day of the </w:t>
      </w:r>
      <w:r w:rsidRPr="004D5D04">
        <w:rPr>
          <w:szCs w:val="24"/>
        </w:rPr>
        <w:t>week</w:t>
      </w:r>
      <w:r w:rsidRPr="00830C78">
        <w:rPr>
          <w:rFonts w:cs="Arial"/>
          <w:szCs w:val="24"/>
        </w:rPr>
        <w:t xml:space="preserve"> other than a weekend, when Banks in England and Wales are open for business. </w:t>
      </w:r>
    </w:p>
    <w:p w14:paraId="5121F988" w14:textId="77777777" w:rsidR="00F67E9E" w:rsidRPr="00122216" w:rsidRDefault="00F67E9E" w:rsidP="00F67E9E">
      <w:pPr>
        <w:pStyle w:val="AppendixText2"/>
      </w:pPr>
      <w:bookmarkStart w:id="1806" w:name="_9kR3WTr8E849FDB"/>
      <w:bookmarkEnd w:id="1806"/>
      <w:r w:rsidRPr="00830C78">
        <w:t xml:space="preserve">Reference to the disclosure of information includes any communication or making available </w:t>
      </w:r>
      <w:r w:rsidRPr="00122216">
        <w:t>information and includes both direct and indirect disclosure.</w:t>
      </w:r>
    </w:p>
    <w:p w14:paraId="1F6EACBA" w14:textId="77777777" w:rsidR="00F67E9E" w:rsidRPr="00122216" w:rsidRDefault="00F67E9E" w:rsidP="00F67E9E">
      <w:pPr>
        <w:pStyle w:val="AppendixText2"/>
      </w:pPr>
      <w:r w:rsidRPr="00122216">
        <w:t>Reference to the disclosure of information, or provision of access, by or to the Authority, the Counterparty, any of the Counterparty’s Affiliates and/or any Subcontractors includes disclosure, or provision of access, by or to the Representatives of the Authority, the Counterparty, any of its Affiliates and/or any Subcontractors (as the case may be).</w:t>
      </w:r>
    </w:p>
    <w:p w14:paraId="73E518A2" w14:textId="77777777" w:rsidR="00F67E9E" w:rsidRPr="00122216" w:rsidRDefault="00F67E9E" w:rsidP="00F67E9E">
      <w:pPr>
        <w:pStyle w:val="AppendixText2"/>
      </w:pPr>
      <w:r w:rsidRPr="00122216">
        <w:t>Reference to persons includes legal and natural persons.</w:t>
      </w:r>
    </w:p>
    <w:p w14:paraId="36EF007A" w14:textId="77777777" w:rsidR="00F67E9E" w:rsidRPr="00122216" w:rsidRDefault="00F67E9E" w:rsidP="00F67E9E">
      <w:pPr>
        <w:pStyle w:val="AppendixText2"/>
      </w:pPr>
      <w:r w:rsidRPr="00122216">
        <w:t>Reference to any enactment is to that enactment as amended, supplemented, re-enacted or replaced from time to time.</w:t>
      </w:r>
    </w:p>
    <w:p w14:paraId="09F22B74" w14:textId="77777777" w:rsidR="00F67E9E" w:rsidRPr="00122216" w:rsidRDefault="00F67E9E" w:rsidP="00F67E9E">
      <w:pPr>
        <w:pStyle w:val="AppendixText2"/>
      </w:pPr>
      <w:r w:rsidRPr="00122216">
        <w:t>Reference to clauses and recitals is to clauses of and recitals to this Agreement.</w:t>
      </w:r>
    </w:p>
    <w:p w14:paraId="2A79C088" w14:textId="77777777" w:rsidR="00F67E9E" w:rsidRPr="00122216" w:rsidRDefault="00F67E9E" w:rsidP="00F67E9E">
      <w:pPr>
        <w:pStyle w:val="AppendixText2"/>
      </w:pPr>
      <w:r w:rsidRPr="00122216">
        <w:t>Reference to any gender includes any other.</w:t>
      </w:r>
    </w:p>
    <w:p w14:paraId="1BDBEE83" w14:textId="77777777" w:rsidR="00F67E9E" w:rsidRPr="00830C78" w:rsidRDefault="00F67E9E" w:rsidP="00F67E9E">
      <w:pPr>
        <w:pStyle w:val="AppendixText2"/>
      </w:pPr>
      <w:r w:rsidRPr="00122216">
        <w:t>Referen</w:t>
      </w:r>
      <w:r w:rsidRPr="00830C78">
        <w:t>ce to writing includes email.</w:t>
      </w:r>
    </w:p>
    <w:p w14:paraId="5F59C78B" w14:textId="77777777" w:rsidR="00F67E9E" w:rsidRPr="00830C78" w:rsidRDefault="00F67E9E" w:rsidP="00F67E9E">
      <w:pPr>
        <w:pStyle w:val="AppendixText2"/>
      </w:pPr>
      <w:r w:rsidRPr="00830C78">
        <w:t xml:space="preserve">The terms </w:t>
      </w:r>
      <w:bookmarkStart w:id="1807" w:name="_9kR3WTr23347Fon63ojiuz"/>
      <w:r>
        <w:t>“</w:t>
      </w:r>
      <w:r w:rsidRPr="00830C78">
        <w:rPr>
          <w:b/>
          <w:bCs/>
        </w:rPr>
        <w:t>associate</w:t>
      </w:r>
      <w:bookmarkEnd w:id="1807"/>
      <w:r>
        <w:t>”</w:t>
      </w:r>
      <w:r w:rsidRPr="00830C78">
        <w:t xml:space="preserve">, </w:t>
      </w:r>
      <w:r>
        <w:t>“</w:t>
      </w:r>
      <w:bookmarkStart w:id="1808" w:name="_9kR3WTr23347Gwqvljutjs35utI"/>
      <w:r w:rsidRPr="00830C78">
        <w:rPr>
          <w:b/>
          <w:bCs/>
        </w:rPr>
        <w:t>holding company</w:t>
      </w:r>
      <w:bookmarkEnd w:id="1808"/>
      <w:r>
        <w:t>”</w:t>
      </w:r>
      <w:r w:rsidRPr="00830C78">
        <w:t xml:space="preserve">, </w:t>
      </w:r>
      <w:r>
        <w:t>“</w:t>
      </w:r>
      <w:bookmarkStart w:id="1809" w:name="_9kR3WTr23348C27rqykljtI"/>
      <w:r w:rsidRPr="00830C78">
        <w:rPr>
          <w:b/>
          <w:bCs/>
        </w:rPr>
        <w:t>subsidiary</w:t>
      </w:r>
      <w:bookmarkEnd w:id="1809"/>
      <w:r>
        <w:t>”</w:t>
      </w:r>
      <w:r w:rsidRPr="00830C78">
        <w:t xml:space="preserve">, </w:t>
      </w:r>
      <w:r>
        <w:t>“</w:t>
      </w:r>
      <w:bookmarkStart w:id="1810" w:name="_9kR3WTr23348D37rqykljtIMCwo3J3v487"/>
      <w:r w:rsidRPr="00830C78">
        <w:rPr>
          <w:b/>
          <w:bCs/>
        </w:rPr>
        <w:t>subsidiary undertaking</w:t>
      </w:r>
      <w:bookmarkEnd w:id="1810"/>
      <w:r>
        <w:t>”</w:t>
      </w:r>
      <w:r w:rsidRPr="00830C78">
        <w:t xml:space="preserve"> and </w:t>
      </w:r>
      <w:r>
        <w:t>“</w:t>
      </w:r>
      <w:bookmarkStart w:id="1811" w:name="_9kR3WTr23348E8yrwu8CBBul0I219vwu4T"/>
      <w:r w:rsidRPr="00830C78">
        <w:rPr>
          <w:b/>
          <w:bCs/>
        </w:rPr>
        <w:t>wholly owned subsidiary</w:t>
      </w:r>
      <w:bookmarkEnd w:id="1811"/>
      <w:r>
        <w:t>”</w:t>
      </w:r>
      <w:r w:rsidRPr="00830C78">
        <w:t xml:space="preserve"> have the meanings attributed to them in the Companies Act 2006, except that for the </w:t>
      </w:r>
      <w:bookmarkStart w:id="1812" w:name="_9kMIH5YVt46669Fda9537y"/>
      <w:r w:rsidRPr="00830C78">
        <w:t>purposes</w:t>
      </w:r>
      <w:bookmarkEnd w:id="1812"/>
      <w:r w:rsidRPr="00830C78">
        <w:t xml:space="preserve"> of section 1159(1)(a) of that Act, the words </w:t>
      </w:r>
      <w:r>
        <w:t>‘</w:t>
      </w:r>
      <w:r w:rsidRPr="00830C78">
        <w:t>holds a majority of the voting rights</w:t>
      </w:r>
      <w:r>
        <w:t>’</w:t>
      </w:r>
      <w:r w:rsidRPr="00830C78">
        <w:t xml:space="preserve"> shall be changed to </w:t>
      </w:r>
      <w:r>
        <w:t>‘</w:t>
      </w:r>
      <w:r w:rsidRPr="00830C78">
        <w:t>holds 30% or more of the voting rights</w:t>
      </w:r>
      <w:r>
        <w:t>’</w:t>
      </w:r>
      <w:r w:rsidRPr="00830C78">
        <w:t>, and other expressions shall be construed accordingly.</w:t>
      </w:r>
    </w:p>
    <w:p w14:paraId="124902EE" w14:textId="77777777" w:rsidR="00F67E9E" w:rsidRPr="00830C78" w:rsidRDefault="00F67E9E" w:rsidP="00F67E9E">
      <w:pPr>
        <w:pStyle w:val="AppendixText2"/>
      </w:pPr>
      <w:r w:rsidRPr="00830C78">
        <w:t xml:space="preserve">The words </w:t>
      </w:r>
      <w:r>
        <w:t>“</w:t>
      </w:r>
      <w:bookmarkStart w:id="1813" w:name="_9kR3WTr23347Hyqlk3wh"/>
      <w:r w:rsidRPr="00830C78">
        <w:rPr>
          <w:b/>
          <w:bCs/>
        </w:rPr>
        <w:t>include</w:t>
      </w:r>
      <w:bookmarkEnd w:id="1813"/>
      <w:r>
        <w:t>”</w:t>
      </w:r>
      <w:r w:rsidRPr="00830C78">
        <w:t xml:space="preserve"> and </w:t>
      </w:r>
      <w:r>
        <w:t>“</w:t>
      </w:r>
      <w:r w:rsidRPr="00830C78">
        <w:rPr>
          <w:b/>
          <w:bCs/>
        </w:rPr>
        <w:t>including</w:t>
      </w:r>
      <w:r>
        <w:t>”</w:t>
      </w:r>
      <w:r w:rsidRPr="00830C78">
        <w:t xml:space="preserve"> are to be construed without limitation.</w:t>
      </w:r>
    </w:p>
    <w:p w14:paraId="1602195D" w14:textId="77777777" w:rsidR="00F67E9E" w:rsidRPr="00830C78" w:rsidRDefault="00F67E9E" w:rsidP="00F67E9E">
      <w:pPr>
        <w:pStyle w:val="AppendixText2"/>
      </w:pPr>
      <w:r w:rsidRPr="00830C78">
        <w:t>The singular includes the plural and vice versa.</w:t>
      </w:r>
    </w:p>
    <w:p w14:paraId="6993C166" w14:textId="77777777" w:rsidR="00F67E9E" w:rsidRPr="00830C78" w:rsidRDefault="00F67E9E" w:rsidP="00F67E9E">
      <w:pPr>
        <w:pStyle w:val="AppendixText2"/>
      </w:pPr>
      <w:r w:rsidRPr="00830C78">
        <w:t>The headings contained in this Agreement shall not affect its construction or interpretation.</w:t>
      </w:r>
    </w:p>
    <w:p w14:paraId="646F643B" w14:textId="77777777" w:rsidR="00F67E9E" w:rsidRPr="004D5D04" w:rsidRDefault="00F67E9E" w:rsidP="00F67E9E">
      <w:pPr>
        <w:pStyle w:val="AppendixText1"/>
      </w:pPr>
      <w:bookmarkStart w:id="1814" w:name="_9kR3WTr8E849GF"/>
      <w:bookmarkStart w:id="1815" w:name="_Toc493689908"/>
      <w:bookmarkStart w:id="1816" w:name="_Ref89439696"/>
      <w:bookmarkStart w:id="1817" w:name="_Ref89439702"/>
      <w:bookmarkEnd w:id="1814"/>
      <w:r w:rsidRPr="004D5D04">
        <w:t xml:space="preserve">Ethical </w:t>
      </w:r>
      <w:r w:rsidRPr="00122216">
        <w:t>Walls</w:t>
      </w:r>
      <w:bookmarkEnd w:id="1815"/>
      <w:bookmarkEnd w:id="1816"/>
      <w:bookmarkEnd w:id="1817"/>
    </w:p>
    <w:p w14:paraId="20652724" w14:textId="77777777" w:rsidR="00F67E9E" w:rsidRPr="00830C78" w:rsidRDefault="00F67E9E" w:rsidP="00F67E9E">
      <w:pPr>
        <w:pStyle w:val="AppendixText2"/>
      </w:pPr>
      <w:bookmarkStart w:id="1818" w:name="_Ref393380618"/>
      <w:bookmarkStart w:id="1819" w:name="_Ref393358182"/>
      <w:r w:rsidRPr="00830C78">
        <w:t xml:space="preserve">In consideration of the sum of £1 payable by the Authority to the Counterparty, receipt of which is hereby acknowledged, the Parties </w:t>
      </w:r>
      <w:r w:rsidRPr="004D5D04">
        <w:t>agree</w:t>
      </w:r>
      <w:r w:rsidRPr="00830C78">
        <w:t xml:space="preserve"> to be bound by the terms of this Agreement.</w:t>
      </w:r>
      <w:bookmarkEnd w:id="1818"/>
    </w:p>
    <w:p w14:paraId="639B65A5" w14:textId="77777777" w:rsidR="00F67E9E" w:rsidRPr="004D5D04" w:rsidRDefault="00F67E9E" w:rsidP="00F67E9E">
      <w:pPr>
        <w:pStyle w:val="StdBodyText1"/>
        <w:keepNext/>
        <w:keepLines/>
        <w:rPr>
          <w:rStyle w:val="StdBodyTextBoldChar"/>
          <w:rFonts w:cs="Arial"/>
          <w:bCs/>
        </w:rPr>
      </w:pPr>
      <w:r w:rsidRPr="004D5D04">
        <w:rPr>
          <w:rStyle w:val="StdBodyTextBoldChar"/>
          <w:rFonts w:cs="Arial"/>
          <w:bCs/>
        </w:rPr>
        <w:t>Conflicts of Interest</w:t>
      </w:r>
    </w:p>
    <w:p w14:paraId="5B97556A" w14:textId="77777777" w:rsidR="00F67E9E" w:rsidRPr="00830C78" w:rsidRDefault="00F67E9E" w:rsidP="00F67E9E">
      <w:pPr>
        <w:pStyle w:val="AppendixText2"/>
        <w:rPr>
          <w:rFonts w:cs="Arial"/>
        </w:rPr>
      </w:pPr>
      <w:bookmarkStart w:id="1820" w:name="_Ref76559368"/>
      <w:bookmarkStart w:id="1821" w:name="_Ref393378331"/>
      <w:r w:rsidRPr="00830C78">
        <w:rPr>
          <w:rFonts w:cs="Arial"/>
        </w:rPr>
        <w:t xml:space="preserve">The </w:t>
      </w:r>
      <w:r w:rsidRPr="004D5D04">
        <w:t>Counterparty</w:t>
      </w:r>
      <w:r w:rsidRPr="00830C78">
        <w:rPr>
          <w:rFonts w:cs="Arial"/>
        </w:rPr>
        <w:t>:</w:t>
      </w:r>
      <w:bookmarkEnd w:id="1820"/>
    </w:p>
    <w:p w14:paraId="57B4A19E" w14:textId="77777777" w:rsidR="00F67E9E" w:rsidRPr="00122216" w:rsidRDefault="00F67E9E" w:rsidP="00F67E9E">
      <w:pPr>
        <w:pStyle w:val="AppendixText3"/>
      </w:pPr>
      <w:r w:rsidRPr="00830C78">
        <w:t xml:space="preserve">shall take all appropriate steps to ensure that neither the Counterparty, nor its Affiliates, nor any Subcontractors nor any Representatives are in a position where, in the reasonable opinion of the Authority, there is or may be an actual conflict, or a potential </w:t>
      </w:r>
      <w:r w:rsidRPr="00122216">
        <w:t xml:space="preserve">conflict, between the pecuniary or personal interests of </w:t>
      </w:r>
      <w:r w:rsidRPr="00122216">
        <w:lastRenderedPageBreak/>
        <w:t xml:space="preserve">the Counterparty, any of its Affiliates, any Subcontractors and/or any Representatives and the duties owed to the Authority under </w:t>
      </w:r>
      <w:bookmarkEnd w:id="1819"/>
      <w:r w:rsidRPr="00122216">
        <w:t>any Contract or pursuant to an open and transparent ITT Process;</w:t>
      </w:r>
      <w:bookmarkEnd w:id="1821"/>
      <w:r w:rsidRPr="00122216">
        <w:t xml:space="preserve"> and</w:t>
      </w:r>
    </w:p>
    <w:p w14:paraId="47A909A2" w14:textId="77777777" w:rsidR="00F67E9E" w:rsidRPr="00830C78" w:rsidRDefault="00F67E9E" w:rsidP="00F67E9E">
      <w:pPr>
        <w:pStyle w:val="AppendixText3"/>
      </w:pPr>
      <w:r w:rsidRPr="00122216">
        <w:t xml:space="preserve">acknowledges and agrees that a conflict of interest may arise in situations where the Counterparty, any of its Affiliates, any Subcontractors and/or any Representatives intend to take part in the ITT Process and because of the </w:t>
      </w:r>
      <w:bookmarkStart w:id="1822" w:name="_9kMLK5YVt8956BJ"/>
      <w:r w:rsidRPr="00122216">
        <w:t>Counterparty’s</w:t>
      </w:r>
      <w:bookmarkEnd w:id="1822"/>
      <w:r w:rsidRPr="00122216">
        <w:t xml:space="preserve">, any of its </w:t>
      </w:r>
      <w:bookmarkStart w:id="1823" w:name="_9kMML5YVt8956BJ"/>
      <w:r w:rsidRPr="00122216">
        <w:t>Affiliates</w:t>
      </w:r>
      <w:bookmarkEnd w:id="1823"/>
      <w:r w:rsidRPr="00122216">
        <w:t>’, any Subcontractors’ and/or any Representatives’ relationship with the Authority under any Contract, the Counterparty, any of its Affiliates</w:t>
      </w:r>
      <w:r w:rsidRPr="00830C78">
        <w:t>, any Subcontractors and/or any Representatives have or have had access to information which could provide the Counterparty, any of</w:t>
      </w:r>
      <w:r>
        <w:t xml:space="preserve"> </w:t>
      </w:r>
      <w:r w:rsidRPr="00830C78">
        <w:t xml:space="preserve">its Affiliates, any Subcontractors and/or any Representatives with an advantage and render unfair an otherwise genuine and open competitive ITT Process. </w:t>
      </w:r>
    </w:p>
    <w:p w14:paraId="3AE36085" w14:textId="77777777" w:rsidR="00F67E9E" w:rsidRPr="00830C78" w:rsidRDefault="00F67E9E" w:rsidP="00F67E9E">
      <w:pPr>
        <w:pStyle w:val="AppendixText2"/>
      </w:pPr>
      <w:bookmarkStart w:id="1824" w:name="_Ref76559254"/>
      <w:bookmarkStart w:id="1825" w:name="_Ref393358244"/>
      <w:bookmarkStart w:id="1826" w:name="_Ref493668015"/>
      <w:r w:rsidRPr="00830C78">
        <w:t xml:space="preserve">Where there is or is likely to be a conflict of interest, or the perception of a conflict of interest, of any kind in relation to the ITT Process, the Counterparty shall take such steps that are necessary to eliminate the conflict of interest to the </w:t>
      </w:r>
      <w:bookmarkStart w:id="1827" w:name="_9kMNM5YVt8956BJ"/>
      <w:r w:rsidRPr="00830C78">
        <w:t>Authority</w:t>
      </w:r>
      <w:r>
        <w:t>’</w:t>
      </w:r>
      <w:r w:rsidRPr="00830C78">
        <w:t>s</w:t>
      </w:r>
      <w:bookmarkEnd w:id="1827"/>
      <w:r w:rsidRPr="00830C78">
        <w:t xml:space="preserve"> satisfaction, including one or more of the following:</w:t>
      </w:r>
      <w:bookmarkEnd w:id="1824"/>
      <w:bookmarkEnd w:id="1825"/>
      <w:bookmarkEnd w:id="1826"/>
      <w:r w:rsidRPr="00830C78">
        <w:t xml:space="preserve"> </w:t>
      </w:r>
    </w:p>
    <w:p w14:paraId="3FFAB1E5" w14:textId="77777777" w:rsidR="00F67E9E" w:rsidRPr="00122216" w:rsidRDefault="00F67E9E" w:rsidP="00F67E9E">
      <w:pPr>
        <w:pStyle w:val="AppendixText3"/>
      </w:pPr>
      <w:r w:rsidRPr="00830C78">
        <w:t xml:space="preserve">not </w:t>
      </w:r>
      <w:r w:rsidRPr="004D5D04">
        <w:t>assigning</w:t>
      </w:r>
      <w:r w:rsidRPr="00830C78">
        <w:t xml:space="preserve"> </w:t>
      </w:r>
      <w:r w:rsidRPr="00122216">
        <w:t>any of the Conflicted Personnel to the Bid Team at any time;</w:t>
      </w:r>
    </w:p>
    <w:p w14:paraId="0F878765" w14:textId="77777777" w:rsidR="00F67E9E" w:rsidRPr="00122216" w:rsidRDefault="00F67E9E" w:rsidP="00F67E9E">
      <w:pPr>
        <w:pStyle w:val="AppendixText3"/>
      </w:pPr>
      <w:r w:rsidRPr="00122216">
        <w:t>providing to the Authority promptly upon request a complete and up to date list of any Conflicted Personnel and the personnel comprising the Bid Team and reissue such list to the Authority promptly upon any change to it;</w:t>
      </w:r>
    </w:p>
    <w:p w14:paraId="5D61E211" w14:textId="77777777" w:rsidR="00F67E9E" w:rsidRPr="00830C78" w:rsidRDefault="00F67E9E" w:rsidP="00F67E9E">
      <w:pPr>
        <w:pStyle w:val="AppendixText3"/>
      </w:pPr>
      <w:r w:rsidRPr="00122216">
        <w:t xml:space="preserve">ensuring that no act or omission by itself, its Affiliates, any Subcontractors and/or </w:t>
      </w:r>
      <w:bookmarkStart w:id="1828" w:name="_9kR3WTr26649JQ4gkrsiuzznUzD3562I67GJGE"/>
      <w:r w:rsidRPr="00122216">
        <w:t>any Representatives</w:t>
      </w:r>
      <w:bookmarkEnd w:id="1828"/>
      <w:r w:rsidRPr="00122216">
        <w:t xml:space="preserve"> results in information of any kind, however conveyed, or in any format and</w:t>
      </w:r>
      <w:r w:rsidRPr="00830C78">
        <w:t xml:space="preserve"> however so stored:</w:t>
      </w:r>
    </w:p>
    <w:p w14:paraId="0F2A7EBF" w14:textId="77777777" w:rsidR="00F67E9E" w:rsidRPr="00122216" w:rsidRDefault="00F67E9E" w:rsidP="00F67E9E">
      <w:pPr>
        <w:pStyle w:val="Numbered111a"/>
      </w:pPr>
      <w:r w:rsidRPr="00830C78">
        <w:t>about the ITT Process (gleaned from the performance of any</w:t>
      </w:r>
      <w:r>
        <w:t xml:space="preserve"> </w:t>
      </w:r>
      <w:r w:rsidRPr="00830C78">
        <w:t xml:space="preserve">Contract or </w:t>
      </w:r>
      <w:r w:rsidRPr="00122216">
        <w:t xml:space="preserve">otherwise); and/or </w:t>
      </w:r>
    </w:p>
    <w:p w14:paraId="6C4D0D52" w14:textId="77777777" w:rsidR="00F67E9E" w:rsidRPr="00830C78" w:rsidRDefault="00F67E9E" w:rsidP="00F67E9E">
      <w:pPr>
        <w:pStyle w:val="Numbered111a"/>
      </w:pPr>
      <w:r w:rsidRPr="00122216">
        <w:t>which w</w:t>
      </w:r>
      <w:r w:rsidRPr="00830C78">
        <w:t>ould or could in the opinion of the Authority confer an unfair advantage on the Counterparty in relation to its participation in the ITT Process,</w:t>
      </w:r>
    </w:p>
    <w:p w14:paraId="6304FBDF" w14:textId="77777777" w:rsidR="00F67E9E" w:rsidRPr="00830C78" w:rsidRDefault="00F67E9E" w:rsidP="00F67E9E">
      <w:pPr>
        <w:pStyle w:val="AppendixText3continued"/>
        <w:ind w:left="1800"/>
      </w:pPr>
      <w:r w:rsidRPr="00830C78">
        <w:t>becoming available to the Bid Team where the Authority has not made generally available that information to Other Bidders;</w:t>
      </w:r>
    </w:p>
    <w:p w14:paraId="513F883B" w14:textId="77777777" w:rsidR="00F67E9E" w:rsidRPr="00122216" w:rsidRDefault="00F67E9E" w:rsidP="00F67E9E">
      <w:pPr>
        <w:pStyle w:val="AppendixText3"/>
      </w:pPr>
      <w:r w:rsidRPr="00830C78">
        <w:rPr>
          <w:rFonts w:cs="Arial"/>
        </w:rPr>
        <w:t>ensuring</w:t>
      </w:r>
      <w:r w:rsidRPr="00830C78">
        <w:rPr>
          <w:rFonts w:eastAsiaTheme="minorHAnsi"/>
        </w:rPr>
        <w:t xml:space="preserve"> that by no act or omission by itself, its Affiliates</w:t>
      </w:r>
      <w:r w:rsidRPr="00830C78">
        <w:rPr>
          <w:rFonts w:cs="Arial"/>
        </w:rPr>
        <w:t>, any Subcontractors and/or any Representatives</w:t>
      </w:r>
      <w:r w:rsidRPr="00830C78">
        <w:rPr>
          <w:rFonts w:eastAsiaTheme="minorHAnsi"/>
        </w:rPr>
        <w:t xml:space="preserve"> and in particular the Bid Team results in information of any kind,</w:t>
      </w:r>
      <w:r w:rsidRPr="00830C78">
        <w:rPr>
          <w:rFonts w:cs="Arial"/>
        </w:rPr>
        <w:t xml:space="preserve"> however conveyed,</w:t>
      </w:r>
      <w:r w:rsidRPr="00830C78">
        <w:rPr>
          <w:rFonts w:eastAsiaTheme="minorHAnsi"/>
        </w:rPr>
        <w:t xml:space="preserve"> in any format and however so stored about the ITT </w:t>
      </w:r>
      <w:r w:rsidRPr="00122216">
        <w:rPr>
          <w:rFonts w:eastAsiaTheme="minorHAnsi"/>
        </w:rPr>
        <w:t xml:space="preserve">Process, its </w:t>
      </w:r>
      <w:r w:rsidRPr="00122216">
        <w:t>operation</w:t>
      </w:r>
      <w:r w:rsidRPr="00122216">
        <w:rPr>
          <w:rFonts w:eastAsiaTheme="minorHAnsi"/>
        </w:rPr>
        <w:t xml:space="preserve"> and all matters connected or ancillary to it becoming available to the Conflicted Personnel;</w:t>
      </w:r>
    </w:p>
    <w:p w14:paraId="0D5A20B2" w14:textId="77777777" w:rsidR="00F67E9E" w:rsidRPr="00830C78" w:rsidRDefault="00F67E9E" w:rsidP="00F67E9E">
      <w:pPr>
        <w:pStyle w:val="AppendixText3"/>
        <w:rPr>
          <w:rFonts w:cs="Arial"/>
        </w:rPr>
      </w:pPr>
      <w:r w:rsidRPr="00122216">
        <w:t>ensure</w:t>
      </w:r>
      <w:r w:rsidRPr="00830C78">
        <w:rPr>
          <w:rFonts w:cs="Arial"/>
        </w:rPr>
        <w:t xml:space="preserve"> that agreements that flow down the </w:t>
      </w:r>
      <w:bookmarkStart w:id="1829" w:name="_9kMPO5YVt8956BJ"/>
      <w:r w:rsidRPr="00830C78">
        <w:rPr>
          <w:rFonts w:cs="Arial"/>
        </w:rPr>
        <w:t>Counterparty</w:t>
      </w:r>
      <w:r>
        <w:rPr>
          <w:rFonts w:cs="Arial"/>
        </w:rPr>
        <w:t>’</w:t>
      </w:r>
      <w:r w:rsidRPr="00830C78">
        <w:rPr>
          <w:rFonts w:cs="Arial"/>
        </w:rPr>
        <w:t>s</w:t>
      </w:r>
      <w:bookmarkEnd w:id="1829"/>
      <w:r w:rsidRPr="00830C78">
        <w:rPr>
          <w:rFonts w:cs="Arial"/>
        </w:rPr>
        <w:t xml:space="preserve"> obligations in this Agreement, are entered into as necessary, between the Counterparty and its Affiliates and any Subcontractors [</w:t>
      </w:r>
      <w:r w:rsidRPr="00830C78">
        <w:rPr>
          <w:rFonts w:cs="Arial"/>
          <w:highlight w:val="yellow"/>
        </w:rPr>
        <w:t>in a form to be approved by the Authority</w:t>
      </w:r>
      <w:r w:rsidRPr="00830C78">
        <w:rPr>
          <w:rFonts w:cs="Arial"/>
        </w:rPr>
        <w:t>];</w:t>
      </w:r>
    </w:p>
    <w:p w14:paraId="55A4F74C" w14:textId="77777777" w:rsidR="00F67E9E" w:rsidRPr="00830C78" w:rsidRDefault="00F67E9E" w:rsidP="00F67E9E">
      <w:pPr>
        <w:pStyle w:val="AppendixText3"/>
      </w:pPr>
      <w:r w:rsidRPr="00830C78">
        <w:t>physically separating the Conflicted Personnel and the Bid Team, either in separate buildings or in areas with restricted access;</w:t>
      </w:r>
    </w:p>
    <w:p w14:paraId="34B00603" w14:textId="77777777" w:rsidR="00F67E9E" w:rsidRPr="00830C78" w:rsidRDefault="00F67E9E" w:rsidP="00F67E9E">
      <w:pPr>
        <w:pStyle w:val="AppendixText3"/>
      </w:pPr>
      <w:r w:rsidRPr="00830C78">
        <w:t xml:space="preserve">providing regular training to its Affiliates, any Subcontractors and/or </w:t>
      </w:r>
      <w:bookmarkStart w:id="1830" w:name="_9kR3WTr26646CM4gkrsiuzznUzD3562I67GJGE"/>
      <w:r w:rsidRPr="00830C78">
        <w:lastRenderedPageBreak/>
        <w:t>Representatives</w:t>
      </w:r>
      <w:bookmarkEnd w:id="1830"/>
      <w:r w:rsidRPr="00830C78">
        <w:t xml:space="preserve"> to ensure it is complying with this Agreement;</w:t>
      </w:r>
    </w:p>
    <w:p w14:paraId="5FE36E0A" w14:textId="77777777" w:rsidR="00F67E9E" w:rsidRPr="00830C78" w:rsidRDefault="00F67E9E" w:rsidP="00F67E9E">
      <w:pPr>
        <w:pStyle w:val="AppendixText3"/>
      </w:pPr>
      <w:r w:rsidRPr="00830C78">
        <w:t>monitoring Conflicted Personnel movements within restricted areas (both physical and electronic online areas) to ensure it is complying with this Agreement and to ensure adherence to the ethical wall arrangements the Counterparty, its Affiliates, any Subcontractors and/or any Representatives have put in place in order to comply with this Agreement;</w:t>
      </w:r>
    </w:p>
    <w:p w14:paraId="33016461" w14:textId="77777777" w:rsidR="00F67E9E" w:rsidRPr="00830C78" w:rsidRDefault="00F67E9E" w:rsidP="00F67E9E">
      <w:pPr>
        <w:pStyle w:val="AppendixText3"/>
      </w:pPr>
      <w:r w:rsidRPr="00830C78">
        <w:t>ensuring that the Conflicted Personnel and the Bid Team are line managed and report independently of each other; and</w:t>
      </w:r>
    </w:p>
    <w:p w14:paraId="5774A28C" w14:textId="77777777" w:rsidR="00F67E9E" w:rsidRPr="00830C78" w:rsidRDefault="00F67E9E" w:rsidP="00F67E9E">
      <w:pPr>
        <w:pStyle w:val="AppendixText3"/>
      </w:pPr>
      <w:r w:rsidRPr="00830C78">
        <w:t>complying with any other action as the Authority, acting reasonably, may direct in connection with the ITT Process and/or this Agreement.</w:t>
      </w:r>
    </w:p>
    <w:p w14:paraId="308CAF60" w14:textId="77777777" w:rsidR="00F67E9E" w:rsidRPr="004D5D04" w:rsidRDefault="00F67E9E" w:rsidP="00F67E9E">
      <w:pPr>
        <w:pStyle w:val="StdBodyText1"/>
        <w:keepNext/>
        <w:keepLines/>
        <w:rPr>
          <w:rStyle w:val="StdBodyTextBoldChar"/>
          <w:rFonts w:cs="Arial"/>
          <w:bCs/>
        </w:rPr>
      </w:pPr>
      <w:r w:rsidRPr="004D5D04">
        <w:rPr>
          <w:rStyle w:val="StdBodyTextBoldChar"/>
          <w:rFonts w:cs="Arial"/>
          <w:bCs/>
        </w:rPr>
        <w:t>Notification of Conflicts of Interest</w:t>
      </w:r>
    </w:p>
    <w:p w14:paraId="2030B98A" w14:textId="77777777" w:rsidR="00F67E9E" w:rsidRPr="00830C78" w:rsidRDefault="00F67E9E" w:rsidP="00F67E9E">
      <w:pPr>
        <w:pStyle w:val="AppendixText2"/>
      </w:pPr>
      <w:bookmarkStart w:id="1831" w:name="_Ref89439569"/>
      <w:bookmarkStart w:id="1832" w:name="_Ref393358198"/>
      <w:r w:rsidRPr="00830C78">
        <w:t xml:space="preserve">The </w:t>
      </w:r>
      <w:r w:rsidRPr="00122216">
        <w:t>Counterparty</w:t>
      </w:r>
      <w:r w:rsidRPr="00830C78">
        <w:t xml:space="preserve"> shall:</w:t>
      </w:r>
      <w:bookmarkEnd w:id="1831"/>
    </w:p>
    <w:p w14:paraId="084A9770" w14:textId="77777777" w:rsidR="00F67E9E" w:rsidRPr="00122216" w:rsidRDefault="00F67E9E" w:rsidP="00F67E9E">
      <w:pPr>
        <w:pStyle w:val="AppendixText3"/>
      </w:pPr>
      <w:r w:rsidRPr="00830C78">
        <w:t xml:space="preserve">notify the Authority immediately in writing of all perceived, potential and/or actual conflicts of </w:t>
      </w:r>
      <w:r w:rsidRPr="00122216">
        <w:t>interest that arise or have arisen;</w:t>
      </w:r>
    </w:p>
    <w:p w14:paraId="30A04EEC" w14:textId="77777777" w:rsidR="00F67E9E" w:rsidRPr="00830C78" w:rsidRDefault="00F67E9E" w:rsidP="00F67E9E">
      <w:pPr>
        <w:pStyle w:val="AppendixText3"/>
      </w:pPr>
      <w:r w:rsidRPr="00122216">
        <w:t>submit in writing to the Authority full details of the nature of the perceived, potential and/or actual conflict of interest including full details of the risk assessments undertaken, the impact or potential impact of the perceived, potential and/or actual conflict, the measures and arrangements that have been established and/or are due to be established, to eliminate the perceived, potential and/or actual conflict</w:t>
      </w:r>
      <w:r w:rsidRPr="00830C78">
        <w:t xml:space="preserve">, and the </w:t>
      </w:r>
      <w:bookmarkStart w:id="1833" w:name="_9kMH0H6ZWu9A67CK"/>
      <w:r w:rsidRPr="00830C78">
        <w:t>Counterparty</w:t>
      </w:r>
      <w:r>
        <w:t>’</w:t>
      </w:r>
      <w:r w:rsidRPr="00830C78">
        <w:t>s</w:t>
      </w:r>
      <w:bookmarkEnd w:id="1833"/>
      <w:r w:rsidRPr="00830C78">
        <w:t xml:space="preserve"> plans to prevent potential conflicts of interests from arising</w:t>
      </w:r>
      <w:bookmarkEnd w:id="1832"/>
      <w:r w:rsidRPr="00830C78">
        <w:t xml:space="preserve"> (</w:t>
      </w:r>
      <w:r>
        <w:t>“</w:t>
      </w:r>
      <w:r w:rsidRPr="00830C78">
        <w:rPr>
          <w:b/>
        </w:rPr>
        <w:t>Proposed Avoidance Measures</w:t>
      </w:r>
      <w:r>
        <w:t>”</w:t>
      </w:r>
      <w:r w:rsidRPr="00830C78">
        <w:t xml:space="preserve">); and </w:t>
      </w:r>
    </w:p>
    <w:p w14:paraId="11008629" w14:textId="14F08752" w:rsidR="00F67E9E" w:rsidRPr="00830C78" w:rsidRDefault="00F67E9E" w:rsidP="00F67E9E">
      <w:pPr>
        <w:pStyle w:val="AppendixText3"/>
      </w:pPr>
      <w:r w:rsidRPr="00830C78">
        <w:t xml:space="preserve">seek the </w:t>
      </w:r>
      <w:bookmarkStart w:id="1834" w:name="_9kMH1I6ZWu9A67CK"/>
      <w:r w:rsidRPr="00830C78">
        <w:t>Authority</w:t>
      </w:r>
      <w:r>
        <w:t>’</w:t>
      </w:r>
      <w:r w:rsidRPr="00830C78">
        <w:t>s</w:t>
      </w:r>
      <w:bookmarkEnd w:id="1834"/>
      <w:r w:rsidRPr="00830C78">
        <w:t xml:space="preserve"> approval to the</w:t>
      </w:r>
      <w:r>
        <w:t xml:space="preserve"> </w:t>
      </w:r>
      <w:r w:rsidRPr="00830C78">
        <w:t xml:space="preserve">Proposed Avoidance Measures which the Authority shall have the right to grant, grant conditionally or deny (if the Authority rejects the Proposed Avoidance Measures the Counterparty shall repeat the process set out in this Clause </w:t>
      </w:r>
      <w:r w:rsidRPr="00830C78">
        <w:fldChar w:fldCharType="begin"/>
      </w:r>
      <w:r w:rsidRPr="00830C78">
        <w:instrText xml:space="preserve"> REF _Ref89439569 \r \h  \* MERGEFORMAT </w:instrText>
      </w:r>
      <w:r w:rsidRPr="00830C78">
        <w:fldChar w:fldCharType="separate"/>
      </w:r>
      <w:r w:rsidR="007A1473">
        <w:t>2.4</w:t>
      </w:r>
      <w:r w:rsidRPr="00830C78">
        <w:fldChar w:fldCharType="end"/>
      </w:r>
      <w:r w:rsidRPr="00830C78">
        <w:t xml:space="preserve"> until such time as the Authority grants approval or the Counterparty withdraws from the ITT Process).</w:t>
      </w:r>
    </w:p>
    <w:p w14:paraId="5C277EE0" w14:textId="624AB184" w:rsidR="00F67E9E" w:rsidRPr="00830C78" w:rsidRDefault="00F67E9E" w:rsidP="00F67E9E">
      <w:pPr>
        <w:pStyle w:val="AppendixText2"/>
      </w:pPr>
      <w:bookmarkStart w:id="1835" w:name="_Ref76559454"/>
      <w:r w:rsidRPr="00830C78">
        <w:t xml:space="preserve">The Counterparty will provide to the Authority, on demand, any and all information in relation to its </w:t>
      </w:r>
      <w:r w:rsidRPr="00122216">
        <w:t>adherence</w:t>
      </w:r>
      <w:r w:rsidRPr="00830C78">
        <w:t xml:space="preserve"> with its obligations set out under Clauses </w:t>
      </w:r>
      <w:r w:rsidRPr="00830C78">
        <w:fldChar w:fldCharType="begin"/>
      </w:r>
      <w:r w:rsidRPr="00830C78">
        <w:instrText xml:space="preserve"> REF _Ref76559368 \r \h  \* MERGEFORMAT </w:instrText>
      </w:r>
      <w:r w:rsidRPr="00830C78">
        <w:fldChar w:fldCharType="separate"/>
      </w:r>
      <w:r w:rsidR="007A1473">
        <w:t>2.2</w:t>
      </w:r>
      <w:r w:rsidRPr="00830C78">
        <w:fldChar w:fldCharType="end"/>
      </w:r>
      <w:r w:rsidRPr="00830C78">
        <w:t xml:space="preserve"> and </w:t>
      </w:r>
      <w:r w:rsidRPr="00830C78">
        <w:fldChar w:fldCharType="begin"/>
      </w:r>
      <w:r w:rsidRPr="00830C78">
        <w:instrText xml:space="preserve"> REF _Ref76559254 \r \h  \* MERGEFORMAT </w:instrText>
      </w:r>
      <w:r w:rsidRPr="00830C78">
        <w:fldChar w:fldCharType="separate"/>
      </w:r>
      <w:r w:rsidR="007A1473">
        <w:t>2.3</w:t>
      </w:r>
      <w:r w:rsidRPr="00830C78">
        <w:fldChar w:fldCharType="end"/>
      </w:r>
      <w:r w:rsidRPr="00830C78">
        <w:t xml:space="preserve"> as reasonably requested by the Authority.</w:t>
      </w:r>
      <w:bookmarkEnd w:id="1835"/>
    </w:p>
    <w:p w14:paraId="723B491D" w14:textId="32F41525" w:rsidR="00F67E9E" w:rsidRPr="00830C78" w:rsidRDefault="00F67E9E" w:rsidP="00F67E9E">
      <w:pPr>
        <w:pStyle w:val="AppendixText2"/>
      </w:pPr>
      <w:bookmarkStart w:id="1836" w:name="_Ref76559471"/>
      <w:r w:rsidRPr="00830C78">
        <w:t xml:space="preserve">The Authority reserves the right to require the Counterparty to demonstrate the measures put in place by the Counterparty under Clauses </w:t>
      </w:r>
      <w:r w:rsidRPr="00830C78">
        <w:fldChar w:fldCharType="begin"/>
      </w:r>
      <w:r w:rsidRPr="00830C78">
        <w:instrText xml:space="preserve"> REF _Ref76559368 \r \h  \* MERGEFORMAT </w:instrText>
      </w:r>
      <w:r w:rsidRPr="00830C78">
        <w:fldChar w:fldCharType="separate"/>
      </w:r>
      <w:r w:rsidR="007A1473">
        <w:t>2.2</w:t>
      </w:r>
      <w:r w:rsidRPr="00830C78">
        <w:fldChar w:fldCharType="end"/>
      </w:r>
      <w:r w:rsidRPr="00830C78">
        <w:t xml:space="preserve"> and </w:t>
      </w:r>
      <w:r w:rsidRPr="00830C78">
        <w:fldChar w:fldCharType="begin"/>
      </w:r>
      <w:r w:rsidRPr="00830C78">
        <w:instrText xml:space="preserve"> REF _Ref493668015 \r \h  \* MERGEFORMAT </w:instrText>
      </w:r>
      <w:r w:rsidRPr="00830C78">
        <w:fldChar w:fldCharType="separate"/>
      </w:r>
      <w:r w:rsidR="007A1473">
        <w:t>2.3</w:t>
      </w:r>
      <w:r w:rsidRPr="00830C78">
        <w:fldChar w:fldCharType="end"/>
      </w:r>
      <w:r w:rsidRPr="00830C78">
        <w:t>.</w:t>
      </w:r>
      <w:bookmarkEnd w:id="1836"/>
    </w:p>
    <w:p w14:paraId="6770D365" w14:textId="6DF9DAE9" w:rsidR="00F67E9E" w:rsidRPr="00830C78" w:rsidRDefault="00F67E9E" w:rsidP="00F67E9E">
      <w:pPr>
        <w:pStyle w:val="AppendixText2"/>
      </w:pPr>
      <w:r w:rsidRPr="00830C78">
        <w:t xml:space="preserve">The Counterparty acknowledges that any provision of information or demonstration of measures, in accordance with Clauses </w:t>
      </w:r>
      <w:r w:rsidRPr="00830C78">
        <w:fldChar w:fldCharType="begin"/>
      </w:r>
      <w:r w:rsidRPr="00830C78">
        <w:instrText xml:space="preserve"> REF _Ref76559454 \r \h  \* MERGEFORMAT </w:instrText>
      </w:r>
      <w:r w:rsidRPr="00830C78">
        <w:fldChar w:fldCharType="separate"/>
      </w:r>
      <w:r w:rsidR="007A1473">
        <w:t>2.5</w:t>
      </w:r>
      <w:r w:rsidRPr="00830C78">
        <w:fldChar w:fldCharType="end"/>
      </w:r>
      <w:r w:rsidRPr="00830C78">
        <w:t xml:space="preserve"> and </w:t>
      </w:r>
      <w:r w:rsidRPr="00830C78">
        <w:fldChar w:fldCharType="begin"/>
      </w:r>
      <w:r w:rsidRPr="00830C78">
        <w:instrText xml:space="preserve"> REF _Ref76559471 \r \h  \* MERGEFORMAT </w:instrText>
      </w:r>
      <w:r w:rsidRPr="00830C78">
        <w:fldChar w:fldCharType="separate"/>
      </w:r>
      <w:r w:rsidR="007A1473">
        <w:t>2.6</w:t>
      </w:r>
      <w:r w:rsidRPr="00830C78">
        <w:fldChar w:fldCharType="end"/>
      </w:r>
      <w:r w:rsidRPr="00830C78">
        <w:t>, does not constitute acceptance by the Authority of the adequacy of such measures and does not discharge the Counterparty of its obligations or liability under this Agreement.</w:t>
      </w:r>
    </w:p>
    <w:p w14:paraId="6E6ABF40" w14:textId="77777777" w:rsidR="00F67E9E" w:rsidRPr="004D5D04" w:rsidRDefault="00F67E9E" w:rsidP="00F67E9E">
      <w:pPr>
        <w:pStyle w:val="StdBodyText1"/>
        <w:keepNext/>
        <w:keepLines/>
        <w:rPr>
          <w:rStyle w:val="StdBodyTextBoldChar"/>
          <w:rFonts w:cs="Arial"/>
          <w:bCs/>
        </w:rPr>
      </w:pPr>
      <w:r w:rsidRPr="004D5D04">
        <w:rPr>
          <w:rStyle w:val="StdBodyTextBoldChar"/>
          <w:rFonts w:cs="Arial"/>
          <w:bCs/>
        </w:rPr>
        <w:t>Exclusion from the ITT Process</w:t>
      </w:r>
    </w:p>
    <w:p w14:paraId="1037FA3B" w14:textId="3342C052" w:rsidR="00F67E9E" w:rsidRPr="00830C78" w:rsidRDefault="00F67E9E" w:rsidP="00F67E9E">
      <w:pPr>
        <w:pStyle w:val="AppendixText2"/>
      </w:pPr>
      <w:bookmarkStart w:id="1837" w:name="_Ref393358217"/>
      <w:r w:rsidRPr="00830C78">
        <w:t xml:space="preserve">Where, in the reasonable opinion of the Authority, there has been any breach by the Counterparty of Clauses </w:t>
      </w:r>
      <w:r w:rsidRPr="00830C78">
        <w:fldChar w:fldCharType="begin"/>
      </w:r>
      <w:r w:rsidRPr="00830C78">
        <w:instrText xml:space="preserve"> REF _Ref76559368 \r \h  \* MERGEFORMAT </w:instrText>
      </w:r>
      <w:r w:rsidRPr="00830C78">
        <w:fldChar w:fldCharType="separate"/>
      </w:r>
      <w:r w:rsidR="007A1473">
        <w:t>2.2</w:t>
      </w:r>
      <w:r w:rsidRPr="00830C78">
        <w:fldChar w:fldCharType="end"/>
      </w:r>
      <w:r w:rsidRPr="00830C78">
        <w:t xml:space="preserve">, </w:t>
      </w:r>
      <w:r w:rsidRPr="00830C78">
        <w:fldChar w:fldCharType="begin"/>
      </w:r>
      <w:r w:rsidRPr="00830C78">
        <w:instrText xml:space="preserve"> REF _Ref76559254 \r \h  \* MERGEFORMAT </w:instrText>
      </w:r>
      <w:r w:rsidRPr="00830C78">
        <w:fldChar w:fldCharType="separate"/>
      </w:r>
      <w:r w:rsidR="007A1473">
        <w:t>2.3</w:t>
      </w:r>
      <w:r w:rsidRPr="00830C78">
        <w:fldChar w:fldCharType="end"/>
      </w:r>
      <w:r w:rsidRPr="00830C78">
        <w:t xml:space="preserve">, or </w:t>
      </w:r>
      <w:r w:rsidRPr="00830C78">
        <w:fldChar w:fldCharType="begin"/>
      </w:r>
      <w:r w:rsidRPr="00830C78">
        <w:instrText xml:space="preserve"> REF _Ref89439569 \r \h  \* MERGEFORMAT </w:instrText>
      </w:r>
      <w:r w:rsidRPr="00830C78">
        <w:fldChar w:fldCharType="separate"/>
      </w:r>
      <w:r w:rsidR="007A1473">
        <w:t>2.4</w:t>
      </w:r>
      <w:r w:rsidRPr="00830C78">
        <w:fldChar w:fldCharType="end"/>
      </w:r>
      <w:r w:rsidRPr="00830C78">
        <w:t xml:space="preserve"> or failure to obtain the Authority</w:t>
      </w:r>
      <w:r>
        <w:t>’</w:t>
      </w:r>
      <w:r w:rsidRPr="00830C78">
        <w:t xml:space="preserve">s approval of the Proposed Avoidance Measures the Authority shall be entitled to exclude the Counterparty, or any of its Affiliates and/or any Representatives, from the ITT Process, </w:t>
      </w:r>
      <w:r w:rsidRPr="00830C78">
        <w:lastRenderedPageBreak/>
        <w:t xml:space="preserve">and the Authority may, in addition to the right to exclude, take such </w:t>
      </w:r>
      <w:r w:rsidRPr="004D5D04">
        <w:t>other</w:t>
      </w:r>
      <w:r w:rsidRPr="00830C78">
        <w:t xml:space="preserve"> steps as it deems necessary.</w:t>
      </w:r>
      <w:bookmarkEnd w:id="1837"/>
      <w:r w:rsidRPr="00830C78">
        <w:t xml:space="preserve"> </w:t>
      </w:r>
    </w:p>
    <w:p w14:paraId="4E876633" w14:textId="75AFC883" w:rsidR="00F67E9E" w:rsidRPr="00830C78" w:rsidRDefault="00F67E9E" w:rsidP="00F67E9E">
      <w:pPr>
        <w:pStyle w:val="AppendixText2"/>
      </w:pPr>
      <w:bookmarkStart w:id="1838" w:name="_Ref393358236"/>
      <w:r w:rsidRPr="00830C78">
        <w:t xml:space="preserve">The actions of the Authority pursuant to Clause </w:t>
      </w:r>
      <w:r w:rsidRPr="00830C78">
        <w:fldChar w:fldCharType="begin"/>
      </w:r>
      <w:r w:rsidRPr="00830C78">
        <w:instrText xml:space="preserve"> REF _Ref393358217 \r \h  \* MERGEFORMAT </w:instrText>
      </w:r>
      <w:r w:rsidRPr="00830C78">
        <w:fldChar w:fldCharType="separate"/>
      </w:r>
      <w:r w:rsidR="007A1473">
        <w:t>2.8</w:t>
      </w:r>
      <w:r w:rsidRPr="00830C78">
        <w:fldChar w:fldCharType="end"/>
      </w:r>
      <w:r w:rsidRPr="00830C78">
        <w:t xml:space="preserve"> shall not prejudice or affect any right of action or remedy under this Agreement or at law which shall have accrued or shall thereafter accrue to the Authority</w:t>
      </w:r>
      <w:bookmarkEnd w:id="1838"/>
      <w:r w:rsidRPr="00830C78">
        <w:t>.</w:t>
      </w:r>
    </w:p>
    <w:p w14:paraId="3B689848" w14:textId="77777777" w:rsidR="00F67E9E" w:rsidRPr="004D5D04" w:rsidRDefault="00F67E9E" w:rsidP="00F67E9E">
      <w:pPr>
        <w:pStyle w:val="StdBodyText1"/>
        <w:keepNext/>
        <w:keepLines/>
        <w:rPr>
          <w:rStyle w:val="StdBodyTextBoldChar"/>
          <w:rFonts w:cs="Arial"/>
          <w:bCs/>
        </w:rPr>
      </w:pPr>
      <w:r w:rsidRPr="004D5D04">
        <w:rPr>
          <w:rStyle w:val="StdBodyTextBoldChar"/>
          <w:rFonts w:cs="Arial"/>
          <w:bCs/>
        </w:rPr>
        <w:t>Bid Costs</w:t>
      </w:r>
    </w:p>
    <w:p w14:paraId="36A6CF42" w14:textId="77777777" w:rsidR="00F67E9E" w:rsidRPr="00830C78" w:rsidRDefault="00F67E9E" w:rsidP="00F67E9E">
      <w:pPr>
        <w:pStyle w:val="AppendixText2"/>
      </w:pPr>
      <w:r w:rsidRPr="00830C78">
        <w:t xml:space="preserve">In no event shall </w:t>
      </w:r>
      <w:r w:rsidRPr="00122216">
        <w:t>the</w:t>
      </w:r>
      <w:r w:rsidRPr="00830C78">
        <w:t xml:space="preserve"> Authority be liable for any bid costs incurred by:</w:t>
      </w:r>
    </w:p>
    <w:p w14:paraId="3869ED4B" w14:textId="77777777" w:rsidR="00F67E9E" w:rsidRPr="00122216" w:rsidRDefault="00F67E9E" w:rsidP="00F67E9E">
      <w:pPr>
        <w:pStyle w:val="AppendixText3"/>
      </w:pPr>
      <w:r w:rsidRPr="00830C78">
        <w:t xml:space="preserve">the Counterparty or any of its Affiliates, any Representatives and/or any </w:t>
      </w:r>
      <w:r w:rsidRPr="00122216">
        <w:t>Subcontractors; or</w:t>
      </w:r>
    </w:p>
    <w:p w14:paraId="52C139AD" w14:textId="77777777" w:rsidR="00F67E9E" w:rsidRPr="00830C78" w:rsidRDefault="00F67E9E" w:rsidP="00F67E9E">
      <w:pPr>
        <w:pStyle w:val="AppendixText3"/>
      </w:pPr>
      <w:r w:rsidRPr="00122216">
        <w:t>any Thir</w:t>
      </w:r>
      <w:r w:rsidRPr="00830C78">
        <w:t>d Party,</w:t>
      </w:r>
    </w:p>
    <w:p w14:paraId="59CE7D1C" w14:textId="77777777" w:rsidR="00F67E9E" w:rsidRPr="00830C78" w:rsidRDefault="00F67E9E" w:rsidP="00F67E9E">
      <w:pPr>
        <w:pStyle w:val="AppendixText2continued"/>
        <w:ind w:left="720"/>
      </w:pPr>
      <w:r w:rsidRPr="00830C78">
        <w:t>as a result of any breach of this Agreement by the Counterparty, any of its Affiliates, any Subcontractors and/or Representatives, including where the Counterparty, any of its Affiliates, any Subcontractors or Representatives, or any Third Party is or are excluded from the ITT Process.</w:t>
      </w:r>
    </w:p>
    <w:p w14:paraId="61A27E27" w14:textId="77777777" w:rsidR="00F67E9E" w:rsidRPr="004D5D04" w:rsidRDefault="00F67E9E" w:rsidP="00F67E9E">
      <w:pPr>
        <w:pStyle w:val="StdBodyText1"/>
        <w:keepNext/>
        <w:keepLines/>
        <w:rPr>
          <w:rStyle w:val="StdBodyTextBoldChar"/>
          <w:rFonts w:cs="Arial"/>
          <w:bCs/>
        </w:rPr>
      </w:pPr>
      <w:r w:rsidRPr="004D5D04">
        <w:rPr>
          <w:rStyle w:val="StdBodyTextBoldChar"/>
          <w:rFonts w:cs="Arial"/>
          <w:bCs/>
        </w:rPr>
        <w:t>Specific Remedies</w:t>
      </w:r>
    </w:p>
    <w:p w14:paraId="31CE75FC" w14:textId="77777777" w:rsidR="00F67E9E" w:rsidRPr="00830C78" w:rsidRDefault="00F67E9E" w:rsidP="00F67E9E">
      <w:pPr>
        <w:pStyle w:val="AppendixText2"/>
      </w:pPr>
      <w:r w:rsidRPr="00830C78">
        <w:t xml:space="preserve">The </w:t>
      </w:r>
      <w:r w:rsidRPr="00122216">
        <w:t>Counterparty</w:t>
      </w:r>
      <w:r w:rsidRPr="00830C78">
        <w:t xml:space="preserve"> acknowledges and agrees that:</w:t>
      </w:r>
    </w:p>
    <w:p w14:paraId="589119E4" w14:textId="307006E9" w:rsidR="00F67E9E" w:rsidRPr="00122216" w:rsidRDefault="00F67E9E" w:rsidP="00F67E9E">
      <w:pPr>
        <w:pStyle w:val="AppendixText3"/>
      </w:pPr>
      <w:r w:rsidRPr="00122216">
        <w:t xml:space="preserve">neither damages nor specific performance are adequate remedies in the event of a breach of the obligations in Clause </w:t>
      </w:r>
      <w:r w:rsidRPr="00122216">
        <w:fldChar w:fldCharType="begin"/>
      </w:r>
      <w:r w:rsidRPr="00122216">
        <w:instrText xml:space="preserve"> REF _Ref89439696 \r \h  \* MERGEFORMAT </w:instrText>
      </w:r>
      <w:r w:rsidRPr="00122216">
        <w:fldChar w:fldCharType="separate"/>
      </w:r>
      <w:r w:rsidR="007A1473">
        <w:t>2</w:t>
      </w:r>
      <w:r w:rsidRPr="00122216">
        <w:fldChar w:fldCharType="end"/>
      </w:r>
      <w:r w:rsidRPr="00122216">
        <w:t xml:space="preserve">; and </w:t>
      </w:r>
    </w:p>
    <w:p w14:paraId="519B1565" w14:textId="464DEF3D" w:rsidR="00F67E9E" w:rsidRPr="00830C78" w:rsidRDefault="00F67E9E" w:rsidP="00F67E9E">
      <w:pPr>
        <w:pStyle w:val="AppendixText3"/>
      </w:pPr>
      <w:r w:rsidRPr="00122216">
        <w:t>in the event</w:t>
      </w:r>
      <w:r w:rsidRPr="00830C78">
        <w:t xml:space="preserve"> of a breach of any of the obligations in Clause </w:t>
      </w:r>
      <w:r w:rsidRPr="00830C78">
        <w:fldChar w:fldCharType="begin"/>
      </w:r>
      <w:r w:rsidRPr="00830C78">
        <w:instrText xml:space="preserve"> REF _Ref89439702 \r \h  \* MERGEFORMAT </w:instrText>
      </w:r>
      <w:r w:rsidRPr="00830C78">
        <w:fldChar w:fldCharType="separate"/>
      </w:r>
      <w:r w:rsidR="007A1473">
        <w:t>2</w:t>
      </w:r>
      <w:r w:rsidRPr="00830C78">
        <w:fldChar w:fldCharType="end"/>
      </w:r>
      <w:r w:rsidRPr="00830C78">
        <w:t xml:space="preserve"> which cannot be effectively remedied the Authority shall have the right to terminate both this Agreement and the </w:t>
      </w:r>
      <w:bookmarkStart w:id="1839" w:name="_9kMH2J6ZWu9A67CK"/>
      <w:r w:rsidRPr="00830C78">
        <w:t>Counterparty</w:t>
      </w:r>
      <w:r>
        <w:t>’</w:t>
      </w:r>
      <w:r w:rsidRPr="00830C78">
        <w:t>s</w:t>
      </w:r>
      <w:bookmarkEnd w:id="1839"/>
      <w:r w:rsidRPr="00830C78">
        <w:t xml:space="preserve"> participation in the ITT Process in each case with immediate effect on written notice.</w:t>
      </w:r>
    </w:p>
    <w:p w14:paraId="4590AE2A" w14:textId="77777777" w:rsidR="00F67E9E" w:rsidRPr="004D5D04" w:rsidRDefault="00F67E9E" w:rsidP="00F67E9E">
      <w:pPr>
        <w:pStyle w:val="AppendixText1"/>
      </w:pPr>
      <w:bookmarkStart w:id="1840" w:name="_Toc493689909"/>
      <w:r w:rsidRPr="004D5D04">
        <w:t xml:space="preserve">Sole </w:t>
      </w:r>
      <w:r w:rsidRPr="00122216">
        <w:t>Responsibility</w:t>
      </w:r>
      <w:bookmarkEnd w:id="1840"/>
    </w:p>
    <w:p w14:paraId="5A765F5E" w14:textId="77777777" w:rsidR="00F67E9E" w:rsidRPr="00830C78" w:rsidRDefault="00F67E9E" w:rsidP="00F67E9E">
      <w:pPr>
        <w:pStyle w:val="AppendixText2"/>
      </w:pPr>
      <w:r w:rsidRPr="00830C78">
        <w:t xml:space="preserve">It is the sole responsibility of the Counterparty to comply with the terms of this Agreement, including ensuring its Affiliates, any Subcontractors, and/or any Representatives comply with the terms of this Agreement. No approval by the Authority of any procedures, agreements or arrangements </w:t>
      </w:r>
      <w:r w:rsidRPr="00122216">
        <w:t>provided</w:t>
      </w:r>
      <w:r w:rsidRPr="00830C78">
        <w:t xml:space="preserve"> by the Counterparty, any of its Affiliates, any Subcontractors and/or their Representatives to the Authority shall discharge the </w:t>
      </w:r>
      <w:bookmarkStart w:id="1841" w:name="_9kMH3K6ZWu9A67CK"/>
      <w:r w:rsidRPr="00830C78">
        <w:t>Counterparty</w:t>
      </w:r>
      <w:r>
        <w:t>’</w:t>
      </w:r>
      <w:r w:rsidRPr="00830C78">
        <w:t>s</w:t>
      </w:r>
      <w:bookmarkEnd w:id="1841"/>
      <w:r w:rsidRPr="00830C78">
        <w:t xml:space="preserve"> obligations.</w:t>
      </w:r>
    </w:p>
    <w:p w14:paraId="0A357863" w14:textId="77777777" w:rsidR="00F67E9E" w:rsidRPr="004D5D04" w:rsidRDefault="00F67E9E" w:rsidP="00F67E9E">
      <w:pPr>
        <w:pStyle w:val="AppendixText1"/>
      </w:pPr>
      <w:bookmarkStart w:id="1842" w:name="_Toc378171404"/>
      <w:bookmarkStart w:id="1843" w:name="_Toc493689911"/>
      <w:bookmarkStart w:id="1844" w:name="_Toc378171408"/>
      <w:r w:rsidRPr="004D5D04">
        <w:t xml:space="preserve">Waiver </w:t>
      </w:r>
      <w:r>
        <w:t>a</w:t>
      </w:r>
      <w:r w:rsidRPr="004D5D04">
        <w:t>nd Invalidity</w:t>
      </w:r>
      <w:bookmarkEnd w:id="1842"/>
      <w:bookmarkEnd w:id="1843"/>
    </w:p>
    <w:p w14:paraId="40581C45" w14:textId="77777777" w:rsidR="00F67E9E" w:rsidRPr="00122216" w:rsidRDefault="00F67E9E" w:rsidP="00F67E9E">
      <w:pPr>
        <w:pStyle w:val="AppendixText2"/>
      </w:pPr>
      <w:r w:rsidRPr="00830C78">
        <w:t xml:space="preserve">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w:t>
      </w:r>
      <w:r w:rsidRPr="00122216">
        <w:t>that or any other right, power or privilege.</w:t>
      </w:r>
    </w:p>
    <w:p w14:paraId="0F4166A6" w14:textId="77777777" w:rsidR="00F67E9E" w:rsidRPr="00830C78" w:rsidRDefault="00F67E9E" w:rsidP="00F67E9E">
      <w:pPr>
        <w:pStyle w:val="AppendixText2"/>
      </w:pPr>
      <w:r w:rsidRPr="00122216">
        <w:t>If any provision of this Agreement is prohibited or unenforceable in any jurisdiction in relation to any Party, s</w:t>
      </w:r>
      <w:r w:rsidRPr="00830C78">
        <w:t>uch prohibition or unenforceability will not invalidate the remaining provisions of this Agreement, or affect the validity or enforceability of the provisions of this Agreement in relation to any other Party or any other jurisdiction.</w:t>
      </w:r>
      <w:bookmarkStart w:id="1845" w:name="_Toc378171405"/>
      <w:bookmarkStart w:id="1846" w:name="_Toc493689912"/>
    </w:p>
    <w:p w14:paraId="5B0BB124" w14:textId="77777777" w:rsidR="00F67E9E" w:rsidRPr="004D5D04" w:rsidRDefault="00F67E9E" w:rsidP="00F67E9E">
      <w:pPr>
        <w:pStyle w:val="AppendixText1"/>
      </w:pPr>
      <w:bookmarkStart w:id="1847" w:name="_9kR3WTrAG849EhZ1yqutK91XX2LC17E68OC7BCO"/>
      <w:r w:rsidRPr="004D5D04">
        <w:lastRenderedPageBreak/>
        <w:t xml:space="preserve">Assignment </w:t>
      </w:r>
      <w:r w:rsidRPr="00122216">
        <w:t>and</w:t>
      </w:r>
      <w:r w:rsidRPr="004D5D04">
        <w:t xml:space="preserve"> Novation</w:t>
      </w:r>
      <w:bookmarkEnd w:id="1847"/>
    </w:p>
    <w:p w14:paraId="6A978CD0" w14:textId="77777777" w:rsidR="00F67E9E" w:rsidRPr="00122216" w:rsidRDefault="00F67E9E" w:rsidP="00F67E9E">
      <w:pPr>
        <w:pStyle w:val="AppendixText2"/>
      </w:pPr>
      <w:r w:rsidRPr="00830C78">
        <w:t xml:space="preserve">The Counterparty shall not assign, novate or </w:t>
      </w:r>
      <w:r w:rsidRPr="004D5D04">
        <w:t>otherwise</w:t>
      </w:r>
      <w:r w:rsidRPr="00830C78">
        <w:t xml:space="preserve"> dispose of or create any trust in relation to any or all of its rights, obligations or liabilities under this Agreement without the prior written consent of the </w:t>
      </w:r>
      <w:r w:rsidRPr="00122216">
        <w:t>Authority.</w:t>
      </w:r>
    </w:p>
    <w:p w14:paraId="5302067D" w14:textId="77777777" w:rsidR="00F67E9E" w:rsidRPr="00830C78" w:rsidRDefault="00F67E9E" w:rsidP="00F67E9E">
      <w:pPr>
        <w:pStyle w:val="AppendixText2"/>
      </w:pPr>
      <w:bookmarkStart w:id="1848" w:name="_Ref34048060"/>
      <w:r w:rsidRPr="00122216">
        <w:t>The Authority may assign, no</w:t>
      </w:r>
      <w:r w:rsidRPr="00830C78">
        <w:t xml:space="preserve">vate or otherwise dispose of any or all of its rights, obligations and liabilities under this Agreement and/or any </w:t>
      </w:r>
      <w:r w:rsidRPr="004D5D04">
        <w:t>associated</w:t>
      </w:r>
      <w:r w:rsidRPr="00830C78">
        <w:t xml:space="preserve"> licences to:</w:t>
      </w:r>
      <w:bookmarkEnd w:id="1848"/>
    </w:p>
    <w:p w14:paraId="0FBFDE14" w14:textId="77777777" w:rsidR="00F67E9E" w:rsidRPr="00122216" w:rsidRDefault="00F67E9E" w:rsidP="00F67E9E">
      <w:pPr>
        <w:pStyle w:val="AppendixText3"/>
      </w:pPr>
      <w:r w:rsidRPr="00830C78">
        <w:t xml:space="preserve">any </w:t>
      </w:r>
      <w:r>
        <w:t>Crown Body</w:t>
      </w:r>
      <w:r w:rsidRPr="00122216">
        <w:t>; or</w:t>
      </w:r>
    </w:p>
    <w:p w14:paraId="4EB7519F" w14:textId="77777777" w:rsidR="00F67E9E" w:rsidRPr="00122216" w:rsidRDefault="00F67E9E" w:rsidP="00F67E9E">
      <w:pPr>
        <w:pStyle w:val="AppendixText3"/>
      </w:pPr>
      <w:r w:rsidRPr="00122216">
        <w:t xml:space="preserve">to a body other than a </w:t>
      </w:r>
      <w:r>
        <w:t>Crown Body</w:t>
      </w:r>
      <w:r w:rsidRPr="00122216">
        <w:t xml:space="preserve"> (including any private sector body) which performs any of the functions that previously had been performed by the Authority; and </w:t>
      </w:r>
    </w:p>
    <w:p w14:paraId="69C32EFB" w14:textId="77777777" w:rsidR="00F67E9E" w:rsidRPr="00830C78" w:rsidRDefault="00F67E9E" w:rsidP="00F67E9E">
      <w:pPr>
        <w:pStyle w:val="AppendixText3"/>
      </w:pPr>
      <w:r w:rsidRPr="00122216">
        <w:t>the Counterparty</w:t>
      </w:r>
      <w:r w:rsidRPr="00830C78">
        <w:t xml:space="preserve"> shall, at the </w:t>
      </w:r>
      <w:bookmarkStart w:id="1849" w:name="_9kMH4L6ZWu9A67CK"/>
      <w:r w:rsidRPr="00830C78">
        <w:t>Authority</w:t>
      </w:r>
      <w:r>
        <w:t>’</w:t>
      </w:r>
      <w:r w:rsidRPr="00830C78">
        <w:t>s</w:t>
      </w:r>
      <w:bookmarkEnd w:id="1849"/>
      <w:r w:rsidRPr="00830C78">
        <w:t xml:space="preserve"> request, enter into a novation agreement in such form as the Authority may reasonably specify in order to enable the Authority to exercise its rights pursuant to this </w:t>
      </w:r>
      <w:bookmarkStart w:id="1850" w:name="_9kMHG5YVtCIA6BGjb30swvMB3ZZ4NE39G8AQE9D"/>
      <w:r w:rsidRPr="00830C78">
        <w:t>Clause 5</w:t>
      </w:r>
      <w:bookmarkEnd w:id="1850"/>
      <w:r w:rsidRPr="00830C78">
        <w:t>.</w:t>
      </w:r>
    </w:p>
    <w:p w14:paraId="7FEE3470" w14:textId="77777777" w:rsidR="00F67E9E" w:rsidRPr="00830C78" w:rsidRDefault="00F67E9E" w:rsidP="00F67E9E">
      <w:pPr>
        <w:pStyle w:val="AppendixText2"/>
      </w:pPr>
      <w:r w:rsidRPr="00830C78">
        <w:t xml:space="preserve">A change in the legal status of the Authority such that it ceases to be a </w:t>
      </w:r>
      <w:r>
        <w:t>Crown Body</w:t>
      </w:r>
      <w:r w:rsidRPr="00830C78">
        <w:t xml:space="preserve"> shall not affect the validity of this Agreement and this Agreement shall be binding on any successor body to the </w:t>
      </w:r>
      <w:r w:rsidRPr="004D5D04">
        <w:t>Authority</w:t>
      </w:r>
      <w:r w:rsidRPr="00830C78">
        <w:t>.</w:t>
      </w:r>
    </w:p>
    <w:p w14:paraId="705EA40C" w14:textId="77777777" w:rsidR="00F67E9E" w:rsidRPr="004D5D04" w:rsidRDefault="00F67E9E" w:rsidP="00F67E9E">
      <w:pPr>
        <w:pStyle w:val="AppendixText1"/>
      </w:pPr>
      <w:bookmarkStart w:id="1851" w:name="_Toc378171406"/>
      <w:bookmarkStart w:id="1852" w:name="_Toc493689913"/>
      <w:bookmarkEnd w:id="1845"/>
      <w:bookmarkEnd w:id="1846"/>
      <w:r w:rsidRPr="004D5D04">
        <w:t>Contracts (</w:t>
      </w:r>
      <w:bookmarkStart w:id="1853" w:name="_9kR3WTr1AB46Deyoo2EAy47x84314OG2D"/>
      <w:bookmarkStart w:id="1854" w:name="_9kR3WTr24448Bayoo2EAy47x84314OG2D"/>
      <w:r w:rsidRPr="004D5D04">
        <w:t xml:space="preserve">Rights </w:t>
      </w:r>
      <w:r>
        <w:t>o</w:t>
      </w:r>
      <w:r w:rsidRPr="004D5D04">
        <w:t xml:space="preserve">f </w:t>
      </w:r>
      <w:r w:rsidRPr="00122216">
        <w:t>Third</w:t>
      </w:r>
      <w:r w:rsidRPr="004D5D04">
        <w:t xml:space="preserve"> Parties</w:t>
      </w:r>
      <w:bookmarkEnd w:id="1853"/>
      <w:bookmarkEnd w:id="1854"/>
      <w:r w:rsidRPr="004D5D04">
        <w:t>) Act 1999</w:t>
      </w:r>
      <w:bookmarkEnd w:id="1851"/>
      <w:bookmarkEnd w:id="1852"/>
    </w:p>
    <w:p w14:paraId="79C847D5" w14:textId="77777777" w:rsidR="00F67E9E" w:rsidRPr="00830C78" w:rsidRDefault="00F67E9E" w:rsidP="00F67E9E">
      <w:pPr>
        <w:pStyle w:val="AppendixText2"/>
        <w:rPr>
          <w:rFonts w:cs="Arial"/>
        </w:rPr>
      </w:pPr>
      <w:r w:rsidRPr="00830C78">
        <w:rPr>
          <w:rFonts w:cs="Arial"/>
        </w:rPr>
        <w:t xml:space="preserve">A person who is not </w:t>
      </w:r>
      <w:r w:rsidRPr="00830C78">
        <w:t>a Party to this Agreement has no right under the Contract (</w:t>
      </w:r>
      <w:bookmarkStart w:id="1855" w:name="_9kMHG5YVt4666ADc0qq4GC069zA6536QI4F"/>
      <w:r w:rsidRPr="00830C78">
        <w:t>Rights of Third Parties</w:t>
      </w:r>
      <w:bookmarkEnd w:id="1855"/>
      <w:r w:rsidRPr="00830C78">
        <w:t xml:space="preserve">) Act 1999 (as amended, updated or replaced from time to time) to enforce any term of this Agreement, but this does not affect any right or remedy of any person which exists or is available otherwise than pursuant to </w:t>
      </w:r>
      <w:r w:rsidRPr="00122216">
        <w:t>that</w:t>
      </w:r>
      <w:r w:rsidRPr="00830C78">
        <w:t xml:space="preserve"> </w:t>
      </w:r>
      <w:bookmarkStart w:id="1856" w:name="_9kR3WTr26646EO1r"/>
      <w:r w:rsidRPr="00830C78">
        <w:t>Act</w:t>
      </w:r>
      <w:bookmarkEnd w:id="1856"/>
      <w:r w:rsidRPr="00830C78">
        <w:t>.</w:t>
      </w:r>
    </w:p>
    <w:bookmarkEnd w:id="1844"/>
    <w:p w14:paraId="1378B0BD" w14:textId="77777777" w:rsidR="00F67E9E" w:rsidRPr="004D5D04" w:rsidRDefault="00F67E9E" w:rsidP="00F67E9E">
      <w:pPr>
        <w:pStyle w:val="AppendixText1"/>
      </w:pPr>
      <w:r w:rsidRPr="004D5D04">
        <w:t xml:space="preserve">Transparency </w:t>
      </w:r>
    </w:p>
    <w:p w14:paraId="18210DF7" w14:textId="77777777" w:rsidR="00F67E9E" w:rsidRPr="00830C78" w:rsidRDefault="00F67E9E" w:rsidP="00F67E9E">
      <w:pPr>
        <w:pStyle w:val="AppendixText2"/>
      </w:pPr>
      <w:r w:rsidRPr="00830C78">
        <w:t xml:space="preserve">The Parties acknowledge and agree that the Authority is under a legal duty pursuant to the Procurement Regulations to run transparent and fair </w:t>
      </w:r>
      <w:bookmarkStart w:id="1857" w:name="_9kMIH5YVt46669BZX3pwCxtuwCpiE0r8N"/>
      <w:bookmarkStart w:id="1858" w:name="_9kMIH5YVt4666BCYX3pwCxtuwCpiE0r8N"/>
      <w:bookmarkStart w:id="1859" w:name="_9kMIH5YVt4666BEaX3pwCxtuwCpiE0r8N"/>
      <w:r w:rsidRPr="00830C78">
        <w:t>procurement processes</w:t>
      </w:r>
      <w:bookmarkEnd w:id="1857"/>
      <w:bookmarkEnd w:id="1858"/>
      <w:bookmarkEnd w:id="1859"/>
      <w:r w:rsidRPr="00830C78">
        <w:t xml:space="preserve">. Accordingly, the Authority may disclose the contents of this Agreement to Other Bidders (and/or potential Other Bidders) for the </w:t>
      </w:r>
      <w:bookmarkStart w:id="1860" w:name="_9kMJI5YVt46669Fda9537y"/>
      <w:r w:rsidRPr="00830C78">
        <w:t>purposes</w:t>
      </w:r>
      <w:bookmarkEnd w:id="1860"/>
      <w:r w:rsidRPr="00830C78">
        <w:t xml:space="preserve"> of transparency and in order to evidence that a fair </w:t>
      </w:r>
      <w:bookmarkStart w:id="1861" w:name="_9kMJI5YVt46669BZX3pwCxtuwCpiE0r8N"/>
      <w:bookmarkStart w:id="1862" w:name="_9kMJI5YVt4666BCYX3pwCxtuwCpiE0r8N"/>
      <w:bookmarkStart w:id="1863" w:name="_9kMJI5YVt4666BEaX3pwCxtuwCpiE0r8N"/>
      <w:r w:rsidRPr="00830C78">
        <w:t>procurement process</w:t>
      </w:r>
      <w:bookmarkEnd w:id="1861"/>
      <w:bookmarkEnd w:id="1862"/>
      <w:bookmarkEnd w:id="1863"/>
      <w:r w:rsidRPr="00830C78">
        <w:t xml:space="preserve"> has been followed. </w:t>
      </w:r>
    </w:p>
    <w:p w14:paraId="47218543" w14:textId="77777777" w:rsidR="00F67E9E" w:rsidRPr="004D5D04" w:rsidRDefault="00F67E9E" w:rsidP="00F67E9E">
      <w:pPr>
        <w:pStyle w:val="AppendixText1"/>
      </w:pPr>
      <w:bookmarkStart w:id="1864" w:name="_Ref88044888"/>
      <w:bookmarkStart w:id="1865" w:name="_Toc127759121"/>
      <w:bookmarkStart w:id="1866" w:name="_Toc139080625"/>
      <w:bookmarkStart w:id="1867" w:name="_Toc359839020"/>
      <w:r w:rsidRPr="004D5D04">
        <w:t>Notices</w:t>
      </w:r>
      <w:bookmarkEnd w:id="1864"/>
      <w:bookmarkEnd w:id="1865"/>
      <w:bookmarkEnd w:id="1866"/>
      <w:bookmarkEnd w:id="1867"/>
    </w:p>
    <w:p w14:paraId="6C022E95" w14:textId="77777777" w:rsidR="00F67E9E" w:rsidRPr="00830C78" w:rsidRDefault="00F67E9E" w:rsidP="00F67E9E">
      <w:pPr>
        <w:pStyle w:val="AppendixText2"/>
      </w:pPr>
      <w:r w:rsidRPr="00830C78">
        <w:t xml:space="preserve">Any notices sent under this Agreement must be in </w:t>
      </w:r>
      <w:r w:rsidRPr="004D5D04">
        <w:t>writing</w:t>
      </w:r>
      <w:r w:rsidRPr="00830C78">
        <w:t>.</w:t>
      </w:r>
    </w:p>
    <w:p w14:paraId="2AC202C4" w14:textId="77777777" w:rsidR="00F67E9E" w:rsidRPr="00830C78" w:rsidRDefault="00F67E9E" w:rsidP="00F67E9E">
      <w:pPr>
        <w:pStyle w:val="AppendixText2"/>
      </w:pPr>
      <w:r w:rsidRPr="00830C78">
        <w:t xml:space="preserve">The following table sets out the method by </w:t>
      </w:r>
      <w:r w:rsidRPr="004D5D04">
        <w:t>which</w:t>
      </w:r>
      <w:r w:rsidRPr="00830C78">
        <w:t xml:space="preserve"> notices may be served under this Agreement and the respective deemed time and proof of service:</w:t>
      </w:r>
    </w:p>
    <w:tbl>
      <w:tblPr>
        <w:tblStyle w:val="MSATable-header"/>
        <w:tblW w:w="9638" w:type="dxa"/>
        <w:tblInd w:w="680" w:type="dxa"/>
        <w:tblLook w:val="01E0" w:firstRow="1" w:lastRow="1" w:firstColumn="1" w:lastColumn="1" w:noHBand="0" w:noVBand="0"/>
      </w:tblPr>
      <w:tblGrid>
        <w:gridCol w:w="2551"/>
        <w:gridCol w:w="3969"/>
        <w:gridCol w:w="3118"/>
      </w:tblGrid>
      <w:tr w:rsidR="00F67E9E" w:rsidRPr="006F641F" w14:paraId="713058F8" w14:textId="77777777" w:rsidTr="0052486C">
        <w:trPr>
          <w:cnfStyle w:val="100000000000" w:firstRow="1" w:lastRow="0" w:firstColumn="0" w:lastColumn="0" w:oddVBand="0" w:evenVBand="0" w:oddHBand="0" w:evenHBand="0" w:firstRowFirstColumn="0" w:firstRowLastColumn="0" w:lastRowFirstColumn="0" w:lastRowLastColumn="0"/>
          <w:trHeight w:val="20"/>
          <w:tblHeader/>
        </w:trPr>
        <w:tc>
          <w:tcPr>
            <w:tcW w:w="2551" w:type="dxa"/>
            <w:vAlign w:val="bottom"/>
          </w:tcPr>
          <w:p w14:paraId="6FF0DDC3" w14:textId="77777777" w:rsidR="00F67E9E" w:rsidRPr="006F641F" w:rsidRDefault="00F67E9E" w:rsidP="0052486C">
            <w:pPr>
              <w:rPr>
                <w:rFonts w:cs="Arial"/>
                <w:bCs/>
                <w:szCs w:val="24"/>
              </w:rPr>
            </w:pPr>
            <w:r w:rsidRPr="006F641F">
              <w:rPr>
                <w:rFonts w:cs="Arial"/>
                <w:bCs/>
                <w:szCs w:val="24"/>
              </w:rPr>
              <w:t>Manner of Delivery</w:t>
            </w:r>
          </w:p>
        </w:tc>
        <w:tc>
          <w:tcPr>
            <w:tcW w:w="3969" w:type="dxa"/>
            <w:vAlign w:val="bottom"/>
          </w:tcPr>
          <w:p w14:paraId="06786366" w14:textId="77777777" w:rsidR="00F67E9E" w:rsidRPr="006F641F" w:rsidRDefault="00F67E9E" w:rsidP="0052486C">
            <w:pPr>
              <w:rPr>
                <w:rFonts w:cs="Arial"/>
                <w:bCs/>
                <w:szCs w:val="24"/>
              </w:rPr>
            </w:pPr>
            <w:r w:rsidRPr="006F641F">
              <w:rPr>
                <w:rFonts w:cs="Arial"/>
                <w:bCs/>
                <w:szCs w:val="24"/>
              </w:rPr>
              <w:t xml:space="preserve">Deemed time of service </w:t>
            </w:r>
          </w:p>
        </w:tc>
        <w:tc>
          <w:tcPr>
            <w:tcW w:w="3118" w:type="dxa"/>
            <w:vAlign w:val="bottom"/>
          </w:tcPr>
          <w:p w14:paraId="538A06B6" w14:textId="77777777" w:rsidR="00F67E9E" w:rsidRPr="006F641F" w:rsidRDefault="00F67E9E" w:rsidP="0052486C">
            <w:pPr>
              <w:rPr>
                <w:rFonts w:cs="Arial"/>
                <w:bCs/>
                <w:szCs w:val="24"/>
              </w:rPr>
            </w:pPr>
            <w:r w:rsidRPr="006F641F">
              <w:rPr>
                <w:rFonts w:cs="Arial"/>
                <w:bCs/>
                <w:szCs w:val="24"/>
              </w:rPr>
              <w:t>Proof of service</w:t>
            </w:r>
          </w:p>
        </w:tc>
      </w:tr>
      <w:tr w:rsidR="00F67E9E" w:rsidRPr="00830C78" w14:paraId="65E39BD9" w14:textId="77777777" w:rsidTr="0052486C">
        <w:trPr>
          <w:trHeight w:val="20"/>
        </w:trPr>
        <w:tc>
          <w:tcPr>
            <w:tcW w:w="2551" w:type="dxa"/>
          </w:tcPr>
          <w:p w14:paraId="66D20EAA" w14:textId="77777777" w:rsidR="00F67E9E" w:rsidRPr="00830C78" w:rsidRDefault="00F67E9E" w:rsidP="0052486C">
            <w:pPr>
              <w:rPr>
                <w:rFonts w:cs="Arial"/>
                <w:bCs/>
                <w:iCs/>
                <w:szCs w:val="24"/>
              </w:rPr>
            </w:pPr>
            <w:r w:rsidRPr="00830C78">
              <w:rPr>
                <w:rFonts w:cs="Arial"/>
                <w:bCs/>
                <w:iCs/>
                <w:szCs w:val="24"/>
              </w:rPr>
              <w:t>Email.</w:t>
            </w:r>
          </w:p>
        </w:tc>
        <w:tc>
          <w:tcPr>
            <w:tcW w:w="3969" w:type="dxa"/>
          </w:tcPr>
          <w:p w14:paraId="2389713E" w14:textId="77777777" w:rsidR="00F67E9E" w:rsidRPr="00830C78" w:rsidRDefault="00F67E9E" w:rsidP="0052486C">
            <w:pPr>
              <w:rPr>
                <w:rFonts w:cs="Arial"/>
                <w:bCs/>
                <w:iCs/>
                <w:szCs w:val="24"/>
              </w:rPr>
            </w:pPr>
            <w:r w:rsidRPr="00830C78">
              <w:rPr>
                <w:rFonts w:cs="Arial"/>
                <w:bCs/>
                <w:iCs/>
                <w:szCs w:val="24"/>
              </w:rPr>
              <w:t>9.00am on the first Working Day after sending</w:t>
            </w:r>
          </w:p>
        </w:tc>
        <w:tc>
          <w:tcPr>
            <w:tcW w:w="3118" w:type="dxa"/>
          </w:tcPr>
          <w:p w14:paraId="6ACA170F" w14:textId="77777777" w:rsidR="00F67E9E" w:rsidRPr="00830C78" w:rsidRDefault="00F67E9E" w:rsidP="0052486C">
            <w:pPr>
              <w:rPr>
                <w:rFonts w:cs="Arial"/>
                <w:bCs/>
                <w:iCs/>
                <w:szCs w:val="24"/>
              </w:rPr>
            </w:pPr>
            <w:r w:rsidRPr="00830C78">
              <w:rPr>
                <w:rFonts w:cs="Arial"/>
                <w:bCs/>
                <w:iCs/>
                <w:szCs w:val="24"/>
              </w:rPr>
              <w:t xml:space="preserve">Dispatched as a pdf attachment to an e-mail to the correct e-mail address without any error message. </w:t>
            </w:r>
          </w:p>
        </w:tc>
      </w:tr>
      <w:tr w:rsidR="00F67E9E" w:rsidRPr="00830C78" w14:paraId="20188826" w14:textId="77777777" w:rsidTr="0052486C">
        <w:trPr>
          <w:trHeight w:val="20"/>
        </w:trPr>
        <w:tc>
          <w:tcPr>
            <w:tcW w:w="2551" w:type="dxa"/>
          </w:tcPr>
          <w:p w14:paraId="67DEC858" w14:textId="77777777" w:rsidR="00F67E9E" w:rsidRPr="00830C78" w:rsidRDefault="00F67E9E" w:rsidP="0052486C">
            <w:pPr>
              <w:rPr>
                <w:rFonts w:cs="Arial"/>
                <w:bCs/>
                <w:iCs/>
                <w:szCs w:val="24"/>
              </w:rPr>
            </w:pPr>
            <w:r w:rsidRPr="00830C78">
              <w:rPr>
                <w:rFonts w:cs="Arial"/>
                <w:bCs/>
                <w:iCs/>
                <w:szCs w:val="24"/>
              </w:rPr>
              <w:t>Personal delivery.</w:t>
            </w:r>
          </w:p>
        </w:tc>
        <w:tc>
          <w:tcPr>
            <w:tcW w:w="3969" w:type="dxa"/>
          </w:tcPr>
          <w:p w14:paraId="68B8C31D" w14:textId="77777777" w:rsidR="00F67E9E" w:rsidRPr="00830C78" w:rsidRDefault="00F67E9E" w:rsidP="0052486C">
            <w:pPr>
              <w:rPr>
                <w:rFonts w:cs="Arial"/>
                <w:bCs/>
                <w:iCs/>
                <w:szCs w:val="24"/>
              </w:rPr>
            </w:pPr>
            <w:r w:rsidRPr="00830C78">
              <w:rPr>
                <w:rFonts w:cs="Arial"/>
                <w:bCs/>
                <w:iCs/>
                <w:szCs w:val="24"/>
              </w:rPr>
              <w:t xml:space="preserve">On delivery, provided delivery is between 9.00am and 5.00pm on a Working Day. Otherwise, delivery </w:t>
            </w:r>
            <w:r w:rsidRPr="00830C78">
              <w:rPr>
                <w:rFonts w:cs="Arial"/>
                <w:bCs/>
                <w:iCs/>
                <w:szCs w:val="24"/>
              </w:rPr>
              <w:lastRenderedPageBreak/>
              <w:t>will occur at 9.00am on the next Working Day.</w:t>
            </w:r>
          </w:p>
        </w:tc>
        <w:tc>
          <w:tcPr>
            <w:tcW w:w="3118" w:type="dxa"/>
          </w:tcPr>
          <w:p w14:paraId="13222600" w14:textId="77777777" w:rsidR="00F67E9E" w:rsidRPr="00830C78" w:rsidRDefault="00F67E9E" w:rsidP="0052486C">
            <w:pPr>
              <w:rPr>
                <w:rFonts w:cs="Arial"/>
                <w:bCs/>
                <w:iCs/>
                <w:szCs w:val="24"/>
              </w:rPr>
            </w:pPr>
            <w:r w:rsidRPr="00830C78">
              <w:rPr>
                <w:rFonts w:cs="Arial"/>
                <w:bCs/>
                <w:iCs/>
                <w:szCs w:val="24"/>
              </w:rPr>
              <w:lastRenderedPageBreak/>
              <w:t xml:space="preserve">Properly addressed and delivered as evidenced by </w:t>
            </w:r>
            <w:r w:rsidRPr="00830C78">
              <w:rPr>
                <w:rFonts w:cs="Arial"/>
                <w:bCs/>
                <w:iCs/>
                <w:szCs w:val="24"/>
              </w:rPr>
              <w:lastRenderedPageBreak/>
              <w:t xml:space="preserve">signature of a delivery receipt. </w:t>
            </w:r>
          </w:p>
        </w:tc>
      </w:tr>
      <w:tr w:rsidR="00F67E9E" w:rsidRPr="00830C78" w14:paraId="5A98F937" w14:textId="77777777" w:rsidTr="0052486C">
        <w:trPr>
          <w:trHeight w:val="20"/>
        </w:trPr>
        <w:tc>
          <w:tcPr>
            <w:tcW w:w="2551" w:type="dxa"/>
          </w:tcPr>
          <w:p w14:paraId="682BCB7B" w14:textId="77777777" w:rsidR="00F67E9E" w:rsidRPr="00830C78" w:rsidRDefault="00F67E9E" w:rsidP="0052486C">
            <w:pPr>
              <w:rPr>
                <w:rFonts w:cs="Arial"/>
                <w:bCs/>
                <w:iCs/>
                <w:szCs w:val="24"/>
              </w:rPr>
            </w:pPr>
            <w:r w:rsidRPr="00830C78">
              <w:rPr>
                <w:rFonts w:cs="Arial"/>
                <w:bCs/>
                <w:iCs/>
                <w:szCs w:val="24"/>
              </w:rPr>
              <w:lastRenderedPageBreak/>
              <w:t xml:space="preserve">Prepaid, </w:t>
            </w:r>
            <w:bookmarkStart w:id="1868" w:name="_9kR3WTr26646FgU8vjWGjvgYtzypRXG"/>
            <w:r w:rsidRPr="00830C78">
              <w:rPr>
                <w:rFonts w:cs="Arial"/>
                <w:szCs w:val="24"/>
              </w:rPr>
              <w:t>Royal Mail Signed For™</w:t>
            </w:r>
            <w:bookmarkEnd w:id="1868"/>
            <w:r w:rsidRPr="00830C78">
              <w:rPr>
                <w:rFonts w:cs="Arial"/>
                <w:szCs w:val="24"/>
              </w:rPr>
              <w:t xml:space="preserve"> 1</w:t>
            </w:r>
            <w:r w:rsidRPr="00830C78">
              <w:rPr>
                <w:rFonts w:cs="Arial"/>
                <w:szCs w:val="24"/>
                <w:vertAlign w:val="superscript"/>
              </w:rPr>
              <w:t>st</w:t>
            </w:r>
            <w:r w:rsidRPr="00830C78">
              <w:rPr>
                <w:rFonts w:cs="Arial"/>
                <w:szCs w:val="24"/>
              </w:rPr>
              <w:t xml:space="preserve"> </w:t>
            </w:r>
            <w:bookmarkStart w:id="1869" w:name="_9kR3WTr26646GSChp8"/>
            <w:r w:rsidRPr="00830C78">
              <w:rPr>
                <w:rFonts w:cs="Arial"/>
                <w:szCs w:val="24"/>
              </w:rPr>
              <w:t>Class</w:t>
            </w:r>
            <w:bookmarkEnd w:id="1869"/>
            <w:r w:rsidRPr="00830C78">
              <w:rPr>
                <w:rFonts w:cs="Arial"/>
                <w:bCs/>
                <w:iCs/>
                <w:szCs w:val="24"/>
              </w:rPr>
              <w:t xml:space="preserve"> or other prepaid, next </w:t>
            </w:r>
            <w:bookmarkStart w:id="1870" w:name="_9kMHG5YVt4666AHlb30swvMB3"/>
            <w:r w:rsidRPr="00830C78">
              <w:rPr>
                <w:rFonts w:cs="Arial"/>
                <w:bCs/>
                <w:iCs/>
                <w:szCs w:val="24"/>
              </w:rPr>
              <w:t>Working Day</w:t>
            </w:r>
            <w:bookmarkEnd w:id="1870"/>
            <w:r w:rsidRPr="00830C78">
              <w:rPr>
                <w:rFonts w:cs="Arial"/>
                <w:bCs/>
                <w:iCs/>
                <w:szCs w:val="24"/>
              </w:rPr>
              <w:t xml:space="preserve"> service providing proof of delivery.</w:t>
            </w:r>
          </w:p>
        </w:tc>
        <w:tc>
          <w:tcPr>
            <w:tcW w:w="3969" w:type="dxa"/>
          </w:tcPr>
          <w:p w14:paraId="732A17EE" w14:textId="77777777" w:rsidR="00F67E9E" w:rsidRPr="00830C78" w:rsidRDefault="00F67E9E" w:rsidP="0052486C">
            <w:pPr>
              <w:rPr>
                <w:rFonts w:cs="Arial"/>
                <w:bCs/>
                <w:iCs/>
                <w:szCs w:val="24"/>
              </w:rPr>
            </w:pPr>
            <w:r w:rsidRPr="00830C78">
              <w:rPr>
                <w:rFonts w:cs="Arial"/>
                <w:bCs/>
                <w:iCs/>
                <w:szCs w:val="24"/>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118" w:type="dxa"/>
          </w:tcPr>
          <w:p w14:paraId="30E4F508" w14:textId="77777777" w:rsidR="00F67E9E" w:rsidRPr="00830C78" w:rsidRDefault="00F67E9E" w:rsidP="0052486C">
            <w:pPr>
              <w:rPr>
                <w:rFonts w:cs="Arial"/>
                <w:bCs/>
                <w:iCs/>
                <w:szCs w:val="24"/>
              </w:rPr>
            </w:pPr>
            <w:r w:rsidRPr="00830C78">
              <w:rPr>
                <w:rFonts w:cs="Arial"/>
                <w:bCs/>
                <w:iCs/>
                <w:szCs w:val="24"/>
              </w:rPr>
              <w:t>Properly addressed prepaid and delivered as evidenced by signature of a delivery receipt.</w:t>
            </w:r>
          </w:p>
        </w:tc>
      </w:tr>
    </w:tbl>
    <w:p w14:paraId="399D8D7F" w14:textId="77777777" w:rsidR="00F67E9E" w:rsidRPr="00830C78" w:rsidRDefault="00F67E9E" w:rsidP="00F67E9E">
      <w:pPr>
        <w:pStyle w:val="AppendixText2"/>
      </w:pPr>
      <w:r w:rsidRPr="00830C78">
        <w:t xml:space="preserve">Notices shall be sent to the addresses set out below or at such other address as the relevant Party may give notice to the other Party for </w:t>
      </w:r>
      <w:r w:rsidRPr="004D5D04">
        <w:t>the</w:t>
      </w:r>
      <w:r w:rsidRPr="00830C78">
        <w:t xml:space="preserve"> </w:t>
      </w:r>
      <w:bookmarkStart w:id="1871" w:name="_9kMKJ5YVt46669Fda9537y"/>
      <w:r w:rsidRPr="00830C78">
        <w:t>purpose</w:t>
      </w:r>
      <w:bookmarkEnd w:id="1871"/>
      <w:r w:rsidRPr="00830C78">
        <w:t xml:space="preserve"> of service of notices under this Agreement:</w:t>
      </w:r>
    </w:p>
    <w:tbl>
      <w:tblPr>
        <w:tblStyle w:val="MSATable-header"/>
        <w:tblW w:w="9525" w:type="dxa"/>
        <w:tblInd w:w="680" w:type="dxa"/>
        <w:tblLook w:val="01E0" w:firstRow="1" w:lastRow="1" w:firstColumn="1" w:lastColumn="1" w:noHBand="0" w:noVBand="0"/>
      </w:tblPr>
      <w:tblGrid>
        <w:gridCol w:w="2835"/>
        <w:gridCol w:w="3345"/>
        <w:gridCol w:w="3345"/>
      </w:tblGrid>
      <w:tr w:rsidR="00F67E9E" w:rsidRPr="00F3052F" w14:paraId="7C8A1647"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2835" w:type="dxa"/>
            <w:tcBorders>
              <w:top w:val="nil"/>
              <w:left w:val="nil"/>
            </w:tcBorders>
            <w:shd w:val="clear" w:color="auto" w:fill="auto"/>
            <w:vAlign w:val="bottom"/>
          </w:tcPr>
          <w:p w14:paraId="6C4A04CB" w14:textId="77777777" w:rsidR="00F67E9E" w:rsidRPr="0099027A" w:rsidRDefault="00F67E9E" w:rsidP="0052486C"/>
        </w:tc>
        <w:tc>
          <w:tcPr>
            <w:tcW w:w="3345" w:type="dxa"/>
            <w:vAlign w:val="bottom"/>
          </w:tcPr>
          <w:p w14:paraId="6EA6E0C5" w14:textId="77777777" w:rsidR="00F67E9E" w:rsidRPr="0099027A" w:rsidRDefault="00F67E9E" w:rsidP="0052486C">
            <w:r w:rsidRPr="0099027A">
              <w:t>Counterparty</w:t>
            </w:r>
          </w:p>
        </w:tc>
        <w:tc>
          <w:tcPr>
            <w:tcW w:w="3345" w:type="dxa"/>
            <w:vAlign w:val="bottom"/>
          </w:tcPr>
          <w:p w14:paraId="1309DDAE" w14:textId="77777777" w:rsidR="00F67E9E" w:rsidRPr="0099027A" w:rsidRDefault="00F67E9E" w:rsidP="0052486C">
            <w:r w:rsidRPr="0099027A">
              <w:t>Authority</w:t>
            </w:r>
          </w:p>
        </w:tc>
      </w:tr>
      <w:tr w:rsidR="00F67E9E" w:rsidRPr="00830C78" w14:paraId="4B31C9A3" w14:textId="77777777" w:rsidTr="0052486C">
        <w:tc>
          <w:tcPr>
            <w:tcW w:w="2835" w:type="dxa"/>
            <w:shd w:val="clear" w:color="auto" w:fill="F0F0F0"/>
          </w:tcPr>
          <w:p w14:paraId="5885993A" w14:textId="77777777" w:rsidR="00F67E9E" w:rsidRPr="0099027A" w:rsidRDefault="00F67E9E" w:rsidP="0052486C">
            <w:pPr>
              <w:rPr>
                <w:b/>
                <w:bCs/>
              </w:rPr>
            </w:pPr>
            <w:r w:rsidRPr="0099027A">
              <w:rPr>
                <w:b/>
                <w:bCs/>
              </w:rPr>
              <w:t>Contact</w:t>
            </w:r>
          </w:p>
        </w:tc>
        <w:tc>
          <w:tcPr>
            <w:tcW w:w="3345" w:type="dxa"/>
          </w:tcPr>
          <w:p w14:paraId="18543498" w14:textId="77777777" w:rsidR="00F67E9E" w:rsidRPr="0099027A" w:rsidRDefault="00F67E9E" w:rsidP="0052486C"/>
        </w:tc>
        <w:tc>
          <w:tcPr>
            <w:tcW w:w="3345" w:type="dxa"/>
          </w:tcPr>
          <w:p w14:paraId="71725B9F" w14:textId="77777777" w:rsidR="00F67E9E" w:rsidRPr="0099027A" w:rsidRDefault="00F67E9E" w:rsidP="0052486C"/>
        </w:tc>
      </w:tr>
      <w:tr w:rsidR="00F67E9E" w:rsidRPr="00830C78" w14:paraId="5BAFF0D5" w14:textId="77777777" w:rsidTr="0052486C">
        <w:trPr>
          <w:trHeight w:val="85"/>
        </w:trPr>
        <w:tc>
          <w:tcPr>
            <w:tcW w:w="2835" w:type="dxa"/>
            <w:shd w:val="clear" w:color="auto" w:fill="F0F0F0"/>
          </w:tcPr>
          <w:p w14:paraId="50115B30" w14:textId="77777777" w:rsidR="00F67E9E" w:rsidRPr="0099027A" w:rsidRDefault="00F67E9E" w:rsidP="0052486C">
            <w:pPr>
              <w:rPr>
                <w:b/>
                <w:bCs/>
              </w:rPr>
            </w:pPr>
            <w:r w:rsidRPr="0099027A">
              <w:rPr>
                <w:b/>
                <w:bCs/>
              </w:rPr>
              <w:t>Address</w:t>
            </w:r>
          </w:p>
        </w:tc>
        <w:tc>
          <w:tcPr>
            <w:tcW w:w="3345" w:type="dxa"/>
          </w:tcPr>
          <w:p w14:paraId="44E42CA2" w14:textId="77777777" w:rsidR="00F67E9E" w:rsidRPr="0099027A" w:rsidRDefault="00F67E9E" w:rsidP="0052486C"/>
        </w:tc>
        <w:tc>
          <w:tcPr>
            <w:tcW w:w="3345" w:type="dxa"/>
          </w:tcPr>
          <w:p w14:paraId="009127C9" w14:textId="77777777" w:rsidR="00F67E9E" w:rsidRPr="0099027A" w:rsidRDefault="00F67E9E" w:rsidP="0052486C"/>
        </w:tc>
      </w:tr>
      <w:tr w:rsidR="00F67E9E" w:rsidRPr="00830C78" w14:paraId="2947784B" w14:textId="77777777" w:rsidTr="0052486C">
        <w:tc>
          <w:tcPr>
            <w:tcW w:w="2835" w:type="dxa"/>
            <w:shd w:val="clear" w:color="auto" w:fill="F0F0F0"/>
          </w:tcPr>
          <w:p w14:paraId="07B6F8AB" w14:textId="77777777" w:rsidR="00F67E9E" w:rsidRPr="0099027A" w:rsidRDefault="00F67E9E" w:rsidP="0052486C">
            <w:pPr>
              <w:rPr>
                <w:b/>
                <w:bCs/>
              </w:rPr>
            </w:pPr>
            <w:r w:rsidRPr="0099027A">
              <w:rPr>
                <w:b/>
                <w:bCs/>
              </w:rPr>
              <w:t>Email</w:t>
            </w:r>
          </w:p>
        </w:tc>
        <w:tc>
          <w:tcPr>
            <w:tcW w:w="3345" w:type="dxa"/>
          </w:tcPr>
          <w:p w14:paraId="116E7C89" w14:textId="77777777" w:rsidR="00F67E9E" w:rsidRPr="0099027A" w:rsidRDefault="00F67E9E" w:rsidP="0052486C"/>
        </w:tc>
        <w:tc>
          <w:tcPr>
            <w:tcW w:w="3345" w:type="dxa"/>
          </w:tcPr>
          <w:p w14:paraId="56AC4106" w14:textId="77777777" w:rsidR="00F67E9E" w:rsidRPr="0099027A" w:rsidRDefault="00F67E9E" w:rsidP="0052486C"/>
        </w:tc>
      </w:tr>
    </w:tbl>
    <w:p w14:paraId="35DEAB6A" w14:textId="77777777" w:rsidR="00F67E9E" w:rsidRPr="00830C78" w:rsidRDefault="00F67E9E" w:rsidP="00F67E9E"/>
    <w:p w14:paraId="3A62D700" w14:textId="4555E82B" w:rsidR="00F67E9E" w:rsidRPr="00830C78" w:rsidRDefault="00F67E9E" w:rsidP="00F67E9E">
      <w:pPr>
        <w:pStyle w:val="AppendixText2"/>
      </w:pPr>
      <w:r w:rsidRPr="00830C78">
        <w:t xml:space="preserve">This Clause </w:t>
      </w:r>
      <w:r w:rsidRPr="00830C78">
        <w:fldChar w:fldCharType="begin"/>
      </w:r>
      <w:r w:rsidRPr="00830C78">
        <w:instrText xml:space="preserve"> REF _Ref88044888 \r \h </w:instrText>
      </w:r>
      <w:r>
        <w:instrText xml:space="preserve"> \* MERGEFORMAT </w:instrText>
      </w:r>
      <w:r w:rsidRPr="00830C78">
        <w:fldChar w:fldCharType="separate"/>
      </w:r>
      <w:r w:rsidR="007A1473">
        <w:t>8</w:t>
      </w:r>
      <w:r w:rsidRPr="00830C78">
        <w:fldChar w:fldCharType="end"/>
      </w:r>
      <w:r w:rsidRPr="00830C78">
        <w:t xml:space="preserve"> does not apply to the service of any proceedings or other documents in any legal action or other method of dispute </w:t>
      </w:r>
      <w:r w:rsidRPr="004D5D04">
        <w:t>resolution</w:t>
      </w:r>
      <w:r w:rsidRPr="00830C78">
        <w:t>.</w:t>
      </w:r>
    </w:p>
    <w:p w14:paraId="7CDEFE80" w14:textId="77777777" w:rsidR="00F67E9E" w:rsidRPr="004D5D04" w:rsidRDefault="00F67E9E" w:rsidP="00F67E9E">
      <w:pPr>
        <w:pStyle w:val="AppendixText1"/>
      </w:pPr>
      <w:bookmarkStart w:id="1872" w:name="_Toc127759113"/>
      <w:bookmarkStart w:id="1873" w:name="_Toc139080597"/>
      <w:bookmarkStart w:id="1874" w:name="_Toc359839013"/>
      <w:bookmarkStart w:id="1875" w:name="_Ref46569849"/>
      <w:bookmarkStart w:id="1876" w:name="_Toc127759122"/>
      <w:bookmarkStart w:id="1877" w:name="_Toc139080633"/>
      <w:bookmarkStart w:id="1878" w:name="_Ref347425913"/>
      <w:bookmarkStart w:id="1879" w:name="_Toc359839022"/>
      <w:r w:rsidRPr="00122216">
        <w:t>Waiver</w:t>
      </w:r>
      <w:r w:rsidRPr="004D5D04">
        <w:t xml:space="preserve"> </w:t>
      </w:r>
      <w:r>
        <w:t>a</w:t>
      </w:r>
      <w:r w:rsidRPr="004D5D04">
        <w:t>nd Cumulative Remedies</w:t>
      </w:r>
      <w:bookmarkEnd w:id="1872"/>
      <w:bookmarkEnd w:id="1873"/>
      <w:bookmarkEnd w:id="1874"/>
    </w:p>
    <w:p w14:paraId="11D67D19" w14:textId="77777777" w:rsidR="00F67E9E" w:rsidRPr="00122216" w:rsidRDefault="00F67E9E" w:rsidP="00F67E9E">
      <w:pPr>
        <w:pStyle w:val="AppendixText2"/>
      </w:pPr>
      <w:r w:rsidRPr="00830C78">
        <w:t xml:space="preserve">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w:t>
      </w:r>
      <w:r w:rsidRPr="00122216">
        <w:t>shall prevent or restrict the further exercise of that or any other right or remedy.</w:t>
      </w:r>
    </w:p>
    <w:p w14:paraId="6C89E0A7" w14:textId="77777777" w:rsidR="00F67E9E" w:rsidRPr="00830C78" w:rsidRDefault="00F67E9E" w:rsidP="00F67E9E">
      <w:pPr>
        <w:pStyle w:val="AppendixText2"/>
      </w:pPr>
      <w:r w:rsidRPr="00122216">
        <w:t>Unless othe</w:t>
      </w:r>
      <w:r w:rsidRPr="00830C78">
        <w:t xml:space="preserve">rwise provided in this Agreement, rights and remedies under this Agreement are cumulative and do not exclude any rights or </w:t>
      </w:r>
      <w:r w:rsidRPr="004D5D04">
        <w:t>remedies</w:t>
      </w:r>
      <w:r w:rsidRPr="00830C78">
        <w:t xml:space="preserve"> provided by law, in equity or otherwise.</w:t>
      </w:r>
    </w:p>
    <w:p w14:paraId="007C45D5" w14:textId="77777777" w:rsidR="00F67E9E" w:rsidRPr="004D5D04" w:rsidRDefault="00F67E9E" w:rsidP="00F67E9E">
      <w:pPr>
        <w:pStyle w:val="AppendixText1"/>
      </w:pPr>
      <w:r w:rsidRPr="004D5D04">
        <w:t>Term</w:t>
      </w:r>
    </w:p>
    <w:p w14:paraId="3A8FA3DE" w14:textId="77777777" w:rsidR="00F67E9E" w:rsidRPr="00830C78" w:rsidRDefault="00F67E9E" w:rsidP="00F67E9E">
      <w:pPr>
        <w:pStyle w:val="AppendixText2"/>
      </w:pPr>
      <w:bookmarkStart w:id="1880" w:name="_Ref89440700"/>
      <w:r w:rsidRPr="00830C78">
        <w:t xml:space="preserve">Each </w:t>
      </w:r>
      <w:bookmarkStart w:id="1881" w:name="_9kMH5M6ZWu9A67CK"/>
      <w:r w:rsidRPr="00830C78">
        <w:t>Party</w:t>
      </w:r>
      <w:r>
        <w:t>’</w:t>
      </w:r>
      <w:r w:rsidRPr="00830C78">
        <w:t>s</w:t>
      </w:r>
      <w:bookmarkEnd w:id="1881"/>
      <w:r w:rsidRPr="00830C78">
        <w:t xml:space="preserve"> obligations under this </w:t>
      </w:r>
      <w:r w:rsidRPr="004D5D04">
        <w:t>Agreement</w:t>
      </w:r>
      <w:r w:rsidRPr="00830C78">
        <w:t xml:space="preserve"> shall continue in full force and effect for period of </w:t>
      </w:r>
      <w:r w:rsidRPr="007A5E8D">
        <w:rPr>
          <w:highlight w:val="yellow"/>
        </w:rPr>
        <w:t xml:space="preserve">[  </w:t>
      </w:r>
      <w:r w:rsidRPr="00830C78">
        <w:t>] years from the Effective Date</w:t>
      </w:r>
      <w:r w:rsidRPr="00830C78">
        <w:rPr>
          <w:highlight w:val="yellow"/>
        </w:rPr>
        <w:t>/[or for the period of the duration of the Procurement Process]</w:t>
      </w:r>
      <w:bookmarkEnd w:id="1880"/>
    </w:p>
    <w:p w14:paraId="338E4AED" w14:textId="77777777" w:rsidR="00F67E9E" w:rsidRPr="004D5D04" w:rsidRDefault="00F67E9E" w:rsidP="00F67E9E">
      <w:pPr>
        <w:pStyle w:val="AppendixText1"/>
      </w:pPr>
      <w:r w:rsidRPr="004D5D04">
        <w:t xml:space="preserve">Governing Law </w:t>
      </w:r>
      <w:r>
        <w:t>a</w:t>
      </w:r>
      <w:r w:rsidRPr="004D5D04">
        <w:t>nd Jurisdiction</w:t>
      </w:r>
      <w:bookmarkEnd w:id="1875"/>
      <w:bookmarkEnd w:id="1876"/>
      <w:bookmarkEnd w:id="1877"/>
      <w:bookmarkEnd w:id="1878"/>
      <w:bookmarkEnd w:id="1879"/>
    </w:p>
    <w:p w14:paraId="74DD2BC7" w14:textId="77777777" w:rsidR="00F67E9E" w:rsidRPr="00830C78" w:rsidRDefault="00F67E9E" w:rsidP="00F67E9E">
      <w:pPr>
        <w:pStyle w:val="AppendixText2"/>
      </w:pPr>
      <w:r w:rsidRPr="00830C78">
        <w:t xml:space="preserve">This Agreement and any issues, disputes or claims (whether contractual or non-contractual) arising out of or in connection with it or its subject matter or </w:t>
      </w:r>
      <w:r w:rsidRPr="004D5D04">
        <w:t>formation</w:t>
      </w:r>
      <w:r w:rsidRPr="00830C78">
        <w:t xml:space="preserve"> shall be governed by and construed in accordance with the laws of England and Wales. </w:t>
      </w:r>
    </w:p>
    <w:p w14:paraId="63E56EA5" w14:textId="77777777" w:rsidR="00F67E9E" w:rsidRPr="00830C78" w:rsidRDefault="00F67E9E" w:rsidP="00F67E9E">
      <w:pPr>
        <w:pStyle w:val="AppendixText2"/>
      </w:pPr>
      <w:r w:rsidRPr="00830C78">
        <w:lastRenderedPageBreak/>
        <w:t xml:space="preserve">The Parties agree that the courts of England and Wales shall have exclusive jurisdiction to settle any dispute or claim (whether </w:t>
      </w:r>
      <w:r w:rsidRPr="004D5D04">
        <w:t>contractual</w:t>
      </w:r>
      <w:r w:rsidRPr="00830C78">
        <w:t xml:space="preserve"> or non-contractual) that arises out of or in connection with this Agreement or its subject matter or formation.</w:t>
      </w:r>
    </w:p>
    <w:tbl>
      <w:tblPr>
        <w:tblW w:w="5000" w:type="pct"/>
        <w:tblInd w:w="-108" w:type="dxa"/>
        <w:tblLook w:val="04A0" w:firstRow="1" w:lastRow="0" w:firstColumn="1" w:lastColumn="0" w:noHBand="0" w:noVBand="1"/>
      </w:tblPr>
      <w:tblGrid>
        <w:gridCol w:w="5099"/>
        <w:gridCol w:w="5099"/>
      </w:tblGrid>
      <w:tr w:rsidR="00F67E9E" w:rsidRPr="00863151" w14:paraId="0F7545FF" w14:textId="77777777" w:rsidTr="0052486C">
        <w:trPr>
          <w:cantSplit/>
        </w:trPr>
        <w:tc>
          <w:tcPr>
            <w:tcW w:w="2500" w:type="pct"/>
          </w:tcPr>
          <w:p w14:paraId="73D2ABCC" w14:textId="77777777" w:rsidR="00F67E9E" w:rsidRPr="00863151" w:rsidRDefault="00F67E9E" w:rsidP="0052486C">
            <w:pPr>
              <w:rPr>
                <w:szCs w:val="24"/>
              </w:rPr>
            </w:pPr>
          </w:p>
          <w:p w14:paraId="7415949C" w14:textId="77777777" w:rsidR="00F67E9E" w:rsidRPr="00863151" w:rsidRDefault="00F67E9E" w:rsidP="0052486C">
            <w:pPr>
              <w:rPr>
                <w:szCs w:val="24"/>
              </w:rPr>
            </w:pPr>
            <w:r w:rsidRPr="00863151">
              <w:rPr>
                <w:szCs w:val="24"/>
              </w:rPr>
              <w:t>Signed by the Authority</w:t>
            </w:r>
          </w:p>
        </w:tc>
        <w:tc>
          <w:tcPr>
            <w:tcW w:w="2500" w:type="pct"/>
          </w:tcPr>
          <w:p w14:paraId="7AF32D43" w14:textId="77777777" w:rsidR="00F67E9E" w:rsidRPr="00863151" w:rsidRDefault="00F67E9E" w:rsidP="0052486C">
            <w:pPr>
              <w:rPr>
                <w:szCs w:val="24"/>
              </w:rPr>
            </w:pPr>
          </w:p>
          <w:p w14:paraId="5E1C68A3" w14:textId="77777777" w:rsidR="00F67E9E" w:rsidRPr="00863151" w:rsidRDefault="00F67E9E" w:rsidP="0052486C">
            <w:pPr>
              <w:rPr>
                <w:szCs w:val="24"/>
              </w:rPr>
            </w:pPr>
            <w:r w:rsidRPr="00863151">
              <w:rPr>
                <w:szCs w:val="24"/>
              </w:rPr>
              <w:t>Name:</w:t>
            </w:r>
          </w:p>
          <w:p w14:paraId="02E71474" w14:textId="77777777" w:rsidR="00F67E9E" w:rsidRPr="00863151" w:rsidRDefault="00F67E9E" w:rsidP="0052486C">
            <w:pPr>
              <w:rPr>
                <w:szCs w:val="24"/>
              </w:rPr>
            </w:pPr>
          </w:p>
          <w:p w14:paraId="76085471" w14:textId="77777777" w:rsidR="00F67E9E" w:rsidRPr="00863151" w:rsidRDefault="00F67E9E" w:rsidP="0052486C">
            <w:pPr>
              <w:rPr>
                <w:szCs w:val="24"/>
              </w:rPr>
            </w:pPr>
            <w:r w:rsidRPr="00863151">
              <w:rPr>
                <w:szCs w:val="24"/>
              </w:rPr>
              <w:t>Signature:</w:t>
            </w:r>
          </w:p>
          <w:p w14:paraId="389C7CFF" w14:textId="77777777" w:rsidR="00F67E9E" w:rsidRPr="00863151" w:rsidRDefault="00F67E9E" w:rsidP="0052486C">
            <w:pPr>
              <w:rPr>
                <w:szCs w:val="24"/>
              </w:rPr>
            </w:pPr>
          </w:p>
          <w:p w14:paraId="66741C79" w14:textId="77777777" w:rsidR="00F67E9E" w:rsidRPr="00863151" w:rsidRDefault="00F67E9E" w:rsidP="0052486C">
            <w:pPr>
              <w:rPr>
                <w:szCs w:val="24"/>
              </w:rPr>
            </w:pPr>
            <w:r w:rsidRPr="00830C78">
              <w:rPr>
                <w:szCs w:val="24"/>
              </w:rPr>
              <w:t>Position in Authority:</w:t>
            </w:r>
          </w:p>
        </w:tc>
      </w:tr>
    </w:tbl>
    <w:p w14:paraId="210AFAAA" w14:textId="77777777" w:rsidR="00F67E9E" w:rsidRPr="00830C78" w:rsidRDefault="00F67E9E" w:rsidP="00F67E9E">
      <w:pPr>
        <w:rPr>
          <w:szCs w:val="24"/>
        </w:rPr>
      </w:pPr>
    </w:p>
    <w:tbl>
      <w:tblPr>
        <w:tblW w:w="5000" w:type="pct"/>
        <w:tblInd w:w="-108" w:type="dxa"/>
        <w:tblLook w:val="04A0" w:firstRow="1" w:lastRow="0" w:firstColumn="1" w:lastColumn="0" w:noHBand="0" w:noVBand="1"/>
      </w:tblPr>
      <w:tblGrid>
        <w:gridCol w:w="5099"/>
        <w:gridCol w:w="5099"/>
      </w:tblGrid>
      <w:tr w:rsidR="00F67E9E" w:rsidRPr="00863151" w14:paraId="4A1056E9" w14:textId="77777777" w:rsidTr="0052486C">
        <w:trPr>
          <w:cantSplit/>
        </w:trPr>
        <w:tc>
          <w:tcPr>
            <w:tcW w:w="2500" w:type="pct"/>
          </w:tcPr>
          <w:p w14:paraId="3D3F19FC" w14:textId="77777777" w:rsidR="00F67E9E" w:rsidRPr="00863151" w:rsidRDefault="00F67E9E" w:rsidP="0052486C">
            <w:pPr>
              <w:rPr>
                <w:szCs w:val="24"/>
              </w:rPr>
            </w:pPr>
          </w:p>
          <w:p w14:paraId="38D4A44D" w14:textId="77777777" w:rsidR="00F67E9E" w:rsidRPr="00863151" w:rsidRDefault="00F67E9E" w:rsidP="0052486C">
            <w:pPr>
              <w:rPr>
                <w:szCs w:val="24"/>
              </w:rPr>
            </w:pPr>
          </w:p>
          <w:p w14:paraId="50AFE9F3" w14:textId="77777777" w:rsidR="00F67E9E" w:rsidRPr="00863151" w:rsidRDefault="00F67E9E" w:rsidP="0052486C">
            <w:pPr>
              <w:rPr>
                <w:szCs w:val="24"/>
              </w:rPr>
            </w:pPr>
            <w:r w:rsidRPr="00863151">
              <w:rPr>
                <w:szCs w:val="24"/>
              </w:rPr>
              <w:t>Signed by the Counterparty</w:t>
            </w:r>
          </w:p>
        </w:tc>
        <w:tc>
          <w:tcPr>
            <w:tcW w:w="2500" w:type="pct"/>
          </w:tcPr>
          <w:p w14:paraId="07AEF02A" w14:textId="77777777" w:rsidR="00F67E9E" w:rsidRPr="00863151" w:rsidRDefault="00F67E9E" w:rsidP="0052486C">
            <w:pPr>
              <w:rPr>
                <w:szCs w:val="24"/>
              </w:rPr>
            </w:pPr>
          </w:p>
          <w:p w14:paraId="5D40296A" w14:textId="77777777" w:rsidR="00F67E9E" w:rsidRPr="00863151" w:rsidRDefault="00F67E9E" w:rsidP="0052486C">
            <w:pPr>
              <w:rPr>
                <w:szCs w:val="24"/>
              </w:rPr>
            </w:pPr>
          </w:p>
          <w:p w14:paraId="01819D28" w14:textId="77777777" w:rsidR="00F67E9E" w:rsidRPr="00863151" w:rsidRDefault="00F67E9E" w:rsidP="0052486C">
            <w:pPr>
              <w:rPr>
                <w:szCs w:val="24"/>
              </w:rPr>
            </w:pPr>
            <w:r w:rsidRPr="00863151">
              <w:rPr>
                <w:szCs w:val="24"/>
              </w:rPr>
              <w:t>Name:</w:t>
            </w:r>
          </w:p>
          <w:p w14:paraId="6476AC3F" w14:textId="77777777" w:rsidR="00F67E9E" w:rsidRPr="00863151" w:rsidRDefault="00F67E9E" w:rsidP="0052486C">
            <w:pPr>
              <w:rPr>
                <w:szCs w:val="24"/>
              </w:rPr>
            </w:pPr>
          </w:p>
          <w:p w14:paraId="37BAC6E1" w14:textId="77777777" w:rsidR="00F67E9E" w:rsidRPr="00863151" w:rsidRDefault="00F67E9E" w:rsidP="0052486C">
            <w:pPr>
              <w:rPr>
                <w:szCs w:val="24"/>
              </w:rPr>
            </w:pPr>
            <w:r w:rsidRPr="00863151">
              <w:rPr>
                <w:szCs w:val="24"/>
              </w:rPr>
              <w:t>Signature:</w:t>
            </w:r>
          </w:p>
          <w:p w14:paraId="136C6A73" w14:textId="77777777" w:rsidR="00F67E9E" w:rsidRPr="00863151" w:rsidRDefault="00F67E9E" w:rsidP="0052486C">
            <w:pPr>
              <w:rPr>
                <w:szCs w:val="24"/>
              </w:rPr>
            </w:pPr>
          </w:p>
          <w:p w14:paraId="413C86E8" w14:textId="77777777" w:rsidR="00F67E9E" w:rsidRPr="00863151" w:rsidRDefault="00F67E9E" w:rsidP="0052486C">
            <w:pPr>
              <w:rPr>
                <w:szCs w:val="24"/>
              </w:rPr>
            </w:pPr>
            <w:r w:rsidRPr="00830C78">
              <w:rPr>
                <w:szCs w:val="24"/>
              </w:rPr>
              <w:t>Position in Counterparty:</w:t>
            </w:r>
          </w:p>
        </w:tc>
      </w:tr>
    </w:tbl>
    <w:p w14:paraId="6FE3004F" w14:textId="77777777" w:rsidR="00F67E9E" w:rsidRDefault="00F67E9E" w:rsidP="00F67E9E">
      <w:pPr>
        <w:rPr>
          <w:rFonts w:eastAsia="Times New Roman" w:cs="Arial"/>
          <w:szCs w:val="24"/>
          <w:lang w:eastAsia="en-GB"/>
        </w:rPr>
      </w:pPr>
    </w:p>
    <w:p w14:paraId="728FC477" w14:textId="77777777" w:rsidR="00F67E9E" w:rsidRDefault="00F67E9E" w:rsidP="00F67E9E">
      <w:pPr>
        <w:rPr>
          <w:rFonts w:eastAsia="Times New Roman" w:cs="Arial"/>
          <w:szCs w:val="24"/>
          <w:lang w:eastAsia="en-GB"/>
        </w:rPr>
      </w:pPr>
    </w:p>
    <w:p w14:paraId="10710D7B" w14:textId="77777777" w:rsidR="00F67E9E" w:rsidRPr="00DF3219" w:rsidRDefault="00F67E9E" w:rsidP="00F67E9E">
      <w:pPr>
        <w:rPr>
          <w:rFonts w:eastAsia="Times New Roman" w:cs="Arial"/>
          <w:szCs w:val="24"/>
          <w:lang w:eastAsia="en-GB"/>
        </w:rPr>
      </w:pPr>
    </w:p>
    <w:p w14:paraId="5C1EF216" w14:textId="77777777" w:rsidR="00F67E9E" w:rsidRDefault="00F67E9E" w:rsidP="00F67E9E">
      <w:pPr>
        <w:rPr>
          <w:rFonts w:cs="Arial"/>
          <w:szCs w:val="24"/>
        </w:rPr>
        <w:sectPr w:rsidR="00F67E9E" w:rsidSect="003565BD">
          <w:headerReference w:type="default" r:id="rId148"/>
          <w:footerReference w:type="default" r:id="rId149"/>
          <w:headerReference w:type="first" r:id="rId150"/>
          <w:footerReference w:type="first" r:id="rId151"/>
          <w:pgSz w:w="11900" w:h="16840"/>
          <w:pgMar w:top="1701" w:right="851" w:bottom="1134" w:left="851" w:header="567" w:footer="567" w:gutter="0"/>
          <w:cols w:space="720"/>
          <w:docGrid w:linePitch="360"/>
        </w:sectPr>
      </w:pPr>
    </w:p>
    <w:p w14:paraId="2A3A1DFF" w14:textId="77777777" w:rsidR="00F67E9E" w:rsidRPr="00EE4F10" w:rsidRDefault="00F67E9E" w:rsidP="00F67E9E">
      <w:pPr>
        <w:pStyle w:val="Dividername"/>
      </w:pPr>
      <w:r w:rsidRPr="00EE4F10">
        <w:lastRenderedPageBreak/>
        <w:t>Schedule 26</w:t>
      </w:r>
    </w:p>
    <w:p w14:paraId="129D779C" w14:textId="77777777" w:rsidR="00F67E9E" w:rsidRPr="00EE4F10" w:rsidRDefault="00F67E9E" w:rsidP="00F67E9E">
      <w:pPr>
        <w:pStyle w:val="Dividername"/>
      </w:pPr>
      <w:r w:rsidRPr="00EE4F10">
        <w:t xml:space="preserve">Service Continuity Plan </w:t>
      </w:r>
      <w:r>
        <w:t>a</w:t>
      </w:r>
      <w:r w:rsidRPr="00EE4F10">
        <w:t>nd Corporate Resolution Planning</w:t>
      </w:r>
    </w:p>
    <w:p w14:paraId="3E026973" w14:textId="77777777" w:rsidR="00F67E9E" w:rsidRPr="00B224EC" w:rsidRDefault="00F67E9E" w:rsidP="00F67E9E">
      <w:pPr>
        <w:rPr>
          <w:rFonts w:cs="Arial"/>
          <w:szCs w:val="24"/>
        </w:rPr>
      </w:pPr>
    </w:p>
    <w:p w14:paraId="7D942914" w14:textId="77777777" w:rsidR="00F67E9E" w:rsidRDefault="00F67E9E" w:rsidP="00F67E9E">
      <w:pPr>
        <w:rPr>
          <w:rFonts w:cs="Arial"/>
          <w:szCs w:val="24"/>
        </w:rPr>
      </w:pPr>
      <w:r>
        <w:rPr>
          <w:rFonts w:cs="Arial"/>
          <w:szCs w:val="24"/>
        </w:rPr>
        <w:br w:type="page"/>
      </w:r>
    </w:p>
    <w:p w14:paraId="37F8EF55" w14:textId="77777777" w:rsidR="00F67E9E" w:rsidRPr="005D0525" w:rsidRDefault="00F67E9E" w:rsidP="00F67E9E">
      <w:pPr>
        <w:pStyle w:val="Heading1"/>
      </w:pPr>
      <w:bookmarkStart w:id="1882" w:name="Schedule26"/>
      <w:bookmarkStart w:id="1883" w:name="_Ref92200057"/>
      <w:bookmarkStart w:id="1884" w:name="_Toc145412810"/>
      <w:r w:rsidRPr="005D0525">
        <w:lastRenderedPageBreak/>
        <w:t>Schedule</w:t>
      </w:r>
      <w:r>
        <w:t> </w:t>
      </w:r>
      <w:r w:rsidRPr="005D0525">
        <w:t>26</w:t>
      </w:r>
      <w:bookmarkEnd w:id="1882"/>
      <w:r>
        <w:t xml:space="preserve">: </w:t>
      </w:r>
      <w:bookmarkStart w:id="1885" w:name="Schedule26Heading"/>
      <w:r w:rsidRPr="00DD4CC2">
        <w:t>Service Continuity Plan and Corporate Resolution Planning</w:t>
      </w:r>
      <w:bookmarkEnd w:id="1883"/>
      <w:bookmarkEnd w:id="1884"/>
      <w:bookmarkEnd w:id="1885"/>
    </w:p>
    <w:p w14:paraId="64026E83" w14:textId="77777777" w:rsidR="00F67E9E" w:rsidRPr="0090330E" w:rsidRDefault="00F67E9E" w:rsidP="00F67E9E">
      <w:pPr>
        <w:pStyle w:val="Heading2"/>
      </w:pPr>
      <w:bookmarkStart w:id="1886" w:name="Sch26PartA"/>
      <w:bookmarkStart w:id="1887" w:name="_Ref92448404"/>
      <w:bookmarkStart w:id="1888" w:name="_Toc145412811"/>
      <w:r w:rsidRPr="0090330E">
        <w:t>Part A</w:t>
      </w:r>
      <w:bookmarkEnd w:id="1886"/>
      <w:r w:rsidRPr="0090330E">
        <w:t>: Service Continuity Plan</w:t>
      </w:r>
      <w:bookmarkEnd w:id="1887"/>
      <w:bookmarkEnd w:id="1888"/>
    </w:p>
    <w:p w14:paraId="4C56813D" w14:textId="77777777" w:rsidR="00F67E9E" w:rsidRPr="00B224EC" w:rsidRDefault="00F67E9E" w:rsidP="00F13933">
      <w:pPr>
        <w:pStyle w:val="Numbered1"/>
        <w:numPr>
          <w:ilvl w:val="0"/>
          <w:numId w:val="136"/>
        </w:numPr>
      </w:pPr>
      <w:r w:rsidRPr="00631338">
        <w:t>Definitions</w:t>
      </w:r>
    </w:p>
    <w:p w14:paraId="2DA8DF59" w14:textId="77777777" w:rsidR="00F67E9E" w:rsidRPr="00B224EC" w:rsidRDefault="00F67E9E" w:rsidP="00F67E9E">
      <w:pPr>
        <w:pStyle w:val="Numbered11"/>
      </w:pPr>
      <w:r w:rsidRPr="00B224EC">
        <w:t xml:space="preserve">In this Schedule, the following </w:t>
      </w:r>
      <w:r w:rsidRPr="00631338">
        <w:t>definitions</w:t>
      </w:r>
      <w:r w:rsidRPr="00B224EC">
        <w:t xml:space="preserve"> shall apply:</w:t>
      </w:r>
    </w:p>
    <w:tbl>
      <w:tblPr>
        <w:tblStyle w:val="MSAdefinitions"/>
        <w:tblW w:w="9638" w:type="dxa"/>
        <w:tblLook w:val="04A0" w:firstRow="1" w:lastRow="0" w:firstColumn="1" w:lastColumn="0" w:noHBand="0" w:noVBand="1"/>
      </w:tblPr>
      <w:tblGrid>
        <w:gridCol w:w="2835"/>
        <w:gridCol w:w="6803"/>
      </w:tblGrid>
      <w:tr w:rsidR="00F67E9E" w:rsidRPr="00B224EC" w14:paraId="65DBAE5C" w14:textId="77777777" w:rsidTr="0052486C">
        <w:tc>
          <w:tcPr>
            <w:tcW w:w="2835" w:type="dxa"/>
          </w:tcPr>
          <w:p w14:paraId="428D192C" w14:textId="77777777" w:rsidR="00F67E9E" w:rsidRPr="00B224EC" w:rsidRDefault="00F67E9E" w:rsidP="0052486C">
            <w:pPr>
              <w:pStyle w:val="StdBodyTextBold"/>
              <w:rPr>
                <w:rFonts w:cs="Arial"/>
              </w:rPr>
            </w:pPr>
            <w:r>
              <w:rPr>
                <w:rFonts w:cs="Arial"/>
              </w:rPr>
              <w:t>“</w:t>
            </w:r>
            <w:r w:rsidRPr="00B224EC">
              <w:rPr>
                <w:rFonts w:cs="Arial"/>
              </w:rPr>
              <w:t>Business Continuity Plan</w:t>
            </w:r>
            <w:r>
              <w:rPr>
                <w:rFonts w:cs="Arial"/>
              </w:rPr>
              <w:t>”</w:t>
            </w:r>
          </w:p>
        </w:tc>
        <w:tc>
          <w:tcPr>
            <w:tcW w:w="6803" w:type="dxa"/>
          </w:tcPr>
          <w:p w14:paraId="3A0B7D88" w14:textId="7072DB06" w:rsidR="00F67E9E" w:rsidRPr="00B224EC" w:rsidRDefault="00F67E9E" w:rsidP="0052486C">
            <w:pPr>
              <w:pStyle w:val="StdBodyText"/>
              <w:rPr>
                <w:rFonts w:cs="Arial"/>
              </w:rPr>
            </w:pPr>
            <w:r w:rsidRPr="00B224EC">
              <w:rPr>
                <w:rFonts w:cs="Arial"/>
              </w:rPr>
              <w:t xml:space="preserve">has the meaning given in </w:t>
            </w:r>
            <w:bookmarkStart w:id="1889" w:name="_9kMHG5YVtCJCFHCDEnhqYLuEZXAxttABuzBIC74"/>
            <w:bookmarkStart w:id="1890" w:name="_9kMHG5YVtCIBFHDEEnhqYLuEZXAxttABuzBIC74"/>
            <w:r w:rsidRPr="00B224EC">
              <w:rPr>
                <w:rFonts w:cs="Arial"/>
              </w:rPr>
              <w:t xml:space="preserve">Paragraph </w:t>
            </w:r>
            <w:r w:rsidRPr="00B224EC">
              <w:rPr>
                <w:rFonts w:cs="Arial"/>
              </w:rPr>
              <w:fldChar w:fldCharType="begin"/>
            </w:r>
            <w:r w:rsidRPr="00B224EC">
              <w:rPr>
                <w:rFonts w:cs="Arial"/>
              </w:rPr>
              <w:instrText xml:space="preserve"> REF _Ref_ContractCompanion_9kb9Us9B4 \w \h \t \* MERGEFORMAT </w:instrText>
            </w:r>
            <w:r w:rsidRPr="00B224EC">
              <w:rPr>
                <w:rFonts w:cs="Arial"/>
              </w:rPr>
            </w:r>
            <w:r w:rsidRPr="00B224EC">
              <w:rPr>
                <w:rFonts w:cs="Arial"/>
              </w:rPr>
              <w:fldChar w:fldCharType="separate"/>
            </w:r>
            <w:r w:rsidR="007A1473">
              <w:rPr>
                <w:rFonts w:cs="Arial"/>
              </w:rPr>
              <w:t>2.2.1(b)</w:t>
            </w:r>
            <w:r w:rsidRPr="00B224EC">
              <w:rPr>
                <w:rFonts w:cs="Arial"/>
              </w:rPr>
              <w:fldChar w:fldCharType="end"/>
            </w:r>
            <w:bookmarkEnd w:id="1889"/>
            <w:bookmarkEnd w:id="1890"/>
            <w:r w:rsidRPr="00B224EC">
              <w:rPr>
                <w:rFonts w:cs="Arial"/>
              </w:rPr>
              <w:t>;</w:t>
            </w:r>
          </w:p>
        </w:tc>
      </w:tr>
      <w:tr w:rsidR="00F67E9E" w:rsidRPr="0018147A" w14:paraId="7CF3F433" w14:textId="77777777" w:rsidTr="0052486C">
        <w:tc>
          <w:tcPr>
            <w:tcW w:w="2835" w:type="dxa"/>
          </w:tcPr>
          <w:p w14:paraId="37BCE51A" w14:textId="77777777" w:rsidR="00F67E9E" w:rsidRPr="00B224EC" w:rsidRDefault="00F67E9E" w:rsidP="0052486C">
            <w:pPr>
              <w:pStyle w:val="StdBodyTextBold"/>
              <w:rPr>
                <w:rFonts w:cs="Arial"/>
              </w:rPr>
            </w:pPr>
            <w:r>
              <w:rPr>
                <w:rFonts w:cs="Arial"/>
              </w:rPr>
              <w:t>“</w:t>
            </w:r>
            <w:r w:rsidRPr="00B224EC">
              <w:rPr>
                <w:rFonts w:cs="Arial"/>
              </w:rPr>
              <w:t>Business Continuity Services</w:t>
            </w:r>
            <w:r>
              <w:rPr>
                <w:rFonts w:cs="Arial"/>
              </w:rPr>
              <w:t>”</w:t>
            </w:r>
          </w:p>
        </w:tc>
        <w:tc>
          <w:tcPr>
            <w:tcW w:w="6803" w:type="dxa"/>
          </w:tcPr>
          <w:p w14:paraId="64ADDC94" w14:textId="77E45C78" w:rsidR="00F67E9E" w:rsidRPr="0018147A" w:rsidRDefault="00F67E9E" w:rsidP="0052486C">
            <w:pPr>
              <w:pStyle w:val="StdBodyText"/>
              <w:rPr>
                <w:rFonts w:cs="Arial"/>
              </w:rPr>
            </w:pPr>
            <w:r w:rsidRPr="00B224EC">
              <w:rPr>
                <w:rFonts w:cs="Arial"/>
              </w:rPr>
              <w:t xml:space="preserve">has the meaning given in </w:t>
            </w:r>
            <w:bookmarkStart w:id="1891" w:name="_9kMHG5YVtCIBFHGJGoswy9BHH6s455NFxuBRO7y"/>
            <w:bookmarkStart w:id="1892" w:name="_9kMHG5YVtCJCFHHKGoswy9BHH6s455NFxuBRO7y"/>
            <w:r w:rsidRPr="00B224EC">
              <w:rPr>
                <w:rFonts w:cs="Arial"/>
              </w:rPr>
              <w:t xml:space="preserve">Paragraph </w:t>
            </w:r>
            <w:r w:rsidRPr="00B224EC">
              <w:rPr>
                <w:rFonts w:cs="Arial"/>
              </w:rPr>
              <w:fldChar w:fldCharType="begin"/>
            </w:r>
            <w:r w:rsidRPr="00B224EC">
              <w:rPr>
                <w:rFonts w:cs="Arial"/>
              </w:rPr>
              <w:instrText xml:space="preserve"> REF _Ref_ContractCompanion_9kb9Us9B8 \w \h \t \* MERGEFORMAT </w:instrText>
            </w:r>
            <w:r w:rsidRPr="00B224EC">
              <w:rPr>
                <w:rFonts w:cs="Arial"/>
              </w:rPr>
            </w:r>
            <w:r w:rsidRPr="00B224EC">
              <w:rPr>
                <w:rFonts w:cs="Arial"/>
              </w:rPr>
              <w:fldChar w:fldCharType="separate"/>
            </w:r>
            <w:r w:rsidR="007A1473">
              <w:rPr>
                <w:rFonts w:cs="Arial"/>
              </w:rPr>
              <w:t>4.2.2</w:t>
            </w:r>
            <w:r w:rsidRPr="00B224EC">
              <w:rPr>
                <w:rFonts w:cs="Arial"/>
              </w:rPr>
              <w:fldChar w:fldCharType="end"/>
            </w:r>
            <w:bookmarkEnd w:id="1891"/>
            <w:bookmarkEnd w:id="1892"/>
            <w:r w:rsidRPr="00B224EC">
              <w:rPr>
                <w:rFonts w:cs="Arial"/>
              </w:rPr>
              <w:t>;</w:t>
            </w:r>
          </w:p>
        </w:tc>
      </w:tr>
      <w:tr w:rsidR="00F67E9E" w:rsidRPr="0018147A" w14:paraId="6A3F0728" w14:textId="77777777" w:rsidTr="0052486C">
        <w:tc>
          <w:tcPr>
            <w:tcW w:w="2835" w:type="dxa"/>
          </w:tcPr>
          <w:p w14:paraId="35EC51F2" w14:textId="77777777" w:rsidR="00F67E9E" w:rsidRPr="0018147A" w:rsidRDefault="00F67E9E" w:rsidP="0052486C">
            <w:pPr>
              <w:pStyle w:val="StdBodyTextBold"/>
              <w:rPr>
                <w:rFonts w:cs="Arial"/>
              </w:rPr>
            </w:pPr>
            <w:r>
              <w:rPr>
                <w:rFonts w:cs="Arial"/>
              </w:rPr>
              <w:t>“</w:t>
            </w:r>
            <w:r w:rsidRPr="0018147A">
              <w:rPr>
                <w:rFonts w:cs="Arial"/>
              </w:rPr>
              <w:t>Department</w:t>
            </w:r>
            <w:r>
              <w:rPr>
                <w:rFonts w:cs="Arial"/>
              </w:rPr>
              <w:t>”</w:t>
            </w:r>
          </w:p>
        </w:tc>
        <w:tc>
          <w:tcPr>
            <w:tcW w:w="6803" w:type="dxa"/>
          </w:tcPr>
          <w:p w14:paraId="46108FD9" w14:textId="77777777" w:rsidR="00F67E9E" w:rsidRPr="0018147A" w:rsidRDefault="00F67E9E" w:rsidP="0052486C">
            <w:pPr>
              <w:pStyle w:val="StdBodyText"/>
              <w:rPr>
                <w:rFonts w:cs="Arial"/>
              </w:rPr>
            </w:pPr>
            <w:r w:rsidRPr="0018147A">
              <w:rPr>
                <w:rFonts w:cs="Arial"/>
              </w:rPr>
              <w:t>a body listed in one of the following sub-categories of the Central Government classification of the Public Sector Classification Guide, as published and amended from time to time by the Office for National Statistics:</w:t>
            </w:r>
          </w:p>
          <w:p w14:paraId="046B56FF" w14:textId="77777777" w:rsidR="00F67E9E" w:rsidRPr="00631338" w:rsidRDefault="00F67E9E" w:rsidP="00F13933">
            <w:pPr>
              <w:pStyle w:val="DefinitionList"/>
              <w:numPr>
                <w:ilvl w:val="0"/>
                <w:numId w:val="167"/>
              </w:numPr>
            </w:pPr>
            <w:r w:rsidRPr="00631338">
              <w:t>Government Department; or</w:t>
            </w:r>
          </w:p>
          <w:p w14:paraId="24F51BFA" w14:textId="77777777" w:rsidR="00F67E9E" w:rsidRPr="0018147A" w:rsidRDefault="00F67E9E" w:rsidP="00F13933">
            <w:pPr>
              <w:pStyle w:val="DefinitionList"/>
              <w:numPr>
                <w:ilvl w:val="0"/>
                <w:numId w:val="78"/>
              </w:numPr>
            </w:pPr>
            <w:r w:rsidRPr="00631338">
              <w:t>Non-Ministeria</w:t>
            </w:r>
            <w:r w:rsidRPr="0018147A">
              <w:t>l Department.</w:t>
            </w:r>
          </w:p>
        </w:tc>
      </w:tr>
      <w:tr w:rsidR="00F67E9E" w:rsidRPr="0018147A" w14:paraId="07F56F9A" w14:textId="77777777" w:rsidTr="0052486C">
        <w:tc>
          <w:tcPr>
            <w:tcW w:w="2835" w:type="dxa"/>
          </w:tcPr>
          <w:p w14:paraId="0F02725C" w14:textId="77777777" w:rsidR="00F67E9E" w:rsidRPr="0018147A" w:rsidRDefault="00F67E9E" w:rsidP="0052486C">
            <w:pPr>
              <w:pStyle w:val="StdBodyTextBold"/>
              <w:rPr>
                <w:rFonts w:cs="Arial"/>
              </w:rPr>
            </w:pPr>
            <w:r>
              <w:rPr>
                <w:rFonts w:cs="Arial"/>
              </w:rPr>
              <w:t>“</w:t>
            </w:r>
            <w:r w:rsidRPr="0018147A">
              <w:rPr>
                <w:rFonts w:cs="Arial"/>
              </w:rPr>
              <w:t>Disaster</w:t>
            </w:r>
            <w:r>
              <w:rPr>
                <w:rFonts w:cs="Arial"/>
              </w:rPr>
              <w:t>”</w:t>
            </w:r>
          </w:p>
        </w:tc>
        <w:tc>
          <w:tcPr>
            <w:tcW w:w="6803" w:type="dxa"/>
          </w:tcPr>
          <w:p w14:paraId="6BE9EB51" w14:textId="286B9DBF" w:rsidR="00F67E9E" w:rsidRPr="0018147A" w:rsidRDefault="00F67E9E" w:rsidP="00BD5961">
            <w:pPr>
              <w:pStyle w:val="StdBodyText"/>
              <w:rPr>
                <w:rFonts w:cs="Arial"/>
              </w:rPr>
            </w:pPr>
            <w:r w:rsidRPr="0018147A">
              <w:rPr>
                <w:rFonts w:cs="Arial"/>
              </w:rPr>
              <w:t xml:space="preserve">the occurrence of one or more events which, either separately or cumulatively, mean that the Services, or a material part of the Services will be unavailable for a period of </w:t>
            </w:r>
            <w:r w:rsidR="00BD5961" w:rsidRPr="00BD5961">
              <w:rPr>
                <w:rStyle w:val="StdBodyTextBoldChar"/>
                <w:rFonts w:cs="Arial"/>
                <w:b w:val="0"/>
                <w:bCs/>
              </w:rPr>
              <w:t>12 hours</w:t>
            </w:r>
            <w:r w:rsidRPr="0018147A">
              <w:rPr>
                <w:rFonts w:cs="Arial"/>
              </w:rPr>
              <w:t xml:space="preserve"> or which is reasonably anticipated will mean that the Services or a material part of the Services will be unavailable for that period;</w:t>
            </w:r>
          </w:p>
        </w:tc>
      </w:tr>
      <w:tr w:rsidR="00F67E9E" w:rsidRPr="0018147A" w14:paraId="2B486722" w14:textId="77777777" w:rsidTr="0052486C">
        <w:tc>
          <w:tcPr>
            <w:tcW w:w="2835" w:type="dxa"/>
          </w:tcPr>
          <w:p w14:paraId="6DC70D15" w14:textId="77777777" w:rsidR="00F67E9E" w:rsidRPr="00025910" w:rsidRDefault="00F67E9E" w:rsidP="0052486C">
            <w:pPr>
              <w:pStyle w:val="StdBodyTextBold"/>
              <w:rPr>
                <w:rFonts w:cs="Arial"/>
              </w:rPr>
            </w:pPr>
            <w:r>
              <w:rPr>
                <w:rFonts w:cs="Arial"/>
              </w:rPr>
              <w:t>“</w:t>
            </w:r>
            <w:r w:rsidRPr="00025910">
              <w:rPr>
                <w:rFonts w:cs="Arial"/>
              </w:rPr>
              <w:t>Disaster Recovery Plan</w:t>
            </w:r>
            <w:r>
              <w:rPr>
                <w:rFonts w:cs="Arial"/>
              </w:rPr>
              <w:t>”</w:t>
            </w:r>
          </w:p>
        </w:tc>
        <w:tc>
          <w:tcPr>
            <w:tcW w:w="6803" w:type="dxa"/>
          </w:tcPr>
          <w:p w14:paraId="084DC9EE" w14:textId="40A7E8F5" w:rsidR="00F67E9E" w:rsidRPr="007A5E8D" w:rsidRDefault="00F67E9E" w:rsidP="0052486C">
            <w:pPr>
              <w:pStyle w:val="StdBodyText"/>
              <w:rPr>
                <w:rFonts w:cs="Arial"/>
              </w:rPr>
            </w:pPr>
            <w:r w:rsidRPr="007A5E8D">
              <w:rPr>
                <w:rFonts w:cs="Arial"/>
              </w:rPr>
              <w:t xml:space="preserve">has the meaning given in </w:t>
            </w:r>
            <w:bookmarkStart w:id="1893" w:name="_9kMHG5YVtCIBFIBBEnhqrZMvFbZByuuBCv0CJD8"/>
            <w:bookmarkStart w:id="1894" w:name="_9kMHG5YVtCJCFICCEnhqrZMvFbZByuuBCv0CJD8"/>
            <w:r w:rsidRPr="007A5E8D">
              <w:rPr>
                <w:rFonts w:cs="Arial"/>
              </w:rPr>
              <w:t xml:space="preserve">Paragraph </w:t>
            </w:r>
            <w:r w:rsidRPr="007A5E8D">
              <w:rPr>
                <w:rFonts w:cs="Arial"/>
              </w:rPr>
              <w:fldChar w:fldCharType="begin"/>
            </w:r>
            <w:r w:rsidRPr="007A5E8D">
              <w:rPr>
                <w:rFonts w:cs="Arial"/>
              </w:rPr>
              <w:instrText xml:space="preserve"> REF _Ref_ContractCompanion_9kb9Us9BC \w \h \t \* MERGEFORMAT </w:instrText>
            </w:r>
            <w:r w:rsidRPr="007A5E8D">
              <w:rPr>
                <w:rFonts w:cs="Arial"/>
              </w:rPr>
            </w:r>
            <w:r w:rsidRPr="007A5E8D">
              <w:rPr>
                <w:rFonts w:cs="Arial"/>
              </w:rPr>
              <w:fldChar w:fldCharType="separate"/>
            </w:r>
            <w:r w:rsidR="007A1473">
              <w:rPr>
                <w:rFonts w:cs="Arial"/>
              </w:rPr>
              <w:t>2.2.1(c)</w:t>
            </w:r>
            <w:r w:rsidRPr="007A5E8D">
              <w:rPr>
                <w:rFonts w:cs="Arial"/>
              </w:rPr>
              <w:fldChar w:fldCharType="end"/>
            </w:r>
            <w:bookmarkEnd w:id="1893"/>
            <w:bookmarkEnd w:id="1894"/>
            <w:r w:rsidRPr="007A5E8D">
              <w:rPr>
                <w:rFonts w:cs="Arial"/>
              </w:rPr>
              <w:t>;</w:t>
            </w:r>
          </w:p>
        </w:tc>
      </w:tr>
      <w:tr w:rsidR="00F67E9E" w:rsidRPr="0018147A" w14:paraId="406435A5" w14:textId="77777777" w:rsidTr="0052486C">
        <w:tc>
          <w:tcPr>
            <w:tcW w:w="2835" w:type="dxa"/>
          </w:tcPr>
          <w:p w14:paraId="13A95B9F" w14:textId="77777777" w:rsidR="00F67E9E" w:rsidRPr="00025910" w:rsidRDefault="00F67E9E" w:rsidP="0052486C">
            <w:pPr>
              <w:pStyle w:val="StdBodyTextBold"/>
              <w:rPr>
                <w:rFonts w:cs="Arial"/>
              </w:rPr>
            </w:pPr>
            <w:r>
              <w:rPr>
                <w:rFonts w:cs="Arial"/>
              </w:rPr>
              <w:t>“</w:t>
            </w:r>
            <w:r w:rsidRPr="00025910">
              <w:rPr>
                <w:rFonts w:cs="Arial"/>
              </w:rPr>
              <w:t>Disaster Recovery Services</w:t>
            </w:r>
            <w:r>
              <w:rPr>
                <w:rFonts w:cs="Arial"/>
              </w:rPr>
              <w:t>”</w:t>
            </w:r>
          </w:p>
        </w:tc>
        <w:tc>
          <w:tcPr>
            <w:tcW w:w="6803" w:type="dxa"/>
          </w:tcPr>
          <w:p w14:paraId="632C9530" w14:textId="77777777" w:rsidR="00F67E9E" w:rsidRPr="007A5E8D" w:rsidRDefault="00F67E9E" w:rsidP="0052486C">
            <w:pPr>
              <w:pStyle w:val="StdBodyText"/>
              <w:rPr>
                <w:rFonts w:cs="Arial"/>
              </w:rPr>
            </w:pPr>
            <w:r w:rsidRPr="007A5E8D">
              <w:rPr>
                <w:rFonts w:cs="Arial"/>
              </w:rPr>
              <w:t>the services embodied in the processes and procedures for restoring the Services following the occurrence of a Disaster;</w:t>
            </w:r>
          </w:p>
        </w:tc>
      </w:tr>
      <w:tr w:rsidR="00F67E9E" w:rsidRPr="0018147A" w14:paraId="4981BA55" w14:textId="77777777" w:rsidTr="0052486C">
        <w:tc>
          <w:tcPr>
            <w:tcW w:w="2835" w:type="dxa"/>
          </w:tcPr>
          <w:p w14:paraId="5F6AC14C" w14:textId="77777777" w:rsidR="00F67E9E" w:rsidRPr="00025910" w:rsidRDefault="00F67E9E" w:rsidP="0052486C">
            <w:pPr>
              <w:pStyle w:val="StdBodyTextBold"/>
              <w:rPr>
                <w:rFonts w:cs="Arial"/>
              </w:rPr>
            </w:pPr>
            <w:r>
              <w:rPr>
                <w:rFonts w:cs="Arial"/>
              </w:rPr>
              <w:t>“</w:t>
            </w:r>
            <w:r w:rsidRPr="00025910">
              <w:rPr>
                <w:rFonts w:cs="Arial"/>
              </w:rPr>
              <w:t>Disaster Recovery System</w:t>
            </w:r>
            <w:r>
              <w:rPr>
                <w:rFonts w:cs="Arial"/>
              </w:rPr>
              <w:t>”</w:t>
            </w:r>
          </w:p>
        </w:tc>
        <w:tc>
          <w:tcPr>
            <w:tcW w:w="6803" w:type="dxa"/>
          </w:tcPr>
          <w:p w14:paraId="1D866FF5" w14:textId="77777777" w:rsidR="00F67E9E" w:rsidRPr="007A5E8D" w:rsidRDefault="00F67E9E" w:rsidP="0052486C">
            <w:pPr>
              <w:pStyle w:val="StdBodyText"/>
              <w:rPr>
                <w:rFonts w:cs="Arial"/>
              </w:rPr>
            </w:pPr>
            <w:r w:rsidRPr="007A5E8D">
              <w:rPr>
                <w:rFonts w:cs="Arial"/>
              </w:rPr>
              <w:t>the system identified by the Supplier in the Supplier Solution which shall be used for the purpose of delivering the Disaster Recovery Services;</w:t>
            </w:r>
          </w:p>
        </w:tc>
      </w:tr>
      <w:tr w:rsidR="00F67E9E" w:rsidRPr="0018147A" w14:paraId="0799DE7D" w14:textId="77777777" w:rsidTr="0052486C">
        <w:tc>
          <w:tcPr>
            <w:tcW w:w="2835" w:type="dxa"/>
          </w:tcPr>
          <w:p w14:paraId="10D62ECA" w14:textId="77777777" w:rsidR="00F67E9E" w:rsidRPr="00025910" w:rsidRDefault="00F67E9E" w:rsidP="0052486C">
            <w:pPr>
              <w:pStyle w:val="StdBodyTextBold"/>
              <w:rPr>
                <w:rFonts w:cs="Arial"/>
              </w:rPr>
            </w:pPr>
            <w:r>
              <w:rPr>
                <w:rFonts w:cs="Arial"/>
              </w:rPr>
              <w:t>“</w:t>
            </w:r>
            <w:r w:rsidRPr="00025910">
              <w:rPr>
                <w:rFonts w:cs="Arial"/>
              </w:rPr>
              <w:t>Insolvency Continuity Plan</w:t>
            </w:r>
            <w:r>
              <w:rPr>
                <w:rFonts w:cs="Arial"/>
              </w:rPr>
              <w:t>”</w:t>
            </w:r>
          </w:p>
        </w:tc>
        <w:tc>
          <w:tcPr>
            <w:tcW w:w="6803" w:type="dxa"/>
          </w:tcPr>
          <w:p w14:paraId="03CDC20B" w14:textId="10ABBA87" w:rsidR="00F67E9E" w:rsidRPr="007A5E8D" w:rsidRDefault="00F67E9E" w:rsidP="0052486C">
            <w:pPr>
              <w:pStyle w:val="StdBodyText"/>
              <w:rPr>
                <w:rFonts w:cs="Arial"/>
              </w:rPr>
            </w:pPr>
            <w:r w:rsidRPr="007A5E8D">
              <w:rPr>
                <w:rFonts w:cs="Arial"/>
              </w:rPr>
              <w:t xml:space="preserve">has the meaning given in </w:t>
            </w:r>
            <w:bookmarkStart w:id="1895" w:name="_9kMHG5YVtCIBFIFFEnh3lLuEbZAxttABuzBIC74"/>
            <w:bookmarkStart w:id="1896" w:name="_9kMHG5YVtCJCFIGGEnh3lLuEbZAxttABuzBIC74"/>
            <w:r w:rsidRPr="007A5E8D">
              <w:rPr>
                <w:rFonts w:cs="Arial"/>
              </w:rPr>
              <w:t xml:space="preserve">Paragraph </w:t>
            </w:r>
            <w:r w:rsidRPr="007A5E8D">
              <w:rPr>
                <w:rFonts w:cs="Arial"/>
              </w:rPr>
              <w:fldChar w:fldCharType="begin"/>
            </w:r>
            <w:r w:rsidRPr="007A5E8D">
              <w:rPr>
                <w:rFonts w:cs="Arial"/>
              </w:rPr>
              <w:instrText xml:space="preserve"> REF _Ref_ContractCompanion_9kb9Us9C7 \w \h \t \* MERGEFORMAT </w:instrText>
            </w:r>
            <w:r w:rsidRPr="007A5E8D">
              <w:rPr>
                <w:rFonts w:cs="Arial"/>
              </w:rPr>
            </w:r>
            <w:r w:rsidRPr="007A5E8D">
              <w:rPr>
                <w:rFonts w:cs="Arial"/>
              </w:rPr>
              <w:fldChar w:fldCharType="separate"/>
            </w:r>
            <w:r w:rsidR="007A1473">
              <w:rPr>
                <w:rFonts w:cs="Arial"/>
              </w:rPr>
              <w:t>2.2.1(d)</w:t>
            </w:r>
            <w:r w:rsidRPr="007A5E8D">
              <w:rPr>
                <w:rFonts w:cs="Arial"/>
              </w:rPr>
              <w:fldChar w:fldCharType="end"/>
            </w:r>
            <w:bookmarkEnd w:id="1895"/>
            <w:bookmarkEnd w:id="1896"/>
            <w:r w:rsidRPr="007A5E8D">
              <w:rPr>
                <w:rFonts w:cs="Arial"/>
              </w:rPr>
              <w:t>.</w:t>
            </w:r>
          </w:p>
        </w:tc>
      </w:tr>
      <w:tr w:rsidR="00F67E9E" w:rsidRPr="0018147A" w14:paraId="06F1F2C6" w14:textId="77777777" w:rsidTr="0052486C">
        <w:tc>
          <w:tcPr>
            <w:tcW w:w="2835" w:type="dxa"/>
          </w:tcPr>
          <w:p w14:paraId="34F9279E" w14:textId="77777777" w:rsidR="00F67E9E" w:rsidRPr="00025910" w:rsidRDefault="00F67E9E" w:rsidP="0052486C">
            <w:pPr>
              <w:pStyle w:val="StdBodyTextBold"/>
              <w:rPr>
                <w:rFonts w:cs="Arial"/>
              </w:rPr>
            </w:pPr>
            <w:r>
              <w:rPr>
                <w:rFonts w:cs="Arial"/>
              </w:rPr>
              <w:t>“</w:t>
            </w:r>
            <w:r w:rsidRPr="00025910">
              <w:rPr>
                <w:rFonts w:cs="Arial"/>
              </w:rPr>
              <w:t>Related Service Provider</w:t>
            </w:r>
            <w:r>
              <w:rPr>
                <w:rFonts w:cs="Arial"/>
              </w:rPr>
              <w:t>”</w:t>
            </w:r>
          </w:p>
        </w:tc>
        <w:tc>
          <w:tcPr>
            <w:tcW w:w="6803" w:type="dxa"/>
          </w:tcPr>
          <w:p w14:paraId="5571B9CE" w14:textId="1DAF7DAC" w:rsidR="00F67E9E" w:rsidRPr="0018147A" w:rsidRDefault="00F67E9E" w:rsidP="00BD5961">
            <w:pPr>
              <w:pStyle w:val="StdBodyText"/>
              <w:rPr>
                <w:rFonts w:cs="Arial"/>
              </w:rPr>
            </w:pPr>
            <w:r w:rsidRPr="0018147A">
              <w:rPr>
                <w:rFonts w:cs="Arial"/>
              </w:rPr>
              <w:t xml:space="preserve">any person who provides services to the Authority in </w:t>
            </w:r>
            <w:r w:rsidRPr="00025910">
              <w:rPr>
                <w:rFonts w:cs="Arial"/>
              </w:rPr>
              <w:t>relation to this Contract from</w:t>
            </w:r>
            <w:r w:rsidRPr="0018147A">
              <w:rPr>
                <w:rFonts w:cs="Arial"/>
              </w:rPr>
              <w:t xml:space="preserve"> time to time;</w:t>
            </w:r>
          </w:p>
        </w:tc>
      </w:tr>
      <w:tr w:rsidR="00F67E9E" w:rsidRPr="0018147A" w14:paraId="5C7255C4" w14:textId="77777777" w:rsidTr="0052486C">
        <w:tc>
          <w:tcPr>
            <w:tcW w:w="2835" w:type="dxa"/>
          </w:tcPr>
          <w:p w14:paraId="0AFB4EBB" w14:textId="77777777" w:rsidR="00F67E9E" w:rsidRPr="00025910" w:rsidRDefault="00F67E9E" w:rsidP="0052486C">
            <w:pPr>
              <w:pStyle w:val="StdBodyTextBold"/>
              <w:rPr>
                <w:rFonts w:cs="Arial"/>
              </w:rPr>
            </w:pPr>
            <w:r>
              <w:rPr>
                <w:rFonts w:cs="Arial"/>
              </w:rPr>
              <w:lastRenderedPageBreak/>
              <w:t>“</w:t>
            </w:r>
            <w:r w:rsidRPr="00025910">
              <w:rPr>
                <w:rFonts w:cs="Arial"/>
              </w:rPr>
              <w:t>Review Report</w:t>
            </w:r>
            <w:r>
              <w:rPr>
                <w:rFonts w:cs="Arial"/>
              </w:rPr>
              <w:t>”</w:t>
            </w:r>
          </w:p>
        </w:tc>
        <w:tc>
          <w:tcPr>
            <w:tcW w:w="6803" w:type="dxa"/>
          </w:tcPr>
          <w:p w14:paraId="66080345" w14:textId="2268222A" w:rsidR="00F67E9E" w:rsidRPr="00025910" w:rsidRDefault="00F67E9E" w:rsidP="0052486C">
            <w:pPr>
              <w:pStyle w:val="StdBodyText"/>
              <w:rPr>
                <w:rFonts w:cs="Arial"/>
              </w:rPr>
            </w:pPr>
            <w:r w:rsidRPr="00025910">
              <w:rPr>
                <w:rFonts w:cs="Arial"/>
              </w:rPr>
              <w:t xml:space="preserve">has the meaning given in </w:t>
            </w:r>
            <w:bookmarkStart w:id="1897" w:name="_9kMHG5YVtCJCFIJOJns0mlqzvr217G4ADzABGL5"/>
            <w:bookmarkStart w:id="1898" w:name="_9kMHG5YVtCIBFIKPJns0mlqzvr217G4ADzABGL5"/>
            <w:r w:rsidRPr="00025910">
              <w:rPr>
                <w:rFonts w:cs="Arial"/>
              </w:rPr>
              <w:t xml:space="preserve">Paragraphs </w:t>
            </w:r>
            <w:r w:rsidRPr="00025910">
              <w:rPr>
                <w:rFonts w:cs="Arial"/>
              </w:rPr>
              <w:fldChar w:fldCharType="begin"/>
            </w:r>
            <w:r w:rsidRPr="00025910">
              <w:rPr>
                <w:rFonts w:cs="Arial"/>
              </w:rPr>
              <w:instrText xml:space="preserve"> REF _Ref_ContractCompanion_9kb9Us9CB \w \h \t \* MERGEFORMAT </w:instrText>
            </w:r>
            <w:r w:rsidRPr="00025910">
              <w:rPr>
                <w:rFonts w:cs="Arial"/>
              </w:rPr>
            </w:r>
            <w:r w:rsidRPr="00025910">
              <w:rPr>
                <w:rFonts w:cs="Arial"/>
              </w:rPr>
              <w:fldChar w:fldCharType="separate"/>
            </w:r>
            <w:r w:rsidR="007A1473">
              <w:rPr>
                <w:rFonts w:cs="Arial"/>
              </w:rPr>
              <w:t>7.2.1</w:t>
            </w:r>
            <w:r w:rsidRPr="00025910">
              <w:rPr>
                <w:rFonts w:cs="Arial"/>
              </w:rPr>
              <w:fldChar w:fldCharType="end"/>
            </w:r>
            <w:bookmarkEnd w:id="1897"/>
            <w:bookmarkEnd w:id="1898"/>
            <w:r w:rsidRPr="00025910">
              <w:rPr>
                <w:rFonts w:cs="Arial"/>
              </w:rPr>
              <w:t xml:space="preserve"> to </w:t>
            </w:r>
            <w:bookmarkStart w:id="1899" w:name="_9kMHG5YVtCIBFJEIJpu0mYjD960u4JIIIHIM93M"/>
            <w:r w:rsidRPr="00025910">
              <w:rPr>
                <w:rFonts w:cs="Arial"/>
              </w:rPr>
              <w:fldChar w:fldCharType="begin"/>
            </w:r>
            <w:r w:rsidRPr="00025910">
              <w:rPr>
                <w:rFonts w:cs="Arial"/>
              </w:rPr>
              <w:instrText xml:space="preserve"> REF _Ref_ContractCompanion_9kb9Us9D6 \w \h \t \* MERGEFORMAT </w:instrText>
            </w:r>
            <w:r w:rsidRPr="00025910">
              <w:rPr>
                <w:rFonts w:cs="Arial"/>
              </w:rPr>
            </w:r>
            <w:r w:rsidRPr="00025910">
              <w:rPr>
                <w:rFonts w:cs="Arial"/>
              </w:rPr>
              <w:fldChar w:fldCharType="separate"/>
            </w:r>
            <w:r w:rsidR="007A1473">
              <w:rPr>
                <w:rFonts w:cs="Arial"/>
              </w:rPr>
              <w:t>7.2.3</w:t>
            </w:r>
            <w:r w:rsidRPr="00025910">
              <w:rPr>
                <w:rFonts w:cs="Arial"/>
              </w:rPr>
              <w:fldChar w:fldCharType="end"/>
            </w:r>
            <w:bookmarkEnd w:id="1899"/>
            <w:r w:rsidRPr="00025910">
              <w:rPr>
                <w:rFonts w:cs="Arial"/>
              </w:rPr>
              <w:t>;</w:t>
            </w:r>
            <w:r>
              <w:rPr>
                <w:rFonts w:cs="Arial"/>
              </w:rPr>
              <w:t xml:space="preserve"> and</w:t>
            </w:r>
          </w:p>
        </w:tc>
      </w:tr>
      <w:tr w:rsidR="00F67E9E" w:rsidRPr="0018147A" w14:paraId="72F3D8A4" w14:textId="77777777" w:rsidTr="0052486C">
        <w:tc>
          <w:tcPr>
            <w:tcW w:w="2835" w:type="dxa"/>
          </w:tcPr>
          <w:p w14:paraId="29512908" w14:textId="77777777" w:rsidR="00F67E9E" w:rsidRPr="00025910" w:rsidRDefault="00F67E9E" w:rsidP="0052486C">
            <w:pPr>
              <w:pStyle w:val="StdBodyTextBold"/>
              <w:rPr>
                <w:rFonts w:cs="Arial"/>
              </w:rPr>
            </w:pPr>
            <w:r>
              <w:rPr>
                <w:rFonts w:cs="Arial"/>
              </w:rPr>
              <w:t>“</w:t>
            </w:r>
            <w:r w:rsidRPr="00025910">
              <w:rPr>
                <w:rFonts w:cs="Arial"/>
              </w:rPr>
              <w:t>Service Continuity Plan</w:t>
            </w:r>
            <w:r>
              <w:rPr>
                <w:rFonts w:cs="Arial"/>
              </w:rPr>
              <w:t>”</w:t>
            </w:r>
          </w:p>
        </w:tc>
        <w:tc>
          <w:tcPr>
            <w:tcW w:w="6803" w:type="dxa"/>
          </w:tcPr>
          <w:p w14:paraId="299FCFCE" w14:textId="06DF079E" w:rsidR="00F67E9E" w:rsidRPr="00025910" w:rsidRDefault="00F67E9E" w:rsidP="0052486C">
            <w:pPr>
              <w:pStyle w:val="StdBodyText"/>
              <w:rPr>
                <w:rFonts w:cs="Arial"/>
              </w:rPr>
            </w:pPr>
            <w:r w:rsidRPr="00025910">
              <w:rPr>
                <w:rFonts w:cs="Arial"/>
              </w:rPr>
              <w:t xml:space="preserve">means the plan prepared pursuant to </w:t>
            </w:r>
            <w:bookmarkStart w:id="1900" w:name="_9kMHG5YVtCIBAFJhLhkhy7sGWoQzJdhtDDVN523"/>
            <w:r w:rsidRPr="00025910">
              <w:rPr>
                <w:rFonts w:cs="Arial"/>
              </w:rPr>
              <w:t xml:space="preserve">Paragraph </w:t>
            </w:r>
            <w:r w:rsidRPr="00025910">
              <w:rPr>
                <w:rFonts w:cs="Arial"/>
              </w:rPr>
              <w:fldChar w:fldCharType="begin"/>
            </w:r>
            <w:r w:rsidRPr="00025910">
              <w:rPr>
                <w:rFonts w:cs="Arial"/>
              </w:rPr>
              <w:instrText xml:space="preserve"> REF _Ref_ContractCompanion_9kb9Us49B \w \n \h \t \* MERGEFORMAT </w:instrText>
            </w:r>
            <w:r w:rsidRPr="00025910">
              <w:rPr>
                <w:rFonts w:cs="Arial"/>
              </w:rPr>
            </w:r>
            <w:r w:rsidRPr="00025910">
              <w:rPr>
                <w:rFonts w:cs="Arial"/>
              </w:rPr>
              <w:fldChar w:fldCharType="separate"/>
            </w:r>
            <w:bookmarkStart w:id="1901" w:name="_9kMHG5YVt4BDA9HkLhkhy7sGWoQzJdhtDDVN523"/>
            <w:r w:rsidR="007A1473">
              <w:rPr>
                <w:rFonts w:cs="Arial"/>
              </w:rPr>
              <w:t>2</w:t>
            </w:r>
            <w:bookmarkEnd w:id="1901"/>
            <w:r w:rsidRPr="00025910">
              <w:rPr>
                <w:rFonts w:cs="Arial"/>
              </w:rPr>
              <w:fldChar w:fldCharType="end"/>
            </w:r>
            <w:bookmarkEnd w:id="1900"/>
            <w:r w:rsidRPr="00025910">
              <w:rPr>
                <w:rFonts w:cs="Arial"/>
              </w:rPr>
              <w:t xml:space="preserve"> of this Schedule which incorporates the Business Continuity Plan, Disaster Recovery Plan and the Insolvency Continuity Plan</w:t>
            </w:r>
            <w:r>
              <w:rPr>
                <w:rFonts w:cs="Arial"/>
              </w:rPr>
              <w:t>.</w:t>
            </w:r>
          </w:p>
        </w:tc>
      </w:tr>
    </w:tbl>
    <w:p w14:paraId="0FCAFE5F" w14:textId="77777777" w:rsidR="00F67E9E" w:rsidRPr="0018147A" w:rsidRDefault="00F67E9E" w:rsidP="00F67E9E">
      <w:pPr>
        <w:pStyle w:val="Numbered1"/>
      </w:pPr>
      <w:bookmarkStart w:id="1902" w:name="_Ref_ContractCompanion_9kb9Us49B"/>
      <w:bookmarkStart w:id="1903" w:name="_9kR3WTrAG98DHfJfifw5qEUmOxHbfrBBTL301CO"/>
      <w:bookmarkStart w:id="1904" w:name="_9kR3WTr29B87FiJfifw5qEUmOxHbfrBBTL301CO"/>
      <w:r w:rsidRPr="0018147A">
        <w:t xml:space="preserve">Service </w:t>
      </w:r>
      <w:r w:rsidRPr="00631338">
        <w:t>Continuity</w:t>
      </w:r>
      <w:r w:rsidRPr="0018147A">
        <w:t xml:space="preserve"> Plan</w:t>
      </w:r>
      <w:bookmarkEnd w:id="1902"/>
      <w:bookmarkEnd w:id="1903"/>
      <w:bookmarkEnd w:id="1904"/>
    </w:p>
    <w:p w14:paraId="798D4079" w14:textId="77777777" w:rsidR="00F67E9E" w:rsidRPr="00025910" w:rsidRDefault="00F67E9E" w:rsidP="00F67E9E">
      <w:pPr>
        <w:pStyle w:val="Numbered11"/>
      </w:pPr>
      <w:r w:rsidRPr="00025910">
        <w:t>Within 40 Working Days from the Effective Date the Supplier shall prepare and deliver to the Authority for the Authority</w:t>
      </w:r>
      <w:r>
        <w:t>’</w:t>
      </w:r>
      <w:r w:rsidRPr="00025910">
        <w:t xml:space="preserve">s written approval a plan, which shall detail the processes and arrangements that the </w:t>
      </w:r>
      <w:r w:rsidRPr="00631338">
        <w:t>Supplier</w:t>
      </w:r>
      <w:r w:rsidRPr="00025910">
        <w:t xml:space="preserve"> shall follow to:</w:t>
      </w:r>
    </w:p>
    <w:p w14:paraId="3AEF6A7A" w14:textId="77777777" w:rsidR="00F67E9E" w:rsidRPr="00631338" w:rsidRDefault="00F67E9E" w:rsidP="00F67E9E">
      <w:pPr>
        <w:pStyle w:val="Numbered111"/>
      </w:pPr>
      <w:r w:rsidRPr="00025910">
        <w:t xml:space="preserve">ensure continuity of the business processes and operations supported by the Services following any failure or disruption of any element of the Services (including where caused by an Insolvency Event of the Supplier, any Key Sub-contractor </w:t>
      </w:r>
      <w:r w:rsidRPr="00631338">
        <w:t>and/or any Supplier Group member); and</w:t>
      </w:r>
    </w:p>
    <w:p w14:paraId="0DD4A25D" w14:textId="77777777" w:rsidR="00F67E9E" w:rsidRPr="00025910" w:rsidRDefault="00F67E9E" w:rsidP="00F67E9E">
      <w:pPr>
        <w:pStyle w:val="Numbered111"/>
      </w:pPr>
      <w:r w:rsidRPr="00631338">
        <w:t>the recovery</w:t>
      </w:r>
      <w:r w:rsidRPr="00025910">
        <w:t xml:space="preserve"> of the Services in the event of a Disaster.</w:t>
      </w:r>
    </w:p>
    <w:p w14:paraId="31658DAC" w14:textId="77777777" w:rsidR="00F67E9E" w:rsidRPr="00025910" w:rsidRDefault="00F67E9E" w:rsidP="00F67E9E">
      <w:pPr>
        <w:pStyle w:val="Numbered11"/>
      </w:pPr>
      <w:bookmarkStart w:id="1905" w:name="_Ref_ContractCompanion_9kb9Us7EH"/>
      <w:r w:rsidRPr="00025910">
        <w:t>The Service Continuity Plan shall:</w:t>
      </w:r>
      <w:bookmarkEnd w:id="1905"/>
    </w:p>
    <w:p w14:paraId="1FF8C8B1" w14:textId="77777777" w:rsidR="00F67E9E" w:rsidRPr="00025910" w:rsidRDefault="00F67E9E" w:rsidP="00F67E9E">
      <w:pPr>
        <w:pStyle w:val="Numbered111"/>
      </w:pPr>
      <w:r w:rsidRPr="00025910">
        <w:t>be divided into four parts:</w:t>
      </w:r>
    </w:p>
    <w:p w14:paraId="2637F389" w14:textId="46EE2DAB" w:rsidR="00F67E9E" w:rsidRPr="00025910" w:rsidRDefault="00F67E9E" w:rsidP="00F67E9E">
      <w:pPr>
        <w:pStyle w:val="Numbered111a"/>
      </w:pPr>
      <w:r w:rsidRPr="00025910">
        <w:fldChar w:fldCharType="begin"/>
      </w:r>
      <w:r w:rsidRPr="00025910">
        <w:instrText xml:space="preserve"> REF Sch26PartAPara3 \h  \* MERGEFORMAT </w:instrText>
      </w:r>
      <w:r w:rsidRPr="00025910">
        <w:fldChar w:fldCharType="separate"/>
      </w:r>
      <w:r w:rsidR="007A1473" w:rsidRPr="004472FD">
        <w:t>Part A</w:t>
      </w:r>
      <w:r w:rsidRPr="00025910">
        <w:fldChar w:fldCharType="end"/>
      </w:r>
      <w:r w:rsidRPr="00025910">
        <w:t xml:space="preserve"> which shall set out general principles applicable to the Service Continuity Plan; </w:t>
      </w:r>
    </w:p>
    <w:bookmarkStart w:id="1906" w:name="_Ref_ContractCompanion_9kb9Us9B4"/>
    <w:bookmarkStart w:id="1907" w:name="_9kR3WTrAHADFABClfoWJsCXV8vrr89sx9GA52BG"/>
    <w:bookmarkStart w:id="1908" w:name="_9kR3WTrAG9DFBCClfoWJsCXV8vrr89sx9GA52BG"/>
    <w:p w14:paraId="4B86A250" w14:textId="4B8DEBBA" w:rsidR="00F67E9E" w:rsidRPr="00025910" w:rsidRDefault="00F67E9E" w:rsidP="00F67E9E">
      <w:pPr>
        <w:pStyle w:val="Numbered111a"/>
      </w:pPr>
      <w:r w:rsidRPr="00025910">
        <w:fldChar w:fldCharType="begin"/>
      </w:r>
      <w:r w:rsidRPr="00025910">
        <w:instrText xml:space="preserve"> REF Sch26PartBPara4 \h  \* MERGEFORMAT </w:instrText>
      </w:r>
      <w:r w:rsidRPr="00025910">
        <w:fldChar w:fldCharType="separate"/>
      </w:r>
      <w:r w:rsidR="007A1473" w:rsidRPr="004472FD">
        <w:t>Part B</w:t>
      </w:r>
      <w:r w:rsidRPr="00025910">
        <w:fldChar w:fldCharType="end"/>
      </w:r>
      <w:r w:rsidRPr="00025910">
        <w:t xml:space="preserve"> which shall relate to business continuity (the </w:t>
      </w:r>
      <w:r>
        <w:t>“</w:t>
      </w:r>
      <w:r w:rsidRPr="00025910">
        <w:rPr>
          <w:rStyle w:val="StdBodyTextBoldChar"/>
          <w:rFonts w:eastAsiaTheme="minorHAnsi" w:cs="Arial"/>
        </w:rPr>
        <w:t>Business</w:t>
      </w:r>
      <w:r w:rsidRPr="00025910">
        <w:t xml:space="preserve"> </w:t>
      </w:r>
      <w:r w:rsidRPr="00025910">
        <w:rPr>
          <w:rStyle w:val="StdBodyTextBoldChar"/>
          <w:rFonts w:eastAsiaTheme="minorHAnsi" w:cs="Arial"/>
        </w:rPr>
        <w:t>Continuity Plan</w:t>
      </w:r>
      <w:r>
        <w:t>”</w:t>
      </w:r>
      <w:r w:rsidRPr="00025910">
        <w:t>);</w:t>
      </w:r>
      <w:bookmarkEnd w:id="1906"/>
      <w:bookmarkEnd w:id="1907"/>
      <w:bookmarkEnd w:id="1908"/>
    </w:p>
    <w:bookmarkStart w:id="1909" w:name="_9kR3WTrAG9DG99ClfopXKtDZX9wss9AtyAHB63C"/>
    <w:bookmarkStart w:id="1910" w:name="_9kR3WTrAHADGAAClfopXKtDZX9wss9AtyAHB63C"/>
    <w:bookmarkStart w:id="1911" w:name="_Ref_ContractCompanion_9kb9Us9BC"/>
    <w:p w14:paraId="070DC536" w14:textId="67795829" w:rsidR="00F67E9E" w:rsidRPr="00025910" w:rsidRDefault="00F67E9E" w:rsidP="00F67E9E">
      <w:pPr>
        <w:pStyle w:val="Numbered111a"/>
      </w:pPr>
      <w:r w:rsidRPr="00025910">
        <w:fldChar w:fldCharType="begin"/>
      </w:r>
      <w:r w:rsidRPr="00025910">
        <w:instrText xml:space="preserve"> REF Sch26PartCPara5 \h  \* MERGEFORMAT </w:instrText>
      </w:r>
      <w:r w:rsidRPr="00025910">
        <w:fldChar w:fldCharType="separate"/>
      </w:r>
      <w:r w:rsidR="007A1473" w:rsidRPr="004472FD">
        <w:t>Part C</w:t>
      </w:r>
      <w:r w:rsidRPr="00025910">
        <w:fldChar w:fldCharType="end"/>
      </w:r>
      <w:r w:rsidRPr="00025910">
        <w:t xml:space="preserve"> which shall relate to disaster recovery (the </w:t>
      </w:r>
      <w:r>
        <w:t>“</w:t>
      </w:r>
      <w:r w:rsidRPr="00025910">
        <w:rPr>
          <w:rStyle w:val="StdBodyTextBoldChar"/>
          <w:rFonts w:eastAsiaTheme="minorHAnsi" w:cs="Arial"/>
        </w:rPr>
        <w:t>Disaster</w:t>
      </w:r>
      <w:r w:rsidRPr="00025910">
        <w:t xml:space="preserve"> </w:t>
      </w:r>
      <w:r w:rsidRPr="00025910">
        <w:rPr>
          <w:rStyle w:val="StdBodyTextBoldChar"/>
          <w:rFonts w:eastAsiaTheme="minorHAnsi" w:cs="Arial"/>
        </w:rPr>
        <w:t>Recovery Plan</w:t>
      </w:r>
      <w:r>
        <w:t>”</w:t>
      </w:r>
      <w:r w:rsidRPr="00025910">
        <w:t>);</w:t>
      </w:r>
      <w:bookmarkEnd w:id="1909"/>
      <w:bookmarkEnd w:id="1910"/>
      <w:r w:rsidRPr="00025910">
        <w:t xml:space="preserve"> </w:t>
      </w:r>
      <w:bookmarkEnd w:id="1911"/>
    </w:p>
    <w:bookmarkStart w:id="1912" w:name="_9kR3WTrAG9DGDDClf1jJsCZX8vrr89sx9GA52BG"/>
    <w:bookmarkStart w:id="1913" w:name="_9kR3WTrAHADGEEClf1jJsCZX8vrr89sx9GA52BG"/>
    <w:bookmarkStart w:id="1914" w:name="_Ref_ContractCompanion_9kb9Us9C7"/>
    <w:p w14:paraId="36535C8B" w14:textId="3DDDDC4C" w:rsidR="00F67E9E" w:rsidRPr="00025910" w:rsidRDefault="00F67E9E" w:rsidP="00F67E9E">
      <w:pPr>
        <w:pStyle w:val="Numbered111a"/>
      </w:pPr>
      <w:r w:rsidRPr="00025910">
        <w:fldChar w:fldCharType="begin"/>
      </w:r>
      <w:r w:rsidRPr="00025910">
        <w:instrText xml:space="preserve"> REF Sch26PartDPara6 \h  \* MERGEFORMAT </w:instrText>
      </w:r>
      <w:r w:rsidRPr="00025910">
        <w:fldChar w:fldCharType="separate"/>
      </w:r>
      <w:r w:rsidR="007A1473" w:rsidRPr="004472FD">
        <w:t>Part D</w:t>
      </w:r>
      <w:r w:rsidRPr="00025910">
        <w:fldChar w:fldCharType="end"/>
      </w:r>
      <w:r w:rsidRPr="00025910">
        <w:t xml:space="preserve"> which shall relate to an Insolvency Event of the Supplier, any Key Sub-contractors and/or any Supplier Group member (the </w:t>
      </w:r>
      <w:r>
        <w:t>“</w:t>
      </w:r>
      <w:r w:rsidRPr="00025910">
        <w:rPr>
          <w:rStyle w:val="StdBodyTextBoldChar"/>
          <w:rFonts w:eastAsiaTheme="minorHAnsi" w:cs="Arial"/>
        </w:rPr>
        <w:t>Insolvency Continuity Plan</w:t>
      </w:r>
      <w:r>
        <w:t>”</w:t>
      </w:r>
      <w:r w:rsidRPr="00025910">
        <w:t>);</w:t>
      </w:r>
      <w:bookmarkEnd w:id="1912"/>
      <w:bookmarkEnd w:id="1913"/>
      <w:r w:rsidRPr="00025910">
        <w:t xml:space="preserve"> and</w:t>
      </w:r>
      <w:bookmarkEnd w:id="1914"/>
    </w:p>
    <w:p w14:paraId="3712159E" w14:textId="095B9667" w:rsidR="00F67E9E" w:rsidRPr="00025910" w:rsidRDefault="00F67E9E" w:rsidP="00F67E9E">
      <w:pPr>
        <w:pStyle w:val="Numbered111"/>
      </w:pPr>
      <w:r w:rsidRPr="00025910">
        <w:t xml:space="preserve">unless otherwise required by the Authority in writing, be based upon and be </w:t>
      </w:r>
      <w:r w:rsidRPr="00631338">
        <w:t>consistent</w:t>
      </w:r>
      <w:r w:rsidRPr="00025910">
        <w:t xml:space="preserve"> with the provisions of </w:t>
      </w:r>
      <w:bookmarkStart w:id="1915" w:name="_9kMHG5YVtCIBAFGeLhkhy7sGWoQzJdiuDDVN523"/>
      <w:r w:rsidRPr="00025910">
        <w:t xml:space="preserve">Paragraphs </w:t>
      </w:r>
      <w:r w:rsidRPr="00025910">
        <w:fldChar w:fldCharType="begin"/>
      </w:r>
      <w:r w:rsidRPr="00025910">
        <w:instrText xml:space="preserve"> REF _Ref_ContractCompanion_9kb9Us498 \w \n \h \t \* MERGEFORMAT </w:instrText>
      </w:r>
      <w:r w:rsidRPr="00025910">
        <w:fldChar w:fldCharType="separate"/>
      </w:r>
      <w:bookmarkStart w:id="1916" w:name="_9kMHG5YVt4BDA9GjLhkhy7sGWoQzJdiuDDVN523"/>
      <w:r w:rsidR="007A1473">
        <w:t>3</w:t>
      </w:r>
      <w:bookmarkEnd w:id="1916"/>
      <w:r w:rsidRPr="00025910">
        <w:fldChar w:fldCharType="end"/>
      </w:r>
      <w:bookmarkEnd w:id="1915"/>
      <w:r w:rsidRPr="00025910">
        <w:t xml:space="preserve">, </w:t>
      </w:r>
      <w:bookmarkStart w:id="1917" w:name="_9kMHG5YVtCIBAFDbLhkhy7sGWoQzJdjvDDVN523"/>
      <w:r w:rsidRPr="00025910">
        <w:fldChar w:fldCharType="begin"/>
      </w:r>
      <w:r w:rsidRPr="00025910">
        <w:instrText xml:space="preserve"> REF _Ref_ContractCompanion_9kb9Us48E \w \n \h \t \* MERGEFORMAT </w:instrText>
      </w:r>
      <w:r w:rsidRPr="00025910">
        <w:fldChar w:fldCharType="separate"/>
      </w:r>
      <w:bookmarkStart w:id="1918" w:name="_9kMHG5YVt4BDA9FiLhkhy7sGWoQzJdjvDDVN523"/>
      <w:r w:rsidR="007A1473">
        <w:t>4</w:t>
      </w:r>
      <w:bookmarkEnd w:id="1918"/>
      <w:r w:rsidRPr="00025910">
        <w:fldChar w:fldCharType="end"/>
      </w:r>
      <w:bookmarkEnd w:id="1917"/>
      <w:r w:rsidRPr="00025910">
        <w:t xml:space="preserve">, </w:t>
      </w:r>
      <w:bookmarkStart w:id="1919" w:name="_9kMHG5YVtCIBAEJiLhkhy7sGWoQzJdkwDDVN523"/>
      <w:r w:rsidRPr="00025910">
        <w:fldChar w:fldCharType="begin"/>
      </w:r>
      <w:r w:rsidRPr="00025910">
        <w:instrText xml:space="preserve"> REF _Ref_ContractCompanion_9kb9Us48B \w \n \h \t \* MERGEFORMAT </w:instrText>
      </w:r>
      <w:r w:rsidRPr="00025910">
        <w:fldChar w:fldCharType="separate"/>
      </w:r>
      <w:bookmarkStart w:id="1920" w:name="_9kMHG5YVt4BDA9EhLhkhy7sGWoQzJdkwDDVN523"/>
      <w:r w:rsidR="007A1473">
        <w:t>5</w:t>
      </w:r>
      <w:bookmarkEnd w:id="1920"/>
      <w:r w:rsidRPr="00025910">
        <w:fldChar w:fldCharType="end"/>
      </w:r>
      <w:bookmarkEnd w:id="1919"/>
      <w:r w:rsidRPr="00025910">
        <w:t xml:space="preserve"> and </w:t>
      </w:r>
      <w:bookmarkStart w:id="1921" w:name="_9kMHG5YVtCIBAEGfLhkhy7sGWoQzJdlxDDVN523"/>
      <w:r w:rsidRPr="00025910">
        <w:fldChar w:fldCharType="begin"/>
      </w:r>
      <w:r w:rsidRPr="00025910">
        <w:instrText xml:space="preserve"> REF _Ref_ContractCompanion_9kb9Us488 \w \n \h \t \* MERGEFORMAT </w:instrText>
      </w:r>
      <w:r w:rsidRPr="00025910">
        <w:fldChar w:fldCharType="separate"/>
      </w:r>
      <w:bookmarkStart w:id="1922" w:name="_9kMHG5YVt4BDA9CfLhkhy7sGWoQzJdlxDDVN523"/>
      <w:r w:rsidR="007A1473">
        <w:t>5.4</w:t>
      </w:r>
      <w:bookmarkEnd w:id="1922"/>
      <w:r w:rsidRPr="00025910">
        <w:fldChar w:fldCharType="end"/>
      </w:r>
      <w:bookmarkEnd w:id="1921"/>
      <w:r w:rsidRPr="00025910">
        <w:t>.</w:t>
      </w:r>
    </w:p>
    <w:p w14:paraId="4BD40F10" w14:textId="77777777" w:rsidR="00F67E9E" w:rsidRPr="00025910" w:rsidRDefault="00F67E9E" w:rsidP="00F67E9E">
      <w:pPr>
        <w:pStyle w:val="Numbered11"/>
      </w:pPr>
      <w:bookmarkStart w:id="1923" w:name="_Ref_ContractCompanion_9kb9Us9E9"/>
      <w:bookmarkStart w:id="1924" w:name="_9kR3WTrAG9DIFDDRKxvzB6yx21nov7JJ6CF1yCA"/>
      <w:r w:rsidRPr="00025910">
        <w:t>Following receipt of the draft Service Continuity Plan from the Supplier, the Authority shall:</w:t>
      </w:r>
      <w:bookmarkEnd w:id="1923"/>
      <w:bookmarkEnd w:id="1924"/>
    </w:p>
    <w:p w14:paraId="2152A94A" w14:textId="77777777" w:rsidR="00F67E9E" w:rsidRPr="00025910" w:rsidRDefault="00F67E9E" w:rsidP="00F67E9E">
      <w:pPr>
        <w:pStyle w:val="Numbered111"/>
      </w:pPr>
      <w:r w:rsidRPr="00025910">
        <w:t>review and comment on the draft Service Continuity Plan as soon as reasonably practicable; and</w:t>
      </w:r>
    </w:p>
    <w:p w14:paraId="7B353281" w14:textId="77777777" w:rsidR="00F67E9E" w:rsidRPr="00025910" w:rsidRDefault="00F67E9E" w:rsidP="00F67E9E">
      <w:pPr>
        <w:pStyle w:val="Numbered111"/>
      </w:pPr>
      <w:r w:rsidRPr="00025910">
        <w:t xml:space="preserve">notify the Supplier in writing that it approves or rejects the draft Service Continuity Plan no later than 20 Working Days after the date on which the draft Service Continuity Plan is first delivered to the Authority. </w:t>
      </w:r>
    </w:p>
    <w:p w14:paraId="42DF68AA" w14:textId="77777777" w:rsidR="00F67E9E" w:rsidRPr="00025910" w:rsidRDefault="00F67E9E" w:rsidP="00F67E9E">
      <w:pPr>
        <w:pStyle w:val="Numbered11"/>
      </w:pPr>
      <w:bookmarkStart w:id="1925" w:name="_Ref_ContractCompanion_9kb9Us9EC"/>
      <w:bookmarkStart w:id="1926" w:name="_9kR3WTrAG9DIIGEVEwzlFQG40B69QP6z0uARSI4"/>
      <w:r w:rsidRPr="00025910">
        <w:t>If the Authority rejects the draft Service Continuity Plan:</w:t>
      </w:r>
      <w:bookmarkEnd w:id="1925"/>
      <w:bookmarkEnd w:id="1926"/>
    </w:p>
    <w:p w14:paraId="0FBF0785" w14:textId="77777777" w:rsidR="00F67E9E" w:rsidRPr="00631338" w:rsidRDefault="00F67E9E" w:rsidP="00F67E9E">
      <w:pPr>
        <w:pStyle w:val="Numbered111"/>
      </w:pPr>
      <w:r w:rsidRPr="00025910">
        <w:t xml:space="preserve">the </w:t>
      </w:r>
      <w:r w:rsidRPr="00631338">
        <w:t>Authority shall inform the Supplier in writing of its reasons for its rejection; and</w:t>
      </w:r>
    </w:p>
    <w:p w14:paraId="2E9030EA" w14:textId="597DA46D" w:rsidR="00F67E9E" w:rsidRPr="00025910" w:rsidRDefault="00F67E9E" w:rsidP="00F67E9E">
      <w:pPr>
        <w:pStyle w:val="Numbered111"/>
      </w:pPr>
      <w:r w:rsidRPr="00631338">
        <w:lastRenderedPageBreak/>
        <w:t>the Suppli</w:t>
      </w:r>
      <w:r w:rsidRPr="00025910">
        <w:t>er shall then revise the draft Service Continuity Plan (taking reasonable account of the Authority</w:t>
      </w:r>
      <w:r>
        <w:t>’</w:t>
      </w:r>
      <w:r w:rsidRPr="00025910">
        <w:t>s comments) and shall re-submit a revised draft Service Continuity Plan to the Authority for the Authority</w:t>
      </w:r>
      <w:r>
        <w:t>’</w:t>
      </w:r>
      <w:r w:rsidRPr="00025910">
        <w:t>s approval within 20 Working Days of the date of the Authority</w:t>
      </w:r>
      <w:r>
        <w:t>’</w:t>
      </w:r>
      <w:r w:rsidRPr="00025910">
        <w:t xml:space="preserve">s notice of rejection. The provisions of </w:t>
      </w:r>
      <w:bookmarkStart w:id="1927" w:name="_9kMHG5YVtCIBFKHFFTMzx1D80z43pqx9LL8EH30"/>
      <w:r w:rsidRPr="00025910">
        <w:t xml:space="preserve">Paragraph </w:t>
      </w:r>
      <w:r w:rsidRPr="00025910">
        <w:fldChar w:fldCharType="begin"/>
      </w:r>
      <w:r w:rsidRPr="00025910">
        <w:instrText xml:space="preserve"> REF _Ref_ContractCompanion_9kb9Us9E9 \n \h \t \* MERGEFORMAT </w:instrText>
      </w:r>
      <w:r w:rsidRPr="00025910">
        <w:fldChar w:fldCharType="separate"/>
      </w:r>
      <w:r w:rsidR="007A1473">
        <w:t>2.3</w:t>
      </w:r>
      <w:r w:rsidRPr="00025910">
        <w:fldChar w:fldCharType="end"/>
      </w:r>
      <w:bookmarkEnd w:id="1927"/>
      <w:r w:rsidRPr="00025910">
        <w:t xml:space="preserve"> and this </w:t>
      </w:r>
      <w:bookmarkStart w:id="1928" w:name="_9kMHG5YVtCIBFKKIGXGy1nHSI62D8BSR812wCTU"/>
      <w:r w:rsidRPr="00025910">
        <w:t xml:space="preserve">Paragraph </w:t>
      </w:r>
      <w:r w:rsidRPr="00025910">
        <w:fldChar w:fldCharType="begin"/>
      </w:r>
      <w:r w:rsidRPr="00025910">
        <w:instrText xml:space="preserve"> REF _Ref_ContractCompanion_9kb9Us9EC \n \h \t \* MERGEFORMAT </w:instrText>
      </w:r>
      <w:r w:rsidRPr="00025910">
        <w:fldChar w:fldCharType="separate"/>
      </w:r>
      <w:r w:rsidR="007A1473">
        <w:t>2.4</w:t>
      </w:r>
      <w:r w:rsidRPr="00025910">
        <w:fldChar w:fldCharType="end"/>
      </w:r>
      <w:bookmarkEnd w:id="1928"/>
      <w:r w:rsidRPr="00025910">
        <w:t xml:space="preserve"> shall apply again to any resubmitted draft Service Continuity Plan, provided that either Party may refer any disputed matters for resolution by the Dispute Resolution Procedure at any time.</w:t>
      </w:r>
    </w:p>
    <w:p w14:paraId="6CB1524D" w14:textId="77777777" w:rsidR="00F67E9E" w:rsidRPr="00025910" w:rsidRDefault="00F67E9E" w:rsidP="00F67E9E">
      <w:pPr>
        <w:pStyle w:val="Numbered1"/>
      </w:pPr>
      <w:bookmarkStart w:id="1929" w:name="_Ref_ContractCompanion_9kb9Us498"/>
      <w:bookmarkStart w:id="1930" w:name="_9kR3WTrAG98DEcJfifw5qEUmOxHbgsBBTL301CO"/>
      <w:bookmarkStart w:id="1931" w:name="_9kR3WTr29B87EhJfifw5qEUmOxHbgsBBTL301CO"/>
      <w:r w:rsidRPr="00025910">
        <w:t xml:space="preserve">Service Continuity Plan: </w:t>
      </w:r>
      <w:bookmarkStart w:id="1932" w:name="_9kR3WTr2BCDIJeorBv"/>
      <w:bookmarkStart w:id="1933" w:name="Sch26PartAPara3"/>
      <w:r w:rsidRPr="004472FD">
        <w:t>Part A</w:t>
      </w:r>
      <w:bookmarkEnd w:id="1932"/>
      <w:bookmarkEnd w:id="1933"/>
      <w:r w:rsidRPr="00025910">
        <w:t xml:space="preserve"> – </w:t>
      </w:r>
      <w:r w:rsidRPr="00631338">
        <w:t>General</w:t>
      </w:r>
      <w:r w:rsidRPr="00025910">
        <w:t xml:space="preserve"> Principles </w:t>
      </w:r>
      <w:r>
        <w:t>a</w:t>
      </w:r>
      <w:r w:rsidRPr="00025910">
        <w:t>nd Requirements</w:t>
      </w:r>
      <w:bookmarkEnd w:id="1929"/>
      <w:bookmarkEnd w:id="1930"/>
      <w:bookmarkEnd w:id="1931"/>
    </w:p>
    <w:p w14:paraId="69AF573F" w14:textId="77777777" w:rsidR="00F67E9E" w:rsidRPr="00025910" w:rsidRDefault="00F67E9E" w:rsidP="00F67E9E">
      <w:pPr>
        <w:pStyle w:val="Numbered11"/>
      </w:pPr>
      <w:bookmarkStart w:id="1934" w:name="_9kMHG5YVt4DEFJFbGp9T"/>
      <w:r w:rsidRPr="00025910">
        <w:t>Part A</w:t>
      </w:r>
      <w:bookmarkEnd w:id="1934"/>
      <w:r w:rsidRPr="00025910">
        <w:t xml:space="preserve"> of the </w:t>
      </w:r>
      <w:r w:rsidRPr="00631338">
        <w:t>Service</w:t>
      </w:r>
      <w:r w:rsidRPr="00025910">
        <w:t xml:space="preserve"> Continuity Plan shall:</w:t>
      </w:r>
    </w:p>
    <w:p w14:paraId="06B2EEB9" w14:textId="77777777" w:rsidR="00F67E9E" w:rsidRPr="00631338" w:rsidRDefault="00F67E9E" w:rsidP="00F67E9E">
      <w:pPr>
        <w:pStyle w:val="Numbered111"/>
      </w:pPr>
      <w:r w:rsidRPr="00025910">
        <w:t xml:space="preserve">set out how the business continuity, disaster recovery and insolvency continuity elements of </w:t>
      </w:r>
      <w:r w:rsidRPr="00631338">
        <w:t xml:space="preserve">the plan link to each other; </w:t>
      </w:r>
    </w:p>
    <w:p w14:paraId="197CD2BA" w14:textId="77777777" w:rsidR="00F67E9E" w:rsidRPr="00631338" w:rsidRDefault="00F67E9E" w:rsidP="00F67E9E">
      <w:pPr>
        <w:pStyle w:val="Numbered111"/>
      </w:pPr>
      <w:r w:rsidRPr="00631338">
        <w:t>provide details of how the invocation of any element of the Service Continuity Plan may impact upon the operation of the Services and any services provided to the Authority by a Related Service Provider;</w:t>
      </w:r>
    </w:p>
    <w:p w14:paraId="64ACE0CA" w14:textId="77777777" w:rsidR="00F67E9E" w:rsidRPr="00631338" w:rsidRDefault="00F67E9E" w:rsidP="00F67E9E">
      <w:pPr>
        <w:pStyle w:val="Numbered111"/>
      </w:pPr>
      <w:r w:rsidRPr="00631338">
        <w:t>contain an obligation upon the Supplier to liaise with the Authority and (at the Authority’s request) any Related Service Provider with respect to issues concerning business continuity, disaster recovery and insolvency continuity where applicable;</w:t>
      </w:r>
    </w:p>
    <w:p w14:paraId="5738A090" w14:textId="77777777" w:rsidR="00F67E9E" w:rsidRPr="00631338" w:rsidRDefault="00F67E9E" w:rsidP="00F67E9E">
      <w:pPr>
        <w:pStyle w:val="Numbered111"/>
      </w:pPr>
      <w:r w:rsidRPr="00631338">
        <w:t>detail how the Service Continuity Plan links and interoperates with any overarching and/or connected disaster recovery, business continuity and/or insolvency continuity plan of the Authority and any of its other Related Service Providers in each case as notified to the Supplier by the Authority from time to time;</w:t>
      </w:r>
    </w:p>
    <w:p w14:paraId="3274A5D4" w14:textId="77777777" w:rsidR="00F67E9E" w:rsidRPr="00631338" w:rsidRDefault="00F67E9E" w:rsidP="00F67E9E">
      <w:pPr>
        <w:pStyle w:val="Numbered111"/>
      </w:pPr>
      <w:r w:rsidRPr="00631338">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w:t>
      </w:r>
    </w:p>
    <w:p w14:paraId="400A96F9" w14:textId="77777777" w:rsidR="00F67E9E" w:rsidRPr="00025910" w:rsidRDefault="00F67E9E" w:rsidP="00F67E9E">
      <w:pPr>
        <w:pStyle w:val="Numbered111"/>
      </w:pPr>
      <w:r w:rsidRPr="00631338">
        <w:t>contain</w:t>
      </w:r>
      <w:r w:rsidRPr="00025910">
        <w:t xml:space="preserve"> a risk analysis, including:</w:t>
      </w:r>
    </w:p>
    <w:p w14:paraId="714EA9F1" w14:textId="77777777" w:rsidR="00F67E9E" w:rsidRPr="00631338" w:rsidRDefault="00F67E9E" w:rsidP="00F67E9E">
      <w:pPr>
        <w:pStyle w:val="Numbered111a"/>
      </w:pPr>
      <w:r w:rsidRPr="00025910">
        <w:t xml:space="preserve">failure or disruption scenarios and assessments and estimates of frequency of </w:t>
      </w:r>
      <w:r w:rsidRPr="00631338">
        <w:t>occurrence;</w:t>
      </w:r>
    </w:p>
    <w:p w14:paraId="71DA7A6F" w14:textId="77777777" w:rsidR="00F67E9E" w:rsidRPr="00631338" w:rsidRDefault="00F67E9E" w:rsidP="00F67E9E">
      <w:pPr>
        <w:pStyle w:val="Numbered111a"/>
      </w:pPr>
      <w:r w:rsidRPr="00631338">
        <w:t>identification of any single points of failure within the Services and processes for managing the risks arising therefrom;</w:t>
      </w:r>
    </w:p>
    <w:p w14:paraId="6597E623" w14:textId="77777777" w:rsidR="00F67E9E" w:rsidRPr="00631338" w:rsidRDefault="00F67E9E" w:rsidP="00F67E9E">
      <w:pPr>
        <w:pStyle w:val="Numbered111a"/>
      </w:pPr>
      <w:r w:rsidRPr="00631338">
        <w:t xml:space="preserve">identification of risks arising from the interaction of the Services with the services provided by a Related Service Provider; </w:t>
      </w:r>
    </w:p>
    <w:p w14:paraId="0F64C9A0" w14:textId="77777777" w:rsidR="00F67E9E" w:rsidRPr="00631338" w:rsidRDefault="00F67E9E" w:rsidP="00F67E9E">
      <w:pPr>
        <w:pStyle w:val="Numbered111a"/>
      </w:pPr>
      <w:r w:rsidRPr="00631338">
        <w:t>identification of risks arising from an Insolvency Event of the Supplier, any Key Sub-contractors and/or Supplier Group member; and</w:t>
      </w:r>
    </w:p>
    <w:p w14:paraId="2897AABC" w14:textId="77777777" w:rsidR="00F67E9E" w:rsidRPr="00025910" w:rsidRDefault="00F67E9E" w:rsidP="00F67E9E">
      <w:pPr>
        <w:pStyle w:val="Numbered111a"/>
      </w:pPr>
      <w:r w:rsidRPr="00631338">
        <w:t>a business impact analysis (detailing the impact on business processes and operations</w:t>
      </w:r>
      <w:r w:rsidRPr="00025910">
        <w:t>) of different anticipated failures or disruptions;</w:t>
      </w:r>
    </w:p>
    <w:p w14:paraId="5D7DBD32" w14:textId="77777777" w:rsidR="00F67E9E" w:rsidRPr="00631338" w:rsidRDefault="00F67E9E" w:rsidP="00F67E9E">
      <w:pPr>
        <w:pStyle w:val="Numbered111"/>
      </w:pPr>
      <w:r w:rsidRPr="00025910">
        <w:lastRenderedPageBreak/>
        <w:t xml:space="preserve">provide for documentation of processes, including business processes, and </w:t>
      </w:r>
      <w:r w:rsidRPr="00631338">
        <w:t>procedures;</w:t>
      </w:r>
    </w:p>
    <w:p w14:paraId="3BD00B45" w14:textId="77777777" w:rsidR="00F67E9E" w:rsidRPr="00631338" w:rsidRDefault="00F67E9E" w:rsidP="00F67E9E">
      <w:pPr>
        <w:pStyle w:val="Numbered111"/>
      </w:pPr>
      <w:r w:rsidRPr="00631338">
        <w:t>set out key contact details (including roles and responsibilities) for the Supplier (and any Sub-contractors) and for the Authority;</w:t>
      </w:r>
    </w:p>
    <w:p w14:paraId="374D2351" w14:textId="77777777" w:rsidR="00F67E9E" w:rsidRPr="00631338" w:rsidRDefault="00F67E9E" w:rsidP="00F67E9E">
      <w:pPr>
        <w:pStyle w:val="Numbered111"/>
      </w:pPr>
      <w:r w:rsidRPr="00631338">
        <w:t>identify the procedures for reverting to “normal service”;</w:t>
      </w:r>
    </w:p>
    <w:p w14:paraId="2550BEAF" w14:textId="77777777" w:rsidR="00F67E9E" w:rsidRPr="00631338" w:rsidRDefault="00F67E9E" w:rsidP="00F67E9E">
      <w:pPr>
        <w:pStyle w:val="Numbered111"/>
      </w:pPr>
      <w:r w:rsidRPr="00631338">
        <w:t>set out method(s) of recovering or updating data collected (or which ought to have been collected) during a failure or disruption to ensure that there is no more than the accepted amount of data loss and to preserve data integrity;</w:t>
      </w:r>
    </w:p>
    <w:p w14:paraId="25AFF467" w14:textId="77777777" w:rsidR="00F67E9E" w:rsidRPr="00631338" w:rsidRDefault="00F67E9E" w:rsidP="00F67E9E">
      <w:pPr>
        <w:pStyle w:val="Numbered111"/>
      </w:pPr>
      <w:r w:rsidRPr="00631338">
        <w:t>identify the responsibilities (if any) that the Authority has agreed it will assume in the event of the invocation of the Service Continuity Plan; and</w:t>
      </w:r>
    </w:p>
    <w:p w14:paraId="6A3FC910" w14:textId="77777777" w:rsidR="00F67E9E" w:rsidRPr="00025910" w:rsidRDefault="00F67E9E" w:rsidP="00F67E9E">
      <w:pPr>
        <w:pStyle w:val="Numbered111"/>
      </w:pPr>
      <w:r w:rsidRPr="00631338">
        <w:t>provide for the provision of technical advice and assistance to key contacts at the Authority as notified by the Authority from time to time to inform decisions in suppo</w:t>
      </w:r>
      <w:r w:rsidRPr="00025910">
        <w:t>rt of the Authority</w:t>
      </w:r>
      <w:r>
        <w:t>’</w:t>
      </w:r>
      <w:r w:rsidRPr="00025910">
        <w:t>s business continuity plans.</w:t>
      </w:r>
    </w:p>
    <w:p w14:paraId="2C116D1D" w14:textId="77777777" w:rsidR="00F67E9E" w:rsidRPr="00025910" w:rsidRDefault="00F67E9E" w:rsidP="00F67E9E">
      <w:pPr>
        <w:pStyle w:val="Numbered11"/>
      </w:pPr>
      <w:r w:rsidRPr="00025910">
        <w:t xml:space="preserve">The Service </w:t>
      </w:r>
      <w:r w:rsidRPr="00631338">
        <w:t>Continuity</w:t>
      </w:r>
      <w:r w:rsidRPr="00025910">
        <w:t xml:space="preserve"> Plan shall be designed so as to ensure that:</w:t>
      </w:r>
    </w:p>
    <w:p w14:paraId="3393C681" w14:textId="77777777" w:rsidR="00F67E9E" w:rsidRPr="00025910" w:rsidRDefault="00F67E9E" w:rsidP="00F67E9E">
      <w:pPr>
        <w:pStyle w:val="Numbered111"/>
      </w:pPr>
      <w:r w:rsidRPr="00025910">
        <w:t>the Services are provided in accordance with this Contract at all times during and after the invocation of the Service Continuity Plan;</w:t>
      </w:r>
    </w:p>
    <w:p w14:paraId="47331BF4" w14:textId="77777777" w:rsidR="00F67E9E" w:rsidRPr="00025910" w:rsidRDefault="00F67E9E" w:rsidP="00F67E9E">
      <w:pPr>
        <w:pStyle w:val="Numbered111"/>
      </w:pPr>
      <w:r w:rsidRPr="00025910">
        <w:t>the adverse impact of any Disaster; service failure; an Insolvency Event of the Supplier, any Key Sub-contractor and/or any Supplier Group member; or disruption on the operations of the Authority, is minimal as far as reasonably possible;</w:t>
      </w:r>
    </w:p>
    <w:p w14:paraId="0EC4385C" w14:textId="77777777" w:rsidR="00F67E9E" w:rsidRPr="00025910" w:rsidRDefault="00F67E9E" w:rsidP="00F67E9E">
      <w:pPr>
        <w:pStyle w:val="Numbered111"/>
      </w:pPr>
      <w:r w:rsidRPr="00025910">
        <w:t>it complies with the relevant provisions of ISO/IEC 22301 and all other industry standards from time to time in force; and</w:t>
      </w:r>
    </w:p>
    <w:p w14:paraId="18B2D74C" w14:textId="77777777" w:rsidR="00F67E9E" w:rsidRPr="00025910" w:rsidRDefault="00F67E9E" w:rsidP="00F67E9E">
      <w:pPr>
        <w:pStyle w:val="Numbered111"/>
      </w:pPr>
      <w:r w:rsidRPr="00025910">
        <w:t>there is a process for the management of disaster recovery testing detailed in the Service Continuity Plan.</w:t>
      </w:r>
    </w:p>
    <w:p w14:paraId="1FFA4917" w14:textId="77777777" w:rsidR="00F67E9E" w:rsidRPr="00025910" w:rsidRDefault="00F67E9E" w:rsidP="00F67E9E">
      <w:pPr>
        <w:pStyle w:val="Numbered11"/>
      </w:pPr>
      <w:r w:rsidRPr="00025910">
        <w:t>The Service Continuity Plan shall be upgradeable and sufficiently flexible to support any changes to the Services, to the business processes facilitated by and the business operations supported by the Services, and/or changes to the Supplier Group structure.</w:t>
      </w:r>
    </w:p>
    <w:p w14:paraId="5FD2BFF6" w14:textId="77777777" w:rsidR="00F67E9E" w:rsidRPr="00025910" w:rsidRDefault="00F67E9E" w:rsidP="00F67E9E">
      <w:pPr>
        <w:pStyle w:val="Numbered11"/>
      </w:pPr>
      <w:r w:rsidRPr="00025910">
        <w:t>The Supplier shall not be entitled to any relief from its obligations under the Performance Indicators or to any increase in the Charges to the extent that a Disaster occurs as a consequence of any breach by the Supplier of this Contract.</w:t>
      </w:r>
    </w:p>
    <w:p w14:paraId="331B1A95" w14:textId="77777777" w:rsidR="00F67E9E" w:rsidRPr="00025910" w:rsidRDefault="00F67E9E" w:rsidP="00F67E9E">
      <w:pPr>
        <w:pStyle w:val="Numbered1"/>
      </w:pPr>
      <w:bookmarkStart w:id="1935" w:name="_Ref_ContractCompanion_9kb9Us48E"/>
      <w:bookmarkStart w:id="1936" w:name="_9kR3WTrAG98DBZJfifw5qEUmOxHbhtBBTL301CO"/>
      <w:bookmarkStart w:id="1937" w:name="_9kR3WTr29B87DgJfifw5qEUmOxHbhtBBTL301CO"/>
      <w:r w:rsidRPr="00025910">
        <w:t xml:space="preserve">Service Continuity </w:t>
      </w:r>
      <w:r w:rsidRPr="00631338">
        <w:t>Plan</w:t>
      </w:r>
      <w:r w:rsidRPr="00025910">
        <w:t>:</w:t>
      </w:r>
      <w:r w:rsidRPr="004472FD">
        <w:t xml:space="preserve"> </w:t>
      </w:r>
      <w:bookmarkStart w:id="1938" w:name="_9kR3WTr2BCDIKforBw"/>
      <w:bookmarkStart w:id="1939" w:name="Sch26PartBPara4"/>
      <w:r w:rsidRPr="004472FD">
        <w:t>Part B</w:t>
      </w:r>
      <w:bookmarkEnd w:id="1938"/>
      <w:bookmarkEnd w:id="1939"/>
      <w:r w:rsidRPr="00025910">
        <w:t xml:space="preserve"> – Business Continuity</w:t>
      </w:r>
      <w:bookmarkEnd w:id="1935"/>
      <w:bookmarkEnd w:id="1936"/>
      <w:bookmarkEnd w:id="1937"/>
    </w:p>
    <w:p w14:paraId="31D79448" w14:textId="77777777" w:rsidR="00F67E9E" w:rsidRPr="00025910" w:rsidRDefault="00F67E9E" w:rsidP="00F67E9E">
      <w:pPr>
        <w:pStyle w:val="StdBodyText1"/>
        <w:rPr>
          <w:rFonts w:cs="Arial"/>
        </w:rPr>
      </w:pPr>
      <w:r w:rsidRPr="00025910">
        <w:rPr>
          <w:rStyle w:val="StdBodyTextBoldChar"/>
          <w:rFonts w:cs="Arial"/>
        </w:rPr>
        <w:t xml:space="preserve">Principles </w:t>
      </w:r>
      <w:r>
        <w:rPr>
          <w:rStyle w:val="StdBodyTextBoldChar"/>
          <w:rFonts w:cs="Arial"/>
        </w:rPr>
        <w:t>a</w:t>
      </w:r>
      <w:r w:rsidRPr="00025910">
        <w:rPr>
          <w:rStyle w:val="StdBodyTextBoldChar"/>
          <w:rFonts w:cs="Arial"/>
        </w:rPr>
        <w:t>nd</w:t>
      </w:r>
      <w:r w:rsidRPr="00025910">
        <w:rPr>
          <w:rFonts w:cs="Arial"/>
        </w:rPr>
        <w:t xml:space="preserve"> </w:t>
      </w:r>
      <w:r w:rsidRPr="00025910">
        <w:rPr>
          <w:rStyle w:val="StdBodyTextBoldChar"/>
          <w:rFonts w:cs="Arial"/>
        </w:rPr>
        <w:t>Contents</w:t>
      </w:r>
    </w:p>
    <w:p w14:paraId="366052F1" w14:textId="77777777" w:rsidR="00F67E9E" w:rsidRPr="00025910" w:rsidRDefault="00F67E9E" w:rsidP="00F67E9E">
      <w:pPr>
        <w:pStyle w:val="Numbered11"/>
      </w:pPr>
      <w:r w:rsidRPr="00025910">
        <w:t xml:space="preserve">The Business Continuity Plan shall set out the arrangements that are to be invoked to ensure that the business processes and operations facilitated by the Services remain </w:t>
      </w:r>
      <w:r w:rsidRPr="00631338">
        <w:t>supported</w:t>
      </w:r>
      <w:r w:rsidRPr="00025910">
        <w:t xml:space="preserve"> and to ensure continuity of the business operations supported by the Services including, unless the Authority expressly states otherwise in writing:</w:t>
      </w:r>
    </w:p>
    <w:p w14:paraId="285AB7A7" w14:textId="77777777" w:rsidR="00F67E9E" w:rsidRPr="00631338" w:rsidRDefault="00F67E9E" w:rsidP="00F67E9E">
      <w:pPr>
        <w:pStyle w:val="Numbered111"/>
      </w:pPr>
      <w:r w:rsidRPr="00025910">
        <w:t xml:space="preserve">the alternative processes (including business processes), options and responsibilities that may be adopted in the event of a failure in or disruption to the </w:t>
      </w:r>
      <w:r w:rsidRPr="00631338">
        <w:t>Services; and</w:t>
      </w:r>
    </w:p>
    <w:p w14:paraId="3B443BD0" w14:textId="77777777" w:rsidR="00F67E9E" w:rsidRPr="00025910" w:rsidRDefault="00F67E9E" w:rsidP="00F67E9E">
      <w:pPr>
        <w:pStyle w:val="Numbered111"/>
      </w:pPr>
      <w:r w:rsidRPr="00631338">
        <w:lastRenderedPageBreak/>
        <w:t>the step</w:t>
      </w:r>
      <w:r w:rsidRPr="00025910">
        <w:t>s to be taken by the Supplier upon resumption of the Services in order to address any prevailing effect of the failure or disruption including a root cause analysis of the failure or disruption.</w:t>
      </w:r>
    </w:p>
    <w:p w14:paraId="43B7729A" w14:textId="77777777" w:rsidR="00F67E9E" w:rsidRPr="00025910" w:rsidRDefault="00F67E9E" w:rsidP="00F67E9E">
      <w:pPr>
        <w:pStyle w:val="Numbered11"/>
      </w:pPr>
      <w:r w:rsidRPr="00025910">
        <w:t>The Business Continuity Plan shall:</w:t>
      </w:r>
    </w:p>
    <w:p w14:paraId="6FB46831" w14:textId="77777777" w:rsidR="00F67E9E" w:rsidRPr="00025910" w:rsidRDefault="00F67E9E" w:rsidP="00F67E9E">
      <w:pPr>
        <w:pStyle w:val="Numbered111"/>
      </w:pPr>
      <w:r w:rsidRPr="00025910">
        <w:t>address the various possible levels of failures of or disruptions to the Services;</w:t>
      </w:r>
    </w:p>
    <w:p w14:paraId="770E0F5E" w14:textId="77777777" w:rsidR="00F67E9E" w:rsidRPr="00025910" w:rsidRDefault="00F67E9E" w:rsidP="00F67E9E">
      <w:pPr>
        <w:pStyle w:val="Numbered111"/>
      </w:pPr>
      <w:bookmarkStart w:id="1940" w:name="_Ref_ContractCompanion_9kb9Us9B8"/>
      <w:bookmarkStart w:id="1941" w:name="_9kR3WTrAG9DFEHEmquw79FF4q233LDvs9PM5wBP"/>
      <w:bookmarkStart w:id="1942" w:name="_9kR3WTrAHADFFIEmquw79FF4q233LDvs9PM5wBP"/>
      <w:r w:rsidRPr="00025910">
        <w:t xml:space="preserve">set out the services to be provided and the steps to be taken to remedy the different levels of failures of and disruption to the Services (such services and steps, the </w:t>
      </w:r>
      <w:r>
        <w:t>“</w:t>
      </w:r>
      <w:r w:rsidRPr="00025910">
        <w:rPr>
          <w:rStyle w:val="StdBodyTextBoldChar"/>
          <w:rFonts w:eastAsia="Arial" w:cs="Arial"/>
        </w:rPr>
        <w:t>Business Continuity</w:t>
      </w:r>
      <w:r w:rsidRPr="00025910">
        <w:t xml:space="preserve"> </w:t>
      </w:r>
      <w:r w:rsidRPr="00025910">
        <w:rPr>
          <w:rStyle w:val="StdBodyTextBoldChar"/>
          <w:rFonts w:eastAsia="Arial" w:cs="Arial"/>
        </w:rPr>
        <w:t>Services</w:t>
      </w:r>
      <w:r>
        <w:t>”</w:t>
      </w:r>
      <w:r w:rsidRPr="00025910">
        <w:t>);</w:t>
      </w:r>
      <w:bookmarkEnd w:id="1940"/>
      <w:bookmarkEnd w:id="1941"/>
      <w:bookmarkEnd w:id="1942"/>
    </w:p>
    <w:p w14:paraId="717074D1" w14:textId="77777777" w:rsidR="00F67E9E" w:rsidRPr="00025910" w:rsidRDefault="00F67E9E" w:rsidP="00F67E9E">
      <w:pPr>
        <w:pStyle w:val="Numbered111"/>
      </w:pPr>
      <w:r w:rsidRPr="00025910">
        <w:t>specify any applicable Performance Indicators with respect to the provision of the Business Continuity Services and details of any agreed relaxation to the Performance Indicators in respect of other Services during any period of invocation of the Business Continuity Plan; and</w:t>
      </w:r>
    </w:p>
    <w:p w14:paraId="023E76E2" w14:textId="77777777" w:rsidR="00F67E9E" w:rsidRPr="00025910" w:rsidRDefault="00F67E9E" w:rsidP="00F67E9E">
      <w:pPr>
        <w:pStyle w:val="Numbered111"/>
      </w:pPr>
      <w:r w:rsidRPr="00025910">
        <w:t>clearly set out the conditions and/or circumstances under which the Business Continuity Plan is invoked.</w:t>
      </w:r>
    </w:p>
    <w:p w14:paraId="31636071" w14:textId="77777777" w:rsidR="00F67E9E" w:rsidRPr="00025910" w:rsidRDefault="00F67E9E" w:rsidP="00F67E9E">
      <w:pPr>
        <w:pStyle w:val="Numbered1"/>
      </w:pPr>
      <w:bookmarkStart w:id="1943" w:name="_Ref_ContractCompanion_9kb9Us48B"/>
      <w:bookmarkStart w:id="1944" w:name="_9kR3WTrAG98CHgJfifw5qEUmOxHbiuBBTL301CO"/>
      <w:bookmarkStart w:id="1945" w:name="_9kR3WTr29B87CfJfifw5qEUmOxHbiuBBTL301CO"/>
      <w:r w:rsidRPr="00025910">
        <w:t xml:space="preserve">Service </w:t>
      </w:r>
      <w:r w:rsidRPr="00631338">
        <w:t>Continuity</w:t>
      </w:r>
      <w:r w:rsidRPr="00025910">
        <w:t xml:space="preserve"> Plan:</w:t>
      </w:r>
      <w:r w:rsidRPr="004472FD">
        <w:t xml:space="preserve"> </w:t>
      </w:r>
      <w:bookmarkStart w:id="1946" w:name="_9kR3WTr2BCDJCWorBx"/>
      <w:bookmarkStart w:id="1947" w:name="Sch26PartCPara5"/>
      <w:r w:rsidRPr="004472FD">
        <w:t>Part C</w:t>
      </w:r>
      <w:bookmarkEnd w:id="1946"/>
      <w:bookmarkEnd w:id="1947"/>
      <w:r w:rsidRPr="00025910">
        <w:t xml:space="preserve"> – Disaster Recovery</w:t>
      </w:r>
      <w:bookmarkEnd w:id="1943"/>
      <w:bookmarkEnd w:id="1944"/>
      <w:bookmarkEnd w:id="1945"/>
    </w:p>
    <w:p w14:paraId="4C77AC90" w14:textId="77777777" w:rsidR="00F67E9E" w:rsidRPr="00025910" w:rsidRDefault="00F67E9E" w:rsidP="00F67E9E">
      <w:pPr>
        <w:pStyle w:val="StdBodyText1"/>
        <w:rPr>
          <w:rFonts w:cs="Arial"/>
        </w:rPr>
      </w:pPr>
      <w:r w:rsidRPr="00025910">
        <w:rPr>
          <w:rStyle w:val="StdBodyTextBoldChar"/>
          <w:rFonts w:cs="Arial"/>
        </w:rPr>
        <w:t xml:space="preserve">Principles </w:t>
      </w:r>
      <w:r>
        <w:rPr>
          <w:rStyle w:val="StdBodyTextBoldChar"/>
          <w:rFonts w:cs="Arial"/>
        </w:rPr>
        <w:t>a</w:t>
      </w:r>
      <w:r w:rsidRPr="00025910">
        <w:rPr>
          <w:rStyle w:val="StdBodyTextBoldChar"/>
          <w:rFonts w:cs="Arial"/>
        </w:rPr>
        <w:t>nd</w:t>
      </w:r>
      <w:r w:rsidRPr="00025910">
        <w:rPr>
          <w:rFonts w:cs="Arial"/>
        </w:rPr>
        <w:t xml:space="preserve"> </w:t>
      </w:r>
      <w:r w:rsidRPr="00025910">
        <w:rPr>
          <w:rStyle w:val="StdBodyTextBoldChar"/>
          <w:rFonts w:cs="Arial"/>
        </w:rPr>
        <w:t>Contents</w:t>
      </w:r>
    </w:p>
    <w:p w14:paraId="2623F52B" w14:textId="77777777" w:rsidR="00F67E9E" w:rsidRPr="00631338" w:rsidRDefault="00F67E9E" w:rsidP="00F67E9E">
      <w:pPr>
        <w:pStyle w:val="Numbered11"/>
      </w:pPr>
      <w:r w:rsidRPr="00025910">
        <w:t xml:space="preserve">The Disaster Recovery Plan shall be designed so as to ensure that upon the occurrence of a Disaster the Supplier ensures continuity of the business operations of the Authority supported by the Services following any Disaster or during any period of service failure or disruption </w:t>
      </w:r>
      <w:r w:rsidRPr="00631338">
        <w:t>with, as far as reasonably possible, minimal adverse impact.</w:t>
      </w:r>
    </w:p>
    <w:p w14:paraId="4C8138D4" w14:textId="77777777" w:rsidR="00F67E9E" w:rsidRPr="00631338" w:rsidRDefault="00F67E9E" w:rsidP="00F67E9E">
      <w:pPr>
        <w:pStyle w:val="Numbered11"/>
      </w:pPr>
      <w:r w:rsidRPr="00631338">
        <w:t>The Disaster Recovery Plan shall be invoked only upon the occurrence of a Disaster.</w:t>
      </w:r>
    </w:p>
    <w:p w14:paraId="146DFE6D" w14:textId="77777777" w:rsidR="00F67E9E" w:rsidRPr="00025910" w:rsidRDefault="00F67E9E" w:rsidP="00F67E9E">
      <w:pPr>
        <w:pStyle w:val="Numbered11"/>
      </w:pPr>
      <w:r w:rsidRPr="00631338">
        <w:t>The Disaster</w:t>
      </w:r>
      <w:r w:rsidRPr="00025910">
        <w:t xml:space="preserve"> Recovery Plan shall include the following:</w:t>
      </w:r>
    </w:p>
    <w:p w14:paraId="5AC6542B" w14:textId="77777777" w:rsidR="00F67E9E" w:rsidRPr="00631338" w:rsidRDefault="00F67E9E" w:rsidP="00F67E9E">
      <w:pPr>
        <w:pStyle w:val="Numbered111"/>
      </w:pPr>
      <w:r w:rsidRPr="00025910">
        <w:t xml:space="preserve">the technical design and </w:t>
      </w:r>
      <w:r w:rsidRPr="00631338">
        <w:t>build specification of the Disaster Recovery System;</w:t>
      </w:r>
    </w:p>
    <w:p w14:paraId="0597D4C9" w14:textId="77777777" w:rsidR="00F67E9E" w:rsidRPr="00025910" w:rsidRDefault="00F67E9E" w:rsidP="00F67E9E">
      <w:pPr>
        <w:pStyle w:val="Numbered111"/>
      </w:pPr>
      <w:r w:rsidRPr="00631338">
        <w:t>details of the procedures and processes to be put in place by the Supplier in relation to the Disaster Recovery System and the provision of the Disaster Recovery Services and</w:t>
      </w:r>
      <w:r w:rsidRPr="00025910">
        <w:t xml:space="preserve"> any testing of the same including but not limited to the following:</w:t>
      </w:r>
    </w:p>
    <w:p w14:paraId="2CCACA5C" w14:textId="77777777" w:rsidR="00F67E9E" w:rsidRPr="00631338" w:rsidRDefault="00F67E9E" w:rsidP="00F67E9E">
      <w:pPr>
        <w:pStyle w:val="Numbered111a"/>
      </w:pPr>
      <w:r w:rsidRPr="00631338">
        <w:t>data centre and disaster recovery site audits;</w:t>
      </w:r>
    </w:p>
    <w:p w14:paraId="7AC1ECC2" w14:textId="77777777" w:rsidR="00F67E9E" w:rsidRPr="00631338" w:rsidRDefault="00F67E9E" w:rsidP="00F67E9E">
      <w:pPr>
        <w:pStyle w:val="Numbered111a"/>
      </w:pPr>
      <w:r w:rsidRPr="00631338">
        <w:t>backup methodology and details of the Supplier’s approach to data back-up and data verification;</w:t>
      </w:r>
    </w:p>
    <w:p w14:paraId="7CA4B74C" w14:textId="77777777" w:rsidR="00F67E9E" w:rsidRPr="00631338" w:rsidRDefault="00F67E9E" w:rsidP="00F67E9E">
      <w:pPr>
        <w:pStyle w:val="Numbered111a"/>
      </w:pPr>
      <w:r w:rsidRPr="00631338">
        <w:t>identification of all potential disaster scenarios;</w:t>
      </w:r>
    </w:p>
    <w:p w14:paraId="5618E34E" w14:textId="77777777" w:rsidR="00F67E9E" w:rsidRPr="00631338" w:rsidRDefault="00F67E9E" w:rsidP="00F67E9E">
      <w:pPr>
        <w:pStyle w:val="Numbered111a"/>
      </w:pPr>
      <w:r w:rsidRPr="00631338">
        <w:t>risk analysis;</w:t>
      </w:r>
    </w:p>
    <w:p w14:paraId="13D51B8E" w14:textId="77777777" w:rsidR="00F67E9E" w:rsidRPr="00631338" w:rsidRDefault="00F67E9E" w:rsidP="00F67E9E">
      <w:pPr>
        <w:pStyle w:val="Numbered111a"/>
      </w:pPr>
      <w:r w:rsidRPr="00631338">
        <w:t>documentation of processes and procedures;</w:t>
      </w:r>
    </w:p>
    <w:p w14:paraId="718EBF7E" w14:textId="77777777" w:rsidR="00F67E9E" w:rsidRPr="00631338" w:rsidRDefault="00F67E9E" w:rsidP="00F67E9E">
      <w:pPr>
        <w:pStyle w:val="Numbered111a"/>
      </w:pPr>
      <w:r w:rsidRPr="00631338">
        <w:t>hardware configuration details;</w:t>
      </w:r>
    </w:p>
    <w:p w14:paraId="0C554BB9" w14:textId="77777777" w:rsidR="00F67E9E" w:rsidRPr="00631338" w:rsidRDefault="00F67E9E" w:rsidP="00F67E9E">
      <w:pPr>
        <w:pStyle w:val="Numbered111a"/>
      </w:pPr>
      <w:r w:rsidRPr="00631338">
        <w:t>network planning including details of all relevant data networks and communication links;</w:t>
      </w:r>
    </w:p>
    <w:p w14:paraId="3F46B0EE" w14:textId="77777777" w:rsidR="00F67E9E" w:rsidRPr="00631338" w:rsidRDefault="00F67E9E" w:rsidP="00F67E9E">
      <w:pPr>
        <w:pStyle w:val="Numbered111a"/>
      </w:pPr>
      <w:r w:rsidRPr="00631338">
        <w:lastRenderedPageBreak/>
        <w:t>invocation rules;</w:t>
      </w:r>
    </w:p>
    <w:p w14:paraId="15FE6132" w14:textId="77777777" w:rsidR="00F67E9E" w:rsidRPr="00631338" w:rsidRDefault="00F67E9E" w:rsidP="00F67E9E">
      <w:pPr>
        <w:pStyle w:val="Numbered111a"/>
      </w:pPr>
      <w:r w:rsidRPr="00631338">
        <w:t>Service recovery procedures; and</w:t>
      </w:r>
    </w:p>
    <w:p w14:paraId="5AE3809F" w14:textId="77777777" w:rsidR="00F67E9E" w:rsidRPr="00025910" w:rsidRDefault="00F67E9E" w:rsidP="00F67E9E">
      <w:pPr>
        <w:pStyle w:val="Numbered111a"/>
      </w:pPr>
      <w:r w:rsidRPr="00631338">
        <w:t>steps to be taken upon resumption of the Services to address any prevailing</w:t>
      </w:r>
      <w:r w:rsidRPr="00025910">
        <w:t xml:space="preserve"> effect of the failure or disruption of the Services;</w:t>
      </w:r>
    </w:p>
    <w:p w14:paraId="64CA3C36" w14:textId="77777777" w:rsidR="00F67E9E" w:rsidRPr="00631338" w:rsidRDefault="00F67E9E" w:rsidP="00F67E9E">
      <w:pPr>
        <w:pStyle w:val="Numbered111"/>
      </w:pPr>
      <w:r w:rsidRPr="00025910">
        <w:t>any applicable Performance Indicators with respect to the provision of the Disaster Recovery Services and details of any agreed relaxation to the Performance Indicators in respect of other Services during any period of invocation of the Disast</w:t>
      </w:r>
      <w:r w:rsidRPr="00631338">
        <w:t>er Recovery Plan;</w:t>
      </w:r>
    </w:p>
    <w:p w14:paraId="3D74C566" w14:textId="77777777" w:rsidR="00F67E9E" w:rsidRPr="00631338" w:rsidRDefault="00F67E9E" w:rsidP="00F67E9E">
      <w:pPr>
        <w:pStyle w:val="Numbered111"/>
      </w:pPr>
      <w:r w:rsidRPr="00631338">
        <w:t>details of how the Supplier shall ensure compliance with security standards ensuring that compliance is maintained for any period during which the Disaster Recovery Plan is invoked;</w:t>
      </w:r>
    </w:p>
    <w:p w14:paraId="43C5B578" w14:textId="77777777" w:rsidR="00F67E9E" w:rsidRPr="00631338" w:rsidRDefault="00F67E9E" w:rsidP="00F67E9E">
      <w:pPr>
        <w:pStyle w:val="Numbered111"/>
      </w:pPr>
      <w:r w:rsidRPr="00631338">
        <w:t>access controls to any disaster recovery sites used by the Supplier in relation to its obligations pursuant to this Schedule; and</w:t>
      </w:r>
    </w:p>
    <w:p w14:paraId="12CF8727" w14:textId="77777777" w:rsidR="00F67E9E" w:rsidRPr="00025910" w:rsidRDefault="00F67E9E" w:rsidP="00F67E9E">
      <w:pPr>
        <w:pStyle w:val="Numbered111"/>
      </w:pPr>
      <w:r w:rsidRPr="00631338">
        <w:t xml:space="preserve">testing </w:t>
      </w:r>
      <w:r w:rsidRPr="00025910">
        <w:t>and management arrangements.</w:t>
      </w:r>
    </w:p>
    <w:p w14:paraId="139D2607" w14:textId="0EB8D890" w:rsidR="00643086" w:rsidRDefault="00643086" w:rsidP="00643086">
      <w:pPr>
        <w:pStyle w:val="Numbered11"/>
      </w:pPr>
      <w:bookmarkStart w:id="1948" w:name="_Ref_ContractCompanion_9kb9Us488"/>
      <w:bookmarkStart w:id="1949" w:name="_9kR3WTrAG98CEdJfifw5qEUmOxHbjvBBTL301CO"/>
      <w:bookmarkStart w:id="1950" w:name="_9kR3WTr29B87AdJfifw5qEUmOxHbjvBBTL301CO"/>
      <w:r>
        <w:t>Key disaster recovery objectives must be incorporated into the Disaster Recovery Plan and the Supplier Solution:</w:t>
      </w:r>
    </w:p>
    <w:p w14:paraId="0EC88914" w14:textId="6AA1EAB6" w:rsidR="00643086" w:rsidRDefault="00643086" w:rsidP="00643086">
      <w:pPr>
        <w:pStyle w:val="Numbered111"/>
      </w:pPr>
      <w:r>
        <w:t>Recovery Point Objective (RPO), refers to how much data loss the application can tolerate. Data loss for the Services must be minimal, and the Authority's maximum acceptable data loss is no more than 4 hours.</w:t>
      </w:r>
    </w:p>
    <w:p w14:paraId="11C8F63D" w14:textId="669B0794" w:rsidR="00643086" w:rsidRDefault="00643086" w:rsidP="00643086">
      <w:pPr>
        <w:pStyle w:val="Numbered111"/>
      </w:pPr>
      <w:r>
        <w:t xml:space="preserve">Recovery Time Objective (RTO) is how quickly the application must recover. In total, the maximum acceptable time to restore the Services is within 24 hours, inclusive of the 12 hours which must pass prior to an issue being classified as a Disaster.    </w:t>
      </w:r>
    </w:p>
    <w:p w14:paraId="3E808C61" w14:textId="3E605C7D" w:rsidR="00F67E9E" w:rsidRPr="00025910" w:rsidRDefault="00F67E9E" w:rsidP="00F67E9E">
      <w:pPr>
        <w:pStyle w:val="Numbered1"/>
      </w:pPr>
      <w:r w:rsidRPr="00025910">
        <w:t xml:space="preserve">Service Continuity </w:t>
      </w:r>
      <w:r w:rsidRPr="00631338">
        <w:t>Plan</w:t>
      </w:r>
      <w:r w:rsidRPr="00025910">
        <w:t xml:space="preserve">: </w:t>
      </w:r>
      <w:bookmarkStart w:id="1951" w:name="_9kR3WTr2BCDJDXorBy"/>
      <w:bookmarkStart w:id="1952" w:name="Sch26PartDPara6"/>
      <w:r w:rsidRPr="004472FD">
        <w:t>Part D</w:t>
      </w:r>
      <w:bookmarkEnd w:id="1951"/>
      <w:bookmarkEnd w:id="1952"/>
      <w:r w:rsidRPr="00025910">
        <w:t xml:space="preserve"> – Insolvency Continuity Plan</w:t>
      </w:r>
      <w:bookmarkEnd w:id="1948"/>
      <w:bookmarkEnd w:id="1949"/>
      <w:bookmarkEnd w:id="1950"/>
    </w:p>
    <w:p w14:paraId="64963B54" w14:textId="77777777" w:rsidR="00F67E9E" w:rsidRPr="00025910" w:rsidRDefault="00F67E9E" w:rsidP="00F67E9E">
      <w:pPr>
        <w:pStyle w:val="StdBodyText1"/>
        <w:rPr>
          <w:rFonts w:cs="Arial"/>
        </w:rPr>
      </w:pPr>
      <w:r w:rsidRPr="00025910">
        <w:rPr>
          <w:rStyle w:val="StdBodyTextBoldChar"/>
          <w:rFonts w:cs="Arial"/>
        </w:rPr>
        <w:t xml:space="preserve">Principles </w:t>
      </w:r>
      <w:r>
        <w:rPr>
          <w:rStyle w:val="StdBodyTextBoldChar"/>
          <w:rFonts w:cs="Arial"/>
        </w:rPr>
        <w:t>a</w:t>
      </w:r>
      <w:r w:rsidRPr="00025910">
        <w:rPr>
          <w:rStyle w:val="StdBodyTextBoldChar"/>
          <w:rFonts w:cs="Arial"/>
        </w:rPr>
        <w:t>nd</w:t>
      </w:r>
      <w:r w:rsidRPr="00025910">
        <w:rPr>
          <w:rFonts w:cs="Arial"/>
        </w:rPr>
        <w:t xml:space="preserve"> </w:t>
      </w:r>
      <w:r w:rsidRPr="00025910">
        <w:rPr>
          <w:rStyle w:val="StdBodyTextBoldChar"/>
          <w:rFonts w:cs="Arial"/>
        </w:rPr>
        <w:t>Contents</w:t>
      </w:r>
    </w:p>
    <w:p w14:paraId="726EFA67" w14:textId="77777777" w:rsidR="00F67E9E" w:rsidRPr="00631338" w:rsidRDefault="00F67E9E" w:rsidP="00F67E9E">
      <w:pPr>
        <w:pStyle w:val="Numbered11"/>
      </w:pPr>
      <w:r w:rsidRPr="00025910">
        <w:t xml:space="preserve">The Insolvency Continuity Plan shall be designed by the Supplier to permit continuity of the business operations of the Authority supported by the Services through continued provision of the Services </w:t>
      </w:r>
      <w:r w:rsidRPr="00631338">
        <w:t>following an Insolvency Event of the Supplier, any Key Sub-contractor and/or any Supplier Group member with, as far as reasonably possible, minimal adverse impact.</w:t>
      </w:r>
    </w:p>
    <w:p w14:paraId="2689290C" w14:textId="77777777" w:rsidR="00F67E9E" w:rsidRPr="00025910" w:rsidRDefault="00F67E9E" w:rsidP="00F67E9E">
      <w:pPr>
        <w:pStyle w:val="Numbered11"/>
      </w:pPr>
      <w:bookmarkStart w:id="1953" w:name="_Ref_ContractCompanion_9kb9Us89A"/>
      <w:r w:rsidRPr="00631338">
        <w:t xml:space="preserve">The Insolvency </w:t>
      </w:r>
      <w:r w:rsidRPr="00025910">
        <w:t>Continuity Plan shall include the following:</w:t>
      </w:r>
      <w:bookmarkEnd w:id="1953"/>
    </w:p>
    <w:p w14:paraId="76F86CED" w14:textId="77777777" w:rsidR="00F67E9E" w:rsidRPr="00631338" w:rsidRDefault="00F67E9E" w:rsidP="00F67E9E">
      <w:pPr>
        <w:pStyle w:val="Numbered111"/>
      </w:pPr>
      <w:r w:rsidRPr="00025910">
        <w:t xml:space="preserve">communication strategies which are designed to minimise the potential disruption to the provision of the Services, including key contact details in respect of the supply chain and key contact details for operational and contract Supplier </w:t>
      </w:r>
      <w:r w:rsidRPr="00631338">
        <w:t xml:space="preserve">Personnel, Key Sub-contractor personnel and Supplier Group member personnel; </w:t>
      </w:r>
    </w:p>
    <w:p w14:paraId="3377A973" w14:textId="77777777" w:rsidR="00F67E9E" w:rsidRPr="00631338" w:rsidRDefault="00F67E9E" w:rsidP="00F67E9E">
      <w:pPr>
        <w:pStyle w:val="Numbered111"/>
      </w:pPr>
      <w:r w:rsidRPr="00631338">
        <w:t xml:space="preserve">identification, explanation, assessment and an impact analysis of risks in respect of dependencies between the Supplier, Key Sub-contractors and Supplier Group members where failure of those dependencies could </w:t>
      </w:r>
      <w:r w:rsidRPr="00631338">
        <w:lastRenderedPageBreak/>
        <w:t xml:space="preserve">reasonably have an adverse impact on the Services; </w:t>
      </w:r>
    </w:p>
    <w:p w14:paraId="10AC633E" w14:textId="77777777" w:rsidR="00F67E9E" w:rsidRPr="00631338" w:rsidRDefault="00F67E9E" w:rsidP="00F67E9E">
      <w:pPr>
        <w:pStyle w:val="Numbered111"/>
      </w:pPr>
      <w:r w:rsidRPr="00631338">
        <w:t>plans to manage and mitigate identified risks;</w:t>
      </w:r>
    </w:p>
    <w:p w14:paraId="4067F96C" w14:textId="77777777" w:rsidR="00F67E9E" w:rsidRPr="00631338" w:rsidRDefault="00F67E9E" w:rsidP="00F67E9E">
      <w:pPr>
        <w:pStyle w:val="Numbered111"/>
      </w:pPr>
      <w:r w:rsidRPr="00631338">
        <w:t>details of the roles and responsibilities of the Supplier, Key Sub-contractors and/or Supplier Group members to minimise and mitigate the effects of an Insolvency Event of such persons on the Services;</w:t>
      </w:r>
    </w:p>
    <w:p w14:paraId="6FD86B0A" w14:textId="77777777" w:rsidR="00F67E9E" w:rsidRPr="00631338" w:rsidRDefault="00F67E9E" w:rsidP="00F67E9E">
      <w:pPr>
        <w:pStyle w:val="Numbered111"/>
      </w:pPr>
      <w:r w:rsidRPr="00631338">
        <w:t xml:space="preserve">details of the recovery team to be put in place by the Supplier (which may include representatives of the Supplier, Key Sub-contractors and Supplier Group members); and </w:t>
      </w:r>
    </w:p>
    <w:p w14:paraId="5C8F516C" w14:textId="77777777" w:rsidR="00F67E9E" w:rsidRPr="0018147A" w:rsidRDefault="00F67E9E" w:rsidP="00F67E9E">
      <w:pPr>
        <w:pStyle w:val="Numbered111"/>
      </w:pPr>
      <w:r w:rsidRPr="00631338">
        <w:t>sufficient</w:t>
      </w:r>
      <w:r w:rsidRPr="0018147A">
        <w:t xml:space="preserve"> detail to enable an appointed insolvency practitioner to invoke the plan in the event of an Insolvency Event of the Supplier.</w:t>
      </w:r>
    </w:p>
    <w:p w14:paraId="01338091" w14:textId="77777777" w:rsidR="00F67E9E" w:rsidRPr="0018147A" w:rsidRDefault="00F67E9E" w:rsidP="00F67E9E">
      <w:pPr>
        <w:pStyle w:val="Numbered1"/>
      </w:pPr>
      <w:r w:rsidRPr="0018147A">
        <w:t xml:space="preserve">Review </w:t>
      </w:r>
      <w:r>
        <w:t>a</w:t>
      </w:r>
      <w:r w:rsidRPr="0018147A">
        <w:t xml:space="preserve">nd </w:t>
      </w:r>
      <w:r w:rsidRPr="00631338">
        <w:t>Amendment</w:t>
      </w:r>
      <w:r w:rsidRPr="0018147A">
        <w:t xml:space="preserve"> </w:t>
      </w:r>
      <w:r>
        <w:t>o</w:t>
      </w:r>
      <w:r w:rsidRPr="0018147A">
        <w:t xml:space="preserve">f </w:t>
      </w:r>
      <w:r>
        <w:t>t</w:t>
      </w:r>
      <w:r w:rsidRPr="0018147A">
        <w:t>he Service Continuity Plan</w:t>
      </w:r>
    </w:p>
    <w:p w14:paraId="2FD7F678" w14:textId="77777777" w:rsidR="00F67E9E" w:rsidRPr="0018147A" w:rsidRDefault="00F67E9E" w:rsidP="00F67E9E">
      <w:pPr>
        <w:pStyle w:val="Numbered11"/>
      </w:pPr>
      <w:bookmarkStart w:id="1954" w:name="_Ref_ContractCompanion_9kb9Us894"/>
      <w:bookmarkStart w:id="1955" w:name="_Ref_ContractCompanion_9kb9Us9FG"/>
      <w:bookmarkStart w:id="1956" w:name="_9kR3WTrAG9DKDEGdRjVgA63xr1G7qv7E8DI2HE6"/>
      <w:r w:rsidRPr="0018147A">
        <w:t xml:space="preserve">The Supplier shall review and update the Service Continuity Plan (and the risk analysis on which it is </w:t>
      </w:r>
      <w:r w:rsidRPr="00631338">
        <w:t>based</w:t>
      </w:r>
      <w:r w:rsidRPr="0018147A">
        <w:t>):</w:t>
      </w:r>
      <w:bookmarkEnd w:id="1954"/>
      <w:bookmarkEnd w:id="1955"/>
      <w:bookmarkEnd w:id="1956"/>
    </w:p>
    <w:p w14:paraId="0B17317D" w14:textId="7EE62946" w:rsidR="00F67E9E" w:rsidRPr="00603D27" w:rsidRDefault="00F67E9E" w:rsidP="00F67E9E">
      <w:pPr>
        <w:pStyle w:val="Numbered111"/>
      </w:pPr>
      <w:bookmarkStart w:id="1957" w:name="_Ref_ContractCompanion_9kb9Us9FA"/>
      <w:bookmarkStart w:id="1958" w:name="_9kR3WTrAG9DJGIGklzmrwm39qxzj1AB404s894D"/>
      <w:r w:rsidRPr="00603D27">
        <w:t xml:space="preserve">on a regular basis and as a minimum once every </w:t>
      </w:r>
      <w:r w:rsidRPr="00603D27">
        <w:rPr>
          <w:bCs/>
          <w:iCs/>
        </w:rPr>
        <w:t>6 months</w:t>
      </w:r>
      <w:r w:rsidRPr="00603D27">
        <w:t>;</w:t>
      </w:r>
      <w:bookmarkEnd w:id="1957"/>
      <w:bookmarkEnd w:id="1958"/>
    </w:p>
    <w:p w14:paraId="13D249DD" w14:textId="2AC17CFB" w:rsidR="00F67E9E" w:rsidRPr="00025910" w:rsidRDefault="00F67E9E" w:rsidP="00F67E9E">
      <w:pPr>
        <w:pStyle w:val="Numbered111"/>
      </w:pPr>
      <w:r w:rsidRPr="00025910">
        <w:t xml:space="preserve">within three calendar months of the Service Continuity Plan (or any part) having been invoked </w:t>
      </w:r>
      <w:r w:rsidRPr="00631338">
        <w:t>pursuant</w:t>
      </w:r>
      <w:r w:rsidRPr="00025910">
        <w:t xml:space="preserve"> to </w:t>
      </w:r>
      <w:bookmarkStart w:id="1959" w:name="_9kMHG5YVtCIBAEDcLhkhy7sGWoQzJdoqCQSAxFO"/>
      <w:r w:rsidRPr="00025910">
        <w:t xml:space="preserve">Paragraph </w:t>
      </w:r>
      <w:r w:rsidRPr="00025910">
        <w:fldChar w:fldCharType="begin"/>
      </w:r>
      <w:r w:rsidRPr="00025910">
        <w:instrText xml:space="preserve"> REF _Ref_ContractCompanion_9kb9Us47E \w \n \h \t \* MERGEFORMAT </w:instrText>
      </w:r>
      <w:r w:rsidRPr="00025910">
        <w:fldChar w:fldCharType="separate"/>
      </w:r>
      <w:bookmarkStart w:id="1960" w:name="_9kMHG5YVt4BDA9BeLhkhy7sGWoQzJdoqCQSAxFO"/>
      <w:r w:rsidR="007A1473">
        <w:t>9</w:t>
      </w:r>
      <w:bookmarkEnd w:id="1960"/>
      <w:r w:rsidRPr="00025910">
        <w:fldChar w:fldCharType="end"/>
      </w:r>
      <w:bookmarkEnd w:id="1959"/>
      <w:r w:rsidRPr="00025910">
        <w:t xml:space="preserve">; </w:t>
      </w:r>
    </w:p>
    <w:p w14:paraId="05685D05" w14:textId="77777777" w:rsidR="00F67E9E" w:rsidRPr="00025910" w:rsidRDefault="00F67E9E" w:rsidP="00F67E9E">
      <w:pPr>
        <w:pStyle w:val="Numbered111"/>
      </w:pPr>
      <w:r w:rsidRPr="00025910">
        <w:t>within 14 days of a Financial Distress Event;</w:t>
      </w:r>
    </w:p>
    <w:p w14:paraId="0FC54DB7" w14:textId="64531F17" w:rsidR="00F67E9E" w:rsidRPr="00025910" w:rsidRDefault="00F67E9E" w:rsidP="00F67E9E">
      <w:pPr>
        <w:pStyle w:val="Numbered111"/>
      </w:pPr>
      <w:bookmarkStart w:id="1961" w:name="_9kR3WTrAG9DJJLGnw200qxJKvj5OF3qOXJLJM9C"/>
      <w:bookmarkStart w:id="1962" w:name="_Ref_ContractCompanion_9kb9Us9FD"/>
      <w:r w:rsidRPr="00025910">
        <w:t>within 30 days of a Corporate Change Event (unless the Relevant Authority (acting reasonably) agrees to a Corporate Change Event Grace Period, as set out in Paragraph</w:t>
      </w:r>
      <w:r>
        <w:t xml:space="preserve"> </w:t>
      </w:r>
      <w:r>
        <w:fldChar w:fldCharType="begin"/>
      </w:r>
      <w:r>
        <w:instrText xml:space="preserve"> REF _Ref88670374 \w \h </w:instrText>
      </w:r>
      <w:r>
        <w:fldChar w:fldCharType="separate"/>
      </w:r>
      <w:r w:rsidR="007A1473">
        <w:t>2.8.2(a)</w:t>
      </w:r>
      <w:r>
        <w:fldChar w:fldCharType="end"/>
      </w:r>
      <w:r w:rsidRPr="00025910">
        <w:t>, in which case that Corporate Change Event Grace Period will apply);</w:t>
      </w:r>
      <w:bookmarkEnd w:id="1961"/>
      <w:r w:rsidRPr="00025910">
        <w:t xml:space="preserve"> and</w:t>
      </w:r>
      <w:bookmarkEnd w:id="1962"/>
    </w:p>
    <w:p w14:paraId="1F432CDA" w14:textId="57362D75" w:rsidR="00F67E9E" w:rsidRPr="00025910" w:rsidRDefault="00F67E9E" w:rsidP="00F67E9E">
      <w:pPr>
        <w:pStyle w:val="Numbered111"/>
      </w:pPr>
      <w:r w:rsidRPr="00025910">
        <w:t xml:space="preserve">where the Authority requests any additional reviews (over and above those provided for in </w:t>
      </w:r>
      <w:bookmarkStart w:id="1963" w:name="_9kMHG5YVtCIBFLIKImn1otyo5Bsz1l3CD626uAB"/>
      <w:r w:rsidRPr="00025910">
        <w:t xml:space="preserve">Paragraphs </w:t>
      </w:r>
      <w:r w:rsidRPr="00025910">
        <w:fldChar w:fldCharType="begin"/>
      </w:r>
      <w:r w:rsidRPr="00025910">
        <w:instrText xml:space="preserve"> REF _Ref_ContractCompanion_9kb9Us9FA \w \h \t \* MERGEFORMAT </w:instrText>
      </w:r>
      <w:r w:rsidRPr="00025910">
        <w:fldChar w:fldCharType="separate"/>
      </w:r>
      <w:r w:rsidR="007A1473">
        <w:t>7.1.1</w:t>
      </w:r>
      <w:r w:rsidRPr="00025910">
        <w:fldChar w:fldCharType="end"/>
      </w:r>
      <w:bookmarkEnd w:id="1963"/>
      <w:r w:rsidRPr="00025910">
        <w:t xml:space="preserve"> to </w:t>
      </w:r>
      <w:bookmarkStart w:id="1964" w:name="_9kMHG5YVtCIBFLLNIpy422szLMxl7QH5sQZLNLO"/>
      <w:r w:rsidRPr="00025910">
        <w:fldChar w:fldCharType="begin"/>
      </w:r>
      <w:r w:rsidRPr="00025910">
        <w:instrText xml:space="preserve"> REF _Ref_ContractCompanion_9kb9Us9FD \w \h \t \* MERGEFORMAT </w:instrText>
      </w:r>
      <w:r w:rsidRPr="00025910">
        <w:fldChar w:fldCharType="separate"/>
      </w:r>
      <w:r w:rsidR="007A1473">
        <w:t>7.1.4</w:t>
      </w:r>
      <w:r w:rsidRPr="00025910">
        <w:fldChar w:fldCharType="end"/>
      </w:r>
      <w:bookmarkEnd w:id="1964"/>
      <w:r w:rsidRPr="00025910">
        <w:t>) by notifying the Supplier to such effect in writing, whereupon the Supplier shall conduct such reviews in accordance with the Authority</w:t>
      </w:r>
      <w:r>
        <w:t>’</w:t>
      </w:r>
      <w:r w:rsidRPr="00025910">
        <w:t>s written requirements.</w:t>
      </w:r>
      <w:r>
        <w:t xml:space="preserve"> </w:t>
      </w:r>
      <w:r w:rsidRPr="00025910">
        <w:t>Prior to starting its review, the Supplier shall provide an accurate written estimate of the total costs payable by the Authority for the Authority</w:t>
      </w:r>
      <w:r>
        <w:t>’</w:t>
      </w:r>
      <w:r w:rsidRPr="00025910">
        <w:t>s approval.</w:t>
      </w:r>
      <w:r>
        <w:t xml:space="preserve"> </w:t>
      </w:r>
      <w:r w:rsidRPr="00025910">
        <w:t>The costs of both Parties of any such additional reviews shall be met by the Authority except that the Supplier shall not be entitled to charge the Authority for any costs that it may incur above any estimate without the Authority</w:t>
      </w:r>
      <w:r>
        <w:t>’</w:t>
      </w:r>
      <w:r w:rsidRPr="00025910">
        <w:t xml:space="preserve">s prior written approval. </w:t>
      </w:r>
    </w:p>
    <w:p w14:paraId="6F1C6E56" w14:textId="0346D296" w:rsidR="00F67E9E" w:rsidRPr="00025910" w:rsidRDefault="00F67E9E" w:rsidP="00F67E9E">
      <w:pPr>
        <w:pStyle w:val="Numbered11"/>
      </w:pPr>
      <w:bookmarkStart w:id="1965" w:name="_Ref99012795"/>
      <w:r w:rsidRPr="00025910">
        <w:t xml:space="preserve">Each review of the Service Continuity Plan pursuant to </w:t>
      </w:r>
      <w:bookmarkStart w:id="1966" w:name="_9kMHG5YVtCIBFMFGIfTlXiC85zt3I9sx9GAFK4J"/>
      <w:r w:rsidRPr="00025910">
        <w:t xml:space="preserve">Paragraph </w:t>
      </w:r>
      <w:r w:rsidRPr="00025910">
        <w:fldChar w:fldCharType="begin"/>
      </w:r>
      <w:r w:rsidRPr="00025910">
        <w:instrText xml:space="preserve"> REF _Ref_ContractCompanion_9kb9Us9FG \n \h \t \* MERGEFORMAT </w:instrText>
      </w:r>
      <w:r w:rsidRPr="00025910">
        <w:fldChar w:fldCharType="separate"/>
      </w:r>
      <w:r w:rsidR="007A1473">
        <w:t>7.1</w:t>
      </w:r>
      <w:r w:rsidRPr="00025910">
        <w:fldChar w:fldCharType="end"/>
      </w:r>
      <w:bookmarkEnd w:id="1966"/>
      <w:r w:rsidRPr="00025910">
        <w:t xml:space="preserve"> shall be a review of the procedures and methodologies set out in the Service Continuity Plan and shall assess their suitability having regard to any change to the Services or any underlying business processes and operations facilitated by or supported by the Services which have taken place since the later of the original approval of the Service Continuity Plan or the last review of the Service Continuity Plan and shall also have regard to any occurrence of any event since that date (or the likelihood of any such event taking place in the foreseeable future) which may increase the likelihood of the need to invoke the Service Continuity Plan.</w:t>
      </w:r>
      <w:r>
        <w:t xml:space="preserve"> </w:t>
      </w:r>
      <w:r w:rsidRPr="00025910">
        <w:t>The review shall be completed by the Supplier within the period required by the Service Continuity Plan or, if no such period is required, within such period as the Authority shall reasonably require.</w:t>
      </w:r>
      <w:r>
        <w:t xml:space="preserve"> </w:t>
      </w:r>
      <w:r w:rsidRPr="00025910">
        <w:t xml:space="preserve">The Supplier shall, within 20 </w:t>
      </w:r>
      <w:r w:rsidRPr="00631338">
        <w:t>Working</w:t>
      </w:r>
      <w:r w:rsidRPr="00025910">
        <w:t xml:space="preserve"> </w:t>
      </w:r>
      <w:r w:rsidRPr="00025910">
        <w:lastRenderedPageBreak/>
        <w:t xml:space="preserve">Days of the conclusion of each such review of the Service Continuity Plan, provide to the Authority a report (a </w:t>
      </w:r>
      <w:r>
        <w:t>“</w:t>
      </w:r>
      <w:r w:rsidRPr="00025910">
        <w:rPr>
          <w:rStyle w:val="StdBodyTextBoldChar"/>
          <w:rFonts w:eastAsia="Arial" w:cs="Arial"/>
        </w:rPr>
        <w:t>Review</w:t>
      </w:r>
      <w:r w:rsidRPr="00025910">
        <w:t xml:space="preserve"> </w:t>
      </w:r>
      <w:r w:rsidRPr="00025910">
        <w:rPr>
          <w:rStyle w:val="StdBodyTextBoldChar"/>
          <w:rFonts w:eastAsia="Arial" w:cs="Arial"/>
        </w:rPr>
        <w:t>Report</w:t>
      </w:r>
      <w:r>
        <w:t>”</w:t>
      </w:r>
      <w:r w:rsidRPr="00025910">
        <w:t>) setting out:</w:t>
      </w:r>
      <w:bookmarkEnd w:id="1965"/>
    </w:p>
    <w:p w14:paraId="30C1D836" w14:textId="77777777" w:rsidR="00F67E9E" w:rsidRPr="00025910" w:rsidRDefault="00F67E9E" w:rsidP="00F67E9E">
      <w:pPr>
        <w:pStyle w:val="Numbered111"/>
      </w:pPr>
      <w:bookmarkStart w:id="1967" w:name="_Ref_ContractCompanion_9kb9Us9CB"/>
      <w:bookmarkStart w:id="1968" w:name="_9kR3WTrAHADGHMHlqykjoxtp0z5E28Bx89EJ3I"/>
      <w:bookmarkStart w:id="1969" w:name="_9kR3WTrAG9DGINHlqykjoxtp0z5E28Bx89EJ3I"/>
      <w:r w:rsidRPr="00025910">
        <w:t>the findings of the review;</w:t>
      </w:r>
      <w:bookmarkEnd w:id="1967"/>
      <w:bookmarkEnd w:id="1968"/>
      <w:bookmarkEnd w:id="1969"/>
    </w:p>
    <w:p w14:paraId="17904E56" w14:textId="77777777" w:rsidR="00F67E9E" w:rsidRPr="00025910" w:rsidRDefault="00F67E9E" w:rsidP="00F67E9E">
      <w:pPr>
        <w:pStyle w:val="Numbered111"/>
      </w:pPr>
      <w:r w:rsidRPr="00025910">
        <w:t>any changes in the risk profile associated with the Services; and</w:t>
      </w:r>
    </w:p>
    <w:p w14:paraId="1619EDFF" w14:textId="77777777" w:rsidR="00F67E9E" w:rsidRPr="00025910" w:rsidRDefault="00F67E9E" w:rsidP="00F67E9E">
      <w:pPr>
        <w:pStyle w:val="Numbered111"/>
      </w:pPr>
      <w:bookmarkStart w:id="1970" w:name="_Ref_ContractCompanion_9kb9Us9D6"/>
      <w:bookmarkStart w:id="1971" w:name="_9kR3WTrAG9DHCGHnsykWhB74ys2HGGGFGK71KTJ"/>
      <w:r w:rsidRPr="00025910">
        <w:t>the Supplier</w:t>
      </w:r>
      <w:r>
        <w:t>’</w:t>
      </w:r>
      <w:r w:rsidRPr="00025910">
        <w:t xml:space="preserve">s proposals (the </w:t>
      </w:r>
      <w:r>
        <w:t>“</w:t>
      </w:r>
      <w:r w:rsidRPr="00025910">
        <w:rPr>
          <w:rStyle w:val="StdBodyTextBoldChar"/>
          <w:rFonts w:eastAsia="Arial" w:cs="Arial"/>
        </w:rPr>
        <w:t>Supplier</w:t>
      </w:r>
      <w:r>
        <w:rPr>
          <w:rStyle w:val="StdBodyTextBoldChar"/>
          <w:rFonts w:eastAsia="Arial" w:cs="Arial"/>
        </w:rPr>
        <w:t>’</w:t>
      </w:r>
      <w:r w:rsidRPr="00025910">
        <w:rPr>
          <w:rStyle w:val="StdBodyTextBoldChar"/>
          <w:rFonts w:eastAsia="Arial" w:cs="Arial"/>
        </w:rPr>
        <w:t>s Proposals</w:t>
      </w:r>
      <w:r>
        <w:t>”</w:t>
      </w:r>
      <w:r w:rsidRPr="00025910">
        <w:t>) for addressing any changes in the risk profile and its proposals for amendments to the Service Continuity Plan following the review detailing the impact (if any and to the extent that the Supplier can reasonably be expected to be aware of the same) that the implementation of such proposals may have on any services or systems provided by a third party.</w:t>
      </w:r>
      <w:bookmarkEnd w:id="1970"/>
      <w:bookmarkEnd w:id="1971"/>
    </w:p>
    <w:p w14:paraId="7BCBFE50" w14:textId="77777777" w:rsidR="00F67E9E" w:rsidRPr="00025910" w:rsidRDefault="00F67E9E" w:rsidP="00F67E9E">
      <w:pPr>
        <w:pStyle w:val="Numbered11"/>
      </w:pPr>
      <w:bookmarkStart w:id="1972" w:name="_Ref_ContractCompanion_9kb9Us9GA"/>
      <w:bookmarkStart w:id="1973" w:name="_9kR3WTrAG9DKGHIRKxvzB6yx21nov7JJ6CF1mhI"/>
      <w:r w:rsidRPr="00025910">
        <w:t>Following receipt of the Review Report and the Supplier</w:t>
      </w:r>
      <w:r>
        <w:t>’</w:t>
      </w:r>
      <w:r w:rsidRPr="00025910">
        <w:t>s Proposals, the Authority shall:</w:t>
      </w:r>
      <w:bookmarkEnd w:id="1972"/>
      <w:bookmarkEnd w:id="1973"/>
    </w:p>
    <w:p w14:paraId="5BE8497C" w14:textId="77777777" w:rsidR="00F67E9E" w:rsidRPr="00631338" w:rsidRDefault="00F67E9E" w:rsidP="00F67E9E">
      <w:pPr>
        <w:pStyle w:val="Numbered111"/>
      </w:pPr>
      <w:r w:rsidRPr="00025910">
        <w:t>review and comment on the Review Report and the Supplier</w:t>
      </w:r>
      <w:r>
        <w:t>’</w:t>
      </w:r>
      <w:r w:rsidRPr="00025910">
        <w:t xml:space="preserve">s Proposals as soon as </w:t>
      </w:r>
      <w:r w:rsidRPr="00631338">
        <w:t>reasonably practicable; and</w:t>
      </w:r>
    </w:p>
    <w:p w14:paraId="7957EECA" w14:textId="77777777" w:rsidR="00F67E9E" w:rsidRPr="00025910" w:rsidRDefault="00F67E9E" w:rsidP="00F67E9E">
      <w:pPr>
        <w:pStyle w:val="Numbered111"/>
      </w:pPr>
      <w:r w:rsidRPr="00631338">
        <w:t>notify the S</w:t>
      </w:r>
      <w:r w:rsidRPr="00025910">
        <w:t>upplier in writing that it approves or rejects the Review Report and the Supplier</w:t>
      </w:r>
      <w:r>
        <w:t>’</w:t>
      </w:r>
      <w:r w:rsidRPr="00025910">
        <w:t xml:space="preserve">s Proposals no later than 20 Working Days after the date on which they are first delivered to the Authority. </w:t>
      </w:r>
    </w:p>
    <w:p w14:paraId="3D70A5EE" w14:textId="77777777" w:rsidR="00F67E9E" w:rsidRPr="00025910" w:rsidRDefault="00F67E9E" w:rsidP="00F67E9E">
      <w:pPr>
        <w:pStyle w:val="Numbered11"/>
      </w:pPr>
      <w:bookmarkStart w:id="1974" w:name="_Ref_ContractCompanion_9kb9Us9GD"/>
      <w:bookmarkStart w:id="1975" w:name="_9kR3WTrAG9DKJKJVEwzlFQG40B69QP6z0uARSI4"/>
      <w:r w:rsidRPr="00025910">
        <w:t>If the Authority rejects the Review Report and/or the Supplier</w:t>
      </w:r>
      <w:r>
        <w:t>’</w:t>
      </w:r>
      <w:r w:rsidRPr="00025910">
        <w:t>s Proposals:</w:t>
      </w:r>
      <w:bookmarkEnd w:id="1974"/>
      <w:bookmarkEnd w:id="1975"/>
    </w:p>
    <w:p w14:paraId="259A80B1" w14:textId="77777777" w:rsidR="00F67E9E" w:rsidRPr="00025910" w:rsidRDefault="00F67E9E" w:rsidP="00F67E9E">
      <w:pPr>
        <w:pStyle w:val="Numbered111"/>
      </w:pPr>
      <w:r w:rsidRPr="00025910">
        <w:t>the Authority shall inform the Supplier in writing of its reasons for its rejection; and</w:t>
      </w:r>
    </w:p>
    <w:p w14:paraId="3347C8FD" w14:textId="27D4922D" w:rsidR="00F67E9E" w:rsidRPr="00025910" w:rsidRDefault="00F67E9E" w:rsidP="00F67E9E">
      <w:pPr>
        <w:pStyle w:val="Numbered111"/>
      </w:pPr>
      <w:r w:rsidRPr="00025910">
        <w:t>the Supplier shall then revise the Review Report and/or the Supplier</w:t>
      </w:r>
      <w:r>
        <w:t>’</w:t>
      </w:r>
      <w:r w:rsidRPr="00025910">
        <w:t>s Proposals as the case may be (taking reasonable account of the Authority</w:t>
      </w:r>
      <w:r>
        <w:t>’</w:t>
      </w:r>
      <w:r w:rsidRPr="00025910">
        <w:t>s comments and carrying out any necessary actions in connection with the revision) and shall re-submit a revised Review Report and/or revised Supplier</w:t>
      </w:r>
      <w:r>
        <w:t>’</w:t>
      </w:r>
      <w:r w:rsidRPr="00025910">
        <w:t>s Proposals to the Authority for the Authority</w:t>
      </w:r>
      <w:r>
        <w:t>’</w:t>
      </w:r>
      <w:r w:rsidRPr="00025910">
        <w:t>s approval within 20 Working Days of the date of the Authority</w:t>
      </w:r>
      <w:r>
        <w:t>’</w:t>
      </w:r>
      <w:r w:rsidRPr="00025910">
        <w:t xml:space="preserve">s notice of rejection. The provisions of </w:t>
      </w:r>
      <w:bookmarkStart w:id="1976" w:name="_9kMHG5YVtCIBFMIJKTMzx1D80z43pqx9LL8EH3o"/>
      <w:r w:rsidRPr="00025910">
        <w:t>Paragraph</w:t>
      </w:r>
      <w:r>
        <w:t> </w:t>
      </w:r>
      <w:r w:rsidRPr="00025910">
        <w:fldChar w:fldCharType="begin"/>
      </w:r>
      <w:r w:rsidRPr="00025910">
        <w:instrText xml:space="preserve"> REF _Ref_ContractCompanion_9kb9Us9GA \n \h \t \* MERGEFORMAT </w:instrText>
      </w:r>
      <w:r w:rsidRPr="00025910">
        <w:fldChar w:fldCharType="separate"/>
      </w:r>
      <w:r w:rsidR="007A1473">
        <w:t>7.3</w:t>
      </w:r>
      <w:r w:rsidRPr="00025910">
        <w:fldChar w:fldCharType="end"/>
      </w:r>
      <w:bookmarkEnd w:id="1976"/>
      <w:r w:rsidRPr="00025910">
        <w:t xml:space="preserve"> and this </w:t>
      </w:r>
      <w:bookmarkStart w:id="1977" w:name="_9kMHG5YVtCIBFMLMLXGy1nHSI62D8BSR812wCTU"/>
      <w:r w:rsidRPr="00025910">
        <w:t xml:space="preserve">Paragraph </w:t>
      </w:r>
      <w:r w:rsidRPr="00025910">
        <w:fldChar w:fldCharType="begin"/>
      </w:r>
      <w:r w:rsidRPr="00025910">
        <w:instrText xml:space="preserve"> REF _Ref_ContractCompanion_9kb9Us9GD \n \h \t \* MERGEFORMAT </w:instrText>
      </w:r>
      <w:r w:rsidRPr="00025910">
        <w:fldChar w:fldCharType="separate"/>
      </w:r>
      <w:r w:rsidR="007A1473">
        <w:t>7.4</w:t>
      </w:r>
      <w:r w:rsidRPr="00025910">
        <w:fldChar w:fldCharType="end"/>
      </w:r>
      <w:bookmarkEnd w:id="1977"/>
      <w:r w:rsidRPr="00025910">
        <w:t xml:space="preserve"> shall apply again to any resubmitted Review Report and Supplier</w:t>
      </w:r>
      <w:r>
        <w:t>’</w:t>
      </w:r>
      <w:r w:rsidRPr="00025910">
        <w:t>s Proposals, provided that either Party may refer any disputed matters for resolution by the Dispute Resolution Procedure at any time.</w:t>
      </w:r>
    </w:p>
    <w:p w14:paraId="63F65EB6" w14:textId="77777777" w:rsidR="00F67E9E" w:rsidRPr="00025910" w:rsidRDefault="00F67E9E" w:rsidP="00F67E9E">
      <w:pPr>
        <w:pStyle w:val="Numbered11"/>
      </w:pPr>
      <w:r w:rsidRPr="00025910">
        <w:t>The Supplier shall as soon as is reasonably practicable after receiving the Authority</w:t>
      </w:r>
      <w:r>
        <w:t>’</w:t>
      </w:r>
      <w:r w:rsidRPr="00025910">
        <w:t>s approval of the Supplier</w:t>
      </w:r>
      <w:r>
        <w:t>’</w:t>
      </w:r>
      <w:r w:rsidRPr="00025910">
        <w:t>s Proposals (having regard to the significance of any risks highlighted in the Review Report) effect any change in its practices or procedures necessary so as to give effect to the Supplier</w:t>
      </w:r>
      <w:r>
        <w:t>’</w:t>
      </w:r>
      <w:r w:rsidRPr="00025910">
        <w:t>s Proposals.</w:t>
      </w:r>
      <w:r>
        <w:t xml:space="preserve"> </w:t>
      </w:r>
      <w:r w:rsidRPr="00025910">
        <w:t>Any such change shall be at the Supplier</w:t>
      </w:r>
      <w:r>
        <w:t>’</w:t>
      </w:r>
      <w:r w:rsidRPr="00025910">
        <w:t>s expense unless it can be reasonably shown that the changes are required because of a material change to the risk profile of the Services.</w:t>
      </w:r>
    </w:p>
    <w:p w14:paraId="7D9C4CEC" w14:textId="77777777" w:rsidR="00F67E9E" w:rsidRPr="00025910" w:rsidRDefault="00F67E9E" w:rsidP="00F67E9E">
      <w:pPr>
        <w:pStyle w:val="Numbered1"/>
      </w:pPr>
      <w:r w:rsidRPr="00025910">
        <w:t xml:space="preserve">Testing </w:t>
      </w:r>
      <w:r>
        <w:t>o</w:t>
      </w:r>
      <w:r w:rsidRPr="00025910">
        <w:t xml:space="preserve">f </w:t>
      </w:r>
      <w:r>
        <w:t>t</w:t>
      </w:r>
      <w:r w:rsidRPr="00025910">
        <w:t>he Service Continuity Plan</w:t>
      </w:r>
    </w:p>
    <w:p w14:paraId="703FEDA5" w14:textId="7A707FC4" w:rsidR="00F67E9E" w:rsidRPr="00025910" w:rsidRDefault="00F67E9E" w:rsidP="00F67E9E">
      <w:pPr>
        <w:pStyle w:val="Numbered11"/>
      </w:pPr>
      <w:r w:rsidRPr="00025910">
        <w:t>The Supplier shall test the Service Continuity Plan on a regular basis (and in any event not less than once in every Contract Year).</w:t>
      </w:r>
      <w:r>
        <w:t xml:space="preserve"> </w:t>
      </w:r>
      <w:r w:rsidRPr="00025910">
        <w:t xml:space="preserve">Subject to </w:t>
      </w:r>
      <w:bookmarkStart w:id="1978" w:name="_9kMHG5YVtCIBFMOQKVGy1nHSI62D8BSR88PIGDF"/>
      <w:r w:rsidRPr="00025910">
        <w:t xml:space="preserve">Paragraph </w:t>
      </w:r>
      <w:r w:rsidRPr="00025910">
        <w:fldChar w:fldCharType="begin"/>
      </w:r>
      <w:r w:rsidRPr="00025910">
        <w:instrText xml:space="preserve"> REF _Ref_ContractCompanion_9kb9Us9GG \n \h \t \* MERGEFORMAT </w:instrText>
      </w:r>
      <w:r w:rsidRPr="00025910">
        <w:fldChar w:fldCharType="separate"/>
      </w:r>
      <w:r w:rsidR="007A1473">
        <w:t>8.2</w:t>
      </w:r>
      <w:r w:rsidRPr="00025910">
        <w:fldChar w:fldCharType="end"/>
      </w:r>
      <w:bookmarkEnd w:id="1978"/>
      <w:r w:rsidRPr="00025910">
        <w:t xml:space="preserve">, the Authority may require the Supplier to conduct additional tests of some or all aspects of the Service Continuity Plan at any time where the Authority considers it necessary, including where there has been any change to the Services or any underlying business processes, or on </w:t>
      </w:r>
      <w:r w:rsidRPr="00025910">
        <w:lastRenderedPageBreak/>
        <w:t>the occurrence of any event which may increase the likelihood of the need to implement the Service Continuity Plan.</w:t>
      </w:r>
    </w:p>
    <w:p w14:paraId="5F8CD324" w14:textId="77777777" w:rsidR="00F67E9E" w:rsidRPr="00025910" w:rsidRDefault="00F67E9E" w:rsidP="00F67E9E">
      <w:pPr>
        <w:pStyle w:val="Numbered11"/>
      </w:pPr>
      <w:bookmarkStart w:id="1979" w:name="_9kR3WTrAG9DKMOITEwzlFQG40B69QP66NGEBDA6"/>
      <w:bookmarkStart w:id="1980" w:name="_Ref_ContractCompanion_9kb9Us9GG"/>
      <w:r w:rsidRPr="00025910">
        <w:t>If the Authority requires an additional test of the Service Continuity Plan, it shall give the Supplier written notice and the Supplier shall conduct the test in accordance with the Authority</w:t>
      </w:r>
      <w:r>
        <w:t>’</w:t>
      </w:r>
      <w:r w:rsidRPr="00025910">
        <w:t>s requirements and the relevant provisions of the Service Continuity Plan.</w:t>
      </w:r>
      <w:bookmarkEnd w:id="1979"/>
      <w:r>
        <w:t xml:space="preserve"> </w:t>
      </w:r>
      <w:r w:rsidRPr="00025910">
        <w:t>The Supplier</w:t>
      </w:r>
      <w:r>
        <w:t>’</w:t>
      </w:r>
      <w:r w:rsidRPr="00025910">
        <w:t>s costs of the additional test shall be borne by the Authority unless the Service Continuity Plan fails the additional test in which case the Supplier</w:t>
      </w:r>
      <w:r>
        <w:t>’</w:t>
      </w:r>
      <w:r w:rsidRPr="00025910">
        <w:t>s costs of that failed test shall be borne by the Supplier.</w:t>
      </w:r>
      <w:bookmarkEnd w:id="1980"/>
    </w:p>
    <w:p w14:paraId="388D0430" w14:textId="77777777" w:rsidR="00F67E9E" w:rsidRPr="00025910" w:rsidRDefault="00F67E9E" w:rsidP="00F67E9E">
      <w:pPr>
        <w:pStyle w:val="Numbered11"/>
      </w:pPr>
      <w:r w:rsidRPr="00025910">
        <w:t>The Supplier shall undertake and manage testing of the Service Continuity Plan in full consultation with the Authority and shall liaise with the Authority in respect of the planning, performance, and review, of each test, and shall comply with the reasonable requirements of the Authority in this regard.</w:t>
      </w:r>
      <w:r>
        <w:t xml:space="preserve"> </w:t>
      </w:r>
      <w:r w:rsidRPr="00025910">
        <w:t>Each test shall be carried out under the supervision of the Authority or its nominee.</w:t>
      </w:r>
    </w:p>
    <w:p w14:paraId="14E685CC" w14:textId="77777777" w:rsidR="00F67E9E" w:rsidRPr="00025910" w:rsidRDefault="00F67E9E" w:rsidP="00F67E9E">
      <w:pPr>
        <w:pStyle w:val="Numbered11"/>
      </w:pPr>
      <w:r w:rsidRPr="00025910">
        <w:t xml:space="preserve">The Supplier shall ensure that any use by it or any Sub-contractor of </w:t>
      </w:r>
      <w:r>
        <w:t>“</w:t>
      </w:r>
      <w:r w:rsidRPr="00025910">
        <w:t>live</w:t>
      </w:r>
      <w:r>
        <w:t>”</w:t>
      </w:r>
      <w:r w:rsidRPr="00025910">
        <w:t xml:space="preserve"> data in such testing is first approved with the Authority. Copies of live test data used in any such testing shall be (if so required by the Authority) destroyed or returned to the Authority on completion of the test.</w:t>
      </w:r>
    </w:p>
    <w:p w14:paraId="6AA7AD36" w14:textId="77777777" w:rsidR="00F67E9E" w:rsidRPr="00025910" w:rsidRDefault="00F67E9E" w:rsidP="00F67E9E">
      <w:pPr>
        <w:pStyle w:val="Numbered11"/>
      </w:pPr>
      <w:r w:rsidRPr="00025910">
        <w:t>The Supplier shall, within 20 Working Days of the conclusion of each test, provide to the Authority a report setting out:</w:t>
      </w:r>
    </w:p>
    <w:p w14:paraId="3DACE31C" w14:textId="77777777" w:rsidR="00F67E9E" w:rsidRPr="00025910" w:rsidRDefault="00F67E9E" w:rsidP="00F67E9E">
      <w:pPr>
        <w:pStyle w:val="Numbered111"/>
      </w:pPr>
      <w:r w:rsidRPr="00025910">
        <w:t>the outcome of the test;</w:t>
      </w:r>
    </w:p>
    <w:p w14:paraId="2C9171A1" w14:textId="77777777" w:rsidR="00F67E9E" w:rsidRPr="00025910" w:rsidRDefault="00F67E9E" w:rsidP="00F67E9E">
      <w:pPr>
        <w:pStyle w:val="Numbered111"/>
      </w:pPr>
      <w:r w:rsidRPr="00025910">
        <w:t>any failures in the Service Continuity Plan (including the Service Continuity Plan</w:t>
      </w:r>
      <w:r>
        <w:t>’</w:t>
      </w:r>
      <w:r w:rsidRPr="00025910">
        <w:t>s procedures) revealed by the test; and</w:t>
      </w:r>
    </w:p>
    <w:p w14:paraId="62C0F9C3" w14:textId="77777777" w:rsidR="00F67E9E" w:rsidRPr="00025910" w:rsidRDefault="00F67E9E" w:rsidP="00F67E9E">
      <w:pPr>
        <w:pStyle w:val="Numbered111"/>
      </w:pPr>
      <w:r w:rsidRPr="00025910">
        <w:t>the Supplier</w:t>
      </w:r>
      <w:r>
        <w:t>’</w:t>
      </w:r>
      <w:r w:rsidRPr="00025910">
        <w:t>s proposals for remedying any such failures.</w:t>
      </w:r>
    </w:p>
    <w:p w14:paraId="203AAA99" w14:textId="77777777" w:rsidR="00F67E9E" w:rsidRPr="00025910" w:rsidRDefault="00F67E9E" w:rsidP="00F67E9E">
      <w:pPr>
        <w:pStyle w:val="Numbered11"/>
      </w:pPr>
      <w:bookmarkStart w:id="1981" w:name="_9kR3WTrAG9CD7FMUKxvzB6yxpkjr977NPE0mxRN"/>
      <w:r w:rsidRPr="00025910">
        <w:t>Following each test, the Supplier shall take all measures requested by the Authority, (including requests for the re-testing of the Service Continuity Plan) to remedy any failures in the Service Continuity Plan and such remedial activity and re-testing shall be completed by the Supplier, at no additional cost to the Authority, by the date reasonably required by the Authority and set out in such notice.</w:t>
      </w:r>
      <w:bookmarkEnd w:id="1981"/>
    </w:p>
    <w:p w14:paraId="05AF739F" w14:textId="77777777" w:rsidR="00F67E9E" w:rsidRPr="00025910" w:rsidRDefault="00F67E9E" w:rsidP="00F67E9E">
      <w:pPr>
        <w:pStyle w:val="Numbered11"/>
      </w:pPr>
      <w:r w:rsidRPr="00025910">
        <w:t>For the avoidance of doubt, the carrying out of a test of the Service Continuity Plan (including a test of the Service Continuity Plan</w:t>
      </w:r>
      <w:r>
        <w:t>’</w:t>
      </w:r>
      <w:r w:rsidRPr="00025910">
        <w:t>s procedures) shall not relieve the Supplier of any of its obligations under this Contract.</w:t>
      </w:r>
    </w:p>
    <w:p w14:paraId="36F34B8A" w14:textId="77777777" w:rsidR="00F67E9E" w:rsidRPr="00025910" w:rsidRDefault="00F67E9E" w:rsidP="00F67E9E">
      <w:pPr>
        <w:pStyle w:val="Numbered11"/>
      </w:pPr>
      <w:r w:rsidRPr="00025910">
        <w:t>The Supplier shall also perform a test of the Service Continuity Plan in the event of any major reconfiguration of the Services or as otherwise reasonably requested by the Authority.</w:t>
      </w:r>
    </w:p>
    <w:p w14:paraId="2EA5D07D" w14:textId="77777777" w:rsidR="00F67E9E" w:rsidRPr="00025910" w:rsidRDefault="00F67E9E" w:rsidP="00F67E9E">
      <w:pPr>
        <w:pStyle w:val="Numbered1"/>
      </w:pPr>
      <w:bookmarkStart w:id="1982" w:name="_Ref_ContractCompanion_9kb9Us47E"/>
      <w:bookmarkStart w:id="1983" w:name="_9kR3WTrAG98CBaJfifw5qEUmOxHbmoAOQ8vDMIO"/>
      <w:bookmarkStart w:id="1984" w:name="_9kR3WTr29B879cJfifw5qEUmOxHbmoAOQ8vDMIO"/>
      <w:r w:rsidRPr="00631338">
        <w:t>Invocation</w:t>
      </w:r>
      <w:r w:rsidRPr="00025910">
        <w:t xml:space="preserve"> </w:t>
      </w:r>
      <w:r>
        <w:t>o</w:t>
      </w:r>
      <w:r w:rsidRPr="00025910">
        <w:t xml:space="preserve">f </w:t>
      </w:r>
      <w:r>
        <w:t>t</w:t>
      </w:r>
      <w:r w:rsidRPr="00025910">
        <w:t>he Service Continuity Plan</w:t>
      </w:r>
      <w:bookmarkEnd w:id="1982"/>
      <w:bookmarkEnd w:id="1983"/>
      <w:bookmarkEnd w:id="1984"/>
    </w:p>
    <w:p w14:paraId="2A3C1FB5" w14:textId="77777777" w:rsidR="00F67E9E" w:rsidRPr="00025910" w:rsidRDefault="00F67E9E" w:rsidP="00F67E9E">
      <w:pPr>
        <w:pStyle w:val="Numbered11"/>
      </w:pPr>
      <w:r w:rsidRPr="00025910">
        <w:t>In the event of a loss of any critical part of the Service or a Disaster, the Supplier shall immediately invoke the business continuity and disaster recovery provisions in the Service Continuity Plan, including any linked elements in other parts of the Service Continuity Plan, and shall inform the Authority promptly of such invocation.</w:t>
      </w:r>
      <w:r>
        <w:t xml:space="preserve"> </w:t>
      </w:r>
      <w:r w:rsidRPr="00025910">
        <w:t>In all other instances the Supplier shall invoke the business continuity and disaster recovery plan elements only with the prior consent of the Authority.</w:t>
      </w:r>
    </w:p>
    <w:p w14:paraId="5F99237E" w14:textId="77777777" w:rsidR="00F67E9E" w:rsidRPr="00025910" w:rsidRDefault="00F67E9E" w:rsidP="00F67E9E">
      <w:pPr>
        <w:pStyle w:val="Numbered11"/>
      </w:pPr>
      <w:r w:rsidRPr="00025910">
        <w:lastRenderedPageBreak/>
        <w:t>The Insolvency Continuity Plan element of the Service Continuity Plans, including any linked elements in other parts of the Service Continuity Plan, shall be invoked by the Supplier:</w:t>
      </w:r>
    </w:p>
    <w:p w14:paraId="10F37038" w14:textId="77777777" w:rsidR="00F67E9E" w:rsidRPr="00025910" w:rsidRDefault="00F67E9E" w:rsidP="00F67E9E">
      <w:pPr>
        <w:pStyle w:val="Numbered111"/>
      </w:pPr>
      <w:r w:rsidRPr="00025910">
        <w:t>where an Insolvency Event of a Key Sub-contractor and/or Supplier Group member (other than the Supplier) could reasonably be expected to adversely affect delivery of the Services; and/or</w:t>
      </w:r>
    </w:p>
    <w:p w14:paraId="6624C6D8" w14:textId="77777777" w:rsidR="00F67E9E" w:rsidRDefault="00F67E9E" w:rsidP="00F67E9E">
      <w:pPr>
        <w:pStyle w:val="Numbered111"/>
      </w:pPr>
      <w:r w:rsidRPr="00025910">
        <w:t>where there is an Insolvency Event of the Supplier and the insolvency arrangements enable the Supplier to invoke the plan;</w:t>
      </w:r>
    </w:p>
    <w:p w14:paraId="2BED36A5" w14:textId="77777777" w:rsidR="00F67E9E" w:rsidRDefault="00F67E9E" w:rsidP="00F67E9E"/>
    <w:p w14:paraId="46561A2E" w14:textId="77777777" w:rsidR="00F67E9E" w:rsidRDefault="00F67E9E" w:rsidP="00F67E9E">
      <w:pPr>
        <w:pStyle w:val="Heading2"/>
        <w:pageBreakBefore/>
      </w:pPr>
      <w:bookmarkStart w:id="1985" w:name="Sch26PartB"/>
      <w:bookmarkStart w:id="1986" w:name="_9kR3WTr29B878bJfifw5qEUmOxHcq4KMKNADIHI"/>
      <w:bookmarkStart w:id="1987" w:name="_Ref_ContractCompanion_9kb9Ur13B"/>
      <w:bookmarkStart w:id="1988" w:name="_Ref_ContractCompanion_9kb9Ur144"/>
      <w:bookmarkStart w:id="1989" w:name="_Ref_ContractCompanion_9kb9Ur146"/>
      <w:bookmarkStart w:id="1990" w:name="_Toc145412812"/>
      <w:r w:rsidRPr="00025910">
        <w:lastRenderedPageBreak/>
        <w:t>Part B</w:t>
      </w:r>
      <w:bookmarkEnd w:id="1985"/>
      <w:r w:rsidRPr="00025910">
        <w:t>: Corporate Resolution Planning</w:t>
      </w:r>
      <w:bookmarkEnd w:id="1986"/>
      <w:bookmarkEnd w:id="1987"/>
      <w:bookmarkEnd w:id="1988"/>
      <w:bookmarkEnd w:id="1989"/>
      <w:bookmarkEnd w:id="1990"/>
    </w:p>
    <w:p w14:paraId="70372010" w14:textId="77777777" w:rsidR="00F67E9E" w:rsidRPr="00631338" w:rsidRDefault="00F67E9E" w:rsidP="00F13933">
      <w:pPr>
        <w:pStyle w:val="AppendixText1"/>
        <w:numPr>
          <w:ilvl w:val="0"/>
          <w:numId w:val="52"/>
        </w:numPr>
        <w:rPr>
          <w:color w:val="1F497D"/>
        </w:rPr>
      </w:pPr>
      <w:bookmarkStart w:id="1991" w:name="_9kR3WTr8E846899"/>
      <w:bookmarkEnd w:id="1991"/>
      <w:r w:rsidRPr="00631338">
        <w:rPr>
          <w:color w:val="1F497D"/>
        </w:rPr>
        <w:t>Service Status and Supplier Status</w:t>
      </w:r>
    </w:p>
    <w:p w14:paraId="0DD5FF59" w14:textId="6A9A9FD6" w:rsidR="00F67E9E" w:rsidRPr="007F6ED1" w:rsidRDefault="00F67E9E" w:rsidP="00F13933">
      <w:pPr>
        <w:pStyle w:val="AppendixText2"/>
        <w:numPr>
          <w:ilvl w:val="1"/>
          <w:numId w:val="52"/>
        </w:numPr>
      </w:pPr>
      <w:bookmarkStart w:id="1992" w:name="_Ref44508113"/>
      <w:bookmarkStart w:id="1993" w:name="_Ref_ContractCompanion_9kb9Ur178"/>
      <w:bookmarkStart w:id="1994" w:name="_Ref_ContractCompanion_9kb9Ur17A"/>
      <w:r w:rsidRPr="007F6ED1">
        <w:t xml:space="preserve">This Contract </w:t>
      </w:r>
      <w:r w:rsidRPr="007F6ED1">
        <w:rPr>
          <w:rStyle w:val="StdBodyTextBoldChar"/>
          <w:rFonts w:eastAsia="Arial" w:cs="Arial"/>
          <w:b w:val="0"/>
          <w:bCs/>
        </w:rPr>
        <w:t xml:space="preserve">‘is’ </w:t>
      </w:r>
      <w:r w:rsidRPr="007F6ED1">
        <w:t>a Critical Service Contract.</w:t>
      </w:r>
      <w:bookmarkEnd w:id="1992"/>
      <w:r w:rsidRPr="007F6ED1">
        <w:t xml:space="preserve"> </w:t>
      </w:r>
      <w:bookmarkEnd w:id="1993"/>
      <w:bookmarkEnd w:id="1994"/>
    </w:p>
    <w:p w14:paraId="6FD7297C" w14:textId="262B6D67" w:rsidR="00F67E9E" w:rsidRPr="0018147A" w:rsidRDefault="00F67E9E" w:rsidP="00F13933">
      <w:pPr>
        <w:pStyle w:val="AppendixText2"/>
        <w:numPr>
          <w:ilvl w:val="1"/>
          <w:numId w:val="52"/>
        </w:numPr>
      </w:pPr>
      <w:r w:rsidRPr="0018147A">
        <w:t xml:space="preserve">The Supplier shall notify the Authority </w:t>
      </w:r>
      <w:r>
        <w:t>and the Cabinet Office Markets and Suppliers Team (</w:t>
      </w:r>
      <w:bookmarkStart w:id="1995" w:name="_Hlk80019660"/>
      <w:r>
        <w:fldChar w:fldCharType="begin"/>
      </w:r>
      <w:r>
        <w:instrText xml:space="preserve"> HYPERLINK "mailto:Resolution.planning@cabinetoffice.gov.uk" </w:instrText>
      </w:r>
      <w:r>
        <w:fldChar w:fldCharType="separate"/>
      </w:r>
      <w:r w:rsidRPr="00C7229A">
        <w:rPr>
          <w:rStyle w:val="Hyperlink"/>
        </w:rPr>
        <w:t>Resolution.planning@cabinetoffice.gov.uk</w:t>
      </w:r>
      <w:r>
        <w:fldChar w:fldCharType="end"/>
      </w:r>
      <w:r>
        <w:t xml:space="preserve">) </w:t>
      </w:r>
      <w:bookmarkEnd w:id="1995"/>
      <w:r w:rsidRPr="0018147A">
        <w:t xml:space="preserve">in writing within 5 Working Days of the Effective Date and throughout </w:t>
      </w:r>
      <w:r w:rsidRPr="00631338">
        <w:t>the</w:t>
      </w:r>
      <w:r w:rsidRPr="0018147A">
        <w:t xml:space="preserve"> Term within 120 days after each Accounting Reference Date as to whether or not it is a Public Sector Dependent Supplier.</w:t>
      </w:r>
    </w:p>
    <w:p w14:paraId="2C5F6B6A" w14:textId="77777777" w:rsidR="00F67E9E" w:rsidRPr="00631338" w:rsidRDefault="00F67E9E" w:rsidP="00F13933">
      <w:pPr>
        <w:pStyle w:val="AppendixText1"/>
        <w:numPr>
          <w:ilvl w:val="0"/>
          <w:numId w:val="52"/>
        </w:numPr>
        <w:rPr>
          <w:color w:val="1F497D"/>
        </w:rPr>
      </w:pPr>
      <w:bookmarkStart w:id="1996" w:name="_Ref_ContractCompanion_9kb9Ur29F"/>
      <w:bookmarkStart w:id="1997" w:name="_Ref_ContractCompanion_9kb9Ur35A"/>
      <w:r w:rsidRPr="00631338">
        <w:rPr>
          <w:color w:val="1F497D"/>
        </w:rPr>
        <w:t>Provision of Corporate Resolution Planning Information</w:t>
      </w:r>
      <w:bookmarkEnd w:id="1996"/>
      <w:bookmarkEnd w:id="1997"/>
      <w:r w:rsidRPr="00631338">
        <w:rPr>
          <w:color w:val="1F497D"/>
        </w:rPr>
        <w:t xml:space="preserve"> (CRP Information)</w:t>
      </w:r>
    </w:p>
    <w:p w14:paraId="63A8949A" w14:textId="0547C005" w:rsidR="00F67E9E" w:rsidRPr="00631338" w:rsidRDefault="00F67E9E" w:rsidP="00F13933">
      <w:pPr>
        <w:pStyle w:val="AppendixText2"/>
        <w:numPr>
          <w:ilvl w:val="1"/>
          <w:numId w:val="52"/>
        </w:numPr>
      </w:pPr>
      <w:bookmarkStart w:id="1998" w:name="_9kR3WTr2CC6DLfEnoewrqy2NK"/>
      <w:r w:rsidRPr="00025910">
        <w:t xml:space="preserve">Paragraphs </w:t>
      </w:r>
      <w:r w:rsidRPr="00025910">
        <w:fldChar w:fldCharType="begin"/>
      </w:r>
      <w:r w:rsidRPr="00025910">
        <w:instrText xml:space="preserve"> REF _Ref_ContractCompanion_9kb9Ur29F \w \n \h \t \* MERGEFORMAT </w:instrText>
      </w:r>
      <w:r w:rsidRPr="00025910">
        <w:fldChar w:fldCharType="separate"/>
      </w:r>
      <w:r w:rsidR="007A1473">
        <w:t>2</w:t>
      </w:r>
      <w:r w:rsidRPr="00025910">
        <w:fldChar w:fldCharType="end"/>
      </w:r>
      <w:bookmarkEnd w:id="1998"/>
      <w:r w:rsidRPr="00025910">
        <w:t xml:space="preserve"> to </w:t>
      </w:r>
      <w:bookmarkStart w:id="1999" w:name="_9kR3WTr2CC6EFAC"/>
      <w:r w:rsidRPr="00025910">
        <w:fldChar w:fldCharType="begin"/>
      </w:r>
      <w:r w:rsidRPr="00025910">
        <w:instrText xml:space="preserve"> REF _Ref_ContractCompanion_9kb9Ur2A9 \w \n \h \t \* MERGEFORMAT </w:instrText>
      </w:r>
      <w:r w:rsidRPr="00025910">
        <w:fldChar w:fldCharType="separate"/>
      </w:r>
      <w:r w:rsidR="007A1473">
        <w:t>4</w:t>
      </w:r>
      <w:r w:rsidRPr="00025910">
        <w:fldChar w:fldCharType="end"/>
      </w:r>
      <w:bookmarkEnd w:id="1999"/>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xml:space="preserve"> shall apply if this Contract has been specified as a Critical Service Contract under </w:t>
      </w:r>
      <w:bookmarkStart w:id="2000" w:name="_9kMIH5YVt4EE7DIdGpqgyts0DKL"/>
      <w:r w:rsidRPr="00025910">
        <w:t xml:space="preserve">Paragraph </w:t>
      </w:r>
      <w:r w:rsidRPr="00025910">
        <w:fldChar w:fldCharType="begin"/>
      </w:r>
      <w:r w:rsidRPr="00025910">
        <w:instrText xml:space="preserve"> REF _Ref_ContractCompanion_9kb9Ur17A \n \h \t \* MERGEFORMAT </w:instrText>
      </w:r>
      <w:r w:rsidRPr="00025910">
        <w:fldChar w:fldCharType="separate"/>
      </w:r>
      <w:r w:rsidR="007A1473">
        <w:t>1.1</w:t>
      </w:r>
      <w:r w:rsidRPr="00025910">
        <w:fldChar w:fldCharType="end"/>
      </w:r>
      <w:bookmarkEnd w:id="2000"/>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xml:space="preserve"> or the Supplier is or becomes a Public Sector </w:t>
      </w:r>
      <w:r w:rsidRPr="00631338">
        <w:t>Dependent Supplier.</w:t>
      </w:r>
    </w:p>
    <w:p w14:paraId="5559C2A4" w14:textId="279CDD43" w:rsidR="00F67E9E" w:rsidRPr="00025910" w:rsidRDefault="00F67E9E" w:rsidP="00F67E9E">
      <w:pPr>
        <w:pStyle w:val="AppendixText2"/>
      </w:pPr>
      <w:bookmarkStart w:id="2001" w:name="_Ref_ContractCompanion_9kb9Ur2BF"/>
      <w:bookmarkStart w:id="2002" w:name="_Ref_ContractCompanion_9kb9Us897"/>
      <w:bookmarkStart w:id="2003" w:name="_Ref_ContractCompanion_9kb9Us9HG"/>
      <w:bookmarkStart w:id="2004" w:name="_9kR3WTrAG9DLMGACeeukoiyGCjQz0q832AEZWcd"/>
      <w:r w:rsidRPr="00631338">
        <w:t xml:space="preserve">Subject to </w:t>
      </w:r>
      <w:bookmarkStart w:id="2005" w:name="_9kR3WTr2CC6EIbEnoewrqy2NKQ"/>
      <w:r w:rsidRPr="00631338">
        <w:t>P</w:t>
      </w:r>
      <w:r w:rsidRPr="00025910">
        <w:t xml:space="preserve">aragraphs </w:t>
      </w:r>
      <w:r w:rsidRPr="00025910">
        <w:fldChar w:fldCharType="begin"/>
      </w:r>
      <w:r w:rsidRPr="00025910">
        <w:instrText xml:space="preserve"> REF _Ref_ContractCompanion_9kb9Ur2AC \n \h \t \* MERGEFORMAT </w:instrText>
      </w:r>
      <w:r w:rsidRPr="00025910">
        <w:fldChar w:fldCharType="separate"/>
      </w:r>
      <w:r w:rsidR="007A1473">
        <w:t>2.6</w:t>
      </w:r>
      <w:r w:rsidRPr="00025910">
        <w:fldChar w:fldCharType="end"/>
      </w:r>
      <w:bookmarkEnd w:id="2005"/>
      <w:r w:rsidRPr="00025910">
        <w:t xml:space="preserve">, </w:t>
      </w:r>
      <w:bookmarkStart w:id="2006" w:name="_9kR3WTr2CC6ELGABB"/>
      <w:r w:rsidRPr="00025910">
        <w:fldChar w:fldCharType="begin"/>
      </w:r>
      <w:r w:rsidRPr="00025910">
        <w:instrText xml:space="preserve"> REF _Ref_ContractCompanion_9kb9Ur2AF \n \h \t \* MERGEFORMAT </w:instrText>
      </w:r>
      <w:r w:rsidRPr="00025910">
        <w:fldChar w:fldCharType="separate"/>
      </w:r>
      <w:r w:rsidR="007A1473">
        <w:t>2.10</w:t>
      </w:r>
      <w:r w:rsidRPr="00025910">
        <w:fldChar w:fldCharType="end"/>
      </w:r>
      <w:bookmarkEnd w:id="2006"/>
      <w:r w:rsidRPr="00025910">
        <w:t xml:space="preserve"> and </w:t>
      </w:r>
      <w:bookmarkStart w:id="2007" w:name="_9kR3WTr2CC6FF9ABC"/>
      <w:r w:rsidRPr="00025910">
        <w:fldChar w:fldCharType="begin"/>
      </w:r>
      <w:r w:rsidRPr="00025910">
        <w:instrText xml:space="preserve"> REF _Ref_ContractCompanion_9kb9Ur2AI \n \h \t \* MERGEFORMAT </w:instrText>
      </w:r>
      <w:r w:rsidRPr="00025910">
        <w:fldChar w:fldCharType="separate"/>
      </w:r>
      <w:r w:rsidR="007A1473">
        <w:t>2.11</w:t>
      </w:r>
      <w:r w:rsidRPr="00025910">
        <w:fldChar w:fldCharType="end"/>
      </w:r>
      <w:bookmarkEnd w:id="2007"/>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w:t>
      </w:r>
      <w:bookmarkEnd w:id="2001"/>
      <w:bookmarkEnd w:id="2002"/>
      <w:bookmarkEnd w:id="2003"/>
      <w:bookmarkEnd w:id="2004"/>
    </w:p>
    <w:p w14:paraId="6F8D0097" w14:textId="77777777" w:rsidR="00F67E9E" w:rsidRPr="00631338" w:rsidRDefault="00F67E9E" w:rsidP="00F13933">
      <w:pPr>
        <w:pStyle w:val="AppendixText3"/>
        <w:numPr>
          <w:ilvl w:val="2"/>
          <w:numId w:val="52"/>
        </w:numPr>
      </w:pPr>
      <w:bookmarkStart w:id="2008" w:name="_Ref_ContractCompanion_9kb9Ur2BC"/>
      <w:r w:rsidRPr="00025910">
        <w:t xml:space="preserve">where this Contract is a Critical Service Contract, the Supplier shall provide the Relevant Authority or Relevant Authorities with CRP Information within 60 days of the Effective </w:t>
      </w:r>
      <w:r w:rsidRPr="00631338">
        <w:t>Date; and</w:t>
      </w:r>
      <w:bookmarkEnd w:id="2008"/>
    </w:p>
    <w:p w14:paraId="0F5C9A18" w14:textId="191888FB" w:rsidR="00F67E9E" w:rsidRPr="00025910" w:rsidRDefault="00F67E9E" w:rsidP="00F67E9E">
      <w:pPr>
        <w:pStyle w:val="AppendixText3"/>
      </w:pPr>
      <w:r w:rsidRPr="00631338">
        <w:t xml:space="preserve">except where it has already been provided in accordance with </w:t>
      </w:r>
      <w:bookmarkStart w:id="2009" w:name="_9kR3WTr2CC6FIaEnoewrqyBJLv"/>
      <w:r w:rsidRPr="00631338">
        <w:t xml:space="preserve">Paragraph </w:t>
      </w:r>
      <w:r w:rsidRPr="00631338">
        <w:fldChar w:fldCharType="begin"/>
      </w:r>
      <w:r w:rsidRPr="00631338">
        <w:instrText xml:space="preserve"> REF _Ref_ContractCompanion_9kb9Ur2BC \w \h \t \* MERGEFORMAT </w:instrText>
      </w:r>
      <w:r w:rsidRPr="00631338">
        <w:fldChar w:fldCharType="separate"/>
      </w:r>
      <w:r w:rsidR="007A1473">
        <w:t>2.2.1</w:t>
      </w:r>
      <w:r w:rsidRPr="00631338">
        <w:fldChar w:fldCharType="end"/>
      </w:r>
      <w:bookmarkEnd w:id="2009"/>
      <w:r w:rsidRPr="00631338">
        <w:t xml:space="preserve"> of this </w:t>
      </w:r>
      <w:r w:rsidRPr="00631338">
        <w:fldChar w:fldCharType="begin"/>
      </w:r>
      <w:r w:rsidRPr="00631338">
        <w:instrText xml:space="preserve"> REF Sch26PartB \h  \* MERGEFORMAT </w:instrText>
      </w:r>
      <w:r w:rsidRPr="00631338">
        <w:fldChar w:fldCharType="separate"/>
      </w:r>
      <w:r w:rsidR="007A1473" w:rsidRPr="00025910">
        <w:t>Part B</w:t>
      </w:r>
      <w:r w:rsidRPr="00631338">
        <w:fldChar w:fldCharType="end"/>
      </w:r>
      <w:r w:rsidRPr="00631338">
        <w:t>, where the Supplier is a Public Sector Dependent Supplier, it shall provide the Relevant</w:t>
      </w:r>
      <w:r w:rsidRPr="00025910">
        <w:t xml:space="preserve"> Authority or Relevant Authorities with the CRP Information within 60 days of the date of the Relevant Authority</w:t>
      </w:r>
      <w:r>
        <w:t>’</w:t>
      </w:r>
      <w:r w:rsidRPr="00025910">
        <w:t>s or Relevant Authorities</w:t>
      </w:r>
      <w:r>
        <w:t>’</w:t>
      </w:r>
      <w:r w:rsidRPr="00025910">
        <w:t xml:space="preserve"> request.</w:t>
      </w:r>
    </w:p>
    <w:p w14:paraId="6E903A4C" w14:textId="51C4F61F" w:rsidR="00F67E9E" w:rsidRPr="00025910" w:rsidRDefault="00F67E9E" w:rsidP="00F67E9E">
      <w:pPr>
        <w:pStyle w:val="AppendixText2"/>
      </w:pPr>
      <w:bookmarkStart w:id="2010" w:name="_Ref_ContractCompanion_9kb9Ur28D"/>
      <w:bookmarkStart w:id="2011" w:name="_Ref_ContractCompanion_9kb9Ur2CF"/>
      <w:r w:rsidRPr="00025910">
        <w:t xml:space="preserve">The Supplier shall ensure that the CRP Information provided pursuant to </w:t>
      </w:r>
      <w:bookmarkStart w:id="2012" w:name="_9kR3WTr2CC6FLdEnoewrqy2NKM"/>
      <w:r w:rsidRPr="00025910">
        <w:t xml:space="preserve">Paragraphs </w:t>
      </w:r>
      <w:r w:rsidRPr="00025910">
        <w:fldChar w:fldCharType="begin"/>
      </w:r>
      <w:r w:rsidRPr="00025910">
        <w:instrText xml:space="preserve"> REF _Ref_ContractCompanion_9kb9Ur2BF \n \h \t \* MERGEFORMAT </w:instrText>
      </w:r>
      <w:r w:rsidRPr="00025910">
        <w:fldChar w:fldCharType="separate"/>
      </w:r>
      <w:r w:rsidR="007A1473">
        <w:t>2.2</w:t>
      </w:r>
      <w:r w:rsidRPr="00025910">
        <w:fldChar w:fldCharType="end"/>
      </w:r>
      <w:bookmarkEnd w:id="2012"/>
      <w:r w:rsidRPr="00025910">
        <w:t xml:space="preserve">, </w:t>
      </w:r>
      <w:bookmarkStart w:id="2013" w:name="_9kR3WTr2CC6GF8AI"/>
      <w:r w:rsidRPr="00025910">
        <w:fldChar w:fldCharType="begin"/>
      </w:r>
      <w:r w:rsidRPr="00025910">
        <w:instrText xml:space="preserve"> REF _Ref_ContractCompanion_9kb9Ur2BI \n \h \t \* MERGEFORMAT </w:instrText>
      </w:r>
      <w:r w:rsidRPr="00025910">
        <w:fldChar w:fldCharType="separate"/>
      </w:r>
      <w:r w:rsidR="007A1473">
        <w:t>2.8</w:t>
      </w:r>
      <w:r w:rsidRPr="00025910">
        <w:fldChar w:fldCharType="end"/>
      </w:r>
      <w:bookmarkEnd w:id="2013"/>
      <w:r w:rsidRPr="00025910">
        <w:t xml:space="preserve"> and </w:t>
      </w:r>
      <w:bookmarkStart w:id="2014" w:name="_9kR3WTr2CC6GIBAJ"/>
      <w:r w:rsidRPr="00025910">
        <w:fldChar w:fldCharType="begin"/>
      </w:r>
      <w:r w:rsidRPr="00025910">
        <w:instrText xml:space="preserve"> REF _Ref_ContractCompanion_9kb9Ur2CC \n \h \t \* MERGEFORMAT </w:instrText>
      </w:r>
      <w:r w:rsidRPr="00025910">
        <w:fldChar w:fldCharType="separate"/>
      </w:r>
      <w:r w:rsidR="007A1473">
        <w:t>2.9</w:t>
      </w:r>
      <w:r w:rsidRPr="00025910">
        <w:fldChar w:fldCharType="end"/>
      </w:r>
      <w:bookmarkEnd w:id="2014"/>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w:t>
      </w:r>
      <w:bookmarkEnd w:id="2010"/>
      <w:bookmarkEnd w:id="2011"/>
    </w:p>
    <w:p w14:paraId="2E195C90" w14:textId="77777777" w:rsidR="00F67E9E" w:rsidRPr="00631338" w:rsidRDefault="00F67E9E" w:rsidP="00F13933">
      <w:pPr>
        <w:pStyle w:val="AppendixText3"/>
        <w:numPr>
          <w:ilvl w:val="2"/>
          <w:numId w:val="52"/>
        </w:numPr>
      </w:pPr>
      <w:r w:rsidRPr="00025910">
        <w:t xml:space="preserve">is full, </w:t>
      </w:r>
      <w:r w:rsidRPr="00631338">
        <w:t>comprehensive, accurate and up to date;</w:t>
      </w:r>
    </w:p>
    <w:p w14:paraId="1E00C9F8" w14:textId="77777777" w:rsidR="00F67E9E" w:rsidRPr="00025910" w:rsidRDefault="00F67E9E" w:rsidP="00F67E9E">
      <w:pPr>
        <w:pStyle w:val="AppendixText3"/>
      </w:pPr>
      <w:r w:rsidRPr="00631338">
        <w:t>is split into t</w:t>
      </w:r>
      <w:r w:rsidRPr="00025910">
        <w:t>hree parts:</w:t>
      </w:r>
    </w:p>
    <w:p w14:paraId="1F50F7C7" w14:textId="77777777" w:rsidR="00F67E9E" w:rsidRPr="00631338" w:rsidRDefault="00F67E9E" w:rsidP="00F13933">
      <w:pPr>
        <w:pStyle w:val="AppendixText4"/>
        <w:numPr>
          <w:ilvl w:val="3"/>
          <w:numId w:val="52"/>
        </w:numPr>
      </w:pPr>
      <w:r w:rsidRPr="00025910">
        <w:t>Exposure Information (</w:t>
      </w:r>
      <w:r w:rsidRPr="00631338">
        <w:t>Contracts List);</w:t>
      </w:r>
    </w:p>
    <w:p w14:paraId="003E481E" w14:textId="77777777" w:rsidR="00F67E9E" w:rsidRPr="00631338" w:rsidRDefault="00F67E9E" w:rsidP="00F67E9E">
      <w:pPr>
        <w:pStyle w:val="AppendixText4"/>
      </w:pPr>
      <w:r w:rsidRPr="00631338">
        <w:t>Corporate Resolvability Assessment (Structural Review);</w:t>
      </w:r>
    </w:p>
    <w:p w14:paraId="70614A90" w14:textId="77777777" w:rsidR="00F67E9E" w:rsidRPr="00025910" w:rsidRDefault="00F67E9E" w:rsidP="00F67E9E">
      <w:pPr>
        <w:pStyle w:val="AppendixText4"/>
      </w:pPr>
      <w:r w:rsidRPr="00631338">
        <w:t>Financial Information and</w:t>
      </w:r>
      <w:r w:rsidRPr="00025910">
        <w:t xml:space="preserve"> Commentary</w:t>
      </w:r>
    </w:p>
    <w:p w14:paraId="5F7661D6" w14:textId="0D64A9FA" w:rsidR="00F67E9E" w:rsidRPr="00025910" w:rsidRDefault="00F67E9E" w:rsidP="00F67E9E">
      <w:pPr>
        <w:pStyle w:val="StdBodyText4"/>
        <w:ind w:left="1800"/>
        <w:rPr>
          <w:rFonts w:cs="Arial"/>
        </w:rPr>
      </w:pPr>
      <w:r w:rsidRPr="00025910">
        <w:rPr>
          <w:rFonts w:cs="Arial"/>
        </w:rPr>
        <w:t xml:space="preserve">and is structured and presented in accordance with the requirements and explanatory notes set out at </w:t>
      </w:r>
      <w:bookmarkStart w:id="2015" w:name="_9kMHG5YVt4EE69ENEyq1g"/>
      <w:r w:rsidRPr="00025910">
        <w:rPr>
          <w:rFonts w:cs="Arial"/>
        </w:rPr>
        <w:t>the relevant Annex</w:t>
      </w:r>
      <w:bookmarkEnd w:id="2015"/>
      <w:r>
        <w:rPr>
          <w:rFonts w:cs="Arial"/>
        </w:rPr>
        <w:t xml:space="preserve"> </w:t>
      </w:r>
      <w:r w:rsidRPr="00025910">
        <w:rPr>
          <w:rFonts w:cs="Arial"/>
        </w:rPr>
        <w:t xml:space="preserve">of the latest published versions of the Resolution Planning Guidance Notes published by the Cabinet Office Government Commercial Function and available at </w:t>
      </w:r>
      <w:hyperlink r:id="rId152" w:history="1">
        <w:r w:rsidRPr="001B2D60">
          <w:rPr>
            <w:rStyle w:val="Hyperlink"/>
            <w:rFonts w:cs="Arial"/>
          </w:rPr>
          <w:t>https://www.gov.uk/government/publications/the-sourcing-and-consultancy-playbooks</w:t>
        </w:r>
      </w:hyperlink>
      <w:r>
        <w:rPr>
          <w:rFonts w:cs="Arial"/>
        </w:rPr>
        <w:t xml:space="preserve"> </w:t>
      </w:r>
      <w:r w:rsidRPr="00025910">
        <w:rPr>
          <w:rFonts w:cs="Arial"/>
        </w:rPr>
        <w:t>and contains the level of detail required (adapted as necessary to the Supplier</w:t>
      </w:r>
      <w:r>
        <w:rPr>
          <w:rFonts w:cs="Arial"/>
        </w:rPr>
        <w:t>’</w:t>
      </w:r>
      <w:r w:rsidRPr="00025910">
        <w:rPr>
          <w:rFonts w:cs="Arial"/>
        </w:rPr>
        <w:t>s circumstances);</w:t>
      </w:r>
    </w:p>
    <w:p w14:paraId="5B9429C7" w14:textId="77777777" w:rsidR="00F67E9E" w:rsidRPr="00631338" w:rsidRDefault="00F67E9E" w:rsidP="00F13933">
      <w:pPr>
        <w:pStyle w:val="AppendixText3"/>
        <w:numPr>
          <w:ilvl w:val="2"/>
          <w:numId w:val="52"/>
        </w:numPr>
      </w:pPr>
      <w:r w:rsidRPr="00025910">
        <w:t xml:space="preserve">incorporates any additional commentary, supporting documents and evidence which would reasonably be required by the Relevant Authority or Relevant </w:t>
      </w:r>
      <w:r w:rsidRPr="00631338">
        <w:t>Authorities to understand and consider the information for approval;</w:t>
      </w:r>
    </w:p>
    <w:p w14:paraId="5E13ABBB" w14:textId="77777777" w:rsidR="00F67E9E" w:rsidRPr="00631338" w:rsidRDefault="00F67E9E" w:rsidP="00F67E9E">
      <w:pPr>
        <w:pStyle w:val="AppendixText3"/>
      </w:pPr>
      <w:r w:rsidRPr="00631338">
        <w:lastRenderedPageBreak/>
        <w:t>provides a clear description and explanation of the Supplier Group members that have agreements for goods, services or works provision in respect of UK Public Sector Business and/or CNI and the nature of those agreements; and</w:t>
      </w:r>
    </w:p>
    <w:p w14:paraId="33B0091D" w14:textId="32AEE7AF" w:rsidR="00F67E9E" w:rsidRPr="00025910" w:rsidRDefault="00F67E9E" w:rsidP="00F67E9E">
      <w:pPr>
        <w:pStyle w:val="AppendixText3"/>
      </w:pPr>
      <w:r w:rsidRPr="00631338">
        <w:t>complies with</w:t>
      </w:r>
      <w:r w:rsidRPr="00025910">
        <w:t xml:space="preserve"> the requirements set out at </w:t>
      </w:r>
      <w:bookmarkStart w:id="2016" w:name="_9kMHG5YVtCIBFNILq6wvvrCDxXCGIrqMOAATSDf"/>
      <w:r w:rsidRPr="00025910">
        <w:t xml:space="preserve">Annex </w:t>
      </w:r>
      <w:bookmarkEnd w:id="2016"/>
      <w:r w:rsidRPr="00025910">
        <w:fldChar w:fldCharType="begin"/>
      </w:r>
      <w:r w:rsidRPr="00025910">
        <w:instrText xml:space="preserve"> REF ANNEX1_PARTB_SCHEDULE26 \h </w:instrText>
      </w:r>
      <w:r>
        <w:instrText xml:space="preserve"> \* MERGEFORMAT </w:instrText>
      </w:r>
      <w:r w:rsidRPr="00025910">
        <w:fldChar w:fldCharType="separate"/>
      </w:r>
      <w:r w:rsidR="007A1473" w:rsidRPr="007A1473">
        <w:t>1</w:t>
      </w:r>
      <w:r w:rsidRPr="00025910">
        <w:fldChar w:fldCharType="end"/>
      </w:r>
      <w:r w:rsidRPr="00025910">
        <w:t xml:space="preserve"> (</w:t>
      </w:r>
      <w:r w:rsidRPr="004412EC">
        <w:rPr>
          <w:i/>
          <w:iCs/>
        </w:rPr>
        <w:fldChar w:fldCharType="begin"/>
      </w:r>
      <w:r w:rsidRPr="004412EC">
        <w:rPr>
          <w:i/>
          <w:iCs/>
        </w:rPr>
        <w:instrText xml:space="preserve"> REF ANNEX1HEADINGSCHEDULE26 \h </w:instrText>
      </w:r>
      <w:r>
        <w:rPr>
          <w:i/>
          <w:iCs/>
        </w:rPr>
        <w:instrText xml:space="preserve"> \* MERGEFORMAT </w:instrText>
      </w:r>
      <w:r w:rsidRPr="004412EC">
        <w:rPr>
          <w:i/>
          <w:iCs/>
        </w:rPr>
      </w:r>
      <w:r w:rsidRPr="004412EC">
        <w:rPr>
          <w:i/>
          <w:iCs/>
        </w:rPr>
        <w:fldChar w:fldCharType="separate"/>
      </w:r>
      <w:r w:rsidR="007A1473" w:rsidRPr="007A1473">
        <w:rPr>
          <w:i/>
          <w:iCs/>
        </w:rPr>
        <w:t>Exposure Information (Contracts List)</w:t>
      </w:r>
      <w:r w:rsidRPr="004412EC">
        <w:rPr>
          <w:i/>
          <w:iCs/>
        </w:rPr>
        <w:fldChar w:fldCharType="end"/>
      </w:r>
      <w:r w:rsidRPr="00025910">
        <w:t xml:space="preserve">), </w:t>
      </w:r>
      <w:bookmarkStart w:id="2017" w:name="_9kMHG5YVtCIBFNLOq6wvvrCDzCFBm5x5xifwCPO"/>
      <w:r w:rsidRPr="00025910">
        <w:t xml:space="preserve">Annex </w:t>
      </w:r>
      <w:r w:rsidRPr="00025910">
        <w:rPr>
          <w:caps/>
        </w:rPr>
        <w:fldChar w:fldCharType="begin"/>
      </w:r>
      <w:r w:rsidRPr="00025910">
        <w:rPr>
          <w:caps/>
        </w:rPr>
        <w:instrText xml:space="preserve"> REF ANNEX2_PARTB_SCHEDULE26 \h </w:instrText>
      </w:r>
      <w:r>
        <w:rPr>
          <w:caps/>
        </w:rPr>
        <w:instrText xml:space="preserve"> \* MERGEFORMAT </w:instrText>
      </w:r>
      <w:r w:rsidRPr="00025910">
        <w:rPr>
          <w:caps/>
        </w:rPr>
      </w:r>
      <w:r w:rsidRPr="00025910">
        <w:rPr>
          <w:caps/>
        </w:rPr>
        <w:fldChar w:fldCharType="separate"/>
      </w:r>
      <w:r w:rsidR="007A1473" w:rsidRPr="00025910">
        <w:t>2</w:t>
      </w:r>
      <w:r w:rsidRPr="00025910">
        <w:rPr>
          <w:caps/>
        </w:rPr>
        <w:fldChar w:fldCharType="end"/>
      </w:r>
      <w:bookmarkEnd w:id="2017"/>
      <w:r w:rsidRPr="00025910">
        <w:t xml:space="preserve"> (</w:t>
      </w:r>
      <w:r w:rsidRPr="004412EC">
        <w:rPr>
          <w:i/>
          <w:iCs/>
        </w:rPr>
        <w:fldChar w:fldCharType="begin"/>
      </w:r>
      <w:r w:rsidRPr="004412EC">
        <w:rPr>
          <w:i/>
          <w:iCs/>
        </w:rPr>
        <w:instrText xml:space="preserve"> REF ANNEX2HEADINGSCHEDULE26 \h </w:instrText>
      </w:r>
      <w:r>
        <w:rPr>
          <w:i/>
          <w:iCs/>
        </w:rPr>
        <w:instrText xml:space="preserve"> \* MERGEFORMAT </w:instrText>
      </w:r>
      <w:r w:rsidRPr="004412EC">
        <w:rPr>
          <w:i/>
          <w:iCs/>
        </w:rPr>
      </w:r>
      <w:r w:rsidRPr="004412EC">
        <w:rPr>
          <w:i/>
          <w:iCs/>
        </w:rPr>
        <w:fldChar w:fldCharType="separate"/>
      </w:r>
      <w:r w:rsidR="007A1473" w:rsidRPr="007A1473">
        <w:rPr>
          <w:i/>
          <w:iCs/>
        </w:rPr>
        <w:t>Corporate Resolvability Assessment (Structural Review)</w:t>
      </w:r>
      <w:r w:rsidRPr="004412EC">
        <w:rPr>
          <w:i/>
          <w:iCs/>
        </w:rPr>
        <w:fldChar w:fldCharType="end"/>
      </w:r>
      <w:r w:rsidRPr="00025910">
        <w:t xml:space="preserve">) and Annex </w:t>
      </w:r>
      <w:r w:rsidRPr="00025910">
        <w:fldChar w:fldCharType="begin"/>
      </w:r>
      <w:r w:rsidRPr="00025910">
        <w:instrText xml:space="preserve"> REF ANNEX3_PARTB_SCHEDULE26 \h </w:instrText>
      </w:r>
      <w:r>
        <w:instrText xml:space="preserve"> \* MERGEFORMAT </w:instrText>
      </w:r>
      <w:r w:rsidRPr="00025910">
        <w:fldChar w:fldCharType="separate"/>
      </w:r>
      <w:r w:rsidR="007A1473" w:rsidRPr="00025910">
        <w:t>3</w:t>
      </w:r>
      <w:r w:rsidRPr="00025910">
        <w:fldChar w:fldCharType="end"/>
      </w:r>
      <w:r w:rsidRPr="00025910">
        <w:t xml:space="preserve"> (</w:t>
      </w:r>
      <w:r w:rsidRPr="004412EC">
        <w:rPr>
          <w:i/>
          <w:iCs/>
        </w:rPr>
        <w:fldChar w:fldCharType="begin"/>
      </w:r>
      <w:r w:rsidRPr="004412EC">
        <w:rPr>
          <w:i/>
          <w:iCs/>
        </w:rPr>
        <w:instrText xml:space="preserve"> REF ANNEX3HEADING_PARTB_SCHEDULE26 \h </w:instrText>
      </w:r>
      <w:r>
        <w:rPr>
          <w:i/>
          <w:iCs/>
        </w:rPr>
        <w:instrText xml:space="preserve"> \* MERGEFORMAT </w:instrText>
      </w:r>
      <w:r w:rsidRPr="004412EC">
        <w:rPr>
          <w:i/>
          <w:iCs/>
        </w:rPr>
      </w:r>
      <w:r w:rsidRPr="004412EC">
        <w:rPr>
          <w:i/>
          <w:iCs/>
        </w:rPr>
        <w:fldChar w:fldCharType="separate"/>
      </w:r>
      <w:r w:rsidR="007A1473" w:rsidRPr="007A1473">
        <w:rPr>
          <w:i/>
          <w:iCs/>
        </w:rPr>
        <w:t>Financial Information And Commentary</w:t>
      </w:r>
      <w:r w:rsidRPr="004412EC">
        <w:rPr>
          <w:i/>
          <w:iCs/>
        </w:rPr>
        <w:fldChar w:fldCharType="end"/>
      </w:r>
      <w:r w:rsidRPr="00025910">
        <w:t>) respectively.</w:t>
      </w:r>
    </w:p>
    <w:p w14:paraId="035A71C2" w14:textId="1A17560E" w:rsidR="00F67E9E" w:rsidRPr="00631338" w:rsidRDefault="00F67E9E" w:rsidP="00F13933">
      <w:pPr>
        <w:pStyle w:val="AppendixText2"/>
        <w:numPr>
          <w:ilvl w:val="1"/>
          <w:numId w:val="52"/>
        </w:numPr>
      </w:pPr>
      <w:r w:rsidRPr="00025910">
        <w:t xml:space="preserve">Following receipt by the Relevant Authority or Relevant Authorities of the CRP Information pursuant to </w:t>
      </w:r>
      <w:bookmarkStart w:id="2018" w:name="_9kMHG5YVt4EE8HNfGpqgyts04PMO"/>
      <w:r w:rsidRPr="00025910">
        <w:t xml:space="preserve">Paragraphs </w:t>
      </w:r>
      <w:r w:rsidRPr="00025910">
        <w:fldChar w:fldCharType="begin"/>
      </w:r>
      <w:r w:rsidRPr="00025910">
        <w:instrText xml:space="preserve"> REF _Ref_ContractCompanion_9kb9Ur2BF \n \h \t \* MERGEFORMAT </w:instrText>
      </w:r>
      <w:r w:rsidRPr="00025910">
        <w:fldChar w:fldCharType="separate"/>
      </w:r>
      <w:r w:rsidR="007A1473">
        <w:t>2.2</w:t>
      </w:r>
      <w:r w:rsidRPr="00025910">
        <w:fldChar w:fldCharType="end"/>
      </w:r>
      <w:bookmarkEnd w:id="2018"/>
      <w:r w:rsidRPr="00025910">
        <w:t xml:space="preserve">, </w:t>
      </w:r>
      <w:bookmarkStart w:id="2019" w:name="_9kMHG5YVt4EE8IHACK"/>
      <w:r w:rsidRPr="00025910">
        <w:fldChar w:fldCharType="begin"/>
      </w:r>
      <w:r w:rsidRPr="00025910">
        <w:instrText xml:space="preserve"> REF _Ref_ContractCompanion_9kb9Ur2BI \n \h \t \* MERGEFORMAT </w:instrText>
      </w:r>
      <w:r w:rsidRPr="00025910">
        <w:fldChar w:fldCharType="separate"/>
      </w:r>
      <w:r w:rsidR="007A1473">
        <w:t>2.8</w:t>
      </w:r>
      <w:r w:rsidRPr="00025910">
        <w:fldChar w:fldCharType="end"/>
      </w:r>
      <w:bookmarkEnd w:id="2019"/>
      <w:r w:rsidRPr="00025910">
        <w:t xml:space="preserve"> and </w:t>
      </w:r>
      <w:bookmarkStart w:id="2020" w:name="_9kMHG5YVt4EE8IKDCL"/>
      <w:r w:rsidRPr="00025910">
        <w:fldChar w:fldCharType="begin"/>
      </w:r>
      <w:r w:rsidRPr="00025910">
        <w:instrText xml:space="preserve"> REF _Ref_ContractCompanion_9kb9Ur2CC \n \h \t \* MERGEFORMAT </w:instrText>
      </w:r>
      <w:r w:rsidRPr="00025910">
        <w:fldChar w:fldCharType="separate"/>
      </w:r>
      <w:r w:rsidR="007A1473">
        <w:t>2.9</w:t>
      </w:r>
      <w:r w:rsidRPr="00025910">
        <w:fldChar w:fldCharType="end"/>
      </w:r>
      <w:bookmarkEnd w:id="2020"/>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xml:space="preserve">, the Authority shall procure that the Relevant Authority or Relevant Authorities discuss in good faith the contents of the CRP Information with the Supplier and no later than 60 days after the date on which the CRP Information was delivered by the Supplier either provide an Assurance to the Supplier that Relevant Authority or Relevant Authorities approve the CRP Information or that Relevant Authority </w:t>
      </w:r>
      <w:r w:rsidRPr="00631338">
        <w:t>or Relevant Authorities reject the CRP Information.</w:t>
      </w:r>
    </w:p>
    <w:p w14:paraId="3FCAD93F" w14:textId="77777777" w:rsidR="00F67E9E" w:rsidRPr="00025910" w:rsidRDefault="00F67E9E" w:rsidP="00F67E9E">
      <w:pPr>
        <w:pStyle w:val="AppendixText2"/>
      </w:pPr>
      <w:bookmarkStart w:id="2021" w:name="_Ref_ContractCompanion_9kb9Ur2CI"/>
      <w:r w:rsidRPr="00631338">
        <w:t>If the Relev</w:t>
      </w:r>
      <w:r w:rsidRPr="00025910">
        <w:t>ant Authority or Relevant Authorities reject the CRP Information:</w:t>
      </w:r>
      <w:bookmarkEnd w:id="2021"/>
    </w:p>
    <w:p w14:paraId="63FD2172" w14:textId="77777777" w:rsidR="00F67E9E" w:rsidRPr="00025910" w:rsidRDefault="00F67E9E" w:rsidP="00F67E9E">
      <w:pPr>
        <w:pStyle w:val="AppendixText3"/>
      </w:pPr>
      <w:r w:rsidRPr="00025910">
        <w:t>the Authority shall (and shall procure that the Cabinet Office Markets and Suppliers Team shall) inform the Supplier in writing of its reasons for its rejection; and</w:t>
      </w:r>
    </w:p>
    <w:p w14:paraId="00F91146" w14:textId="7EDED1B2" w:rsidR="00F67E9E" w:rsidRPr="00025910" w:rsidRDefault="00F67E9E" w:rsidP="00F67E9E">
      <w:pPr>
        <w:pStyle w:val="AppendixText3"/>
      </w:pPr>
      <w:r w:rsidRPr="00025910">
        <w:t>the Supplier shall revise the CRP Information, taking reasonable account of the Relevant Authority</w:t>
      </w:r>
      <w:r>
        <w:t>’</w:t>
      </w:r>
      <w:r w:rsidRPr="00025910">
        <w:t>s or Relevant Authorities</w:t>
      </w:r>
      <w:r>
        <w:t>’</w:t>
      </w:r>
      <w:r w:rsidRPr="00025910">
        <w:t xml:space="preserve"> comments, and shall re-submit the CRP Information to the Relevant Authority or Relevant Authorities for approval within 30 days of the date of the Relevant Authority</w:t>
      </w:r>
      <w:r>
        <w:t>’</w:t>
      </w:r>
      <w:r w:rsidRPr="00025910">
        <w:t>s or Relevant Authorities</w:t>
      </w:r>
      <w:r>
        <w:t>’</w:t>
      </w:r>
      <w:r w:rsidRPr="00025910">
        <w:t xml:space="preserve"> rejection.</w:t>
      </w:r>
      <w:r>
        <w:t xml:space="preserve"> </w:t>
      </w:r>
      <w:r w:rsidRPr="00025910">
        <w:t xml:space="preserve">The provisions of </w:t>
      </w:r>
      <w:bookmarkStart w:id="2022" w:name="_9kR3WTr2CC6GL2knoewrqyBJM"/>
      <w:r w:rsidRPr="00025910">
        <w:t xml:space="preserve">Paragraph </w:t>
      </w:r>
      <w:r w:rsidRPr="00025910">
        <w:fldChar w:fldCharType="begin"/>
      </w:r>
      <w:r w:rsidRPr="00025910">
        <w:instrText xml:space="preserve"> REF _Ref_ContractCompanion_9kb9Ur2CF \n \h \t \* MERGEFORMAT </w:instrText>
      </w:r>
      <w:r w:rsidRPr="00025910">
        <w:fldChar w:fldCharType="separate"/>
      </w:r>
      <w:r w:rsidR="007A1473">
        <w:t>2.3</w:t>
      </w:r>
      <w:r w:rsidRPr="00025910">
        <w:fldChar w:fldCharType="end"/>
      </w:r>
      <w:bookmarkEnd w:id="2022"/>
      <w:r w:rsidRPr="00025910">
        <w:t xml:space="preserve"> to </w:t>
      </w:r>
      <w:bookmarkStart w:id="2023" w:name="_9kR3WTr2CC6GOHAF"/>
      <w:r w:rsidRPr="00025910">
        <w:fldChar w:fldCharType="begin"/>
      </w:r>
      <w:r w:rsidRPr="00025910">
        <w:instrText xml:space="preserve"> REF _Ref_ContractCompanion_9kb9Ur2CI \n \h \t \* MERGEFORMAT </w:instrText>
      </w:r>
      <w:r w:rsidRPr="00025910">
        <w:fldChar w:fldCharType="separate"/>
      </w:r>
      <w:r w:rsidR="007A1473">
        <w:t>2.5</w:t>
      </w:r>
      <w:r w:rsidRPr="00025910">
        <w:fldChar w:fldCharType="end"/>
      </w:r>
      <w:bookmarkEnd w:id="2023"/>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xml:space="preserve"> shall apply again to any resubmitted CRP Information provided that either Party may refer any disputed matters for resolution by the Dispute Resolution Procedure at any time.</w:t>
      </w:r>
    </w:p>
    <w:p w14:paraId="6E184B65" w14:textId="37FAB226" w:rsidR="00F67E9E" w:rsidRPr="00025910" w:rsidRDefault="00F67E9E" w:rsidP="00F67E9E">
      <w:pPr>
        <w:pStyle w:val="AppendixText2"/>
      </w:pPr>
      <w:bookmarkStart w:id="2024" w:name="_Ref_ContractCompanion_9kb9Ur2AC"/>
      <w:bookmarkStart w:id="2025" w:name="_Ref_ContractCompanion_9kb9Ur342"/>
      <w:r w:rsidRPr="00025910">
        <w:t xml:space="preserve">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on the date by which the CRP Information would otherwise be required, the Supplier shall not be required to provide the CRP Information under </w:t>
      </w:r>
      <w:bookmarkStart w:id="2026" w:name="_9kMHG5YVtCIBFNOICEggwmqk0IElS12sA54CGbY"/>
      <w:r w:rsidRPr="00025910">
        <w:t xml:space="preserve">Paragraph </w:t>
      </w:r>
      <w:r w:rsidRPr="00025910">
        <w:fldChar w:fldCharType="begin"/>
      </w:r>
      <w:r w:rsidRPr="00025910">
        <w:instrText xml:space="preserve"> REF _Ref_ContractCompanion_9kb9Us9HG \n \h \t \* MERGEFORMAT </w:instrText>
      </w:r>
      <w:r w:rsidRPr="00025910">
        <w:fldChar w:fldCharType="separate"/>
      </w:r>
      <w:r w:rsidR="007A1473">
        <w:t>2.2</w:t>
      </w:r>
      <w:r w:rsidRPr="00025910">
        <w:fldChar w:fldCharType="end"/>
      </w:r>
      <w:bookmarkEnd w:id="2026"/>
      <w:r w:rsidRPr="00025910">
        <w:t xml:space="preserve"> if it provides a copy of the Valid Assurance to the Relevant Authority or Relevant Authorities on or before the date on which the CRP Information would otherwise have been required.</w:t>
      </w:r>
      <w:bookmarkEnd w:id="2024"/>
      <w:bookmarkEnd w:id="2025"/>
    </w:p>
    <w:p w14:paraId="35115EE6" w14:textId="1FF78028" w:rsidR="00F67E9E" w:rsidRPr="00025910" w:rsidRDefault="00F67E9E" w:rsidP="00F67E9E">
      <w:pPr>
        <w:pStyle w:val="AppendixText2"/>
        <w:keepNext/>
      </w:pPr>
      <w:bookmarkStart w:id="2027" w:name="_Ref44573382"/>
      <w:r w:rsidRPr="00025910">
        <w:t xml:space="preserve">An Assurance shall be deemed Valid for the purposes of </w:t>
      </w:r>
      <w:bookmarkStart w:id="2028" w:name="_9kR3WTr2CC788YEnoewrqyBJP"/>
      <w:r w:rsidRPr="00025910">
        <w:t xml:space="preserve">Paragraph </w:t>
      </w:r>
      <w:r w:rsidRPr="00025910">
        <w:fldChar w:fldCharType="begin"/>
      </w:r>
      <w:r w:rsidRPr="00025910">
        <w:instrText xml:space="preserve"> REF _Ref_ContractCompanion_9kb9Ur342 \n \h \t \* MERGEFORMAT </w:instrText>
      </w:r>
      <w:r w:rsidRPr="00025910">
        <w:fldChar w:fldCharType="separate"/>
      </w:r>
      <w:r w:rsidR="007A1473">
        <w:t>2.6</w:t>
      </w:r>
      <w:r w:rsidRPr="00025910">
        <w:fldChar w:fldCharType="end"/>
      </w:r>
      <w:bookmarkEnd w:id="2028"/>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xml:space="preserve"> if:</w:t>
      </w:r>
      <w:bookmarkEnd w:id="2027"/>
    </w:p>
    <w:p w14:paraId="767270A6" w14:textId="77777777" w:rsidR="00F67E9E" w:rsidRPr="00631338" w:rsidRDefault="00F67E9E" w:rsidP="00F13933">
      <w:pPr>
        <w:pStyle w:val="AppendixText3"/>
        <w:numPr>
          <w:ilvl w:val="2"/>
          <w:numId w:val="52"/>
        </w:numPr>
      </w:pPr>
      <w:r w:rsidRPr="00025910">
        <w:t xml:space="preserve">the Assurance is within the validity period stated in the Assurance (or, if no validity period is stated, no more than 12 months has elapsed since it was issued and no more than 18 months has elapsed since the Accounting Reference Date on which the </w:t>
      </w:r>
      <w:r w:rsidRPr="00631338">
        <w:t xml:space="preserve">CRP Information was based); and </w:t>
      </w:r>
    </w:p>
    <w:p w14:paraId="1F587B01" w14:textId="77777777" w:rsidR="00F67E9E" w:rsidRPr="00025910" w:rsidRDefault="00F67E9E" w:rsidP="00F67E9E">
      <w:pPr>
        <w:pStyle w:val="AppendixText3"/>
      </w:pPr>
      <w:r w:rsidRPr="00631338">
        <w:t>no Corporate Change Events or Financial Distress Events (or events which would be deeme</w:t>
      </w:r>
      <w:r w:rsidRPr="00025910">
        <w:t xml:space="preserve">d to be Corporate Change Events or Financial Distress Events </w:t>
      </w:r>
      <w:r w:rsidRPr="00025910">
        <w:lastRenderedPageBreak/>
        <w:t>if this Contract had then been in force) have occurred since the date of issue of the Assurance.</w:t>
      </w:r>
    </w:p>
    <w:p w14:paraId="2073A204" w14:textId="3C90244C" w:rsidR="00F67E9E" w:rsidRPr="00025910" w:rsidRDefault="00F67E9E" w:rsidP="00F13933">
      <w:pPr>
        <w:pStyle w:val="AppendixText2"/>
        <w:numPr>
          <w:ilvl w:val="1"/>
          <w:numId w:val="52"/>
        </w:numPr>
      </w:pPr>
      <w:bookmarkStart w:id="2029" w:name="_Ref_ContractCompanion_9kb9Ur2BI"/>
      <w:bookmarkStart w:id="2030" w:name="_Ref_ContractCompanion_9kb9Us8A4"/>
      <w:bookmarkStart w:id="2031" w:name="_9kR3WTrAG9CEAAAIaFx0q2VE21pyz1HDD6RdGJK"/>
      <w:r w:rsidRPr="00025910">
        <w:t xml:space="preserve">If this Contract is a Critical Service Contract, the Supplier shall provide an updated version of the CRP Information (or, in the case of </w:t>
      </w:r>
      <w:bookmarkStart w:id="2032" w:name="_9kR3WTr2CC78BbEnoewrqyBJR3"/>
      <w:r w:rsidRPr="00025910">
        <w:t xml:space="preserve">Paragraph </w:t>
      </w:r>
      <w:r w:rsidRPr="00025910">
        <w:fldChar w:fldCharType="begin"/>
      </w:r>
      <w:r w:rsidRPr="00025910">
        <w:instrText xml:space="preserve"> REF _Ref_ContractCompanion_9kb9Ur345 \w \h \t \* MERGEFORMAT </w:instrText>
      </w:r>
      <w:r w:rsidRPr="00025910">
        <w:fldChar w:fldCharType="separate"/>
      </w:r>
      <w:r w:rsidR="007A1473">
        <w:t>2.8.3</w:t>
      </w:r>
      <w:r w:rsidRPr="00025910">
        <w:fldChar w:fldCharType="end"/>
      </w:r>
      <w:bookmarkEnd w:id="2032"/>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xml:space="preserve"> its initial CRP Information) to the Relevant Authority or Relevant Authorities:</w:t>
      </w:r>
      <w:bookmarkEnd w:id="2029"/>
      <w:bookmarkEnd w:id="2030"/>
      <w:bookmarkEnd w:id="2031"/>
    </w:p>
    <w:p w14:paraId="0F1B4654" w14:textId="6B9F62F1" w:rsidR="00F67E9E" w:rsidRPr="00025910" w:rsidRDefault="00F67E9E" w:rsidP="00F13933">
      <w:pPr>
        <w:pStyle w:val="AppendixText3"/>
        <w:numPr>
          <w:ilvl w:val="2"/>
          <w:numId w:val="52"/>
        </w:numPr>
      </w:pPr>
      <w:bookmarkStart w:id="2033" w:name="_Ref_ContractCompanion_9kb9Ur357"/>
      <w:bookmarkStart w:id="2034" w:name="_Ref_ContractCompanion_9kb9Us9ID"/>
      <w:bookmarkStart w:id="2035" w:name="_9kR3WTrAG9DMJCAIsu311ryIN0k6PG4ADz76vEU"/>
      <w:r w:rsidRPr="00025910">
        <w:t xml:space="preserve">within 14 days of the occurrence of a Financial Distress Event (along with any </w:t>
      </w:r>
      <w:r w:rsidRPr="006D2212">
        <w:t>additional</w:t>
      </w:r>
      <w:r w:rsidRPr="00025910">
        <w:t xml:space="preserve"> highly confidential information no longer exempted from disclosure under </w:t>
      </w:r>
      <w:bookmarkStart w:id="2036" w:name="_9kR3WTr2CC78EeEnoewrqyBJKL"/>
      <w:r w:rsidRPr="00025910">
        <w:t xml:space="preserve">Paragraph </w:t>
      </w:r>
      <w:r w:rsidRPr="00025910">
        <w:fldChar w:fldCharType="begin"/>
      </w:r>
      <w:r w:rsidRPr="00025910">
        <w:instrText xml:space="preserve"> REF _Ref_ContractCompanion_9kb9Ur348 \n \h \t \* MERGEFORMAT </w:instrText>
      </w:r>
      <w:r w:rsidRPr="00025910">
        <w:fldChar w:fldCharType="separate"/>
      </w:r>
      <w:r w:rsidR="007A1473">
        <w:t>2.11</w:t>
      </w:r>
      <w:r w:rsidRPr="00025910">
        <w:fldChar w:fldCharType="end"/>
      </w:r>
      <w:bookmarkEnd w:id="2036"/>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xml:space="preserve">) unless the Supplier is relieved of the consequences of the Financial Distress Event under </w:t>
      </w:r>
      <w:bookmarkStart w:id="2037" w:name="_9kR3WTr2CC79AZEnoewrqyHP"/>
      <w:r w:rsidRPr="00025910">
        <w:t xml:space="preserve">Paragraph </w:t>
      </w:r>
      <w:r w:rsidRPr="00025910">
        <w:fldChar w:fldCharType="begin"/>
      </w:r>
      <w:r w:rsidRPr="00025910">
        <w:instrText xml:space="preserve"> REF _Ref_ContractCompanion_9kb9Ur34B \n \h \t \* MERGEFORMAT </w:instrText>
      </w:r>
      <w:r w:rsidRPr="00025910">
        <w:fldChar w:fldCharType="separate"/>
      </w:r>
      <w:r w:rsidR="007A1473">
        <w:t>7.1</w:t>
      </w:r>
      <w:r w:rsidRPr="00025910">
        <w:fldChar w:fldCharType="end"/>
      </w:r>
      <w:bookmarkEnd w:id="2037"/>
      <w:r w:rsidRPr="00025910">
        <w:t xml:space="preserve"> of </w:t>
      </w:r>
      <w:bookmarkEnd w:id="2033"/>
      <w:bookmarkEnd w:id="2034"/>
      <w:bookmarkEnd w:id="2035"/>
      <w:r>
        <w:fldChar w:fldCharType="begin"/>
      </w:r>
      <w:r>
        <w:instrText xml:space="preserve"> REF Schedule18 \h </w:instrText>
      </w:r>
      <w:r>
        <w:fldChar w:fldCharType="separate"/>
      </w:r>
      <w:r w:rsidR="007A1473" w:rsidRPr="005D0525">
        <w:t>Schedule</w:t>
      </w:r>
      <w:r w:rsidR="007A1473">
        <w:t> </w:t>
      </w:r>
      <w:r w:rsidR="007A1473" w:rsidRPr="005D0525">
        <w:t>18</w:t>
      </w:r>
      <w:r>
        <w:fldChar w:fldCharType="end"/>
      </w:r>
      <w:r>
        <w:t xml:space="preserve"> (</w:t>
      </w:r>
      <w:r w:rsidRPr="006D2212">
        <w:rPr>
          <w:i/>
          <w:iCs/>
        </w:rPr>
        <w:fldChar w:fldCharType="begin"/>
      </w:r>
      <w:r w:rsidRPr="006D2212">
        <w:rPr>
          <w:i/>
          <w:iCs/>
        </w:rPr>
        <w:instrText xml:space="preserve"> REF Schedule18Heading \h  \* MERGEFORMAT </w:instrText>
      </w:r>
      <w:r w:rsidRPr="006D2212">
        <w:rPr>
          <w:i/>
          <w:iCs/>
        </w:rPr>
      </w:r>
      <w:r w:rsidRPr="006D2212">
        <w:rPr>
          <w:i/>
          <w:iCs/>
        </w:rPr>
        <w:fldChar w:fldCharType="separate"/>
      </w:r>
      <w:r w:rsidR="007A1473" w:rsidRPr="007A1473">
        <w:rPr>
          <w:i/>
          <w:iCs/>
        </w:rPr>
        <w:t>Financial Distress</w:t>
      </w:r>
      <w:r w:rsidRPr="006D2212">
        <w:rPr>
          <w:i/>
          <w:iCs/>
        </w:rPr>
        <w:fldChar w:fldCharType="end"/>
      </w:r>
      <w:r>
        <w:t>)</w:t>
      </w:r>
    </w:p>
    <w:p w14:paraId="2465B3F2" w14:textId="77777777" w:rsidR="00F67E9E" w:rsidRPr="00025910" w:rsidRDefault="00F67E9E" w:rsidP="00F67E9E">
      <w:pPr>
        <w:pStyle w:val="AppendixText3"/>
      </w:pPr>
      <w:bookmarkStart w:id="2038" w:name="_Ref_ContractCompanion_9kb9Us9IG"/>
      <w:bookmarkStart w:id="2039" w:name="_9kR3WTrAG9DMMFAItv311ryKLwk6PG4rPYKMKNA"/>
      <w:r w:rsidRPr="00025910">
        <w:t>within 30 days of a Corporate Change Event unless:</w:t>
      </w:r>
    </w:p>
    <w:p w14:paraId="6CB523ED" w14:textId="77777777" w:rsidR="00F67E9E" w:rsidRPr="006D2212" w:rsidRDefault="00F67E9E" w:rsidP="00F13933">
      <w:pPr>
        <w:pStyle w:val="AppendixText4"/>
        <w:numPr>
          <w:ilvl w:val="3"/>
          <w:numId w:val="52"/>
        </w:numPr>
      </w:pPr>
      <w:bookmarkStart w:id="2040" w:name="_Ref88670374"/>
      <w:r w:rsidRPr="00025910">
        <w:t>the Supplier requests and the Relevant Authority (acting reasonably) agrees to a Corporate Change Event Grace Period, in the event of which the time period for the Supplier to comply with this Paragraph shall be extended as determined by the Relevant Authority (acting reasonably) but shall in any case be no longer than six months after the Corporate Change Event.</w:t>
      </w:r>
      <w:r>
        <w:t xml:space="preserve"> </w:t>
      </w:r>
      <w:r w:rsidRPr="00025910">
        <w:t>During a Corporate Change Event Grace Period the Supplier shall regularly and fully engage with the Relevant Authority to enable it to understand the nature of the Corporate Change Event and the Relevant Authority shall reserve the right to terminate a Corporate Change Event Grace Period at any time if the Supplier fails to comply with this Paragraph; or</w:t>
      </w:r>
      <w:bookmarkEnd w:id="2040"/>
    </w:p>
    <w:p w14:paraId="7C303334" w14:textId="0D3256DE" w:rsidR="00F67E9E" w:rsidRPr="00025910" w:rsidRDefault="00F67E9E" w:rsidP="00F67E9E">
      <w:pPr>
        <w:pStyle w:val="AppendixText4"/>
      </w:pPr>
      <w:r w:rsidRPr="006D2212">
        <w:t>not</w:t>
      </w:r>
      <w:r w:rsidRPr="00025910">
        <w:t xml:space="preserve"> required pursuant to </w:t>
      </w:r>
      <w:bookmarkStart w:id="2041" w:name="_9kMHG5YVtCIBFOIBCDDjYnyz26sepJFC60ALM9i"/>
      <w:r w:rsidRPr="00025910">
        <w:t xml:space="preserve">Paragraph </w:t>
      </w:r>
      <w:r w:rsidRPr="00025910">
        <w:fldChar w:fldCharType="begin"/>
      </w:r>
      <w:r w:rsidRPr="00025910">
        <w:instrText xml:space="preserve"> REF _Ref_ContractCompanion_9kb9Us9HJ \n \h \t \* MERGEFORMAT </w:instrText>
      </w:r>
      <w:r w:rsidRPr="00025910">
        <w:fldChar w:fldCharType="separate"/>
      </w:r>
      <w:r w:rsidR="007A1473">
        <w:t>2.10</w:t>
      </w:r>
      <w:r w:rsidRPr="00025910">
        <w:fldChar w:fldCharType="end"/>
      </w:r>
      <w:bookmarkEnd w:id="2041"/>
      <w:r w:rsidRPr="00025910">
        <w:t>;</w:t>
      </w:r>
      <w:bookmarkEnd w:id="2038"/>
      <w:bookmarkEnd w:id="2039"/>
    </w:p>
    <w:p w14:paraId="602958AF" w14:textId="77777777" w:rsidR="00F67E9E" w:rsidRPr="00025910" w:rsidRDefault="00F67E9E" w:rsidP="00F67E9E">
      <w:pPr>
        <w:pStyle w:val="AppendixText3"/>
      </w:pPr>
      <w:bookmarkStart w:id="2042" w:name="_Ref_ContractCompanion_9kb9Ur345"/>
      <w:bookmarkStart w:id="2043" w:name="_Ref_ContractCompanion_9kb9Us9IJ"/>
      <w:bookmarkStart w:id="2044" w:name="_9kR3WTrAG9EE68AIuw311ryKLwk6PG4ADzwtAFG"/>
      <w:r w:rsidRPr="00025910">
        <w:t>within 30 days of the date that:</w:t>
      </w:r>
      <w:bookmarkEnd w:id="2042"/>
      <w:bookmarkEnd w:id="2043"/>
      <w:bookmarkEnd w:id="2044"/>
    </w:p>
    <w:p w14:paraId="2D3C2916" w14:textId="7E1F5537" w:rsidR="00F67E9E" w:rsidRPr="006D2212" w:rsidRDefault="00F67E9E" w:rsidP="00F13933">
      <w:pPr>
        <w:pStyle w:val="AppendixText4"/>
        <w:numPr>
          <w:ilvl w:val="3"/>
          <w:numId w:val="52"/>
        </w:numPr>
      </w:pPr>
      <w:r w:rsidRPr="00025910">
        <w:t xml:space="preserve">the credit rating(s) of each of the Supplier and its Parent Undertakings fail to </w:t>
      </w:r>
      <w:r w:rsidRPr="006D2212">
        <w:t xml:space="preserve">meet any of the criteria specified in </w:t>
      </w:r>
      <w:bookmarkStart w:id="2045" w:name="_9kMIH5YVtCIBFOIBCDDjYnyz26sepJFC60ALM9i"/>
      <w:r w:rsidRPr="006D2212">
        <w:t xml:space="preserve">Paragraph </w:t>
      </w:r>
      <w:r w:rsidRPr="006D2212">
        <w:fldChar w:fldCharType="begin"/>
      </w:r>
      <w:r w:rsidRPr="006D2212">
        <w:instrText xml:space="preserve"> REF _Ref_ContractCompanion_9kb9Us9HJ \n \h \t \* MERGEFORMAT </w:instrText>
      </w:r>
      <w:r w:rsidRPr="006D2212">
        <w:fldChar w:fldCharType="separate"/>
      </w:r>
      <w:r w:rsidR="007A1473">
        <w:t>2.10</w:t>
      </w:r>
      <w:r w:rsidRPr="006D2212">
        <w:fldChar w:fldCharType="end"/>
      </w:r>
      <w:bookmarkEnd w:id="2045"/>
      <w:r w:rsidRPr="006D2212">
        <w:t>; or</w:t>
      </w:r>
    </w:p>
    <w:p w14:paraId="7800FFF7" w14:textId="2C0103C2" w:rsidR="00F67E9E" w:rsidRPr="00025910" w:rsidRDefault="00F67E9E" w:rsidP="00F67E9E">
      <w:pPr>
        <w:pStyle w:val="AppendixText4"/>
      </w:pPr>
      <w:r w:rsidRPr="006D2212">
        <w:t>none of</w:t>
      </w:r>
      <w:r w:rsidRPr="00025910">
        <w:t xml:space="preserve"> the credit rating agencies specified at </w:t>
      </w:r>
      <w:bookmarkStart w:id="2046" w:name="_9kMJI5YVtCIBFOIBCDDjYnyz26sepJFC60ALM9i"/>
      <w:r w:rsidRPr="00025910">
        <w:t xml:space="preserve">Paragraph </w:t>
      </w:r>
      <w:r w:rsidRPr="00025910">
        <w:fldChar w:fldCharType="begin"/>
      </w:r>
      <w:r w:rsidRPr="00025910">
        <w:instrText xml:space="preserve"> REF _Ref_ContractCompanion_9kb9Us9HJ \n \h \t \* MERGEFORMAT </w:instrText>
      </w:r>
      <w:r w:rsidRPr="00025910">
        <w:fldChar w:fldCharType="separate"/>
      </w:r>
      <w:r w:rsidR="007A1473">
        <w:t>2.10</w:t>
      </w:r>
      <w:r w:rsidRPr="00025910">
        <w:fldChar w:fldCharType="end"/>
      </w:r>
      <w:bookmarkEnd w:id="2046"/>
      <w:r w:rsidRPr="00025910">
        <w:t xml:space="preserve"> hold a public credit rating for the Supplier or any of its Parent Undertakings; and</w:t>
      </w:r>
    </w:p>
    <w:p w14:paraId="596891CD" w14:textId="77777777" w:rsidR="00F67E9E" w:rsidRPr="00025910" w:rsidRDefault="00F67E9E" w:rsidP="00F13933">
      <w:pPr>
        <w:pStyle w:val="AppendixText3"/>
        <w:numPr>
          <w:ilvl w:val="2"/>
          <w:numId w:val="52"/>
        </w:numPr>
      </w:pPr>
      <w:bookmarkStart w:id="2047" w:name="_Ref_ContractCompanion_9kb9Ur366"/>
      <w:bookmarkStart w:id="2048" w:name="_Ref_ContractCompanion_9kb9UsAA3"/>
      <w:bookmarkStart w:id="2049" w:name="_9kR3WTrAG9EE9BAIvjunoD534xDNDBB18XKGIOJ"/>
      <w:r w:rsidRPr="00025910">
        <w:t>in any event, within 6 months after each Accounting Reference Date or within 15 months of the date of the previous Assurance received from the Relevant Authority (whichever is the earlier), unless:</w:t>
      </w:r>
      <w:bookmarkEnd w:id="2047"/>
      <w:bookmarkEnd w:id="2048"/>
      <w:bookmarkEnd w:id="2049"/>
    </w:p>
    <w:p w14:paraId="1BAE550B" w14:textId="639C93D5" w:rsidR="00F67E9E" w:rsidRPr="006D2212" w:rsidRDefault="00F67E9E" w:rsidP="00F13933">
      <w:pPr>
        <w:pStyle w:val="AppendixText4"/>
        <w:numPr>
          <w:ilvl w:val="3"/>
          <w:numId w:val="52"/>
        </w:numPr>
      </w:pPr>
      <w:r w:rsidRPr="00025910">
        <w:t xml:space="preserve">updated CRP Information has been provided under any of </w:t>
      </w:r>
      <w:bookmarkStart w:id="2050" w:name="_9kMHG5YVtCIBFOLECKuw533t0KP2m8RI6CF198x"/>
      <w:r w:rsidRPr="006D2212">
        <w:t>Paragraphs </w:t>
      </w:r>
      <w:r w:rsidRPr="006D2212">
        <w:fldChar w:fldCharType="begin"/>
      </w:r>
      <w:r w:rsidRPr="006D2212">
        <w:instrText xml:space="preserve"> REF _Ref_ContractCompanion_9kb9Us9ID \w \h \t \* MERGEFORMAT </w:instrText>
      </w:r>
      <w:r w:rsidRPr="006D2212">
        <w:fldChar w:fldCharType="separate"/>
      </w:r>
      <w:r w:rsidR="007A1473">
        <w:t>2.8.1</w:t>
      </w:r>
      <w:r w:rsidRPr="006D2212">
        <w:fldChar w:fldCharType="end"/>
      </w:r>
      <w:bookmarkEnd w:id="2050"/>
      <w:r w:rsidRPr="006D2212">
        <w:t xml:space="preserve"> </w:t>
      </w:r>
      <w:bookmarkStart w:id="2051" w:name="_9kMHG5YVtCIBFOOHCKvx533t0MNym8RI6tRaMOM"/>
      <w:r w:rsidRPr="006D2212">
        <w:fldChar w:fldCharType="begin"/>
      </w:r>
      <w:r w:rsidRPr="006D2212">
        <w:instrText xml:space="preserve"> REF _Ref_ContractCompanion_9kb9Us9IG \w \h \t \* MERGEFORMAT </w:instrText>
      </w:r>
      <w:r w:rsidRPr="006D2212">
        <w:fldChar w:fldCharType="separate"/>
      </w:r>
      <w:r w:rsidR="007A1473">
        <w:t>2.8.2</w:t>
      </w:r>
      <w:r w:rsidRPr="006D2212">
        <w:fldChar w:fldCharType="end"/>
      </w:r>
      <w:bookmarkEnd w:id="2051"/>
      <w:r w:rsidRPr="006D2212">
        <w:t xml:space="preserve"> or </w:t>
      </w:r>
      <w:bookmarkStart w:id="2052" w:name="_9kMHG5YVtCIBGG8ACKwy533t0MNym8RI6CF1yvC"/>
      <w:r w:rsidRPr="006D2212">
        <w:fldChar w:fldCharType="begin"/>
      </w:r>
      <w:r w:rsidRPr="006D2212">
        <w:instrText xml:space="preserve"> REF _Ref_ContractCompanion_9kb9Us9IJ \w \h \t \* MERGEFORMAT </w:instrText>
      </w:r>
      <w:r w:rsidRPr="006D2212">
        <w:fldChar w:fldCharType="separate"/>
      </w:r>
      <w:r w:rsidR="007A1473">
        <w:t>2.8.3</w:t>
      </w:r>
      <w:r w:rsidRPr="006D2212">
        <w:fldChar w:fldCharType="end"/>
      </w:r>
      <w:bookmarkEnd w:id="2052"/>
      <w:r w:rsidRPr="006D2212">
        <w:t xml:space="preserve"> since the most recent Accounting Reference Date (being no more than 12 months previously) within the timescales that would ordinarily be required for the provision of that information under this </w:t>
      </w:r>
      <w:bookmarkStart w:id="2053" w:name="_9kMHG5YVtCIBGGBDCKxlwpqF756zFPFDD3AZMIK"/>
      <w:r w:rsidRPr="006D2212">
        <w:t xml:space="preserve">Paragraph </w:t>
      </w:r>
      <w:r w:rsidRPr="006D2212">
        <w:fldChar w:fldCharType="begin"/>
      </w:r>
      <w:r w:rsidRPr="006D2212">
        <w:instrText xml:space="preserve"> REF _Ref_ContractCompanion_9kb9UsAA3 \w \h \t \* MERGEFORMAT </w:instrText>
      </w:r>
      <w:r w:rsidRPr="006D2212">
        <w:fldChar w:fldCharType="separate"/>
      </w:r>
      <w:r w:rsidR="007A1473">
        <w:t>2.8.4</w:t>
      </w:r>
      <w:r w:rsidRPr="006D2212">
        <w:fldChar w:fldCharType="end"/>
      </w:r>
      <w:bookmarkEnd w:id="2053"/>
      <w:r w:rsidRPr="006D2212">
        <w:t>; or</w:t>
      </w:r>
    </w:p>
    <w:p w14:paraId="0A014C3C" w14:textId="1C520367" w:rsidR="00F67E9E" w:rsidRPr="00025910" w:rsidRDefault="00F67E9E" w:rsidP="00F67E9E">
      <w:pPr>
        <w:pStyle w:val="AppendixText4"/>
      </w:pPr>
      <w:r w:rsidRPr="006D2212">
        <w:t>un</w:t>
      </w:r>
      <w:r w:rsidRPr="00025910">
        <w:t xml:space="preserve">less not required pursuant to </w:t>
      </w:r>
      <w:bookmarkStart w:id="2054" w:name="_9kMKJ5YVtCIBFOIBCDDjYnyz26sepJFC60ALM9i"/>
      <w:r w:rsidRPr="00025910">
        <w:t xml:space="preserve">Paragraph </w:t>
      </w:r>
      <w:r w:rsidRPr="00025910">
        <w:fldChar w:fldCharType="begin"/>
      </w:r>
      <w:r w:rsidRPr="00025910">
        <w:instrText xml:space="preserve"> REF _Ref_ContractCompanion_9kb9Us9HJ \n \h \t \* MERGEFORMAT </w:instrText>
      </w:r>
      <w:r w:rsidRPr="00025910">
        <w:fldChar w:fldCharType="separate"/>
      </w:r>
      <w:r w:rsidR="007A1473">
        <w:t>2.10</w:t>
      </w:r>
      <w:r w:rsidRPr="00025910">
        <w:fldChar w:fldCharType="end"/>
      </w:r>
      <w:bookmarkEnd w:id="2054"/>
      <w:r w:rsidRPr="00025910">
        <w:t>.</w:t>
      </w:r>
    </w:p>
    <w:p w14:paraId="6ED646FA" w14:textId="15496AD7" w:rsidR="00F67E9E" w:rsidRPr="006D2212" w:rsidRDefault="00F67E9E" w:rsidP="00F67E9E">
      <w:pPr>
        <w:pStyle w:val="AppendixText2"/>
      </w:pPr>
      <w:bookmarkStart w:id="2055" w:name="_Ref_ContractCompanion_9kb9Ur2CC"/>
      <w:r w:rsidRPr="00025910">
        <w:t xml:space="preserve">Where the Supplier is a Public Sector Dependent Supplier and this Contract is not a Critical Service Contract, then on the occurrence of any of the events specified in </w:t>
      </w:r>
      <w:bookmarkStart w:id="2056" w:name="_9kR3WTr2CC79DcEnoewrqy2NKS2"/>
      <w:r w:rsidRPr="00025910">
        <w:t xml:space="preserve">Paragraphs </w:t>
      </w:r>
      <w:r w:rsidRPr="00025910">
        <w:fldChar w:fldCharType="begin"/>
      </w:r>
      <w:r w:rsidRPr="00025910">
        <w:instrText xml:space="preserve"> REF _Ref_ContractCompanion_9kb9Ur357 \w \h \t \* MERGEFORMAT </w:instrText>
      </w:r>
      <w:r w:rsidRPr="00025910">
        <w:fldChar w:fldCharType="separate"/>
      </w:r>
      <w:r w:rsidR="007A1473">
        <w:t>2.8.1</w:t>
      </w:r>
      <w:r w:rsidRPr="00025910">
        <w:fldChar w:fldCharType="end"/>
      </w:r>
      <w:bookmarkEnd w:id="2056"/>
      <w:r w:rsidRPr="00025910">
        <w:t xml:space="preserve"> to </w:t>
      </w:r>
      <w:bookmarkStart w:id="2057" w:name="_9kR3WTr2CC7ACo"/>
      <w:r w:rsidRPr="00025910">
        <w:fldChar w:fldCharType="begin"/>
      </w:r>
      <w:r w:rsidRPr="00025910">
        <w:instrText xml:space="preserve"> REF _Ref_ContractCompanion_9kb9Ur366 \w \n \h \t \* MERGEFORMAT </w:instrText>
      </w:r>
      <w:r w:rsidRPr="00025910">
        <w:fldChar w:fldCharType="separate"/>
      </w:r>
      <w:r w:rsidR="007A1473">
        <w:t>2.8.4</w:t>
      </w:r>
      <w:r w:rsidRPr="00025910">
        <w:fldChar w:fldCharType="end"/>
      </w:r>
      <w:bookmarkEnd w:id="2057"/>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xml:space="preserve">, the Supplier shall provide at the request of the </w:t>
      </w:r>
      <w:r w:rsidRPr="00025910">
        <w:lastRenderedPageBreak/>
        <w:t xml:space="preserve">Relevant Authority or Relevant Authorities and within the applicable timescales for each event as set out in </w:t>
      </w:r>
      <w:bookmarkStart w:id="2058" w:name="_9kMIH5YVtCIBEGCCCKcHz2s4XG43r013JFF8TfI"/>
      <w:r w:rsidRPr="00025910">
        <w:t xml:space="preserve">Paragraph </w:t>
      </w:r>
      <w:r w:rsidRPr="00025910">
        <w:fldChar w:fldCharType="begin"/>
      </w:r>
      <w:r w:rsidRPr="00025910">
        <w:instrText xml:space="preserve"> REF _Ref_ContractCompanion_9kb9Us8A4 \n \h \t \* MERGEFORMAT </w:instrText>
      </w:r>
      <w:r w:rsidRPr="00025910">
        <w:fldChar w:fldCharType="separate"/>
      </w:r>
      <w:r w:rsidR="007A1473">
        <w:t>2.8</w:t>
      </w:r>
      <w:r w:rsidRPr="00025910">
        <w:fldChar w:fldCharType="end"/>
      </w:r>
      <w:bookmarkEnd w:id="2058"/>
      <w:r w:rsidRPr="00025910">
        <w:t xml:space="preserve"> (or such longer timescales as may be notified to the Supplier by the Authority), the CRP Information to the Relevant Authority or Relevant </w:t>
      </w:r>
      <w:r w:rsidRPr="006D2212">
        <w:t>Authorities.</w:t>
      </w:r>
      <w:bookmarkEnd w:id="2055"/>
    </w:p>
    <w:p w14:paraId="2D6DD2F7" w14:textId="77777777" w:rsidR="00F67E9E" w:rsidRPr="00025910" w:rsidRDefault="00F67E9E" w:rsidP="00F67E9E">
      <w:pPr>
        <w:pStyle w:val="AppendixText2"/>
      </w:pPr>
      <w:bookmarkStart w:id="2059" w:name="_Ref_ContractCompanion_9kb9Ur2AF"/>
      <w:bookmarkStart w:id="2060" w:name="_Ref_ContractCompanion_9kb9Us9HJ"/>
      <w:bookmarkStart w:id="2061" w:name="_9kR3WTrAG9DMG9ABBhWlwx04qcnHDA4y8JK7gbA"/>
      <w:r w:rsidRPr="006D2212">
        <w:t>Wher</w:t>
      </w:r>
      <w:r w:rsidRPr="00025910">
        <w:t>e the Supplier or a Parent Undertaking of the Supplier has a credit rating of either:</w:t>
      </w:r>
      <w:bookmarkEnd w:id="2059"/>
      <w:bookmarkEnd w:id="2060"/>
      <w:bookmarkEnd w:id="2061"/>
    </w:p>
    <w:p w14:paraId="6943282B" w14:textId="77777777" w:rsidR="00F67E9E" w:rsidRPr="006D2212" w:rsidRDefault="00F67E9E" w:rsidP="00F13933">
      <w:pPr>
        <w:pStyle w:val="AppendixText3"/>
        <w:numPr>
          <w:ilvl w:val="2"/>
          <w:numId w:val="52"/>
        </w:numPr>
      </w:pPr>
      <w:r w:rsidRPr="00025910">
        <w:t xml:space="preserve">Aa3 or better </w:t>
      </w:r>
      <w:r w:rsidRPr="006D2212">
        <w:t>from Moody’s; or</w:t>
      </w:r>
    </w:p>
    <w:p w14:paraId="5068DCAD" w14:textId="77777777" w:rsidR="00F67E9E" w:rsidRPr="006D2212" w:rsidRDefault="00F67E9E" w:rsidP="00F67E9E">
      <w:pPr>
        <w:pStyle w:val="AppendixText3"/>
      </w:pPr>
      <w:r w:rsidRPr="006D2212">
        <w:t>AA- or better from Standard and Poor’s; or</w:t>
      </w:r>
    </w:p>
    <w:p w14:paraId="61E6B7A1" w14:textId="77777777" w:rsidR="00F67E9E" w:rsidRPr="00025910" w:rsidRDefault="00F67E9E" w:rsidP="00F67E9E">
      <w:pPr>
        <w:pStyle w:val="AppendixText3"/>
      </w:pPr>
      <w:r w:rsidRPr="006D2212">
        <w:t>AA- or better from</w:t>
      </w:r>
      <w:r w:rsidRPr="00025910">
        <w:t xml:space="preserve"> Fitch;</w:t>
      </w:r>
    </w:p>
    <w:p w14:paraId="6B1F9312" w14:textId="51B7A8D0" w:rsidR="00F67E9E" w:rsidRPr="00025910" w:rsidRDefault="00F67E9E" w:rsidP="00F67E9E">
      <w:pPr>
        <w:pStyle w:val="StdBodyText2"/>
        <w:rPr>
          <w:rFonts w:cs="Arial"/>
        </w:rPr>
      </w:pPr>
      <w:r w:rsidRPr="00025910">
        <w:rPr>
          <w:rFonts w:cs="Arial"/>
        </w:rPr>
        <w:t xml:space="preserve">the Supplier will not be required to provide any CRP Information unless or until either (i) a Financial Distress Event occurs (unless the Supplier is relieved of the consequences of the Financial Distress Event under </w:t>
      </w:r>
      <w:bookmarkStart w:id="2062" w:name="_9kMHG5YVt4EE9BCbGpqgyts0JR"/>
      <w:r w:rsidRPr="00025910">
        <w:rPr>
          <w:rFonts w:cs="Arial"/>
        </w:rPr>
        <w:t xml:space="preserve">Paragraph </w:t>
      </w:r>
      <w:r w:rsidRPr="00025910">
        <w:rPr>
          <w:rFonts w:cs="Arial"/>
        </w:rPr>
        <w:fldChar w:fldCharType="begin"/>
      </w:r>
      <w:r w:rsidRPr="00025910">
        <w:rPr>
          <w:rFonts w:cs="Arial"/>
        </w:rPr>
        <w:instrText xml:space="preserve"> REF _Ref_ContractCompanion_9kb9Ur354 \n \h \t \* MERGEFORMAT </w:instrText>
      </w:r>
      <w:r w:rsidRPr="00025910">
        <w:rPr>
          <w:rFonts w:cs="Arial"/>
        </w:rPr>
      </w:r>
      <w:r w:rsidRPr="00025910">
        <w:rPr>
          <w:rFonts w:cs="Arial"/>
        </w:rPr>
        <w:fldChar w:fldCharType="separate"/>
      </w:r>
      <w:r w:rsidR="007A1473">
        <w:rPr>
          <w:rFonts w:cs="Arial"/>
        </w:rPr>
        <w:t>7.1</w:t>
      </w:r>
      <w:r w:rsidRPr="00025910">
        <w:rPr>
          <w:rFonts w:cs="Arial"/>
        </w:rPr>
        <w:fldChar w:fldCharType="end"/>
      </w:r>
      <w:bookmarkEnd w:id="2062"/>
      <w:r w:rsidRPr="00025910">
        <w:rPr>
          <w:rFonts w:cs="Arial"/>
        </w:rPr>
        <w:t xml:space="preserve"> of </w:t>
      </w:r>
      <w:r>
        <w:rPr>
          <w:rFonts w:cs="Arial"/>
        </w:rPr>
        <w:fldChar w:fldCharType="begin"/>
      </w:r>
      <w:r>
        <w:rPr>
          <w:rFonts w:cs="Arial"/>
        </w:rPr>
        <w:instrText xml:space="preserve"> REF Schedule18 \h </w:instrText>
      </w:r>
      <w:r>
        <w:rPr>
          <w:rFonts w:cs="Arial"/>
        </w:rPr>
      </w:r>
      <w:r>
        <w:rPr>
          <w:rFonts w:cs="Arial"/>
        </w:rPr>
        <w:fldChar w:fldCharType="separate"/>
      </w:r>
      <w:r w:rsidR="007A1473" w:rsidRPr="005D0525">
        <w:t>Schedule</w:t>
      </w:r>
      <w:r w:rsidR="007A1473">
        <w:t> </w:t>
      </w:r>
      <w:r w:rsidR="007A1473" w:rsidRPr="005D0525">
        <w:t>18</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Schedule18Heading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Financial Distress</w:t>
      </w:r>
      <w:r w:rsidRPr="002F30DB">
        <w:rPr>
          <w:rFonts w:cs="Arial"/>
          <w:i/>
          <w:iCs/>
        </w:rPr>
        <w:fldChar w:fldCharType="end"/>
      </w:r>
      <w:r>
        <w:rPr>
          <w:rFonts w:cs="Arial"/>
        </w:rPr>
        <w:t>)</w:t>
      </w:r>
      <w:r w:rsidRPr="00025910">
        <w:rPr>
          <w:rFonts w:cs="Arial"/>
        </w:rPr>
        <w:t xml:space="preserve">) or (ii) the Supplier and its Parent Undertakings cease to fulfil the criteria set out in this </w:t>
      </w:r>
      <w:bookmarkStart w:id="2063" w:name="_9kMLK5YVtCIBFOIBCDDjYnyz26sepJFC60ALM9i"/>
      <w:r w:rsidRPr="00025910">
        <w:rPr>
          <w:rFonts w:cs="Arial"/>
        </w:rPr>
        <w:t xml:space="preserve">Paragraph </w:t>
      </w:r>
      <w:r w:rsidRPr="00025910">
        <w:rPr>
          <w:rFonts w:cs="Arial"/>
        </w:rPr>
        <w:fldChar w:fldCharType="begin"/>
      </w:r>
      <w:r w:rsidRPr="00025910">
        <w:rPr>
          <w:rFonts w:cs="Arial"/>
        </w:rPr>
        <w:instrText xml:space="preserve"> REF _Ref_ContractCompanion_9kb9Us9HJ \n \h \t \* MERGEFORMAT </w:instrText>
      </w:r>
      <w:r w:rsidRPr="00025910">
        <w:rPr>
          <w:rFonts w:cs="Arial"/>
        </w:rPr>
      </w:r>
      <w:r w:rsidRPr="00025910">
        <w:rPr>
          <w:rFonts w:cs="Arial"/>
        </w:rPr>
        <w:fldChar w:fldCharType="separate"/>
      </w:r>
      <w:r w:rsidR="007A1473">
        <w:rPr>
          <w:rFonts w:cs="Arial"/>
        </w:rPr>
        <w:t>2.10</w:t>
      </w:r>
      <w:r w:rsidRPr="00025910">
        <w:rPr>
          <w:rFonts w:cs="Arial"/>
        </w:rPr>
        <w:fldChar w:fldCharType="end"/>
      </w:r>
      <w:bookmarkEnd w:id="2063"/>
      <w:r w:rsidRPr="00025910">
        <w:rPr>
          <w:rFonts w:cs="Arial"/>
        </w:rPr>
        <w:t xml:space="preserve">, in which cases the Supplier shall provide the updated version of the CRP Information in accordance with </w:t>
      </w:r>
      <w:bookmarkStart w:id="2064" w:name="_9kMJI5YVtCIBEGCCCKcHz2s4XG43r013JFF8TfI"/>
      <w:r w:rsidRPr="00025910">
        <w:rPr>
          <w:rFonts w:cs="Arial"/>
        </w:rPr>
        <w:t xml:space="preserve">Paragraph </w:t>
      </w:r>
      <w:r w:rsidRPr="00025910">
        <w:rPr>
          <w:rFonts w:cs="Arial"/>
        </w:rPr>
        <w:fldChar w:fldCharType="begin"/>
      </w:r>
      <w:r w:rsidRPr="00025910">
        <w:rPr>
          <w:rFonts w:cs="Arial"/>
        </w:rPr>
        <w:instrText xml:space="preserve"> REF _Ref_ContractCompanion_9kb9Us8A4 \n \h \t \* MERGEFORMAT </w:instrText>
      </w:r>
      <w:r w:rsidRPr="00025910">
        <w:rPr>
          <w:rFonts w:cs="Arial"/>
        </w:rPr>
      </w:r>
      <w:r w:rsidRPr="00025910">
        <w:rPr>
          <w:rFonts w:cs="Arial"/>
        </w:rPr>
        <w:fldChar w:fldCharType="separate"/>
      </w:r>
      <w:r w:rsidR="007A1473">
        <w:rPr>
          <w:rFonts w:cs="Arial"/>
        </w:rPr>
        <w:t>2.8</w:t>
      </w:r>
      <w:r w:rsidRPr="00025910">
        <w:rPr>
          <w:rFonts w:cs="Arial"/>
        </w:rPr>
        <w:fldChar w:fldCharType="end"/>
      </w:r>
      <w:bookmarkEnd w:id="2064"/>
      <w:r w:rsidRPr="00025910">
        <w:rPr>
          <w:rFonts w:cs="Arial"/>
        </w:rPr>
        <w:t xml:space="preserve">. </w:t>
      </w:r>
    </w:p>
    <w:p w14:paraId="355A15D9" w14:textId="5DAC721D" w:rsidR="00F67E9E" w:rsidRPr="00025910" w:rsidRDefault="00F67E9E" w:rsidP="00F67E9E">
      <w:pPr>
        <w:pStyle w:val="AppendixText2"/>
      </w:pPr>
      <w:bookmarkStart w:id="2065" w:name="_Ref_ContractCompanion_9kb9Ur2AI"/>
      <w:bookmarkStart w:id="2066" w:name="_Ref_ContractCompanion_9kb9Ur348"/>
      <w:r w:rsidRPr="00025910">
        <w:t xml:space="preserve">Subject to </w:t>
      </w:r>
      <w:bookmarkStart w:id="2067" w:name="_9kR3WTr2BCEECcEnoewrqyBL"/>
      <w:r w:rsidRPr="00025910">
        <w:t xml:space="preserve">Paragraph </w:t>
      </w:r>
      <w:r w:rsidRPr="00025910">
        <w:fldChar w:fldCharType="begin"/>
      </w:r>
      <w:r w:rsidRPr="00025910">
        <w:instrText xml:space="preserve"> REF _Ref_ContractCompanion_9kb9UsAA6 \w \n \h \t \* MERGEFORMAT </w:instrText>
      </w:r>
      <w:r w:rsidRPr="00025910">
        <w:fldChar w:fldCharType="separate"/>
      </w:r>
      <w:r w:rsidR="007A1473">
        <w:t>4</w:t>
      </w:r>
      <w:r w:rsidRPr="00025910">
        <w:fldChar w:fldCharType="end"/>
      </w:r>
      <w:bookmarkEnd w:id="2067"/>
      <w:r w:rsidRPr="00025910">
        <w:t xml:space="preserve">, where the Supplier demonstrates to the reasonable satisfaction of the Relevant Authority or Relevant Authorities that a particular item of CRP Information is highly confidential, the Supplier may, having orally disclosed and discussed that information with the Relevant Authority or Relevant Authorities, redact or omit that information from the CRP Information provided that if a Financial Distress Event occurs, this exemption shall no longer apply and the Supplier shall promptly provide the relevant information to the Relevant Authority or Relevant Authorities to the extent required under </w:t>
      </w:r>
      <w:bookmarkStart w:id="2068" w:name="_9kMKJ5YVtCIBEGCCCKcHz2s4XG43r013JFF8TfI"/>
      <w:r w:rsidRPr="00025910">
        <w:t xml:space="preserve">Paragraph </w:t>
      </w:r>
      <w:r w:rsidRPr="00025910">
        <w:fldChar w:fldCharType="begin"/>
      </w:r>
      <w:r w:rsidRPr="00025910">
        <w:instrText xml:space="preserve"> REF _Ref_ContractCompanion_9kb9Us8A4 \n \h \t \* MERGEFORMAT </w:instrText>
      </w:r>
      <w:r w:rsidRPr="00025910">
        <w:fldChar w:fldCharType="separate"/>
      </w:r>
      <w:r w:rsidR="007A1473">
        <w:t>2.8</w:t>
      </w:r>
      <w:r w:rsidRPr="00025910">
        <w:fldChar w:fldCharType="end"/>
      </w:r>
      <w:bookmarkEnd w:id="2068"/>
      <w:r w:rsidRPr="00025910">
        <w:t>.</w:t>
      </w:r>
      <w:bookmarkEnd w:id="2065"/>
      <w:bookmarkEnd w:id="2066"/>
    </w:p>
    <w:p w14:paraId="5C04E67E" w14:textId="77777777" w:rsidR="00F67E9E" w:rsidRPr="00631338" w:rsidRDefault="00F67E9E" w:rsidP="00F13933">
      <w:pPr>
        <w:pStyle w:val="AppendixText1"/>
        <w:numPr>
          <w:ilvl w:val="0"/>
          <w:numId w:val="52"/>
        </w:numPr>
        <w:rPr>
          <w:color w:val="1F497D"/>
        </w:rPr>
      </w:pPr>
      <w:bookmarkStart w:id="2069" w:name="_Ref44571578"/>
      <w:r w:rsidRPr="00631338">
        <w:rPr>
          <w:color w:val="1F497D"/>
        </w:rPr>
        <w:t>Termination Rights</w:t>
      </w:r>
      <w:bookmarkEnd w:id="2069"/>
    </w:p>
    <w:p w14:paraId="430B669C" w14:textId="4C553F6B" w:rsidR="00F67E9E" w:rsidRPr="00025910" w:rsidRDefault="00F67E9E" w:rsidP="00F67E9E">
      <w:pPr>
        <w:pStyle w:val="AppendixText2"/>
      </w:pPr>
      <w:r w:rsidRPr="00025910">
        <w:t xml:space="preserve">The Authority shall be entitled to terminate this Contract under </w:t>
      </w:r>
      <w:bookmarkStart w:id="2070" w:name="_9kMJI5YVt4EE7BJTEjtCx9MLu"/>
      <w:bookmarkStart w:id="2071" w:name="_9kMIH5YVt4EE7CDMEjtCx9MLu"/>
      <w:r w:rsidRPr="00025910">
        <w:t>Clause 31.1(b)</w:t>
      </w:r>
      <w:bookmarkEnd w:id="2070"/>
      <w:bookmarkEnd w:id="2071"/>
      <w:r w:rsidRPr="00025910">
        <w:t xml:space="preserve"> (</w:t>
      </w:r>
      <w:r w:rsidRPr="00025910">
        <w:rPr>
          <w:i/>
        </w:rPr>
        <w:t>Termination by the Authority</w:t>
      </w:r>
      <w:r w:rsidRPr="00025910">
        <w:t xml:space="preserve">) if the Supplier is required to provide CRP Information under </w:t>
      </w:r>
      <w:bookmarkStart w:id="2072" w:name="_9kR3WTr2CC79GfEnoewrqyBJ"/>
      <w:r w:rsidRPr="00025910">
        <w:t xml:space="preserve">Paragraph </w:t>
      </w:r>
      <w:r w:rsidRPr="00025910">
        <w:fldChar w:fldCharType="begin"/>
      </w:r>
      <w:r w:rsidRPr="00025910">
        <w:instrText xml:space="preserve"> REF _Ref_ContractCompanion_9kb9Ur35A \w \n \h \t \* MERGEFORMAT </w:instrText>
      </w:r>
      <w:r w:rsidRPr="00025910">
        <w:fldChar w:fldCharType="separate"/>
      </w:r>
      <w:r w:rsidR="007A1473">
        <w:t>2</w:t>
      </w:r>
      <w:r w:rsidRPr="00025910">
        <w:fldChar w:fldCharType="end"/>
      </w:r>
      <w:bookmarkEnd w:id="2072"/>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xml:space="preserve"> and either:</w:t>
      </w:r>
    </w:p>
    <w:p w14:paraId="276C4BA9" w14:textId="77777777" w:rsidR="00F67E9E" w:rsidRPr="006D2212" w:rsidRDefault="00F67E9E" w:rsidP="00F13933">
      <w:pPr>
        <w:pStyle w:val="AppendixText3"/>
        <w:numPr>
          <w:ilvl w:val="2"/>
          <w:numId w:val="52"/>
        </w:numPr>
      </w:pPr>
      <w:r w:rsidRPr="00025910">
        <w:t xml:space="preserve">the Supplier fails to provide the CRP Information within 4 months of the Effective Date if this is a Critical Service Contract or otherwise within 4 months of the Relevant </w:t>
      </w:r>
      <w:r w:rsidRPr="006D2212">
        <w:t>Authority’s or Relevant Authorities’ request; or</w:t>
      </w:r>
    </w:p>
    <w:p w14:paraId="009F55D6" w14:textId="77777777" w:rsidR="00F67E9E" w:rsidRPr="00025910" w:rsidRDefault="00F67E9E" w:rsidP="00F67E9E">
      <w:pPr>
        <w:pStyle w:val="AppendixText3"/>
      </w:pPr>
      <w:r w:rsidRPr="006D2212">
        <w:t>the Supplier fails to obtain an Assurance from the Relevant Authority or Relevant Authorities withi</w:t>
      </w:r>
      <w:r w:rsidRPr="00025910">
        <w:t>n 4 months of the date that it was first required to provide the CRP Information under this Contract.</w:t>
      </w:r>
    </w:p>
    <w:p w14:paraId="7BAC9222" w14:textId="77777777" w:rsidR="00F67E9E" w:rsidRPr="00631338" w:rsidRDefault="00F67E9E" w:rsidP="00F13933">
      <w:pPr>
        <w:pStyle w:val="AppendixText1"/>
        <w:numPr>
          <w:ilvl w:val="0"/>
          <w:numId w:val="52"/>
        </w:numPr>
        <w:rPr>
          <w:color w:val="1F497D"/>
        </w:rPr>
      </w:pPr>
      <w:bookmarkStart w:id="2073" w:name="_Ref_ContractCompanion_9kb9Ur2A9"/>
      <w:bookmarkStart w:id="2074" w:name="_Ref_ContractCompanion_9kb9UsAA6"/>
      <w:r w:rsidRPr="00631338">
        <w:rPr>
          <w:color w:val="1F497D"/>
        </w:rPr>
        <w:t>Confidentiality and usage of CRP Information</w:t>
      </w:r>
      <w:bookmarkEnd w:id="2073"/>
      <w:bookmarkEnd w:id="2074"/>
    </w:p>
    <w:p w14:paraId="266F26AE" w14:textId="77777777" w:rsidR="00F67E9E" w:rsidRPr="00025910" w:rsidRDefault="00F67E9E" w:rsidP="00F67E9E">
      <w:pPr>
        <w:pStyle w:val="AppendixText2"/>
      </w:pPr>
      <w:bookmarkStart w:id="2075" w:name="_Ref_ContractCompanion_9kb9Ur369"/>
      <w:r w:rsidRPr="00025910">
        <w:t>The Authority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bookmarkEnd w:id="2075"/>
    </w:p>
    <w:p w14:paraId="112B97B0" w14:textId="2054706A" w:rsidR="00F67E9E" w:rsidRPr="00025910" w:rsidRDefault="00F67E9E" w:rsidP="00F67E9E">
      <w:pPr>
        <w:pStyle w:val="AppendixText2"/>
      </w:pPr>
      <w:r w:rsidRPr="00025910">
        <w:t>Where the Relevant Authority is the Cabinet Office Markets and Suppliers Team, at the Supplier</w:t>
      </w:r>
      <w:r>
        <w:t>’</w:t>
      </w:r>
      <w:r w:rsidRPr="00025910">
        <w:t xml:space="preserve">s request, the Authority shall use reasonable endeavours to procure that the Cabinet Office enters into a confidentiality and usage agreement with the Supplier </w:t>
      </w:r>
      <w:r w:rsidRPr="00025910">
        <w:lastRenderedPageBreak/>
        <w:t xml:space="preserve">containing terms no less stringent than those placed on the Authority under </w:t>
      </w:r>
      <w:bookmarkStart w:id="2076" w:name="_9kR3WTr2CC7AF3knoewrqyBLM"/>
      <w:r w:rsidRPr="00025910">
        <w:t>Paragraph</w:t>
      </w:r>
      <w:r>
        <w:t> </w:t>
      </w:r>
      <w:r w:rsidRPr="00025910">
        <w:fldChar w:fldCharType="begin"/>
      </w:r>
      <w:r w:rsidRPr="00025910">
        <w:instrText xml:space="preserve"> REF _Ref_ContractCompanion_9kb9Ur369 \n \h \t \* MERGEFORMAT </w:instrText>
      </w:r>
      <w:r w:rsidRPr="00025910">
        <w:fldChar w:fldCharType="separate"/>
      </w:r>
      <w:r w:rsidR="007A1473">
        <w:t>4.1</w:t>
      </w:r>
      <w:r w:rsidRPr="00025910">
        <w:fldChar w:fldCharType="end"/>
      </w:r>
      <w:bookmarkEnd w:id="2076"/>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xml:space="preserve"> and </w:t>
      </w:r>
      <w:bookmarkStart w:id="2077" w:name="_9kR3WTr2CC7AGRChrAv6H"/>
      <w:r w:rsidRPr="00025910">
        <w:t xml:space="preserve">Clause </w:t>
      </w:r>
      <w:bookmarkEnd w:id="2077"/>
      <w:r w:rsidRPr="00025910">
        <w:t>19 (</w:t>
      </w:r>
      <w:r w:rsidRPr="00025910">
        <w:rPr>
          <w:i/>
        </w:rPr>
        <w:t>Confidentiality</w:t>
      </w:r>
      <w:r w:rsidRPr="00025910">
        <w:t>).</w:t>
      </w:r>
    </w:p>
    <w:p w14:paraId="5066F070" w14:textId="42F8516A" w:rsidR="00F67E9E" w:rsidRPr="00025910" w:rsidRDefault="00F67E9E" w:rsidP="00F67E9E">
      <w:pPr>
        <w:pStyle w:val="AppendixText2"/>
      </w:pPr>
      <w:bookmarkStart w:id="2078" w:name="_Ref_ContractCompanion_9kb9Ur36D"/>
      <w:bookmarkStart w:id="2079" w:name="_9kR3WTrAG8DMF9CFgSkWhB74ys2H8rw8IQBBCwB"/>
      <w:r w:rsidRPr="00025910">
        <w:t xml:space="preserve">The Supplier shall use reasonable endeavours to obtain consent from any third party which has restricted the disclosure of the CRP Information to enable disclosure of that information to the Relevant Authority or Relevant Authorities pursuant to </w:t>
      </w:r>
      <w:bookmarkStart w:id="2080" w:name="_9kMHG5YVt4EE9BIhGpqgyts0DL"/>
      <w:r w:rsidRPr="00025910">
        <w:t xml:space="preserve">Paragraph </w:t>
      </w:r>
      <w:r w:rsidRPr="00025910">
        <w:fldChar w:fldCharType="begin"/>
      </w:r>
      <w:r w:rsidRPr="00025910">
        <w:instrText xml:space="preserve"> REF _Ref_ContractCompanion_9kb9Ur35A \w \n \h \t \* MERGEFORMAT </w:instrText>
      </w:r>
      <w:r w:rsidRPr="00025910">
        <w:fldChar w:fldCharType="separate"/>
      </w:r>
      <w:r w:rsidR="007A1473">
        <w:t>2</w:t>
      </w:r>
      <w:r w:rsidRPr="00025910">
        <w:fldChar w:fldCharType="end"/>
      </w:r>
      <w:bookmarkEnd w:id="2080"/>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xml:space="preserve"> subject, where necessary, to the Relevant Authority or Relevant Authorities entering into an appropriate confidentiality agreement in the form required by the third party.</w:t>
      </w:r>
      <w:bookmarkEnd w:id="2078"/>
      <w:bookmarkEnd w:id="2079"/>
    </w:p>
    <w:p w14:paraId="1822C6B1" w14:textId="1C8C58D1" w:rsidR="00F67E9E" w:rsidRPr="00025910" w:rsidRDefault="00F67E9E" w:rsidP="00F67E9E">
      <w:pPr>
        <w:pStyle w:val="AppendixText2"/>
      </w:pPr>
      <w:r w:rsidRPr="00025910">
        <w:t xml:space="preserve">Where the Supplier is unable to procure consent pursuant to </w:t>
      </w:r>
      <w:bookmarkStart w:id="2081" w:name="_9kR3WTr2CC7BAXEnoewrqyBLO"/>
      <w:r w:rsidRPr="00025910">
        <w:t xml:space="preserve">Paragraph </w:t>
      </w:r>
      <w:r w:rsidRPr="00025910">
        <w:fldChar w:fldCharType="begin"/>
      </w:r>
      <w:r w:rsidRPr="00025910">
        <w:instrText xml:space="preserve"> REF _Ref_ContractCompanion_9kb9Ur36D \n \h \t \* MERGEFORMAT </w:instrText>
      </w:r>
      <w:r w:rsidRPr="00025910">
        <w:fldChar w:fldCharType="separate"/>
      </w:r>
      <w:r w:rsidR="007A1473">
        <w:t>4.3</w:t>
      </w:r>
      <w:r w:rsidRPr="00025910">
        <w:fldChar w:fldCharType="end"/>
      </w:r>
      <w:bookmarkEnd w:id="2081"/>
      <w:r w:rsidRPr="00025910">
        <w:t xml:space="preserve"> of this </w:t>
      </w:r>
      <w:r w:rsidRPr="00025910">
        <w:fldChar w:fldCharType="begin"/>
      </w:r>
      <w:r w:rsidRPr="00025910">
        <w:instrText xml:space="preserve"> REF Sch26PartB \h  \* MERGEFORMAT </w:instrText>
      </w:r>
      <w:r w:rsidRPr="00025910">
        <w:fldChar w:fldCharType="separate"/>
      </w:r>
      <w:r w:rsidR="007A1473" w:rsidRPr="00025910">
        <w:t>Part B</w:t>
      </w:r>
      <w:r w:rsidRPr="00025910">
        <w:fldChar w:fldCharType="end"/>
      </w:r>
      <w:r w:rsidRPr="00025910">
        <w:t>, the Supplier shall use all reasonable endeavours to disclose the CRP Information to the fullest extent possible by limiting the amount of information it withholds including by:</w:t>
      </w:r>
    </w:p>
    <w:p w14:paraId="092D2B27" w14:textId="77777777" w:rsidR="00F67E9E" w:rsidRPr="00025910" w:rsidRDefault="00F67E9E" w:rsidP="00F67E9E">
      <w:pPr>
        <w:pStyle w:val="AppendixText3"/>
      </w:pPr>
      <w:r w:rsidRPr="00025910">
        <w:t>redacting only those parts of the information which are subject to such obligations of confidentiality</w:t>
      </w:r>
    </w:p>
    <w:p w14:paraId="24DD2926" w14:textId="77777777" w:rsidR="00F67E9E" w:rsidRPr="00025910" w:rsidRDefault="00F67E9E" w:rsidP="00F67E9E">
      <w:pPr>
        <w:pStyle w:val="AppendixText3"/>
      </w:pPr>
      <w:r w:rsidRPr="00025910">
        <w:t>providing the information in a form that does not breach its obligations of confidentiality including (where possible) by:</w:t>
      </w:r>
    </w:p>
    <w:p w14:paraId="53805033" w14:textId="77777777" w:rsidR="00F67E9E" w:rsidRPr="006D2212" w:rsidRDefault="00F67E9E" w:rsidP="00F13933">
      <w:pPr>
        <w:pStyle w:val="AppendixText4"/>
        <w:numPr>
          <w:ilvl w:val="3"/>
          <w:numId w:val="52"/>
        </w:numPr>
      </w:pPr>
      <w:r w:rsidRPr="006D2212">
        <w:t>summarising the information;</w:t>
      </w:r>
    </w:p>
    <w:p w14:paraId="7C91939C" w14:textId="77777777" w:rsidR="00F67E9E" w:rsidRPr="006D2212" w:rsidRDefault="00F67E9E" w:rsidP="00F67E9E">
      <w:pPr>
        <w:pStyle w:val="AppendixText4"/>
      </w:pPr>
      <w:r w:rsidRPr="006D2212">
        <w:t>grouping the information;</w:t>
      </w:r>
    </w:p>
    <w:p w14:paraId="77D8B4C4" w14:textId="77777777" w:rsidR="00F67E9E" w:rsidRPr="006D2212" w:rsidRDefault="00F67E9E" w:rsidP="00F67E9E">
      <w:pPr>
        <w:pStyle w:val="AppendixText4"/>
      </w:pPr>
      <w:r w:rsidRPr="006D2212">
        <w:t>anonymising the information; and</w:t>
      </w:r>
    </w:p>
    <w:p w14:paraId="4F9BAF06" w14:textId="77777777" w:rsidR="00F67E9E" w:rsidRPr="00025910" w:rsidRDefault="00F67E9E" w:rsidP="00F67E9E">
      <w:pPr>
        <w:pStyle w:val="AppendixText4"/>
      </w:pPr>
      <w:r w:rsidRPr="006D2212">
        <w:t>presenting</w:t>
      </w:r>
      <w:r w:rsidRPr="00025910">
        <w:t xml:space="preserve"> the information in general terms</w:t>
      </w:r>
    </w:p>
    <w:p w14:paraId="229661B5" w14:textId="77777777" w:rsidR="00F67E9E" w:rsidRDefault="00F67E9E" w:rsidP="00F13933">
      <w:pPr>
        <w:pStyle w:val="AppendixText2"/>
        <w:numPr>
          <w:ilvl w:val="1"/>
          <w:numId w:val="52"/>
        </w:numPr>
      </w:pPr>
      <w:r w:rsidRPr="00025910">
        <w:t xml:space="preserve">The Supplier shall provide the Relevant Authority or Relevant Authorities with contact details of any third party which has not provided consent to disclose CRP Information where that third </w:t>
      </w:r>
      <w:r w:rsidRPr="006D2212">
        <w:t>party</w:t>
      </w:r>
      <w:r w:rsidRPr="00025910">
        <w:t xml:space="preserve"> is also a public sector body and where the Supplier is legally permitted to do so.</w:t>
      </w:r>
    </w:p>
    <w:p w14:paraId="7E2F1F23" w14:textId="77777777" w:rsidR="00F67E9E" w:rsidRDefault="00F67E9E" w:rsidP="00F67E9E"/>
    <w:p w14:paraId="70CA7F5E" w14:textId="77777777" w:rsidR="00F67E9E" w:rsidRDefault="00F67E9E" w:rsidP="00F67E9E">
      <w:pPr>
        <w:pStyle w:val="Heading2"/>
        <w:pageBreakBefore/>
        <w:rPr>
          <w:lang w:val="fr-FR"/>
        </w:rPr>
      </w:pPr>
      <w:bookmarkStart w:id="2082" w:name="_Ref_ContractCompanion_9kb9Us9HA"/>
      <w:bookmarkStart w:id="2083" w:name="_Ref_ContractCompanion_9kb9Us9HD"/>
      <w:bookmarkStart w:id="2084" w:name="_Ref92450991"/>
      <w:bookmarkStart w:id="2085" w:name="_9kR3WTrAG9DLJMo4uttpABxAD9k3v3vgduANMlC"/>
      <w:bookmarkStart w:id="2086" w:name="_Toc145412813"/>
      <w:bookmarkEnd w:id="2082"/>
      <w:bookmarkEnd w:id="2083"/>
      <w:r w:rsidRPr="00025910">
        <w:rPr>
          <w:lang w:val="fr-FR"/>
        </w:rPr>
        <w:lastRenderedPageBreak/>
        <w:t xml:space="preserve">Annex </w:t>
      </w:r>
      <w:bookmarkStart w:id="2087" w:name="ANNEX1_PARTB_SCHEDULE26"/>
      <w:r w:rsidRPr="00025910">
        <w:rPr>
          <w:lang w:val="fr-FR"/>
        </w:rPr>
        <w:t>1</w:t>
      </w:r>
      <w:bookmarkEnd w:id="2087"/>
      <w:r w:rsidRPr="00025910">
        <w:rPr>
          <w:lang w:val="fr-FR"/>
        </w:rPr>
        <w:t xml:space="preserve">: </w:t>
      </w:r>
      <w:bookmarkStart w:id="2088" w:name="ANNEX1HEADINGSCHEDULE26"/>
      <w:r w:rsidRPr="00025910">
        <w:rPr>
          <w:lang w:val="fr-FR"/>
        </w:rPr>
        <w:t>Exposure Information (Contracts List)</w:t>
      </w:r>
      <w:bookmarkEnd w:id="2084"/>
      <w:bookmarkEnd w:id="2085"/>
      <w:bookmarkEnd w:id="2086"/>
      <w:bookmarkEnd w:id="2088"/>
    </w:p>
    <w:p w14:paraId="23852A84" w14:textId="77777777" w:rsidR="00F67E9E" w:rsidRPr="00025910" w:rsidRDefault="00F67E9E" w:rsidP="00F13933">
      <w:pPr>
        <w:pStyle w:val="AppendixText1"/>
        <w:numPr>
          <w:ilvl w:val="0"/>
          <w:numId w:val="53"/>
        </w:numPr>
      </w:pPr>
      <w:r w:rsidRPr="00025910">
        <w:t>The Supplier shall:</w:t>
      </w:r>
    </w:p>
    <w:p w14:paraId="46BCDD0C" w14:textId="77777777" w:rsidR="00F67E9E" w:rsidRPr="00025910" w:rsidRDefault="00F67E9E" w:rsidP="00F67E9E">
      <w:pPr>
        <w:pStyle w:val="AppendixText2"/>
      </w:pPr>
      <w:r w:rsidRPr="00025910">
        <w:t xml:space="preserve">provide details of all agreements held by members of the Supplier Group where those </w:t>
      </w:r>
      <w:r w:rsidRPr="006D2212">
        <w:t>agreements</w:t>
      </w:r>
      <w:r w:rsidRPr="00025910">
        <w:t xml:space="preserve"> are for goods, services or works provision and:</w:t>
      </w:r>
    </w:p>
    <w:p w14:paraId="5679000E" w14:textId="41086F35" w:rsidR="00F67E9E" w:rsidRPr="006D2212" w:rsidRDefault="00F67E9E" w:rsidP="00F67E9E">
      <w:pPr>
        <w:pStyle w:val="AppendixText3"/>
      </w:pPr>
      <w:bookmarkStart w:id="2089" w:name="_Ref_ContractCompanion_9kb9UsAA9"/>
      <w:bookmarkStart w:id="2090" w:name="_9kR3WTrAG9EEFHABlpu0533lsHzGcJ6y6y9CxDQ"/>
      <w:r w:rsidRPr="00025910">
        <w:t xml:space="preserve">are with any UK public sector bodies including: </w:t>
      </w:r>
      <w:r w:rsidR="00536C6C">
        <w:t>Crown Bodies</w:t>
      </w:r>
      <w:r w:rsidRPr="00025910">
        <w:t xml:space="preserve"> and their arms-length bodies and agencies, non-departmental public bodies, NHS bodies, local </w:t>
      </w:r>
      <w:r w:rsidRPr="006D2212">
        <w:t>authorities, health bodies, police fire and rescue, education bodies and the devolved administrations;</w:t>
      </w:r>
      <w:bookmarkEnd w:id="2089"/>
      <w:bookmarkEnd w:id="2090"/>
    </w:p>
    <w:p w14:paraId="7B040C19" w14:textId="221EA5DA" w:rsidR="00F67E9E" w:rsidRPr="006D2212" w:rsidRDefault="00F67E9E" w:rsidP="00F67E9E">
      <w:pPr>
        <w:pStyle w:val="AppendixText3"/>
      </w:pPr>
      <w:r w:rsidRPr="006D2212">
        <w:t xml:space="preserve">are with any private sector entities where the end recipient of the service, goods or works provision is any of the bodies set out in </w:t>
      </w:r>
      <w:bookmarkStart w:id="2091" w:name="_9kMHG5YVtCIBGGHJCDnrw2755nuJ1IeL8080BEz"/>
      <w:r w:rsidRPr="006D2212">
        <w:t xml:space="preserve">Paragraph </w:t>
      </w:r>
      <w:bookmarkEnd w:id="2091"/>
      <w:r w:rsidRPr="006D2212">
        <w:fldChar w:fldCharType="begin"/>
      </w:r>
      <w:r w:rsidRPr="006D2212">
        <w:instrText xml:space="preserve"> REF _Ref_ContractCompanion_9kb9UsAA9 \w \h  \* MERGEFORMAT </w:instrText>
      </w:r>
      <w:r w:rsidRPr="006D2212">
        <w:fldChar w:fldCharType="separate"/>
      </w:r>
      <w:r w:rsidR="007A1473">
        <w:t>1.1.1</w:t>
      </w:r>
      <w:r w:rsidRPr="006D2212">
        <w:fldChar w:fldCharType="end"/>
      </w:r>
      <w:r w:rsidRPr="006D2212">
        <w:t xml:space="preserve"> of this </w:t>
      </w:r>
      <w:bookmarkStart w:id="2092" w:name="_9kMKJ5YVtCIBFNLOq6wvvrCDzCFBm5x5xifwCPO"/>
      <w:r w:rsidRPr="006D2212">
        <w:t xml:space="preserve">Annex </w:t>
      </w:r>
      <w:bookmarkEnd w:id="2092"/>
      <w:r w:rsidRPr="006D2212">
        <w:fldChar w:fldCharType="begin"/>
      </w:r>
      <w:r w:rsidRPr="006D2212">
        <w:instrText xml:space="preserve"> REF ANNEX1_PARTB_SCHEDULE26 \h  \* MERGEFORMAT </w:instrText>
      </w:r>
      <w:r w:rsidRPr="006D2212">
        <w:fldChar w:fldCharType="separate"/>
      </w:r>
      <w:r w:rsidR="007A1473" w:rsidRPr="007A1473">
        <w:t>1</w:t>
      </w:r>
      <w:r w:rsidRPr="006D2212">
        <w:fldChar w:fldCharType="end"/>
      </w:r>
      <w:r w:rsidRPr="006D2212">
        <w:t xml:space="preserve"> and where the member of the Supplier Group is acting as a key sub-contractor under the agreement with the end recipient; or</w:t>
      </w:r>
    </w:p>
    <w:p w14:paraId="65511450" w14:textId="77777777" w:rsidR="00F67E9E" w:rsidRPr="00025910" w:rsidRDefault="00F67E9E" w:rsidP="00F67E9E">
      <w:pPr>
        <w:pStyle w:val="AppendixText3"/>
      </w:pPr>
      <w:r w:rsidRPr="006D2212">
        <w:t>involve or could</w:t>
      </w:r>
      <w:r w:rsidRPr="00025910">
        <w:t xml:space="preserve"> reasonably be considered to involve CNI;</w:t>
      </w:r>
    </w:p>
    <w:p w14:paraId="72853D5E" w14:textId="77777777" w:rsidR="00F67E9E" w:rsidRPr="00025910" w:rsidRDefault="00F67E9E" w:rsidP="00F67E9E">
      <w:pPr>
        <w:pStyle w:val="AppendixText2"/>
      </w:pPr>
      <w:r w:rsidRPr="00025910">
        <w:t>provide the Relevant Authority with a copy of the latest version of each underlying contract worth more than £5m per contract year and their related key sub-contracts, which shall be included as embedded documents within the CRP Information or via a directly accessible link.</w:t>
      </w:r>
    </w:p>
    <w:p w14:paraId="7C902619" w14:textId="77777777" w:rsidR="00F67E9E" w:rsidRDefault="00F67E9E" w:rsidP="00F67E9E"/>
    <w:p w14:paraId="41127D1A" w14:textId="77777777" w:rsidR="00F67E9E" w:rsidRDefault="00F67E9E" w:rsidP="00F67E9E">
      <w:pPr>
        <w:pStyle w:val="Heading2"/>
        <w:pageBreakBefore/>
      </w:pPr>
      <w:bookmarkStart w:id="2093" w:name="_Ref92450999"/>
      <w:bookmarkStart w:id="2094" w:name="_Toc145412814"/>
      <w:r w:rsidRPr="00025910">
        <w:lastRenderedPageBreak/>
        <w:t xml:space="preserve">Annex </w:t>
      </w:r>
      <w:bookmarkStart w:id="2095" w:name="ANNEX2_PARTB_SCHEDULE26"/>
      <w:r w:rsidRPr="00025910">
        <w:t>2</w:t>
      </w:r>
      <w:bookmarkEnd w:id="2095"/>
      <w:r w:rsidRPr="00025910">
        <w:t xml:space="preserve">: </w:t>
      </w:r>
      <w:bookmarkStart w:id="2096" w:name="ANNEX2HEADINGSCHEDULE26"/>
      <w:r w:rsidRPr="00025910">
        <w:t>Corporate Resolvability Assessment (Structural Review)</w:t>
      </w:r>
      <w:bookmarkEnd w:id="2093"/>
      <w:bookmarkEnd w:id="2094"/>
      <w:bookmarkEnd w:id="2096"/>
    </w:p>
    <w:p w14:paraId="7D561733" w14:textId="77777777" w:rsidR="00F67E9E" w:rsidRPr="00025910" w:rsidRDefault="00F67E9E" w:rsidP="00F13933">
      <w:pPr>
        <w:pStyle w:val="AppendixText1"/>
        <w:numPr>
          <w:ilvl w:val="0"/>
          <w:numId w:val="54"/>
        </w:numPr>
      </w:pPr>
      <w:r w:rsidRPr="00025910">
        <w:t xml:space="preserve">The </w:t>
      </w:r>
      <w:r w:rsidRPr="006D2212">
        <w:t>Supplier</w:t>
      </w:r>
      <w:r w:rsidRPr="00025910">
        <w:t xml:space="preserve"> shall:</w:t>
      </w:r>
    </w:p>
    <w:p w14:paraId="6AC4E7AD" w14:textId="4160E126" w:rsidR="00F67E9E" w:rsidRPr="006D2212" w:rsidRDefault="00F67E9E" w:rsidP="00F67E9E">
      <w:pPr>
        <w:pStyle w:val="AppendixText2"/>
      </w:pPr>
      <w:r w:rsidRPr="00025910">
        <w:t>provide sufficient information to allow the Relevant Authority to understand the implications on the Supplier Group</w:t>
      </w:r>
      <w:r>
        <w:t>’</w:t>
      </w:r>
      <w:r w:rsidRPr="00025910">
        <w:t xml:space="preserve">s UK Public Sector Business and CNI contracts listed pursuant to Annex </w:t>
      </w:r>
      <w:r w:rsidRPr="00025910">
        <w:fldChar w:fldCharType="begin"/>
      </w:r>
      <w:r w:rsidRPr="00025910">
        <w:instrText xml:space="preserve"> REF ANNEX1_PARTB_SCHEDULE26 \h </w:instrText>
      </w:r>
      <w:r>
        <w:instrText xml:space="preserve"> \* MERGEFORMAT </w:instrText>
      </w:r>
      <w:r w:rsidRPr="00025910">
        <w:fldChar w:fldCharType="separate"/>
      </w:r>
      <w:r w:rsidR="007A1473" w:rsidRPr="007A1473">
        <w:t>1</w:t>
      </w:r>
      <w:r w:rsidRPr="00025910">
        <w:fldChar w:fldCharType="end"/>
      </w:r>
      <w:r w:rsidRPr="00025910">
        <w:t xml:space="preserve"> if the Supplier or another member of the Supplier Group is subject to an Insolvency </w:t>
      </w:r>
      <w:r w:rsidRPr="006D2212">
        <w:t>Event.</w:t>
      </w:r>
    </w:p>
    <w:p w14:paraId="1EF8C445" w14:textId="77777777" w:rsidR="00F67E9E" w:rsidRPr="006D2212" w:rsidRDefault="00F67E9E" w:rsidP="00F67E9E">
      <w:pPr>
        <w:pStyle w:val="AppendixText2"/>
      </w:pPr>
      <w:r w:rsidRPr="006D2212">
        <w:t>ensure that the information is presented so as to provide a simple, effective and easily understood overview of the Supplier Group; and</w:t>
      </w:r>
    </w:p>
    <w:p w14:paraId="488E5E9C" w14:textId="3F4ADFEE" w:rsidR="00F67E9E" w:rsidRPr="00025910" w:rsidRDefault="00F67E9E" w:rsidP="00F67E9E">
      <w:pPr>
        <w:pStyle w:val="AppendixText2"/>
      </w:pPr>
      <w:r w:rsidRPr="006D2212">
        <w:t>provide full details of the importance of each member of the Supplier Group to the Supplier Group’s UK Public Sector Business and CNI contracts listed pursuant to Annex </w:t>
      </w:r>
      <w:r w:rsidRPr="006D2212">
        <w:fldChar w:fldCharType="begin"/>
      </w:r>
      <w:r w:rsidRPr="006D2212">
        <w:instrText xml:space="preserve"> REF ANNEX1_PARTB_SCHEDULE26 \h  \* MERGEFORMAT </w:instrText>
      </w:r>
      <w:r w:rsidRPr="006D2212">
        <w:fldChar w:fldCharType="separate"/>
      </w:r>
      <w:r w:rsidR="007A1473" w:rsidRPr="007A1473">
        <w:t>1</w:t>
      </w:r>
      <w:r w:rsidRPr="006D2212">
        <w:fldChar w:fldCharType="end"/>
      </w:r>
      <w:r w:rsidRPr="006D2212">
        <w:t xml:space="preserve"> and the dependencies</w:t>
      </w:r>
      <w:r w:rsidRPr="00025910">
        <w:t xml:space="preserve"> between each.</w:t>
      </w:r>
    </w:p>
    <w:p w14:paraId="18D074D2" w14:textId="77777777" w:rsidR="00F67E9E" w:rsidRDefault="00F67E9E" w:rsidP="00F67E9E"/>
    <w:p w14:paraId="101E5038" w14:textId="77777777" w:rsidR="00F67E9E" w:rsidRDefault="00F67E9E" w:rsidP="00F67E9E">
      <w:pPr>
        <w:pStyle w:val="Heading2"/>
        <w:pageBreakBefore/>
      </w:pPr>
      <w:bookmarkStart w:id="2097" w:name="_Ref92451004"/>
      <w:bookmarkStart w:id="2098" w:name="_Toc145412815"/>
      <w:r w:rsidRPr="00025910">
        <w:lastRenderedPageBreak/>
        <w:t xml:space="preserve">Annex </w:t>
      </w:r>
      <w:bookmarkStart w:id="2099" w:name="ANNEX3_PARTB_SCHEDULE26"/>
      <w:r w:rsidRPr="00025910">
        <w:t>3</w:t>
      </w:r>
      <w:bookmarkEnd w:id="2099"/>
      <w:r w:rsidRPr="00025910">
        <w:t xml:space="preserve">: </w:t>
      </w:r>
      <w:bookmarkStart w:id="2100" w:name="ANNEX3HEADING_PARTB_SCHEDULE26"/>
      <w:r w:rsidRPr="00025910">
        <w:t>Financial Information And Commentary</w:t>
      </w:r>
      <w:bookmarkEnd w:id="2097"/>
      <w:bookmarkEnd w:id="2098"/>
      <w:bookmarkEnd w:id="2100"/>
    </w:p>
    <w:p w14:paraId="75F82319" w14:textId="77777777" w:rsidR="00F67E9E" w:rsidRPr="00EA7F9C" w:rsidRDefault="00F67E9E" w:rsidP="00F13933">
      <w:pPr>
        <w:pStyle w:val="AppendixText1"/>
        <w:numPr>
          <w:ilvl w:val="0"/>
          <w:numId w:val="55"/>
        </w:numPr>
      </w:pPr>
      <w:r w:rsidRPr="006D2212">
        <w:rPr>
          <w:rFonts w:cs="Arial"/>
        </w:rPr>
        <w:t>The</w:t>
      </w:r>
      <w:r w:rsidRPr="00025910">
        <w:t xml:space="preserve"> </w:t>
      </w:r>
      <w:r w:rsidRPr="006D2212">
        <w:t>Supplier</w:t>
      </w:r>
      <w:r w:rsidRPr="00025910">
        <w:t xml:space="preserve"> shall</w:t>
      </w:r>
      <w:r w:rsidRPr="00EA7F9C">
        <w:t>:</w:t>
      </w:r>
    </w:p>
    <w:p w14:paraId="4B675D1C" w14:textId="77777777" w:rsidR="00F67E9E" w:rsidRPr="006D2212" w:rsidRDefault="00F67E9E" w:rsidP="00F67E9E">
      <w:pPr>
        <w:pStyle w:val="AppendixText2"/>
      </w:pPr>
      <w:r w:rsidRPr="00025910">
        <w:t>provide sufficient financial information for the Supplier Group level, contracting operating entities level, and shared services entities</w:t>
      </w:r>
      <w:r>
        <w:t>’</w:t>
      </w:r>
      <w:r w:rsidRPr="00025910">
        <w:t xml:space="preserve"> level </w:t>
      </w:r>
      <w:r w:rsidRPr="00E34031">
        <w:t xml:space="preserve">to allow the Relevant Authority to understand the current financial interconnectedness of the Supplier Group and the current </w:t>
      </w:r>
      <w:r w:rsidRPr="006D2212">
        <w:t>performance of the Supplier as a standalone entity; and</w:t>
      </w:r>
    </w:p>
    <w:p w14:paraId="576BCBB8" w14:textId="77777777" w:rsidR="00F67E9E" w:rsidRPr="00025910" w:rsidRDefault="00F67E9E" w:rsidP="00F67E9E">
      <w:pPr>
        <w:pStyle w:val="AppendixText2"/>
      </w:pPr>
      <w:r w:rsidRPr="006D2212">
        <w:t>ensure t</w:t>
      </w:r>
      <w:r w:rsidRPr="00025910">
        <w:t>hat the information is presented in a simple, effective and easily understood manner.</w:t>
      </w:r>
    </w:p>
    <w:p w14:paraId="5D7335CC" w14:textId="60E00D08" w:rsidR="00F67E9E" w:rsidRPr="006D2212" w:rsidRDefault="00F67E9E" w:rsidP="00F67E9E">
      <w:pPr>
        <w:pStyle w:val="AppendixText1"/>
        <w:keepNext w:val="0"/>
        <w:rPr>
          <w:b w:val="0"/>
          <w:bCs/>
        </w:rPr>
      </w:pPr>
      <w:r w:rsidRPr="006D2212">
        <w:rPr>
          <w:b w:val="0"/>
          <w:bCs/>
        </w:rPr>
        <w:t xml:space="preserve">For the avoidance of doubt the financial information to be provided pursuant to Paragraph 1 of this Annex </w:t>
      </w:r>
      <w:r w:rsidRPr="006D2212">
        <w:rPr>
          <w:b w:val="0"/>
          <w:bCs/>
        </w:rPr>
        <w:fldChar w:fldCharType="begin"/>
      </w:r>
      <w:r w:rsidRPr="006D2212">
        <w:rPr>
          <w:b w:val="0"/>
          <w:bCs/>
        </w:rPr>
        <w:instrText xml:space="preserve"> REF ANNEX3_PARTB_SCHEDULE26 \h  \* MERGEFORMAT </w:instrText>
      </w:r>
      <w:r w:rsidRPr="006D2212">
        <w:rPr>
          <w:b w:val="0"/>
          <w:bCs/>
        </w:rPr>
      </w:r>
      <w:r w:rsidRPr="006D2212">
        <w:rPr>
          <w:b w:val="0"/>
          <w:bCs/>
        </w:rPr>
        <w:fldChar w:fldCharType="separate"/>
      </w:r>
      <w:r w:rsidR="007A1473" w:rsidRPr="007A1473">
        <w:rPr>
          <w:rFonts w:cs="Arial"/>
          <w:b w:val="0"/>
          <w:bCs/>
        </w:rPr>
        <w:t>3</w:t>
      </w:r>
      <w:r w:rsidRPr="006D2212">
        <w:rPr>
          <w:b w:val="0"/>
          <w:bCs/>
        </w:rPr>
        <w:fldChar w:fldCharType="end"/>
      </w:r>
      <w:r w:rsidRPr="006D2212">
        <w:rPr>
          <w:b w:val="0"/>
          <w:bCs/>
        </w:rPr>
        <w:t xml:space="preserve">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w:t>
      </w:r>
      <w:r w:rsidRPr="006D2212">
        <w:rPr>
          <w:rFonts w:cs="Arial"/>
          <w:b w:val="0"/>
          <w:bCs/>
        </w:rPr>
        <w:fldChar w:fldCharType="begin"/>
      </w:r>
      <w:r w:rsidRPr="006D2212">
        <w:rPr>
          <w:rFonts w:cs="Arial"/>
          <w:b w:val="0"/>
          <w:bCs/>
        </w:rPr>
        <w:instrText xml:space="preserve"> REF Schedule26 \h  \* MERGEFORMAT </w:instrText>
      </w:r>
      <w:r w:rsidRPr="006D2212">
        <w:rPr>
          <w:rFonts w:cs="Arial"/>
          <w:b w:val="0"/>
          <w:bCs/>
        </w:rPr>
      </w:r>
      <w:r w:rsidRPr="006D2212">
        <w:rPr>
          <w:rFonts w:cs="Arial"/>
          <w:b w:val="0"/>
          <w:bCs/>
        </w:rPr>
        <w:fldChar w:fldCharType="separate"/>
      </w:r>
      <w:r w:rsidR="007A1473" w:rsidRPr="007A1473">
        <w:rPr>
          <w:b w:val="0"/>
          <w:bCs/>
        </w:rPr>
        <w:t>Schedule 26</w:t>
      </w:r>
      <w:r w:rsidRPr="006D2212">
        <w:rPr>
          <w:rFonts w:cs="Arial"/>
          <w:b w:val="0"/>
          <w:bCs/>
        </w:rPr>
        <w:fldChar w:fldCharType="end"/>
      </w:r>
      <w:r w:rsidRPr="006D2212">
        <w:rPr>
          <w:rFonts w:cs="Arial"/>
          <w:b w:val="0"/>
          <w:bCs/>
        </w:rPr>
        <w:t xml:space="preserve"> (</w:t>
      </w:r>
      <w:r w:rsidRPr="006D2212">
        <w:rPr>
          <w:rFonts w:cs="Arial"/>
          <w:b w:val="0"/>
          <w:bCs/>
          <w:i/>
          <w:iCs/>
        </w:rPr>
        <w:fldChar w:fldCharType="begin"/>
      </w:r>
      <w:r w:rsidRPr="006D2212">
        <w:rPr>
          <w:rFonts w:cs="Arial"/>
          <w:b w:val="0"/>
          <w:bCs/>
          <w:i/>
          <w:iCs/>
        </w:rPr>
        <w:instrText xml:space="preserve"> REF Schedule26Heading \h  \* MERGEFORMAT </w:instrText>
      </w:r>
      <w:r w:rsidRPr="006D2212">
        <w:rPr>
          <w:rFonts w:cs="Arial"/>
          <w:b w:val="0"/>
          <w:bCs/>
          <w:i/>
          <w:iCs/>
        </w:rPr>
      </w:r>
      <w:r w:rsidRPr="006D2212">
        <w:rPr>
          <w:rFonts w:cs="Arial"/>
          <w:b w:val="0"/>
          <w:bCs/>
          <w:i/>
          <w:iCs/>
        </w:rPr>
        <w:fldChar w:fldCharType="separate"/>
      </w:r>
      <w:r w:rsidR="007A1473" w:rsidRPr="007A1473">
        <w:rPr>
          <w:b w:val="0"/>
          <w:bCs/>
          <w:i/>
          <w:iCs/>
        </w:rPr>
        <w:t>Service Continuity Plan and Corporate Resolution Planning</w:t>
      </w:r>
      <w:r w:rsidRPr="006D2212">
        <w:rPr>
          <w:rFonts w:cs="Arial"/>
          <w:b w:val="0"/>
          <w:bCs/>
          <w:i/>
          <w:iCs/>
        </w:rPr>
        <w:fldChar w:fldCharType="end"/>
      </w:r>
      <w:r w:rsidRPr="006D2212">
        <w:rPr>
          <w:rFonts w:cs="Arial"/>
          <w:b w:val="0"/>
          <w:bCs/>
        </w:rPr>
        <w:t>)</w:t>
      </w:r>
      <w:r w:rsidRPr="006D2212">
        <w:rPr>
          <w:b w:val="0"/>
          <w:bCs/>
        </w:rPr>
        <w:t xml:space="preserve">. If such accounts are not available in that timeframe, financial information should be based on unpublished unaudited accounts or management accounts (disclosure of which to the </w:t>
      </w:r>
      <w:r w:rsidRPr="006D2212">
        <w:rPr>
          <w:rFonts w:cs="Arial"/>
          <w:b w:val="0"/>
          <w:bCs/>
        </w:rPr>
        <w:t>Cabinet Office Markets and Suppliers Team remains protected by confidentiality)</w:t>
      </w:r>
      <w:r w:rsidRPr="006D2212">
        <w:rPr>
          <w:b w:val="0"/>
          <w:bCs/>
        </w:rPr>
        <w:t>.</w:t>
      </w:r>
    </w:p>
    <w:p w14:paraId="27E3B8CA" w14:textId="77777777" w:rsidR="00F67E9E" w:rsidRPr="00025910" w:rsidRDefault="00F67E9E" w:rsidP="00F67E9E">
      <w:pPr>
        <w:rPr>
          <w:rFonts w:cs="Arial"/>
          <w:szCs w:val="24"/>
        </w:rPr>
      </w:pPr>
    </w:p>
    <w:p w14:paraId="6634E384" w14:textId="77777777" w:rsidR="00F67E9E" w:rsidRPr="00025910" w:rsidRDefault="00F67E9E" w:rsidP="00F67E9E">
      <w:pPr>
        <w:rPr>
          <w:rFonts w:cs="Arial"/>
          <w:szCs w:val="24"/>
        </w:rPr>
      </w:pPr>
    </w:p>
    <w:p w14:paraId="16091965" w14:textId="77777777" w:rsidR="00F67E9E" w:rsidRPr="00025910" w:rsidRDefault="00F67E9E" w:rsidP="00F67E9E">
      <w:pPr>
        <w:rPr>
          <w:rFonts w:cs="Arial"/>
          <w:szCs w:val="24"/>
        </w:rPr>
        <w:sectPr w:rsidR="00F67E9E" w:rsidRPr="00025910" w:rsidSect="00240D26">
          <w:headerReference w:type="default" r:id="rId153"/>
          <w:footerReference w:type="default" r:id="rId154"/>
          <w:footerReference w:type="first" r:id="rId155"/>
          <w:pgSz w:w="11900" w:h="16840"/>
          <w:pgMar w:top="1701" w:right="851" w:bottom="1134" w:left="851" w:header="567" w:footer="567" w:gutter="0"/>
          <w:cols w:space="720"/>
          <w:docGrid w:linePitch="360"/>
        </w:sectPr>
      </w:pPr>
    </w:p>
    <w:p w14:paraId="761FF461" w14:textId="77777777" w:rsidR="00F67E9E" w:rsidRPr="00EE4F10" w:rsidRDefault="00F67E9E" w:rsidP="00F67E9E">
      <w:pPr>
        <w:pStyle w:val="Dividername"/>
      </w:pPr>
      <w:r w:rsidRPr="00EE4F10">
        <w:lastRenderedPageBreak/>
        <w:t>Schedule 27</w:t>
      </w:r>
    </w:p>
    <w:p w14:paraId="42EF3263" w14:textId="77777777" w:rsidR="00F67E9E" w:rsidRPr="00EE4F10" w:rsidRDefault="00F67E9E" w:rsidP="00F67E9E">
      <w:pPr>
        <w:pStyle w:val="Dividername"/>
      </w:pPr>
      <w:r w:rsidRPr="00EE4F10">
        <w:t xml:space="preserve">Conduct </w:t>
      </w:r>
      <w:r>
        <w:t>o</w:t>
      </w:r>
      <w:r w:rsidRPr="00EE4F10">
        <w:t>f Claims</w:t>
      </w:r>
    </w:p>
    <w:p w14:paraId="6D6CD142" w14:textId="77777777" w:rsidR="00F67E9E" w:rsidRPr="00025910" w:rsidRDefault="00F67E9E" w:rsidP="00F67E9E">
      <w:pPr>
        <w:rPr>
          <w:szCs w:val="24"/>
        </w:rPr>
      </w:pPr>
    </w:p>
    <w:p w14:paraId="02A4D441" w14:textId="77777777" w:rsidR="00F67E9E" w:rsidRPr="00025910" w:rsidRDefault="00F67E9E" w:rsidP="00F67E9E">
      <w:pPr>
        <w:rPr>
          <w:szCs w:val="24"/>
        </w:rPr>
      </w:pPr>
      <w:r w:rsidRPr="00025910">
        <w:rPr>
          <w:szCs w:val="24"/>
        </w:rPr>
        <w:br w:type="page"/>
      </w:r>
    </w:p>
    <w:p w14:paraId="086F7E16" w14:textId="77777777" w:rsidR="00F67E9E" w:rsidRPr="005D0525" w:rsidRDefault="00F67E9E" w:rsidP="00F67E9E">
      <w:pPr>
        <w:pStyle w:val="Heading1"/>
      </w:pPr>
      <w:bookmarkStart w:id="2101" w:name="Schedule27"/>
      <w:bookmarkStart w:id="2102" w:name="_Ref92200064"/>
      <w:bookmarkStart w:id="2103" w:name="_Toc145412816"/>
      <w:r w:rsidRPr="005D0525">
        <w:lastRenderedPageBreak/>
        <w:t>Schedule</w:t>
      </w:r>
      <w:r>
        <w:t> </w:t>
      </w:r>
      <w:r w:rsidRPr="005D0525">
        <w:t>27</w:t>
      </w:r>
      <w:bookmarkEnd w:id="2101"/>
      <w:r>
        <w:t xml:space="preserve">: </w:t>
      </w:r>
      <w:bookmarkStart w:id="2104" w:name="Schedule27Heading"/>
      <w:r w:rsidRPr="00DD4CC2">
        <w:t>Conduct of Claims</w:t>
      </w:r>
      <w:bookmarkEnd w:id="2102"/>
      <w:bookmarkEnd w:id="2103"/>
      <w:bookmarkEnd w:id="2104"/>
    </w:p>
    <w:p w14:paraId="3844B583" w14:textId="77777777" w:rsidR="00F67E9E" w:rsidRPr="00025910" w:rsidRDefault="00F67E9E" w:rsidP="00E1349E">
      <w:pPr>
        <w:pStyle w:val="Numbered1"/>
        <w:numPr>
          <w:ilvl w:val="0"/>
          <w:numId w:val="180"/>
        </w:numPr>
      </w:pPr>
      <w:r w:rsidRPr="0090174B">
        <w:t>Indemnities</w:t>
      </w:r>
    </w:p>
    <w:p w14:paraId="3EF430CE" w14:textId="77777777" w:rsidR="00F67E9E" w:rsidRPr="00025910" w:rsidRDefault="00F67E9E" w:rsidP="00F67E9E">
      <w:pPr>
        <w:pStyle w:val="Numbered11"/>
      </w:pPr>
      <w:r w:rsidRPr="00025910">
        <w:t xml:space="preserve">This Schedule shall apply to the conduct, by a Party from whom an indemnity is sought under this Contract (the </w:t>
      </w:r>
      <w:r>
        <w:t>“</w:t>
      </w:r>
      <w:r w:rsidRPr="00025910">
        <w:rPr>
          <w:rStyle w:val="StdBodyTextBoldChar"/>
          <w:rFonts w:eastAsiaTheme="majorEastAsia"/>
        </w:rPr>
        <w:t>Indemnifier</w:t>
      </w:r>
      <w:r>
        <w:t>”</w:t>
      </w:r>
      <w:r w:rsidRPr="00025910">
        <w:t xml:space="preserve">), of claims made by a third person against a party having (or claiming to have) the benefit of the indemnity (the </w:t>
      </w:r>
      <w:r>
        <w:t>“</w:t>
      </w:r>
      <w:r w:rsidRPr="00025910">
        <w:rPr>
          <w:rStyle w:val="StdBodyTextBoldChar"/>
          <w:rFonts w:eastAsiaTheme="majorEastAsia"/>
        </w:rPr>
        <w:t>Beneficiary</w:t>
      </w:r>
      <w:r>
        <w:t>”</w:t>
      </w:r>
      <w:r w:rsidRPr="00025910">
        <w:t>).</w:t>
      </w:r>
    </w:p>
    <w:p w14:paraId="390131AB" w14:textId="77777777" w:rsidR="00F67E9E" w:rsidRPr="00025910" w:rsidRDefault="00F67E9E" w:rsidP="00F67E9E">
      <w:pPr>
        <w:pStyle w:val="Numbered11"/>
      </w:pPr>
      <w:r w:rsidRPr="00025910">
        <w:t xml:space="preserve">If the Beneficiary receives any notice of any claim for which it appears that the Beneficiary is, or may become, entitled to indemnification under this Contract (a </w:t>
      </w:r>
      <w:r>
        <w:t>“</w:t>
      </w:r>
      <w:r w:rsidRPr="00025910">
        <w:rPr>
          <w:rStyle w:val="StdBodyTextBoldChar"/>
          <w:rFonts w:eastAsiaTheme="majorEastAsia"/>
        </w:rPr>
        <w:t>Claim</w:t>
      </w:r>
      <w:r>
        <w:t>”</w:t>
      </w:r>
      <w:r w:rsidRPr="00025910">
        <w:t>), the Beneficiary shall give notice in writing to the Indemnifier as soon as reasonably practicable and in any event within 10 Working Days of receipt of the same.</w:t>
      </w:r>
    </w:p>
    <w:p w14:paraId="7DDB36FF" w14:textId="467EE97E" w:rsidR="00F67E9E" w:rsidRPr="00025910" w:rsidRDefault="00F67E9E" w:rsidP="00F67E9E">
      <w:pPr>
        <w:pStyle w:val="Numbered11"/>
      </w:pPr>
      <w:bookmarkStart w:id="2105" w:name="_9kR3WTrAG9EFFGCedtjnhxFBiPyzp7219NIHNI4"/>
      <w:bookmarkStart w:id="2106" w:name="_Ref_ContractCompanion_9kb9UsAB9"/>
      <w:r w:rsidRPr="00025910">
        <w:t xml:space="preserve">Subject to </w:t>
      </w:r>
      <w:bookmarkStart w:id="2107" w:name="_9kMHG5YVtCIBGHBCDFg0wB79ADAs0zxAL"/>
      <w:r w:rsidRPr="00025910">
        <w:t xml:space="preserve">Paragraph </w:t>
      </w:r>
      <w:r w:rsidRPr="00025910">
        <w:fldChar w:fldCharType="begin"/>
      </w:r>
      <w:r w:rsidRPr="00025910">
        <w:instrText xml:space="preserve"> REF _Ref_ContractCompanion_9kb9UsAB3 \w \n \h \t \* MERGEFORMAT </w:instrText>
      </w:r>
      <w:r w:rsidRPr="00025910">
        <w:fldChar w:fldCharType="separate"/>
      </w:r>
      <w:r w:rsidR="007A1473">
        <w:t>2</w:t>
      </w:r>
      <w:r w:rsidRPr="00025910">
        <w:fldChar w:fldCharType="end"/>
      </w:r>
      <w:bookmarkEnd w:id="2107"/>
      <w:r w:rsidRPr="00025910">
        <w:t>,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w:t>
      </w:r>
      <w:r>
        <w:t>’</w:t>
      </w:r>
      <w:r w:rsidRPr="00025910">
        <w:t>s own expense and take conduct of any defence, dispute, compromise or appeal of the Claim and of any incidental negotiations relating to the Claim.</w:t>
      </w:r>
      <w:bookmarkEnd w:id="2105"/>
      <w:r>
        <w:t xml:space="preserve"> </w:t>
      </w:r>
      <w:r w:rsidRPr="00025910">
        <w:t xml:space="preserve">If the Indemnifier does elect to conduct the Claim, the Beneficiary shall give the Indemnifier all reasonable cooperation, access and assistance for the purposes of such Claim and, subject to </w:t>
      </w:r>
      <w:bookmarkStart w:id="2108" w:name="_9kMHG5YVtCIBGHEGEgTlGBuvotrsr1QSCv0C3x2"/>
      <w:r w:rsidRPr="00025910">
        <w:t xml:space="preserve">Paragraph </w:t>
      </w:r>
      <w:bookmarkEnd w:id="2108"/>
      <w:r w:rsidR="00086C29">
        <w:t>2</w:t>
      </w:r>
      <w:r w:rsidRPr="00025910">
        <w:t>, the Beneficiary shall not make any admission which could be prejudicial to the defence or settlement of the Claim without the prior written consent of the Indemnifier.</w:t>
      </w:r>
      <w:bookmarkEnd w:id="2106"/>
    </w:p>
    <w:p w14:paraId="5DD9D895" w14:textId="29644799" w:rsidR="00F67E9E" w:rsidRPr="00025910" w:rsidRDefault="00F67E9E" w:rsidP="00F67E9E">
      <w:pPr>
        <w:pStyle w:val="Numbered11"/>
      </w:pPr>
      <w:bookmarkStart w:id="2109" w:name="_Ref_ContractCompanion_9kb9UsABC"/>
      <w:bookmarkStart w:id="2110" w:name="_9kR3WTrAG9EG99DjVzzywyAxl1JFxxMmUzxA58K"/>
      <w:r w:rsidRPr="00025910">
        <w:t xml:space="preserve">With respect to any Claim conducted by the Indemnifier pursuant to </w:t>
      </w:r>
      <w:bookmarkStart w:id="2111" w:name="_9kMHG5YVtCIBGHHIEgfvlpjzHDkR01r943BPKJP"/>
      <w:r w:rsidRPr="00025910">
        <w:t xml:space="preserve">Paragraph </w:t>
      </w:r>
      <w:r w:rsidRPr="00025910">
        <w:fldChar w:fldCharType="begin"/>
      </w:r>
      <w:r w:rsidRPr="00025910">
        <w:instrText xml:space="preserve"> REF _Ref_ContractCompanion_9kb9UsAB9 \n \h \t \* MERGEFORMAT </w:instrText>
      </w:r>
      <w:r w:rsidRPr="00025910">
        <w:fldChar w:fldCharType="separate"/>
      </w:r>
      <w:r w:rsidR="007A1473">
        <w:t>1.3</w:t>
      </w:r>
      <w:r w:rsidRPr="00025910">
        <w:fldChar w:fldCharType="end"/>
      </w:r>
      <w:bookmarkEnd w:id="2111"/>
      <w:r w:rsidRPr="00025910">
        <w:t>:</w:t>
      </w:r>
      <w:bookmarkEnd w:id="2109"/>
      <w:bookmarkEnd w:id="2110"/>
    </w:p>
    <w:p w14:paraId="0956C764" w14:textId="77777777" w:rsidR="00F67E9E" w:rsidRPr="00025910" w:rsidRDefault="00F67E9E" w:rsidP="00F67E9E">
      <w:pPr>
        <w:pStyle w:val="Numbered111"/>
      </w:pPr>
      <w:r w:rsidRPr="00025910">
        <w:t>the Indemnifier shall keep the Beneficiary fully informed and consult with it about material elements of the conduct of the Claim;</w:t>
      </w:r>
    </w:p>
    <w:p w14:paraId="612BF316" w14:textId="77777777" w:rsidR="00F67E9E" w:rsidRPr="00025910" w:rsidRDefault="00F67E9E" w:rsidP="00F67E9E">
      <w:pPr>
        <w:pStyle w:val="Numbered111"/>
      </w:pPr>
      <w:r w:rsidRPr="00025910">
        <w:t>the Indemnifier shall not bring the name of the Beneficiary into disrepute;</w:t>
      </w:r>
    </w:p>
    <w:p w14:paraId="6E196FD3" w14:textId="77777777" w:rsidR="00F67E9E" w:rsidRPr="00025910" w:rsidRDefault="00F67E9E" w:rsidP="00F67E9E">
      <w:pPr>
        <w:pStyle w:val="Numbered111"/>
      </w:pPr>
      <w:r w:rsidRPr="00025910">
        <w:t>the Indemnifier shall not pay or settle such Claim without the prior written consent of the Beneficiary, such consent not to be unreasonably withheld or delayed; and</w:t>
      </w:r>
    </w:p>
    <w:p w14:paraId="60E3F3E0" w14:textId="77777777" w:rsidR="00F67E9E" w:rsidRPr="00025910" w:rsidRDefault="00F67E9E" w:rsidP="00F67E9E">
      <w:pPr>
        <w:pStyle w:val="Numbered111"/>
      </w:pPr>
      <w:r w:rsidRPr="00025910">
        <w:t>the Indemnifier shall conduct the Claim with all due diligence.</w:t>
      </w:r>
    </w:p>
    <w:p w14:paraId="240FCCE4" w14:textId="77777777" w:rsidR="00F67E9E" w:rsidRPr="00025910" w:rsidRDefault="00F67E9E" w:rsidP="00F67E9E">
      <w:pPr>
        <w:pStyle w:val="Numbered11"/>
      </w:pPr>
      <w:r w:rsidRPr="00025910">
        <w:t>The Beneficiary shall be entitled to have conduct of the Claim and shall be free to pay or settle any Claim on such terms as it thinks fit and without prejudice to its rights and remedies under this Contract if:</w:t>
      </w:r>
    </w:p>
    <w:p w14:paraId="0D340B9E" w14:textId="562D053E" w:rsidR="00F67E9E" w:rsidRPr="00025910" w:rsidRDefault="00F67E9E" w:rsidP="00F67E9E">
      <w:pPr>
        <w:pStyle w:val="Numbered111"/>
      </w:pPr>
      <w:r w:rsidRPr="00025910">
        <w:t xml:space="preserve">the Indemnifier is not entitled to take conduct of the Claim in accordance with </w:t>
      </w:r>
      <w:bookmarkStart w:id="2112" w:name="_9kMIH5YVtCIBGHHIEgfvlpjzHDkR01r943BPKJP"/>
      <w:r w:rsidRPr="00025910">
        <w:t xml:space="preserve">Paragraph </w:t>
      </w:r>
      <w:r w:rsidRPr="00025910">
        <w:fldChar w:fldCharType="begin"/>
      </w:r>
      <w:r w:rsidRPr="00025910">
        <w:instrText xml:space="preserve"> REF _Ref_ContractCompanion_9kb9UsAB9 \n \h \t \* MERGEFORMAT </w:instrText>
      </w:r>
      <w:r w:rsidRPr="00025910">
        <w:fldChar w:fldCharType="separate"/>
      </w:r>
      <w:r w:rsidR="007A1473">
        <w:t>1.3</w:t>
      </w:r>
      <w:r w:rsidRPr="00025910">
        <w:fldChar w:fldCharType="end"/>
      </w:r>
      <w:bookmarkEnd w:id="2112"/>
      <w:r w:rsidRPr="00025910">
        <w:t>;</w:t>
      </w:r>
    </w:p>
    <w:p w14:paraId="20AE5623" w14:textId="77777777" w:rsidR="00F67E9E" w:rsidRPr="00025910" w:rsidRDefault="00F67E9E" w:rsidP="00F67E9E">
      <w:pPr>
        <w:pStyle w:val="Numbered111"/>
      </w:pPr>
      <w:r w:rsidRPr="00025910">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5B2B36DC" w14:textId="52733A6D" w:rsidR="00F67E9E" w:rsidRPr="00025910" w:rsidRDefault="00F67E9E" w:rsidP="00F67E9E">
      <w:pPr>
        <w:pStyle w:val="Numbered111"/>
      </w:pPr>
      <w:r w:rsidRPr="00025910">
        <w:t xml:space="preserve">the Indemnifier fails to comply in any material respect with the provisions of </w:t>
      </w:r>
      <w:bookmarkStart w:id="2113" w:name="_9kMHG5YVtCIBGIBBFlX110y0Czn3LHzzOoW1zC7"/>
      <w:r w:rsidRPr="00025910">
        <w:lastRenderedPageBreak/>
        <w:t xml:space="preserve">Paragraph </w:t>
      </w:r>
      <w:r w:rsidRPr="00025910">
        <w:fldChar w:fldCharType="begin"/>
      </w:r>
      <w:r w:rsidRPr="00025910">
        <w:instrText xml:space="preserve"> REF _Ref_ContractCompanion_9kb9UsABC \n \h \t \* MERGEFORMAT </w:instrText>
      </w:r>
      <w:r w:rsidRPr="00025910">
        <w:fldChar w:fldCharType="separate"/>
      </w:r>
      <w:r w:rsidR="007A1473">
        <w:t>1.4</w:t>
      </w:r>
      <w:r w:rsidRPr="00025910">
        <w:fldChar w:fldCharType="end"/>
      </w:r>
      <w:bookmarkEnd w:id="2113"/>
      <w:r w:rsidRPr="00025910">
        <w:t>.</w:t>
      </w:r>
    </w:p>
    <w:p w14:paraId="23E46DF7" w14:textId="77777777" w:rsidR="00F67E9E" w:rsidRPr="0090174B" w:rsidRDefault="00F67E9E" w:rsidP="00F67E9E">
      <w:pPr>
        <w:pStyle w:val="Numbered1"/>
      </w:pPr>
      <w:bookmarkStart w:id="2114" w:name="_Ref_ContractCompanion_9kb9UsAB3"/>
      <w:bookmarkStart w:id="2115" w:name="_9kR3WTrAG9EF9ABDeyu9578B8qyxv8J"/>
      <w:r w:rsidRPr="0090174B">
        <w:t>Sensitive Claims</w:t>
      </w:r>
      <w:bookmarkEnd w:id="2114"/>
      <w:bookmarkEnd w:id="2115"/>
    </w:p>
    <w:p w14:paraId="2F691BC1" w14:textId="77777777" w:rsidR="009C1510" w:rsidRPr="00025910" w:rsidRDefault="009C1510" w:rsidP="009C1510">
      <w:pPr>
        <w:pStyle w:val="Numbered11"/>
      </w:pPr>
      <w:bookmarkStart w:id="2116" w:name="_9kR3WTr8E8469BB"/>
      <w:bookmarkEnd w:id="2116"/>
      <w:r w:rsidRPr="00025910">
        <w:t xml:space="preserve">With respect to any Claim which the </w:t>
      </w:r>
      <w:r>
        <w:t xml:space="preserve">Authority (in its capacity as </w:t>
      </w:r>
      <w:r w:rsidRPr="00025910">
        <w:t>Beneficiary</w:t>
      </w:r>
      <w:r>
        <w:t>)</w:t>
      </w:r>
      <w:r w:rsidRPr="00025910">
        <w:t xml:space="preserve">, acting reasonably, considers is likely to have an adverse impact on the general public's perception of the </w:t>
      </w:r>
      <w:r>
        <w:t>the Authority</w:t>
      </w:r>
      <w:r w:rsidRPr="00025910">
        <w:t xml:space="preserve"> (a “</w:t>
      </w:r>
      <w:r w:rsidRPr="00025910">
        <w:rPr>
          <w:rStyle w:val="StdBodyTextBoldChar"/>
          <w:rFonts w:eastAsiaTheme="majorEastAsia"/>
        </w:rPr>
        <w:t>Sensitive Claim</w:t>
      </w:r>
      <w:r w:rsidRPr="00025910">
        <w:t xml:space="preserve">”), the </w:t>
      </w:r>
      <w:r>
        <w:t>Supplier (in its capacity as Indemnifier)</w:t>
      </w:r>
      <w:r w:rsidRPr="00025910">
        <w:t xml:space="preserve"> shall be entitled to take conduct of any defence, dispute, compromise or appeal of the Sensitive Claim only with the </w:t>
      </w:r>
      <w:r>
        <w:t>Authority</w:t>
      </w:r>
      <w:r w:rsidRPr="00025910">
        <w:t xml:space="preserve">'s prior written consent.  If the </w:t>
      </w:r>
      <w:r>
        <w:t>Authority</w:t>
      </w:r>
      <w:r w:rsidRPr="00025910">
        <w:t xml:space="preserve"> withholds such consent and elects to conduct the defence, dispute, compromise or appeal of the Sensitive Claim itself, it shall conduct the Sensitive Claim with all due diligence and if it fails to do so, the </w:t>
      </w:r>
      <w:r>
        <w:t>Supplier</w:t>
      </w:r>
      <w:r w:rsidRPr="00025910">
        <w:t xml:space="preserve"> shall only be liable to indemnify the </w:t>
      </w:r>
      <w:r>
        <w:t>Authority</w:t>
      </w:r>
      <w:r w:rsidRPr="00025910">
        <w:t xml:space="preserve"> in respect of that amount which would have been recoverable by the </w:t>
      </w:r>
      <w:r>
        <w:t>Authority</w:t>
      </w:r>
      <w:r w:rsidRPr="00025910">
        <w:t xml:space="preserve"> had it conducted the Sensitive Claim with all due diligence.</w:t>
      </w:r>
    </w:p>
    <w:p w14:paraId="6E5A75C8" w14:textId="0B92C9F5" w:rsidR="009C1510" w:rsidRPr="00025910" w:rsidRDefault="009C1510" w:rsidP="009C1510">
      <w:pPr>
        <w:pStyle w:val="Numbered11"/>
      </w:pPr>
      <w:r w:rsidRPr="00025910">
        <w:t xml:space="preserve">The </w:t>
      </w:r>
      <w:r>
        <w:t>Authority (in its capacity as Beneficiary)</w:t>
      </w:r>
      <w:r w:rsidRPr="00025910">
        <w:t xml:space="preserve"> shall be free at any time to give written notice to the </w:t>
      </w:r>
      <w:r>
        <w:t>Supplier</w:t>
      </w:r>
      <w:r w:rsidRPr="00025910">
        <w:t xml:space="preserve"> </w:t>
      </w:r>
      <w:r>
        <w:t xml:space="preserve">(in its capacity as Indemnifier) </w:t>
      </w:r>
      <w:r w:rsidRPr="00025910">
        <w:t xml:space="preserve">that it is retaining or taking over (as the case may be) the conduct of any Claim, to which Paragraph </w:t>
      </w:r>
      <w:r w:rsidR="005C06CF">
        <w:t>2.1</w:t>
      </w:r>
      <w:r w:rsidRPr="00025910">
        <w:t xml:space="preserve"> applies if, in the reasonable opinion of the </w:t>
      </w:r>
      <w:r>
        <w:t>Authority</w:t>
      </w:r>
      <w:r w:rsidRPr="00025910">
        <w:t>, the Claim is, or has become, a Sensitive Claim.</w:t>
      </w:r>
    </w:p>
    <w:p w14:paraId="73853D8A" w14:textId="77777777" w:rsidR="00F67E9E" w:rsidRPr="00025910" w:rsidRDefault="00F67E9E" w:rsidP="00F67E9E">
      <w:pPr>
        <w:pStyle w:val="Numbered1"/>
      </w:pPr>
      <w:bookmarkStart w:id="2117" w:name="_9kR3WTr8E846AD"/>
      <w:bookmarkEnd w:id="2117"/>
      <w:r w:rsidRPr="00025910">
        <w:t xml:space="preserve">Recovery </w:t>
      </w:r>
      <w:r>
        <w:t>o</w:t>
      </w:r>
      <w:r w:rsidRPr="00025910">
        <w:t>f Sums</w:t>
      </w:r>
    </w:p>
    <w:p w14:paraId="5996D10A" w14:textId="77777777" w:rsidR="00F67E9E" w:rsidRPr="00025910" w:rsidRDefault="00F67E9E" w:rsidP="00F67E9E">
      <w:pPr>
        <w:pStyle w:val="Numbered11"/>
      </w:pPr>
      <w:r w:rsidRPr="00025910">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is the lesser of:</w:t>
      </w:r>
    </w:p>
    <w:p w14:paraId="09DE5ADB" w14:textId="77777777" w:rsidR="00F67E9E" w:rsidRPr="00025910" w:rsidRDefault="00F67E9E" w:rsidP="00F67E9E">
      <w:pPr>
        <w:pStyle w:val="Numbered111"/>
      </w:pPr>
      <w:r w:rsidRPr="00025910">
        <w:t>an amount equal to the sum recovered (or the value of the discount, credit, saving, relief, other benefit or amount otherwise obtained) less any out-of-pocket costs and expenses properly incurred by the Beneficiary in recovering or obtaining the same; and</w:t>
      </w:r>
    </w:p>
    <w:p w14:paraId="32503E74" w14:textId="77777777" w:rsidR="00F67E9E" w:rsidRPr="00025910" w:rsidRDefault="00F67E9E" w:rsidP="00F67E9E">
      <w:pPr>
        <w:pStyle w:val="Numbered111"/>
      </w:pPr>
      <w:r w:rsidRPr="00025910">
        <w:t>the amount paid to the Beneficiary by the Indemnifier in respect of the Claim under the relevant indemnity.</w:t>
      </w:r>
    </w:p>
    <w:p w14:paraId="4B78B923" w14:textId="77777777" w:rsidR="00F67E9E" w:rsidRPr="00025910" w:rsidRDefault="00F67E9E" w:rsidP="00F67E9E">
      <w:pPr>
        <w:pStyle w:val="Numbered1"/>
      </w:pPr>
      <w:r w:rsidRPr="00025910">
        <w:t>Mitigation</w:t>
      </w:r>
    </w:p>
    <w:p w14:paraId="71635B1D" w14:textId="77777777" w:rsidR="00F67E9E" w:rsidRDefault="00F67E9E" w:rsidP="00F67E9E">
      <w:pPr>
        <w:pStyle w:val="Numbered11"/>
      </w:pPr>
      <w:r w:rsidRPr="00025910">
        <w:t>Each of the Authority and the Supplier shall at all times take all reasonable steps to minimise and mitigate any loss for which the relevant Party is entitled to bring a claim against the other Party pursuant to the indemnities in this Schedule.</w:t>
      </w:r>
    </w:p>
    <w:p w14:paraId="0BAB5ADA" w14:textId="77777777" w:rsidR="00F67E9E" w:rsidRDefault="00F67E9E" w:rsidP="00F67E9E"/>
    <w:p w14:paraId="47C925A7" w14:textId="77777777" w:rsidR="00F67E9E" w:rsidRDefault="00F67E9E" w:rsidP="00F67E9E"/>
    <w:p w14:paraId="0AB643F3" w14:textId="77777777" w:rsidR="00F67E9E" w:rsidRPr="00EB7A87" w:rsidRDefault="00F67E9E" w:rsidP="00F67E9E"/>
    <w:p w14:paraId="0D59714F" w14:textId="77777777" w:rsidR="00F67E9E" w:rsidRPr="00025910" w:rsidRDefault="00F67E9E" w:rsidP="00F67E9E">
      <w:pPr>
        <w:sectPr w:rsidR="00F67E9E" w:rsidRPr="00025910" w:rsidSect="00240D26">
          <w:headerReference w:type="default" r:id="rId156"/>
          <w:footerReference w:type="default" r:id="rId157"/>
          <w:pgSz w:w="11900" w:h="16840"/>
          <w:pgMar w:top="1701" w:right="851" w:bottom="1134" w:left="851" w:header="567" w:footer="567" w:gutter="0"/>
          <w:cols w:space="720"/>
          <w:docGrid w:linePitch="360"/>
        </w:sectPr>
      </w:pPr>
    </w:p>
    <w:p w14:paraId="3B5CA7BC" w14:textId="77777777" w:rsidR="00F67E9E" w:rsidRPr="00EE4F10" w:rsidRDefault="00F67E9E" w:rsidP="00F67E9E">
      <w:pPr>
        <w:pStyle w:val="Dividername"/>
      </w:pPr>
      <w:r w:rsidRPr="00EE4F10">
        <w:lastRenderedPageBreak/>
        <w:t>Schedule 28</w:t>
      </w:r>
    </w:p>
    <w:p w14:paraId="6C9BAE70" w14:textId="77777777" w:rsidR="00F67E9E" w:rsidRDefault="00F67E9E" w:rsidP="00F67E9E">
      <w:pPr>
        <w:pStyle w:val="Dividername"/>
      </w:pPr>
      <w:r w:rsidRPr="00EE4F10">
        <w:t>Staff Transfer</w:t>
      </w:r>
    </w:p>
    <w:p w14:paraId="2B7FE20B" w14:textId="77777777" w:rsidR="00F67E9E" w:rsidRDefault="00F67E9E" w:rsidP="00F67E9E"/>
    <w:p w14:paraId="640F9470" w14:textId="77777777" w:rsidR="00F67E9E" w:rsidRPr="00025910" w:rsidRDefault="00F67E9E" w:rsidP="00F67E9E">
      <w:r w:rsidRPr="00025910">
        <w:br w:type="page"/>
      </w:r>
    </w:p>
    <w:p w14:paraId="44BE81BA" w14:textId="77777777" w:rsidR="00F67E9E" w:rsidRPr="005D0525" w:rsidRDefault="00F67E9E" w:rsidP="00F67E9E">
      <w:pPr>
        <w:pStyle w:val="Heading1"/>
      </w:pPr>
      <w:bookmarkStart w:id="2118" w:name="Schedule28"/>
      <w:bookmarkStart w:id="2119" w:name="_Ref92200072"/>
      <w:bookmarkStart w:id="2120" w:name="_Toc145412817"/>
      <w:r w:rsidRPr="005D0525">
        <w:lastRenderedPageBreak/>
        <w:t>Schedule</w:t>
      </w:r>
      <w:r>
        <w:t> </w:t>
      </w:r>
      <w:r w:rsidRPr="005D0525">
        <w:t>28</w:t>
      </w:r>
      <w:bookmarkEnd w:id="2118"/>
      <w:r>
        <w:t xml:space="preserve">: </w:t>
      </w:r>
      <w:bookmarkStart w:id="2121" w:name="Schedule28Heading"/>
      <w:r w:rsidRPr="00DD4CC2">
        <w:t>Staff Transfer</w:t>
      </w:r>
      <w:bookmarkEnd w:id="2119"/>
      <w:bookmarkEnd w:id="2120"/>
      <w:bookmarkEnd w:id="2121"/>
    </w:p>
    <w:p w14:paraId="7883DF83" w14:textId="77777777" w:rsidR="00F67E9E" w:rsidRDefault="00F67E9E" w:rsidP="00F67E9E">
      <w:pPr>
        <w:rPr>
          <w:highlight w:val="yellow"/>
        </w:rPr>
      </w:pPr>
    </w:p>
    <w:p w14:paraId="7622A6E3" w14:textId="77777777" w:rsidR="00F67E9E" w:rsidRPr="00025910" w:rsidRDefault="00F67E9E" w:rsidP="00E1349E">
      <w:pPr>
        <w:pStyle w:val="Numbered1"/>
        <w:numPr>
          <w:ilvl w:val="0"/>
          <w:numId w:val="181"/>
        </w:numPr>
      </w:pPr>
      <w:r w:rsidRPr="00025910">
        <w:t>Definitions</w:t>
      </w:r>
    </w:p>
    <w:p w14:paraId="2A694DE0" w14:textId="77777777" w:rsidR="00F67E9E" w:rsidRPr="00025910" w:rsidRDefault="00F67E9E" w:rsidP="00F67E9E">
      <w:pPr>
        <w:pStyle w:val="Numbered11"/>
      </w:pPr>
      <w:r w:rsidRPr="00025910">
        <w:t>In this Schedule, the following definitions shall apply:</w:t>
      </w:r>
    </w:p>
    <w:tbl>
      <w:tblPr>
        <w:tblStyle w:val="MSAdefinitions"/>
        <w:tblW w:w="9638" w:type="dxa"/>
        <w:tblLook w:val="04A0" w:firstRow="1" w:lastRow="0" w:firstColumn="1" w:lastColumn="0" w:noHBand="0" w:noVBand="1"/>
      </w:tblPr>
      <w:tblGrid>
        <w:gridCol w:w="2835"/>
        <w:gridCol w:w="6803"/>
      </w:tblGrid>
      <w:tr w:rsidR="00F67E9E" w:rsidRPr="00025910" w14:paraId="34F4CDDB" w14:textId="77777777" w:rsidTr="0052486C">
        <w:tc>
          <w:tcPr>
            <w:tcW w:w="2835" w:type="dxa"/>
          </w:tcPr>
          <w:p w14:paraId="24DD4426" w14:textId="77777777" w:rsidR="00F67E9E" w:rsidRPr="00025910" w:rsidRDefault="00F67E9E" w:rsidP="0052486C">
            <w:pPr>
              <w:pStyle w:val="StdBodyTextBold"/>
              <w:keepNext/>
              <w:rPr>
                <w:rFonts w:cs="Arial"/>
              </w:rPr>
            </w:pPr>
            <w:r>
              <w:rPr>
                <w:rFonts w:eastAsia="Arial"/>
              </w:rPr>
              <w:t>“</w:t>
            </w:r>
            <w:r w:rsidRPr="009E1FEF">
              <w:rPr>
                <w:rFonts w:eastAsia="Arial"/>
              </w:rPr>
              <w:t>Admission Agreement</w:t>
            </w:r>
            <w:r>
              <w:rPr>
                <w:rFonts w:eastAsia="Arial"/>
              </w:rPr>
              <w:t>”</w:t>
            </w:r>
          </w:p>
        </w:tc>
        <w:tc>
          <w:tcPr>
            <w:tcW w:w="6803" w:type="dxa"/>
          </w:tcPr>
          <w:p w14:paraId="578C1B01" w14:textId="1AF8890E" w:rsidR="00F67E9E" w:rsidRPr="00025910" w:rsidRDefault="00F67E9E" w:rsidP="0052486C">
            <w:pPr>
              <w:pStyle w:val="StdBodyText"/>
              <w:keepNext/>
              <w:rPr>
                <w:rFonts w:cs="Arial"/>
              </w:rPr>
            </w:pPr>
            <w:r w:rsidRPr="00350DCA">
              <w:rPr>
                <w:rFonts w:eastAsia="Arial"/>
              </w:rPr>
              <w:t xml:space="preserve">either or both of the CSPS Admission Agreement (as defined in Annex </w:t>
            </w:r>
            <w:r>
              <w:rPr>
                <w:rFonts w:eastAsia="Arial"/>
              </w:rPr>
              <w:fldChar w:fldCharType="begin"/>
            </w:r>
            <w:r>
              <w:rPr>
                <w:rFonts w:eastAsia="Arial"/>
              </w:rPr>
              <w:instrText xml:space="preserve"> REF ANNEXD1_SCHEDULE28 \h </w:instrText>
            </w:r>
            <w:r>
              <w:rPr>
                <w:rFonts w:eastAsia="Arial"/>
              </w:rPr>
            </w:r>
            <w:r>
              <w:rPr>
                <w:rFonts w:eastAsia="Arial"/>
              </w:rPr>
              <w:fldChar w:fldCharType="separate"/>
            </w:r>
            <w:r w:rsidR="007A1473" w:rsidRPr="00025910">
              <w:t>D1</w:t>
            </w:r>
            <w:r>
              <w:rPr>
                <w:rFonts w:eastAsia="Arial"/>
              </w:rPr>
              <w:fldChar w:fldCharType="end"/>
            </w:r>
            <w:r w:rsidRPr="00350DCA">
              <w:rPr>
                <w:rFonts w:eastAsia="Arial"/>
              </w:rPr>
              <w:t xml:space="preserve">: CSPS) or the LGPS Admission Agreement) as defined in Annex </w:t>
            </w:r>
            <w:r>
              <w:rPr>
                <w:rFonts w:eastAsia="Arial"/>
              </w:rPr>
              <w:fldChar w:fldCharType="begin"/>
            </w:r>
            <w:r>
              <w:rPr>
                <w:rFonts w:eastAsia="Arial"/>
              </w:rPr>
              <w:instrText xml:space="preserve"> REF ANNEXD3_SCHEDULE28 \h </w:instrText>
            </w:r>
            <w:r>
              <w:rPr>
                <w:rFonts w:eastAsia="Arial"/>
              </w:rPr>
            </w:r>
            <w:r>
              <w:rPr>
                <w:rFonts w:eastAsia="Arial"/>
              </w:rPr>
              <w:fldChar w:fldCharType="separate"/>
            </w:r>
            <w:r w:rsidR="007A1473" w:rsidRPr="00025910">
              <w:t>D3</w:t>
            </w:r>
            <w:r>
              <w:rPr>
                <w:rFonts w:eastAsia="Arial"/>
              </w:rPr>
              <w:fldChar w:fldCharType="end"/>
            </w:r>
            <w:r w:rsidRPr="00350DCA">
              <w:rPr>
                <w:rFonts w:eastAsia="Arial"/>
              </w:rPr>
              <w:t>: LGPS), as the context requiresas</w:t>
            </w:r>
            <w:r w:rsidRPr="009E1FEF">
              <w:rPr>
                <w:rFonts w:eastAsia="Arial"/>
              </w:rPr>
              <w:t>;</w:t>
            </w:r>
          </w:p>
        </w:tc>
      </w:tr>
      <w:tr w:rsidR="00F67E9E" w:rsidRPr="00025910" w14:paraId="1D5443F8" w14:textId="77777777" w:rsidTr="0052486C">
        <w:tc>
          <w:tcPr>
            <w:tcW w:w="2835" w:type="dxa"/>
          </w:tcPr>
          <w:p w14:paraId="2E8A11E4" w14:textId="77777777" w:rsidR="00F67E9E" w:rsidRPr="00025910" w:rsidRDefault="00F67E9E" w:rsidP="0052486C">
            <w:pPr>
              <w:pStyle w:val="StdBodyTextBold"/>
              <w:rPr>
                <w:rFonts w:cs="Arial"/>
              </w:rPr>
            </w:pPr>
            <w:r>
              <w:rPr>
                <w:rFonts w:eastAsia="Arial"/>
              </w:rPr>
              <w:t>“</w:t>
            </w:r>
            <w:r w:rsidRPr="009E1FEF">
              <w:rPr>
                <w:rFonts w:eastAsia="Arial"/>
              </w:rPr>
              <w:t>Fair Deal Employees</w:t>
            </w:r>
            <w:r>
              <w:rPr>
                <w:rFonts w:eastAsia="Arial"/>
              </w:rPr>
              <w:t>”</w:t>
            </w:r>
          </w:p>
        </w:tc>
        <w:tc>
          <w:tcPr>
            <w:tcW w:w="6803" w:type="dxa"/>
          </w:tcPr>
          <w:p w14:paraId="01DD2EAD" w14:textId="58097988" w:rsidR="00F67E9E" w:rsidRPr="00025910" w:rsidRDefault="00F67E9E" w:rsidP="0052486C">
            <w:pPr>
              <w:pStyle w:val="StdBodyText"/>
              <w:rPr>
                <w:rFonts w:cs="Arial"/>
              </w:rPr>
            </w:pPr>
            <w:r w:rsidRPr="009E1FEF">
              <w:rPr>
                <w:rFonts w:eastAsia="Arial"/>
              </w:rPr>
              <w:t xml:space="preserve">as defined in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9E1FEF">
              <w:rPr>
                <w:rFonts w:eastAsia="Arial"/>
              </w:rPr>
              <w:t>;</w:t>
            </w:r>
          </w:p>
        </w:tc>
      </w:tr>
      <w:tr w:rsidR="00F67E9E" w:rsidRPr="00025910" w14:paraId="321679D7" w14:textId="77777777" w:rsidTr="0052486C">
        <w:tc>
          <w:tcPr>
            <w:tcW w:w="2835" w:type="dxa"/>
          </w:tcPr>
          <w:p w14:paraId="44C03F83" w14:textId="77777777" w:rsidR="00F67E9E" w:rsidRPr="00025910" w:rsidRDefault="00F67E9E" w:rsidP="0052486C">
            <w:pPr>
              <w:pStyle w:val="StdBodyTextBold"/>
              <w:rPr>
                <w:rFonts w:cs="Arial"/>
              </w:rPr>
            </w:pPr>
            <w:r>
              <w:rPr>
                <w:rFonts w:cs="Arial"/>
              </w:rPr>
              <w:t>“</w:t>
            </w:r>
            <w:r w:rsidRPr="00025910">
              <w:rPr>
                <w:rFonts w:cs="Arial"/>
              </w:rPr>
              <w:t>Former Supplier</w:t>
            </w:r>
            <w:r>
              <w:rPr>
                <w:rFonts w:cs="Arial"/>
              </w:rPr>
              <w:t>”</w:t>
            </w:r>
          </w:p>
        </w:tc>
        <w:tc>
          <w:tcPr>
            <w:tcW w:w="6803" w:type="dxa"/>
          </w:tcPr>
          <w:p w14:paraId="1E515AD6" w14:textId="77777777" w:rsidR="00F67E9E" w:rsidRPr="00025910" w:rsidRDefault="00F67E9E" w:rsidP="0052486C">
            <w:pPr>
              <w:pStyle w:val="StdBodyText"/>
              <w:rPr>
                <w:rFonts w:cs="Arial"/>
              </w:rPr>
            </w:pPr>
            <w:r w:rsidRPr="00025910">
              <w:rPr>
                <w:rFonts w:cs="Arial"/>
              </w:rPr>
              <w:t xml:space="preserve">a supplier supplying services to the Authority before </w:t>
            </w:r>
            <w:r>
              <w:rPr>
                <w:rFonts w:cs="Arial"/>
              </w:rPr>
              <w:t>any</w:t>
            </w:r>
            <w:r w:rsidRPr="00025910">
              <w:rPr>
                <w:rFonts w:cs="Arial"/>
              </w:rPr>
              <w:t xml:space="preserve"> Relevant Transfer Date that are the same as or substantially similar to the Services (or any part of the Services) and shall include any sub-contractor of such supplier (or any sub-contractor of any such sub-contractor);</w:t>
            </w:r>
          </w:p>
        </w:tc>
      </w:tr>
      <w:tr w:rsidR="00F67E9E" w:rsidRPr="00025910" w14:paraId="61C09992" w14:textId="77777777" w:rsidTr="0052486C">
        <w:tc>
          <w:tcPr>
            <w:tcW w:w="2835" w:type="dxa"/>
          </w:tcPr>
          <w:p w14:paraId="234D0C7E" w14:textId="77777777" w:rsidR="00F67E9E" w:rsidRPr="00025910" w:rsidRDefault="00F67E9E" w:rsidP="0052486C">
            <w:pPr>
              <w:pStyle w:val="StdBodyTextBold"/>
              <w:rPr>
                <w:rFonts w:cs="Arial"/>
              </w:rPr>
            </w:pPr>
            <w:r>
              <w:rPr>
                <w:rFonts w:cs="Arial"/>
              </w:rPr>
              <w:t>“</w:t>
            </w:r>
            <w:r w:rsidRPr="00025910">
              <w:rPr>
                <w:rFonts w:cs="Arial"/>
              </w:rPr>
              <w:t>New Fair Deal</w:t>
            </w:r>
            <w:r>
              <w:rPr>
                <w:rFonts w:cs="Arial"/>
              </w:rPr>
              <w:t>”</w:t>
            </w:r>
          </w:p>
        </w:tc>
        <w:tc>
          <w:tcPr>
            <w:tcW w:w="6803" w:type="dxa"/>
          </w:tcPr>
          <w:p w14:paraId="5DE4FA04" w14:textId="77777777" w:rsidR="00F67E9E" w:rsidRPr="00025910" w:rsidRDefault="00F67E9E" w:rsidP="0052486C">
            <w:pPr>
              <w:pStyle w:val="StdBodyText"/>
              <w:rPr>
                <w:rFonts w:cs="Arial"/>
              </w:rPr>
            </w:pPr>
            <w:r w:rsidRPr="00025910">
              <w:rPr>
                <w:rFonts w:cs="Arial"/>
              </w:rPr>
              <w:t xml:space="preserve">the revised Fair Deal position set out in the HM Treasury guidance: </w:t>
            </w:r>
            <w:r>
              <w:rPr>
                <w:rFonts w:cs="Arial"/>
                <w:i/>
              </w:rPr>
              <w:t>“</w:t>
            </w:r>
            <w:r w:rsidRPr="00025910">
              <w:rPr>
                <w:rFonts w:cs="Arial"/>
                <w:i/>
              </w:rPr>
              <w:t>Fair Deal for staff pensions: staff transfer from central government</w:t>
            </w:r>
            <w:r>
              <w:rPr>
                <w:rFonts w:cs="Arial"/>
                <w:i/>
              </w:rPr>
              <w:t>”</w:t>
            </w:r>
            <w:r w:rsidRPr="00025910">
              <w:rPr>
                <w:rFonts w:cs="Arial"/>
              </w:rPr>
              <w:t xml:space="preserve"> issued in October 2013 including:</w:t>
            </w:r>
          </w:p>
          <w:p w14:paraId="345846CB" w14:textId="77777777" w:rsidR="00F67E9E" w:rsidRPr="00620079" w:rsidRDefault="00F67E9E" w:rsidP="00F13933">
            <w:pPr>
              <w:pStyle w:val="DefinitionList"/>
              <w:numPr>
                <w:ilvl w:val="0"/>
                <w:numId w:val="171"/>
              </w:numPr>
            </w:pPr>
            <w:r w:rsidRPr="00620079">
              <w:t>any amendments to that document immediately prior to the Relevant Transfer Date;</w:t>
            </w:r>
          </w:p>
          <w:p w14:paraId="39A09D55" w14:textId="756D1F52" w:rsidR="00F67E9E" w:rsidRPr="00025910" w:rsidRDefault="00F67E9E" w:rsidP="00F13933">
            <w:pPr>
              <w:pStyle w:val="DefinitionList"/>
              <w:numPr>
                <w:ilvl w:val="0"/>
                <w:numId w:val="78"/>
              </w:numPr>
            </w:pPr>
            <w:r w:rsidRPr="00620079">
              <w:t>any simi</w:t>
            </w:r>
            <w:r w:rsidRPr="00025910">
              <w:t xml:space="preserve">lar pension protection in accordance with the Annexes </w:t>
            </w:r>
            <w:r w:rsidRPr="00025910">
              <w:fldChar w:fldCharType="begin"/>
            </w:r>
            <w:r w:rsidRPr="00025910">
              <w:instrText xml:space="preserve"> REF ANNEXD1_SCHEDULE28 \h  \* MERGEFORMAT </w:instrText>
            </w:r>
            <w:r w:rsidRPr="00025910">
              <w:fldChar w:fldCharType="separate"/>
            </w:r>
            <w:r w:rsidR="007A1473" w:rsidRPr="00025910">
              <w:t>D1</w:t>
            </w:r>
            <w:r w:rsidRPr="00025910">
              <w:fldChar w:fldCharType="end"/>
            </w:r>
            <w:r w:rsidRPr="00025910">
              <w:t>-</w:t>
            </w:r>
            <w:r w:rsidRPr="00025910">
              <w:fldChar w:fldCharType="begin"/>
            </w:r>
            <w:r w:rsidRPr="00025910">
              <w:instrText xml:space="preserve"> REF ANNEXD3_SCHEDULE28 \h  \* MERGEFORMAT </w:instrText>
            </w:r>
            <w:r w:rsidRPr="00025910">
              <w:fldChar w:fldCharType="separate"/>
            </w:r>
            <w:r w:rsidR="007A1473" w:rsidRPr="00025910">
              <w:t>D3</w:t>
            </w:r>
            <w:r w:rsidRPr="00025910">
              <w:fldChar w:fldCharType="end"/>
            </w:r>
            <w:r>
              <w:t xml:space="preserve"> </w:t>
            </w:r>
            <w:r w:rsidRPr="00025910">
              <w:t xml:space="preserve">inclusive to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t xml:space="preserve"> of this Schedule as notified to the Supplier by the Authority;</w:t>
            </w:r>
          </w:p>
        </w:tc>
      </w:tr>
      <w:tr w:rsidR="00F67E9E" w:rsidRPr="00025910" w14:paraId="71EE6990" w14:textId="77777777" w:rsidTr="0052486C">
        <w:tc>
          <w:tcPr>
            <w:tcW w:w="2835" w:type="dxa"/>
          </w:tcPr>
          <w:p w14:paraId="34D0721F" w14:textId="77777777" w:rsidR="00F67E9E" w:rsidRPr="00025910" w:rsidRDefault="00F67E9E" w:rsidP="0052486C">
            <w:pPr>
              <w:pStyle w:val="StdBodyTextBold"/>
              <w:rPr>
                <w:rFonts w:cs="Arial"/>
              </w:rPr>
            </w:pPr>
            <w:r>
              <w:rPr>
                <w:rFonts w:cs="Arial"/>
              </w:rPr>
              <w:t>“</w:t>
            </w:r>
            <w:r w:rsidRPr="00025910">
              <w:rPr>
                <w:rFonts w:cs="Arial"/>
              </w:rPr>
              <w:t>Notified Sub-contractor</w:t>
            </w:r>
            <w:r>
              <w:rPr>
                <w:rFonts w:cs="Arial"/>
              </w:rPr>
              <w:t>”</w:t>
            </w:r>
          </w:p>
        </w:tc>
        <w:tc>
          <w:tcPr>
            <w:tcW w:w="6803" w:type="dxa"/>
          </w:tcPr>
          <w:p w14:paraId="3BB6E14F" w14:textId="77777777" w:rsidR="00F67E9E" w:rsidRPr="00025910" w:rsidRDefault="00F67E9E" w:rsidP="0052486C">
            <w:pPr>
              <w:pStyle w:val="StdBodyText"/>
              <w:rPr>
                <w:rFonts w:cs="Arial"/>
              </w:rPr>
            </w:pPr>
            <w:r w:rsidRPr="00025910">
              <w:rPr>
                <w:rFonts w:cs="Arial"/>
              </w:rPr>
              <w:t>a Sub-contractor identified in the Annex to this Schedule to whom Transferring Authority Employees and/or Transferring Former Supplier Employees will transfer on a Relevant Transfer Date;</w:t>
            </w:r>
          </w:p>
        </w:tc>
      </w:tr>
      <w:tr w:rsidR="00F67E9E" w:rsidRPr="00025910" w14:paraId="675D746B" w14:textId="77777777" w:rsidTr="0052486C">
        <w:tc>
          <w:tcPr>
            <w:tcW w:w="2835" w:type="dxa"/>
          </w:tcPr>
          <w:p w14:paraId="6254BFA8" w14:textId="77777777" w:rsidR="00F67E9E" w:rsidRPr="00025910" w:rsidRDefault="00F67E9E" w:rsidP="0052486C">
            <w:pPr>
              <w:pStyle w:val="StdBodyTextBold"/>
              <w:rPr>
                <w:rFonts w:cs="Arial"/>
              </w:rPr>
            </w:pPr>
            <w:r>
              <w:rPr>
                <w:rFonts w:cs="Arial"/>
              </w:rPr>
              <w:t>“</w:t>
            </w:r>
            <w:r w:rsidRPr="00025910">
              <w:rPr>
                <w:rFonts w:cs="Arial"/>
              </w:rPr>
              <w:t>Old Fair Deal</w:t>
            </w:r>
            <w:r>
              <w:rPr>
                <w:rFonts w:cs="Arial"/>
              </w:rPr>
              <w:t>”</w:t>
            </w:r>
          </w:p>
        </w:tc>
        <w:tc>
          <w:tcPr>
            <w:tcW w:w="6803" w:type="dxa"/>
          </w:tcPr>
          <w:p w14:paraId="68498418" w14:textId="77777777" w:rsidR="00F67E9E" w:rsidRPr="00025910" w:rsidRDefault="00F67E9E" w:rsidP="0052486C">
            <w:pPr>
              <w:pStyle w:val="StdBodyText"/>
              <w:rPr>
                <w:rFonts w:cs="Arial"/>
              </w:rPr>
            </w:pPr>
            <w:r w:rsidRPr="00025910">
              <w:rPr>
                <w:rFonts w:cs="Arial"/>
              </w:rPr>
              <w:t xml:space="preserve">HM Treasury Guidance </w:t>
            </w:r>
            <w:r>
              <w:rPr>
                <w:rFonts w:cs="Arial"/>
                <w:i/>
              </w:rPr>
              <w:t>“</w:t>
            </w:r>
            <w:r w:rsidRPr="00025910">
              <w:rPr>
                <w:rFonts w:cs="Arial"/>
                <w:i/>
              </w:rPr>
              <w:t>Staff Transfers from Central Government: A Fair Deal for Staff Pensions</w:t>
            </w:r>
            <w:r>
              <w:rPr>
                <w:rFonts w:cs="Arial"/>
                <w:i/>
              </w:rPr>
              <w:t>”</w:t>
            </w:r>
            <w:r w:rsidRPr="00025910">
              <w:rPr>
                <w:rFonts w:cs="Arial"/>
              </w:rPr>
              <w:t xml:space="preserve"> issued in June 1999 including the supplementary guidance </w:t>
            </w:r>
            <w:r>
              <w:rPr>
                <w:rFonts w:cs="Arial"/>
                <w:i/>
              </w:rPr>
              <w:t>“</w:t>
            </w:r>
            <w:r w:rsidRPr="00025910">
              <w:rPr>
                <w:rFonts w:cs="Arial"/>
                <w:i/>
              </w:rPr>
              <w:t>Fair Deal for Staff pensions: Procurement of Bulk Transfer Agreements and Related Issues</w:t>
            </w:r>
            <w:r>
              <w:rPr>
                <w:rFonts w:cs="Arial"/>
                <w:i/>
              </w:rPr>
              <w:t>”</w:t>
            </w:r>
            <w:r w:rsidRPr="00025910">
              <w:rPr>
                <w:rFonts w:cs="Arial"/>
              </w:rPr>
              <w:t xml:space="preserve"> issued in June 2004;</w:t>
            </w:r>
          </w:p>
        </w:tc>
      </w:tr>
      <w:tr w:rsidR="00F67E9E" w:rsidRPr="00025910" w14:paraId="7122E9E7" w14:textId="77777777" w:rsidTr="0052486C">
        <w:tc>
          <w:tcPr>
            <w:tcW w:w="2835" w:type="dxa"/>
          </w:tcPr>
          <w:p w14:paraId="074815B3" w14:textId="77777777" w:rsidR="00F67E9E" w:rsidRPr="00025910" w:rsidRDefault="00F67E9E" w:rsidP="0052486C">
            <w:pPr>
              <w:pStyle w:val="StdBodyTextBold"/>
              <w:rPr>
                <w:rFonts w:cs="Arial"/>
              </w:rPr>
            </w:pPr>
            <w:r>
              <w:rPr>
                <w:rFonts w:cs="Arial"/>
              </w:rPr>
              <w:t>“</w:t>
            </w:r>
            <w:r w:rsidRPr="00025910">
              <w:rPr>
                <w:rFonts w:cs="Arial"/>
              </w:rPr>
              <w:t>Replacement Sub-contractor</w:t>
            </w:r>
            <w:r>
              <w:rPr>
                <w:rFonts w:cs="Arial"/>
              </w:rPr>
              <w:t>”</w:t>
            </w:r>
          </w:p>
        </w:tc>
        <w:tc>
          <w:tcPr>
            <w:tcW w:w="6803" w:type="dxa"/>
          </w:tcPr>
          <w:p w14:paraId="73752BEC" w14:textId="77777777" w:rsidR="00F67E9E" w:rsidRPr="00025910" w:rsidRDefault="00F67E9E" w:rsidP="0052486C">
            <w:pPr>
              <w:pStyle w:val="StdBodyText"/>
              <w:rPr>
                <w:rFonts w:cs="Arial"/>
              </w:rPr>
            </w:pPr>
            <w:r w:rsidRPr="00025910">
              <w:rPr>
                <w:rFonts w:cs="Arial"/>
              </w:rPr>
              <w:t>a sub-contractor of the Replacement Supplier to whom Transferring Supplier Employees will transfer on a Service Transfer Date (or any sub-contractor of any such sub-contractor);</w:t>
            </w:r>
          </w:p>
        </w:tc>
      </w:tr>
      <w:tr w:rsidR="00F67E9E" w:rsidRPr="00025910" w14:paraId="43D9628C" w14:textId="77777777" w:rsidTr="0052486C">
        <w:tc>
          <w:tcPr>
            <w:tcW w:w="2835" w:type="dxa"/>
          </w:tcPr>
          <w:p w14:paraId="637435C8" w14:textId="77777777" w:rsidR="00F67E9E" w:rsidRPr="00025910" w:rsidRDefault="00F67E9E" w:rsidP="0052486C">
            <w:pPr>
              <w:pStyle w:val="StdBodyTextBold"/>
              <w:rPr>
                <w:rFonts w:cs="Arial"/>
              </w:rPr>
            </w:pPr>
            <w:r>
              <w:rPr>
                <w:rFonts w:cs="Arial"/>
              </w:rPr>
              <w:t>“</w:t>
            </w:r>
            <w:r w:rsidRPr="00025910">
              <w:rPr>
                <w:rFonts w:cs="Arial"/>
              </w:rPr>
              <w:t>Relevant Transfer</w:t>
            </w:r>
            <w:r>
              <w:rPr>
                <w:rFonts w:cs="Arial"/>
              </w:rPr>
              <w:t>”</w:t>
            </w:r>
          </w:p>
        </w:tc>
        <w:tc>
          <w:tcPr>
            <w:tcW w:w="6803" w:type="dxa"/>
          </w:tcPr>
          <w:p w14:paraId="7C402506" w14:textId="77777777" w:rsidR="00F67E9E" w:rsidRPr="00025910" w:rsidRDefault="00F67E9E" w:rsidP="0052486C">
            <w:pPr>
              <w:pStyle w:val="StdBodyText"/>
              <w:rPr>
                <w:rFonts w:cs="Arial"/>
              </w:rPr>
            </w:pPr>
            <w:r w:rsidRPr="00025910">
              <w:rPr>
                <w:rFonts w:cs="Arial"/>
              </w:rPr>
              <w:t>a transfer of employment to which the Employment Regulations applies;</w:t>
            </w:r>
          </w:p>
        </w:tc>
      </w:tr>
      <w:tr w:rsidR="00F67E9E" w:rsidRPr="00025910" w14:paraId="7EE12EB9" w14:textId="77777777" w:rsidTr="0052486C">
        <w:tc>
          <w:tcPr>
            <w:tcW w:w="2835" w:type="dxa"/>
          </w:tcPr>
          <w:p w14:paraId="05A66902" w14:textId="77777777" w:rsidR="00F67E9E" w:rsidRPr="00025910" w:rsidRDefault="00F67E9E" w:rsidP="0052486C">
            <w:pPr>
              <w:pStyle w:val="StdBodyTextBold"/>
              <w:rPr>
                <w:rFonts w:cs="Arial"/>
              </w:rPr>
            </w:pPr>
            <w:r>
              <w:rPr>
                <w:rFonts w:cs="Arial"/>
              </w:rPr>
              <w:lastRenderedPageBreak/>
              <w:t>“</w:t>
            </w:r>
            <w:r w:rsidRPr="00025910">
              <w:rPr>
                <w:rFonts w:cs="Arial"/>
              </w:rPr>
              <w:t>Relevant Transfer Date</w:t>
            </w:r>
            <w:r>
              <w:rPr>
                <w:rFonts w:cs="Arial"/>
              </w:rPr>
              <w:t>”</w:t>
            </w:r>
          </w:p>
        </w:tc>
        <w:tc>
          <w:tcPr>
            <w:tcW w:w="6803" w:type="dxa"/>
          </w:tcPr>
          <w:p w14:paraId="5C172487" w14:textId="2E4DE880" w:rsidR="00F67E9E" w:rsidRPr="00025910" w:rsidRDefault="00F67E9E" w:rsidP="0052486C">
            <w:pPr>
              <w:pStyle w:val="StdBodyText"/>
              <w:rPr>
                <w:rFonts w:cs="Arial"/>
              </w:rPr>
            </w:pPr>
            <w:r w:rsidRPr="00025910">
              <w:rPr>
                <w:rFonts w:cs="Arial"/>
              </w:rPr>
              <w:t xml:space="preserve">in relation to a Relevant Transfer, the date upon which the Relevant Transfer takes place. For the purposes of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cs="Arial"/>
              </w:rPr>
              <w:t xml:space="preserve">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Operational Service Commencement Date;</w:t>
            </w:r>
          </w:p>
        </w:tc>
      </w:tr>
      <w:tr w:rsidR="00F67E9E" w:rsidRPr="00025910" w14:paraId="040A07D5" w14:textId="77777777" w:rsidTr="0052486C">
        <w:tc>
          <w:tcPr>
            <w:tcW w:w="2835" w:type="dxa"/>
          </w:tcPr>
          <w:p w14:paraId="1FCA6DB0" w14:textId="77777777" w:rsidR="00F67E9E" w:rsidRPr="00025910" w:rsidRDefault="00F67E9E" w:rsidP="0052486C">
            <w:pPr>
              <w:pStyle w:val="StdBodyTextBold"/>
              <w:rPr>
                <w:rFonts w:cs="Arial"/>
              </w:rPr>
            </w:pPr>
            <w:r>
              <w:rPr>
                <w:rFonts w:cs="Arial"/>
              </w:rPr>
              <w:t>“</w:t>
            </w:r>
            <w:r w:rsidRPr="00025910">
              <w:rPr>
                <w:rFonts w:cs="Arial"/>
              </w:rPr>
              <w:t>Service Transfer</w:t>
            </w:r>
            <w:r>
              <w:rPr>
                <w:rFonts w:cs="Arial"/>
              </w:rPr>
              <w:t>”</w:t>
            </w:r>
          </w:p>
        </w:tc>
        <w:tc>
          <w:tcPr>
            <w:tcW w:w="6803" w:type="dxa"/>
          </w:tcPr>
          <w:p w14:paraId="33DEC3CB" w14:textId="77777777" w:rsidR="00F67E9E" w:rsidRPr="00025910" w:rsidRDefault="00F67E9E" w:rsidP="0052486C">
            <w:pPr>
              <w:pStyle w:val="StdBodyText"/>
              <w:rPr>
                <w:rFonts w:cs="Arial"/>
              </w:rPr>
            </w:pPr>
            <w:r w:rsidRPr="00025910">
              <w:rPr>
                <w:rFonts w:cs="Arial"/>
              </w:rPr>
              <w:t>any transfer of the Services (or any part of the Services), for whatever reason, from the Supplier or any Sub-contractor to a Replacement Supplier or a Replacement Sub-contractor;</w:t>
            </w:r>
          </w:p>
        </w:tc>
      </w:tr>
      <w:tr w:rsidR="00F67E9E" w:rsidRPr="00025910" w14:paraId="56C4325D" w14:textId="77777777" w:rsidTr="0052486C">
        <w:tc>
          <w:tcPr>
            <w:tcW w:w="2835" w:type="dxa"/>
          </w:tcPr>
          <w:p w14:paraId="0FDB3BFE" w14:textId="77777777" w:rsidR="00F67E9E" w:rsidRPr="00025910" w:rsidRDefault="00F67E9E" w:rsidP="0052486C">
            <w:pPr>
              <w:pStyle w:val="StdBodyTextBold"/>
              <w:rPr>
                <w:rFonts w:cs="Arial"/>
              </w:rPr>
            </w:pPr>
            <w:r>
              <w:rPr>
                <w:rFonts w:cs="Arial"/>
              </w:rPr>
              <w:t>“</w:t>
            </w:r>
            <w:r w:rsidRPr="00025910">
              <w:rPr>
                <w:rFonts w:cs="Arial"/>
              </w:rPr>
              <w:t>Service Transfer Date</w:t>
            </w:r>
            <w:r>
              <w:rPr>
                <w:rFonts w:cs="Arial"/>
              </w:rPr>
              <w:t>”</w:t>
            </w:r>
          </w:p>
        </w:tc>
        <w:tc>
          <w:tcPr>
            <w:tcW w:w="6803" w:type="dxa"/>
          </w:tcPr>
          <w:p w14:paraId="689928EE" w14:textId="77777777" w:rsidR="00F67E9E" w:rsidRPr="00025910" w:rsidRDefault="00F67E9E" w:rsidP="0052486C">
            <w:pPr>
              <w:pStyle w:val="StdBodyText"/>
              <w:rPr>
                <w:rFonts w:cs="Arial"/>
              </w:rPr>
            </w:pPr>
            <w:r w:rsidRPr="00025910">
              <w:rPr>
                <w:rFonts w:cs="Arial"/>
              </w:rPr>
              <w:t>the date of a Service Transfer or, if more than one, the date of the relevant Service Transfer as the context requires;</w:t>
            </w:r>
          </w:p>
        </w:tc>
      </w:tr>
      <w:tr w:rsidR="00F67E9E" w:rsidRPr="00025910" w14:paraId="7C83C81B" w14:textId="77777777" w:rsidTr="0052486C">
        <w:tc>
          <w:tcPr>
            <w:tcW w:w="2835" w:type="dxa"/>
          </w:tcPr>
          <w:p w14:paraId="3FCCF5F3" w14:textId="77777777" w:rsidR="00F67E9E" w:rsidRPr="00025910" w:rsidRDefault="00F67E9E" w:rsidP="0052486C">
            <w:pPr>
              <w:pStyle w:val="StdBodyTextBold"/>
              <w:rPr>
                <w:rFonts w:cs="Arial"/>
              </w:rPr>
            </w:pPr>
            <w:r>
              <w:rPr>
                <w:rFonts w:cs="Arial"/>
              </w:rPr>
              <w:t>“</w:t>
            </w:r>
            <w:r w:rsidRPr="00025910">
              <w:rPr>
                <w:rFonts w:cs="Arial"/>
              </w:rPr>
              <w:t>Staffing Information</w:t>
            </w:r>
            <w:r>
              <w:rPr>
                <w:rFonts w:cs="Arial"/>
              </w:rPr>
              <w:t>”</w:t>
            </w:r>
          </w:p>
        </w:tc>
        <w:tc>
          <w:tcPr>
            <w:tcW w:w="6803" w:type="dxa"/>
          </w:tcPr>
          <w:p w14:paraId="35042ECA" w14:textId="3DA68FA7" w:rsidR="00F67E9E" w:rsidRPr="00025910" w:rsidRDefault="00F67E9E" w:rsidP="0052486C">
            <w:pPr>
              <w:pStyle w:val="StdBodyText"/>
              <w:rPr>
                <w:rFonts w:cs="Arial"/>
              </w:rPr>
            </w:pPr>
            <w:r w:rsidRPr="00025910">
              <w:rPr>
                <w:rFonts w:cs="Arial"/>
              </w:rPr>
              <w:t>in relation to all persons identified on the Supplier</w:t>
            </w:r>
            <w:r>
              <w:rPr>
                <w:rFonts w:cs="Arial"/>
              </w:rPr>
              <w:t>’</w:t>
            </w:r>
            <w:r w:rsidRPr="00025910">
              <w:rPr>
                <w:rFonts w:cs="Arial"/>
              </w:rPr>
              <w:t>s Provisional Supplier Personnel List or Supplier</w:t>
            </w:r>
            <w:r>
              <w:rPr>
                <w:rFonts w:cs="Arial"/>
              </w:rPr>
              <w:t>’</w:t>
            </w:r>
            <w:r w:rsidRPr="00025910">
              <w:rPr>
                <w:rFonts w:cs="Arial"/>
              </w:rPr>
              <w:t xml:space="preserve">s Final Supplier Personnel List, as the case may be, all information required in </w:t>
            </w:r>
            <w:r w:rsidRPr="00025910">
              <w:rPr>
                <w:rFonts w:cs="Arial"/>
              </w:rPr>
              <w:fldChar w:fldCharType="begin"/>
            </w:r>
            <w:r w:rsidRPr="00025910">
              <w:rPr>
                <w:rFonts w:cs="Arial"/>
              </w:rPr>
              <w:instrText xml:space="preserve"> REF _Ref_ContractCompanion_9kb9Ur476 \h  \* MERGEFORMAT </w:instrText>
            </w:r>
            <w:r w:rsidRPr="00025910">
              <w:rPr>
                <w:rFonts w:cs="Arial"/>
              </w:rPr>
            </w:r>
            <w:r w:rsidRPr="00025910">
              <w:rPr>
                <w:rFonts w:cs="Arial"/>
              </w:rPr>
              <w:fldChar w:fldCharType="separate"/>
            </w:r>
            <w:r w:rsidR="007A1473" w:rsidRPr="007A1473">
              <w:rPr>
                <w:rFonts w:cs="Arial"/>
              </w:rPr>
              <w:t>Annex E2</w:t>
            </w:r>
            <w:r w:rsidR="007A1473" w:rsidRPr="00025910">
              <w:t>: Staffing Information</w:t>
            </w:r>
            <w:r w:rsidRPr="00025910">
              <w:rPr>
                <w:rFonts w:cs="Arial"/>
              </w:rPr>
              <w:fldChar w:fldCharType="end"/>
            </w:r>
            <w:r w:rsidRPr="00025910">
              <w:rPr>
                <w:rFonts w:cs="Arial"/>
              </w:rPr>
              <w:t xml:space="preserve"> in the format specified and with the identities of Data Subjects anonymised where possible. The Authority may acting reasonably make changes to the format or information requested in </w:t>
            </w:r>
            <w:r w:rsidRPr="00025910">
              <w:rPr>
                <w:rFonts w:cs="Arial"/>
              </w:rPr>
              <w:fldChar w:fldCharType="begin"/>
            </w:r>
            <w:r w:rsidRPr="00025910">
              <w:rPr>
                <w:rFonts w:cs="Arial"/>
              </w:rPr>
              <w:instrText xml:space="preserve"> REF _Ref_ContractCompanion_9kb9Ur476 \h  \* MERGEFORMAT </w:instrText>
            </w:r>
            <w:r w:rsidRPr="00025910">
              <w:rPr>
                <w:rFonts w:cs="Arial"/>
              </w:rPr>
            </w:r>
            <w:r w:rsidRPr="00025910">
              <w:rPr>
                <w:rFonts w:cs="Arial"/>
              </w:rPr>
              <w:fldChar w:fldCharType="separate"/>
            </w:r>
            <w:r w:rsidR="007A1473" w:rsidRPr="007A1473">
              <w:rPr>
                <w:rFonts w:cs="Arial"/>
              </w:rPr>
              <w:t>Annex E2</w:t>
            </w:r>
            <w:r w:rsidR="007A1473" w:rsidRPr="00025910">
              <w:t>: Staffing Information</w:t>
            </w:r>
            <w:r w:rsidRPr="00025910">
              <w:rPr>
                <w:rFonts w:cs="Arial"/>
              </w:rPr>
              <w:fldChar w:fldCharType="end"/>
            </w:r>
            <w:r w:rsidRPr="00025910">
              <w:rPr>
                <w:rFonts w:cs="Arial"/>
              </w:rPr>
              <w:t xml:space="preserve"> from time to time.</w:t>
            </w:r>
          </w:p>
        </w:tc>
      </w:tr>
      <w:tr w:rsidR="00F67E9E" w:rsidRPr="00025910" w14:paraId="6C27FA19" w14:textId="77777777" w:rsidTr="0052486C">
        <w:tc>
          <w:tcPr>
            <w:tcW w:w="2835" w:type="dxa"/>
          </w:tcPr>
          <w:p w14:paraId="66A0B402" w14:textId="77777777" w:rsidR="00F67E9E" w:rsidRPr="00025910" w:rsidRDefault="00F67E9E" w:rsidP="0052486C">
            <w:pPr>
              <w:pStyle w:val="StdBodyTextBold"/>
              <w:rPr>
                <w:rFonts w:cs="Arial"/>
              </w:rPr>
            </w:pPr>
            <w:r>
              <w:rPr>
                <w:rFonts w:cs="Arial"/>
              </w:rPr>
              <w:t>“</w:t>
            </w:r>
            <w:r w:rsidRPr="00025910">
              <w:rPr>
                <w:rFonts w:cs="Arial"/>
              </w:rPr>
              <w:t>Statutory Schemes</w:t>
            </w:r>
            <w:r>
              <w:rPr>
                <w:rFonts w:cs="Arial"/>
              </w:rPr>
              <w:t>”</w:t>
            </w:r>
          </w:p>
        </w:tc>
        <w:tc>
          <w:tcPr>
            <w:tcW w:w="6803" w:type="dxa"/>
          </w:tcPr>
          <w:p w14:paraId="3E26A8D6" w14:textId="1EB5C987" w:rsidR="00F67E9E" w:rsidRPr="00025910" w:rsidRDefault="00F67E9E" w:rsidP="0052486C">
            <w:pPr>
              <w:pStyle w:val="StdBodyText"/>
              <w:rPr>
                <w:rFonts w:cs="Arial"/>
              </w:rPr>
            </w:pPr>
            <w:r w:rsidRPr="00025910">
              <w:rPr>
                <w:rFonts w:cs="Arial"/>
              </w:rPr>
              <w:t xml:space="preserve">means the CSPS, NHSPS or LGPS as defined in the Annexes to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cs="Arial"/>
              </w:rPr>
              <w:t xml:space="preserve"> of this Schedule;</w:t>
            </w:r>
          </w:p>
        </w:tc>
      </w:tr>
      <w:tr w:rsidR="00F67E9E" w:rsidRPr="00025910" w14:paraId="08028706" w14:textId="77777777" w:rsidTr="0052486C">
        <w:tc>
          <w:tcPr>
            <w:tcW w:w="2835" w:type="dxa"/>
          </w:tcPr>
          <w:p w14:paraId="54B2818C" w14:textId="77777777" w:rsidR="00F67E9E" w:rsidRPr="00025910" w:rsidRDefault="00F67E9E" w:rsidP="0052486C">
            <w:pPr>
              <w:pStyle w:val="StdBodyTextBold"/>
              <w:rPr>
                <w:rFonts w:cs="Arial"/>
              </w:rPr>
            </w:pPr>
            <w:r>
              <w:rPr>
                <w:rFonts w:cs="Arial"/>
              </w:rPr>
              <w:t>“</w:t>
            </w:r>
            <w:r w:rsidRPr="00025910">
              <w:rPr>
                <w:rFonts w:cs="Arial"/>
              </w:rPr>
              <w:t>Supplier</w:t>
            </w:r>
            <w:r>
              <w:rPr>
                <w:rFonts w:cs="Arial"/>
              </w:rPr>
              <w:t>’</w:t>
            </w:r>
            <w:r w:rsidRPr="00025910">
              <w:rPr>
                <w:rFonts w:cs="Arial"/>
              </w:rPr>
              <w:t>s Final Supplier Personnel List</w:t>
            </w:r>
            <w:r>
              <w:rPr>
                <w:rFonts w:cs="Arial"/>
              </w:rPr>
              <w:t>”</w:t>
            </w:r>
          </w:p>
        </w:tc>
        <w:tc>
          <w:tcPr>
            <w:tcW w:w="6803" w:type="dxa"/>
          </w:tcPr>
          <w:p w14:paraId="5F20CA6C" w14:textId="77777777" w:rsidR="00F67E9E" w:rsidRPr="00025910" w:rsidRDefault="00F67E9E" w:rsidP="0052486C">
            <w:pPr>
              <w:pStyle w:val="StdBodyText"/>
              <w:rPr>
                <w:rFonts w:cs="Arial"/>
              </w:rPr>
            </w:pPr>
            <w:r w:rsidRPr="00025910">
              <w:rPr>
                <w:rFonts w:cs="Arial"/>
              </w:rPr>
              <w:t>a list provided by the Supplier of all Supplier Personnel who will transfer under the Employment Regulations on the Service Transfer Date;</w:t>
            </w:r>
          </w:p>
        </w:tc>
      </w:tr>
      <w:tr w:rsidR="00F67E9E" w:rsidRPr="00025910" w14:paraId="54BA069A" w14:textId="77777777" w:rsidTr="0052486C">
        <w:tc>
          <w:tcPr>
            <w:tcW w:w="2835" w:type="dxa"/>
          </w:tcPr>
          <w:p w14:paraId="6402B955" w14:textId="77777777" w:rsidR="00F67E9E" w:rsidRPr="009A5275" w:rsidRDefault="00F67E9E" w:rsidP="0052486C">
            <w:pPr>
              <w:pStyle w:val="StdBodyTextBold"/>
              <w:rPr>
                <w:rFonts w:cs="Arial"/>
                <w:lang w:val="fr-FR"/>
              </w:rPr>
            </w:pPr>
            <w:r w:rsidRPr="009A5275">
              <w:rPr>
                <w:rFonts w:cs="Arial"/>
                <w:lang w:val="fr-FR"/>
              </w:rPr>
              <w:t>“Supplier’s Provisional Supplier Personnel List”</w:t>
            </w:r>
          </w:p>
        </w:tc>
        <w:tc>
          <w:tcPr>
            <w:tcW w:w="6803" w:type="dxa"/>
          </w:tcPr>
          <w:p w14:paraId="578CEF02" w14:textId="77777777" w:rsidR="00F67E9E" w:rsidRPr="00025910" w:rsidRDefault="00F67E9E" w:rsidP="0052486C">
            <w:pPr>
              <w:pStyle w:val="StdBodyText"/>
              <w:rPr>
                <w:rFonts w:cs="Arial"/>
              </w:rPr>
            </w:pPr>
            <w:r w:rsidRPr="00025910">
              <w:rPr>
                <w:rFonts w:cs="Arial"/>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F67E9E" w:rsidRPr="00025910" w14:paraId="0529E6CB" w14:textId="77777777" w:rsidTr="0052486C">
        <w:tc>
          <w:tcPr>
            <w:tcW w:w="2835" w:type="dxa"/>
          </w:tcPr>
          <w:p w14:paraId="7F9C2AD7" w14:textId="77777777" w:rsidR="00F67E9E" w:rsidRPr="00025910" w:rsidRDefault="00F67E9E" w:rsidP="0052486C">
            <w:pPr>
              <w:pStyle w:val="StdBodyTextBold"/>
              <w:rPr>
                <w:rFonts w:cs="Arial"/>
              </w:rPr>
            </w:pPr>
            <w:r>
              <w:rPr>
                <w:rFonts w:cs="Arial"/>
              </w:rPr>
              <w:t>“</w:t>
            </w:r>
            <w:r w:rsidRPr="00025910">
              <w:rPr>
                <w:rFonts w:cs="Arial"/>
              </w:rPr>
              <w:t>Transferring Authority Employees</w:t>
            </w:r>
            <w:r>
              <w:rPr>
                <w:rFonts w:cs="Arial"/>
              </w:rPr>
              <w:t>”</w:t>
            </w:r>
          </w:p>
        </w:tc>
        <w:tc>
          <w:tcPr>
            <w:tcW w:w="6803" w:type="dxa"/>
          </w:tcPr>
          <w:p w14:paraId="252485B3" w14:textId="77777777" w:rsidR="00F67E9E" w:rsidRPr="00025910" w:rsidRDefault="00F67E9E" w:rsidP="0052486C">
            <w:pPr>
              <w:pStyle w:val="StdBodyText"/>
              <w:rPr>
                <w:rFonts w:cs="Arial"/>
              </w:rPr>
            </w:pPr>
            <w:r w:rsidRPr="00025910">
              <w:rPr>
                <w:rFonts w:cs="Arial"/>
              </w:rPr>
              <w:t>those employees of the Authority to whom the Employment Regulations will apply on the Relevant Transfer Date;</w:t>
            </w:r>
          </w:p>
        </w:tc>
      </w:tr>
      <w:tr w:rsidR="00F67E9E" w:rsidRPr="00025910" w14:paraId="6C7E227B" w14:textId="77777777" w:rsidTr="0052486C">
        <w:tc>
          <w:tcPr>
            <w:tcW w:w="2835" w:type="dxa"/>
          </w:tcPr>
          <w:p w14:paraId="3387A727" w14:textId="77777777" w:rsidR="00F67E9E" w:rsidRPr="00025910" w:rsidRDefault="00F67E9E" w:rsidP="0052486C">
            <w:pPr>
              <w:pStyle w:val="StdBodyTextBold"/>
              <w:rPr>
                <w:rFonts w:cs="Arial"/>
              </w:rPr>
            </w:pPr>
            <w:r>
              <w:rPr>
                <w:rFonts w:cs="Arial"/>
              </w:rPr>
              <w:t>“</w:t>
            </w:r>
            <w:r w:rsidRPr="00025910">
              <w:rPr>
                <w:rFonts w:cs="Arial"/>
              </w:rPr>
              <w:t>Transferring Former Supplier Employees</w:t>
            </w:r>
            <w:r>
              <w:rPr>
                <w:rFonts w:cs="Arial"/>
              </w:rPr>
              <w:t>”</w:t>
            </w:r>
          </w:p>
        </w:tc>
        <w:tc>
          <w:tcPr>
            <w:tcW w:w="6803" w:type="dxa"/>
          </w:tcPr>
          <w:p w14:paraId="76245FDA" w14:textId="77777777" w:rsidR="00F67E9E" w:rsidRPr="00025910" w:rsidRDefault="00F67E9E" w:rsidP="0052486C">
            <w:pPr>
              <w:pStyle w:val="StdBodyText"/>
              <w:rPr>
                <w:rFonts w:cs="Arial"/>
              </w:rPr>
            </w:pPr>
            <w:r w:rsidRPr="00025910">
              <w:rPr>
                <w:rFonts w:cs="Arial"/>
              </w:rPr>
              <w:t>in relation to a Former Supplier, those employees of the Former Supplier to whom the Employment Regulations will apply on the Relevant Transfer Date; and</w:t>
            </w:r>
          </w:p>
        </w:tc>
      </w:tr>
      <w:tr w:rsidR="00F67E9E" w:rsidRPr="00025910" w14:paraId="0292E33A" w14:textId="77777777" w:rsidTr="0052486C">
        <w:tc>
          <w:tcPr>
            <w:tcW w:w="2835" w:type="dxa"/>
          </w:tcPr>
          <w:p w14:paraId="3DFDC54A" w14:textId="77777777" w:rsidR="00F67E9E" w:rsidRPr="00025910" w:rsidRDefault="00F67E9E" w:rsidP="0052486C">
            <w:pPr>
              <w:pStyle w:val="StdBodyTextBold"/>
              <w:rPr>
                <w:rFonts w:cs="Arial"/>
              </w:rPr>
            </w:pPr>
            <w:r>
              <w:rPr>
                <w:rFonts w:cs="Arial"/>
              </w:rPr>
              <w:t>“</w:t>
            </w:r>
            <w:r w:rsidRPr="00025910">
              <w:rPr>
                <w:rFonts w:cs="Arial"/>
              </w:rPr>
              <w:t>Transferring Supplier Employees</w:t>
            </w:r>
            <w:r>
              <w:rPr>
                <w:rFonts w:cs="Arial"/>
              </w:rPr>
              <w:t>”</w:t>
            </w:r>
          </w:p>
        </w:tc>
        <w:tc>
          <w:tcPr>
            <w:tcW w:w="6803" w:type="dxa"/>
          </w:tcPr>
          <w:p w14:paraId="4B86846B" w14:textId="77777777" w:rsidR="00F67E9E" w:rsidRPr="00025910" w:rsidRDefault="00F67E9E" w:rsidP="0052486C">
            <w:pPr>
              <w:pStyle w:val="StdBodyText"/>
              <w:rPr>
                <w:rFonts w:cs="Arial"/>
              </w:rPr>
            </w:pPr>
            <w:r w:rsidRPr="00025910">
              <w:rPr>
                <w:rFonts w:cs="Arial"/>
              </w:rPr>
              <w:t>those employees of the Supplier and/or the Supplier</w:t>
            </w:r>
            <w:r>
              <w:rPr>
                <w:rFonts w:cs="Arial"/>
              </w:rPr>
              <w:t>’</w:t>
            </w:r>
            <w:r w:rsidRPr="00025910">
              <w:rPr>
                <w:rFonts w:cs="Arial"/>
              </w:rPr>
              <w:t>s Sub-contractors to whom the Employment Regulations will apply on the Service Transfer Date.</w:t>
            </w:r>
          </w:p>
        </w:tc>
      </w:tr>
    </w:tbl>
    <w:p w14:paraId="5823E031" w14:textId="77777777" w:rsidR="00F67E9E" w:rsidRPr="00025910" w:rsidRDefault="00F67E9E" w:rsidP="00E1349E">
      <w:pPr>
        <w:pStyle w:val="Numbered1"/>
        <w:numPr>
          <w:ilvl w:val="0"/>
          <w:numId w:val="181"/>
        </w:numPr>
      </w:pPr>
      <w:r w:rsidRPr="00025910">
        <w:lastRenderedPageBreak/>
        <w:t>Interpretation</w:t>
      </w:r>
    </w:p>
    <w:p w14:paraId="735C9383" w14:textId="77777777" w:rsidR="00F67E9E" w:rsidRPr="00025910" w:rsidRDefault="00F67E9E" w:rsidP="00F67E9E">
      <w:pPr>
        <w:pStyle w:val="Numbered11"/>
      </w:pPr>
      <w:r w:rsidRPr="00025910">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Authority, Former Supplier, Replacement Supplier or Replacement Sub-contractor, as the case may be. </w:t>
      </w:r>
    </w:p>
    <w:p w14:paraId="41940605" w14:textId="77777777" w:rsidR="00F67E9E" w:rsidRPr="00025910" w:rsidRDefault="00F67E9E" w:rsidP="00E1349E">
      <w:pPr>
        <w:pStyle w:val="Numbered1"/>
        <w:numPr>
          <w:ilvl w:val="0"/>
          <w:numId w:val="181"/>
        </w:numPr>
      </w:pPr>
      <w:r w:rsidRPr="00025910">
        <w:t xml:space="preserve">Applicable Parts </w:t>
      </w:r>
      <w:r>
        <w:t>o</w:t>
      </w:r>
      <w:r w:rsidRPr="00025910">
        <w:t xml:space="preserve">f </w:t>
      </w:r>
      <w:r>
        <w:t>t</w:t>
      </w:r>
      <w:r w:rsidRPr="00025910">
        <w:t>his Schedule</w:t>
      </w:r>
    </w:p>
    <w:p w14:paraId="66B7CA5A" w14:textId="463B1460" w:rsidR="00F67E9E" w:rsidRPr="00025910" w:rsidRDefault="00236F49" w:rsidP="00F67E9E">
      <w:pPr>
        <w:pStyle w:val="Numbered11"/>
      </w:pPr>
      <w:r>
        <w:t>T</w:t>
      </w:r>
      <w:r w:rsidR="00F67E9E" w:rsidRPr="00025910">
        <w:t xml:space="preserve">he </w:t>
      </w:r>
      <w:r w:rsidR="00F67E9E" w:rsidRPr="006412C0">
        <w:t>following</w:t>
      </w:r>
      <w:r w:rsidR="00F67E9E" w:rsidRPr="00025910">
        <w:t xml:space="preserve"> parts of this Schedule shall apply to this Contract:</w:t>
      </w:r>
    </w:p>
    <w:p w14:paraId="6AC63BD7" w14:textId="694E364D" w:rsidR="00F67E9E" w:rsidRPr="00B76B16" w:rsidRDefault="00F67E9E" w:rsidP="00F67E9E">
      <w:pPr>
        <w:pStyle w:val="Numbered111"/>
      </w:pPr>
      <w:r w:rsidRPr="00B76B16">
        <w:rPr>
          <w:rFonts w:eastAsia="Calibri"/>
          <w:bCs/>
        </w:rPr>
        <w:fldChar w:fldCharType="begin"/>
      </w:r>
      <w:r w:rsidRPr="00B76B16">
        <w:rPr>
          <w:rFonts w:eastAsia="Calibri"/>
          <w:bCs/>
        </w:rPr>
        <w:instrText xml:space="preserve"> REF Sch28PartA \h  \* MERGEFORMAT </w:instrText>
      </w:r>
      <w:r w:rsidRPr="00B76B16">
        <w:rPr>
          <w:rFonts w:eastAsia="Calibri"/>
          <w:bCs/>
        </w:rPr>
      </w:r>
      <w:r w:rsidRPr="00B76B16">
        <w:rPr>
          <w:rFonts w:eastAsia="Calibri"/>
          <w:bCs/>
        </w:rPr>
        <w:fldChar w:fldCharType="separate"/>
      </w:r>
      <w:r w:rsidR="007A1473" w:rsidRPr="007A1473">
        <w:rPr>
          <w:bCs/>
        </w:rPr>
        <w:t>Part A</w:t>
      </w:r>
      <w:r w:rsidRPr="00B76B16">
        <w:rPr>
          <w:rFonts w:eastAsia="Calibri"/>
          <w:bCs/>
        </w:rPr>
        <w:fldChar w:fldCharType="end"/>
      </w:r>
      <w:r w:rsidRPr="00B76B16">
        <w:t xml:space="preserve"> (</w:t>
      </w:r>
      <w:r w:rsidRPr="00B76B16">
        <w:rPr>
          <w:i/>
          <w:iCs/>
        </w:rPr>
        <w:t>Staff Transfer At Operational Commencement Date – Outsourcing From the Authority</w:t>
      </w:r>
      <w:r w:rsidRPr="00B76B16">
        <w:t>)</w:t>
      </w:r>
      <w:r w:rsidR="00CF128E" w:rsidRPr="00B76B16">
        <w:t xml:space="preserve"> – </w:t>
      </w:r>
      <w:r w:rsidR="00CF128E" w:rsidRPr="00B76B16">
        <w:rPr>
          <w:b/>
        </w:rPr>
        <w:t>N/A</w:t>
      </w:r>
    </w:p>
    <w:p w14:paraId="51F2A92E" w14:textId="282E234D" w:rsidR="00F67E9E" w:rsidRPr="00B76B16" w:rsidRDefault="00F67E9E" w:rsidP="00F67E9E">
      <w:pPr>
        <w:pStyle w:val="Numbered111"/>
      </w:pPr>
      <w:r w:rsidRPr="00B76B16">
        <w:rPr>
          <w:rFonts w:eastAsia="Calibri"/>
          <w:bCs/>
        </w:rPr>
        <w:fldChar w:fldCharType="begin"/>
      </w:r>
      <w:r w:rsidRPr="00B76B16">
        <w:rPr>
          <w:rFonts w:eastAsia="Calibri"/>
          <w:bCs/>
        </w:rPr>
        <w:instrText xml:space="preserve"> REF Sch28PartB \h  \* MERGEFORMAT </w:instrText>
      </w:r>
      <w:r w:rsidRPr="00B76B16">
        <w:rPr>
          <w:rFonts w:eastAsia="Calibri"/>
          <w:bCs/>
        </w:rPr>
      </w:r>
      <w:r w:rsidRPr="00B76B16">
        <w:rPr>
          <w:rFonts w:eastAsia="Calibri"/>
          <w:bCs/>
        </w:rPr>
        <w:fldChar w:fldCharType="separate"/>
      </w:r>
      <w:r w:rsidR="007A1473" w:rsidRPr="007A1473">
        <w:rPr>
          <w:bCs/>
        </w:rPr>
        <w:t>Part B</w:t>
      </w:r>
      <w:r w:rsidRPr="00B76B16">
        <w:rPr>
          <w:rFonts w:eastAsia="Calibri"/>
          <w:bCs/>
        </w:rPr>
        <w:fldChar w:fldCharType="end"/>
      </w:r>
      <w:r w:rsidRPr="00B76B16">
        <w:t xml:space="preserve"> (</w:t>
      </w:r>
      <w:r w:rsidRPr="00B76B16">
        <w:rPr>
          <w:i/>
          <w:iCs/>
        </w:rPr>
        <w:t>Staff Transfer At Operational Commencement Date – Transfer From Former Supplier</w:t>
      </w:r>
      <w:r w:rsidRPr="00B76B16">
        <w:t>)</w:t>
      </w:r>
      <w:r w:rsidR="00CF128E" w:rsidRPr="00B76B16">
        <w:t xml:space="preserve"> – </w:t>
      </w:r>
      <w:r w:rsidR="00CF128E" w:rsidRPr="00B76B16">
        <w:rPr>
          <w:b/>
        </w:rPr>
        <w:t>N/A</w:t>
      </w:r>
    </w:p>
    <w:p w14:paraId="65513023" w14:textId="18F2294C" w:rsidR="00F67E9E" w:rsidRPr="00B76B16" w:rsidRDefault="00F67E9E" w:rsidP="00F67E9E">
      <w:pPr>
        <w:pStyle w:val="Numbered111"/>
      </w:pPr>
      <w:r w:rsidRPr="00B76B16">
        <w:fldChar w:fldCharType="begin"/>
      </w:r>
      <w:r w:rsidRPr="00B76B16">
        <w:instrText xml:space="preserve"> REF Sch28PartC \h  \* MERGEFORMAT </w:instrText>
      </w:r>
      <w:r w:rsidRPr="00B76B16">
        <w:fldChar w:fldCharType="separate"/>
      </w:r>
      <w:r w:rsidR="007A1473" w:rsidRPr="000038E2">
        <w:t xml:space="preserve">Part </w:t>
      </w:r>
      <w:r w:rsidR="007A1473" w:rsidRPr="00025910">
        <w:t>C</w:t>
      </w:r>
      <w:r w:rsidRPr="00B76B16">
        <w:fldChar w:fldCharType="end"/>
      </w:r>
      <w:r w:rsidRPr="00B76B16">
        <w:t xml:space="preserve"> (</w:t>
      </w:r>
      <w:r w:rsidRPr="00B76B16">
        <w:rPr>
          <w:i/>
          <w:iCs/>
        </w:rPr>
        <w:t>No Staff Transfer On Operational Commencement Date</w:t>
      </w:r>
      <w:r w:rsidRPr="00B76B16">
        <w:t>)</w:t>
      </w:r>
    </w:p>
    <w:p w14:paraId="76B0942A" w14:textId="2C43C7EC" w:rsidR="00F67E9E" w:rsidRPr="00B76B16" w:rsidRDefault="00F67E9E" w:rsidP="00F67E9E">
      <w:pPr>
        <w:pStyle w:val="Numbered111"/>
      </w:pPr>
      <w:r w:rsidRPr="00B76B16">
        <w:fldChar w:fldCharType="begin"/>
      </w:r>
      <w:r w:rsidRPr="00B76B16">
        <w:instrText xml:space="preserve"> REF Sch28PartD \h  \* MERGEFORMAT </w:instrText>
      </w:r>
      <w:r w:rsidRPr="00B76B16">
        <w:fldChar w:fldCharType="separate"/>
      </w:r>
      <w:r w:rsidR="007A1473" w:rsidRPr="007A1473">
        <w:rPr>
          <w:rFonts w:eastAsia="Calibri"/>
        </w:rPr>
        <w:t>Part D</w:t>
      </w:r>
      <w:r w:rsidRPr="00B76B16">
        <w:fldChar w:fldCharType="end"/>
      </w:r>
      <w:r w:rsidRPr="00B76B16">
        <w:t xml:space="preserve"> (</w:t>
      </w:r>
      <w:r w:rsidRPr="00B76B16">
        <w:rPr>
          <w:i/>
          <w:iCs/>
        </w:rPr>
        <w:t>Pensions</w:t>
      </w:r>
      <w:r w:rsidRPr="00B76B16">
        <w:t>)</w:t>
      </w:r>
    </w:p>
    <w:p w14:paraId="6F310D36" w14:textId="1A3CB114" w:rsidR="00F67E9E" w:rsidRPr="00B76B16" w:rsidRDefault="00F67E9E" w:rsidP="00F67E9E">
      <w:pPr>
        <w:pStyle w:val="Numbered111a"/>
      </w:pPr>
      <w:r w:rsidRPr="00B76B16">
        <w:t xml:space="preserve">Annex </w:t>
      </w:r>
      <w:r w:rsidRPr="00B76B16">
        <w:fldChar w:fldCharType="begin"/>
      </w:r>
      <w:r w:rsidRPr="00B76B16">
        <w:instrText xml:space="preserve"> REF ANNEXD1_SCHEDULE28 \h  \* MERGEFORMAT </w:instrText>
      </w:r>
      <w:r w:rsidRPr="00B76B16">
        <w:fldChar w:fldCharType="separate"/>
      </w:r>
      <w:r w:rsidR="007A1473" w:rsidRPr="00025910">
        <w:t>D1</w:t>
      </w:r>
      <w:r w:rsidRPr="00B76B16">
        <w:fldChar w:fldCharType="end"/>
      </w:r>
      <w:r w:rsidRPr="00B76B16">
        <w:t xml:space="preserve"> (</w:t>
      </w:r>
      <w:r w:rsidRPr="00B76B16">
        <w:rPr>
          <w:i/>
          <w:iCs/>
        </w:rPr>
        <w:fldChar w:fldCharType="begin"/>
      </w:r>
      <w:r w:rsidRPr="00B76B16">
        <w:rPr>
          <w:i/>
          <w:iCs/>
        </w:rPr>
        <w:instrText xml:space="preserve"> REF ANNEXD1HEADING_SCHEDULE28 \h  \* MERGEFORMAT </w:instrText>
      </w:r>
      <w:r w:rsidRPr="00B76B16">
        <w:rPr>
          <w:i/>
          <w:iCs/>
        </w:rPr>
      </w:r>
      <w:r w:rsidRPr="00B76B16">
        <w:rPr>
          <w:i/>
          <w:iCs/>
        </w:rPr>
        <w:fldChar w:fldCharType="separate"/>
      </w:r>
      <w:r w:rsidR="007A1473" w:rsidRPr="007A1473">
        <w:rPr>
          <w:i/>
          <w:iCs/>
        </w:rPr>
        <w:t>CSPS</w:t>
      </w:r>
      <w:r w:rsidRPr="00B76B16">
        <w:rPr>
          <w:i/>
          <w:iCs/>
        </w:rPr>
        <w:fldChar w:fldCharType="end"/>
      </w:r>
      <w:r w:rsidRPr="00B76B16">
        <w:t>)</w:t>
      </w:r>
      <w:r w:rsidR="00CF128E" w:rsidRPr="00B76B16">
        <w:t xml:space="preserve"> – </w:t>
      </w:r>
      <w:r w:rsidR="00CF128E" w:rsidRPr="00B76B16">
        <w:rPr>
          <w:b/>
        </w:rPr>
        <w:t>N/A</w:t>
      </w:r>
    </w:p>
    <w:p w14:paraId="47D4B77E" w14:textId="253ED8D7" w:rsidR="00F67E9E" w:rsidRPr="00B76B16" w:rsidRDefault="00F67E9E" w:rsidP="00F67E9E">
      <w:pPr>
        <w:pStyle w:val="Numbered111a"/>
      </w:pPr>
      <w:r w:rsidRPr="00B76B16">
        <w:t xml:space="preserve">Annex </w:t>
      </w:r>
      <w:r w:rsidRPr="00B76B16">
        <w:fldChar w:fldCharType="begin"/>
      </w:r>
      <w:r w:rsidRPr="00B76B16">
        <w:instrText xml:space="preserve"> REF ANNEXD2_SCHEDULE28 \h  \* MERGEFORMAT </w:instrText>
      </w:r>
      <w:r w:rsidRPr="00B76B16">
        <w:fldChar w:fldCharType="separate"/>
      </w:r>
      <w:r w:rsidR="007A1473" w:rsidRPr="00025910">
        <w:t>D2</w:t>
      </w:r>
      <w:r w:rsidRPr="00B76B16">
        <w:fldChar w:fldCharType="end"/>
      </w:r>
      <w:r w:rsidRPr="00B76B16">
        <w:t xml:space="preserve"> (</w:t>
      </w:r>
      <w:r w:rsidRPr="00B76B16">
        <w:rPr>
          <w:i/>
          <w:iCs/>
        </w:rPr>
        <w:fldChar w:fldCharType="begin"/>
      </w:r>
      <w:r w:rsidRPr="00B76B16">
        <w:rPr>
          <w:i/>
          <w:iCs/>
        </w:rPr>
        <w:instrText xml:space="preserve"> REF ANNEXD2HEADING_SCHEDULE28 \h  \* MERGEFORMAT </w:instrText>
      </w:r>
      <w:r w:rsidRPr="00B76B16">
        <w:rPr>
          <w:i/>
          <w:iCs/>
        </w:rPr>
      </w:r>
      <w:r w:rsidRPr="00B76B16">
        <w:rPr>
          <w:i/>
          <w:iCs/>
        </w:rPr>
        <w:fldChar w:fldCharType="separate"/>
      </w:r>
      <w:r w:rsidR="007A1473" w:rsidRPr="007A1473">
        <w:rPr>
          <w:i/>
          <w:iCs/>
        </w:rPr>
        <w:t>NHSPS</w:t>
      </w:r>
      <w:r w:rsidRPr="00B76B16">
        <w:rPr>
          <w:i/>
          <w:iCs/>
        </w:rPr>
        <w:fldChar w:fldCharType="end"/>
      </w:r>
      <w:r w:rsidRPr="00B76B16">
        <w:t>)</w:t>
      </w:r>
      <w:r w:rsidR="00CF128E" w:rsidRPr="00B76B16">
        <w:t xml:space="preserve"> – </w:t>
      </w:r>
      <w:r w:rsidR="00CF128E" w:rsidRPr="00B76B16">
        <w:rPr>
          <w:b/>
        </w:rPr>
        <w:t>N/A</w:t>
      </w:r>
    </w:p>
    <w:p w14:paraId="469045BF" w14:textId="0AE96726" w:rsidR="00F67E9E" w:rsidRPr="00B76B16" w:rsidRDefault="00F67E9E" w:rsidP="00F67E9E">
      <w:pPr>
        <w:pStyle w:val="Numbered111a"/>
      </w:pPr>
      <w:r w:rsidRPr="00B76B16">
        <w:t xml:space="preserve">Annex </w:t>
      </w:r>
      <w:r w:rsidRPr="00B76B16">
        <w:fldChar w:fldCharType="begin"/>
      </w:r>
      <w:r w:rsidRPr="00B76B16">
        <w:instrText xml:space="preserve"> REF ANNEXD3_SCHEDULE28 \h  \* MERGEFORMAT </w:instrText>
      </w:r>
      <w:r w:rsidRPr="00B76B16">
        <w:fldChar w:fldCharType="separate"/>
      </w:r>
      <w:r w:rsidR="007A1473" w:rsidRPr="00025910">
        <w:t>D3</w:t>
      </w:r>
      <w:r w:rsidRPr="00B76B16">
        <w:fldChar w:fldCharType="end"/>
      </w:r>
      <w:r w:rsidRPr="00B76B16">
        <w:t xml:space="preserve"> (</w:t>
      </w:r>
      <w:r w:rsidRPr="00B76B16">
        <w:rPr>
          <w:i/>
          <w:iCs/>
        </w:rPr>
        <w:fldChar w:fldCharType="begin"/>
      </w:r>
      <w:r w:rsidRPr="00B76B16">
        <w:rPr>
          <w:i/>
          <w:iCs/>
        </w:rPr>
        <w:instrText xml:space="preserve"> REF ANNEXD3HEADING_SCHEDULE28 \h  \* MERGEFORMAT </w:instrText>
      </w:r>
      <w:r w:rsidRPr="00B76B16">
        <w:rPr>
          <w:i/>
          <w:iCs/>
        </w:rPr>
      </w:r>
      <w:r w:rsidRPr="00B76B16">
        <w:rPr>
          <w:i/>
          <w:iCs/>
        </w:rPr>
        <w:fldChar w:fldCharType="separate"/>
      </w:r>
      <w:r w:rsidR="007A1473" w:rsidRPr="007A1473">
        <w:rPr>
          <w:i/>
          <w:iCs/>
        </w:rPr>
        <w:t>LGPS</w:t>
      </w:r>
      <w:r w:rsidRPr="00B76B16">
        <w:rPr>
          <w:i/>
          <w:iCs/>
        </w:rPr>
        <w:fldChar w:fldCharType="end"/>
      </w:r>
      <w:r w:rsidRPr="00B76B16">
        <w:t>)</w:t>
      </w:r>
      <w:r w:rsidR="00CF128E" w:rsidRPr="00B76B16">
        <w:t xml:space="preserve"> – </w:t>
      </w:r>
      <w:r w:rsidR="00CF128E" w:rsidRPr="00B76B16">
        <w:rPr>
          <w:b/>
        </w:rPr>
        <w:t>N/A</w:t>
      </w:r>
    </w:p>
    <w:p w14:paraId="27D09C96" w14:textId="500DEC6F" w:rsidR="00F67E9E" w:rsidRPr="00B76B16" w:rsidRDefault="00F67E9E" w:rsidP="00F67E9E">
      <w:pPr>
        <w:pStyle w:val="Numbered111a"/>
      </w:pPr>
      <w:r w:rsidRPr="00B76B16">
        <w:t xml:space="preserve">Annex </w:t>
      </w:r>
      <w:r w:rsidRPr="00B76B16">
        <w:fldChar w:fldCharType="begin"/>
      </w:r>
      <w:r w:rsidRPr="00B76B16">
        <w:instrText xml:space="preserve"> REF ANNEXD4_SCHEDULE28 \h  \* MERGEFORMAT </w:instrText>
      </w:r>
      <w:r w:rsidRPr="00B76B16">
        <w:fldChar w:fldCharType="separate"/>
      </w:r>
      <w:r w:rsidR="007A1473" w:rsidRPr="00025910">
        <w:t>D4</w:t>
      </w:r>
      <w:r w:rsidRPr="00B76B16">
        <w:fldChar w:fldCharType="end"/>
      </w:r>
      <w:r w:rsidRPr="00B76B16">
        <w:t xml:space="preserve"> (</w:t>
      </w:r>
      <w:r w:rsidRPr="00B76B16">
        <w:fldChar w:fldCharType="begin"/>
      </w:r>
      <w:r w:rsidRPr="00B76B16">
        <w:instrText xml:space="preserve"> REF  ANNEXD4HEADING_SCHEDULE28 \* Caps \h  \* MERGEFORMAT </w:instrText>
      </w:r>
      <w:r w:rsidRPr="00B76B16">
        <w:fldChar w:fldCharType="separate"/>
      </w:r>
      <w:r w:rsidR="007A1473" w:rsidRPr="00FA4BBC">
        <w:t>Other Schemes</w:t>
      </w:r>
      <w:r w:rsidRPr="00B76B16">
        <w:fldChar w:fldCharType="end"/>
      </w:r>
      <w:r w:rsidRPr="00B76B16">
        <w:t>)</w:t>
      </w:r>
      <w:r w:rsidRPr="00B76B16">
        <w:tab/>
      </w:r>
      <w:r w:rsidR="00CF128E" w:rsidRPr="00B76B16">
        <w:t xml:space="preserve"> – </w:t>
      </w:r>
      <w:r w:rsidR="00CF128E" w:rsidRPr="00B76B16">
        <w:rPr>
          <w:b/>
        </w:rPr>
        <w:t>N/A</w:t>
      </w:r>
    </w:p>
    <w:p w14:paraId="0913E510" w14:textId="3FE6AE1E" w:rsidR="00F67E9E" w:rsidRPr="00342569" w:rsidRDefault="00F67E9E" w:rsidP="00F67E9E">
      <w:pPr>
        <w:pStyle w:val="Numbered111"/>
      </w:pPr>
      <w:r w:rsidRPr="00B76B16">
        <w:fldChar w:fldCharType="begin"/>
      </w:r>
      <w:r w:rsidRPr="00B76B16">
        <w:instrText xml:space="preserve"> REF Sch28PartE \h  \* MERGEFORMAT </w:instrText>
      </w:r>
      <w:r w:rsidRPr="00B76B16">
        <w:fldChar w:fldCharType="separate"/>
      </w:r>
      <w:r w:rsidR="007A1473" w:rsidRPr="007A1473">
        <w:t>Part E</w:t>
      </w:r>
      <w:r w:rsidRPr="00B76B16">
        <w:fldChar w:fldCharType="end"/>
      </w:r>
      <w:r w:rsidRPr="00B76B16">
        <w:t xml:space="preserve"> (</w:t>
      </w:r>
      <w:r w:rsidRPr="00B76B16">
        <w:rPr>
          <w:i/>
          <w:iCs/>
        </w:rPr>
        <w:t>Employment Exit Provisions</w:t>
      </w:r>
      <w:r w:rsidRPr="00B76B16">
        <w:t>) of this Schedule</w:t>
      </w:r>
      <w:r w:rsidRPr="00342569">
        <w:t xml:space="preserve"> will always apply to this Contract, including:</w:t>
      </w:r>
    </w:p>
    <w:p w14:paraId="5B473DA0" w14:textId="1232FFE2" w:rsidR="00F67E9E" w:rsidRPr="00025910" w:rsidRDefault="00F67E9E" w:rsidP="00F67E9E">
      <w:pPr>
        <w:pStyle w:val="Numbered111a"/>
      </w:pPr>
      <w:r w:rsidRPr="00025910">
        <w:t xml:space="preserve">Annex </w:t>
      </w:r>
      <w:r w:rsidRPr="00025910">
        <w:fldChar w:fldCharType="begin"/>
      </w:r>
      <w:r w:rsidRPr="00025910">
        <w:instrText xml:space="preserve"> REF ANNEXE1_SCHEDULE28 \h </w:instrText>
      </w:r>
      <w:r>
        <w:instrText xml:space="preserve"> \* MERGEFORMAT </w:instrText>
      </w:r>
      <w:r w:rsidRPr="00025910">
        <w:fldChar w:fldCharType="separate"/>
      </w:r>
      <w:r w:rsidR="007A1473" w:rsidRPr="00025910">
        <w:t>E1</w:t>
      </w:r>
      <w:r w:rsidRPr="00025910">
        <w:fldChar w:fldCharType="end"/>
      </w:r>
      <w:r w:rsidRPr="00025910">
        <w:t xml:space="preserve"> (</w:t>
      </w:r>
      <w:r w:rsidRPr="004F3875">
        <w:rPr>
          <w:i/>
          <w:iCs/>
        </w:rPr>
        <w:fldChar w:fldCharType="begin"/>
      </w:r>
      <w:r w:rsidRPr="004F3875">
        <w:rPr>
          <w:i/>
          <w:iCs/>
        </w:rPr>
        <w:instrText xml:space="preserve"> REF  ANNEXE1HEADING_SCHEDULE28 \* Caps \h  \* MERGEFORMAT </w:instrText>
      </w:r>
      <w:r w:rsidRPr="004F3875">
        <w:rPr>
          <w:i/>
          <w:iCs/>
        </w:rPr>
      </w:r>
      <w:r w:rsidRPr="004F3875">
        <w:rPr>
          <w:i/>
          <w:iCs/>
        </w:rPr>
        <w:fldChar w:fldCharType="separate"/>
      </w:r>
      <w:r w:rsidR="007A1473" w:rsidRPr="007A1473">
        <w:rPr>
          <w:i/>
          <w:iCs/>
        </w:rPr>
        <w:t>List Of Notified Sub-Contractors</w:t>
      </w:r>
      <w:r w:rsidRPr="004F3875">
        <w:rPr>
          <w:i/>
          <w:iCs/>
        </w:rPr>
        <w:fldChar w:fldCharType="end"/>
      </w:r>
      <w:r w:rsidRPr="00025910">
        <w:t>)</w:t>
      </w:r>
    </w:p>
    <w:p w14:paraId="57140069" w14:textId="782F29D6" w:rsidR="00F67E9E" w:rsidRPr="00EE5678" w:rsidRDefault="00F67E9E" w:rsidP="00F67E9E">
      <w:pPr>
        <w:pStyle w:val="Numbered111a"/>
      </w:pPr>
      <w:r w:rsidRPr="00EE5678">
        <w:t xml:space="preserve">Annex </w:t>
      </w:r>
      <w:r>
        <w:fldChar w:fldCharType="begin"/>
      </w:r>
      <w:r>
        <w:instrText xml:space="preserve"> REF ANNEXE2_SCHEDULE28 \h </w:instrText>
      </w:r>
      <w:r>
        <w:fldChar w:fldCharType="separate"/>
      </w:r>
      <w:r w:rsidR="007A1473" w:rsidRPr="00025910">
        <w:t>E2</w:t>
      </w:r>
      <w:r>
        <w:fldChar w:fldCharType="end"/>
      </w:r>
      <w:r w:rsidRPr="00EE5678">
        <w:t xml:space="preserve"> (</w:t>
      </w:r>
      <w:r w:rsidRPr="004F3875">
        <w:rPr>
          <w:i/>
          <w:iCs/>
        </w:rPr>
        <w:fldChar w:fldCharType="begin"/>
      </w:r>
      <w:r w:rsidRPr="004F3875">
        <w:rPr>
          <w:i/>
          <w:iCs/>
        </w:rPr>
        <w:instrText xml:space="preserve"> REF  ANNEXE2HEADING_SCHEDULE28 \* Caps \h  \* MERGEFORMAT </w:instrText>
      </w:r>
      <w:r w:rsidRPr="004F3875">
        <w:rPr>
          <w:i/>
          <w:iCs/>
        </w:rPr>
      </w:r>
      <w:r w:rsidRPr="004F3875">
        <w:rPr>
          <w:i/>
          <w:iCs/>
        </w:rPr>
        <w:fldChar w:fldCharType="separate"/>
      </w:r>
      <w:r w:rsidR="007A1473" w:rsidRPr="007A1473">
        <w:rPr>
          <w:i/>
          <w:iCs/>
        </w:rPr>
        <w:t>Staffing Information</w:t>
      </w:r>
      <w:r w:rsidRPr="004F3875">
        <w:rPr>
          <w:i/>
          <w:iCs/>
        </w:rPr>
        <w:fldChar w:fldCharType="end"/>
      </w:r>
      <w:r w:rsidRPr="00EE5678">
        <w:t>)</w:t>
      </w:r>
      <w:r>
        <w:t>.</w:t>
      </w:r>
    </w:p>
    <w:p w14:paraId="35609B74" w14:textId="77777777" w:rsidR="00F67E9E" w:rsidRDefault="00F67E9E" w:rsidP="00F67E9E">
      <w:pPr>
        <w:rPr>
          <w:rFonts w:eastAsia="Times New Roman" w:cs="Arial"/>
          <w:szCs w:val="24"/>
          <w:lang w:eastAsia="en-GB"/>
        </w:rPr>
      </w:pPr>
    </w:p>
    <w:p w14:paraId="56388CC7" w14:textId="77777777" w:rsidR="00F67E9E" w:rsidRDefault="00F67E9E" w:rsidP="00F67E9E">
      <w:pPr>
        <w:pStyle w:val="Heading2"/>
        <w:pageBreakBefore/>
      </w:pPr>
      <w:bookmarkStart w:id="2122" w:name="Sch28PartA"/>
      <w:bookmarkStart w:id="2123" w:name="_Ref_ContractCompanion_9kb9Ut225"/>
      <w:bookmarkStart w:id="2124" w:name="_9kR3WTr29B7FOiJfifw5qFQKjPyIc7P74NG3GUM"/>
      <w:bookmarkStart w:id="2125" w:name="_Toc145412818"/>
      <w:r w:rsidRPr="000038E2">
        <w:lastRenderedPageBreak/>
        <w:t xml:space="preserve">Part </w:t>
      </w:r>
      <w:r w:rsidRPr="00FA4BBC">
        <w:t>A</w:t>
      </w:r>
      <w:bookmarkEnd w:id="2122"/>
      <w:r w:rsidRPr="00FA4BBC">
        <w:t xml:space="preserve">: Transferring Authority Employees </w:t>
      </w:r>
      <w:r>
        <w:t>a</w:t>
      </w:r>
      <w:r w:rsidRPr="00FA4BBC">
        <w:t xml:space="preserve">t Commencement </w:t>
      </w:r>
      <w:r>
        <w:t>o</w:t>
      </w:r>
      <w:r w:rsidRPr="00FA4BBC">
        <w:t>f Services</w:t>
      </w:r>
      <w:bookmarkEnd w:id="2123"/>
      <w:bookmarkEnd w:id="2124"/>
      <w:bookmarkEnd w:id="2125"/>
    </w:p>
    <w:p w14:paraId="527D8DC0" w14:textId="77777777" w:rsidR="00F67E9E" w:rsidRPr="00A30540" w:rsidRDefault="00F67E9E" w:rsidP="00F13933">
      <w:pPr>
        <w:pStyle w:val="AppendixText1"/>
        <w:numPr>
          <w:ilvl w:val="0"/>
          <w:numId w:val="56"/>
        </w:numPr>
        <w:rPr>
          <w:color w:val="1F497D"/>
        </w:rPr>
      </w:pPr>
      <w:r w:rsidRPr="00A30540">
        <w:rPr>
          <w:color w:val="1F497D"/>
        </w:rPr>
        <w:t>Relevant Transfers</w:t>
      </w:r>
    </w:p>
    <w:p w14:paraId="35B3E853" w14:textId="77777777" w:rsidR="00F67E9E" w:rsidRPr="00CD4FDC" w:rsidRDefault="00F67E9E" w:rsidP="00F67E9E">
      <w:pPr>
        <w:pStyle w:val="AppendixText2"/>
      </w:pPr>
      <w:r w:rsidRPr="00CD4FDC">
        <w:t xml:space="preserve">The Authority and the </w:t>
      </w:r>
      <w:r w:rsidRPr="00A30540">
        <w:t>Supplier</w:t>
      </w:r>
      <w:r w:rsidRPr="00CD4FDC">
        <w:t xml:space="preserve"> agree that:</w:t>
      </w:r>
    </w:p>
    <w:p w14:paraId="51E48F5E" w14:textId="77777777" w:rsidR="00F67E9E" w:rsidRPr="00A30540" w:rsidRDefault="00F67E9E" w:rsidP="00F67E9E">
      <w:pPr>
        <w:pStyle w:val="AppendixText3"/>
      </w:pPr>
      <w:r w:rsidRPr="00025910">
        <w:t xml:space="preserve">the commencement of the provision of the Services or of each relevant part of the Services will be a Relevant Transfer in relation to the Transferring Authority </w:t>
      </w:r>
      <w:r w:rsidRPr="00A30540">
        <w:t>Employees; and</w:t>
      </w:r>
    </w:p>
    <w:p w14:paraId="485CF379" w14:textId="77777777" w:rsidR="00F67E9E" w:rsidRPr="00025910" w:rsidRDefault="00F67E9E" w:rsidP="00F67E9E">
      <w:pPr>
        <w:pStyle w:val="AppendixText3"/>
      </w:pPr>
      <w:r w:rsidRPr="00A30540">
        <w:t>as a result of the operation of the Employment Regulations, the contracts of employment between the Authority and the Transferring Authority Employees (except in rel</w:t>
      </w:r>
      <w:r w:rsidRPr="00025910">
        <w:t xml:space="preserve">ation to any terms disapplied through operation of </w:t>
      </w:r>
      <w:bookmarkStart w:id="2126" w:name="_9kR3WTr27987B3qgx3kt2y4IJL"/>
      <w:r w:rsidRPr="00025910">
        <w:t>regulation 10</w:t>
      </w:r>
      <w:bookmarkEnd w:id="2126"/>
      <w:r w:rsidRPr="00025910">
        <w:t xml:space="preserve"> of the Employment Regulations) will have effect on and from the Relevant Transfer Date as if originally made between the Supplier and/or any Notified Sub-contractor and each such Transferring Authority Employee.</w:t>
      </w:r>
    </w:p>
    <w:p w14:paraId="30F53922" w14:textId="77777777" w:rsidR="00F67E9E" w:rsidRPr="00025910" w:rsidRDefault="00F67E9E" w:rsidP="00F67E9E">
      <w:pPr>
        <w:pStyle w:val="AppendixText2"/>
      </w:pPr>
      <w:r w:rsidRPr="00025910">
        <w:t xml:space="preserve">The Authority shall comply with all its obligations under the Employment Regulations and shall perform and discharge all its obligations in respect of the Transferring Authority Employees in respect of the period arising up to (but </w:t>
      </w:r>
      <w:r w:rsidRPr="00A30540">
        <w:t>not</w:t>
      </w:r>
      <w:r w:rsidRPr="00025910">
        <w:t xml:space="preserve">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Authority; and (ii) the </w:t>
      </w:r>
      <w:r w:rsidRPr="00A30540">
        <w:t>Supplier</w:t>
      </w:r>
      <w:r w:rsidRPr="00025910">
        <w:t xml:space="preserve"> and/or any Notified Sub-contractor (as appropriate).</w:t>
      </w:r>
      <w:r>
        <w:t xml:space="preserve"> </w:t>
      </w:r>
    </w:p>
    <w:p w14:paraId="4A9D8E77" w14:textId="77777777" w:rsidR="00F67E9E" w:rsidRPr="00A30540" w:rsidRDefault="00F67E9E" w:rsidP="00F13933">
      <w:pPr>
        <w:pStyle w:val="AppendixText1"/>
        <w:numPr>
          <w:ilvl w:val="0"/>
          <w:numId w:val="56"/>
        </w:numPr>
        <w:rPr>
          <w:color w:val="1F497D"/>
        </w:rPr>
      </w:pPr>
      <w:r w:rsidRPr="00A30540">
        <w:rPr>
          <w:color w:val="1F497D"/>
        </w:rPr>
        <w:t>Authority Indemnities</w:t>
      </w:r>
    </w:p>
    <w:p w14:paraId="196F3F27" w14:textId="7F6ECB5C" w:rsidR="00F67E9E" w:rsidRPr="00025910" w:rsidRDefault="00F67E9E" w:rsidP="00F67E9E">
      <w:pPr>
        <w:pStyle w:val="AppendixText2"/>
      </w:pPr>
      <w:bookmarkStart w:id="2127" w:name="_Ref_ContractCompanion_9kb9UsAC9"/>
      <w:bookmarkStart w:id="2128" w:name="_9kR3WTrAG9EGFGBcdtjnhxFBiPyzp7219NWOH3X"/>
      <w:r w:rsidRPr="00025910">
        <w:t xml:space="preserve">Subject to </w:t>
      </w:r>
      <w:bookmarkStart w:id="2129" w:name="_9kMHG5YVtCIBGIEFEgTlnxtlv529Aw7C8qY78yG"/>
      <w:r w:rsidRPr="00025910">
        <w:t xml:space="preserve">Paragraph </w:t>
      </w:r>
      <w:r w:rsidRPr="00025910">
        <w:fldChar w:fldCharType="begin"/>
      </w:r>
      <w:r w:rsidRPr="00025910">
        <w:instrText xml:space="preserve"> REF _Ref_ContractCompanion_9kb9UsAC6 \n \h \t \* MERGEFORMAT </w:instrText>
      </w:r>
      <w:r w:rsidRPr="00025910">
        <w:fldChar w:fldCharType="separate"/>
      </w:r>
      <w:r w:rsidR="007A1473">
        <w:t>2.2</w:t>
      </w:r>
      <w:r w:rsidRPr="00025910">
        <w:fldChar w:fldCharType="end"/>
      </w:r>
      <w:bookmarkEnd w:id="2129"/>
      <w:r w:rsidRPr="00025910">
        <w:t>, the Authority shall indemnify the Supplier and any Notified Sub-contractor against any Employee Liabilities arising from or as a result of:</w:t>
      </w:r>
      <w:bookmarkEnd w:id="2127"/>
      <w:bookmarkEnd w:id="2128"/>
    </w:p>
    <w:p w14:paraId="5BD67F6D" w14:textId="77777777" w:rsidR="00F67E9E" w:rsidRPr="00A30540" w:rsidRDefault="00F67E9E" w:rsidP="00F67E9E">
      <w:pPr>
        <w:pStyle w:val="AppendixText3"/>
      </w:pPr>
      <w:r w:rsidRPr="00025910">
        <w:t xml:space="preserve">any act or omission by the Authority in respect of any Transferring Authority Employee or any appropriate employee representative (as defined in the Employment Regulations) of any Transferring Authority Employee occurring before </w:t>
      </w:r>
      <w:r w:rsidRPr="00A30540">
        <w:t>the Relevant Transfer Date;</w:t>
      </w:r>
    </w:p>
    <w:p w14:paraId="4EE364A5" w14:textId="77777777" w:rsidR="00F67E9E" w:rsidRPr="00025910" w:rsidRDefault="00F67E9E" w:rsidP="00F67E9E">
      <w:pPr>
        <w:pStyle w:val="AppendixText3"/>
      </w:pPr>
      <w:r w:rsidRPr="00A30540">
        <w:t>the breach</w:t>
      </w:r>
      <w:r w:rsidRPr="00025910">
        <w:t xml:space="preserve"> or non-observance by the Authority before the Relevant Transfer Date of:</w:t>
      </w:r>
    </w:p>
    <w:p w14:paraId="0498E4F0" w14:textId="77777777" w:rsidR="00F67E9E" w:rsidRPr="00A30540" w:rsidRDefault="00F67E9E" w:rsidP="00F67E9E">
      <w:pPr>
        <w:pStyle w:val="AppendixText4"/>
      </w:pPr>
      <w:r w:rsidRPr="00025910">
        <w:t xml:space="preserve">any collective agreement applicable to the Transferring Authority </w:t>
      </w:r>
      <w:r w:rsidRPr="00A30540">
        <w:t xml:space="preserve">Employees; and/or </w:t>
      </w:r>
    </w:p>
    <w:p w14:paraId="78937A3D" w14:textId="77777777" w:rsidR="00F67E9E" w:rsidRPr="00025910" w:rsidRDefault="00F67E9E" w:rsidP="00F67E9E">
      <w:pPr>
        <w:pStyle w:val="AppendixText4"/>
      </w:pPr>
      <w:r w:rsidRPr="00A30540">
        <w:t>any custo</w:t>
      </w:r>
      <w:r w:rsidRPr="00025910">
        <w:t>m or practice in respect of any Transferring Authority Employees which the Authority is contractually bound to honour;</w:t>
      </w:r>
    </w:p>
    <w:p w14:paraId="4CC5790F" w14:textId="77777777" w:rsidR="00F67E9E" w:rsidRPr="00025910" w:rsidRDefault="00F67E9E" w:rsidP="00F67E9E">
      <w:pPr>
        <w:pStyle w:val="AppendixText3"/>
      </w:pPr>
      <w:r w:rsidRPr="00025910">
        <w:t>any claim by any trade union or other body or person representing the Transferring Authority Employees arising from or connected with any failure by the Authority to comply with any legal obligation to such trade union, body or person arising before the Relevant Transfer Date;</w:t>
      </w:r>
    </w:p>
    <w:p w14:paraId="4EC21AE0" w14:textId="77777777" w:rsidR="00F67E9E" w:rsidRPr="00025910" w:rsidRDefault="00F67E9E" w:rsidP="00F67E9E">
      <w:pPr>
        <w:pStyle w:val="AppendixText3"/>
      </w:pPr>
      <w:r w:rsidRPr="00025910">
        <w:lastRenderedPageBreak/>
        <w:t>any proceeding, claim or demand by HMRC or other statutory authority in respect of any financial obligation including, but not limited to, PAYE and primary and secondary national insurance contributions:</w:t>
      </w:r>
    </w:p>
    <w:p w14:paraId="078DE8D5" w14:textId="77777777" w:rsidR="00F67E9E" w:rsidRPr="00025910" w:rsidRDefault="00F67E9E" w:rsidP="00F67E9E">
      <w:pPr>
        <w:pStyle w:val="AppendixText4"/>
      </w:pPr>
      <w:r w:rsidRPr="00025910">
        <w:t>in relation to any Transferring Authority Employee, to the extent that the proceeding, claim or demand by HMRC or other statutory authority relates to financial obligations arising before the Relevant Transfer Date; and</w:t>
      </w:r>
    </w:p>
    <w:p w14:paraId="6A29E49B" w14:textId="77777777" w:rsidR="00F67E9E" w:rsidRPr="00025910" w:rsidRDefault="00F67E9E" w:rsidP="00F67E9E">
      <w:pPr>
        <w:pStyle w:val="AppendixText4"/>
      </w:pPr>
      <w:r w:rsidRPr="00025910">
        <w:t>in relation to any employee who is not a Transferring Authority Employee and in respect of whom it is later alleged or determined that the Employment Regulations applied so as to transfer his/her employment from the Authority to the Supplier and/or any Notified Sub-contractor as appropriate, to the extent that the proceeding, claim or demand by the HMRC or other statutory authority relates to financial obligations arising before the Relevant Transfer Date.</w:t>
      </w:r>
    </w:p>
    <w:p w14:paraId="6433F51C" w14:textId="77777777" w:rsidR="00F67E9E" w:rsidRPr="00025910" w:rsidRDefault="00F67E9E" w:rsidP="00F67E9E">
      <w:pPr>
        <w:pStyle w:val="AppendixText3"/>
      </w:pPr>
      <w:r w:rsidRPr="00025910">
        <w:t>a failure of the Authority to discharge, or procure the discharge of, all wages, salaries and all other benefits and all PAYE tax deductions and national insurance contributions relating to the Transferring Authority Employees arising before the Relevant Transfer Date;</w:t>
      </w:r>
    </w:p>
    <w:p w14:paraId="384F151B" w14:textId="77777777" w:rsidR="00F67E9E" w:rsidRPr="00025910" w:rsidRDefault="00F67E9E" w:rsidP="00F67E9E">
      <w:pPr>
        <w:pStyle w:val="AppendixText3"/>
      </w:pPr>
      <w:r w:rsidRPr="00025910">
        <w:t>any claim made by or in respect of any person employed or formerly employed by the Authority other than a Transferring Authority Employee for whom it is alleged the Supplier and/or any Notified Sub-contractor as appropriate may be liable by virtue of the Employment Regulations; and</w:t>
      </w:r>
    </w:p>
    <w:p w14:paraId="4CE96FCB" w14:textId="77777777" w:rsidR="00F67E9E" w:rsidRPr="00025910" w:rsidRDefault="00F67E9E" w:rsidP="00F67E9E">
      <w:pPr>
        <w:pStyle w:val="AppendixText3"/>
      </w:pPr>
      <w:r w:rsidRPr="00025910">
        <w:t>any claim made by or in respect of a Transferring Authority Employee or any appropriate employee representative (as defined in the Employment Regulations) of any Transferring Authority Employee relating to any act or omission of the Authority in relation to its obligations under regulation 13 of the Employment Regulations, except to the extent that the liability arises from the failure by the Supplier or any Sub-contractor to comply with regulation 13(4) of the Employment Regulations.</w:t>
      </w:r>
    </w:p>
    <w:p w14:paraId="3272A76C" w14:textId="3C19794E" w:rsidR="00F67E9E" w:rsidRPr="00025910" w:rsidRDefault="00F67E9E" w:rsidP="00F67E9E">
      <w:pPr>
        <w:pStyle w:val="AppendixText2"/>
      </w:pPr>
      <w:bookmarkStart w:id="2130" w:name="_9kR3WTrAG9EGCDCeRjlvrjt3078u5A6oW56wE98"/>
      <w:bookmarkStart w:id="2131" w:name="_Ref_ContractCompanion_9kb9UsAC6"/>
      <w:r w:rsidRPr="00025910">
        <w:t xml:space="preserve">The indemnities in </w:t>
      </w:r>
      <w:bookmarkStart w:id="2132" w:name="_9kMHG5YVtCIBGIHIDefvlpjzHDkR01r943BPYQJ"/>
      <w:r w:rsidRPr="00025910">
        <w:t xml:space="preserve">Paragraph </w:t>
      </w:r>
      <w:r w:rsidRPr="00025910">
        <w:fldChar w:fldCharType="begin"/>
      </w:r>
      <w:r w:rsidRPr="00025910">
        <w:instrText xml:space="preserve"> REF _Ref_ContractCompanion_9kb9UsAC9 \n \h \t \* MERGEFORMAT </w:instrText>
      </w:r>
      <w:r w:rsidRPr="00025910">
        <w:fldChar w:fldCharType="separate"/>
      </w:r>
      <w:r w:rsidR="007A1473">
        <w:t>2.1</w:t>
      </w:r>
      <w:r w:rsidRPr="00025910">
        <w:fldChar w:fldCharType="end"/>
      </w:r>
      <w:bookmarkEnd w:id="2132"/>
      <w:r w:rsidRPr="00025910">
        <w:t xml:space="preserv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w:t>
      </w:r>
      <w:bookmarkEnd w:id="2130"/>
      <w:r w:rsidRPr="00025910">
        <w:t xml:space="preserve"> </w:t>
      </w:r>
      <w:bookmarkEnd w:id="2131"/>
    </w:p>
    <w:p w14:paraId="738DAA8E" w14:textId="77777777" w:rsidR="00F67E9E" w:rsidRPr="00025910" w:rsidRDefault="00F67E9E" w:rsidP="00F67E9E">
      <w:pPr>
        <w:pStyle w:val="AppendixText3"/>
      </w:pPr>
      <w:r w:rsidRPr="00025910">
        <w:t>arising out of the resignation of any Transferring Authority Employee before the Relevant Transfer Date on account of substantial detrimental changes to his/her working conditions proposed by the Supplier and/or any Sub-contractor to occur in the period from (and including) the Relevant Transfer Date; or</w:t>
      </w:r>
    </w:p>
    <w:p w14:paraId="1CD4FF00" w14:textId="77777777" w:rsidR="00F67E9E" w:rsidRPr="00025910" w:rsidRDefault="00F67E9E" w:rsidP="00F67E9E">
      <w:pPr>
        <w:pStyle w:val="AppendixText3"/>
      </w:pPr>
      <w:r w:rsidRPr="00025910">
        <w:t>arising from the failure by the Supplier or any Sub-contractor to comply with its obligations under the Employment Regulations.</w:t>
      </w:r>
    </w:p>
    <w:p w14:paraId="32476EC1" w14:textId="77777777" w:rsidR="00F67E9E" w:rsidRPr="00025910" w:rsidRDefault="00F67E9E" w:rsidP="00F67E9E">
      <w:pPr>
        <w:pStyle w:val="AppendixText2"/>
      </w:pPr>
      <w:bookmarkStart w:id="2133" w:name="_Ref_ContractCompanion_9kb9UsAD6"/>
      <w:bookmarkStart w:id="2134" w:name="_9kR3WTrAG9EHCCDUEdmBEvyDB7GB46BHELG1y9P"/>
      <w:r w:rsidRPr="00025910">
        <w:t>If any person who is not identified by the Authority as a Transferring Authority Employee claims, or it is determined in relation to any person who is not identified by the Authority as a Transferring Authority Employee, that his/her contract of employment has been transferred from the Authority to the Supplier and/or any Notified Sub-contractor pursuant to the Employment Regulations then:</w:t>
      </w:r>
      <w:bookmarkEnd w:id="2133"/>
      <w:bookmarkEnd w:id="2134"/>
    </w:p>
    <w:p w14:paraId="7970AE16" w14:textId="77777777" w:rsidR="00F67E9E" w:rsidRPr="00025910" w:rsidRDefault="00F67E9E" w:rsidP="00F67E9E">
      <w:pPr>
        <w:pStyle w:val="AppendixText3"/>
      </w:pPr>
      <w:bookmarkStart w:id="2135" w:name="_9kR3WTrAG9EICBDmqykWhB74ys2H8rw8CJOFy3F"/>
      <w:bookmarkStart w:id="2136" w:name="_Ref_ContractCompanion_9kb9UsAE6"/>
      <w:r w:rsidRPr="00025910">
        <w:lastRenderedPageBreak/>
        <w:t>the Supplier shall, or shall procure that the Notified Sub-contractor shall, within 5 Working Days of becoming aware of that fact, give notice in writing to the Authority;</w:t>
      </w:r>
      <w:bookmarkEnd w:id="2135"/>
      <w:r w:rsidRPr="00025910">
        <w:t xml:space="preserve"> and</w:t>
      </w:r>
      <w:bookmarkEnd w:id="2136"/>
    </w:p>
    <w:p w14:paraId="72D3893C" w14:textId="77777777" w:rsidR="00F67E9E" w:rsidRPr="00025910" w:rsidRDefault="00F67E9E" w:rsidP="00F67E9E">
      <w:pPr>
        <w:pStyle w:val="AppendixText3"/>
      </w:pPr>
      <w:bookmarkStart w:id="2137" w:name="_Ref_ContractCompanion_9kb9UsACC"/>
      <w:bookmarkStart w:id="2138" w:name="_9kR3WTrAG9EH99DnrykEPF3zA58PJw9O6yyBMNM"/>
      <w:r w:rsidRPr="00025910">
        <w:t>the Authority may offer (or may procure that a third party may offer) employment to such person within 15 Working Days of receipt of the notification by the Supplier and/or any Notified Sub-contractor, or take such other reasonable steps as the Authority considers appropriate to deal with the matter provided always that such steps are in compliance with Law.</w:t>
      </w:r>
      <w:bookmarkEnd w:id="2137"/>
      <w:bookmarkEnd w:id="2138"/>
    </w:p>
    <w:p w14:paraId="3844BDC1" w14:textId="447AFD5A" w:rsidR="00F67E9E" w:rsidRPr="00025910" w:rsidRDefault="00F67E9E" w:rsidP="00F67E9E">
      <w:pPr>
        <w:pStyle w:val="AppendixText2"/>
      </w:pPr>
      <w:r w:rsidRPr="00025910">
        <w:t xml:space="preserve">If an offer referred to in </w:t>
      </w:r>
      <w:bookmarkStart w:id="2139" w:name="_9kMHG5YVtCIBGJBBFpt0mGRH51C7ARLyBQ800DO"/>
      <w:r w:rsidRPr="00025910">
        <w:t xml:space="preserve">Paragraph </w:t>
      </w:r>
      <w:r w:rsidRPr="00025910">
        <w:fldChar w:fldCharType="begin"/>
      </w:r>
      <w:r w:rsidRPr="00025910">
        <w:instrText xml:space="preserve"> REF _Ref_ContractCompanion_9kb9UsACC \w \h \t \* MERGEFORMAT </w:instrText>
      </w:r>
      <w:r w:rsidRPr="00025910">
        <w:fldChar w:fldCharType="separate"/>
      </w:r>
      <w:r w:rsidR="007A1473">
        <w:t>2.3.2</w:t>
      </w:r>
      <w:r w:rsidRPr="00025910">
        <w:fldChar w:fldCharType="end"/>
      </w:r>
      <w:bookmarkEnd w:id="2139"/>
      <w:r w:rsidRPr="00025910">
        <w:t xml:space="preserve"> is accepted, or if the situation has otherwise been resolved by the Authority, the Supplier shall, or shall procure that the Notified Sub-contractor shall, immediately release the person from his/her employment or alleged employment.</w:t>
      </w:r>
    </w:p>
    <w:p w14:paraId="403071CD" w14:textId="7AAD8897" w:rsidR="00F67E9E" w:rsidRPr="00025910" w:rsidRDefault="00F67E9E" w:rsidP="00F67E9E">
      <w:pPr>
        <w:pStyle w:val="AppendixText2"/>
      </w:pPr>
      <w:bookmarkStart w:id="2140" w:name="_Ref_ContractCompanion_9kb9UsAD9"/>
      <w:bookmarkStart w:id="2141" w:name="_9kR3WTrAG9EHFFFWEeyH1nlvvx069vGV1sKH9DC"/>
      <w:r w:rsidRPr="00025910">
        <w:t xml:space="preserve">If by the end of the 15 Working Day period specified in </w:t>
      </w:r>
      <w:bookmarkStart w:id="2142" w:name="_9kMIH5YVtCIBGJBBFpt0mGRH51C7ARLyBQ800DO"/>
      <w:r w:rsidRPr="00025910">
        <w:t xml:space="preserve">Paragraph </w:t>
      </w:r>
      <w:r w:rsidRPr="00025910">
        <w:fldChar w:fldCharType="begin"/>
      </w:r>
      <w:r w:rsidRPr="00025910">
        <w:instrText xml:space="preserve"> REF _Ref_ContractCompanion_9kb9UsACC \w \h \t \* MERGEFORMAT </w:instrText>
      </w:r>
      <w:r w:rsidRPr="00025910">
        <w:fldChar w:fldCharType="separate"/>
      </w:r>
      <w:r w:rsidR="007A1473">
        <w:t>2.3.2</w:t>
      </w:r>
      <w:r w:rsidRPr="00025910">
        <w:fldChar w:fldCharType="end"/>
      </w:r>
      <w:bookmarkEnd w:id="2142"/>
      <w:r w:rsidRPr="00025910">
        <w:t>:</w:t>
      </w:r>
      <w:bookmarkEnd w:id="2140"/>
      <w:bookmarkEnd w:id="2141"/>
    </w:p>
    <w:p w14:paraId="1D8A9367" w14:textId="77777777" w:rsidR="00F67E9E" w:rsidRPr="00025910" w:rsidRDefault="00F67E9E" w:rsidP="00F67E9E">
      <w:pPr>
        <w:pStyle w:val="AppendixText3"/>
      </w:pPr>
      <w:r w:rsidRPr="00025910">
        <w:t xml:space="preserve">no such offer of employment has been made; </w:t>
      </w:r>
    </w:p>
    <w:p w14:paraId="6845864C" w14:textId="77777777" w:rsidR="00F67E9E" w:rsidRPr="00025910" w:rsidRDefault="00F67E9E" w:rsidP="00F67E9E">
      <w:pPr>
        <w:pStyle w:val="AppendixText3"/>
      </w:pPr>
      <w:r w:rsidRPr="00025910">
        <w:t>such offer has been made but not accepted; or</w:t>
      </w:r>
    </w:p>
    <w:p w14:paraId="4E3DEE12" w14:textId="77777777" w:rsidR="00F67E9E" w:rsidRPr="00025910" w:rsidRDefault="00F67E9E" w:rsidP="00F67E9E">
      <w:pPr>
        <w:pStyle w:val="AppendixText3"/>
      </w:pPr>
      <w:r w:rsidRPr="00025910">
        <w:t>the situation has not otherwise been resolved,</w:t>
      </w:r>
    </w:p>
    <w:p w14:paraId="38E307EC" w14:textId="77777777" w:rsidR="00F67E9E" w:rsidRPr="00025910" w:rsidRDefault="00F67E9E" w:rsidP="00F67E9E">
      <w:pPr>
        <w:pStyle w:val="StdBodyText2"/>
        <w:rPr>
          <w:rFonts w:cs="Arial"/>
        </w:rPr>
      </w:pPr>
      <w:r w:rsidRPr="00025910">
        <w:rPr>
          <w:rFonts w:cs="Arial"/>
        </w:rPr>
        <w:t>the Supplier and/or any Notified Sub-contractor may within 5 Working Days give notice to terminate the employment or alleged employment of such person.</w:t>
      </w:r>
    </w:p>
    <w:p w14:paraId="78B3CB56" w14:textId="08796FAB" w:rsidR="00F67E9E" w:rsidRPr="00025910" w:rsidRDefault="00F67E9E" w:rsidP="00F67E9E">
      <w:pPr>
        <w:pStyle w:val="AppendixText2"/>
      </w:pPr>
      <w:bookmarkStart w:id="2143" w:name="_Ref_ContractCompanion_9kb9UsADC"/>
      <w:bookmarkStart w:id="2144" w:name="_9kR3WTrAG9EHIIGhdtjnhxFBC6sepJFC60A748A"/>
      <w:r w:rsidRPr="00025910">
        <w:t xml:space="preserve">Subject to the Supplier and/or any Notified Sub-contractor acting in accordance with the provisions of </w:t>
      </w:r>
      <w:bookmarkStart w:id="2145" w:name="_9kMHG5YVtCIBGJEEFWGfoDGx0FD9ID68DJGNI30"/>
      <w:r w:rsidRPr="00025910">
        <w:t xml:space="preserve">Paragraphs </w:t>
      </w:r>
      <w:r w:rsidRPr="00025910">
        <w:fldChar w:fldCharType="begin"/>
      </w:r>
      <w:r w:rsidRPr="00025910">
        <w:instrText xml:space="preserve"> REF _Ref_ContractCompanion_9kb9UsAD6 \n \h \t \* MERGEFORMAT </w:instrText>
      </w:r>
      <w:r w:rsidRPr="00025910">
        <w:fldChar w:fldCharType="separate"/>
      </w:r>
      <w:r w:rsidR="007A1473">
        <w:t>2.3</w:t>
      </w:r>
      <w:r w:rsidRPr="00025910">
        <w:fldChar w:fldCharType="end"/>
      </w:r>
      <w:bookmarkEnd w:id="2145"/>
      <w:r w:rsidRPr="00025910">
        <w:t xml:space="preserve"> to </w:t>
      </w:r>
      <w:bookmarkStart w:id="2146" w:name="_9kMHG5YVtCIBGJHHHYGg0J3pnxxz28BxIX3uMJB"/>
      <w:r w:rsidRPr="00025910">
        <w:fldChar w:fldCharType="begin"/>
      </w:r>
      <w:r w:rsidRPr="00025910">
        <w:instrText xml:space="preserve"> REF _Ref_ContractCompanion_9kb9UsAD9 \n \h \t \* MERGEFORMAT </w:instrText>
      </w:r>
      <w:r w:rsidRPr="00025910">
        <w:fldChar w:fldCharType="separate"/>
      </w:r>
      <w:r w:rsidR="007A1473">
        <w:t>2.5</w:t>
      </w:r>
      <w:r w:rsidRPr="00025910">
        <w:fldChar w:fldCharType="end"/>
      </w:r>
      <w:bookmarkEnd w:id="2146"/>
      <w:r w:rsidRPr="00025910">
        <w:t xml:space="preserve"> and in accordance with all applicable proper employment procedures set out in applicable Law, the Authority shall indemnify the Supplier and/or any Notified Sub-contractor (as appropriate) against all Employee Liabilities arising out of the termination of employment pursuant to the provisions of </w:t>
      </w:r>
      <w:bookmarkStart w:id="2147" w:name="_9kMIH5YVtCIBGJHHHYGg0J3pnxxz28BxIX3uMJB"/>
      <w:r w:rsidRPr="00025910">
        <w:t xml:space="preserve">Paragraph </w:t>
      </w:r>
      <w:r w:rsidRPr="00025910">
        <w:fldChar w:fldCharType="begin"/>
      </w:r>
      <w:r w:rsidRPr="00025910">
        <w:instrText xml:space="preserve"> REF _Ref_ContractCompanion_9kb9UsAD9 \n \h \t \* MERGEFORMAT </w:instrText>
      </w:r>
      <w:r w:rsidRPr="00025910">
        <w:fldChar w:fldCharType="separate"/>
      </w:r>
      <w:r w:rsidR="007A1473">
        <w:t>2.5</w:t>
      </w:r>
      <w:r w:rsidRPr="00025910">
        <w:fldChar w:fldCharType="end"/>
      </w:r>
      <w:bookmarkEnd w:id="2147"/>
      <w:r w:rsidRPr="00025910">
        <w:t xml:space="preserve"> provided that the Supplier takes, or procures that the Notified Sub-contractor takes, all reasonable steps to minimise any such Employee Liabilities.</w:t>
      </w:r>
      <w:bookmarkEnd w:id="2143"/>
      <w:bookmarkEnd w:id="2144"/>
    </w:p>
    <w:p w14:paraId="248CA3F2" w14:textId="60F18000" w:rsidR="00F67E9E" w:rsidRPr="00025910" w:rsidRDefault="00F67E9E" w:rsidP="00F67E9E">
      <w:pPr>
        <w:pStyle w:val="AppendixText2"/>
      </w:pPr>
      <w:r w:rsidRPr="00025910">
        <w:t xml:space="preserve">The indemnity in </w:t>
      </w:r>
      <w:bookmarkStart w:id="2148" w:name="_9kMHG5YVtCIBGJKKIjfvlpjzHDE8ugrLHE82C96"/>
      <w:r w:rsidRPr="00025910">
        <w:t xml:space="preserve">Paragraph </w:t>
      </w:r>
      <w:r w:rsidRPr="00025910">
        <w:fldChar w:fldCharType="begin"/>
      </w:r>
      <w:r w:rsidRPr="00025910">
        <w:instrText xml:space="preserve"> REF _Ref_ContractCompanion_9kb9UsADC \n \h \t \* MERGEFORMAT </w:instrText>
      </w:r>
      <w:r w:rsidRPr="00025910">
        <w:fldChar w:fldCharType="separate"/>
      </w:r>
      <w:r w:rsidR="007A1473">
        <w:t>2.6</w:t>
      </w:r>
      <w:r w:rsidRPr="00025910">
        <w:fldChar w:fldCharType="end"/>
      </w:r>
      <w:bookmarkEnd w:id="2148"/>
      <w:r w:rsidRPr="00025910">
        <w:t>:</w:t>
      </w:r>
    </w:p>
    <w:p w14:paraId="427A3E93" w14:textId="77777777" w:rsidR="00F67E9E" w:rsidRPr="00025910" w:rsidRDefault="00F67E9E" w:rsidP="00F67E9E">
      <w:pPr>
        <w:pStyle w:val="AppendixText3"/>
      </w:pPr>
      <w:r w:rsidRPr="00025910">
        <w:t xml:space="preserve">shall not </w:t>
      </w:r>
      <w:r w:rsidRPr="00A30540">
        <w:t>apply</w:t>
      </w:r>
      <w:r w:rsidRPr="00025910">
        <w:t xml:space="preserve"> to:</w:t>
      </w:r>
    </w:p>
    <w:p w14:paraId="66BF6810" w14:textId="77777777" w:rsidR="00F67E9E" w:rsidRPr="00A30540" w:rsidRDefault="00F67E9E" w:rsidP="00F67E9E">
      <w:pPr>
        <w:pStyle w:val="AppendixText4"/>
      </w:pPr>
      <w:r w:rsidRPr="00025910">
        <w:t xml:space="preserve">any </w:t>
      </w:r>
      <w:r w:rsidRPr="00A30540">
        <w:t>claim for:</w:t>
      </w:r>
    </w:p>
    <w:p w14:paraId="580825C6" w14:textId="77777777" w:rsidR="00F67E9E" w:rsidRPr="00A30540" w:rsidRDefault="00F67E9E" w:rsidP="00F67E9E">
      <w:pPr>
        <w:pStyle w:val="AppendixText4"/>
      </w:pPr>
      <w:r w:rsidRPr="00A30540">
        <w:t>discrimination, including on the grounds of sex, race, disability, age, gender reassignment, marriage or civil partnership, pregnancy and maternity or sexual orientation, religion or belief; or</w:t>
      </w:r>
    </w:p>
    <w:p w14:paraId="4B9DEF5A" w14:textId="77777777" w:rsidR="00F67E9E" w:rsidRPr="00A30540" w:rsidRDefault="00F67E9E" w:rsidP="00F67E9E">
      <w:pPr>
        <w:pStyle w:val="AppendixText4"/>
      </w:pPr>
      <w:r w:rsidRPr="00A30540">
        <w:t>equal pay or compensation for less favourable treatment of part-time workers or fixed-term employees,</w:t>
      </w:r>
    </w:p>
    <w:p w14:paraId="04F4220C" w14:textId="77777777" w:rsidR="00F67E9E" w:rsidRPr="00A30540" w:rsidRDefault="00F67E9E" w:rsidP="00F67E9E">
      <w:pPr>
        <w:pStyle w:val="AppendixText4"/>
      </w:pPr>
      <w:r w:rsidRPr="00A30540">
        <w:t>in any case in relation to any alleged act or omission of the Supplier and/or any Sub-contractor; or</w:t>
      </w:r>
    </w:p>
    <w:p w14:paraId="24CACB60" w14:textId="77777777" w:rsidR="00F67E9E" w:rsidRPr="00025910" w:rsidRDefault="00F67E9E" w:rsidP="00F67E9E">
      <w:pPr>
        <w:pStyle w:val="AppendixText4"/>
      </w:pPr>
      <w:r w:rsidRPr="00A30540">
        <w:t>any claim that the termination of employment was unfair because the Supplier</w:t>
      </w:r>
      <w:r w:rsidRPr="00025910">
        <w:t xml:space="preserve"> and/or Notified Sub-contractor neglected to follow a fair dismissal procedure; and</w:t>
      </w:r>
    </w:p>
    <w:p w14:paraId="12E8F161" w14:textId="4BF68DE5" w:rsidR="00F67E9E" w:rsidRPr="00025910" w:rsidRDefault="00F67E9E" w:rsidP="00F67E9E">
      <w:pPr>
        <w:pStyle w:val="AppendixText3"/>
      </w:pPr>
      <w:r w:rsidRPr="00025910">
        <w:t xml:space="preserve">shall apply only where the notification referred to in </w:t>
      </w:r>
      <w:bookmarkStart w:id="2149" w:name="_9kMHG5YVtCIBGKEDFos0mYjD960u4JAtyAELQH0"/>
      <w:r w:rsidRPr="00025910">
        <w:t xml:space="preserve">Paragraph </w:t>
      </w:r>
      <w:r w:rsidRPr="00025910">
        <w:fldChar w:fldCharType="begin"/>
      </w:r>
      <w:r w:rsidRPr="00025910">
        <w:instrText xml:space="preserve"> REF _Ref_ContractCompanion_9kb9UsAE6 \w \h \t \* MERGEFORMAT </w:instrText>
      </w:r>
      <w:r w:rsidRPr="00025910">
        <w:fldChar w:fldCharType="separate"/>
      </w:r>
      <w:r w:rsidR="007A1473">
        <w:t>2.3.1</w:t>
      </w:r>
      <w:r w:rsidRPr="00025910">
        <w:fldChar w:fldCharType="end"/>
      </w:r>
      <w:bookmarkEnd w:id="2149"/>
      <w:r w:rsidRPr="00025910">
        <w:t xml:space="preserve"> is made </w:t>
      </w:r>
      <w:r w:rsidRPr="00025910">
        <w:lastRenderedPageBreak/>
        <w:t xml:space="preserve">by the Supplier and/or any Notified Sub-contractor (as appropriate) to the Authority within 6 months of the </w:t>
      </w:r>
      <w:r>
        <w:t>Relevant Transfer</w:t>
      </w:r>
      <w:r w:rsidRPr="00025910">
        <w:t xml:space="preserve"> Date. </w:t>
      </w:r>
    </w:p>
    <w:p w14:paraId="0D80BF01" w14:textId="16BC0B48" w:rsidR="00F67E9E" w:rsidRPr="00025910" w:rsidRDefault="00F67E9E" w:rsidP="00F67E9E">
      <w:pPr>
        <w:pStyle w:val="AppendixText2"/>
      </w:pPr>
      <w:bookmarkStart w:id="2150" w:name="_Ref_ContractCompanion_9kb9UsAEC"/>
      <w:bookmarkStart w:id="2151" w:name="_9kR3WTrAG9EIIHIZEdmBHEzn1z2HFBy4DEOB01E"/>
      <w:r w:rsidRPr="00025910">
        <w:t xml:space="preserve">If any such person as is referred to in </w:t>
      </w:r>
      <w:bookmarkStart w:id="2152" w:name="_9kMIH5YVtCIBGJEEFWGfoDGx0FD9ID68DJGNI30"/>
      <w:r w:rsidRPr="00025910">
        <w:t xml:space="preserve">Paragraph </w:t>
      </w:r>
      <w:r w:rsidRPr="00025910">
        <w:fldChar w:fldCharType="begin"/>
      </w:r>
      <w:r w:rsidRPr="00025910">
        <w:instrText xml:space="preserve"> REF _Ref_ContractCompanion_9kb9UsAD6 \n \h \t \* MERGEFORMAT </w:instrText>
      </w:r>
      <w:r w:rsidRPr="00025910">
        <w:fldChar w:fldCharType="separate"/>
      </w:r>
      <w:r w:rsidR="007A1473">
        <w:t>2.3</w:t>
      </w:r>
      <w:r w:rsidRPr="00025910">
        <w:fldChar w:fldCharType="end"/>
      </w:r>
      <w:bookmarkEnd w:id="2152"/>
      <w:r w:rsidRPr="00025910">
        <w:t xml:space="preserve"> is neither re-employed by the Authority nor dismissed by the Supplier and/or any Notified Sub-contractor within the time scales set out in </w:t>
      </w:r>
      <w:bookmarkStart w:id="2153" w:name="_9kMJI5YVtCIBGJHHHYGg0J3pnxxz28BxIX3uMJB"/>
      <w:r w:rsidRPr="00025910">
        <w:t xml:space="preserve">Paragraph </w:t>
      </w:r>
      <w:r w:rsidRPr="00025910">
        <w:fldChar w:fldCharType="begin"/>
      </w:r>
      <w:r w:rsidRPr="00025910">
        <w:instrText xml:space="preserve"> REF _Ref_ContractCompanion_9kb9UsAD9 \n \h \t \* MERGEFORMAT </w:instrText>
      </w:r>
      <w:r w:rsidRPr="00025910">
        <w:fldChar w:fldCharType="separate"/>
      </w:r>
      <w:r w:rsidR="007A1473">
        <w:t>2.5</w:t>
      </w:r>
      <w:r w:rsidRPr="00025910">
        <w:fldChar w:fldCharType="end"/>
      </w:r>
      <w:bookmarkEnd w:id="2153"/>
      <w:r w:rsidRPr="00025910">
        <w:t xml:space="preserve"> such person shall be treated as having transferred to the Supplier and/or any Notified Sub-contractor and the Supplier shall, </w:t>
      </w:r>
      <w:bookmarkEnd w:id="2150"/>
      <w:bookmarkEnd w:id="2151"/>
      <w:r w:rsidRPr="00DD7D7B">
        <w:t xml:space="preserve">(a) comply with such obligations as may be imposed upon it under applicable Law and (b) comply with the provisions of </w:t>
      </w:r>
      <w:r>
        <w:fldChar w:fldCharType="begin"/>
      </w:r>
      <w:r>
        <w:instrText xml:space="preserve"> REF Sch28PartD \h </w:instrText>
      </w:r>
      <w:r>
        <w:fldChar w:fldCharType="separate"/>
      </w:r>
      <w:r w:rsidR="007A1473" w:rsidRPr="00025910">
        <w:t>Part D</w:t>
      </w:r>
      <w:r>
        <w:fldChar w:fldCharType="end"/>
      </w:r>
      <w:r w:rsidRPr="00DD7D7B">
        <w:t xml:space="preserve"> (Pensions) and its Annexes of this </w:t>
      </w:r>
      <w:r w:rsidR="00236F49">
        <w:fldChar w:fldCharType="begin"/>
      </w:r>
      <w:r w:rsidR="00236F49">
        <w:instrText xml:space="preserve"> REF Schedule28Heading \h </w:instrText>
      </w:r>
      <w:r w:rsidR="00236F49">
        <w:fldChar w:fldCharType="separate"/>
      </w:r>
      <w:r w:rsidR="007A1473" w:rsidRPr="00DD4CC2">
        <w:t>Staff Transfer</w:t>
      </w:r>
      <w:r w:rsidR="00236F49">
        <w:fldChar w:fldCharType="end"/>
      </w:r>
      <w:r w:rsidR="00236F49">
        <w:t xml:space="preserve"> </w:t>
      </w:r>
      <w:r w:rsidRPr="00DD7D7B">
        <w:t>Schedule.</w:t>
      </w:r>
    </w:p>
    <w:p w14:paraId="1F2C35A6" w14:textId="77777777" w:rsidR="00F67E9E" w:rsidRPr="00A30540" w:rsidRDefault="00F67E9E" w:rsidP="00F13933">
      <w:pPr>
        <w:pStyle w:val="AppendixText1"/>
        <w:numPr>
          <w:ilvl w:val="0"/>
          <w:numId w:val="56"/>
        </w:numPr>
        <w:rPr>
          <w:color w:val="1F497D"/>
        </w:rPr>
      </w:pPr>
      <w:r w:rsidRPr="00A30540">
        <w:rPr>
          <w:color w:val="1F497D"/>
        </w:rPr>
        <w:t>Supplier Indemnities and Obligations</w:t>
      </w:r>
    </w:p>
    <w:p w14:paraId="7E12E230" w14:textId="5EB17A53" w:rsidR="00F67E9E" w:rsidRPr="00025910" w:rsidRDefault="00F67E9E" w:rsidP="00F67E9E">
      <w:pPr>
        <w:pStyle w:val="AppendixText2"/>
      </w:pPr>
      <w:bookmarkStart w:id="2154" w:name="_Ref_ContractCompanion_9kb9UsAEF"/>
      <w:bookmarkStart w:id="2155" w:name="_9kR3WTrAG9EJCBCcdtjnhxFBiPyzp7219OXOH3p"/>
      <w:r w:rsidRPr="00025910">
        <w:t xml:space="preserve">Subject to </w:t>
      </w:r>
      <w:bookmarkStart w:id="2156" w:name="_9kMHG5YVtCIBGKHHFgTlnxtlv529Aw7C8qY78yG"/>
      <w:r w:rsidRPr="00025910">
        <w:t xml:space="preserve">Paragraph </w:t>
      </w:r>
      <w:r w:rsidRPr="00025910">
        <w:fldChar w:fldCharType="begin"/>
      </w:r>
      <w:r w:rsidRPr="00025910">
        <w:instrText xml:space="preserve"> REF _Ref_ContractCompanion_9kb9UsAE9 \n \h \t \* MERGEFORMAT </w:instrText>
      </w:r>
      <w:r w:rsidRPr="00025910">
        <w:fldChar w:fldCharType="separate"/>
      </w:r>
      <w:r w:rsidR="007A1473">
        <w:t>3.2</w:t>
      </w:r>
      <w:r w:rsidRPr="00025910">
        <w:fldChar w:fldCharType="end"/>
      </w:r>
      <w:bookmarkEnd w:id="2156"/>
      <w:r w:rsidRPr="00025910">
        <w:t>, the Supplier shall indemnify the Authority against any Employee Liabilities arising from or as a result of:</w:t>
      </w:r>
      <w:bookmarkEnd w:id="2154"/>
      <w:bookmarkEnd w:id="2155"/>
    </w:p>
    <w:p w14:paraId="357C572E" w14:textId="77777777" w:rsidR="00F67E9E" w:rsidRPr="00025910" w:rsidRDefault="00F67E9E" w:rsidP="00F67E9E">
      <w:pPr>
        <w:pStyle w:val="AppendixText3"/>
      </w:pPr>
      <w:r w:rsidRPr="00025910">
        <w:t>any act or omission by the Supplier or any Sub-contractor in respect of any Transferring Authority Employee or any appropriate employee representative (as defined in the Employment Regulations) of any Transferring Authority Employee whether occurring before, on or after the Relevant Transfer Date;</w:t>
      </w:r>
    </w:p>
    <w:p w14:paraId="7E295068" w14:textId="77777777" w:rsidR="00F67E9E" w:rsidRPr="00025910" w:rsidRDefault="00F67E9E" w:rsidP="00F67E9E">
      <w:pPr>
        <w:pStyle w:val="AppendixText3"/>
      </w:pPr>
      <w:r w:rsidRPr="00025910">
        <w:t>the breach or non-observance by the Supplier or any Sub-contractor on or after the Relevant Transfer Date of:</w:t>
      </w:r>
    </w:p>
    <w:p w14:paraId="11FE97AD" w14:textId="77777777" w:rsidR="00F67E9E" w:rsidRPr="00025910" w:rsidRDefault="00F67E9E" w:rsidP="00F67E9E">
      <w:pPr>
        <w:pStyle w:val="AppendixText4"/>
      </w:pPr>
      <w:r w:rsidRPr="00025910">
        <w:t xml:space="preserve">any collective agreement applicable to the Transferring Authority Employees; and/or </w:t>
      </w:r>
    </w:p>
    <w:p w14:paraId="6F0D7EEB" w14:textId="77777777" w:rsidR="00F67E9E" w:rsidRPr="00025910" w:rsidRDefault="00F67E9E" w:rsidP="00F67E9E">
      <w:pPr>
        <w:pStyle w:val="AppendixText4"/>
      </w:pPr>
      <w:r w:rsidRPr="00025910">
        <w:t>any custom or practice in respect of any Transferring Authority Employees which the Supplier or any Sub-contractor is contractually bound to honour;</w:t>
      </w:r>
    </w:p>
    <w:p w14:paraId="73CAEA9D" w14:textId="77777777" w:rsidR="00F67E9E" w:rsidRPr="00025910" w:rsidRDefault="00F67E9E" w:rsidP="00F67E9E">
      <w:pPr>
        <w:pStyle w:val="AppendixText3"/>
      </w:pPr>
      <w:r w:rsidRPr="00025910">
        <w:t>any claim by any trade union or other body or person representing any Transferring Authority Employees arising from or connected with any failure by the Supplier or any Sub-contractor to comply with any legal obligation to such trade union, body or person arising on or after the Relevant Transfer Date;</w:t>
      </w:r>
    </w:p>
    <w:p w14:paraId="4A9782F1" w14:textId="77777777" w:rsidR="00F67E9E" w:rsidRPr="00025910" w:rsidRDefault="00F67E9E" w:rsidP="00F67E9E">
      <w:pPr>
        <w:pStyle w:val="AppendixText3"/>
      </w:pPr>
      <w:r w:rsidRPr="00025910">
        <w:t xml:space="preserve">any proposal by the Supplier or a Sub-contractor made before the Relevant Transfer Date to make changes to the terms and conditions of employment or working conditions of any Transferring Authority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Authority Employee but for their resignation (or decision to treat their employment as terminated under regulation 4(9) of the Employment Regulations) before the Relevant Transfer Date as a result of or for a reason connected to such proposed changes; </w:t>
      </w:r>
    </w:p>
    <w:p w14:paraId="318745C6" w14:textId="77777777" w:rsidR="00F67E9E" w:rsidRPr="00025910" w:rsidRDefault="00F67E9E" w:rsidP="00F67E9E">
      <w:pPr>
        <w:pStyle w:val="AppendixText3"/>
      </w:pPr>
      <w:r w:rsidRPr="00025910">
        <w:t>any statement communicated to or action undertaken by the Supplier or any Sub-contractor to, or in respect of, any Transferring Authority Employee before the Relevant Transfer Date regarding the Relevant Transfer which has not been agreed in advance with the Authority in writing;</w:t>
      </w:r>
    </w:p>
    <w:p w14:paraId="2D8C77D3" w14:textId="77777777" w:rsidR="00F67E9E" w:rsidRPr="00025910" w:rsidRDefault="00F67E9E" w:rsidP="00F67E9E">
      <w:pPr>
        <w:pStyle w:val="AppendixText3"/>
      </w:pPr>
      <w:r w:rsidRPr="00025910">
        <w:t xml:space="preserve">any proceeding, claim or demand by HMRC or other statutory authority in respect of any financial obligation including, but not limited to, PAYE and </w:t>
      </w:r>
      <w:r w:rsidRPr="00025910">
        <w:lastRenderedPageBreak/>
        <w:t>primary and secondary national insurance contributions:</w:t>
      </w:r>
    </w:p>
    <w:p w14:paraId="00DDAAA7" w14:textId="77777777" w:rsidR="00F67E9E" w:rsidRPr="00025910" w:rsidRDefault="00F67E9E" w:rsidP="00F67E9E">
      <w:pPr>
        <w:pStyle w:val="AppendixText4"/>
      </w:pPr>
      <w:r w:rsidRPr="00025910">
        <w:t>in relation to any Transferring Authority Employee, to the extent that the proceeding, claim or demand by HMRC or other statutory authority relates to financial obligations arising on or after the Relevant Transfer Date; and</w:t>
      </w:r>
    </w:p>
    <w:p w14:paraId="52E889B4" w14:textId="77777777" w:rsidR="00F67E9E" w:rsidRPr="00025910" w:rsidRDefault="00F67E9E" w:rsidP="00F67E9E">
      <w:pPr>
        <w:pStyle w:val="AppendixText4"/>
      </w:pPr>
      <w:r w:rsidRPr="00025910">
        <w:t>in relation to any employee who is not a Transferring Authority Employee, and in respect of whom it is later alleged or determined that the Employment Regulations applied so as to transfer his/her employment from the Authority to the Supplier or a Sub-contractor, to the extent that the proceeding, claim or demand by HMRC or other statutory authority relates to financial obligations arising on or after the Relevant Transfer Date;</w:t>
      </w:r>
    </w:p>
    <w:p w14:paraId="3DF7B1B5" w14:textId="77777777" w:rsidR="00F67E9E" w:rsidRPr="00025910" w:rsidRDefault="00F67E9E" w:rsidP="00F67E9E">
      <w:pPr>
        <w:pStyle w:val="AppendixText3"/>
      </w:pPr>
      <w:r w:rsidRPr="00025910">
        <w:t xml:space="preserve">a failure of the Supplier or any Sub-contractor to discharge or procure the discharge of all wages, salaries and all other benefits and all PAYE tax deductions and national insurance contributions relating to the Transferring Authority Employees in respect of the period from (and including) the Relevant Transfer Date; </w:t>
      </w:r>
    </w:p>
    <w:p w14:paraId="62694099" w14:textId="77777777" w:rsidR="00F67E9E" w:rsidRPr="00025910" w:rsidRDefault="00F67E9E" w:rsidP="00F67E9E">
      <w:pPr>
        <w:pStyle w:val="AppendixText3"/>
      </w:pPr>
      <w:r w:rsidRPr="00025910">
        <w:t>any claim made by or in respect of a Transferring Authority Employee or any appropriate employee representative (as defined in the Employment Regulations) of any Transferring Authority Employee relating to any act or omission of the Supplier or any Sub-contractor in relation to their obligations under regulation 13 of the Employment Regulations, except to the extent that the liability arises from the Authority</w:t>
      </w:r>
      <w:r>
        <w:t>’</w:t>
      </w:r>
      <w:r w:rsidRPr="00025910">
        <w:t>s failure to comply with its obligations under regulation 13 of the Employment Regulations; and</w:t>
      </w:r>
    </w:p>
    <w:p w14:paraId="7AE0113C" w14:textId="1A63F3CB" w:rsidR="00F67E9E" w:rsidRPr="00025910" w:rsidRDefault="00F67E9E" w:rsidP="00F67E9E">
      <w:pPr>
        <w:pStyle w:val="AppendixText3"/>
      </w:pPr>
      <w:r w:rsidRPr="00025910">
        <w:t xml:space="preserve">a failure by the Supplier or any Sub-Contractor to comply with its obligations under </w:t>
      </w:r>
      <w:bookmarkStart w:id="2157" w:name="_9kMHG5YVtCIBGKKJKbGfoDJG1p314JHD06FGQD2"/>
      <w:r w:rsidRPr="00025910">
        <w:t xml:space="preserve">Paragraph </w:t>
      </w:r>
      <w:r w:rsidRPr="00025910">
        <w:fldChar w:fldCharType="begin"/>
      </w:r>
      <w:r w:rsidRPr="00025910">
        <w:instrText xml:space="preserve"> REF _Ref_ContractCompanion_9kb9UsAEC \n \h \t \* MERGEFORMAT </w:instrText>
      </w:r>
      <w:r w:rsidRPr="00025910">
        <w:fldChar w:fldCharType="separate"/>
      </w:r>
      <w:r w:rsidR="007A1473">
        <w:t>2.8</w:t>
      </w:r>
      <w:r w:rsidRPr="00025910">
        <w:fldChar w:fldCharType="end"/>
      </w:r>
      <w:bookmarkEnd w:id="2157"/>
      <w:r w:rsidRPr="00025910">
        <w:t xml:space="preserve"> above.</w:t>
      </w:r>
    </w:p>
    <w:p w14:paraId="01021AF8" w14:textId="323FD31A" w:rsidR="00F67E9E" w:rsidRPr="00025910" w:rsidRDefault="00F67E9E" w:rsidP="00F67E9E">
      <w:pPr>
        <w:pStyle w:val="AppendixText2"/>
      </w:pPr>
      <w:bookmarkStart w:id="2158" w:name="_Ref_ContractCompanion_9kb9UsAE9"/>
      <w:bookmarkStart w:id="2159" w:name="_9kR3WTrAG9EIFFDeRjlvrjt3078u5A6oW56wE98"/>
      <w:r w:rsidRPr="00025910">
        <w:t xml:space="preserve">The indemnities in </w:t>
      </w:r>
      <w:bookmarkStart w:id="2160" w:name="_9kMHG5YVtCIBGLEDEefvlpjzHDkR01r943BQZQJ"/>
      <w:r w:rsidRPr="00025910">
        <w:t xml:space="preserve">Paragraph </w:t>
      </w:r>
      <w:r w:rsidRPr="00025910">
        <w:fldChar w:fldCharType="begin"/>
      </w:r>
      <w:r w:rsidRPr="00025910">
        <w:instrText xml:space="preserve"> REF _Ref_ContractCompanion_9kb9UsAEF \n \h \t \* MERGEFORMAT </w:instrText>
      </w:r>
      <w:r w:rsidRPr="00025910">
        <w:fldChar w:fldCharType="separate"/>
      </w:r>
      <w:r w:rsidR="007A1473">
        <w:t>3.1</w:t>
      </w:r>
      <w:r w:rsidRPr="00025910">
        <w:fldChar w:fldCharType="end"/>
      </w:r>
      <w:bookmarkEnd w:id="2160"/>
      <w:r w:rsidRPr="00025910">
        <w:t xml:space="preserve"> shall not apply to the extent that the Employee Liabilities arise or are attributable to an act or omission of the Authority whether occurring or having its origin before, on or after the Relevant Transfer Date including, without limitation, any Employee Liabilities arising from the Authority</w:t>
      </w:r>
      <w:r>
        <w:t>’</w:t>
      </w:r>
      <w:r w:rsidRPr="00025910">
        <w:t>s failure to comply with its obligations under the Employment Regulations.</w:t>
      </w:r>
      <w:bookmarkEnd w:id="2158"/>
      <w:bookmarkEnd w:id="2159"/>
    </w:p>
    <w:p w14:paraId="48D14C6C" w14:textId="77777777" w:rsidR="00F67E9E" w:rsidRPr="00025910" w:rsidRDefault="00F67E9E" w:rsidP="00F67E9E">
      <w:pPr>
        <w:pStyle w:val="AppendixText2"/>
      </w:pPr>
      <w:r w:rsidRPr="00025910">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Authority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Authority and the Supplier.</w:t>
      </w:r>
    </w:p>
    <w:p w14:paraId="206DAB25" w14:textId="77777777" w:rsidR="00F67E9E" w:rsidRPr="00A30540" w:rsidRDefault="00F67E9E" w:rsidP="00F13933">
      <w:pPr>
        <w:pStyle w:val="AppendixText1"/>
        <w:numPr>
          <w:ilvl w:val="0"/>
          <w:numId w:val="56"/>
        </w:numPr>
        <w:rPr>
          <w:color w:val="1F497D"/>
        </w:rPr>
      </w:pPr>
      <w:r w:rsidRPr="00A30540">
        <w:rPr>
          <w:color w:val="1F497D"/>
        </w:rPr>
        <w:lastRenderedPageBreak/>
        <w:t>Information</w:t>
      </w:r>
    </w:p>
    <w:p w14:paraId="2A4B7C91" w14:textId="77777777" w:rsidR="00F67E9E" w:rsidRPr="00025910" w:rsidRDefault="00F67E9E" w:rsidP="00F67E9E">
      <w:pPr>
        <w:pStyle w:val="AppendixText2"/>
      </w:pPr>
      <w:r w:rsidRPr="00025910">
        <w:t>The Supplier shall, and shall procure that each Sub-contractor shall, promptly provide to the Authority in writing such information as is necessary to enable the Authority to carry out its duties under regulation 13 of the Employment Regulations. The Authority shall promptly provide to the Supplier and each Notified Sub-contractor in writing such information as is necessary to enable the Supplier and each Notified Sub-contractor to carry out their respective duties under regulation 13 of the Employment Regulations.</w:t>
      </w:r>
    </w:p>
    <w:p w14:paraId="2CF67D26" w14:textId="77777777" w:rsidR="00F67E9E" w:rsidRPr="00A30540" w:rsidRDefault="00F67E9E" w:rsidP="00F13933">
      <w:pPr>
        <w:pStyle w:val="AppendixText1"/>
        <w:numPr>
          <w:ilvl w:val="0"/>
          <w:numId w:val="56"/>
        </w:numPr>
        <w:rPr>
          <w:color w:val="1F497D"/>
        </w:rPr>
      </w:pPr>
      <w:r w:rsidRPr="00A30540">
        <w:rPr>
          <w:color w:val="1F497D"/>
        </w:rPr>
        <w:t>Principles of Good Employment Practice</w:t>
      </w:r>
    </w:p>
    <w:p w14:paraId="072BF6AC" w14:textId="77777777" w:rsidR="00F67E9E" w:rsidRPr="00025910" w:rsidRDefault="00F67E9E" w:rsidP="00F67E9E">
      <w:pPr>
        <w:pStyle w:val="AppendixText2"/>
      </w:pPr>
      <w:bookmarkStart w:id="2161" w:name="_Ref_ContractCompanion_9kb9UsAF9"/>
      <w:bookmarkStart w:id="2162" w:name="_9kR3WTrAG9EJFGEdRjSJsC4q1yn54s8Cu7RG2lt"/>
      <w:r w:rsidRPr="00025910">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161"/>
      <w:bookmarkEnd w:id="2162"/>
    </w:p>
    <w:p w14:paraId="3CA2CC1F" w14:textId="77777777" w:rsidR="00F67E9E" w:rsidRPr="00025910" w:rsidRDefault="00F67E9E" w:rsidP="00F67E9E">
      <w:pPr>
        <w:pStyle w:val="AppendixText2"/>
      </w:pPr>
      <w:bookmarkStart w:id="2163" w:name="_Ref_ContractCompanion_9kb9UsAFC"/>
      <w:bookmarkStart w:id="2164" w:name="_9kR3WTrAG9EJIJFeRjVgA63xr1G7qv7x04AFy3F"/>
      <w:r w:rsidRPr="00025910">
        <w:t>The Supplier shall, and shall procure that each Sub-contractor shall, comply with any requirement notified to it by the Authority relating to pensions in respect of any Transferring Authority Employee as set down in:</w:t>
      </w:r>
      <w:bookmarkEnd w:id="2163"/>
      <w:bookmarkEnd w:id="2164"/>
    </w:p>
    <w:p w14:paraId="4C7D9E79" w14:textId="77777777" w:rsidR="00F67E9E" w:rsidRPr="00025910" w:rsidRDefault="00F67E9E" w:rsidP="00F67E9E">
      <w:pPr>
        <w:pStyle w:val="AppendixText3"/>
      </w:pPr>
      <w:r w:rsidRPr="00025910">
        <w:t xml:space="preserve">the Cabinet Office Statement of Practice on Staff Transfers in the Public Sector of January 2000, revised December 2013; </w:t>
      </w:r>
    </w:p>
    <w:p w14:paraId="0A35604D" w14:textId="77777777" w:rsidR="00F67E9E" w:rsidRPr="00025910" w:rsidRDefault="00F67E9E" w:rsidP="00F67E9E">
      <w:pPr>
        <w:pStyle w:val="AppendixText3"/>
      </w:pPr>
      <w:r w:rsidRPr="00025910">
        <w:t>Old Fair Deal; and/or</w:t>
      </w:r>
    </w:p>
    <w:p w14:paraId="3CBC235E" w14:textId="77777777" w:rsidR="00F67E9E" w:rsidRPr="008A3F14" w:rsidRDefault="00F67E9E" w:rsidP="00F67E9E">
      <w:pPr>
        <w:pStyle w:val="AppendixText3"/>
      </w:pPr>
      <w:r w:rsidRPr="00025910">
        <w:t>the New Fair Deal.</w:t>
      </w:r>
    </w:p>
    <w:p w14:paraId="18A5AC3C" w14:textId="77777777" w:rsidR="00F67E9E" w:rsidRPr="008A3F14" w:rsidRDefault="00F67E9E" w:rsidP="00F67E9E">
      <w:pPr>
        <w:pStyle w:val="AppendixText2"/>
      </w:pPr>
      <w:r w:rsidRPr="008A3F14">
        <w:t>The Supplier acknowledges, in respect of those Transferring Authority Employees who were eligible for compensation under the terms of Civil Service Compensation Scheme (“</w:t>
      </w:r>
      <w:r w:rsidRPr="008A3F14">
        <w:rPr>
          <w:b/>
          <w:bCs/>
        </w:rPr>
        <w:t>CSCS</w:t>
      </w:r>
      <w:r w:rsidRPr="008A3F14">
        <w:t xml:space="preserve">”) immediately prior to transfer, that the right to benefits calculated in accordance with the terms of the CSCS will transfer under the Employment Regulations.  The Supplier acknowledges and accepts that for any employee who was eligible for compensation under or in accordance with the terms of the CSCS, the right to compensation, is a right to compensation in accordance with the terms of the CSCS applicable at the time at which the employee becomes entitled to such compensation (including voluntary or compulsory redundancy). Suppliers are advised to check the Civil Service Pensions website for the current CSCS terms. </w:t>
      </w:r>
    </w:p>
    <w:p w14:paraId="26CD4088" w14:textId="159BF8B7" w:rsidR="00F67E9E" w:rsidRPr="00025910" w:rsidRDefault="00F67E9E" w:rsidP="00F67E9E">
      <w:pPr>
        <w:pStyle w:val="AppendixText2"/>
      </w:pPr>
      <w:r w:rsidRPr="00025910">
        <w:t xml:space="preserve">Any changes </w:t>
      </w:r>
      <w:r>
        <w:t>necessary to this Contract as a result of changes to, or any replacement of a</w:t>
      </w:r>
      <w:r w:rsidRPr="00025910">
        <w:t xml:space="preserve">ny statement of practice, paper or other guidance that replaces any of the documentation referred to in </w:t>
      </w:r>
      <w:bookmarkStart w:id="2165" w:name="_9kMHG5YVtCIBGLHIGfTlULuE6s30p76uAEw9TI4"/>
      <w:r w:rsidRPr="00025910">
        <w:t xml:space="preserve">Paragraphs </w:t>
      </w:r>
      <w:r w:rsidRPr="00025910">
        <w:fldChar w:fldCharType="begin"/>
      </w:r>
      <w:r w:rsidRPr="00025910">
        <w:instrText xml:space="preserve"> REF _Ref_ContractCompanion_9kb9UsAF9 \n \h \t \* MERGEFORMAT </w:instrText>
      </w:r>
      <w:r w:rsidRPr="00025910">
        <w:fldChar w:fldCharType="separate"/>
      </w:r>
      <w:r w:rsidR="007A1473">
        <w:t>5.1</w:t>
      </w:r>
      <w:r w:rsidRPr="00025910">
        <w:fldChar w:fldCharType="end"/>
      </w:r>
      <w:bookmarkEnd w:id="2165"/>
      <w:r w:rsidRPr="00025910">
        <w:t xml:space="preserve"> or </w:t>
      </w:r>
      <w:bookmarkStart w:id="2166" w:name="_9kMHG5YVtCIBGLKLHgTlXiC85zt3I9sx9z26CH0"/>
      <w:r w:rsidRPr="00025910">
        <w:fldChar w:fldCharType="begin"/>
      </w:r>
      <w:r w:rsidRPr="00025910">
        <w:instrText xml:space="preserve"> REF _Ref_ContractCompanion_9kb9UsAFC \n \h \t \* MERGEFORMAT </w:instrText>
      </w:r>
      <w:r w:rsidRPr="00025910">
        <w:fldChar w:fldCharType="separate"/>
      </w:r>
      <w:r w:rsidR="007A1473">
        <w:t>5.2</w:t>
      </w:r>
      <w:r w:rsidRPr="00025910">
        <w:fldChar w:fldCharType="end"/>
      </w:r>
      <w:bookmarkEnd w:id="2166"/>
      <w:r w:rsidRPr="00025910">
        <w:t xml:space="preserve"> shall be agreed in accordance with the Change Control Procedure.</w:t>
      </w:r>
    </w:p>
    <w:p w14:paraId="2B3166DE" w14:textId="77777777" w:rsidR="00F67E9E" w:rsidRPr="00A30540" w:rsidRDefault="00F67E9E" w:rsidP="00F13933">
      <w:pPr>
        <w:pStyle w:val="AppendixText1"/>
        <w:numPr>
          <w:ilvl w:val="0"/>
          <w:numId w:val="56"/>
        </w:numPr>
        <w:rPr>
          <w:color w:val="1F497D"/>
        </w:rPr>
      </w:pPr>
      <w:r w:rsidRPr="00A30540">
        <w:rPr>
          <w:color w:val="1F497D"/>
        </w:rPr>
        <w:t>Pensions</w:t>
      </w:r>
    </w:p>
    <w:p w14:paraId="214414BD" w14:textId="77777777" w:rsidR="00F67E9E" w:rsidRPr="00025910" w:rsidRDefault="00F67E9E" w:rsidP="00F67E9E">
      <w:pPr>
        <w:pStyle w:val="AppendixText2"/>
      </w:pPr>
      <w:r w:rsidRPr="00025910">
        <w:t>The Supplier shall, and/or shall procure that each of its Sub-contractors shall, comply with:</w:t>
      </w:r>
    </w:p>
    <w:p w14:paraId="4BDC5214" w14:textId="77777777" w:rsidR="00F67E9E" w:rsidRPr="00025910" w:rsidRDefault="00F67E9E" w:rsidP="00F67E9E">
      <w:pPr>
        <w:pStyle w:val="AppendixText3"/>
      </w:pPr>
      <w:r w:rsidRPr="00025910">
        <w:t xml:space="preserve">the requirements of Part 1 of the Pensions Act 2008, </w:t>
      </w:r>
      <w:bookmarkStart w:id="2167" w:name="_9kR3WTr2797EJ4rcszv1GMTDy47tcX2HDAGLjOE"/>
      <w:r w:rsidRPr="00025910">
        <w:t>section 258 of the Pensions Act 2004</w:t>
      </w:r>
      <w:bookmarkEnd w:id="2167"/>
      <w:r w:rsidRPr="00025910">
        <w:t xml:space="preserve"> and the </w:t>
      </w:r>
      <w:bookmarkStart w:id="2168" w:name="_9kR3WTr2797CGeZnk3wjw7wNP777LK13Jwc7MIF"/>
      <w:r w:rsidRPr="00025910">
        <w:t>Transfer of Employment (Pension Protection) Regulations 2005</w:t>
      </w:r>
      <w:bookmarkEnd w:id="2168"/>
      <w:r w:rsidRPr="00025910">
        <w:t xml:space="preserve"> for all transferring staff; and </w:t>
      </w:r>
    </w:p>
    <w:p w14:paraId="5E45A4AD" w14:textId="0034A187" w:rsidR="00F67E9E" w:rsidRPr="00025910" w:rsidRDefault="00F67E9E" w:rsidP="00F67E9E">
      <w:pPr>
        <w:pStyle w:val="AppendixText3"/>
      </w:pP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 xml:space="preserve"> (and its Annexes) to this Staff Transfer Schedule.</w:t>
      </w:r>
    </w:p>
    <w:p w14:paraId="30CB71C4" w14:textId="77777777" w:rsidR="00F67E9E" w:rsidRDefault="00F67E9E" w:rsidP="00F67E9E">
      <w:pPr>
        <w:pStyle w:val="Heading2"/>
        <w:pageBreakBefore/>
      </w:pPr>
      <w:bookmarkStart w:id="2169" w:name="Sch28PartB"/>
      <w:bookmarkStart w:id="2170" w:name="_Ref_ContractCompanion_9kb9Ur456"/>
      <w:bookmarkStart w:id="2171" w:name="_Ref_ContractCompanion_9kb9Us9DA"/>
      <w:bookmarkStart w:id="2172" w:name="_Ref_ContractCompanion_9kb9Ut228"/>
      <w:bookmarkStart w:id="2173" w:name="_9kR3WTr29B7FNhJfifw5qFQKjPyId8P74NG3GUM"/>
      <w:bookmarkStart w:id="2174" w:name="_Toc145412819"/>
      <w:r w:rsidRPr="00025910">
        <w:lastRenderedPageBreak/>
        <w:t>Part B</w:t>
      </w:r>
      <w:bookmarkEnd w:id="2169"/>
      <w:r w:rsidRPr="00025910">
        <w:t xml:space="preserve">: Transferring Former Supplier Employees </w:t>
      </w:r>
      <w:r>
        <w:t>a</w:t>
      </w:r>
      <w:r w:rsidRPr="00025910">
        <w:t xml:space="preserve">t Commencement </w:t>
      </w:r>
      <w:r>
        <w:t>o</w:t>
      </w:r>
      <w:r w:rsidRPr="00025910">
        <w:t>f Services</w:t>
      </w:r>
      <w:bookmarkEnd w:id="2170"/>
      <w:bookmarkEnd w:id="2171"/>
      <w:bookmarkEnd w:id="2172"/>
      <w:bookmarkEnd w:id="2173"/>
      <w:bookmarkEnd w:id="2174"/>
    </w:p>
    <w:p w14:paraId="07D83BC8" w14:textId="77777777" w:rsidR="00F67E9E" w:rsidRPr="00666B85" w:rsidRDefault="00F67E9E" w:rsidP="00F13933">
      <w:pPr>
        <w:pStyle w:val="AppendixText1"/>
        <w:numPr>
          <w:ilvl w:val="0"/>
          <w:numId w:val="57"/>
        </w:numPr>
        <w:rPr>
          <w:color w:val="1F497D"/>
        </w:rPr>
      </w:pPr>
      <w:r w:rsidRPr="00666B85">
        <w:rPr>
          <w:color w:val="1F497D"/>
        </w:rPr>
        <w:t>Relevant Transfers</w:t>
      </w:r>
    </w:p>
    <w:p w14:paraId="0D7A1764" w14:textId="77777777" w:rsidR="00F67E9E" w:rsidRPr="00025910" w:rsidRDefault="00F67E9E" w:rsidP="00F67E9E">
      <w:pPr>
        <w:pStyle w:val="AppendixText2"/>
      </w:pPr>
      <w:r w:rsidRPr="00025910">
        <w:t xml:space="preserve">The Authority and the </w:t>
      </w:r>
      <w:r w:rsidRPr="00666B85">
        <w:t>Supplier</w:t>
      </w:r>
      <w:r w:rsidRPr="00025910">
        <w:t xml:space="preserve"> agree that:</w:t>
      </w:r>
    </w:p>
    <w:p w14:paraId="1FDFFF7E" w14:textId="77777777" w:rsidR="00F67E9E" w:rsidRPr="00666B85" w:rsidRDefault="00F67E9E" w:rsidP="00F67E9E">
      <w:pPr>
        <w:pStyle w:val="AppendixText3"/>
      </w:pPr>
      <w:r w:rsidRPr="00025910">
        <w:t xml:space="preserve">the commencement of the provision of the Services or of any relevant part of the Services will be a Relevant Transfer in relation to the Transferring Former Supplier Employees; </w:t>
      </w:r>
      <w:r w:rsidRPr="00666B85">
        <w:t xml:space="preserve">and </w:t>
      </w:r>
    </w:p>
    <w:p w14:paraId="6F594609" w14:textId="77777777" w:rsidR="00F67E9E" w:rsidRPr="00025910" w:rsidRDefault="00F67E9E" w:rsidP="00F67E9E">
      <w:pPr>
        <w:pStyle w:val="AppendixText3"/>
      </w:pPr>
      <w:r w:rsidRPr="00666B85">
        <w:t>as a result of the operation of the Employment Regulations, the contracts of employment b</w:t>
      </w:r>
      <w:r w:rsidRPr="00025910">
        <w:t xml:space="preserve">etween each Former Supplier and the Transferring Former Supplier Employees (except in relation to any terms disapplied through the operation of </w:t>
      </w:r>
      <w:bookmarkStart w:id="2175" w:name="_9kMHG5YVt49BA9D5siz5mv406KLN"/>
      <w:r w:rsidRPr="00025910">
        <w:t>regulation 10</w:t>
      </w:r>
      <w:bookmarkEnd w:id="2175"/>
      <w:r w:rsidRPr="00025910">
        <w:t xml:space="preserve"> of the Employment Regulations) shall have effect on and from the Relevant Transfer Date as if originally made between the Supplier and/or Notified Sub-contractor and each such Transferring Former Supplier Employee.</w:t>
      </w:r>
    </w:p>
    <w:p w14:paraId="4EE0A920" w14:textId="77777777" w:rsidR="00F67E9E" w:rsidRPr="00025910" w:rsidRDefault="00F67E9E" w:rsidP="00F67E9E">
      <w:pPr>
        <w:pStyle w:val="AppendixText2"/>
      </w:pPr>
      <w:r w:rsidRPr="00025910">
        <w:t>The Authority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Authority shall procure that each Former Supplier makes, any necessary apportionments in respect of any periodic payments.</w:t>
      </w:r>
    </w:p>
    <w:p w14:paraId="1BC51329" w14:textId="77777777" w:rsidR="00F67E9E" w:rsidRPr="00666B85" w:rsidRDefault="00F67E9E" w:rsidP="00F13933">
      <w:pPr>
        <w:pStyle w:val="AppendixText1"/>
        <w:numPr>
          <w:ilvl w:val="0"/>
          <w:numId w:val="57"/>
        </w:numPr>
        <w:rPr>
          <w:color w:val="1F497D"/>
        </w:rPr>
      </w:pPr>
      <w:r w:rsidRPr="00666B85">
        <w:rPr>
          <w:color w:val="1F497D"/>
        </w:rPr>
        <w:t>Former Supplier Indemnities</w:t>
      </w:r>
    </w:p>
    <w:p w14:paraId="727CB9E6" w14:textId="5A48AA0F" w:rsidR="00F67E9E" w:rsidRPr="00025910" w:rsidRDefault="00F67E9E" w:rsidP="00F67E9E">
      <w:pPr>
        <w:pStyle w:val="AppendixText2"/>
      </w:pPr>
      <w:bookmarkStart w:id="2176" w:name="_Ref_ContractCompanion_9kb9UsAG9"/>
      <w:bookmarkStart w:id="2177" w:name="_9kR3WTrAG9EKFCBcdtjnhxFBiPyzp7219NWOH3X"/>
      <w:r w:rsidRPr="00025910">
        <w:t xml:space="preserve">Subject to </w:t>
      </w:r>
      <w:bookmarkStart w:id="2178" w:name="_9kMHG5YVtCIBGMEBEgTlnxtlv529Aw7C8qY78yG"/>
      <w:r w:rsidRPr="00025910">
        <w:t xml:space="preserve">Paragraph </w:t>
      </w:r>
      <w:r w:rsidRPr="00025910">
        <w:fldChar w:fldCharType="begin"/>
      </w:r>
      <w:r w:rsidRPr="00025910">
        <w:instrText xml:space="preserve"> REF _Ref_ContractCompanion_9kb9UsAFF \n \h \t \* MERGEFORMAT </w:instrText>
      </w:r>
      <w:r w:rsidRPr="00025910">
        <w:fldChar w:fldCharType="separate"/>
      </w:r>
      <w:r w:rsidR="007A1473">
        <w:t>2.2</w:t>
      </w:r>
      <w:r w:rsidRPr="00025910">
        <w:fldChar w:fldCharType="end"/>
      </w:r>
      <w:bookmarkEnd w:id="2178"/>
      <w:r w:rsidRPr="00025910">
        <w:t>, the Authority shall procure that each Former Supplier shall indemnify the Supplier and any Notified Sub-contractor against any Employee Liabilities arising from or as a result of:</w:t>
      </w:r>
      <w:bookmarkEnd w:id="2176"/>
      <w:bookmarkEnd w:id="2177"/>
    </w:p>
    <w:p w14:paraId="35F49AA0" w14:textId="77777777" w:rsidR="00F67E9E" w:rsidRPr="00025910" w:rsidRDefault="00F67E9E" w:rsidP="00F67E9E">
      <w:pPr>
        <w:pStyle w:val="AppendixText3"/>
      </w:pPr>
      <w:r w:rsidRPr="00025910">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03DCBF86" w14:textId="77777777" w:rsidR="00F67E9E" w:rsidRPr="00025910" w:rsidRDefault="00F67E9E" w:rsidP="00F67E9E">
      <w:pPr>
        <w:pStyle w:val="AppendixText3"/>
      </w:pPr>
      <w:r w:rsidRPr="00025910">
        <w:t>the breach or non-observance by the Former Supplier arising before the Relevant Transfer Date of:</w:t>
      </w:r>
    </w:p>
    <w:p w14:paraId="46AC3186" w14:textId="77777777" w:rsidR="00F67E9E" w:rsidRPr="00666B85" w:rsidRDefault="00F67E9E" w:rsidP="00F67E9E">
      <w:pPr>
        <w:pStyle w:val="AppendixText4"/>
      </w:pPr>
      <w:r w:rsidRPr="00025910">
        <w:t xml:space="preserve">any collective agreement applicable to the Transferring Former Supplier </w:t>
      </w:r>
      <w:r w:rsidRPr="00666B85">
        <w:t xml:space="preserve">Employees; and/or </w:t>
      </w:r>
    </w:p>
    <w:p w14:paraId="56F4C436" w14:textId="77777777" w:rsidR="00F67E9E" w:rsidRPr="00025910" w:rsidRDefault="00F67E9E" w:rsidP="00F67E9E">
      <w:pPr>
        <w:pStyle w:val="AppendixText4"/>
      </w:pPr>
      <w:r w:rsidRPr="00666B85">
        <w:t>any custom or practice in respect of any Transferring Former Supplier Empl</w:t>
      </w:r>
      <w:r w:rsidRPr="00025910">
        <w:t xml:space="preserve">oyees which the Former Supplier is contractually bound to honour; </w:t>
      </w:r>
    </w:p>
    <w:p w14:paraId="07181FFE" w14:textId="77777777" w:rsidR="00F67E9E" w:rsidRPr="00025910" w:rsidRDefault="00F67E9E" w:rsidP="00F67E9E">
      <w:pPr>
        <w:pStyle w:val="AppendixText3"/>
      </w:pPr>
      <w:r w:rsidRPr="00025910">
        <w:t xml:space="preserve">any proceeding, claim or demand by HMRC or other statutory authority in respect of any financial obligation including, but not limited to, PAYE and </w:t>
      </w:r>
      <w:r w:rsidRPr="00025910">
        <w:lastRenderedPageBreak/>
        <w:t>primary and secondary national insurance contributions:</w:t>
      </w:r>
    </w:p>
    <w:p w14:paraId="438FF49E" w14:textId="77777777" w:rsidR="00F67E9E" w:rsidRPr="00025910" w:rsidRDefault="00F67E9E" w:rsidP="00F67E9E">
      <w:pPr>
        <w:pStyle w:val="AppendixText4"/>
      </w:pPr>
      <w:r w:rsidRPr="00025910">
        <w:t>in relation to any Transferring Former Supplier Employee, to the extent that the proceeding, claim or demand by HMRC or other statutory authority relates to financial obligations arising before the Relevant Transfer Date; and</w:t>
      </w:r>
    </w:p>
    <w:p w14:paraId="04A824B9" w14:textId="77777777" w:rsidR="00F67E9E" w:rsidRPr="00025910" w:rsidRDefault="00F67E9E" w:rsidP="00F67E9E">
      <w:pPr>
        <w:pStyle w:val="AppendixText4"/>
      </w:pPr>
      <w:r w:rsidRPr="00025910">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1958015" w14:textId="77777777" w:rsidR="00F67E9E" w:rsidRPr="00666B85" w:rsidRDefault="00F67E9E" w:rsidP="00F67E9E">
      <w:pPr>
        <w:pStyle w:val="AppendixText3"/>
      </w:pPr>
      <w:r w:rsidRPr="00025910">
        <w:t xml:space="preserve">a failure of the Former Supplier to discharge or procure the discharge of all wages, salaries and all other benefits and all PAYE tax deductions and national insurance contributions relating to the Transferring Former Supplier Employees in respect of the </w:t>
      </w:r>
      <w:r w:rsidRPr="00666B85">
        <w:t>period to (but excluding) the Relevant Transfer Date;</w:t>
      </w:r>
    </w:p>
    <w:p w14:paraId="1F5F8C48" w14:textId="77777777" w:rsidR="00F67E9E" w:rsidRPr="00666B85" w:rsidRDefault="00F67E9E" w:rsidP="00F67E9E">
      <w:pPr>
        <w:pStyle w:val="AppendixText3"/>
      </w:pPr>
      <w:r w:rsidRPr="00666B85">
        <w:t>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w:t>
      </w:r>
    </w:p>
    <w:p w14:paraId="2F957A27" w14:textId="77777777" w:rsidR="00F67E9E" w:rsidRPr="00025910" w:rsidRDefault="00F67E9E" w:rsidP="00F67E9E">
      <w:pPr>
        <w:pStyle w:val="AppendixText3"/>
      </w:pPr>
      <w:r w:rsidRPr="00666B85">
        <w:t>any claim made by or in respect of a Transferring Former Supplier Employee or any appropriate employee representative (as defined in the Employment Regulations) of any Transferring Former Supplier Employee relating to any act or omission</w:t>
      </w:r>
      <w:r w:rsidRPr="00025910">
        <w:t xml:space="preserve">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147BF566" w14:textId="0BE2172C" w:rsidR="00F67E9E" w:rsidRPr="00025910" w:rsidRDefault="00F67E9E" w:rsidP="00F67E9E">
      <w:pPr>
        <w:pStyle w:val="AppendixText2"/>
      </w:pPr>
      <w:bookmarkStart w:id="2179" w:name="_9kR3WTrAG9EKC9CeRjlvrjt3078u5A6oW56wE98"/>
      <w:bookmarkStart w:id="2180" w:name="_Ref_ContractCompanion_9kb9UsAFF"/>
      <w:r w:rsidRPr="00025910">
        <w:t xml:space="preserve">The indemnities in </w:t>
      </w:r>
      <w:bookmarkStart w:id="2181" w:name="_9kMHG5YVtCIBGMHEDefvlpjzHDkR01r943BPYQJ"/>
      <w:r w:rsidRPr="00025910">
        <w:t xml:space="preserve">Paragraph </w:t>
      </w:r>
      <w:r w:rsidRPr="00025910">
        <w:fldChar w:fldCharType="begin"/>
      </w:r>
      <w:r w:rsidRPr="00025910">
        <w:instrText xml:space="preserve"> REF _Ref_ContractCompanion_9kb9UsAG9 \n \h \t \* MERGEFORMAT </w:instrText>
      </w:r>
      <w:r w:rsidRPr="00025910">
        <w:fldChar w:fldCharType="separate"/>
      </w:r>
      <w:r w:rsidR="007A1473">
        <w:t>2.1</w:t>
      </w:r>
      <w:r w:rsidRPr="00025910">
        <w:fldChar w:fldCharType="end"/>
      </w:r>
      <w:bookmarkEnd w:id="2181"/>
      <w:r w:rsidRPr="00025910">
        <w:t xml:space="preserv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2179"/>
      <w:r w:rsidRPr="00025910">
        <w:t xml:space="preserve"> </w:t>
      </w:r>
      <w:bookmarkEnd w:id="2180"/>
    </w:p>
    <w:p w14:paraId="72820B9D" w14:textId="77777777" w:rsidR="00F67E9E" w:rsidRPr="00025910" w:rsidRDefault="00F67E9E" w:rsidP="00F67E9E">
      <w:pPr>
        <w:pStyle w:val="AppendixText3"/>
      </w:pPr>
      <w:r w:rsidRPr="00025910">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20483C5" w14:textId="77777777" w:rsidR="00F67E9E" w:rsidRPr="00025910" w:rsidRDefault="00F67E9E" w:rsidP="00F67E9E">
      <w:pPr>
        <w:pStyle w:val="AppendixText3"/>
      </w:pPr>
      <w:r w:rsidRPr="00025910">
        <w:t>arising from the failure by the Supplier and/or any Sub-contractor to comply with its obligations under the Employment Regulations.</w:t>
      </w:r>
    </w:p>
    <w:p w14:paraId="023FC841" w14:textId="77777777" w:rsidR="00F67E9E" w:rsidRPr="00025910" w:rsidRDefault="00F67E9E" w:rsidP="00F67E9E">
      <w:pPr>
        <w:pStyle w:val="AppendixText2"/>
      </w:pPr>
      <w:bookmarkStart w:id="2182" w:name="_Ref_ContractCompanion_9kb9UsAGF"/>
      <w:bookmarkStart w:id="2183" w:name="_9kR3WTrAG9EKLIDUEdmBEvyDB7GB46BHELG1y9P"/>
      <w:r w:rsidRPr="00025910">
        <w:t xml:space="preserve">If any person who is not identified as a Transferring Former Supplier Employee claims, or it is determined in relation to any person who is not identified as a Transferring Former Supplier Employee, that his/her contract of employment has been transferred from a </w:t>
      </w:r>
      <w:r w:rsidRPr="00025910">
        <w:lastRenderedPageBreak/>
        <w:t>Former Supplier to the Supplier and/or any Notified Sub-contractor pursuant to the Employment Regulations then:</w:t>
      </w:r>
      <w:bookmarkEnd w:id="2182"/>
      <w:bookmarkEnd w:id="2183"/>
    </w:p>
    <w:p w14:paraId="63F2151E" w14:textId="77777777" w:rsidR="00F67E9E" w:rsidRPr="00025910" w:rsidRDefault="00F67E9E" w:rsidP="00F67E9E">
      <w:pPr>
        <w:pStyle w:val="AppendixText3"/>
      </w:pPr>
      <w:bookmarkStart w:id="2184" w:name="_9kR3WTrAG9ELLHDmqykWhB74ys2H8rw8CJOFy3F"/>
      <w:bookmarkStart w:id="2185" w:name="_Ref_ContractCompanion_9kb9UsAHF"/>
      <w:r w:rsidRPr="00025910">
        <w:t>the Supplier shall, or shall procure that the Notified Sub-contractor shall, within 5 Working Days of becoming aware of that fact, give notice in writing to the Authority and, where required by the Authority, to the Former Supplier;</w:t>
      </w:r>
      <w:bookmarkEnd w:id="2184"/>
      <w:r w:rsidRPr="00025910">
        <w:t xml:space="preserve"> and</w:t>
      </w:r>
      <w:bookmarkEnd w:id="2185"/>
    </w:p>
    <w:p w14:paraId="592116E1" w14:textId="77777777" w:rsidR="00F67E9E" w:rsidRPr="00025910" w:rsidRDefault="00F67E9E" w:rsidP="00F67E9E">
      <w:pPr>
        <w:pStyle w:val="AppendixText3"/>
      </w:pPr>
      <w:bookmarkStart w:id="2186" w:name="_Ref_ContractCompanion_9kb9UsAGC"/>
      <w:bookmarkStart w:id="2187" w:name="_9kR3WTrAG9EKIFDnrykJO76u0pnHDA4y8H1ETB3"/>
      <w:r w:rsidRPr="00025910">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bookmarkEnd w:id="2186"/>
      <w:bookmarkEnd w:id="2187"/>
    </w:p>
    <w:p w14:paraId="65779904" w14:textId="11B12FD1" w:rsidR="00F67E9E" w:rsidRPr="00025910" w:rsidRDefault="00F67E9E" w:rsidP="00F67E9E">
      <w:pPr>
        <w:pStyle w:val="AppendixText2"/>
      </w:pPr>
      <w:r w:rsidRPr="00025910">
        <w:t xml:space="preserve">If an offer referred to in </w:t>
      </w:r>
      <w:bookmarkStart w:id="2188" w:name="_9kMHG5YVtCIBGMKHFpt0mLQ98w2rpJFC60AJ3GV"/>
      <w:r w:rsidRPr="00025910">
        <w:t xml:space="preserve">Paragraph </w:t>
      </w:r>
      <w:r w:rsidRPr="00025910">
        <w:fldChar w:fldCharType="begin"/>
      </w:r>
      <w:r w:rsidRPr="00025910">
        <w:instrText xml:space="preserve"> REF _Ref_ContractCompanion_9kb9UsAGC \w \h \t \* MERGEFORMAT </w:instrText>
      </w:r>
      <w:r w:rsidRPr="00025910">
        <w:fldChar w:fldCharType="separate"/>
      </w:r>
      <w:r w:rsidR="007A1473">
        <w:t>2.3.2</w:t>
      </w:r>
      <w:r w:rsidRPr="00025910">
        <w:fldChar w:fldCharType="end"/>
      </w:r>
      <w:bookmarkEnd w:id="2188"/>
      <w:r w:rsidRPr="00025910">
        <w:t xml:space="preserve"> is accepted, or if the situation has otherwise been resolved by the Former Supplier and/or the Authority, the Supplier shall, or shall procure that the Notified Sub-contractor shall, immediately release the person from his/her employment or alleged employment.</w:t>
      </w:r>
    </w:p>
    <w:p w14:paraId="38362225" w14:textId="78B32359" w:rsidR="00F67E9E" w:rsidRPr="00025910" w:rsidRDefault="00F67E9E" w:rsidP="00F67E9E">
      <w:pPr>
        <w:pStyle w:val="AppendixText2"/>
      </w:pPr>
      <w:bookmarkStart w:id="2189" w:name="_Ref_ContractCompanion_9kb9UsAH9"/>
      <w:bookmarkStart w:id="2190" w:name="_9kR3WTrAG9ELFBFWEeyH1nlvvx069vGV1sKH9DC"/>
      <w:r w:rsidRPr="00025910">
        <w:t xml:space="preserve">If by the end of the 15 Working Day period specified in </w:t>
      </w:r>
      <w:bookmarkStart w:id="2191" w:name="_9kMIH5YVtCIBGMKHFpt0mLQ98w2rpJFC60AJ3GV"/>
      <w:r w:rsidRPr="00025910">
        <w:t xml:space="preserve">Paragraph </w:t>
      </w:r>
      <w:r w:rsidRPr="00025910">
        <w:fldChar w:fldCharType="begin"/>
      </w:r>
      <w:r w:rsidRPr="00025910">
        <w:instrText xml:space="preserve"> REF _Ref_ContractCompanion_9kb9UsAGC \w \h \t \* MERGEFORMAT </w:instrText>
      </w:r>
      <w:r w:rsidRPr="00025910">
        <w:fldChar w:fldCharType="separate"/>
      </w:r>
      <w:r w:rsidR="007A1473">
        <w:t>2.3.2</w:t>
      </w:r>
      <w:r w:rsidRPr="00025910">
        <w:fldChar w:fldCharType="end"/>
      </w:r>
      <w:bookmarkEnd w:id="2191"/>
      <w:r w:rsidRPr="00025910">
        <w:t>:</w:t>
      </w:r>
      <w:bookmarkEnd w:id="2189"/>
      <w:bookmarkEnd w:id="2190"/>
    </w:p>
    <w:p w14:paraId="0FC8AA4E" w14:textId="77777777" w:rsidR="00F67E9E" w:rsidRPr="00025910" w:rsidRDefault="00F67E9E" w:rsidP="00F67E9E">
      <w:pPr>
        <w:pStyle w:val="AppendixText3"/>
      </w:pPr>
      <w:r w:rsidRPr="00025910">
        <w:t xml:space="preserve">no such offer of employment has been made; </w:t>
      </w:r>
    </w:p>
    <w:p w14:paraId="203A230B" w14:textId="77777777" w:rsidR="00F67E9E" w:rsidRPr="00025910" w:rsidRDefault="00F67E9E" w:rsidP="00F67E9E">
      <w:pPr>
        <w:pStyle w:val="AppendixText3"/>
      </w:pPr>
      <w:r w:rsidRPr="00025910">
        <w:t>such offer has been made but not accepted; or</w:t>
      </w:r>
    </w:p>
    <w:p w14:paraId="715F1304" w14:textId="77777777" w:rsidR="00F67E9E" w:rsidRPr="00025910" w:rsidRDefault="00F67E9E" w:rsidP="00F67E9E">
      <w:pPr>
        <w:pStyle w:val="AppendixText3"/>
      </w:pPr>
      <w:r w:rsidRPr="00025910">
        <w:t>the situation has not otherwise been resolved,</w:t>
      </w:r>
    </w:p>
    <w:p w14:paraId="67697F3B" w14:textId="77777777" w:rsidR="00F67E9E" w:rsidRPr="00025910" w:rsidRDefault="00F67E9E" w:rsidP="00F67E9E">
      <w:pPr>
        <w:pStyle w:val="StdBodyText2"/>
        <w:rPr>
          <w:rFonts w:cs="Arial"/>
        </w:rPr>
      </w:pPr>
      <w:r w:rsidRPr="00025910">
        <w:rPr>
          <w:rFonts w:cs="Arial"/>
        </w:rPr>
        <w:t>the Supplier and/or any Notified Sub-contractor may within 5 Working Days give notice to terminate the employment or alleged employment of such person.</w:t>
      </w:r>
    </w:p>
    <w:p w14:paraId="5542E129" w14:textId="5476E573" w:rsidR="00F67E9E" w:rsidRPr="00025910" w:rsidRDefault="00F67E9E" w:rsidP="00F67E9E">
      <w:pPr>
        <w:pStyle w:val="AppendixText2"/>
      </w:pPr>
      <w:bookmarkStart w:id="2192" w:name="_9kR3WTrAG9ELIEGhdtjnhxFBC6sepJFC60A748A"/>
      <w:bookmarkStart w:id="2193" w:name="_Ref_ContractCompanion_9kb9UsAHC"/>
      <w:r w:rsidRPr="00025910">
        <w:t xml:space="preserve">Subject to the Supplier and/or any Notified Sub-contractor acting in accordance with the provisions of </w:t>
      </w:r>
      <w:bookmarkStart w:id="2194" w:name="_9kMHG5YVtCIBGMNKFWGfoDGx0FD9ID68DJGNI30"/>
      <w:r w:rsidRPr="00025910">
        <w:t xml:space="preserve">Paragraphs </w:t>
      </w:r>
      <w:r w:rsidRPr="00025910">
        <w:fldChar w:fldCharType="begin"/>
      </w:r>
      <w:r w:rsidRPr="00025910">
        <w:instrText xml:space="preserve"> REF _Ref_ContractCompanion_9kb9UsAGF \n \h \t \* MERGEFORMAT </w:instrText>
      </w:r>
      <w:r w:rsidRPr="00025910">
        <w:fldChar w:fldCharType="separate"/>
      </w:r>
      <w:r w:rsidR="007A1473">
        <w:t>2.3</w:t>
      </w:r>
      <w:r w:rsidRPr="00025910">
        <w:fldChar w:fldCharType="end"/>
      </w:r>
      <w:bookmarkEnd w:id="2194"/>
      <w:r w:rsidRPr="00025910">
        <w:t xml:space="preserve"> to </w:t>
      </w:r>
      <w:bookmarkStart w:id="2195" w:name="_9kMHG5YVtCIBGNHDHYGg0J3pnxxz28BxIX3uMJB"/>
      <w:r w:rsidRPr="00025910">
        <w:fldChar w:fldCharType="begin"/>
      </w:r>
      <w:r w:rsidRPr="00025910">
        <w:instrText xml:space="preserve"> REF _Ref_ContractCompanion_9kb9UsAH9 \n \h \t \* MERGEFORMAT </w:instrText>
      </w:r>
      <w:r w:rsidRPr="00025910">
        <w:fldChar w:fldCharType="separate"/>
      </w:r>
      <w:r w:rsidR="007A1473">
        <w:t>2.5</w:t>
      </w:r>
      <w:r w:rsidRPr="00025910">
        <w:fldChar w:fldCharType="end"/>
      </w:r>
      <w:bookmarkEnd w:id="2195"/>
      <w:r w:rsidRPr="00025910">
        <w:t xml:space="preserve"> and in accordance with all applicable proper employment procedures set out in Law, the Authority shall procure that the Former Supplier indemnifies the Supplier and/or any Notified Sub-contractor (as appropriate) against all Employee Liabilities arising out of the termination of employment pursuant to the provisions of </w:t>
      </w:r>
      <w:bookmarkStart w:id="2196" w:name="_9kMIH5YVtCIBGNHDHYGg0J3pnxxz28BxIX3uMJB"/>
      <w:r w:rsidRPr="00025910">
        <w:t xml:space="preserve">Paragraph </w:t>
      </w:r>
      <w:r w:rsidRPr="00025910">
        <w:fldChar w:fldCharType="begin"/>
      </w:r>
      <w:r w:rsidRPr="00025910">
        <w:instrText xml:space="preserve"> REF _Ref_ContractCompanion_9kb9UsAH9 \n \h \t \* MERGEFORMAT </w:instrText>
      </w:r>
      <w:r w:rsidRPr="00025910">
        <w:fldChar w:fldCharType="separate"/>
      </w:r>
      <w:r w:rsidR="007A1473">
        <w:t>2.5</w:t>
      </w:r>
      <w:r w:rsidRPr="00025910">
        <w:fldChar w:fldCharType="end"/>
      </w:r>
      <w:bookmarkEnd w:id="2196"/>
      <w:r w:rsidRPr="00025910">
        <w:t xml:space="preserve"> provided that the Supplier takes, or shall procure that the Notified Sub-contractor takes, all reasonable steps to minimise any such Employee Liabilities.</w:t>
      </w:r>
      <w:bookmarkEnd w:id="2192"/>
      <w:bookmarkEnd w:id="2193"/>
    </w:p>
    <w:p w14:paraId="01C4BCDD" w14:textId="586FDD97" w:rsidR="00F67E9E" w:rsidRPr="00025910" w:rsidRDefault="00F67E9E" w:rsidP="00F67E9E">
      <w:pPr>
        <w:pStyle w:val="AppendixText2"/>
      </w:pPr>
      <w:r w:rsidRPr="00025910">
        <w:t xml:space="preserve">The indemnity in </w:t>
      </w:r>
      <w:bookmarkStart w:id="2197" w:name="_9kMHG5YVtCIBGNKGIjfvlpjzHDE8ugrLHE82C96"/>
      <w:r w:rsidRPr="00025910">
        <w:t xml:space="preserve">Paragraph </w:t>
      </w:r>
      <w:r w:rsidRPr="00025910">
        <w:fldChar w:fldCharType="begin"/>
      </w:r>
      <w:r w:rsidRPr="00025910">
        <w:instrText xml:space="preserve"> REF _Ref_ContractCompanion_9kb9UsAHC \n \h \t \* MERGEFORMAT </w:instrText>
      </w:r>
      <w:r w:rsidRPr="00025910">
        <w:fldChar w:fldCharType="separate"/>
      </w:r>
      <w:r w:rsidR="007A1473">
        <w:t>2.6</w:t>
      </w:r>
      <w:r w:rsidRPr="00025910">
        <w:fldChar w:fldCharType="end"/>
      </w:r>
      <w:bookmarkEnd w:id="2197"/>
      <w:r w:rsidRPr="00025910">
        <w:t>:</w:t>
      </w:r>
    </w:p>
    <w:p w14:paraId="738E0B07" w14:textId="77777777" w:rsidR="00F67E9E" w:rsidRPr="00025910" w:rsidRDefault="00F67E9E" w:rsidP="00F67E9E">
      <w:pPr>
        <w:pStyle w:val="AppendixText3"/>
      </w:pPr>
      <w:r w:rsidRPr="00025910">
        <w:t>shall not apply to:</w:t>
      </w:r>
    </w:p>
    <w:p w14:paraId="2B49F3D9" w14:textId="77777777" w:rsidR="00F67E9E" w:rsidRPr="00666B85" w:rsidRDefault="00F67E9E" w:rsidP="00F67E9E">
      <w:pPr>
        <w:pStyle w:val="AppendixText4"/>
      </w:pPr>
      <w:r w:rsidRPr="00025910">
        <w:t xml:space="preserve">any </w:t>
      </w:r>
      <w:r w:rsidRPr="00666B85">
        <w:t>claim for:</w:t>
      </w:r>
    </w:p>
    <w:p w14:paraId="4F1C9064" w14:textId="77777777" w:rsidR="00F67E9E" w:rsidRPr="00666B85" w:rsidRDefault="00F67E9E" w:rsidP="00F67E9E">
      <w:pPr>
        <w:pStyle w:val="AppendixText4"/>
      </w:pPr>
      <w:r w:rsidRPr="00666B85">
        <w:t>discrimination, including on the grounds of sex, race, disability, age, gender reassignment, marriage or civil partnership, pregnancy and maternity or sexual orientation, religion or belief; or</w:t>
      </w:r>
    </w:p>
    <w:p w14:paraId="15DC2DE3" w14:textId="77777777" w:rsidR="00F67E9E" w:rsidRPr="00666B85" w:rsidRDefault="00F67E9E" w:rsidP="00F67E9E">
      <w:pPr>
        <w:pStyle w:val="AppendixText4"/>
      </w:pPr>
      <w:r w:rsidRPr="00666B85">
        <w:t>equal pay or compensation for less favourable treatment of part-time workers or fixed-term employees,</w:t>
      </w:r>
    </w:p>
    <w:p w14:paraId="3AD923F9" w14:textId="77777777" w:rsidR="00F67E9E" w:rsidRPr="00666B85" w:rsidRDefault="00F67E9E" w:rsidP="00F67E9E">
      <w:pPr>
        <w:pStyle w:val="AppendixText4"/>
      </w:pPr>
      <w:r w:rsidRPr="00666B85">
        <w:t>in any case in relation to any alleged act or omission of the Supplier and/or any Sub-contractor; or</w:t>
      </w:r>
    </w:p>
    <w:p w14:paraId="3745DE60" w14:textId="77777777" w:rsidR="00F67E9E" w:rsidRPr="00025910" w:rsidRDefault="00F67E9E" w:rsidP="00F67E9E">
      <w:pPr>
        <w:pStyle w:val="AppendixText4"/>
      </w:pPr>
      <w:r w:rsidRPr="00666B85">
        <w:lastRenderedPageBreak/>
        <w:t>any claim that the termination of employment was unfair because the Supplier</w:t>
      </w:r>
      <w:r w:rsidRPr="00025910">
        <w:t xml:space="preserve"> and/or Notified Sub-contractor neglected to follow a fair dismissal procedure; and</w:t>
      </w:r>
    </w:p>
    <w:p w14:paraId="0E70D754" w14:textId="13086FC9" w:rsidR="00F67E9E" w:rsidRPr="00025910" w:rsidRDefault="00F67E9E" w:rsidP="00F67E9E">
      <w:pPr>
        <w:pStyle w:val="AppendixText3"/>
      </w:pPr>
      <w:r w:rsidRPr="00025910">
        <w:t xml:space="preserve">shall apply only where the notification referred to in </w:t>
      </w:r>
      <w:bookmarkStart w:id="2198" w:name="_9kMHG5YVtCIBGNNJFos0mYjD960u4JAtyAELQH0"/>
      <w:r w:rsidRPr="00025910">
        <w:t xml:space="preserve">Paragraph </w:t>
      </w:r>
      <w:r w:rsidRPr="00025910">
        <w:fldChar w:fldCharType="begin"/>
      </w:r>
      <w:r w:rsidRPr="00025910">
        <w:instrText xml:space="preserve"> REF _Ref_ContractCompanion_9kb9UsAHF \w \h \t \* MERGEFORMAT </w:instrText>
      </w:r>
      <w:r w:rsidRPr="00025910">
        <w:fldChar w:fldCharType="separate"/>
      </w:r>
      <w:r w:rsidR="007A1473">
        <w:t>2.3.1</w:t>
      </w:r>
      <w:r w:rsidRPr="00025910">
        <w:fldChar w:fldCharType="end"/>
      </w:r>
      <w:bookmarkEnd w:id="2198"/>
      <w:r w:rsidRPr="00025910">
        <w:t xml:space="preserve"> is made by the Supplier and/or any Notified Sub-contractor (as appropriate) to the Authority and, if applicable, the Former Supplier, within 6 months of the </w:t>
      </w:r>
      <w:r>
        <w:t>Relevant Transfer</w:t>
      </w:r>
      <w:r w:rsidRPr="00025910">
        <w:t xml:space="preserve"> Date. </w:t>
      </w:r>
    </w:p>
    <w:p w14:paraId="1A016BD0" w14:textId="7E8F332D" w:rsidR="00F67E9E" w:rsidRPr="00025910" w:rsidRDefault="00F67E9E" w:rsidP="00F67E9E">
      <w:pPr>
        <w:pStyle w:val="AppendixText2"/>
      </w:pPr>
      <w:bookmarkStart w:id="2199" w:name="_Ref_ContractCompanion_9kb9UsAIC"/>
      <w:bookmarkStart w:id="2200" w:name="_9kR3WTrAG9EMIDIZEdmBHEzn1z2HFBy4DEAxDCC"/>
      <w:r w:rsidRPr="00025910">
        <w:t xml:space="preserve">If any such person as is described in </w:t>
      </w:r>
      <w:bookmarkStart w:id="2201" w:name="_9kMIH5YVtCIBGMNKFWGfoDGx0FD9ID68DJGNI30"/>
      <w:r w:rsidRPr="00025910">
        <w:t xml:space="preserve">Paragraph </w:t>
      </w:r>
      <w:r w:rsidRPr="00025910">
        <w:fldChar w:fldCharType="begin"/>
      </w:r>
      <w:r w:rsidRPr="00025910">
        <w:instrText xml:space="preserve"> REF _Ref_ContractCompanion_9kb9UsAGF \n \h \t \* MERGEFORMAT </w:instrText>
      </w:r>
      <w:r w:rsidRPr="00025910">
        <w:fldChar w:fldCharType="separate"/>
      </w:r>
      <w:r w:rsidR="007A1473">
        <w:t>2.3</w:t>
      </w:r>
      <w:r w:rsidRPr="00025910">
        <w:fldChar w:fldCharType="end"/>
      </w:r>
      <w:bookmarkEnd w:id="2201"/>
      <w:r w:rsidRPr="00025910">
        <w:t xml:space="preserve"> is neither re-employed by the Former Supplier nor dismissed by the Supplier and/or any Notified Sub-contractor within the time scales set out in </w:t>
      </w:r>
      <w:bookmarkStart w:id="2202" w:name="_9kMJI5YVtCIBGNHDHYGg0J3pnxxz28BxIX3uMJB"/>
      <w:r w:rsidRPr="00025910">
        <w:t xml:space="preserve">Paragraph </w:t>
      </w:r>
      <w:r w:rsidRPr="00025910">
        <w:fldChar w:fldCharType="begin"/>
      </w:r>
      <w:r w:rsidRPr="00025910">
        <w:instrText xml:space="preserve"> REF _Ref_ContractCompanion_9kb9UsAH9 \n \h \t \* MERGEFORMAT </w:instrText>
      </w:r>
      <w:r w:rsidRPr="00025910">
        <w:fldChar w:fldCharType="separate"/>
      </w:r>
      <w:r w:rsidR="007A1473">
        <w:t>2.5</w:t>
      </w:r>
      <w:r w:rsidRPr="00025910">
        <w:fldChar w:fldCharType="end"/>
      </w:r>
      <w:bookmarkEnd w:id="2202"/>
      <w:r w:rsidRPr="00025910">
        <w:t xml:space="preserve">, such person shall be treated as having transferred to the Supplier or Notified Sub-contractor and the Supplier shall, or shall </w:t>
      </w:r>
      <w:bookmarkEnd w:id="2199"/>
      <w:bookmarkEnd w:id="2200"/>
      <w:r w:rsidRPr="00B066EC">
        <w:t xml:space="preserve">(a) comply with such obligations as may be imposed upon it under the Law and (b) comply with the provisions of </w:t>
      </w:r>
      <w:r>
        <w:fldChar w:fldCharType="begin"/>
      </w:r>
      <w:r>
        <w:instrText xml:space="preserve"> REF Sch28PartD \h </w:instrText>
      </w:r>
      <w:r>
        <w:fldChar w:fldCharType="separate"/>
      </w:r>
      <w:r w:rsidR="007A1473" w:rsidRPr="00025910">
        <w:t>Part D</w:t>
      </w:r>
      <w:r>
        <w:fldChar w:fldCharType="end"/>
      </w:r>
      <w:r w:rsidRPr="00B066EC">
        <w:t xml:space="preserve"> (</w:t>
      </w:r>
      <w:r w:rsidRPr="00B6750E">
        <w:rPr>
          <w:i/>
          <w:iCs/>
        </w:rPr>
        <w:fldChar w:fldCharType="begin"/>
      </w:r>
      <w:r w:rsidRPr="00B6750E">
        <w:rPr>
          <w:i/>
          <w:iCs/>
        </w:rPr>
        <w:instrText xml:space="preserve"> REF PartDSchedule28Heading \h </w:instrText>
      </w:r>
      <w:r>
        <w:rPr>
          <w:i/>
          <w:iCs/>
        </w:rPr>
        <w:instrText xml:space="preserve"> \* MERGEFORMAT </w:instrText>
      </w:r>
      <w:r w:rsidRPr="00B6750E">
        <w:rPr>
          <w:i/>
          <w:iCs/>
        </w:rPr>
      </w:r>
      <w:r w:rsidRPr="00B6750E">
        <w:rPr>
          <w:i/>
          <w:iCs/>
        </w:rPr>
        <w:fldChar w:fldCharType="separate"/>
      </w:r>
      <w:r w:rsidR="007A1473" w:rsidRPr="007A1473">
        <w:rPr>
          <w:i/>
          <w:iCs/>
        </w:rPr>
        <w:t>Pensions</w:t>
      </w:r>
      <w:r w:rsidRPr="00B6750E">
        <w:rPr>
          <w:i/>
          <w:iCs/>
        </w:rPr>
        <w:fldChar w:fldCharType="end"/>
      </w:r>
      <w:r w:rsidRPr="00B066EC">
        <w:t>) and its Annexes of this Staff Transfer Schedule.</w:t>
      </w:r>
    </w:p>
    <w:p w14:paraId="4391CA2D" w14:textId="77777777" w:rsidR="00F67E9E" w:rsidRPr="00666B85" w:rsidRDefault="00F67E9E" w:rsidP="00F13933">
      <w:pPr>
        <w:pStyle w:val="AppendixText1"/>
        <w:numPr>
          <w:ilvl w:val="0"/>
          <w:numId w:val="57"/>
        </w:numPr>
        <w:rPr>
          <w:color w:val="1F497D"/>
        </w:rPr>
      </w:pPr>
      <w:r w:rsidRPr="00666B85">
        <w:rPr>
          <w:color w:val="1F497D"/>
        </w:rPr>
        <w:t>Supplier Indemnities and Obligations</w:t>
      </w:r>
    </w:p>
    <w:p w14:paraId="4B06025A" w14:textId="69BA592F" w:rsidR="00F67E9E" w:rsidRPr="00025910" w:rsidRDefault="00F67E9E" w:rsidP="00F67E9E">
      <w:pPr>
        <w:pStyle w:val="AppendixText2"/>
      </w:pPr>
      <w:bookmarkStart w:id="2203" w:name="_Ref_ContractCompanion_9kb9UsAIF"/>
      <w:bookmarkStart w:id="2204" w:name="_9kR3WTrAG9EMLHCcdtjnhxFBiPyzp7219OXOH3p"/>
      <w:r w:rsidRPr="00025910">
        <w:t xml:space="preserve">Subject to </w:t>
      </w:r>
      <w:bookmarkStart w:id="2205" w:name="_9kMHG5YVtCIBGOHDFgTlnxtlv529Aw7C8qY78yG"/>
      <w:r w:rsidRPr="00025910">
        <w:t xml:space="preserve">Paragraph </w:t>
      </w:r>
      <w:r w:rsidRPr="00025910">
        <w:fldChar w:fldCharType="begin"/>
      </w:r>
      <w:r w:rsidRPr="00025910">
        <w:instrText xml:space="preserve"> REF _Ref_ContractCompanion_9kb9UsAHI \n \h \t \* MERGEFORMAT </w:instrText>
      </w:r>
      <w:r w:rsidRPr="00025910">
        <w:fldChar w:fldCharType="separate"/>
      </w:r>
      <w:r w:rsidR="007A1473">
        <w:t>3.2</w:t>
      </w:r>
      <w:r w:rsidRPr="00025910">
        <w:fldChar w:fldCharType="end"/>
      </w:r>
      <w:bookmarkEnd w:id="2205"/>
      <w:r w:rsidRPr="00025910">
        <w:t>, the Supplier shall indemnify the Authority and/or the Former Supplier against any Employee Liabilities arising from or as a result of:</w:t>
      </w:r>
      <w:bookmarkEnd w:id="2203"/>
      <w:bookmarkEnd w:id="2204"/>
    </w:p>
    <w:p w14:paraId="40952703" w14:textId="77777777" w:rsidR="00F67E9E" w:rsidRPr="00666B85" w:rsidRDefault="00F67E9E" w:rsidP="00F67E9E">
      <w:pPr>
        <w:pStyle w:val="AppendixText3"/>
      </w:pPr>
      <w:r w:rsidRPr="00025910">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w:t>
      </w:r>
      <w:r w:rsidRPr="00666B85">
        <w:t>Transfer Date;</w:t>
      </w:r>
    </w:p>
    <w:p w14:paraId="350682A5" w14:textId="77777777" w:rsidR="00F67E9E" w:rsidRPr="00025910" w:rsidRDefault="00F67E9E" w:rsidP="00F67E9E">
      <w:pPr>
        <w:pStyle w:val="AppendixText3"/>
      </w:pPr>
      <w:r w:rsidRPr="00666B85">
        <w:t>the b</w:t>
      </w:r>
      <w:r w:rsidRPr="00025910">
        <w:t>reach or non-observance by the Supplier or any Sub-contractor on or after the Relevant Transfer Date of:</w:t>
      </w:r>
    </w:p>
    <w:p w14:paraId="55CEC4A3" w14:textId="77777777" w:rsidR="00F67E9E" w:rsidRPr="00666B85" w:rsidRDefault="00F67E9E" w:rsidP="00F67E9E">
      <w:pPr>
        <w:pStyle w:val="AppendixText4"/>
      </w:pPr>
      <w:r w:rsidRPr="00025910">
        <w:t xml:space="preserve">any collective agreement applicable to the Transferring Former Supplier </w:t>
      </w:r>
      <w:r w:rsidRPr="00666B85">
        <w:t>Employee; and/or</w:t>
      </w:r>
    </w:p>
    <w:p w14:paraId="785A931A" w14:textId="77777777" w:rsidR="00F67E9E" w:rsidRPr="00025910" w:rsidRDefault="00F67E9E" w:rsidP="00F67E9E">
      <w:pPr>
        <w:pStyle w:val="AppendixText4"/>
      </w:pPr>
      <w:r w:rsidRPr="00666B85">
        <w:t>any custom or practice in respect of any Transferring Former Supplier Emplo</w:t>
      </w:r>
      <w:r w:rsidRPr="00025910">
        <w:t>yees which the Supplier or any Sub-contractor is contractually bound to honour;</w:t>
      </w:r>
    </w:p>
    <w:p w14:paraId="45CA503F" w14:textId="77777777" w:rsidR="00F67E9E" w:rsidRPr="00025910" w:rsidRDefault="00F67E9E" w:rsidP="00F67E9E">
      <w:pPr>
        <w:pStyle w:val="AppendixText3"/>
      </w:pPr>
      <w:r w:rsidRPr="00025910">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D7547D7" w14:textId="77777777" w:rsidR="00F67E9E" w:rsidRPr="00025910" w:rsidRDefault="00F67E9E" w:rsidP="00F67E9E">
      <w:pPr>
        <w:pStyle w:val="AppendixText3"/>
      </w:pPr>
      <w:r w:rsidRPr="00025910">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75203D6" w14:textId="77777777" w:rsidR="00F67E9E" w:rsidRPr="00666B85" w:rsidRDefault="00F67E9E" w:rsidP="00F67E9E">
      <w:pPr>
        <w:pStyle w:val="AppendixText3"/>
      </w:pPr>
      <w:r w:rsidRPr="00025910">
        <w:lastRenderedPageBreak/>
        <w:t xml:space="preserve">any statement communicated to or action undertaken by the Supplier or a Sub-contractor to, or in respect of, any Transferring Former Supplier Employee before the Relevant </w:t>
      </w:r>
      <w:r w:rsidRPr="00666B85">
        <w:t>Transfer Date regarding the Relevant Transfer which has not been agreed in advance with the Authority and/or the Former Supplier in writing;</w:t>
      </w:r>
    </w:p>
    <w:p w14:paraId="4069DE9E" w14:textId="77777777" w:rsidR="00F67E9E" w:rsidRPr="00025910" w:rsidRDefault="00F67E9E" w:rsidP="00F67E9E">
      <w:pPr>
        <w:pStyle w:val="AppendixText3"/>
      </w:pPr>
      <w:r w:rsidRPr="00666B85">
        <w:t>any proceeding, cla</w:t>
      </w:r>
      <w:r w:rsidRPr="00025910">
        <w:t>im or demand by HMRC or other statutory authority in respect of any financial obligation including, but not limited to, PAYE and primary and secondary national insurance contributions:</w:t>
      </w:r>
    </w:p>
    <w:p w14:paraId="388E1DE1" w14:textId="77777777" w:rsidR="00F67E9E" w:rsidRPr="00025910" w:rsidRDefault="00F67E9E" w:rsidP="00F67E9E">
      <w:pPr>
        <w:pStyle w:val="AppendixText4"/>
      </w:pPr>
      <w:r w:rsidRPr="00025910">
        <w:t>in relation to any Transferring Former Supplier Employee, to the extent that the proceeding, claim or demand by HMRC or other statutory authority relates to financial obligations arising on or after the Relevant Transfer Date; and</w:t>
      </w:r>
    </w:p>
    <w:p w14:paraId="3F1D0958" w14:textId="77777777" w:rsidR="00F67E9E" w:rsidRPr="00025910" w:rsidRDefault="00F67E9E" w:rsidP="00F67E9E">
      <w:pPr>
        <w:pStyle w:val="AppendixText4"/>
      </w:pPr>
      <w:r w:rsidRPr="00025910">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57FC4F2E" w14:textId="77777777" w:rsidR="00F67E9E" w:rsidRPr="00666B85" w:rsidRDefault="00F67E9E" w:rsidP="00F67E9E">
      <w:pPr>
        <w:pStyle w:val="AppendixText3"/>
      </w:pPr>
      <w:r w:rsidRPr="00025910">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w:t>
      </w:r>
      <w:r w:rsidRPr="00666B85">
        <w:t xml:space="preserve">; </w:t>
      </w:r>
    </w:p>
    <w:p w14:paraId="05768C3A" w14:textId="77777777" w:rsidR="00F67E9E" w:rsidRPr="00666B85" w:rsidRDefault="00F67E9E" w:rsidP="00F67E9E">
      <w:pPr>
        <w:pStyle w:val="AppendixText3"/>
      </w:pPr>
      <w:r w:rsidRPr="00666B85">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w:t>
      </w:r>
      <w:r>
        <w:t>(4)</w:t>
      </w:r>
      <w:r w:rsidRPr="00666B85">
        <w:t xml:space="preserve"> of the Employment Regulations; and</w:t>
      </w:r>
    </w:p>
    <w:p w14:paraId="2FEE51DB" w14:textId="681D7FF0" w:rsidR="00F67E9E" w:rsidRPr="00025910" w:rsidRDefault="00F67E9E" w:rsidP="00F67E9E">
      <w:pPr>
        <w:pStyle w:val="AppendixText3"/>
      </w:pPr>
      <w:r w:rsidRPr="00666B85">
        <w:t>a</w:t>
      </w:r>
      <w:r w:rsidRPr="00025910">
        <w:t xml:space="preserve"> failure by the Supplier or any Sub-Contractor to comply with its obligations under </w:t>
      </w:r>
      <w:bookmarkStart w:id="2206" w:name="_9kMHG5YVtCIBGOKFKbGfoDJG1p314JHD06FGCzF"/>
      <w:r w:rsidRPr="00025910">
        <w:t xml:space="preserve">Paragraph </w:t>
      </w:r>
      <w:r w:rsidRPr="00025910">
        <w:fldChar w:fldCharType="begin"/>
      </w:r>
      <w:r w:rsidRPr="00025910">
        <w:instrText xml:space="preserve"> REF _Ref_ContractCompanion_9kb9UsAIC \n \h \t \* MERGEFORMAT </w:instrText>
      </w:r>
      <w:r w:rsidRPr="00025910">
        <w:fldChar w:fldCharType="separate"/>
      </w:r>
      <w:r w:rsidR="007A1473">
        <w:t>2.8</w:t>
      </w:r>
      <w:r w:rsidRPr="00025910">
        <w:fldChar w:fldCharType="end"/>
      </w:r>
      <w:bookmarkEnd w:id="2206"/>
      <w:r w:rsidRPr="00025910">
        <w:t xml:space="preserve"> above</w:t>
      </w:r>
    </w:p>
    <w:p w14:paraId="64C70EA8" w14:textId="05B23491" w:rsidR="00F67E9E" w:rsidRPr="00025910" w:rsidRDefault="00F67E9E" w:rsidP="00F67E9E">
      <w:pPr>
        <w:pStyle w:val="AppendixText2"/>
      </w:pPr>
      <w:bookmarkStart w:id="2207" w:name="_Ref_ContractCompanion_9kb9UsAHI"/>
      <w:bookmarkStart w:id="2208" w:name="_9kR3WTrAG9EMFBDeRjlvrjt3078u5A6oW56wE98"/>
      <w:r w:rsidRPr="00025910">
        <w:t xml:space="preserve">The indemnities in </w:t>
      </w:r>
      <w:bookmarkStart w:id="2209" w:name="_9kMHG5YVtCIBGONJEefvlpjzHDkR01r943BQZQJ"/>
      <w:r w:rsidRPr="00025910">
        <w:t xml:space="preserve">Paragraph </w:t>
      </w:r>
      <w:r w:rsidRPr="00025910">
        <w:fldChar w:fldCharType="begin"/>
      </w:r>
      <w:r w:rsidRPr="00025910">
        <w:instrText xml:space="preserve"> REF _Ref_ContractCompanion_9kb9UsAIF \n \h \t \* MERGEFORMAT </w:instrText>
      </w:r>
      <w:r w:rsidRPr="00025910">
        <w:fldChar w:fldCharType="separate"/>
      </w:r>
      <w:r w:rsidR="007A1473">
        <w:t>3.1</w:t>
      </w:r>
      <w:r w:rsidRPr="00025910">
        <w:fldChar w:fldCharType="end"/>
      </w:r>
      <w:bookmarkEnd w:id="2209"/>
      <w:r w:rsidRPr="00025910">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w:t>
      </w:r>
      <w:r>
        <w:t>’</w:t>
      </w:r>
      <w:r w:rsidRPr="00025910">
        <w:t>s failure to comply with its obligations under the Employment Regulations.</w:t>
      </w:r>
      <w:bookmarkEnd w:id="2207"/>
      <w:bookmarkEnd w:id="2208"/>
    </w:p>
    <w:p w14:paraId="438A238A" w14:textId="77777777" w:rsidR="00F67E9E" w:rsidRPr="00025910" w:rsidRDefault="00F67E9E" w:rsidP="00F67E9E">
      <w:pPr>
        <w:pStyle w:val="AppendixText2"/>
      </w:pPr>
      <w:r w:rsidRPr="00025910">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w:t>
      </w:r>
      <w:r w:rsidRPr="00025910">
        <w:lastRenderedPageBreak/>
        <w:t>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25823D2D" w14:textId="77777777" w:rsidR="00F67E9E" w:rsidRPr="00666B85" w:rsidRDefault="00F67E9E" w:rsidP="00F13933">
      <w:pPr>
        <w:pStyle w:val="AppendixText1"/>
        <w:numPr>
          <w:ilvl w:val="0"/>
          <w:numId w:val="57"/>
        </w:numPr>
        <w:rPr>
          <w:color w:val="1F497D"/>
        </w:rPr>
      </w:pPr>
      <w:r w:rsidRPr="00666B85">
        <w:rPr>
          <w:color w:val="1F497D"/>
        </w:rPr>
        <w:t>Information</w:t>
      </w:r>
    </w:p>
    <w:p w14:paraId="1071AB3C" w14:textId="77777777" w:rsidR="00F67E9E" w:rsidRPr="00025910" w:rsidRDefault="00F67E9E" w:rsidP="00F67E9E">
      <w:pPr>
        <w:pStyle w:val="AppendixText2"/>
      </w:pPr>
      <w:r w:rsidRPr="00025910">
        <w:t>The Supplier shall, and shall procure that each Sub-contractor shall, promptly provide to the Authority and/or at the Authority</w:t>
      </w:r>
      <w:r>
        <w:t>’</w:t>
      </w:r>
      <w:r w:rsidRPr="00025910">
        <w:t>s direction, the Former Supplier, in writing such information as is necessary to enable the Authority and/or the Former Supplier to carry out their respective duties under regulation 13 of the Employment Regulations. The Authority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3C2E600" w14:textId="77777777" w:rsidR="00F67E9E" w:rsidRPr="00666B85" w:rsidRDefault="00F67E9E" w:rsidP="00F13933">
      <w:pPr>
        <w:pStyle w:val="AppendixText1"/>
        <w:numPr>
          <w:ilvl w:val="0"/>
          <w:numId w:val="57"/>
        </w:numPr>
        <w:rPr>
          <w:color w:val="1F497D"/>
        </w:rPr>
      </w:pPr>
      <w:r w:rsidRPr="00666B85">
        <w:rPr>
          <w:color w:val="1F497D"/>
        </w:rPr>
        <w:t>Principles of Good Employment Practice</w:t>
      </w:r>
    </w:p>
    <w:p w14:paraId="16FE799A" w14:textId="77777777" w:rsidR="00F67E9E" w:rsidRPr="00025910" w:rsidRDefault="00F67E9E" w:rsidP="00F67E9E">
      <w:pPr>
        <w:pStyle w:val="AppendixText2"/>
      </w:pPr>
      <w:bookmarkStart w:id="2210" w:name="_Ref_ContractCompanion_9kb9UsAII"/>
      <w:bookmarkStart w:id="2211" w:name="_9kR3WTrAG9ENFCEdRjVgA63xr1G7qv7x04AFy3F"/>
      <w:r w:rsidRPr="00025910">
        <w:t>The Supplier shall, and shall procure that each Sub-contractor shall, comply with any requirement notified to it by the Authority relating to pensions in respect of any Transferring Former Supplier Employee as set down in:</w:t>
      </w:r>
      <w:bookmarkEnd w:id="2210"/>
      <w:bookmarkEnd w:id="2211"/>
    </w:p>
    <w:p w14:paraId="3B8BB621" w14:textId="77777777" w:rsidR="00F67E9E" w:rsidRPr="00025910" w:rsidRDefault="00F67E9E" w:rsidP="00F67E9E">
      <w:pPr>
        <w:pStyle w:val="AppendixText3"/>
      </w:pPr>
      <w:r w:rsidRPr="00025910">
        <w:t>the Cabinet Office Statement of Practice on Staff Transfers in the Public Sector of January 2000, revised December 2013;</w:t>
      </w:r>
    </w:p>
    <w:p w14:paraId="79D6D7C4" w14:textId="77777777" w:rsidR="00F67E9E" w:rsidRPr="00025910" w:rsidRDefault="00F67E9E" w:rsidP="00F67E9E">
      <w:pPr>
        <w:pStyle w:val="AppendixText3"/>
      </w:pPr>
      <w:r w:rsidRPr="00025910">
        <w:t>Old Fair Deal; and/or</w:t>
      </w:r>
    </w:p>
    <w:p w14:paraId="42207ADB" w14:textId="77777777" w:rsidR="00F67E9E" w:rsidRPr="00025910" w:rsidRDefault="00F67E9E" w:rsidP="00F67E9E">
      <w:pPr>
        <w:pStyle w:val="AppendixText3"/>
      </w:pPr>
      <w:r w:rsidRPr="00025910">
        <w:t>the New Fair Deal.</w:t>
      </w:r>
    </w:p>
    <w:p w14:paraId="7315F8C0" w14:textId="452569B3" w:rsidR="00F67E9E" w:rsidRPr="00025910" w:rsidRDefault="00F67E9E" w:rsidP="00F67E9E">
      <w:pPr>
        <w:pStyle w:val="AppendixText2"/>
      </w:pPr>
      <w:r w:rsidRPr="00025910">
        <w:t xml:space="preserve">Any changes </w:t>
      </w:r>
      <w:r w:rsidRPr="003275AF">
        <w:t xml:space="preserve">necessary to this Contract as a result of changes embodied to, or any replacement of </w:t>
      </w:r>
      <w:r w:rsidRPr="00025910">
        <w:t xml:space="preserve">any statement of practice, paper or other guidance that replaces any of the documentation referred to in </w:t>
      </w:r>
      <w:bookmarkStart w:id="2212" w:name="_9kMHG5YVtCIBGPHEGfTlXiC85zt3I9sx9z26CH0"/>
      <w:r w:rsidRPr="00025910">
        <w:t xml:space="preserve">Paragraph </w:t>
      </w:r>
      <w:r w:rsidRPr="00025910">
        <w:fldChar w:fldCharType="begin"/>
      </w:r>
      <w:r w:rsidRPr="00025910">
        <w:instrText xml:space="preserve"> REF _Ref_ContractCompanion_9kb9UsAII \n \h \t \* MERGEFORMAT </w:instrText>
      </w:r>
      <w:r w:rsidRPr="00025910">
        <w:fldChar w:fldCharType="separate"/>
      </w:r>
      <w:r w:rsidR="007A1473">
        <w:t>5.1</w:t>
      </w:r>
      <w:r w:rsidRPr="00025910">
        <w:fldChar w:fldCharType="end"/>
      </w:r>
      <w:bookmarkEnd w:id="2212"/>
      <w:r w:rsidRPr="00025910">
        <w:t xml:space="preserve"> shall be agreed in accordance with the Change Control Procedure.</w:t>
      </w:r>
    </w:p>
    <w:p w14:paraId="2CF4CBBF" w14:textId="77777777" w:rsidR="00F67E9E" w:rsidRPr="00666B85" w:rsidRDefault="00F67E9E" w:rsidP="00F13933">
      <w:pPr>
        <w:pStyle w:val="AppendixText1"/>
        <w:numPr>
          <w:ilvl w:val="0"/>
          <w:numId w:val="57"/>
        </w:numPr>
        <w:rPr>
          <w:color w:val="1F497D"/>
        </w:rPr>
      </w:pPr>
      <w:r w:rsidRPr="00666B85">
        <w:rPr>
          <w:color w:val="1F497D"/>
        </w:rPr>
        <w:t>Procurement Obligations</w:t>
      </w:r>
    </w:p>
    <w:p w14:paraId="46392ABD" w14:textId="4B3A8F18" w:rsidR="00F67E9E" w:rsidRPr="00025910" w:rsidRDefault="00F67E9E" w:rsidP="00F67E9E">
      <w:pPr>
        <w:pStyle w:val="AppendixText2"/>
      </w:pPr>
      <w:r w:rsidRPr="00025910">
        <w:t xml:space="preserve">Notwithstanding any other provisions of this </w:t>
      </w:r>
      <w:bookmarkStart w:id="2213" w:name="_9kMHG5YVt4DEFJIeGp9U"/>
      <w:r w:rsidRPr="00025910">
        <w:fldChar w:fldCharType="begin"/>
      </w:r>
      <w:r w:rsidRPr="00025910">
        <w:instrText xml:space="preserve"> REF Sch28PartB \h  \* MERGEFORMAT </w:instrText>
      </w:r>
      <w:r w:rsidRPr="00025910">
        <w:fldChar w:fldCharType="separate"/>
      </w:r>
      <w:r w:rsidR="007A1473" w:rsidRPr="00025910">
        <w:t>Part B</w:t>
      </w:r>
      <w:r w:rsidRPr="00025910">
        <w:fldChar w:fldCharType="end"/>
      </w:r>
      <w:bookmarkEnd w:id="2213"/>
      <w:r w:rsidRPr="00025910">
        <w:t xml:space="preserve">, where in this </w:t>
      </w:r>
      <w:bookmarkStart w:id="2214" w:name="_9kMIH5YVt4DEFJIeGp9U"/>
      <w:bookmarkEnd w:id="2214"/>
      <w:r w:rsidRPr="00025910">
        <w:fldChar w:fldCharType="begin"/>
      </w:r>
      <w:r w:rsidRPr="00025910">
        <w:instrText xml:space="preserve"> REF Sch28PartB \h  \* MERGEFORMAT </w:instrText>
      </w:r>
      <w:r w:rsidRPr="00025910">
        <w:fldChar w:fldCharType="separate"/>
      </w:r>
      <w:r w:rsidR="007A1473" w:rsidRPr="00025910">
        <w:t>Part B</w:t>
      </w:r>
      <w:r w:rsidRPr="00025910">
        <w:fldChar w:fldCharType="end"/>
      </w:r>
      <w:r w:rsidRPr="00025910">
        <w:t xml:space="preserve"> the Authority accepts an obligation to procure that a Former Supplier does or does not do something, such obligation shall be limited so that it extends only to the extent that the Authority</w:t>
      </w:r>
      <w:r>
        <w:t>’</w:t>
      </w:r>
      <w:r w:rsidRPr="00025910">
        <w:t>s contract with the Former Supplier contains a contractual right in that regard which the Authority may enforce, or otherwise so that it requires only that the Authority must use reasonable endeavours to procure that the Former Supplier does or does not act accordingly.</w:t>
      </w:r>
    </w:p>
    <w:p w14:paraId="1A297206" w14:textId="77777777" w:rsidR="00F67E9E" w:rsidRPr="00666B85" w:rsidRDefault="00F67E9E" w:rsidP="00F13933">
      <w:pPr>
        <w:pStyle w:val="AppendixText1"/>
        <w:numPr>
          <w:ilvl w:val="0"/>
          <w:numId w:val="57"/>
        </w:numPr>
        <w:rPr>
          <w:color w:val="1F497D"/>
        </w:rPr>
      </w:pPr>
      <w:r w:rsidRPr="00666B85">
        <w:rPr>
          <w:color w:val="1F497D"/>
        </w:rPr>
        <w:t>Pensions</w:t>
      </w:r>
    </w:p>
    <w:p w14:paraId="43081018" w14:textId="77777777" w:rsidR="00F67E9E" w:rsidRPr="00025910" w:rsidRDefault="00F67E9E" w:rsidP="00F67E9E">
      <w:pPr>
        <w:pStyle w:val="AppendixText2"/>
      </w:pPr>
      <w:r w:rsidRPr="00025910">
        <w:t>The Supplier shall, and shall procure that each Sub-contractor shall, comply with:</w:t>
      </w:r>
    </w:p>
    <w:p w14:paraId="275E403D" w14:textId="77777777" w:rsidR="00F67E9E" w:rsidRPr="00025910" w:rsidRDefault="00F67E9E" w:rsidP="00F67E9E">
      <w:pPr>
        <w:pStyle w:val="AppendixText3"/>
      </w:pPr>
      <w:r w:rsidRPr="00025910">
        <w:t xml:space="preserve">the requirements of Part 1 of the Pensions Act 2008, </w:t>
      </w:r>
      <w:bookmarkStart w:id="2215" w:name="_9kMHG5YVt49B9GL6teu1x3IOVF069veZ4JFCINl"/>
      <w:r w:rsidRPr="00025910">
        <w:t>section 258 of the Pensions Act 2004</w:t>
      </w:r>
      <w:bookmarkEnd w:id="2215"/>
      <w:r w:rsidRPr="00025910">
        <w:t xml:space="preserve"> and the </w:t>
      </w:r>
      <w:bookmarkStart w:id="2216" w:name="_9kMHG5YVt49B9EIgbpm5yly9yPR999NM35Lye9O"/>
      <w:r w:rsidRPr="00025910">
        <w:t>Transfer of Employment (Pension Protection) Regulations 2005</w:t>
      </w:r>
      <w:bookmarkEnd w:id="2216"/>
      <w:r w:rsidRPr="00025910">
        <w:t xml:space="preserve"> for all transferring staff; and</w:t>
      </w:r>
    </w:p>
    <w:p w14:paraId="65D31DA1" w14:textId="7CE3EB64" w:rsidR="00F67E9E" w:rsidRDefault="00F67E9E" w:rsidP="00F67E9E">
      <w:pPr>
        <w:pStyle w:val="AppendixText3"/>
      </w:pPr>
      <w:r w:rsidRPr="00F3052F">
        <w:rPr>
          <w:color w:val="000000"/>
        </w:rPr>
        <w:lastRenderedPageBreak/>
        <w:fldChar w:fldCharType="begin"/>
      </w:r>
      <w:r w:rsidRPr="00F3052F">
        <w:rPr>
          <w:color w:val="000000"/>
        </w:rPr>
        <w:instrText xml:space="preserve"> REF Sch28PartD \h  \* MERGEFORMAT </w:instrText>
      </w:r>
      <w:r w:rsidRPr="00F3052F">
        <w:rPr>
          <w:color w:val="000000"/>
        </w:rPr>
      </w:r>
      <w:r w:rsidRPr="00F3052F">
        <w:rPr>
          <w:color w:val="000000"/>
        </w:rPr>
        <w:fldChar w:fldCharType="separate"/>
      </w:r>
      <w:r w:rsidR="007A1473" w:rsidRPr="007A1473">
        <w:rPr>
          <w:rFonts w:eastAsia="Calibri"/>
        </w:rPr>
        <w:t>Part D</w:t>
      </w:r>
      <w:r w:rsidRPr="00F3052F">
        <w:rPr>
          <w:color w:val="000000"/>
        </w:rPr>
        <w:fldChar w:fldCharType="end"/>
      </w:r>
      <w:r w:rsidRPr="00F3052F">
        <w:t xml:space="preserve"> (and its Annexes) to this Staff Transfer Schedule.</w:t>
      </w:r>
    </w:p>
    <w:p w14:paraId="6F248F8A" w14:textId="77777777" w:rsidR="00F67E9E" w:rsidRPr="00A6113A" w:rsidRDefault="00F67E9E" w:rsidP="00F67E9E">
      <w:pPr>
        <w:pStyle w:val="Heading2"/>
        <w:pageBreakBefore/>
      </w:pPr>
      <w:bookmarkStart w:id="2217" w:name="Sch28PartC"/>
      <w:bookmarkStart w:id="2218" w:name="_Ref_ContractCompanion_9kb9Us113"/>
      <w:bookmarkStart w:id="2219" w:name="_Ref_ContractCompanion_9kb9Us115"/>
      <w:bookmarkStart w:id="2220" w:name="_9kR3WTr29B7FMgJfifw5qFQKjPyIe3GNR96PI5I"/>
      <w:bookmarkStart w:id="2221" w:name="_Toc145412820"/>
      <w:r w:rsidRPr="000038E2">
        <w:lastRenderedPageBreak/>
        <w:t xml:space="preserve">Part </w:t>
      </w:r>
      <w:r w:rsidRPr="00025910">
        <w:t>C</w:t>
      </w:r>
      <w:bookmarkEnd w:id="2217"/>
      <w:r w:rsidRPr="00025910">
        <w:t xml:space="preserve">: No Transfer </w:t>
      </w:r>
      <w:r>
        <w:t>o</w:t>
      </w:r>
      <w:r w:rsidRPr="00025910">
        <w:t xml:space="preserve">f Employees </w:t>
      </w:r>
      <w:r>
        <w:t>Expected a</w:t>
      </w:r>
      <w:r w:rsidRPr="00025910">
        <w:t xml:space="preserve">t Commencement </w:t>
      </w:r>
      <w:r>
        <w:t>o</w:t>
      </w:r>
      <w:r w:rsidRPr="00025910">
        <w:t>f Services</w:t>
      </w:r>
      <w:bookmarkEnd w:id="2218"/>
      <w:bookmarkEnd w:id="2219"/>
      <w:bookmarkEnd w:id="2220"/>
      <w:bookmarkEnd w:id="2221"/>
    </w:p>
    <w:p w14:paraId="68A38A1B" w14:textId="77777777" w:rsidR="00F67E9E" w:rsidRPr="00666B85" w:rsidRDefault="00F67E9E" w:rsidP="00F13933">
      <w:pPr>
        <w:pStyle w:val="AppendixText1"/>
        <w:numPr>
          <w:ilvl w:val="0"/>
          <w:numId w:val="58"/>
        </w:numPr>
        <w:rPr>
          <w:color w:val="1F497D"/>
        </w:rPr>
      </w:pPr>
      <w:r w:rsidRPr="00666B85">
        <w:rPr>
          <w:color w:val="1F497D"/>
        </w:rPr>
        <w:t>Procedure in the Event of Transfer</w:t>
      </w:r>
    </w:p>
    <w:p w14:paraId="64F61A14" w14:textId="77777777" w:rsidR="00F67E9E" w:rsidRPr="00666B85" w:rsidRDefault="00F67E9E" w:rsidP="00F67E9E">
      <w:pPr>
        <w:pStyle w:val="AppendixText2"/>
      </w:pPr>
      <w:r w:rsidRPr="00025910">
        <w:t xml:space="preserve">The Authority and the Supplier agree that the commencement of the provision of the Services or of any part of the Services </w:t>
      </w:r>
      <w:r>
        <w:t>is not expected to</w:t>
      </w:r>
      <w:r w:rsidRPr="00025910">
        <w:t xml:space="preserve"> be a Relevant Transfer in relation to any </w:t>
      </w:r>
      <w:r w:rsidRPr="00666B85">
        <w:t xml:space="preserve">employees of the Authority and/or any Former Supplier. </w:t>
      </w:r>
    </w:p>
    <w:p w14:paraId="50535D29" w14:textId="77777777" w:rsidR="00F67E9E" w:rsidRPr="00025910" w:rsidRDefault="00F67E9E" w:rsidP="00F67E9E">
      <w:pPr>
        <w:pStyle w:val="AppendixText2"/>
      </w:pPr>
      <w:bookmarkStart w:id="2222" w:name="_Ref_ContractCompanion_9kb9UsAJF"/>
      <w:bookmarkStart w:id="2223" w:name="_9kR3WTrAG9ENLEBTEdmB3s444I9q139CySdTHDO"/>
      <w:r w:rsidRPr="00666B85">
        <w:t>If any employee of the Authority and/or a Former Supplier claims, or it is determined in relation to any employee of the Authority and/or a Former Supplier, that his/her contract of employment has been transferred from the Authority and/or the Former Supplier to the Supplier and/</w:t>
      </w:r>
      <w:r w:rsidRPr="00025910">
        <w:t>or any Sub-contractor pursuant to the Employment Regulations then:</w:t>
      </w:r>
      <w:bookmarkEnd w:id="2222"/>
      <w:bookmarkEnd w:id="2223"/>
    </w:p>
    <w:p w14:paraId="2929DD51" w14:textId="77777777" w:rsidR="00F67E9E" w:rsidRPr="00025910" w:rsidRDefault="00F67E9E" w:rsidP="00F67E9E">
      <w:pPr>
        <w:pStyle w:val="AppendixText3"/>
      </w:pPr>
      <w:bookmarkStart w:id="2224" w:name="_9kR3WTrAGA6689BlqykWhB74ys2H8rw8y15BGz4"/>
      <w:bookmarkStart w:id="2225" w:name="_Ref_ContractCompanion_9kb9Ut21B"/>
      <w:r w:rsidRPr="00025910">
        <w:t>the Supplier shall, and shall procure that the relevant Sub-contractor shall, within 5 Working Days of becoming aware of that fact, give notice in writing to the Authority and, where required by the Authority, give notice to the Former Supplier;</w:t>
      </w:r>
      <w:bookmarkEnd w:id="2224"/>
      <w:r w:rsidRPr="00025910">
        <w:t xml:space="preserve"> and</w:t>
      </w:r>
      <w:bookmarkEnd w:id="2225"/>
    </w:p>
    <w:p w14:paraId="461C23B9" w14:textId="77777777" w:rsidR="00F67E9E" w:rsidRPr="00025910" w:rsidRDefault="00F67E9E" w:rsidP="00F67E9E">
      <w:pPr>
        <w:pStyle w:val="AppendixText3"/>
      </w:pPr>
      <w:bookmarkStart w:id="2226" w:name="_Ref_ContractCompanion_9kb9UsAJC"/>
      <w:bookmarkStart w:id="2227" w:name="_9kR3WTrAG9ENIBBmrykEPF3zA58P7x13IOF1afO"/>
      <w:r w:rsidRPr="00025910">
        <w:t>the Authority and/or the Former Supplier may offer (or may procure that a third party may offer) employment to such person within 15 Working Days of the notification by the Supplier or the Sub-contractor (as appropriate) or take such other reasonable steps as the Authority or Former Supplier (as the case may be) considers appropriate to deal with the matter provided always that such steps are in compliance with applicable Law.</w:t>
      </w:r>
      <w:bookmarkEnd w:id="2226"/>
      <w:bookmarkEnd w:id="2227"/>
    </w:p>
    <w:p w14:paraId="40934BFF" w14:textId="427FB517" w:rsidR="00F67E9E" w:rsidRPr="00666B85" w:rsidRDefault="00F67E9E" w:rsidP="00F67E9E">
      <w:pPr>
        <w:pStyle w:val="AppendixText2"/>
      </w:pPr>
      <w:r w:rsidRPr="00025910">
        <w:t xml:space="preserve">If an offer referred to in </w:t>
      </w:r>
      <w:bookmarkStart w:id="2228" w:name="_9kMHG5YVtCIBGPKDDot0mGRH51C7AR9z35KQH3c"/>
      <w:r w:rsidRPr="00025910">
        <w:t xml:space="preserve">Paragraph </w:t>
      </w:r>
      <w:r w:rsidRPr="00025910">
        <w:fldChar w:fldCharType="begin"/>
      </w:r>
      <w:r w:rsidRPr="00025910">
        <w:instrText xml:space="preserve"> REF _Ref_ContractCompanion_9kb9UsAJC \w \h \t \* MERGEFORMAT </w:instrText>
      </w:r>
      <w:r w:rsidRPr="00025910">
        <w:fldChar w:fldCharType="separate"/>
      </w:r>
      <w:r w:rsidR="007A1473">
        <w:t>1.2.2</w:t>
      </w:r>
      <w:r w:rsidRPr="00025910">
        <w:fldChar w:fldCharType="end"/>
      </w:r>
      <w:bookmarkEnd w:id="2228"/>
      <w:r w:rsidRPr="00025910">
        <w:t xml:space="preserve"> is accepted (or if the situation has otherwise been resolved by the Authority and/or the Former Supplier), the Supplier shall, or shall procure that </w:t>
      </w:r>
      <w:r w:rsidRPr="00666B85">
        <w:t>the Sub-contractor shall, immediately release the person from his/her employment or alleged employment.</w:t>
      </w:r>
    </w:p>
    <w:p w14:paraId="6DD73CAB" w14:textId="2551CBF1" w:rsidR="00F67E9E" w:rsidRPr="00025910" w:rsidRDefault="00F67E9E" w:rsidP="00F67E9E">
      <w:pPr>
        <w:pStyle w:val="AppendixText2"/>
      </w:pPr>
      <w:bookmarkStart w:id="2229" w:name="_9kR3WTrAG9ENOHDVEeyH1nlvvx069vGV1sKH9DC"/>
      <w:bookmarkStart w:id="2230" w:name="_Ref_ContractCompanion_9kb9UsAJI"/>
      <w:r w:rsidRPr="00666B85">
        <w:t>If by t</w:t>
      </w:r>
      <w:r w:rsidRPr="00025910">
        <w:t xml:space="preserve">he end of the 15 Working Day period specified in </w:t>
      </w:r>
      <w:bookmarkStart w:id="2231" w:name="_9kMIH5YVtCIBGPKDDot0mGRH51C7AR9z35KQH3c"/>
      <w:r w:rsidRPr="00025910">
        <w:t xml:space="preserve">Paragraph </w:t>
      </w:r>
      <w:r w:rsidRPr="00025910">
        <w:fldChar w:fldCharType="begin"/>
      </w:r>
      <w:r w:rsidRPr="00025910">
        <w:instrText xml:space="preserve"> REF _Ref_ContractCompanion_9kb9UsAJC \w \h \t \* MERGEFORMAT </w:instrText>
      </w:r>
      <w:r w:rsidRPr="00025910">
        <w:fldChar w:fldCharType="separate"/>
      </w:r>
      <w:r w:rsidR="007A1473">
        <w:t>1.2.2</w:t>
      </w:r>
      <w:r w:rsidRPr="00025910">
        <w:fldChar w:fldCharType="end"/>
      </w:r>
      <w:bookmarkEnd w:id="2231"/>
      <w:r w:rsidRPr="00025910">
        <w:t>:</w:t>
      </w:r>
      <w:bookmarkEnd w:id="2229"/>
      <w:r w:rsidRPr="00025910">
        <w:t xml:space="preserve"> </w:t>
      </w:r>
      <w:bookmarkEnd w:id="2230"/>
    </w:p>
    <w:p w14:paraId="753F4D73" w14:textId="77777777" w:rsidR="00F67E9E" w:rsidRPr="00025910" w:rsidRDefault="00F67E9E" w:rsidP="00F67E9E">
      <w:pPr>
        <w:pStyle w:val="AppendixText3"/>
      </w:pPr>
      <w:r w:rsidRPr="00025910">
        <w:t xml:space="preserve">no such offer of employment has been made; </w:t>
      </w:r>
    </w:p>
    <w:p w14:paraId="188B332F" w14:textId="77777777" w:rsidR="00F67E9E" w:rsidRPr="00025910" w:rsidRDefault="00F67E9E" w:rsidP="00F67E9E">
      <w:pPr>
        <w:pStyle w:val="AppendixText3"/>
      </w:pPr>
      <w:r w:rsidRPr="00025910">
        <w:t>such offer has been made but not accepted; or</w:t>
      </w:r>
    </w:p>
    <w:p w14:paraId="2F375609" w14:textId="77777777" w:rsidR="00F67E9E" w:rsidRPr="00025910" w:rsidRDefault="00F67E9E" w:rsidP="00F67E9E">
      <w:pPr>
        <w:pStyle w:val="AppendixText3"/>
      </w:pPr>
      <w:r w:rsidRPr="00025910">
        <w:t>the situation has not otherwise been resolved,</w:t>
      </w:r>
    </w:p>
    <w:p w14:paraId="78EC6771" w14:textId="77777777" w:rsidR="00F67E9E" w:rsidRPr="00025910" w:rsidRDefault="00F67E9E" w:rsidP="00F67E9E">
      <w:pPr>
        <w:pStyle w:val="StdBodyText2"/>
        <w:rPr>
          <w:rFonts w:cs="Arial"/>
        </w:rPr>
      </w:pPr>
      <w:r w:rsidRPr="00025910">
        <w:rPr>
          <w:rFonts w:cs="Arial"/>
        </w:rPr>
        <w:t>the Supplier and/or the Sub-contractor may within 5 Working Days give notice to terminate the employment or alleged employment of such person.</w:t>
      </w:r>
    </w:p>
    <w:p w14:paraId="20494187" w14:textId="77777777" w:rsidR="00F67E9E" w:rsidRPr="00666B85" w:rsidRDefault="00F67E9E" w:rsidP="00F13933">
      <w:pPr>
        <w:pStyle w:val="AppendixText1"/>
        <w:numPr>
          <w:ilvl w:val="0"/>
          <w:numId w:val="58"/>
        </w:numPr>
        <w:rPr>
          <w:color w:val="1F497D"/>
        </w:rPr>
      </w:pPr>
      <w:r w:rsidRPr="00666B85">
        <w:rPr>
          <w:color w:val="1F497D"/>
        </w:rPr>
        <w:t>Indemnities</w:t>
      </w:r>
    </w:p>
    <w:p w14:paraId="3563AC0A" w14:textId="02E08808" w:rsidR="00F67E9E" w:rsidRPr="00025910" w:rsidRDefault="00F67E9E" w:rsidP="00F67E9E">
      <w:pPr>
        <w:pStyle w:val="AppendixText2"/>
      </w:pPr>
      <w:bookmarkStart w:id="2232" w:name="_Ref_ContractCompanion_9kb9Ut218"/>
      <w:bookmarkStart w:id="2233" w:name="_9kR3WTrAGA65EHBcdtjnhxFBC6sepJFC60A748A"/>
      <w:r w:rsidRPr="00666B85">
        <w:t>Subject</w:t>
      </w:r>
      <w:r w:rsidRPr="00025910">
        <w:t xml:space="preserve"> to the Supplier and/or the relevant Sub-contractor acting in accordance with the provisions of </w:t>
      </w:r>
      <w:bookmarkStart w:id="2234" w:name="_9kMHG5YVtCIBGPNGDVGfoD5u666KBs35BE0UfVJ"/>
      <w:r w:rsidRPr="00025910">
        <w:t xml:space="preserve">Paragraphs </w:t>
      </w:r>
      <w:r w:rsidRPr="00025910">
        <w:fldChar w:fldCharType="begin"/>
      </w:r>
      <w:r w:rsidRPr="00025910">
        <w:instrText xml:space="preserve"> REF _Ref_ContractCompanion_9kb9UsAJF \n \h \t \* MERGEFORMAT </w:instrText>
      </w:r>
      <w:r w:rsidRPr="00025910">
        <w:fldChar w:fldCharType="separate"/>
      </w:r>
      <w:r w:rsidR="007A1473">
        <w:t>1.2</w:t>
      </w:r>
      <w:r w:rsidRPr="00025910">
        <w:fldChar w:fldCharType="end"/>
      </w:r>
      <w:bookmarkEnd w:id="2234"/>
      <w:r w:rsidRPr="00025910">
        <w:t xml:space="preserve"> to </w:t>
      </w:r>
      <w:bookmarkStart w:id="2235" w:name="_9kMHG5YVtCIBGPQJFXGg0J3pnxxz28BxIX3uMJB"/>
      <w:r w:rsidRPr="00025910">
        <w:fldChar w:fldCharType="begin"/>
      </w:r>
      <w:r w:rsidRPr="00025910">
        <w:instrText xml:space="preserve"> REF _Ref_ContractCompanion_9kb9UsAJI \n \h \t \* MERGEFORMAT </w:instrText>
      </w:r>
      <w:r w:rsidRPr="00025910">
        <w:fldChar w:fldCharType="separate"/>
      </w:r>
      <w:r w:rsidR="007A1473">
        <w:t>1.4</w:t>
      </w:r>
      <w:r w:rsidRPr="00025910">
        <w:fldChar w:fldCharType="end"/>
      </w:r>
      <w:bookmarkEnd w:id="2235"/>
      <w:r w:rsidRPr="00025910">
        <w:t xml:space="preserve"> and in accordance with all applicable employment procedures set out in applicable Law and subject also to </w:t>
      </w:r>
      <w:bookmarkStart w:id="2236" w:name="_9kMHG5YVtCIC87ADGiTlnxtlv529Aw7C8qY78yG"/>
      <w:r w:rsidRPr="00025910">
        <w:t xml:space="preserve">Paragraph </w:t>
      </w:r>
      <w:r w:rsidRPr="00025910">
        <w:fldChar w:fldCharType="begin"/>
      </w:r>
      <w:r w:rsidRPr="00025910">
        <w:instrText xml:space="preserve"> REF _Ref_ContractCompanion_9kb9Ut212 \n \h \t \* MERGEFORMAT </w:instrText>
      </w:r>
      <w:r w:rsidRPr="00025910">
        <w:fldChar w:fldCharType="separate"/>
      </w:r>
      <w:r w:rsidR="007A1473">
        <w:t>2.4</w:t>
      </w:r>
      <w:r w:rsidRPr="00025910">
        <w:fldChar w:fldCharType="end"/>
      </w:r>
      <w:bookmarkEnd w:id="2236"/>
      <w:r w:rsidRPr="00025910">
        <w:t>, the Authority shall:</w:t>
      </w:r>
      <w:bookmarkEnd w:id="2232"/>
      <w:bookmarkEnd w:id="2233"/>
    </w:p>
    <w:p w14:paraId="4BCBC6DC" w14:textId="6A5DC40D" w:rsidR="00F67E9E" w:rsidRPr="00025910" w:rsidRDefault="00F67E9E" w:rsidP="00F67E9E">
      <w:pPr>
        <w:pStyle w:val="AppendixText3"/>
      </w:pPr>
      <w:r w:rsidRPr="00025910">
        <w:t xml:space="preserve">indemnify the Supplier and/or the relevant Sub-contractor against all Employee Liabilities arising out of the termination of the employment of any employees of the Authority referred to in </w:t>
      </w:r>
      <w:bookmarkStart w:id="2237" w:name="_9kMIH5YVtCIBGPNGDVGfoD5u666KBs35BE0UfVJ"/>
      <w:r w:rsidRPr="00025910">
        <w:t xml:space="preserve">Paragraph </w:t>
      </w:r>
      <w:r w:rsidRPr="00025910">
        <w:fldChar w:fldCharType="begin"/>
      </w:r>
      <w:r w:rsidRPr="00025910">
        <w:instrText xml:space="preserve"> REF _Ref_ContractCompanion_9kb9UsAJF \n \h \t \* MERGEFORMAT </w:instrText>
      </w:r>
      <w:r w:rsidRPr="00025910">
        <w:fldChar w:fldCharType="separate"/>
      </w:r>
      <w:r w:rsidR="007A1473">
        <w:t>1.2</w:t>
      </w:r>
      <w:r w:rsidRPr="00025910">
        <w:fldChar w:fldCharType="end"/>
      </w:r>
      <w:bookmarkEnd w:id="2237"/>
      <w:r w:rsidRPr="00025910">
        <w:t xml:space="preserve"> made pursuant to the provisions of </w:t>
      </w:r>
      <w:bookmarkStart w:id="2238" w:name="_9kMIH5YVtCIBGPQJFXGg0J3pnxxz28BxIX3uMJB"/>
      <w:r w:rsidRPr="00025910">
        <w:t xml:space="preserve">Paragraph </w:t>
      </w:r>
      <w:r w:rsidRPr="00025910">
        <w:fldChar w:fldCharType="begin"/>
      </w:r>
      <w:r w:rsidRPr="00025910">
        <w:instrText xml:space="preserve"> REF _Ref_ContractCompanion_9kb9UsAJI \n \h \t \* MERGEFORMAT </w:instrText>
      </w:r>
      <w:r w:rsidRPr="00025910">
        <w:fldChar w:fldCharType="separate"/>
      </w:r>
      <w:r w:rsidR="007A1473">
        <w:t>1.4</w:t>
      </w:r>
      <w:r w:rsidRPr="00025910">
        <w:fldChar w:fldCharType="end"/>
      </w:r>
      <w:bookmarkEnd w:id="2238"/>
      <w:r w:rsidRPr="00025910">
        <w:t xml:space="preserve"> provided that the Supplier takes, or shall procure that the </w:t>
      </w:r>
      <w:r w:rsidRPr="00025910">
        <w:lastRenderedPageBreak/>
        <w:t xml:space="preserve">Notified Sub-contractor takes, all reasonable steps to minimise any such Employee Liabilities; and </w:t>
      </w:r>
    </w:p>
    <w:p w14:paraId="6398CDD8" w14:textId="467784EB" w:rsidR="00F67E9E" w:rsidRPr="00025910" w:rsidRDefault="00F67E9E" w:rsidP="00F67E9E">
      <w:pPr>
        <w:pStyle w:val="AppendixText3"/>
      </w:pPr>
      <w:r w:rsidRPr="00025910">
        <w:t xml:space="preserve">procure that the Former Supplier indemnifies the Supplier and/or any Notified Sub-contractor against all Employee Liabilities arising out of termination of the employment of the employees of the Former Supplier referred to in </w:t>
      </w:r>
      <w:bookmarkStart w:id="2239" w:name="_9kMJI5YVtCIBGPNGDVGfoD5u666KBs35BE0UfVJ"/>
      <w:r w:rsidRPr="00025910">
        <w:t xml:space="preserve">Paragraph </w:t>
      </w:r>
      <w:r w:rsidRPr="00025910">
        <w:fldChar w:fldCharType="begin"/>
      </w:r>
      <w:r w:rsidRPr="00025910">
        <w:instrText xml:space="preserve"> REF _Ref_ContractCompanion_9kb9UsAJF \n \h \t \* MERGEFORMAT </w:instrText>
      </w:r>
      <w:r w:rsidRPr="00025910">
        <w:fldChar w:fldCharType="separate"/>
      </w:r>
      <w:r w:rsidR="007A1473">
        <w:t>1.2</w:t>
      </w:r>
      <w:r w:rsidRPr="00025910">
        <w:fldChar w:fldCharType="end"/>
      </w:r>
      <w:bookmarkEnd w:id="2239"/>
      <w:r w:rsidRPr="00025910">
        <w:t xml:space="preserve"> made pursuant to the provisions of </w:t>
      </w:r>
      <w:bookmarkStart w:id="2240" w:name="_9kMJI5YVtCIBGPQJFXGg0J3pnxxz28BxIX3uMJB"/>
      <w:r w:rsidRPr="00025910">
        <w:t xml:space="preserve">Paragraph </w:t>
      </w:r>
      <w:r w:rsidRPr="00025910">
        <w:fldChar w:fldCharType="begin"/>
      </w:r>
      <w:r w:rsidRPr="00025910">
        <w:instrText xml:space="preserve"> REF _Ref_ContractCompanion_9kb9UsAJI \n \h \t \* MERGEFORMAT </w:instrText>
      </w:r>
      <w:r w:rsidRPr="00025910">
        <w:fldChar w:fldCharType="separate"/>
      </w:r>
      <w:r w:rsidR="007A1473">
        <w:t>1.4</w:t>
      </w:r>
      <w:r w:rsidRPr="00025910">
        <w:fldChar w:fldCharType="end"/>
      </w:r>
      <w:bookmarkEnd w:id="2240"/>
      <w:r w:rsidRPr="00025910">
        <w:t xml:space="preserve"> provided that the Supplier takes, or shall procure that the relevant Sub-contractor takes, all reasonable steps to minimise any such Employee Liabilities.</w:t>
      </w:r>
    </w:p>
    <w:p w14:paraId="781DD532" w14:textId="2E77822E" w:rsidR="00F67E9E" w:rsidRPr="00666B85" w:rsidRDefault="00F67E9E" w:rsidP="00F67E9E">
      <w:pPr>
        <w:pStyle w:val="AppendixText2"/>
      </w:pPr>
      <w:bookmarkStart w:id="2241" w:name="_Ref_ContractCompanion_9kb9Ut215"/>
      <w:bookmarkStart w:id="2242" w:name="_9kR3WTrAGA65BECTEdmBHEzn1z2HFBy4DEAxDCC"/>
      <w:r w:rsidRPr="00025910">
        <w:t xml:space="preserve">If any such person as is described in </w:t>
      </w:r>
      <w:bookmarkStart w:id="2243" w:name="_9kMKJ5YVtCIBGPNGDVGfoD5u666KBs35BE0UfVJ"/>
      <w:r w:rsidRPr="00025910">
        <w:t xml:space="preserve">Paragraph </w:t>
      </w:r>
      <w:r w:rsidRPr="00025910">
        <w:fldChar w:fldCharType="begin"/>
      </w:r>
      <w:r w:rsidRPr="00025910">
        <w:instrText xml:space="preserve"> REF _Ref_ContractCompanion_9kb9UsAJF \n \h \t \* MERGEFORMAT </w:instrText>
      </w:r>
      <w:r w:rsidRPr="00025910">
        <w:fldChar w:fldCharType="separate"/>
      </w:r>
      <w:r w:rsidR="007A1473">
        <w:t>1.2</w:t>
      </w:r>
      <w:r w:rsidRPr="00025910">
        <w:fldChar w:fldCharType="end"/>
      </w:r>
      <w:bookmarkEnd w:id="2243"/>
      <w:r w:rsidRPr="00025910">
        <w:t xml:space="preserve"> is neither re employed by the Authority and/or the Former Supplier as appropriate nor dismissed by the Supplier and/or any Sub-contractor within the 15 Working Day period referred to in </w:t>
      </w:r>
      <w:bookmarkStart w:id="2244" w:name="_9kMKJ5YVtCIBGPQJFXGg0J3pnxxz28BxIX3uMJB"/>
      <w:r w:rsidRPr="00025910">
        <w:t xml:space="preserve">Paragraph </w:t>
      </w:r>
      <w:r w:rsidRPr="00025910">
        <w:fldChar w:fldCharType="begin"/>
      </w:r>
      <w:r w:rsidRPr="00025910">
        <w:instrText xml:space="preserve"> REF _Ref_ContractCompanion_9kb9UsAJI \n \h \t \* MERGEFORMAT </w:instrText>
      </w:r>
      <w:r w:rsidRPr="00025910">
        <w:fldChar w:fldCharType="separate"/>
      </w:r>
      <w:r w:rsidR="007A1473">
        <w:t>1.4</w:t>
      </w:r>
      <w:r w:rsidRPr="00025910">
        <w:fldChar w:fldCharType="end"/>
      </w:r>
      <w:bookmarkEnd w:id="2244"/>
      <w:r w:rsidRPr="00025910">
        <w:t xml:space="preserve"> such person shall be treated as having transferred to the Supplier and/or the Sub-contractor (as appropriate) and the Supplier shall, </w:t>
      </w:r>
      <w:bookmarkEnd w:id="2241"/>
      <w:bookmarkEnd w:id="2242"/>
      <w:r w:rsidRPr="0006632F">
        <w:t xml:space="preserve">(a) comply with such obligations as may be imposed upon it under Law and (b) comply with the provisions of </w:t>
      </w:r>
      <w:r>
        <w:fldChar w:fldCharType="begin"/>
      </w:r>
      <w:r>
        <w:instrText xml:space="preserve"> REF Sch28PartD \h </w:instrText>
      </w:r>
      <w:r>
        <w:fldChar w:fldCharType="separate"/>
      </w:r>
      <w:r w:rsidR="007A1473" w:rsidRPr="00025910">
        <w:t>Part D</w:t>
      </w:r>
      <w:r>
        <w:fldChar w:fldCharType="end"/>
      </w:r>
      <w:r w:rsidRPr="0006632F">
        <w:t xml:space="preserve"> (</w:t>
      </w:r>
      <w:r w:rsidRPr="00B6750E">
        <w:rPr>
          <w:i/>
          <w:iCs/>
        </w:rPr>
        <w:fldChar w:fldCharType="begin"/>
      </w:r>
      <w:r w:rsidRPr="00B6750E">
        <w:rPr>
          <w:i/>
          <w:iCs/>
        </w:rPr>
        <w:instrText xml:space="preserve"> REF PartDSchedule28Heading \h </w:instrText>
      </w:r>
      <w:r>
        <w:rPr>
          <w:i/>
          <w:iCs/>
        </w:rPr>
        <w:instrText xml:space="preserve"> \* MERGEFORMAT </w:instrText>
      </w:r>
      <w:r w:rsidRPr="00B6750E">
        <w:rPr>
          <w:i/>
          <w:iCs/>
        </w:rPr>
      </w:r>
      <w:r w:rsidRPr="00B6750E">
        <w:rPr>
          <w:i/>
          <w:iCs/>
        </w:rPr>
        <w:fldChar w:fldCharType="separate"/>
      </w:r>
      <w:r w:rsidR="007A1473" w:rsidRPr="007A1473">
        <w:rPr>
          <w:i/>
          <w:iCs/>
        </w:rPr>
        <w:t>Pensions</w:t>
      </w:r>
      <w:r w:rsidRPr="00B6750E">
        <w:rPr>
          <w:i/>
          <w:iCs/>
        </w:rPr>
        <w:fldChar w:fldCharType="end"/>
      </w:r>
      <w:r w:rsidRPr="0006632F">
        <w:t>) and its Annexes of this Staff Transfer Schedule.</w:t>
      </w:r>
    </w:p>
    <w:p w14:paraId="2B88D76D" w14:textId="104BF932" w:rsidR="00F67E9E" w:rsidRPr="00025910" w:rsidRDefault="00F67E9E" w:rsidP="00F67E9E">
      <w:pPr>
        <w:pStyle w:val="AppendixText2"/>
      </w:pPr>
      <w:r w:rsidRPr="00666B85">
        <w:t>Wh</w:t>
      </w:r>
      <w:r w:rsidRPr="00025910">
        <w:t xml:space="preserve">ere any person remains employed by the Supplier and/or any Sub-contractor pursuant to </w:t>
      </w:r>
      <w:bookmarkStart w:id="2245" w:name="_9kMHG5YVtCIC87DGEVGfoDJG1p314JHD06FGCzF"/>
      <w:r w:rsidRPr="00025910">
        <w:t xml:space="preserve">Paragraph </w:t>
      </w:r>
      <w:r w:rsidRPr="00025910">
        <w:fldChar w:fldCharType="begin"/>
      </w:r>
      <w:r w:rsidRPr="00025910">
        <w:instrText xml:space="preserve"> REF _Ref_ContractCompanion_9kb9Ut215 \n \h \t \* MERGEFORMAT </w:instrText>
      </w:r>
      <w:r w:rsidRPr="00025910">
        <w:fldChar w:fldCharType="separate"/>
      </w:r>
      <w:r w:rsidR="007A1473">
        <w:t>2.2</w:t>
      </w:r>
      <w:r w:rsidRPr="00025910">
        <w:fldChar w:fldCharType="end"/>
      </w:r>
      <w:bookmarkEnd w:id="2245"/>
      <w:r w:rsidRPr="00025910">
        <w:t>, all Employee Liabilities in relation to such employee shall remain with the Supplier and/or the Sub-contractor and the Supplier shall indemnify the Authority and any Former Supplier, and shall procure that the Sub-contractor shall indemnify the Authority and any Former Supplier, against any Employee Liabilities that either of them may incur in respect of any such employees of the Supplier and/or employees of the Sub-contractor.</w:t>
      </w:r>
    </w:p>
    <w:p w14:paraId="3BBD389B" w14:textId="1CCC15C4" w:rsidR="00F67E9E" w:rsidRPr="00025910" w:rsidRDefault="00F67E9E" w:rsidP="00F67E9E">
      <w:pPr>
        <w:pStyle w:val="AppendixText2"/>
      </w:pPr>
      <w:bookmarkStart w:id="2246" w:name="_9kR3WTrAGA658BEgRjlvrjt3078u5A6oW56wE98"/>
      <w:bookmarkStart w:id="2247" w:name="_Ref_ContractCompanion_9kb9Ut212"/>
      <w:r w:rsidRPr="00025910">
        <w:t xml:space="preserve">The indemnities in </w:t>
      </w:r>
      <w:bookmarkStart w:id="2248" w:name="_9kMHG5YVtCIC87GJDefvlpjzHDE8ugrLHE82C96"/>
      <w:r w:rsidRPr="00025910">
        <w:t xml:space="preserve">Paragraph </w:t>
      </w:r>
      <w:r w:rsidRPr="00025910">
        <w:fldChar w:fldCharType="begin"/>
      </w:r>
      <w:r w:rsidRPr="00025910">
        <w:instrText xml:space="preserve"> REF _Ref_ContractCompanion_9kb9Ut218 \n \h \t \* MERGEFORMAT </w:instrText>
      </w:r>
      <w:r w:rsidRPr="00025910">
        <w:fldChar w:fldCharType="separate"/>
      </w:r>
      <w:r w:rsidR="007A1473">
        <w:t>2.1</w:t>
      </w:r>
      <w:r w:rsidRPr="00025910">
        <w:fldChar w:fldCharType="end"/>
      </w:r>
      <w:bookmarkEnd w:id="2248"/>
      <w:r w:rsidRPr="00025910">
        <w:t>:</w:t>
      </w:r>
      <w:bookmarkEnd w:id="2246"/>
      <w:r w:rsidRPr="00025910">
        <w:t xml:space="preserve"> </w:t>
      </w:r>
      <w:bookmarkEnd w:id="2247"/>
    </w:p>
    <w:p w14:paraId="65315B23" w14:textId="77777777" w:rsidR="00F67E9E" w:rsidRPr="00025910" w:rsidRDefault="00F67E9E" w:rsidP="00F67E9E">
      <w:pPr>
        <w:pStyle w:val="AppendixText3"/>
      </w:pPr>
      <w:r w:rsidRPr="00025910">
        <w:t>shall not apply to:</w:t>
      </w:r>
    </w:p>
    <w:p w14:paraId="31823CD6" w14:textId="77777777" w:rsidR="00F67E9E" w:rsidRPr="00025910" w:rsidRDefault="00F67E9E" w:rsidP="00F67E9E">
      <w:pPr>
        <w:pStyle w:val="AppendixText4"/>
      </w:pPr>
      <w:r w:rsidRPr="00025910">
        <w:t>any claim for:</w:t>
      </w:r>
    </w:p>
    <w:p w14:paraId="6C649F87" w14:textId="77777777" w:rsidR="00F67E9E" w:rsidRPr="00025910" w:rsidRDefault="00F67E9E" w:rsidP="00F67E9E">
      <w:pPr>
        <w:pStyle w:val="AppendixText5"/>
        <w:tabs>
          <w:tab w:val="clear" w:pos="3600"/>
          <w:tab w:val="num" w:pos="3243"/>
        </w:tabs>
        <w:ind w:left="3243"/>
      </w:pPr>
      <w:r w:rsidRPr="00025910">
        <w:t>discrimination, including on the grounds of sex, race, disability, age, gender reassignment, marriage or civil partnership, pregnancy and maternity or sexual orientation, religion or belief; or</w:t>
      </w:r>
    </w:p>
    <w:p w14:paraId="6B48EA50" w14:textId="77777777" w:rsidR="00F67E9E" w:rsidRPr="00025910" w:rsidRDefault="00F67E9E" w:rsidP="00F67E9E">
      <w:pPr>
        <w:pStyle w:val="AppendixText5"/>
        <w:tabs>
          <w:tab w:val="clear" w:pos="3600"/>
          <w:tab w:val="num" w:pos="3243"/>
        </w:tabs>
        <w:ind w:left="3243"/>
      </w:pPr>
      <w:r w:rsidRPr="00025910">
        <w:t>equal pay or compensation for less favourable treatment of part-time workers or fixed-term employees,</w:t>
      </w:r>
    </w:p>
    <w:p w14:paraId="6751EB08" w14:textId="77777777" w:rsidR="00F67E9E" w:rsidRPr="00025910" w:rsidRDefault="00F67E9E" w:rsidP="00F67E9E">
      <w:pPr>
        <w:pStyle w:val="StdBodyText5"/>
      </w:pPr>
      <w:r w:rsidRPr="00025910">
        <w:t>in any case in relation to any alleged act or omission of the Supplier and/or any Sub-contractor; or</w:t>
      </w:r>
    </w:p>
    <w:p w14:paraId="4CB2885E" w14:textId="77777777" w:rsidR="00F67E9E" w:rsidRPr="00025910" w:rsidRDefault="00F67E9E" w:rsidP="00F67E9E">
      <w:pPr>
        <w:pStyle w:val="AppendixText4"/>
      </w:pPr>
      <w:r w:rsidRPr="00025910">
        <w:t>any claim that the termination of employment was unfair because the Supplier and/or any Sub-contractor neglected to follow a fair dismissal procedure; and</w:t>
      </w:r>
    </w:p>
    <w:p w14:paraId="78265EA7" w14:textId="5E3F6C9D" w:rsidR="00F67E9E" w:rsidRPr="00025910" w:rsidRDefault="00F67E9E" w:rsidP="00F67E9E">
      <w:pPr>
        <w:pStyle w:val="AppendixText3"/>
      </w:pPr>
      <w:r w:rsidRPr="00025910">
        <w:t xml:space="preserve">shall apply only where the notification referred to in </w:t>
      </w:r>
      <w:bookmarkStart w:id="2249" w:name="_9kMHG5YVtCIC88ABDns0mYjD960u4JAtyA037DI"/>
      <w:r w:rsidRPr="00025910">
        <w:t xml:space="preserve">Paragraph </w:t>
      </w:r>
      <w:r w:rsidRPr="00025910">
        <w:fldChar w:fldCharType="begin"/>
      </w:r>
      <w:r w:rsidRPr="00025910">
        <w:instrText xml:space="preserve"> REF _Ref_ContractCompanion_9kb9Ut21B \w \h \t \* MERGEFORMAT </w:instrText>
      </w:r>
      <w:r w:rsidRPr="00025910">
        <w:fldChar w:fldCharType="separate"/>
      </w:r>
      <w:r w:rsidR="007A1473">
        <w:t>1.2.1</w:t>
      </w:r>
      <w:r w:rsidRPr="00025910">
        <w:fldChar w:fldCharType="end"/>
      </w:r>
      <w:bookmarkEnd w:id="2249"/>
      <w:r w:rsidRPr="00025910">
        <w:t xml:space="preserve"> is made by the Supplier and/or any Sub-contractor to the Authority and, if applicable, Former Supplier within 6 months of the </w:t>
      </w:r>
      <w:r>
        <w:t>Relevant Transfer Date</w:t>
      </w:r>
      <w:r w:rsidRPr="00025910">
        <w:t>.</w:t>
      </w:r>
    </w:p>
    <w:p w14:paraId="730A2B12" w14:textId="77777777" w:rsidR="00F67E9E" w:rsidRPr="00666B85" w:rsidRDefault="00F67E9E" w:rsidP="00F13933">
      <w:pPr>
        <w:pStyle w:val="AppendixText1"/>
        <w:numPr>
          <w:ilvl w:val="0"/>
          <w:numId w:val="58"/>
        </w:numPr>
        <w:rPr>
          <w:color w:val="1F497D"/>
        </w:rPr>
      </w:pPr>
      <w:r w:rsidRPr="00666B85">
        <w:rPr>
          <w:color w:val="1F497D"/>
        </w:rPr>
        <w:lastRenderedPageBreak/>
        <w:t>Procurement Obligations</w:t>
      </w:r>
    </w:p>
    <w:p w14:paraId="68233BDC" w14:textId="65FFE6AA" w:rsidR="00F67E9E" w:rsidRPr="00025910" w:rsidRDefault="00F67E9E" w:rsidP="00F67E9E">
      <w:pPr>
        <w:pStyle w:val="AppendixText2"/>
      </w:pPr>
      <w:r w:rsidRPr="00025910">
        <w:t xml:space="preserve">Where in this </w:t>
      </w:r>
      <w:r w:rsidRPr="00025910">
        <w:rPr>
          <w:rFonts w:eastAsia="Calibri"/>
          <w:bCs/>
          <w:iCs/>
        </w:rPr>
        <w:fldChar w:fldCharType="begin"/>
      </w:r>
      <w:r w:rsidRPr="00025910">
        <w:rPr>
          <w:rFonts w:eastAsia="Calibri"/>
          <w:bCs/>
          <w:iCs/>
        </w:rPr>
        <w:instrText xml:space="preserve"> REF Sch28PartC \h  \* MERGEFORMAT </w:instrText>
      </w:r>
      <w:r w:rsidRPr="00025910">
        <w:rPr>
          <w:rFonts w:eastAsia="Calibri"/>
          <w:bCs/>
          <w:iCs/>
        </w:rPr>
      </w:r>
      <w:r w:rsidRPr="00025910">
        <w:rPr>
          <w:rFonts w:eastAsia="Calibri"/>
          <w:bCs/>
          <w:iCs/>
        </w:rPr>
        <w:fldChar w:fldCharType="separate"/>
      </w:r>
      <w:r w:rsidR="007A1473" w:rsidRPr="007A1473">
        <w:rPr>
          <w:bCs/>
          <w:iCs/>
        </w:rPr>
        <w:t>Part C</w:t>
      </w:r>
      <w:r w:rsidRPr="00025910">
        <w:rPr>
          <w:rFonts w:eastAsia="Calibri"/>
          <w:bCs/>
          <w:iCs/>
        </w:rPr>
        <w:fldChar w:fldCharType="end"/>
      </w:r>
      <w:r w:rsidRPr="00025910">
        <w:t xml:space="preserve"> the Authority accepts an obligation to procure that a Former Supplier does or does not do something, such obligation shall be limited so that it extends only to the extent that the Authority</w:t>
      </w:r>
      <w:r>
        <w:t>’</w:t>
      </w:r>
      <w:r w:rsidRPr="00025910">
        <w:t>s contract with the Former Supplier contains a contractual right in that regard which the Authority may enforce, or otherwise so that it requires only that the Authority must use reasonable endeavours to procure that the Former Supplier does or does not act accordingly.</w:t>
      </w:r>
    </w:p>
    <w:p w14:paraId="2ABC5D89" w14:textId="77777777" w:rsidR="00F67E9E" w:rsidRDefault="00F67E9E" w:rsidP="00F67E9E">
      <w:pPr>
        <w:rPr>
          <w:rFonts w:eastAsia="Times New Roman" w:cs="Arial"/>
          <w:szCs w:val="24"/>
          <w:lang w:eastAsia="en-GB"/>
        </w:rPr>
      </w:pPr>
    </w:p>
    <w:p w14:paraId="175D18DA" w14:textId="77777777" w:rsidR="00F67E9E" w:rsidRPr="00A6113A" w:rsidRDefault="00F67E9E" w:rsidP="00F67E9E">
      <w:pPr>
        <w:pStyle w:val="Heading2"/>
        <w:pageBreakBefore/>
      </w:pPr>
      <w:bookmarkStart w:id="2250" w:name="Sch28PartD"/>
      <w:bookmarkStart w:id="2251" w:name="_Ref_ContractCompanion_9kb9Ur499"/>
      <w:bookmarkStart w:id="2252" w:name="_Ref_ContractCompanion_9kb9Ur4A8"/>
      <w:bookmarkStart w:id="2253" w:name="_Ref_ContractCompanion_9kb9Ur4AA"/>
      <w:bookmarkStart w:id="2254" w:name="_Ref_ContractCompanion_9kb9Ur4AC"/>
      <w:bookmarkStart w:id="2255" w:name="_Ref_ContractCompanion_9kb9Ur4AE"/>
      <w:bookmarkStart w:id="2256" w:name="_Ref_ContractCompanion_9kb9Us465"/>
      <w:bookmarkStart w:id="2257" w:name="_Ref_ContractCompanion_9kb9Us467"/>
      <w:bookmarkStart w:id="2258" w:name="_Ref_ContractCompanion_9kb9Us469"/>
      <w:bookmarkStart w:id="2259" w:name="_Ref_ContractCompanion_9kb9Us46B"/>
      <w:bookmarkStart w:id="2260" w:name="_Ref_ContractCompanion_9kb9Us46D"/>
      <w:bookmarkStart w:id="2261" w:name="_Ref_ContractCompanion_9kb9Us476"/>
      <w:bookmarkStart w:id="2262" w:name="_Ref_ContractCompanion_9kb9Us478"/>
      <w:bookmarkStart w:id="2263" w:name="_9kR3WTrAG98BEeJfifw5qFQKjPyIf687MIFLQ"/>
      <w:bookmarkStart w:id="2264" w:name="_Ref_ContractCompanion_9kb9Us9DF"/>
      <w:bookmarkStart w:id="2265" w:name="_Ref_ContractCompanion_9kb9Ut25E"/>
      <w:bookmarkStart w:id="2266" w:name="_Ref_ContractCompanion_9kb9Ut267"/>
      <w:bookmarkStart w:id="2267" w:name="_9kR3WTr29B7FLfJfifw5qFQKjPyIf687MIFLQ"/>
      <w:bookmarkStart w:id="2268" w:name="_Toc145412821"/>
      <w:r w:rsidRPr="00025910">
        <w:lastRenderedPageBreak/>
        <w:t>Part D</w:t>
      </w:r>
      <w:bookmarkEnd w:id="2250"/>
      <w:r w:rsidRPr="00025910">
        <w:t xml:space="preserve">: </w:t>
      </w:r>
      <w:bookmarkStart w:id="2269" w:name="PartDSchedule28Heading"/>
      <w:r w:rsidRPr="00025910">
        <w:t>Pensions</w:t>
      </w:r>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p>
    <w:p w14:paraId="698F32FE" w14:textId="77777777" w:rsidR="00F67E9E" w:rsidRPr="00C542C5" w:rsidRDefault="00F67E9E" w:rsidP="00F13933">
      <w:pPr>
        <w:pStyle w:val="AppendixText1"/>
        <w:numPr>
          <w:ilvl w:val="0"/>
          <w:numId w:val="59"/>
        </w:numPr>
        <w:rPr>
          <w:color w:val="1F497D"/>
        </w:rPr>
      </w:pPr>
      <w:r w:rsidRPr="00C542C5">
        <w:rPr>
          <w:color w:val="1F497D"/>
        </w:rPr>
        <w:t>Definitions</w:t>
      </w:r>
    </w:p>
    <w:p w14:paraId="35A42546" w14:textId="793B4634" w:rsidR="00F67E9E" w:rsidRPr="00025910" w:rsidRDefault="00F67E9E" w:rsidP="00F67E9E">
      <w:pPr>
        <w:pStyle w:val="AppendixText2"/>
      </w:pPr>
      <w:r w:rsidRPr="00025910">
        <w:t xml:space="preserve">In this </w:t>
      </w: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 xml:space="preserve"> and </w:t>
      </w:r>
      <w:bookmarkStart w:id="2270" w:name="_9kMNM5YVt4DDABGgGp9X"/>
      <w:bookmarkStart w:id="2271" w:name="_9kMLK5YVt4BD9HJdLhkhy7sHSMlR0Kiy7JJJXWD"/>
      <w:r w:rsidRPr="00025910">
        <w:fldChar w:fldCharType="begin"/>
      </w:r>
      <w:r w:rsidRPr="00025910">
        <w:instrText xml:space="preserve"> REF Sch28PartE \h  \* MERGEFORMAT </w:instrText>
      </w:r>
      <w:r w:rsidRPr="00025910">
        <w:fldChar w:fldCharType="separate"/>
      </w:r>
      <w:r w:rsidR="007A1473" w:rsidRPr="007A1473">
        <w:t>Part E</w:t>
      </w:r>
      <w:r w:rsidRPr="00025910">
        <w:fldChar w:fldCharType="end"/>
      </w:r>
      <w:bookmarkEnd w:id="2270"/>
      <w:bookmarkEnd w:id="2271"/>
      <w:r w:rsidRPr="00025910">
        <w:t xml:space="preserve">, the following words have the following meanings and they shall supplement </w:t>
      </w:r>
      <w:r>
        <w:fldChar w:fldCharType="begin"/>
      </w:r>
      <w:r>
        <w:instrText xml:space="preserve"> REF Schedule1 \h </w:instrText>
      </w:r>
      <w:r>
        <w:fldChar w:fldCharType="separate"/>
      </w:r>
      <w:r w:rsidR="007A1473" w:rsidRPr="00724541">
        <w:t>Schedule</w:t>
      </w:r>
      <w:r w:rsidR="007A1473">
        <w:t> </w:t>
      </w:r>
      <w:r w:rsidR="007A1473" w:rsidRPr="00724541">
        <w:t>1</w:t>
      </w:r>
      <w:r>
        <w:fldChar w:fldCharType="end"/>
      </w:r>
      <w:r w:rsidRPr="00724541">
        <w:t xml:space="preserve"> (</w:t>
      </w:r>
      <w:r w:rsidRPr="0087475A">
        <w:rPr>
          <w:i/>
          <w:iCs/>
        </w:rPr>
        <w:fldChar w:fldCharType="begin"/>
      </w:r>
      <w:r w:rsidRPr="0087475A">
        <w:rPr>
          <w:i/>
          <w:iCs/>
        </w:rPr>
        <w:instrText xml:space="preserve"> REF Schedule1Heading \h  \* MERGEFORMAT </w:instrText>
      </w:r>
      <w:r w:rsidRPr="0087475A">
        <w:rPr>
          <w:i/>
          <w:iCs/>
        </w:rPr>
      </w:r>
      <w:r w:rsidRPr="0087475A">
        <w:rPr>
          <w:i/>
          <w:iCs/>
        </w:rPr>
        <w:fldChar w:fldCharType="separate"/>
      </w:r>
      <w:r w:rsidR="007A1473" w:rsidRPr="007A1473">
        <w:rPr>
          <w:i/>
          <w:iCs/>
        </w:rPr>
        <w:t>Definitions</w:t>
      </w:r>
      <w:r w:rsidRPr="0087475A">
        <w:rPr>
          <w:i/>
          <w:iCs/>
        </w:rPr>
        <w:fldChar w:fldCharType="end"/>
      </w:r>
      <w:r w:rsidRPr="00724541">
        <w:t>)</w:t>
      </w:r>
      <w:r w:rsidRPr="00025910">
        <w:t xml:space="preserve">, and shall be deemed to include the definitions set out in </w:t>
      </w:r>
      <w:r w:rsidRPr="00C542C5">
        <w:t>the</w:t>
      </w:r>
      <w:r w:rsidRPr="00025910">
        <w:t xml:space="preserve"> Annexes to this </w:t>
      </w: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w:t>
      </w:r>
    </w:p>
    <w:tbl>
      <w:tblPr>
        <w:tblStyle w:val="MSAdefinitions"/>
        <w:tblW w:w="9628" w:type="dxa"/>
        <w:tblLook w:val="04A0" w:firstRow="1" w:lastRow="0" w:firstColumn="1" w:lastColumn="0" w:noHBand="0" w:noVBand="1"/>
      </w:tblPr>
      <w:tblGrid>
        <w:gridCol w:w="2835"/>
        <w:gridCol w:w="6793"/>
      </w:tblGrid>
      <w:tr w:rsidR="00F67E9E" w:rsidRPr="00025910" w14:paraId="754306BF" w14:textId="77777777" w:rsidTr="0052486C">
        <w:tc>
          <w:tcPr>
            <w:tcW w:w="2835" w:type="dxa"/>
          </w:tcPr>
          <w:p w14:paraId="7536B097" w14:textId="77777777" w:rsidR="00F67E9E" w:rsidRPr="00025910" w:rsidRDefault="00F67E9E" w:rsidP="0052486C">
            <w:pPr>
              <w:pStyle w:val="StdBodyTextBold"/>
              <w:rPr>
                <w:rFonts w:cs="Arial"/>
              </w:rPr>
            </w:pPr>
            <w:r>
              <w:rPr>
                <w:rFonts w:cs="Arial"/>
              </w:rPr>
              <w:t>“</w:t>
            </w:r>
            <w:r w:rsidRPr="00025910">
              <w:rPr>
                <w:rFonts w:cs="Arial"/>
              </w:rPr>
              <w:t>Actuary</w:t>
            </w:r>
            <w:r>
              <w:rPr>
                <w:rFonts w:cs="Arial"/>
              </w:rPr>
              <w:t>”</w:t>
            </w:r>
          </w:p>
        </w:tc>
        <w:tc>
          <w:tcPr>
            <w:tcW w:w="6793" w:type="dxa"/>
          </w:tcPr>
          <w:p w14:paraId="4E21799B" w14:textId="77777777" w:rsidR="00F67E9E" w:rsidRPr="00025910" w:rsidRDefault="00F67E9E" w:rsidP="0052486C">
            <w:pPr>
              <w:pStyle w:val="StdBodyText"/>
              <w:rPr>
                <w:rFonts w:cs="Arial"/>
              </w:rPr>
            </w:pPr>
            <w:r w:rsidRPr="00025910">
              <w:rPr>
                <w:rFonts w:cs="Arial"/>
              </w:rPr>
              <w:t>a Fellow of the Institute and Faculty of Actuaries;</w:t>
            </w:r>
          </w:p>
        </w:tc>
      </w:tr>
      <w:tr w:rsidR="00F67E9E" w:rsidRPr="00025910" w14:paraId="686FD298" w14:textId="77777777" w:rsidTr="0052486C">
        <w:tc>
          <w:tcPr>
            <w:tcW w:w="2835" w:type="dxa"/>
          </w:tcPr>
          <w:p w14:paraId="2766CC9E" w14:textId="77777777" w:rsidR="00F67E9E" w:rsidRPr="00025910" w:rsidRDefault="00F67E9E" w:rsidP="0052486C">
            <w:pPr>
              <w:pStyle w:val="StdBodyTextBold"/>
              <w:rPr>
                <w:rFonts w:cs="Arial"/>
              </w:rPr>
            </w:pPr>
            <w:r>
              <w:rPr>
                <w:rFonts w:cs="Arial"/>
              </w:rPr>
              <w:t>“</w:t>
            </w:r>
            <w:r w:rsidRPr="00025910">
              <w:rPr>
                <w:rFonts w:cs="Arial"/>
              </w:rPr>
              <w:t>Best Value Direction</w:t>
            </w:r>
            <w:r>
              <w:rPr>
                <w:rFonts w:cs="Arial"/>
              </w:rPr>
              <w:t>”</w:t>
            </w:r>
          </w:p>
        </w:tc>
        <w:tc>
          <w:tcPr>
            <w:tcW w:w="6793" w:type="dxa"/>
          </w:tcPr>
          <w:p w14:paraId="2DC48D5C" w14:textId="77777777" w:rsidR="00F67E9E" w:rsidRPr="00025910" w:rsidRDefault="00F67E9E" w:rsidP="0052486C">
            <w:pPr>
              <w:pStyle w:val="StdBodyText"/>
              <w:rPr>
                <w:rFonts w:cs="Arial"/>
              </w:rPr>
            </w:pPr>
            <w:r w:rsidRPr="00025910">
              <w:rPr>
                <w:rFonts w:cs="Arial"/>
              </w:rPr>
              <w:t>the Best Value Authorities Staff Transfers (Pensions) Direction 2007 or the Welsh Authorities Staff Transfers (Pensions) Direction 2012 (as appropriate);</w:t>
            </w:r>
          </w:p>
        </w:tc>
      </w:tr>
      <w:tr w:rsidR="00F67E9E" w:rsidRPr="00025910" w14:paraId="6FB13BF8" w14:textId="77777777" w:rsidTr="0052486C">
        <w:tc>
          <w:tcPr>
            <w:tcW w:w="2835" w:type="dxa"/>
          </w:tcPr>
          <w:p w14:paraId="24EEF8B2" w14:textId="77777777" w:rsidR="00F67E9E" w:rsidRPr="00025910" w:rsidRDefault="00F67E9E" w:rsidP="0052486C">
            <w:pPr>
              <w:pStyle w:val="StdBodyTextBold"/>
              <w:rPr>
                <w:rFonts w:cs="Arial"/>
              </w:rPr>
            </w:pPr>
            <w:r>
              <w:rPr>
                <w:rFonts w:cs="Arial"/>
              </w:rPr>
              <w:t>“</w:t>
            </w:r>
            <w:r w:rsidRPr="00025910">
              <w:rPr>
                <w:rFonts w:cs="Arial"/>
              </w:rPr>
              <w:t>Broadly Comparable</w:t>
            </w:r>
            <w:r>
              <w:rPr>
                <w:rFonts w:cs="Arial"/>
              </w:rPr>
              <w:t>”</w:t>
            </w:r>
          </w:p>
        </w:tc>
        <w:tc>
          <w:tcPr>
            <w:tcW w:w="6793" w:type="dxa"/>
          </w:tcPr>
          <w:p w14:paraId="7EC79895" w14:textId="77777777" w:rsidR="00F67E9E" w:rsidRPr="00C542C5" w:rsidRDefault="00F67E9E" w:rsidP="00F13933">
            <w:pPr>
              <w:pStyle w:val="DefinitionList"/>
              <w:numPr>
                <w:ilvl w:val="0"/>
                <w:numId w:val="168"/>
              </w:numPr>
            </w:pPr>
            <w:r w:rsidRPr="00C542C5">
              <w:t xml:space="preserve">in respect of a pension scheme, a status satisfying the condition that there are no identifiable employees who will suffer material detriment overall in terms of future accrual of pension benefits as assessed in accordance with </w:t>
            </w:r>
            <w:bookmarkStart w:id="2272" w:name="_9kR3WTr2CC7BBJCwozW"/>
            <w:r w:rsidRPr="00C542C5">
              <w:t>Annex A</w:t>
            </w:r>
            <w:bookmarkEnd w:id="2272"/>
            <w:r w:rsidRPr="00C542C5">
              <w:t xml:space="preserve"> of New Fair Deal and demonstrated by the issue by the Government Actuary’s Department of a broad comparability certificate; and/or</w:t>
            </w:r>
          </w:p>
          <w:p w14:paraId="4A3576C0" w14:textId="77777777" w:rsidR="00F67E9E" w:rsidRPr="00025910" w:rsidRDefault="00F67E9E" w:rsidP="00F13933">
            <w:pPr>
              <w:pStyle w:val="DefinitionList"/>
              <w:numPr>
                <w:ilvl w:val="0"/>
                <w:numId w:val="78"/>
              </w:numPr>
            </w:pPr>
            <w:r w:rsidRPr="00C542C5">
              <w:t>in respect</w:t>
            </w:r>
            <w:r w:rsidRPr="00025910">
              <w:t xml:space="preserve"> of benefits provided for or in respect of a member </w:t>
            </w:r>
            <w:r w:rsidRPr="007216EA">
              <w:t>under</w:t>
            </w:r>
            <w:r w:rsidRPr="00025910">
              <w:t xml:space="preserve"> a pension scheme, benefits that are consistent with that pension scheme</w:t>
            </w:r>
            <w:r>
              <w:t>’</w:t>
            </w:r>
            <w:r w:rsidRPr="00025910">
              <w:t>s certificate of broad comparability issued by the Government Actuary</w:t>
            </w:r>
            <w:r>
              <w:t>’</w:t>
            </w:r>
            <w:r w:rsidRPr="00025910">
              <w:t>s Department,</w:t>
            </w:r>
          </w:p>
          <w:p w14:paraId="00198FE0" w14:textId="77777777" w:rsidR="00F67E9E" w:rsidRPr="00025910" w:rsidRDefault="00F67E9E" w:rsidP="0052486C">
            <w:pPr>
              <w:pStyle w:val="StdBodyText"/>
              <w:rPr>
                <w:rFonts w:cs="Arial"/>
              </w:rPr>
            </w:pPr>
            <w:r w:rsidRPr="00025910">
              <w:rPr>
                <w:rFonts w:cs="Arial"/>
              </w:rPr>
              <w:t xml:space="preserve">and </w:t>
            </w:r>
            <w:r>
              <w:rPr>
                <w:rFonts w:cs="Arial"/>
              </w:rPr>
              <w:t>“</w:t>
            </w:r>
            <w:r w:rsidRPr="00025910">
              <w:rPr>
                <w:rStyle w:val="StdBodyTextBoldChar"/>
                <w:rFonts w:cs="Arial"/>
              </w:rPr>
              <w:t>Broad Comparability</w:t>
            </w:r>
            <w:r>
              <w:rPr>
                <w:rFonts w:cs="Arial"/>
              </w:rPr>
              <w:t>”</w:t>
            </w:r>
            <w:r w:rsidRPr="00025910">
              <w:rPr>
                <w:rFonts w:cs="Arial"/>
              </w:rPr>
              <w:t xml:space="preserve"> shall be construed accordingly;</w:t>
            </w:r>
          </w:p>
        </w:tc>
      </w:tr>
      <w:tr w:rsidR="00F67E9E" w:rsidRPr="00025910" w14:paraId="7066E66A" w14:textId="77777777" w:rsidTr="0052486C">
        <w:tc>
          <w:tcPr>
            <w:tcW w:w="2835" w:type="dxa"/>
          </w:tcPr>
          <w:p w14:paraId="7D5690C1" w14:textId="77777777" w:rsidR="00F67E9E" w:rsidRPr="00025910" w:rsidRDefault="00F67E9E" w:rsidP="0052486C">
            <w:pPr>
              <w:pStyle w:val="StdBodyTextBold"/>
              <w:rPr>
                <w:rFonts w:cs="Arial"/>
              </w:rPr>
            </w:pPr>
            <w:r>
              <w:rPr>
                <w:rFonts w:cs="Arial"/>
              </w:rPr>
              <w:t>“</w:t>
            </w:r>
            <w:r w:rsidRPr="00025910">
              <w:rPr>
                <w:rFonts w:cs="Arial"/>
              </w:rPr>
              <w:t>CSPS</w:t>
            </w:r>
            <w:r>
              <w:rPr>
                <w:rFonts w:cs="Arial"/>
              </w:rPr>
              <w:t>”</w:t>
            </w:r>
          </w:p>
        </w:tc>
        <w:tc>
          <w:tcPr>
            <w:tcW w:w="6793" w:type="dxa"/>
          </w:tcPr>
          <w:p w14:paraId="7CFC26BC" w14:textId="19C0B425" w:rsidR="00F67E9E" w:rsidRPr="00025910" w:rsidRDefault="00F67E9E" w:rsidP="0052486C">
            <w:pPr>
              <w:pStyle w:val="StdBodyText"/>
              <w:rPr>
                <w:rFonts w:cs="Arial"/>
              </w:rPr>
            </w:pPr>
            <w:r w:rsidRPr="00025910">
              <w:rPr>
                <w:rFonts w:cs="Arial"/>
              </w:rPr>
              <w:t xml:space="preserve">the schemes as defined in Annex </w:t>
            </w:r>
            <w:r w:rsidRPr="00025910">
              <w:rPr>
                <w:rFonts w:cs="Arial"/>
              </w:rPr>
              <w:fldChar w:fldCharType="begin"/>
            </w:r>
            <w:r w:rsidRPr="00025910">
              <w:rPr>
                <w:rFonts w:cs="Arial"/>
              </w:rPr>
              <w:instrText xml:space="preserve"> REF ANNEXD1_SCHEDULE28 \h  \* MERGEFORMAT </w:instrText>
            </w:r>
            <w:r w:rsidRPr="00025910">
              <w:rPr>
                <w:rFonts w:cs="Arial"/>
              </w:rPr>
            </w:r>
            <w:r w:rsidRPr="00025910">
              <w:rPr>
                <w:rFonts w:cs="Arial"/>
              </w:rPr>
              <w:fldChar w:fldCharType="separate"/>
            </w:r>
            <w:r w:rsidR="007A1473" w:rsidRPr="007A1473">
              <w:rPr>
                <w:rFonts w:cs="Arial"/>
              </w:rPr>
              <w:t>D1</w:t>
            </w:r>
            <w:r w:rsidRPr="00025910">
              <w:rPr>
                <w:rFonts w:cs="Arial"/>
              </w:rPr>
              <w:fldChar w:fldCharType="end"/>
            </w:r>
            <w:r w:rsidRPr="00025910">
              <w:rPr>
                <w:rFonts w:cs="Arial"/>
              </w:rPr>
              <w:t xml:space="preserve"> to this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cs="Arial"/>
              </w:rPr>
              <w:t>;</w:t>
            </w:r>
          </w:p>
        </w:tc>
      </w:tr>
      <w:tr w:rsidR="00F67E9E" w:rsidRPr="00025910" w14:paraId="6DC97385" w14:textId="77777777" w:rsidTr="0052486C">
        <w:tc>
          <w:tcPr>
            <w:tcW w:w="2835" w:type="dxa"/>
          </w:tcPr>
          <w:p w14:paraId="36A274E8" w14:textId="77777777" w:rsidR="00F67E9E" w:rsidRPr="00025910" w:rsidRDefault="00F67E9E" w:rsidP="0052486C">
            <w:pPr>
              <w:pStyle w:val="StdBodyTextBold"/>
              <w:rPr>
                <w:rFonts w:cs="Arial"/>
              </w:rPr>
            </w:pPr>
            <w:r>
              <w:rPr>
                <w:rFonts w:cs="Arial"/>
              </w:rPr>
              <w:t>“</w:t>
            </w:r>
            <w:r w:rsidRPr="00025910">
              <w:rPr>
                <w:rFonts w:cs="Arial"/>
              </w:rPr>
              <w:t>Direction Letter/Determination</w:t>
            </w:r>
            <w:r>
              <w:rPr>
                <w:rFonts w:cs="Arial"/>
              </w:rPr>
              <w:t>”</w:t>
            </w:r>
          </w:p>
        </w:tc>
        <w:tc>
          <w:tcPr>
            <w:tcW w:w="6793" w:type="dxa"/>
          </w:tcPr>
          <w:p w14:paraId="116BC0A0" w14:textId="30E2C24A" w:rsidR="00F67E9E" w:rsidRPr="00025910" w:rsidRDefault="00F67E9E" w:rsidP="0052486C">
            <w:pPr>
              <w:pStyle w:val="StdBodyText"/>
              <w:rPr>
                <w:rFonts w:cs="Arial"/>
              </w:rPr>
            </w:pPr>
            <w:r w:rsidRPr="00025910">
              <w:rPr>
                <w:rFonts w:cs="Arial"/>
              </w:rPr>
              <w:t xml:space="preserve">has the meaning in Annex </w:t>
            </w:r>
            <w:r w:rsidRPr="00025910">
              <w:rPr>
                <w:rFonts w:cs="Arial"/>
              </w:rPr>
              <w:fldChar w:fldCharType="begin"/>
            </w:r>
            <w:r w:rsidRPr="00025910">
              <w:rPr>
                <w:rFonts w:cs="Arial"/>
              </w:rPr>
              <w:instrText xml:space="preserve"> REF ANNEXD2_SCHEDULE28 \h  \* MERGEFORMAT </w:instrText>
            </w:r>
            <w:r w:rsidRPr="00025910">
              <w:rPr>
                <w:rFonts w:cs="Arial"/>
              </w:rPr>
            </w:r>
            <w:r w:rsidRPr="00025910">
              <w:rPr>
                <w:rFonts w:cs="Arial"/>
              </w:rPr>
              <w:fldChar w:fldCharType="separate"/>
            </w:r>
            <w:r w:rsidR="007A1473" w:rsidRPr="007A1473">
              <w:rPr>
                <w:rFonts w:cs="Arial"/>
              </w:rPr>
              <w:t>D2</w:t>
            </w:r>
            <w:r w:rsidRPr="00025910">
              <w:rPr>
                <w:rFonts w:cs="Arial"/>
              </w:rPr>
              <w:fldChar w:fldCharType="end"/>
            </w:r>
            <w:r w:rsidRPr="00025910">
              <w:rPr>
                <w:rFonts w:cs="Arial"/>
              </w:rPr>
              <w:t xml:space="preserve"> to this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cs="Arial"/>
              </w:rPr>
              <w:t>;</w:t>
            </w:r>
          </w:p>
        </w:tc>
      </w:tr>
      <w:tr w:rsidR="00F67E9E" w:rsidRPr="00025910" w14:paraId="6B3A4F7F" w14:textId="77777777" w:rsidTr="0052486C">
        <w:tc>
          <w:tcPr>
            <w:tcW w:w="2835" w:type="dxa"/>
          </w:tcPr>
          <w:p w14:paraId="64619466" w14:textId="77777777" w:rsidR="00F67E9E" w:rsidRPr="00025910" w:rsidRDefault="00F67E9E" w:rsidP="0052486C">
            <w:pPr>
              <w:pStyle w:val="StdBodyTextBold"/>
              <w:rPr>
                <w:rFonts w:cs="Arial"/>
              </w:rPr>
            </w:pPr>
            <w:r>
              <w:rPr>
                <w:rFonts w:cs="Arial"/>
              </w:rPr>
              <w:t>“</w:t>
            </w:r>
            <w:r w:rsidRPr="00025910">
              <w:rPr>
                <w:rFonts w:cs="Arial"/>
              </w:rPr>
              <w:t>Fair Deal Eligible Employees</w:t>
            </w:r>
            <w:r>
              <w:rPr>
                <w:rFonts w:cs="Arial"/>
              </w:rPr>
              <w:t>”</w:t>
            </w:r>
          </w:p>
        </w:tc>
        <w:tc>
          <w:tcPr>
            <w:tcW w:w="6793" w:type="dxa"/>
          </w:tcPr>
          <w:p w14:paraId="0E86FA3B" w14:textId="1E329EC3" w:rsidR="00F67E9E" w:rsidRPr="00025910" w:rsidRDefault="00F67E9E" w:rsidP="0052486C">
            <w:pPr>
              <w:pStyle w:val="StdBodyText"/>
              <w:rPr>
                <w:rFonts w:cs="Arial"/>
              </w:rPr>
            </w:pPr>
            <w:r w:rsidRPr="00025910">
              <w:rPr>
                <w:rFonts w:cs="Arial"/>
              </w:rPr>
              <w:t xml:space="preserve">means each of the CSPS Eligible Employees </w:t>
            </w:r>
            <w:r w:rsidRPr="00025910">
              <w:t xml:space="preserve">(as defined in </w:t>
            </w:r>
            <w:r w:rsidRPr="00025910">
              <w:rPr>
                <w:rFonts w:eastAsia="Arial"/>
              </w:rPr>
              <w:t>Annex </w:t>
            </w:r>
            <w:r w:rsidRPr="00025910">
              <w:rPr>
                <w:rFonts w:cs="Arial"/>
              </w:rPr>
              <w:fldChar w:fldCharType="begin"/>
            </w:r>
            <w:r w:rsidRPr="00025910">
              <w:rPr>
                <w:rFonts w:cs="Arial"/>
              </w:rPr>
              <w:instrText xml:space="preserve"> REF ANNEXD1_SCHEDULE28 \h  \* MERGEFORMAT </w:instrText>
            </w:r>
            <w:r w:rsidRPr="00025910">
              <w:rPr>
                <w:rFonts w:cs="Arial"/>
              </w:rPr>
            </w:r>
            <w:r w:rsidRPr="00025910">
              <w:rPr>
                <w:rFonts w:cs="Arial"/>
              </w:rPr>
              <w:fldChar w:fldCharType="separate"/>
            </w:r>
            <w:r w:rsidR="007A1473" w:rsidRPr="007A1473">
              <w:rPr>
                <w:rFonts w:cs="Arial"/>
              </w:rPr>
              <w:t>D1</w:t>
            </w:r>
            <w:r w:rsidRPr="00025910">
              <w:rPr>
                <w:rFonts w:cs="Arial"/>
              </w:rPr>
              <w:fldChar w:fldCharType="end"/>
            </w:r>
            <w:r w:rsidRPr="00025910">
              <w:rPr>
                <w:rFonts w:eastAsia="Arial"/>
              </w:rPr>
              <w:t xml:space="preserve"> to this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eastAsia="Arial"/>
              </w:rPr>
              <w:t>)</w:t>
            </w:r>
            <w:r w:rsidRPr="00025910">
              <w:rPr>
                <w:rFonts w:cs="Arial"/>
              </w:rPr>
              <w:t xml:space="preserve">, the NHSPS Eligible Employees </w:t>
            </w:r>
            <w:r w:rsidRPr="00025910">
              <w:t xml:space="preserve">(as defined in </w:t>
            </w:r>
            <w:r w:rsidRPr="00025910">
              <w:rPr>
                <w:rFonts w:eastAsia="Arial"/>
              </w:rPr>
              <w:t>Annex </w:t>
            </w:r>
            <w:r w:rsidRPr="00025910">
              <w:rPr>
                <w:rFonts w:cs="Arial"/>
              </w:rPr>
              <w:fldChar w:fldCharType="begin"/>
            </w:r>
            <w:r w:rsidRPr="00025910">
              <w:rPr>
                <w:rFonts w:cs="Arial"/>
              </w:rPr>
              <w:instrText xml:space="preserve"> REF ANNEXD2_SCHEDULE28 \h  \* MERGEFORMAT </w:instrText>
            </w:r>
            <w:r w:rsidRPr="00025910">
              <w:rPr>
                <w:rFonts w:cs="Arial"/>
              </w:rPr>
            </w:r>
            <w:r w:rsidRPr="00025910">
              <w:rPr>
                <w:rFonts w:cs="Arial"/>
              </w:rPr>
              <w:fldChar w:fldCharType="separate"/>
            </w:r>
            <w:r w:rsidR="007A1473" w:rsidRPr="007A1473">
              <w:rPr>
                <w:rFonts w:cs="Arial"/>
              </w:rPr>
              <w:t>D2</w:t>
            </w:r>
            <w:r w:rsidRPr="00025910">
              <w:rPr>
                <w:rFonts w:cs="Arial"/>
              </w:rPr>
              <w:fldChar w:fldCharType="end"/>
            </w:r>
            <w:r w:rsidRPr="00025910">
              <w:rPr>
                <w:rFonts w:eastAsia="Arial"/>
              </w:rPr>
              <w:t xml:space="preserve"> to this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eastAsia="Arial"/>
              </w:rPr>
              <w:t>)</w:t>
            </w:r>
            <w:r w:rsidRPr="00025910">
              <w:rPr>
                <w:rFonts w:cs="Arial"/>
              </w:rPr>
              <w:t xml:space="preserve"> and/or the LGPS</w:t>
            </w:r>
            <w:r>
              <w:rPr>
                <w:rFonts w:cs="Arial"/>
              </w:rPr>
              <w:t xml:space="preserve"> </w:t>
            </w:r>
            <w:r w:rsidRPr="00025910">
              <w:rPr>
                <w:rFonts w:cs="Arial"/>
              </w:rPr>
              <w:t xml:space="preserve">Eligible Employees </w:t>
            </w:r>
            <w:r w:rsidRPr="00025910">
              <w:t xml:space="preserve">(as defined in </w:t>
            </w:r>
            <w:r w:rsidRPr="00025910">
              <w:rPr>
                <w:rFonts w:eastAsia="Arial"/>
              </w:rPr>
              <w:t>Annex </w:t>
            </w:r>
            <w:r w:rsidRPr="00025910">
              <w:rPr>
                <w:rFonts w:eastAsia="Arial"/>
              </w:rPr>
              <w:fldChar w:fldCharType="begin"/>
            </w:r>
            <w:r w:rsidRPr="00025910">
              <w:rPr>
                <w:rFonts w:eastAsia="Arial"/>
              </w:rPr>
              <w:instrText xml:space="preserve"> REF ANNEXD3_SCHEDULE28 \h  \* MERGEFORMAT </w:instrText>
            </w:r>
            <w:r w:rsidRPr="00025910">
              <w:rPr>
                <w:rFonts w:eastAsia="Arial"/>
              </w:rPr>
            </w:r>
            <w:r w:rsidRPr="00025910">
              <w:rPr>
                <w:rFonts w:eastAsia="Arial"/>
              </w:rPr>
              <w:fldChar w:fldCharType="separate"/>
            </w:r>
            <w:r w:rsidR="007A1473" w:rsidRPr="007A1473">
              <w:rPr>
                <w:rFonts w:cs="Arial"/>
              </w:rPr>
              <w:t>D3</w:t>
            </w:r>
            <w:r w:rsidRPr="00025910">
              <w:rPr>
                <w:rFonts w:eastAsia="Arial"/>
              </w:rPr>
              <w:fldChar w:fldCharType="end"/>
            </w:r>
            <w:r w:rsidRPr="00025910">
              <w:rPr>
                <w:rFonts w:eastAsia="Arial"/>
              </w:rPr>
              <w:t xml:space="preserve"> to this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eastAsia="Arial"/>
              </w:rPr>
              <w:t>)</w:t>
            </w:r>
            <w:r w:rsidRPr="00025910">
              <w:rPr>
                <w:rFonts w:cs="Arial"/>
              </w:rPr>
              <w:t xml:space="preserve"> (as applicable) (and shall include any such employee who has been admitted to and/or remains eligible to join a Broadly Comparable pension scheme at the relevant time in accordance with </w:t>
            </w:r>
            <w:bookmarkStart w:id="2273" w:name="_9kR3WTr2CC7CBxknoewrqyBI"/>
            <w:r w:rsidRPr="00025910">
              <w:rPr>
                <w:rFonts w:cs="Arial"/>
              </w:rPr>
              <w:t xml:space="preserve">Paragraph </w:t>
            </w:r>
            <w:r w:rsidRPr="00025910">
              <w:rPr>
                <w:rFonts w:cs="Arial"/>
              </w:rPr>
              <w:fldChar w:fldCharType="begin"/>
            </w:r>
            <w:r w:rsidRPr="00025910">
              <w:rPr>
                <w:rFonts w:cs="Arial"/>
              </w:rPr>
              <w:instrText xml:space="preserve"> REF _Ref_ContractCompanion_9kb9Ur378 \w \n \h \t \* MERGEFORMAT </w:instrText>
            </w:r>
            <w:r w:rsidRPr="00025910">
              <w:rPr>
                <w:rFonts w:cs="Arial"/>
              </w:rPr>
            </w:r>
            <w:r w:rsidRPr="00025910">
              <w:rPr>
                <w:rFonts w:cs="Arial"/>
              </w:rPr>
              <w:fldChar w:fldCharType="separate"/>
            </w:r>
            <w:bookmarkStart w:id="2274" w:name="_9kMHG5YVt4BD9HMgLhkhy7sHSMlR0KhkRcBP9zB"/>
            <w:r w:rsidR="007A1473">
              <w:rPr>
                <w:rFonts w:cs="Arial"/>
              </w:rPr>
              <w:t>10</w:t>
            </w:r>
            <w:bookmarkEnd w:id="2274"/>
            <w:r w:rsidRPr="00025910">
              <w:rPr>
                <w:rFonts w:cs="Arial"/>
              </w:rPr>
              <w:fldChar w:fldCharType="end"/>
            </w:r>
            <w:bookmarkEnd w:id="2273"/>
            <w:r w:rsidRPr="00025910">
              <w:rPr>
                <w:rFonts w:cs="Arial"/>
              </w:rPr>
              <w:t xml:space="preserve"> or </w:t>
            </w:r>
            <w:bookmarkStart w:id="2275" w:name="_9kR3WTr2CC7CGEA"/>
            <w:r w:rsidRPr="00025910">
              <w:rPr>
                <w:rFonts w:cs="Arial"/>
              </w:rPr>
              <w:fldChar w:fldCharType="begin"/>
            </w:r>
            <w:r w:rsidRPr="00025910">
              <w:rPr>
                <w:rFonts w:cs="Arial"/>
              </w:rPr>
              <w:instrText xml:space="preserve"> REF _Ref_ContractCompanion_9kb9Ur388 \w \n \h \t \* MERGEFORMAT </w:instrText>
            </w:r>
            <w:r w:rsidRPr="00025910">
              <w:rPr>
                <w:rFonts w:cs="Arial"/>
              </w:rPr>
            </w:r>
            <w:r w:rsidRPr="00025910">
              <w:rPr>
                <w:rFonts w:cs="Arial"/>
              </w:rPr>
              <w:fldChar w:fldCharType="separate"/>
            </w:r>
            <w:bookmarkStart w:id="2276" w:name="_9kMHG5YVt4BD9HLfLhkhy7sHSMlR0KhkSdBP9zB"/>
            <w:r w:rsidR="007A1473">
              <w:rPr>
                <w:rFonts w:cs="Arial"/>
              </w:rPr>
              <w:t>11</w:t>
            </w:r>
            <w:bookmarkEnd w:id="2276"/>
            <w:r w:rsidRPr="00025910">
              <w:rPr>
                <w:rFonts w:cs="Arial"/>
              </w:rPr>
              <w:fldChar w:fldCharType="end"/>
            </w:r>
            <w:bookmarkEnd w:id="2275"/>
            <w:r w:rsidRPr="00025910">
              <w:rPr>
                <w:rFonts w:cs="Arial"/>
              </w:rPr>
              <w:t xml:space="preserve"> of this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cs="Arial"/>
              </w:rPr>
              <w:t>);</w:t>
            </w:r>
          </w:p>
        </w:tc>
      </w:tr>
      <w:tr w:rsidR="00F67E9E" w:rsidRPr="00025910" w14:paraId="1244DD75" w14:textId="77777777" w:rsidTr="0052486C">
        <w:tc>
          <w:tcPr>
            <w:tcW w:w="2835" w:type="dxa"/>
          </w:tcPr>
          <w:p w14:paraId="37089F77" w14:textId="77777777" w:rsidR="00F67E9E" w:rsidRPr="00025910" w:rsidRDefault="00F67E9E" w:rsidP="0052486C">
            <w:pPr>
              <w:pStyle w:val="StdBodyTextBold"/>
              <w:rPr>
                <w:rFonts w:cs="Arial"/>
              </w:rPr>
            </w:pPr>
            <w:r>
              <w:rPr>
                <w:rFonts w:cs="Arial"/>
              </w:rPr>
              <w:t>“</w:t>
            </w:r>
            <w:r w:rsidRPr="00025910">
              <w:rPr>
                <w:rFonts w:cs="Arial"/>
              </w:rPr>
              <w:t>Fair Deal Employees</w:t>
            </w:r>
            <w:r>
              <w:rPr>
                <w:rFonts w:cs="Arial"/>
              </w:rPr>
              <w:t>”</w:t>
            </w:r>
          </w:p>
        </w:tc>
        <w:tc>
          <w:tcPr>
            <w:tcW w:w="6793" w:type="dxa"/>
          </w:tcPr>
          <w:p w14:paraId="60DA7A76" w14:textId="77777777" w:rsidR="00F67E9E" w:rsidRPr="00025910" w:rsidRDefault="00F67E9E" w:rsidP="0052486C">
            <w:pPr>
              <w:pStyle w:val="StdBodyText"/>
              <w:rPr>
                <w:rFonts w:cs="Arial"/>
              </w:rPr>
            </w:pPr>
            <w:r w:rsidRPr="00025910">
              <w:rPr>
                <w:rFonts w:cs="Arial"/>
              </w:rPr>
              <w:t>any of:</w:t>
            </w:r>
          </w:p>
          <w:p w14:paraId="3898DFBA" w14:textId="77777777" w:rsidR="00F67E9E" w:rsidRPr="007216EA" w:rsidRDefault="00F67E9E" w:rsidP="00F13933">
            <w:pPr>
              <w:pStyle w:val="DefinitionList"/>
              <w:numPr>
                <w:ilvl w:val="0"/>
                <w:numId w:val="169"/>
              </w:numPr>
              <w:rPr>
                <w:rFonts w:cs="Arial"/>
              </w:rPr>
            </w:pPr>
            <w:r w:rsidRPr="007216EA">
              <w:rPr>
                <w:rFonts w:cs="Arial"/>
              </w:rPr>
              <w:t xml:space="preserve">Transferring Authority Employees; </w:t>
            </w:r>
          </w:p>
          <w:p w14:paraId="5BCBBAC2" w14:textId="77777777" w:rsidR="00F67E9E" w:rsidRPr="00025910" w:rsidRDefault="00F67E9E" w:rsidP="00F13933">
            <w:pPr>
              <w:pStyle w:val="DefinitionList"/>
              <w:numPr>
                <w:ilvl w:val="0"/>
                <w:numId w:val="78"/>
              </w:numPr>
              <w:rPr>
                <w:rFonts w:cs="Arial"/>
              </w:rPr>
            </w:pPr>
            <w:r w:rsidRPr="00025910">
              <w:rPr>
                <w:rFonts w:cs="Arial"/>
              </w:rPr>
              <w:t>Transferring Former Supplier Employees; and/or</w:t>
            </w:r>
          </w:p>
          <w:p w14:paraId="31C89CAA" w14:textId="5A1422CB" w:rsidR="00F67E9E" w:rsidRPr="00025910" w:rsidRDefault="00F67E9E" w:rsidP="00F13933">
            <w:pPr>
              <w:pStyle w:val="DefinitionList"/>
              <w:numPr>
                <w:ilvl w:val="0"/>
                <w:numId w:val="78"/>
              </w:numPr>
              <w:rPr>
                <w:rFonts w:cs="Arial"/>
              </w:rPr>
            </w:pPr>
            <w:r w:rsidRPr="00025910">
              <w:rPr>
                <w:rFonts w:cs="Arial"/>
              </w:rPr>
              <w:lastRenderedPageBreak/>
              <w:t xml:space="preserve">employees who are not Transferring Authority Employees or Transferring Former Supplier Employees but to whom the Employment Regulations apply on the Relevant Transfer Date to transfer their employment to the Supplier or a Sub-Contractor, and whose employment is not terminated in accordance with the provisions of </w:t>
            </w:r>
            <w:bookmarkStart w:id="2277" w:name="_9kR3WTr2CC7CH3knoewrqy2ONz"/>
            <w:r w:rsidRPr="006F18B1">
              <w:rPr>
                <w:rFonts w:cs="Arial"/>
              </w:rPr>
              <w:t>Paragraph 2.</w:t>
            </w:r>
            <w:bookmarkEnd w:id="2277"/>
            <w:r w:rsidRPr="006F18B1">
              <w:rPr>
                <w:rFonts w:cs="Arial"/>
              </w:rPr>
              <w:t xml:space="preserve">5 of </w:t>
            </w:r>
            <w:bookmarkStart w:id="2278" w:name="_9kR3WTr2BD66BaEn79R"/>
            <w:r>
              <w:rPr>
                <w:rFonts w:cs="Arial"/>
              </w:rPr>
              <w:fldChar w:fldCharType="begin"/>
            </w:r>
            <w:r>
              <w:rPr>
                <w:rFonts w:cs="Arial"/>
              </w:rPr>
              <w:instrText xml:space="preserve"> REF Sch28PartA \h </w:instrText>
            </w:r>
            <w:r>
              <w:rPr>
                <w:rFonts w:cs="Arial"/>
              </w:rPr>
            </w:r>
            <w:r>
              <w:rPr>
                <w:rFonts w:cs="Arial"/>
              </w:rPr>
              <w:fldChar w:fldCharType="separate"/>
            </w:r>
            <w:r w:rsidR="007A1473" w:rsidRPr="000038E2">
              <w:t xml:space="preserve">Part </w:t>
            </w:r>
            <w:r w:rsidR="007A1473" w:rsidRPr="00FA4BBC">
              <w:t>A</w:t>
            </w:r>
            <w:r>
              <w:rPr>
                <w:rFonts w:cs="Arial"/>
              </w:rPr>
              <w:fldChar w:fldCharType="end"/>
            </w:r>
            <w:bookmarkEnd w:id="2278"/>
            <w:r w:rsidRPr="006F18B1">
              <w:rPr>
                <w:rFonts w:cs="Arial"/>
              </w:rPr>
              <w:t xml:space="preserve"> or </w:t>
            </w:r>
            <w:r>
              <w:rPr>
                <w:rFonts w:cs="Arial"/>
              </w:rPr>
              <w:fldChar w:fldCharType="begin"/>
            </w:r>
            <w:r>
              <w:rPr>
                <w:rFonts w:cs="Arial"/>
              </w:rPr>
              <w:instrText xml:space="preserve"> REF Sch28PartB \h </w:instrText>
            </w:r>
            <w:r>
              <w:rPr>
                <w:rFonts w:cs="Arial"/>
              </w:rPr>
            </w:r>
            <w:r>
              <w:rPr>
                <w:rFonts w:cs="Arial"/>
              </w:rPr>
              <w:fldChar w:fldCharType="separate"/>
            </w:r>
            <w:r w:rsidR="007A1473" w:rsidRPr="00025910">
              <w:t>Part B</w:t>
            </w:r>
            <w:r>
              <w:rPr>
                <w:rFonts w:cs="Arial"/>
              </w:rPr>
              <w:fldChar w:fldCharType="end"/>
            </w:r>
            <w:r w:rsidRPr="006F18B1">
              <w:rPr>
                <w:rFonts w:cs="Arial"/>
              </w:rPr>
              <w:t xml:space="preserve"> or</w:t>
            </w:r>
            <w:r w:rsidRPr="00025910">
              <w:rPr>
                <w:rFonts w:cs="Arial"/>
              </w:rPr>
              <w:t xml:space="preserve"> </w:t>
            </w:r>
            <w:bookmarkStart w:id="2279" w:name="_9kR3WTr2CC7CI4knoewrqyBKx"/>
            <w:r w:rsidRPr="00025910">
              <w:rPr>
                <w:rFonts w:cs="Arial"/>
              </w:rPr>
              <w:t xml:space="preserve">Paragraph </w:t>
            </w:r>
            <w:bookmarkEnd w:id="2279"/>
            <w:r w:rsidRPr="00025910">
              <w:rPr>
                <w:rFonts w:cs="Arial"/>
              </w:rPr>
              <w:fldChar w:fldCharType="begin"/>
            </w:r>
            <w:r w:rsidRPr="00025910">
              <w:rPr>
                <w:rFonts w:cs="Arial"/>
              </w:rPr>
              <w:instrText xml:space="preserve"> REF _9kR3WTrAG9ENOHDVEeyH1nlvvx069vGV1sKH9DC \r \h  \* MERGEFORMAT </w:instrText>
            </w:r>
            <w:r w:rsidRPr="00025910">
              <w:rPr>
                <w:rFonts w:cs="Arial"/>
              </w:rPr>
            </w:r>
            <w:r w:rsidRPr="00025910">
              <w:rPr>
                <w:rFonts w:cs="Arial"/>
              </w:rPr>
              <w:fldChar w:fldCharType="separate"/>
            </w:r>
            <w:r w:rsidR="007A1473">
              <w:rPr>
                <w:rFonts w:cs="Arial"/>
              </w:rPr>
              <w:t>1.4</w:t>
            </w:r>
            <w:r w:rsidRPr="00025910">
              <w:rPr>
                <w:rFonts w:cs="Arial"/>
              </w:rPr>
              <w:fldChar w:fldCharType="end"/>
            </w:r>
            <w:r w:rsidRPr="00025910">
              <w:rPr>
                <w:rFonts w:cs="Arial"/>
              </w:rPr>
              <w:t xml:space="preserve"> of </w:t>
            </w:r>
            <w:r w:rsidRPr="00025910">
              <w:rPr>
                <w:rFonts w:eastAsia="Calibri"/>
                <w:bCs/>
                <w:iCs/>
              </w:rPr>
              <w:fldChar w:fldCharType="begin"/>
            </w:r>
            <w:r w:rsidRPr="00025910">
              <w:rPr>
                <w:rFonts w:eastAsia="Calibri"/>
                <w:bCs/>
                <w:iCs/>
              </w:rPr>
              <w:instrText xml:space="preserve"> REF Sch28PartC \h  \* MERGEFORMAT </w:instrText>
            </w:r>
            <w:r w:rsidRPr="00025910">
              <w:rPr>
                <w:rFonts w:eastAsia="Calibri"/>
                <w:bCs/>
                <w:iCs/>
              </w:rPr>
            </w:r>
            <w:r w:rsidRPr="00025910">
              <w:rPr>
                <w:rFonts w:eastAsia="Calibri"/>
                <w:bCs/>
                <w:iCs/>
              </w:rPr>
              <w:fldChar w:fldCharType="separate"/>
            </w:r>
            <w:r w:rsidR="007A1473" w:rsidRPr="007A1473">
              <w:rPr>
                <w:rFonts w:cs="Arial"/>
                <w:bCs/>
                <w:iCs/>
              </w:rPr>
              <w:t>Part C</w:t>
            </w:r>
            <w:r w:rsidRPr="00025910">
              <w:rPr>
                <w:rFonts w:eastAsia="Calibri"/>
                <w:bCs/>
                <w:iCs/>
              </w:rPr>
              <w:fldChar w:fldCharType="end"/>
            </w:r>
            <w:r w:rsidRPr="00025910">
              <w:rPr>
                <w:rFonts w:cs="Arial"/>
              </w:rPr>
              <w:t>;</w:t>
            </w:r>
          </w:p>
          <w:p w14:paraId="782EE6B8" w14:textId="77777777" w:rsidR="00F67E9E" w:rsidRPr="00025910" w:rsidRDefault="00F67E9E" w:rsidP="00F13933">
            <w:pPr>
              <w:pStyle w:val="DefinitionList"/>
              <w:numPr>
                <w:ilvl w:val="0"/>
                <w:numId w:val="78"/>
              </w:numPr>
              <w:rPr>
                <w:rFonts w:cs="Arial"/>
              </w:rPr>
            </w:pPr>
            <w:r w:rsidRPr="00025910">
              <w:rPr>
                <w:rFonts w:cs="Arial"/>
              </w:rPr>
              <w:t>where the Supplier or a Sub-contractor was the Former Supplier, the employees of the Supplier (or Sub-contractor)</w:t>
            </w:r>
            <w:r>
              <w:rPr>
                <w:rFonts w:cs="Arial"/>
              </w:rPr>
              <w:t>;</w:t>
            </w:r>
          </w:p>
          <w:p w14:paraId="3A560D31" w14:textId="04FCFEE8" w:rsidR="00F67E9E" w:rsidRPr="00025910" w:rsidRDefault="00F67E9E" w:rsidP="00B55153">
            <w:pPr>
              <w:pStyle w:val="DefinitionList"/>
              <w:numPr>
                <w:ilvl w:val="0"/>
                <w:numId w:val="0"/>
              </w:numPr>
              <w:ind w:left="720"/>
              <w:rPr>
                <w:rFonts w:cs="Arial"/>
              </w:rPr>
            </w:pPr>
            <w:r w:rsidRPr="00025910">
              <w:rPr>
                <w:rFonts w:cs="Arial"/>
              </w:rPr>
              <w:t xml:space="preserve">who at the Relevant Transfer Date are or become entitled to New Fair Deal or Best Value Direction protection in respect of any of the Statutory Schemes or a Broadly Comparable pension scheme provided in accordance with </w:t>
            </w:r>
            <w:bookmarkStart w:id="2280" w:name="_9kMHG5YVt4EE9EDzmpqgyts0DK"/>
            <w:r w:rsidRPr="00025910">
              <w:rPr>
                <w:rFonts w:cs="Arial"/>
              </w:rPr>
              <w:t xml:space="preserve">Paragraph </w:t>
            </w:r>
            <w:r w:rsidRPr="00025910">
              <w:rPr>
                <w:rFonts w:cs="Arial"/>
              </w:rPr>
              <w:fldChar w:fldCharType="begin"/>
            </w:r>
            <w:r w:rsidRPr="00025910">
              <w:rPr>
                <w:rFonts w:cs="Arial"/>
              </w:rPr>
              <w:instrText xml:space="preserve"> REF _Ref_ContractCompanion_9kb9Ur37A \w \n \h \t \* MERGEFORMAT </w:instrText>
            </w:r>
            <w:r w:rsidRPr="00025910">
              <w:rPr>
                <w:rFonts w:cs="Arial"/>
              </w:rPr>
            </w:r>
            <w:r w:rsidRPr="00025910">
              <w:rPr>
                <w:rFonts w:cs="Arial"/>
              </w:rPr>
              <w:fldChar w:fldCharType="separate"/>
            </w:r>
            <w:bookmarkStart w:id="2281" w:name="_9kMIH5YVt4BD9HMgLhkhy7sHSMlR0KhkRcBP9zB"/>
            <w:r w:rsidR="007A1473">
              <w:rPr>
                <w:rFonts w:cs="Arial"/>
              </w:rPr>
              <w:t>10</w:t>
            </w:r>
            <w:bookmarkEnd w:id="2281"/>
            <w:r w:rsidRPr="00025910">
              <w:rPr>
                <w:rFonts w:cs="Arial"/>
              </w:rPr>
              <w:fldChar w:fldCharType="end"/>
            </w:r>
            <w:bookmarkEnd w:id="2280"/>
            <w:r w:rsidRPr="00025910">
              <w:rPr>
                <w:rFonts w:cs="Arial"/>
              </w:rPr>
              <w:t xml:space="preserve"> of this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cs="Arial"/>
              </w:rPr>
              <w:t xml:space="preserve"> as notified by the Authority;</w:t>
            </w:r>
          </w:p>
        </w:tc>
      </w:tr>
      <w:tr w:rsidR="00F67E9E" w:rsidRPr="00025910" w14:paraId="598ACD31" w14:textId="77777777" w:rsidTr="0052486C">
        <w:tc>
          <w:tcPr>
            <w:tcW w:w="2835" w:type="dxa"/>
          </w:tcPr>
          <w:p w14:paraId="76F07E02" w14:textId="77777777" w:rsidR="00F67E9E" w:rsidRPr="00025910" w:rsidRDefault="00F67E9E" w:rsidP="0052486C">
            <w:pPr>
              <w:pStyle w:val="StdBodyTextBold"/>
              <w:rPr>
                <w:rFonts w:cs="Arial"/>
              </w:rPr>
            </w:pPr>
            <w:r>
              <w:rPr>
                <w:rFonts w:cs="Arial"/>
              </w:rPr>
              <w:lastRenderedPageBreak/>
              <w:t>“</w:t>
            </w:r>
            <w:r w:rsidRPr="00025910">
              <w:rPr>
                <w:rFonts w:cs="Arial"/>
              </w:rPr>
              <w:t>Fund Actuary</w:t>
            </w:r>
            <w:r>
              <w:rPr>
                <w:rFonts w:cs="Arial"/>
              </w:rPr>
              <w:t>”</w:t>
            </w:r>
          </w:p>
        </w:tc>
        <w:tc>
          <w:tcPr>
            <w:tcW w:w="6793" w:type="dxa"/>
          </w:tcPr>
          <w:p w14:paraId="031F0EE3" w14:textId="1EDCFEA8" w:rsidR="00F67E9E" w:rsidRPr="00025910" w:rsidRDefault="00F67E9E" w:rsidP="0052486C">
            <w:pPr>
              <w:pStyle w:val="StdBodyText"/>
              <w:rPr>
                <w:rFonts w:cs="Arial"/>
              </w:rPr>
            </w:pPr>
            <w:r w:rsidRPr="00025910">
              <w:rPr>
                <w:rFonts w:cs="Arial"/>
              </w:rPr>
              <w:t xml:space="preserve">a Fund Actuary as defined in Annex </w:t>
            </w:r>
            <w:r w:rsidRPr="00025910">
              <w:rPr>
                <w:rFonts w:cs="Arial"/>
                <w:sz w:val="22"/>
                <w:szCs w:val="22"/>
              </w:rPr>
              <w:fldChar w:fldCharType="begin"/>
            </w:r>
            <w:r w:rsidRPr="00025910">
              <w:rPr>
                <w:rFonts w:cs="Arial"/>
                <w:sz w:val="22"/>
                <w:szCs w:val="22"/>
              </w:rPr>
              <w:instrText xml:space="preserve"> REF ANNEXD3_SCHEDULE28 \h  \* MERGEFORMAT </w:instrText>
            </w:r>
            <w:r w:rsidRPr="00025910">
              <w:rPr>
                <w:rFonts w:cs="Arial"/>
                <w:sz w:val="22"/>
                <w:szCs w:val="22"/>
              </w:rPr>
            </w:r>
            <w:r w:rsidRPr="00025910">
              <w:rPr>
                <w:rFonts w:cs="Arial"/>
                <w:sz w:val="22"/>
                <w:szCs w:val="22"/>
              </w:rPr>
              <w:fldChar w:fldCharType="separate"/>
            </w:r>
            <w:r w:rsidR="007A1473" w:rsidRPr="007A1473">
              <w:rPr>
                <w:rFonts w:cs="Arial"/>
                <w:sz w:val="22"/>
                <w:szCs w:val="22"/>
              </w:rPr>
              <w:t>D3</w:t>
            </w:r>
            <w:r w:rsidRPr="00025910">
              <w:rPr>
                <w:rFonts w:cs="Arial"/>
                <w:sz w:val="22"/>
                <w:szCs w:val="22"/>
              </w:rPr>
              <w:fldChar w:fldCharType="end"/>
            </w:r>
            <w:r w:rsidRPr="00025910">
              <w:rPr>
                <w:rFonts w:cs="Arial"/>
              </w:rPr>
              <w:t xml:space="preserve"> to this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cs="Arial"/>
              </w:rPr>
              <w:t>;</w:t>
            </w:r>
          </w:p>
        </w:tc>
      </w:tr>
      <w:tr w:rsidR="00F67E9E" w:rsidRPr="00025910" w14:paraId="72E1DF93" w14:textId="77777777" w:rsidTr="0052486C">
        <w:tc>
          <w:tcPr>
            <w:tcW w:w="2835" w:type="dxa"/>
          </w:tcPr>
          <w:p w14:paraId="3CEEA985" w14:textId="77777777" w:rsidR="00F67E9E" w:rsidRPr="00025910" w:rsidRDefault="00F67E9E" w:rsidP="0052486C">
            <w:pPr>
              <w:pStyle w:val="StdBodyTextBold"/>
              <w:rPr>
                <w:rFonts w:cs="Arial"/>
              </w:rPr>
            </w:pPr>
            <w:r>
              <w:rPr>
                <w:rFonts w:cs="Arial"/>
              </w:rPr>
              <w:t>“</w:t>
            </w:r>
            <w:r w:rsidRPr="00025910">
              <w:rPr>
                <w:rFonts w:cs="Arial"/>
              </w:rPr>
              <w:t>LGPS</w:t>
            </w:r>
            <w:r>
              <w:rPr>
                <w:rFonts w:cs="Arial"/>
              </w:rPr>
              <w:t>”</w:t>
            </w:r>
          </w:p>
        </w:tc>
        <w:tc>
          <w:tcPr>
            <w:tcW w:w="6793" w:type="dxa"/>
          </w:tcPr>
          <w:p w14:paraId="2AEA2032" w14:textId="7E1E5D7A" w:rsidR="00F67E9E" w:rsidRPr="00025910" w:rsidRDefault="00F67E9E" w:rsidP="0052486C">
            <w:pPr>
              <w:pStyle w:val="StdBodyText"/>
              <w:rPr>
                <w:rFonts w:cs="Arial"/>
              </w:rPr>
            </w:pPr>
            <w:r w:rsidRPr="00025910">
              <w:rPr>
                <w:rFonts w:cs="Arial"/>
              </w:rPr>
              <w:t xml:space="preserve">the scheme as defined in Annex </w:t>
            </w:r>
            <w:r w:rsidRPr="00025910">
              <w:rPr>
                <w:rFonts w:cs="Arial"/>
                <w:sz w:val="22"/>
                <w:szCs w:val="22"/>
              </w:rPr>
              <w:fldChar w:fldCharType="begin"/>
            </w:r>
            <w:r w:rsidRPr="00025910">
              <w:rPr>
                <w:rFonts w:cs="Arial"/>
                <w:sz w:val="22"/>
                <w:szCs w:val="22"/>
              </w:rPr>
              <w:instrText xml:space="preserve"> REF ANNEXD3_SCHEDULE28 \h  \* MERGEFORMAT </w:instrText>
            </w:r>
            <w:r w:rsidRPr="00025910">
              <w:rPr>
                <w:rFonts w:cs="Arial"/>
                <w:sz w:val="22"/>
                <w:szCs w:val="22"/>
              </w:rPr>
            </w:r>
            <w:r w:rsidRPr="00025910">
              <w:rPr>
                <w:rFonts w:cs="Arial"/>
                <w:sz w:val="22"/>
                <w:szCs w:val="22"/>
              </w:rPr>
              <w:fldChar w:fldCharType="separate"/>
            </w:r>
            <w:r w:rsidR="007A1473" w:rsidRPr="007A1473">
              <w:rPr>
                <w:rFonts w:cs="Arial"/>
                <w:sz w:val="22"/>
                <w:szCs w:val="22"/>
              </w:rPr>
              <w:t>D3</w:t>
            </w:r>
            <w:r w:rsidRPr="00025910">
              <w:rPr>
                <w:rFonts w:cs="Arial"/>
                <w:sz w:val="22"/>
                <w:szCs w:val="22"/>
              </w:rPr>
              <w:fldChar w:fldCharType="end"/>
            </w:r>
            <w:r w:rsidRPr="00025910">
              <w:rPr>
                <w:rFonts w:cs="Arial"/>
              </w:rPr>
              <w:t xml:space="preserve"> to this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cs="Arial"/>
              </w:rPr>
              <w:t xml:space="preserve">; </w:t>
            </w:r>
          </w:p>
        </w:tc>
      </w:tr>
      <w:tr w:rsidR="00F67E9E" w:rsidRPr="00025910" w14:paraId="5FFCB984" w14:textId="77777777" w:rsidTr="0052486C">
        <w:tc>
          <w:tcPr>
            <w:tcW w:w="2835" w:type="dxa"/>
          </w:tcPr>
          <w:p w14:paraId="5E4AFA32" w14:textId="77777777" w:rsidR="00F67E9E" w:rsidRPr="00025910" w:rsidRDefault="00F67E9E" w:rsidP="0052486C">
            <w:pPr>
              <w:pStyle w:val="StdBodyTextBold"/>
              <w:rPr>
                <w:rFonts w:cs="Arial"/>
              </w:rPr>
            </w:pPr>
            <w:r>
              <w:rPr>
                <w:rFonts w:cs="Arial"/>
              </w:rPr>
              <w:t>“</w:t>
            </w:r>
            <w:r w:rsidRPr="00025910">
              <w:rPr>
                <w:rFonts w:cs="Arial"/>
              </w:rPr>
              <w:t>NHSPS</w:t>
            </w:r>
            <w:r>
              <w:rPr>
                <w:rFonts w:cs="Arial"/>
              </w:rPr>
              <w:t>”</w:t>
            </w:r>
          </w:p>
        </w:tc>
        <w:tc>
          <w:tcPr>
            <w:tcW w:w="6793" w:type="dxa"/>
          </w:tcPr>
          <w:p w14:paraId="7D6D2A4D" w14:textId="66262F5D" w:rsidR="00F67E9E" w:rsidRPr="00025910" w:rsidRDefault="00F67E9E" w:rsidP="0052486C">
            <w:pPr>
              <w:pStyle w:val="StdBodyText"/>
              <w:rPr>
                <w:rFonts w:cs="Arial"/>
              </w:rPr>
            </w:pPr>
            <w:r w:rsidRPr="00025910">
              <w:rPr>
                <w:rFonts w:cs="Arial"/>
              </w:rPr>
              <w:t xml:space="preserve">the schemes as defined in Annex </w:t>
            </w:r>
            <w:r w:rsidRPr="00025910">
              <w:rPr>
                <w:rFonts w:cs="Arial"/>
              </w:rPr>
              <w:fldChar w:fldCharType="begin"/>
            </w:r>
            <w:r w:rsidRPr="00025910">
              <w:rPr>
                <w:rFonts w:cs="Arial"/>
              </w:rPr>
              <w:instrText xml:space="preserve"> REF ANNEXD2_SCHEDULE28 \h  \* MERGEFORMAT </w:instrText>
            </w:r>
            <w:r w:rsidRPr="00025910">
              <w:rPr>
                <w:rFonts w:cs="Arial"/>
              </w:rPr>
            </w:r>
            <w:r w:rsidRPr="00025910">
              <w:rPr>
                <w:rFonts w:cs="Arial"/>
              </w:rPr>
              <w:fldChar w:fldCharType="separate"/>
            </w:r>
            <w:r w:rsidR="007A1473" w:rsidRPr="007A1473">
              <w:rPr>
                <w:rFonts w:cs="Arial"/>
              </w:rPr>
              <w:t>D2</w:t>
            </w:r>
            <w:r w:rsidRPr="00025910">
              <w:rPr>
                <w:rFonts w:cs="Arial"/>
              </w:rPr>
              <w:fldChar w:fldCharType="end"/>
            </w:r>
            <w:r w:rsidRPr="00025910">
              <w:rPr>
                <w:rFonts w:cs="Arial"/>
              </w:rPr>
              <w:t xml:space="preserve"> to this </w:t>
            </w:r>
            <w:r w:rsidRPr="00025910">
              <w:rPr>
                <w:rFonts w:eastAsia="Arial"/>
                <w:color w:val="000000"/>
              </w:rPr>
              <w:fldChar w:fldCharType="begin"/>
            </w:r>
            <w:r w:rsidRPr="00025910">
              <w:rPr>
                <w:rFonts w:eastAsia="Arial"/>
                <w:color w:val="000000"/>
              </w:rPr>
              <w:instrText xml:space="preserve"> REF Sch28PartD \h  \* MERGEFORMAT </w:instrText>
            </w:r>
            <w:r w:rsidRPr="00025910">
              <w:rPr>
                <w:rFonts w:eastAsia="Arial"/>
                <w:color w:val="000000"/>
              </w:rPr>
            </w:r>
            <w:r w:rsidRPr="00025910">
              <w:rPr>
                <w:rFonts w:eastAsia="Arial"/>
                <w:color w:val="000000"/>
              </w:rPr>
              <w:fldChar w:fldCharType="separate"/>
            </w:r>
            <w:r w:rsidR="007A1473" w:rsidRPr="007A1473">
              <w:rPr>
                <w:rFonts w:eastAsia="Calibri"/>
              </w:rPr>
              <w:t>Part D</w:t>
            </w:r>
            <w:r w:rsidRPr="00025910">
              <w:rPr>
                <w:rFonts w:eastAsia="Arial"/>
                <w:color w:val="000000"/>
              </w:rPr>
              <w:fldChar w:fldCharType="end"/>
            </w:r>
            <w:r w:rsidRPr="00025910">
              <w:rPr>
                <w:rFonts w:cs="Arial"/>
              </w:rPr>
              <w:t>; and</w:t>
            </w:r>
          </w:p>
        </w:tc>
      </w:tr>
      <w:tr w:rsidR="00F67E9E" w:rsidRPr="00025910" w14:paraId="1C29FFB5" w14:textId="77777777" w:rsidTr="0052486C">
        <w:tc>
          <w:tcPr>
            <w:tcW w:w="2835" w:type="dxa"/>
          </w:tcPr>
          <w:p w14:paraId="7D65EC5E" w14:textId="77777777" w:rsidR="00F67E9E" w:rsidRPr="00025910" w:rsidRDefault="00F67E9E" w:rsidP="0052486C">
            <w:pPr>
              <w:pStyle w:val="StdBodyTextBold"/>
              <w:rPr>
                <w:rFonts w:cs="Arial"/>
              </w:rPr>
            </w:pPr>
            <w:r>
              <w:rPr>
                <w:rFonts w:eastAsia="Arial"/>
              </w:rPr>
              <w:t>“</w:t>
            </w:r>
            <w:r w:rsidRPr="00025910">
              <w:rPr>
                <w:rFonts w:eastAsia="Arial"/>
              </w:rPr>
              <w:t>New Fair Deal</w:t>
            </w:r>
            <w:r>
              <w:rPr>
                <w:rFonts w:eastAsia="Arial"/>
              </w:rPr>
              <w:t>”</w:t>
            </w:r>
          </w:p>
        </w:tc>
        <w:tc>
          <w:tcPr>
            <w:tcW w:w="6793" w:type="dxa"/>
          </w:tcPr>
          <w:p w14:paraId="4A29D62C" w14:textId="77777777" w:rsidR="00F67E9E" w:rsidRPr="00025910" w:rsidRDefault="00F67E9E" w:rsidP="0052486C">
            <w:pPr>
              <w:spacing w:before="120" w:after="120"/>
              <w:rPr>
                <w:rFonts w:eastAsia="Arial"/>
                <w:szCs w:val="24"/>
              </w:rPr>
            </w:pPr>
            <w:r w:rsidRPr="00025910">
              <w:rPr>
                <w:rFonts w:eastAsia="Arial"/>
                <w:szCs w:val="24"/>
              </w:rPr>
              <w:t>the revised Fair Deal position set out in the HM Treasury guidance:</w:t>
            </w:r>
            <w:r>
              <w:rPr>
                <w:rFonts w:eastAsia="Arial"/>
                <w:szCs w:val="24"/>
              </w:rPr>
              <w:t xml:space="preserve"> “</w:t>
            </w:r>
            <w:r w:rsidRPr="00025910">
              <w:rPr>
                <w:rFonts w:eastAsia="Arial"/>
                <w:i/>
                <w:szCs w:val="24"/>
              </w:rPr>
              <w:t>Fair Deal for Staff Pensions: Staff Transfer from Central Government</w:t>
            </w:r>
            <w:r>
              <w:rPr>
                <w:rFonts w:eastAsia="Arial"/>
                <w:szCs w:val="24"/>
              </w:rPr>
              <w:t>”</w:t>
            </w:r>
            <w:r w:rsidRPr="00025910">
              <w:rPr>
                <w:rFonts w:eastAsia="Arial"/>
                <w:szCs w:val="24"/>
              </w:rPr>
              <w:t xml:space="preserve"> issued in October 2013 including:</w:t>
            </w:r>
          </w:p>
          <w:p w14:paraId="420A31EC" w14:textId="77777777" w:rsidR="00F67E9E" w:rsidRPr="00025910" w:rsidRDefault="00F67E9E" w:rsidP="0052486C">
            <w:pPr>
              <w:pStyle w:val="StdBodyText"/>
              <w:rPr>
                <w:rFonts w:cs="Arial"/>
              </w:rPr>
            </w:pPr>
            <w:r w:rsidRPr="00025910">
              <w:rPr>
                <w:rFonts w:eastAsia="Arial"/>
              </w:rPr>
              <w:t>any amendments to that document immediately prior to the Relevant Transfer Date; and</w:t>
            </w:r>
          </w:p>
        </w:tc>
      </w:tr>
      <w:tr w:rsidR="00F67E9E" w:rsidRPr="00025910" w14:paraId="095ACD4C" w14:textId="77777777" w:rsidTr="0052486C">
        <w:tc>
          <w:tcPr>
            <w:tcW w:w="2835" w:type="dxa"/>
          </w:tcPr>
          <w:p w14:paraId="1243757C" w14:textId="77777777" w:rsidR="00F67E9E" w:rsidRPr="00025910" w:rsidRDefault="00F67E9E" w:rsidP="0052486C">
            <w:pPr>
              <w:pStyle w:val="StdBodyTextBold"/>
              <w:rPr>
                <w:rFonts w:eastAsia="Arial"/>
                <w:b w:val="0"/>
              </w:rPr>
            </w:pPr>
          </w:p>
        </w:tc>
        <w:tc>
          <w:tcPr>
            <w:tcW w:w="6793" w:type="dxa"/>
          </w:tcPr>
          <w:p w14:paraId="40FEC866" w14:textId="0684599E" w:rsidR="00F67E9E" w:rsidRPr="00025910" w:rsidRDefault="00F67E9E" w:rsidP="0052486C">
            <w:pPr>
              <w:spacing w:before="120" w:after="120"/>
              <w:rPr>
                <w:rFonts w:eastAsia="Arial"/>
                <w:szCs w:val="24"/>
              </w:rPr>
            </w:pPr>
            <w:r w:rsidRPr="00025910">
              <w:rPr>
                <w:rFonts w:eastAsia="Arial"/>
                <w:szCs w:val="24"/>
              </w:rPr>
              <w:t>any similar pension protection in accordance with the subsequent Annex </w:t>
            </w:r>
            <w:r w:rsidRPr="00025910">
              <w:rPr>
                <w:rFonts w:cs="Arial"/>
                <w:szCs w:val="24"/>
              </w:rPr>
              <w:fldChar w:fldCharType="begin"/>
            </w:r>
            <w:r w:rsidRPr="00025910">
              <w:rPr>
                <w:rFonts w:cs="Arial"/>
                <w:szCs w:val="24"/>
              </w:rPr>
              <w:instrText xml:space="preserve"> REF ANNEXD1_SCHEDULE28 \h </w:instrText>
            </w:r>
            <w:r w:rsidRPr="00025910">
              <w:rPr>
                <w:rFonts w:cs="Arial"/>
              </w:rPr>
              <w:instrText xml:space="preserve"> \* MERGEFORMAT </w:instrText>
            </w:r>
            <w:r w:rsidRPr="00025910">
              <w:rPr>
                <w:rFonts w:cs="Arial"/>
                <w:szCs w:val="24"/>
              </w:rPr>
            </w:r>
            <w:r w:rsidRPr="00025910">
              <w:rPr>
                <w:rFonts w:cs="Arial"/>
                <w:szCs w:val="24"/>
              </w:rPr>
              <w:fldChar w:fldCharType="separate"/>
            </w:r>
            <w:r w:rsidR="007A1473" w:rsidRPr="007A1473">
              <w:rPr>
                <w:rFonts w:cs="Arial"/>
                <w:szCs w:val="24"/>
              </w:rPr>
              <w:t>D1</w:t>
            </w:r>
            <w:r w:rsidRPr="00025910">
              <w:rPr>
                <w:rFonts w:cs="Arial"/>
                <w:szCs w:val="24"/>
              </w:rPr>
              <w:fldChar w:fldCharType="end"/>
            </w:r>
            <w:r w:rsidRPr="00025910">
              <w:rPr>
                <w:rFonts w:eastAsia="Arial"/>
                <w:szCs w:val="24"/>
              </w:rPr>
              <w:t>-</w:t>
            </w:r>
            <w:r w:rsidRPr="00025910">
              <w:rPr>
                <w:rFonts w:cs="Arial"/>
                <w:sz w:val="22"/>
                <w:szCs w:val="22"/>
              </w:rPr>
              <w:fldChar w:fldCharType="begin"/>
            </w:r>
            <w:r w:rsidRPr="00025910">
              <w:rPr>
                <w:rFonts w:cs="Arial"/>
                <w:sz w:val="22"/>
                <w:szCs w:val="22"/>
              </w:rPr>
              <w:instrText xml:space="preserve"> REF ANNEXD3_SCHEDULE28 \h  \* MERGEFORMAT </w:instrText>
            </w:r>
            <w:r w:rsidRPr="00025910">
              <w:rPr>
                <w:rFonts w:cs="Arial"/>
                <w:sz w:val="22"/>
                <w:szCs w:val="22"/>
              </w:rPr>
            </w:r>
            <w:r w:rsidRPr="00025910">
              <w:rPr>
                <w:rFonts w:cs="Arial"/>
                <w:sz w:val="22"/>
                <w:szCs w:val="22"/>
              </w:rPr>
              <w:fldChar w:fldCharType="separate"/>
            </w:r>
            <w:r w:rsidR="007A1473" w:rsidRPr="007A1473">
              <w:rPr>
                <w:rFonts w:cs="Arial"/>
                <w:sz w:val="22"/>
                <w:szCs w:val="22"/>
              </w:rPr>
              <w:t>D3</w:t>
            </w:r>
            <w:r w:rsidRPr="00025910">
              <w:rPr>
                <w:rFonts w:cs="Arial"/>
                <w:sz w:val="22"/>
                <w:szCs w:val="22"/>
              </w:rPr>
              <w:fldChar w:fldCharType="end"/>
            </w:r>
            <w:r w:rsidRPr="00025910">
              <w:rPr>
                <w:rFonts w:eastAsia="Arial"/>
                <w:szCs w:val="24"/>
              </w:rPr>
              <w:t xml:space="preserve"> inclusive as notified to the Supplier by the Authority.</w:t>
            </w:r>
          </w:p>
        </w:tc>
      </w:tr>
    </w:tbl>
    <w:p w14:paraId="7B8280B9" w14:textId="77777777" w:rsidR="00F67E9E" w:rsidRPr="00C542C5" w:rsidRDefault="00F67E9E" w:rsidP="00F13933">
      <w:pPr>
        <w:pStyle w:val="AppendixText1"/>
        <w:numPr>
          <w:ilvl w:val="0"/>
          <w:numId w:val="59"/>
        </w:numPr>
        <w:rPr>
          <w:color w:val="1F497D"/>
        </w:rPr>
      </w:pPr>
      <w:r w:rsidRPr="00C542C5">
        <w:rPr>
          <w:color w:val="1F497D"/>
        </w:rPr>
        <w:t>Participation</w:t>
      </w:r>
    </w:p>
    <w:p w14:paraId="5891282D" w14:textId="58D8EC55" w:rsidR="00F67E9E" w:rsidRPr="00025910" w:rsidRDefault="00F67E9E" w:rsidP="00F67E9E">
      <w:pPr>
        <w:pStyle w:val="AppendixText2"/>
      </w:pPr>
      <w:r w:rsidRPr="00025910">
        <w:t xml:space="preserve">In </w:t>
      </w:r>
      <w:r w:rsidRPr="00C542C5">
        <w:t>respect</w:t>
      </w:r>
      <w:r w:rsidRPr="00025910">
        <w:t xml:space="preserve"> of all or any Fair Deal Employees each of Annex </w:t>
      </w:r>
      <w:r w:rsidRPr="00025910">
        <w:fldChar w:fldCharType="begin"/>
      </w:r>
      <w:r w:rsidRPr="00025910">
        <w:instrText xml:space="preserve"> REF ANNEXD1_SCHEDULE28 \h  \* MERGEFORMAT </w:instrText>
      </w:r>
      <w:r w:rsidRPr="00025910">
        <w:fldChar w:fldCharType="separate"/>
      </w:r>
      <w:r w:rsidR="007A1473" w:rsidRPr="00025910">
        <w:t>D1</w:t>
      </w:r>
      <w:r w:rsidRPr="00025910">
        <w:fldChar w:fldCharType="end"/>
      </w:r>
      <w:r w:rsidRPr="00025910">
        <w:t xml:space="preserve">: </w:t>
      </w:r>
      <w:r w:rsidRPr="00025910">
        <w:fldChar w:fldCharType="begin"/>
      </w:r>
      <w:r w:rsidRPr="00025910">
        <w:instrText xml:space="preserve"> REF ANNEXD1HEADING_SCHEDULE28 \h </w:instrText>
      </w:r>
      <w:r>
        <w:instrText xml:space="preserve"> \* MERGEFORMAT </w:instrText>
      </w:r>
      <w:r w:rsidRPr="00025910">
        <w:fldChar w:fldCharType="separate"/>
      </w:r>
      <w:r w:rsidR="007A1473" w:rsidRPr="00025910">
        <w:t>CSPS</w:t>
      </w:r>
      <w:r w:rsidRPr="00025910">
        <w:fldChar w:fldCharType="end"/>
      </w:r>
      <w:r w:rsidRPr="00025910">
        <w:t xml:space="preserve">, Annex </w:t>
      </w:r>
      <w:r w:rsidRPr="00025910">
        <w:fldChar w:fldCharType="begin"/>
      </w:r>
      <w:r w:rsidRPr="00025910">
        <w:instrText xml:space="preserve"> REF ANNEXD2_SCHEDULE28 \h  \* MERGEFORMAT </w:instrText>
      </w:r>
      <w:r w:rsidRPr="00025910">
        <w:fldChar w:fldCharType="separate"/>
      </w:r>
      <w:r w:rsidR="007A1473" w:rsidRPr="00025910">
        <w:t>D2</w:t>
      </w:r>
      <w:r w:rsidRPr="00025910">
        <w:fldChar w:fldCharType="end"/>
      </w:r>
      <w:r w:rsidRPr="00025910">
        <w:t xml:space="preserve">: </w:t>
      </w:r>
      <w:r w:rsidRPr="00025910">
        <w:fldChar w:fldCharType="begin"/>
      </w:r>
      <w:r w:rsidRPr="00025910">
        <w:instrText xml:space="preserve"> REF ANNEXD2HEADING_SCHEDULE28 \h </w:instrText>
      </w:r>
      <w:r>
        <w:instrText xml:space="preserve"> \* MERGEFORMAT </w:instrText>
      </w:r>
      <w:r w:rsidRPr="00025910">
        <w:fldChar w:fldCharType="separate"/>
      </w:r>
      <w:r w:rsidR="007A1473" w:rsidRPr="00025910">
        <w:t>NHSPS</w:t>
      </w:r>
      <w:r w:rsidRPr="00025910">
        <w:fldChar w:fldCharType="end"/>
      </w:r>
      <w:r w:rsidRPr="00025910">
        <w:t xml:space="preserve"> and/or Annex </w:t>
      </w:r>
      <w:r w:rsidRPr="00086B0D">
        <w:fldChar w:fldCharType="begin"/>
      </w:r>
      <w:r w:rsidRPr="00086B0D">
        <w:instrText xml:space="preserve"> REF ANNEXD3_SCHEDULE28 \h  \* MERGEFORMAT </w:instrText>
      </w:r>
      <w:r w:rsidRPr="00086B0D">
        <w:fldChar w:fldCharType="separate"/>
      </w:r>
      <w:r w:rsidR="007A1473" w:rsidRPr="00025910">
        <w:t>D3</w:t>
      </w:r>
      <w:r w:rsidRPr="00086B0D">
        <w:fldChar w:fldCharType="end"/>
      </w:r>
      <w:r w:rsidRPr="00025910">
        <w:t xml:space="preserve">: </w:t>
      </w:r>
      <w:r w:rsidRPr="00025910">
        <w:fldChar w:fldCharType="begin"/>
      </w:r>
      <w:r w:rsidRPr="00025910">
        <w:instrText xml:space="preserve"> REF ANNEXD3HEADING_SCHEDULE28 \h </w:instrText>
      </w:r>
      <w:r>
        <w:instrText xml:space="preserve"> \* MERGEFORMAT </w:instrText>
      </w:r>
      <w:r w:rsidRPr="00025910">
        <w:fldChar w:fldCharType="separate"/>
      </w:r>
      <w:r w:rsidR="007A1473" w:rsidRPr="00025910">
        <w:t>LGPS</w:t>
      </w:r>
      <w:r w:rsidRPr="00025910">
        <w:fldChar w:fldCharType="end"/>
      </w:r>
      <w:r w:rsidRPr="00025910">
        <w:t xml:space="preserve"> shall apply, as appropriate.</w:t>
      </w:r>
    </w:p>
    <w:p w14:paraId="53BF20A3" w14:textId="77777777" w:rsidR="00F67E9E" w:rsidRPr="00025910" w:rsidRDefault="00F67E9E" w:rsidP="00F67E9E">
      <w:pPr>
        <w:pStyle w:val="AppendixText2"/>
      </w:pPr>
      <w:r w:rsidRPr="00025910">
        <w:t>The Supplier undertakes to do all such things and execute any documents (including any relevant Admission Agreement and/or Direction Letter/Determination, if necessary) as may be required to enable the Supplier to participate in the appropriate Statutory Scheme in respect of the Fair Deal Employees and shall bear its own costs in such regard.</w:t>
      </w:r>
    </w:p>
    <w:p w14:paraId="6653E255" w14:textId="77777777" w:rsidR="00F67E9E" w:rsidRPr="00025910" w:rsidRDefault="00F67E9E" w:rsidP="00F67E9E">
      <w:pPr>
        <w:pStyle w:val="AppendixText2"/>
        <w:keepNext/>
      </w:pPr>
      <w:r w:rsidRPr="00025910">
        <w:t>The Supplier undertakes:</w:t>
      </w:r>
    </w:p>
    <w:p w14:paraId="3B1EBDE8" w14:textId="77777777" w:rsidR="00F67E9E" w:rsidRPr="005E6515" w:rsidRDefault="00F67E9E" w:rsidP="00F67E9E">
      <w:pPr>
        <w:pStyle w:val="AppendixText3"/>
      </w:pPr>
      <w:r w:rsidRPr="00025910">
        <w:t xml:space="preserve">to pay to the Statutory Schemes all such amounts as are due under the relevant Admission Agreement and/or Direction Letter/Determination or otherwise and shall deduct and pay to the Statutory Schemes such employee </w:t>
      </w:r>
      <w:r w:rsidRPr="00025910">
        <w:lastRenderedPageBreak/>
        <w:t>contributions as are required</w:t>
      </w:r>
      <w:r w:rsidRPr="005E6515">
        <w:t>; and</w:t>
      </w:r>
    </w:p>
    <w:p w14:paraId="25683DC2" w14:textId="4BC683D6" w:rsidR="00F67E9E" w:rsidRPr="00025910" w:rsidRDefault="00F67E9E" w:rsidP="00F67E9E">
      <w:pPr>
        <w:pStyle w:val="AppendixText3"/>
      </w:pPr>
      <w:r w:rsidRPr="005E6515">
        <w:t>subject t</w:t>
      </w:r>
      <w:r w:rsidRPr="00025910">
        <w:t xml:space="preserve">o </w:t>
      </w:r>
      <w:bookmarkStart w:id="2282" w:name="_9kR3WTr2BD678wknoewrqyF"/>
      <w:r w:rsidRPr="00025910">
        <w:t xml:space="preserve">Paragraph </w:t>
      </w:r>
      <w:r w:rsidRPr="00025910">
        <w:fldChar w:fldCharType="begin"/>
      </w:r>
      <w:r w:rsidRPr="00025910">
        <w:instrText xml:space="preserve"> REF _Ref_ContractCompanion_9kb9Ut22B \w \n \h \t \* MERGEFORMAT </w:instrText>
      </w:r>
      <w:r w:rsidRPr="00025910">
        <w:fldChar w:fldCharType="separate"/>
      </w:r>
      <w:r w:rsidR="007A1473">
        <w:t>5</w:t>
      </w:r>
      <w:r w:rsidRPr="00025910">
        <w:fldChar w:fldCharType="end"/>
      </w:r>
      <w:bookmarkEnd w:id="2282"/>
      <w:r w:rsidRPr="00025910">
        <w:t xml:space="preserve"> of Annex </w:t>
      </w:r>
      <w:r w:rsidRPr="00025910">
        <w:rPr>
          <w:sz w:val="22"/>
        </w:rPr>
        <w:fldChar w:fldCharType="begin"/>
      </w:r>
      <w:r w:rsidRPr="00025910">
        <w:rPr>
          <w:sz w:val="22"/>
        </w:rPr>
        <w:instrText xml:space="preserve"> REF ANNEXD3_SCHEDULE28 \h  \* MERGEFORMAT </w:instrText>
      </w:r>
      <w:r w:rsidRPr="00025910">
        <w:rPr>
          <w:sz w:val="22"/>
        </w:rPr>
      </w:r>
      <w:r w:rsidRPr="00025910">
        <w:rPr>
          <w:sz w:val="22"/>
        </w:rPr>
        <w:fldChar w:fldCharType="separate"/>
      </w:r>
      <w:r w:rsidR="007A1473" w:rsidRPr="007A1473">
        <w:rPr>
          <w:sz w:val="22"/>
        </w:rPr>
        <w:t>D3</w:t>
      </w:r>
      <w:r w:rsidRPr="00025910">
        <w:rPr>
          <w:sz w:val="22"/>
        </w:rPr>
        <w:fldChar w:fldCharType="end"/>
      </w:r>
      <w:r w:rsidRPr="00025910">
        <w:t xml:space="preserve">: </w:t>
      </w:r>
      <w:r w:rsidRPr="00025910">
        <w:fldChar w:fldCharType="begin"/>
      </w:r>
      <w:r w:rsidRPr="00025910">
        <w:instrText xml:space="preserve"> REF ANNEXD3HEADING_SCHEDULE28 \h </w:instrText>
      </w:r>
      <w:r>
        <w:instrText xml:space="preserve"> \* MERGEFORMAT </w:instrText>
      </w:r>
      <w:r w:rsidRPr="00025910">
        <w:fldChar w:fldCharType="separate"/>
      </w:r>
      <w:r w:rsidR="007A1473" w:rsidRPr="00025910">
        <w:t>LGPS</w:t>
      </w:r>
      <w:r w:rsidRPr="00025910">
        <w:fldChar w:fldCharType="end"/>
      </w:r>
      <w:r w:rsidRPr="00025910">
        <w:t xml:space="preserve">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2B15F21A" w14:textId="3983F7EC" w:rsidR="00F67E9E" w:rsidRPr="00025910" w:rsidRDefault="00F67E9E" w:rsidP="00F67E9E">
      <w:pPr>
        <w:pStyle w:val="AppendixText2"/>
      </w:pPr>
      <w:r w:rsidRPr="00025910">
        <w:t xml:space="preserve">Where the Supplier is the Former Supplier (or a Sub-contractor is a sub-contractor of the Former Supplier) and there is no Relevant Transfer of the Fair Deal Employees because they remain continuously employed by the Supplier (or Sub-contractor) at the Operational Service Commencement Date, this </w:t>
      </w: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 xml:space="preserve"> and its Annexes shall be modified accordingly so that the Supplier (or Sub-contractor) shall comply with its requirements from the Operational Service Commencement Date or, where it previously provided a Broadly Comparable pension scheme, from the date it is able to close accrual of its Broadly Comparable pension scheme (following appropriate consultation and contractual changes as appropriate) if later. The Supplier (or Sub-contractor) shall make arrangements for a bulk transfer from its Broadly Comparable pension scheme to the relevant Statutory Scheme in accordance with the requirements of the previous contract with the Authority.</w:t>
      </w:r>
    </w:p>
    <w:p w14:paraId="03F592E3" w14:textId="77777777" w:rsidR="00F67E9E" w:rsidRPr="00C542C5" w:rsidRDefault="00F67E9E" w:rsidP="00F13933">
      <w:pPr>
        <w:pStyle w:val="AppendixText1"/>
        <w:numPr>
          <w:ilvl w:val="0"/>
          <w:numId w:val="59"/>
        </w:numPr>
        <w:rPr>
          <w:color w:val="1F497D"/>
        </w:rPr>
      </w:pPr>
      <w:r w:rsidRPr="00C542C5">
        <w:rPr>
          <w:color w:val="1F497D"/>
        </w:rPr>
        <w:t>Provision of Information</w:t>
      </w:r>
    </w:p>
    <w:p w14:paraId="7F10ADDB" w14:textId="77777777" w:rsidR="00F67E9E" w:rsidRPr="00025910" w:rsidRDefault="00F67E9E" w:rsidP="00F67E9E">
      <w:pPr>
        <w:pStyle w:val="AppendixText2"/>
      </w:pPr>
      <w:r w:rsidRPr="00025910">
        <w:t>The Supplier undertakes to the Authority:</w:t>
      </w:r>
    </w:p>
    <w:p w14:paraId="3DEAAEE2" w14:textId="32B4C115" w:rsidR="00F67E9E" w:rsidRPr="00025910" w:rsidRDefault="00F67E9E" w:rsidP="00F67E9E">
      <w:pPr>
        <w:pStyle w:val="AppendixText3"/>
      </w:pPr>
      <w:r w:rsidRPr="00025910">
        <w:t xml:space="preserve">to provide all information which the Authority may reasonably request concerning matters referred to in this </w:t>
      </w: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 xml:space="preserve"> as expeditiously as possible; </w:t>
      </w:r>
    </w:p>
    <w:p w14:paraId="6F43E58C" w14:textId="03A4A57D" w:rsidR="00F67E9E" w:rsidRPr="00025910" w:rsidRDefault="00F67E9E" w:rsidP="00F67E9E">
      <w:pPr>
        <w:pStyle w:val="AppendixText3"/>
      </w:pPr>
      <w:r w:rsidRPr="00025910">
        <w:t xml:space="preserve">not to issue any announcements to any Fair Deal Employee prior to the Relevant Transfer Date concerning the matters stated in this </w:t>
      </w: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 xml:space="preserve"> without the consent in writing of the Authority (such consent not to be unreasonably withheld or delayed); and</w:t>
      </w:r>
    </w:p>
    <w:p w14:paraId="1ACA16B6" w14:textId="77777777" w:rsidR="00F67E9E" w:rsidRPr="00025910" w:rsidRDefault="00F67E9E" w:rsidP="00F67E9E">
      <w:pPr>
        <w:pStyle w:val="AppendixText3"/>
      </w:pPr>
      <w:r w:rsidRPr="00025910">
        <w:t>retain such records as would be necessary to manage the pension aspects in relation to any current or former Fair Deal Eligible Employees arising on expiry or termination of this Contract.</w:t>
      </w:r>
    </w:p>
    <w:p w14:paraId="55D5F87E" w14:textId="77777777" w:rsidR="00F67E9E" w:rsidRPr="00C542C5" w:rsidRDefault="00F67E9E" w:rsidP="00F13933">
      <w:pPr>
        <w:pStyle w:val="AppendixText1"/>
        <w:numPr>
          <w:ilvl w:val="0"/>
          <w:numId w:val="59"/>
        </w:numPr>
        <w:rPr>
          <w:color w:val="1F497D"/>
        </w:rPr>
      </w:pPr>
      <w:r w:rsidRPr="00C542C5">
        <w:rPr>
          <w:color w:val="1F497D"/>
        </w:rPr>
        <w:t>Indemnities</w:t>
      </w:r>
    </w:p>
    <w:p w14:paraId="0CAAD258" w14:textId="77777777" w:rsidR="00F67E9E" w:rsidRPr="00CD4FDC" w:rsidRDefault="00F67E9E" w:rsidP="00F67E9E">
      <w:pPr>
        <w:pStyle w:val="AppendixText2"/>
      </w:pPr>
      <w:r w:rsidRPr="00CD4FDC">
        <w:t xml:space="preserve">The Supplier shall indemnify and keep indemnified the Authority, </w:t>
      </w:r>
      <w:r w:rsidRPr="00CD4FDC">
        <w:rPr>
          <w:highlight w:val="yellow"/>
        </w:rPr>
        <w:t>[</w:t>
      </w:r>
      <w:r w:rsidRPr="00B1698D">
        <w:rPr>
          <w:highlight w:val="yellow"/>
        </w:rPr>
        <w:t>NHS Pensions,</w:t>
      </w:r>
      <w:r w:rsidRPr="00CD4FDC">
        <w:rPr>
          <w:highlight w:val="yellow"/>
        </w:rPr>
        <w:t>]</w:t>
      </w:r>
      <w:r w:rsidRPr="00CD4FDC">
        <w:t xml:space="preserve"> any Replacement Supplier and/or any Replacement </w:t>
      </w:r>
      <w:r w:rsidRPr="00025910">
        <w:t>Sub-contractor</w:t>
      </w:r>
      <w:r w:rsidRPr="00CD4FDC">
        <w:t xml:space="preserve"> on demand from and against all and any Losses whatsoever suffered or incurred by it or them which:</w:t>
      </w:r>
    </w:p>
    <w:p w14:paraId="105421E9" w14:textId="0242AEF2" w:rsidR="00F67E9E" w:rsidRPr="00025910" w:rsidRDefault="00F67E9E" w:rsidP="00F67E9E">
      <w:pPr>
        <w:pStyle w:val="AppendixText3"/>
      </w:pPr>
      <w:r w:rsidRPr="00CD4FDC">
        <w:t xml:space="preserve">arise out of or in connection with any liability towards all and any Fair Deal Employees in respect of service on or after the Relevant Transfer Date which arises from any breach by the Supplier of this </w:t>
      </w:r>
      <w:r w:rsidRPr="00086B0D">
        <w:fldChar w:fldCharType="begin"/>
      </w:r>
      <w:r w:rsidRPr="00086B0D">
        <w:instrText xml:space="preserve"> REF Sch28PartD \h  \* MERGEFORMAT </w:instrText>
      </w:r>
      <w:r w:rsidRPr="00086B0D">
        <w:fldChar w:fldCharType="separate"/>
      </w:r>
      <w:r w:rsidR="007A1473" w:rsidRPr="00025910">
        <w:t>Part D</w:t>
      </w:r>
      <w:r w:rsidRPr="00086B0D">
        <w:fldChar w:fldCharType="end"/>
      </w:r>
      <w:r w:rsidRPr="00CD4FDC">
        <w:t xml:space="preserve">, and/or the CSPS </w:t>
      </w:r>
      <w:r w:rsidRPr="00025910">
        <w:t xml:space="preserve">Admission Agreement and/or the Direction Letter/Determination and/or the LGPS Admission Agreement; </w:t>
      </w:r>
    </w:p>
    <w:p w14:paraId="06A59402" w14:textId="0647C04F" w:rsidR="00F67E9E" w:rsidRPr="00025910" w:rsidRDefault="00F67E9E" w:rsidP="00F67E9E">
      <w:pPr>
        <w:pStyle w:val="AppendixText3"/>
      </w:pPr>
      <w:r w:rsidRPr="00025910">
        <w:t xml:space="preserve">relate to the payment of benefits under and/or participation in a pension scheme (as defined in </w:t>
      </w:r>
      <w:bookmarkStart w:id="2283" w:name="_9kR3WTr2797EL6rcszv1FLLIYN2vwzrQJ9aVUZ"/>
      <w:r w:rsidRPr="00025910">
        <w:t>section 150(1) Finance Act 2004</w:t>
      </w:r>
      <w:bookmarkEnd w:id="2283"/>
      <w:r w:rsidRPr="00025910">
        <w:t xml:space="preserve">) provided by the Supplier or a Sub-contractor on and after the Relevant Transfer Date until the date of termination or expiry of this Contract, including the Statutory Schemes </w:t>
      </w:r>
      <w:r w:rsidRPr="00025910">
        <w:lastRenderedPageBreak/>
        <w:t xml:space="preserve">or any Broadly Comparable pension scheme provided in accordance with </w:t>
      </w:r>
      <w:bookmarkStart w:id="2284" w:name="_9kR3WTr2CC7DCxknoewrqy2NJ"/>
      <w:r w:rsidRPr="00025910">
        <w:t xml:space="preserve">Paragraphs </w:t>
      </w:r>
      <w:r w:rsidRPr="00025910">
        <w:fldChar w:fldCharType="begin"/>
      </w:r>
      <w:r w:rsidRPr="00025910">
        <w:instrText xml:space="preserve"> REF _Ref_ContractCompanion_9kb9Ur38F \w \n \h \t \* MERGEFORMAT </w:instrText>
      </w:r>
      <w:r w:rsidRPr="00025910">
        <w:fldChar w:fldCharType="separate"/>
      </w:r>
      <w:bookmarkStart w:id="2285" w:name="_9kMJI5YVt4BD9HMgLhkhy7sHSMlR0KhkRcBP9zB"/>
      <w:r w:rsidR="007A1473">
        <w:t>10</w:t>
      </w:r>
      <w:bookmarkEnd w:id="2285"/>
      <w:r w:rsidRPr="00025910">
        <w:fldChar w:fldCharType="end"/>
      </w:r>
      <w:bookmarkEnd w:id="2284"/>
      <w:r w:rsidRPr="00025910">
        <w:t xml:space="preserve"> or </w:t>
      </w:r>
      <w:bookmarkStart w:id="2286" w:name="_9kMHG5YVt4EE9EIGC"/>
      <w:r w:rsidRPr="00025910">
        <w:fldChar w:fldCharType="begin"/>
      </w:r>
      <w:r w:rsidRPr="00025910">
        <w:instrText xml:space="preserve"> REF _Ref_ContractCompanion_9kb9Ur38A \w \n \h \t \* MERGEFORMAT </w:instrText>
      </w:r>
      <w:r w:rsidRPr="00025910">
        <w:fldChar w:fldCharType="separate"/>
      </w:r>
      <w:bookmarkStart w:id="2287" w:name="_9kMIH5YVt4BD9HLfLhkhy7sHSMlR0KhkSdBP9zB"/>
      <w:r w:rsidR="007A1473">
        <w:t>11</w:t>
      </w:r>
      <w:bookmarkEnd w:id="2287"/>
      <w:r w:rsidRPr="00025910">
        <w:fldChar w:fldCharType="end"/>
      </w:r>
      <w:bookmarkEnd w:id="2286"/>
      <w:r w:rsidRPr="00025910">
        <w:t xml:space="preserve"> of this </w:t>
      </w:r>
      <w:r w:rsidRPr="00086B0D">
        <w:fldChar w:fldCharType="begin"/>
      </w:r>
      <w:r w:rsidRPr="00086B0D">
        <w:instrText xml:space="preserve"> REF Sch28PartD \h  \* MERGEFORMAT </w:instrText>
      </w:r>
      <w:r w:rsidRPr="00086B0D">
        <w:fldChar w:fldCharType="separate"/>
      </w:r>
      <w:r w:rsidR="007A1473" w:rsidRPr="00025910">
        <w:t>Part D</w:t>
      </w:r>
      <w:r w:rsidRPr="00086B0D">
        <w:fldChar w:fldCharType="end"/>
      </w:r>
      <w:r w:rsidRPr="00025910">
        <w:t xml:space="preserve">; </w:t>
      </w:r>
    </w:p>
    <w:p w14:paraId="192BB239" w14:textId="77777777" w:rsidR="00F67E9E" w:rsidRPr="00025910" w:rsidRDefault="00F67E9E" w:rsidP="00F67E9E">
      <w:pPr>
        <w:pStyle w:val="AppendixText3"/>
      </w:pPr>
      <w:r w:rsidRPr="00025910">
        <w:t>relate to claims by Fair Deal Employees of the Supplier and/or of any Sub-contractor or by any trade unions, elected employee representatives or staff associations in respect of all or any such Fair Deal Employees which Losses:</w:t>
      </w:r>
    </w:p>
    <w:p w14:paraId="3C60EF9A" w14:textId="77777777" w:rsidR="00F67E9E" w:rsidRPr="005E6515" w:rsidRDefault="00F67E9E" w:rsidP="00F67E9E">
      <w:pPr>
        <w:pStyle w:val="AppendixText4"/>
      </w:pPr>
      <w:r w:rsidRPr="00025910">
        <w:t xml:space="preserve">relate to any rights to benefits under a pension scheme (as defined in </w:t>
      </w:r>
      <w:bookmarkStart w:id="2288" w:name="_9kMHG5YVt49B9GN8teu1x3HNNKaP4xy1tSLBcXW"/>
      <w:r w:rsidRPr="00025910">
        <w:t>section 150(1) Finance Act 2004</w:t>
      </w:r>
      <w:bookmarkEnd w:id="2288"/>
      <w:r w:rsidRPr="00025910">
        <w:t xml:space="preserve">) in respect of periods of employment on and after the Relevant Transfer Date until the date of termination or expiry of this </w:t>
      </w:r>
      <w:r w:rsidRPr="005E6515">
        <w:t xml:space="preserve">Contract; </w:t>
      </w:r>
    </w:p>
    <w:p w14:paraId="6DD4B7F1" w14:textId="46FB3AE7" w:rsidR="00F67E9E" w:rsidRPr="00025910" w:rsidRDefault="00F67E9E" w:rsidP="00F67E9E">
      <w:pPr>
        <w:pStyle w:val="AppendixText4"/>
      </w:pPr>
      <w:r w:rsidRPr="005E6515">
        <w:t>arise out of the failure of the Supplier and/or any relevant Sub-contractor to comply</w:t>
      </w:r>
      <w:r w:rsidRPr="00025910">
        <w:t xml:space="preserve"> with the provisions of this </w:t>
      </w: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 xml:space="preserve"> before the date of termination or expiry of this Contract; and/or</w:t>
      </w:r>
    </w:p>
    <w:p w14:paraId="14A17FF4" w14:textId="77777777" w:rsidR="00F67E9E" w:rsidRPr="00025910" w:rsidRDefault="00F67E9E" w:rsidP="00F67E9E">
      <w:pPr>
        <w:pStyle w:val="AppendixText3"/>
        <w:ind w:left="1440"/>
      </w:pPr>
      <w:r w:rsidRPr="00025910">
        <w:t>arise out of or in connection with the Supplier (or its Sub-contractor) allowing anyone who is not an NHSPS Fair Deal Employee to join or claim membership of the NHSPS at any time during the Term.</w:t>
      </w:r>
    </w:p>
    <w:p w14:paraId="12B68098" w14:textId="4DE3488F" w:rsidR="00F67E9E" w:rsidRPr="00025910" w:rsidRDefault="00F67E9E" w:rsidP="00F67E9E">
      <w:pPr>
        <w:pStyle w:val="AppendixText2"/>
      </w:pPr>
      <w:r w:rsidRPr="00025910">
        <w:t xml:space="preserve">The indemnities in this </w:t>
      </w: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 xml:space="preserve"> and its Annexes:</w:t>
      </w:r>
    </w:p>
    <w:p w14:paraId="7E700F99" w14:textId="77777777" w:rsidR="00F67E9E" w:rsidRPr="005E6515" w:rsidRDefault="00F67E9E" w:rsidP="00F67E9E">
      <w:pPr>
        <w:pStyle w:val="AppendixText3"/>
      </w:pPr>
      <w:r w:rsidRPr="00025910">
        <w:t xml:space="preserve">shall survive </w:t>
      </w:r>
      <w:r w:rsidRPr="005E6515">
        <w:t>termination of this Contract; and</w:t>
      </w:r>
    </w:p>
    <w:p w14:paraId="2C134C41" w14:textId="77777777" w:rsidR="00F67E9E" w:rsidRPr="00025910" w:rsidRDefault="00F67E9E" w:rsidP="00F67E9E">
      <w:pPr>
        <w:pStyle w:val="AppendixText3"/>
      </w:pPr>
      <w:r w:rsidRPr="005E6515">
        <w:t>shall not be affected</w:t>
      </w:r>
      <w:r w:rsidRPr="00025910">
        <w:t xml:space="preserve"> by the caps on liability contained in </w:t>
      </w:r>
      <w:bookmarkStart w:id="2289" w:name="_9kMHG5YVt4EE7GPUEjtCx8N"/>
      <w:r w:rsidRPr="00025910">
        <w:t>Clause 23</w:t>
      </w:r>
      <w:bookmarkEnd w:id="2289"/>
      <w:r w:rsidRPr="00025910">
        <w:t xml:space="preserve"> (</w:t>
      </w:r>
      <w:r w:rsidRPr="00025910">
        <w:rPr>
          <w:i/>
        </w:rPr>
        <w:t>Limitations on Liability</w:t>
      </w:r>
      <w:r w:rsidRPr="00025910">
        <w:t>).</w:t>
      </w:r>
    </w:p>
    <w:p w14:paraId="7B613433" w14:textId="77777777" w:rsidR="00F67E9E" w:rsidRPr="00C542C5" w:rsidRDefault="00F67E9E" w:rsidP="00F13933">
      <w:pPr>
        <w:pStyle w:val="AppendixText1"/>
        <w:numPr>
          <w:ilvl w:val="0"/>
          <w:numId w:val="59"/>
        </w:numPr>
        <w:rPr>
          <w:color w:val="1F497D"/>
        </w:rPr>
      </w:pPr>
      <w:r w:rsidRPr="00C542C5">
        <w:rPr>
          <w:color w:val="1F497D"/>
        </w:rPr>
        <w:t>Disputes</w:t>
      </w:r>
    </w:p>
    <w:p w14:paraId="5B1C7985" w14:textId="00EA0DF6" w:rsidR="00F67E9E" w:rsidRPr="00025910" w:rsidRDefault="00F67E9E" w:rsidP="00F67E9E">
      <w:pPr>
        <w:pStyle w:val="AppendixText2"/>
      </w:pPr>
      <w:r w:rsidRPr="00025910">
        <w:t xml:space="preserve">The Dispute Resolution Procedure will not apply to any dispute (i) between the Authority and/or the Supplier or (ii) between their respective actuaries and/or the Fund Actuary about any of the actuarial matters referred to in this </w:t>
      </w: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 xml:space="preserve"> and its Annexes shall in the absence of agreement between the Authority and/or the Supplier be referred to an independent Actuary: </w:t>
      </w:r>
    </w:p>
    <w:p w14:paraId="6E6EB9DB" w14:textId="77777777" w:rsidR="00F67E9E" w:rsidRPr="00025910" w:rsidRDefault="00F67E9E" w:rsidP="00F67E9E">
      <w:pPr>
        <w:pStyle w:val="AppendixText3"/>
      </w:pPr>
      <w:r w:rsidRPr="00025910">
        <w:t xml:space="preserve">who will act as an expert and not as an arbitrator; </w:t>
      </w:r>
    </w:p>
    <w:p w14:paraId="28DCFEE5" w14:textId="77777777" w:rsidR="00F67E9E" w:rsidRPr="00025910" w:rsidRDefault="00F67E9E" w:rsidP="00F67E9E">
      <w:pPr>
        <w:pStyle w:val="AppendixText3"/>
      </w:pPr>
      <w:r w:rsidRPr="00025910">
        <w:t xml:space="preserve">whose decision will be final and binding on the Authority and/or the Supplier; and </w:t>
      </w:r>
    </w:p>
    <w:p w14:paraId="412B663E" w14:textId="77777777" w:rsidR="00F67E9E" w:rsidRPr="00025910" w:rsidRDefault="00F67E9E" w:rsidP="00F67E9E">
      <w:pPr>
        <w:pStyle w:val="AppendixText3"/>
      </w:pPr>
      <w:r w:rsidRPr="00025910">
        <w:t>whose expenses shall be borne equally by the Authority and/or the Supplier unless the independent Actuary shall otherwise direct.</w:t>
      </w:r>
    </w:p>
    <w:p w14:paraId="38FE2434" w14:textId="77777777" w:rsidR="00F67E9E" w:rsidRPr="00025910" w:rsidRDefault="00F67E9E" w:rsidP="00F67E9E">
      <w:pPr>
        <w:pStyle w:val="AppendixText2"/>
      </w:pPr>
      <w:r w:rsidRPr="00025910">
        <w:t xml:space="preserve">The independent Actuary shall be agreed by the Parties or, failing such agreement the independent Actuary shall be appointed by the President for the time being of the Institute and Faculty of Actuaries on the application by the Parties. </w:t>
      </w:r>
    </w:p>
    <w:p w14:paraId="08BFA3E7" w14:textId="77777777" w:rsidR="00F67E9E" w:rsidRPr="00C542C5" w:rsidRDefault="00F67E9E" w:rsidP="00F13933">
      <w:pPr>
        <w:pStyle w:val="AppendixText1"/>
        <w:numPr>
          <w:ilvl w:val="0"/>
          <w:numId w:val="59"/>
        </w:numPr>
        <w:rPr>
          <w:color w:val="1F497D"/>
        </w:rPr>
      </w:pPr>
      <w:r w:rsidRPr="00C542C5">
        <w:rPr>
          <w:color w:val="1F497D"/>
        </w:rPr>
        <w:t>Third Party Rights</w:t>
      </w:r>
    </w:p>
    <w:p w14:paraId="3AFF938F" w14:textId="09C23902" w:rsidR="00F67E9E" w:rsidRPr="00025910" w:rsidRDefault="00F67E9E" w:rsidP="00F67E9E">
      <w:pPr>
        <w:pStyle w:val="AppendixText2"/>
      </w:pPr>
      <w:r w:rsidRPr="00025910">
        <w:t xml:space="preserve">The Parties agree </w:t>
      </w:r>
      <w:bookmarkStart w:id="2290" w:name="_9kR3WTr2CC7DDLChrAv8L"/>
      <w:r w:rsidRPr="00025910">
        <w:t>Clause 41</w:t>
      </w:r>
      <w:bookmarkEnd w:id="2290"/>
      <w:r w:rsidRPr="00025910">
        <w:t xml:space="preserve"> (</w:t>
      </w:r>
      <w:r w:rsidRPr="00025910">
        <w:rPr>
          <w:i/>
        </w:rPr>
        <w:t>Third Party Rights</w:t>
      </w:r>
      <w:r w:rsidRPr="00025910">
        <w:t xml:space="preserve">) does not apply and that the CRTPA applies to this </w:t>
      </w: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 xml:space="preserve"> to the extent necessary to ensure that any Fair Deal Employee will have the right to enforce any obligation in respect of to him or her by the Supplier under this </w:t>
      </w: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 xml:space="preserve">, in his or her or its own right under </w:t>
      </w:r>
      <w:bookmarkStart w:id="2291" w:name="_9kR3WTr2CC7DE2rcszv1FH"/>
      <w:r w:rsidRPr="00025910">
        <w:t>section 1(1)</w:t>
      </w:r>
      <w:bookmarkEnd w:id="2291"/>
      <w:r w:rsidRPr="00025910">
        <w:t xml:space="preserve"> of the CRTPA. </w:t>
      </w:r>
    </w:p>
    <w:p w14:paraId="79CCA917" w14:textId="77777777" w:rsidR="00F67E9E" w:rsidRPr="00025910" w:rsidRDefault="00F67E9E" w:rsidP="00F67E9E">
      <w:pPr>
        <w:pStyle w:val="AppendixText2"/>
      </w:pPr>
      <w:r w:rsidRPr="00025910">
        <w:lastRenderedPageBreak/>
        <w:t xml:space="preserve">Further, the Supplier must ensure that the CRTPA will apply to any Sub-contract to the extent necessary to ensure that any Fair Deal Employee will have the right to enforce any obligation owed to them by the Sub-contractor in his or her own right under </w:t>
      </w:r>
      <w:bookmarkStart w:id="2292" w:name="_9kMHG5YVt4EE9FG4teu1x3HJ"/>
      <w:r w:rsidRPr="00025910">
        <w:t>section 1(1)</w:t>
      </w:r>
      <w:bookmarkEnd w:id="2292"/>
      <w:r w:rsidRPr="00025910">
        <w:t xml:space="preserve"> of the CRTPA.</w:t>
      </w:r>
    </w:p>
    <w:p w14:paraId="3B7FD6E2" w14:textId="77777777" w:rsidR="00F67E9E" w:rsidRPr="00C542C5" w:rsidRDefault="00F67E9E" w:rsidP="00F13933">
      <w:pPr>
        <w:pStyle w:val="AppendixText1"/>
        <w:numPr>
          <w:ilvl w:val="0"/>
          <w:numId w:val="59"/>
        </w:numPr>
        <w:rPr>
          <w:color w:val="1F497D"/>
        </w:rPr>
      </w:pPr>
      <w:bookmarkStart w:id="2293" w:name="_Ref_ContractCompanion_9kb9Ur69B"/>
      <w:bookmarkStart w:id="2294" w:name="_9kR3WTrAG8ADHiJfifw5qFQKjPyIfog8Cwv3"/>
      <w:bookmarkStart w:id="2295" w:name="_9kR3WTr29B7FIcJfifw5qFQKjPyIfog8Cwv3"/>
      <w:r w:rsidRPr="00C542C5">
        <w:rPr>
          <w:color w:val="1F497D"/>
        </w:rPr>
        <w:t>Breach</w:t>
      </w:r>
      <w:bookmarkEnd w:id="2293"/>
      <w:bookmarkEnd w:id="2294"/>
      <w:bookmarkEnd w:id="2295"/>
    </w:p>
    <w:p w14:paraId="32637BF0" w14:textId="579FF4D7" w:rsidR="00F67E9E" w:rsidRPr="00025910" w:rsidRDefault="00F67E9E" w:rsidP="00F67E9E">
      <w:pPr>
        <w:pStyle w:val="AppendixText2"/>
      </w:pPr>
      <w:r w:rsidRPr="00025910">
        <w:t xml:space="preserve">The Supplier agrees to notify the Authority should it breach any obligations it has under this </w:t>
      </w:r>
      <w:r w:rsidRPr="00025910">
        <w:rPr>
          <w:color w:val="000000"/>
        </w:rPr>
        <w:fldChar w:fldCharType="begin"/>
      </w:r>
      <w:r w:rsidRPr="00025910">
        <w:rPr>
          <w:color w:val="000000"/>
        </w:rPr>
        <w:instrText xml:space="preserve"> REF Sch28PartD \h  \* MERGEFORMAT </w:instrText>
      </w:r>
      <w:r w:rsidRPr="00025910">
        <w:rPr>
          <w:color w:val="000000"/>
        </w:rPr>
      </w:r>
      <w:r w:rsidRPr="00025910">
        <w:rPr>
          <w:color w:val="000000"/>
        </w:rPr>
        <w:fldChar w:fldCharType="separate"/>
      </w:r>
      <w:r w:rsidR="007A1473" w:rsidRPr="007A1473">
        <w:rPr>
          <w:rFonts w:eastAsia="Calibri"/>
        </w:rPr>
        <w:t>Part D</w:t>
      </w:r>
      <w:r w:rsidRPr="00025910">
        <w:rPr>
          <w:color w:val="000000"/>
        </w:rPr>
        <w:fldChar w:fldCharType="end"/>
      </w:r>
      <w:r w:rsidRPr="00025910">
        <w:t xml:space="preserve"> and agrees that the Authority shall be entitled to terminate its Contract</w:t>
      </w:r>
      <w:r w:rsidRPr="00025910" w:rsidDel="000D1FBB">
        <w:t xml:space="preserve"> </w:t>
      </w:r>
      <w:r w:rsidRPr="00025910">
        <w:t>for material Default in the event that the Supplier:</w:t>
      </w:r>
    </w:p>
    <w:p w14:paraId="2D9665E1" w14:textId="3AB01A36" w:rsidR="00F67E9E" w:rsidRPr="00025910" w:rsidRDefault="00F67E9E" w:rsidP="00F67E9E">
      <w:pPr>
        <w:pStyle w:val="AppendixText3"/>
      </w:pPr>
      <w:r w:rsidRPr="00025910">
        <w:t xml:space="preserve">commits an irremediable breach of any provision or obligation it has under this </w:t>
      </w:r>
      <w:r w:rsidRPr="00B13444">
        <w:fldChar w:fldCharType="begin"/>
      </w:r>
      <w:r w:rsidRPr="00B13444">
        <w:instrText xml:space="preserve"> REF Sch28PartD \h  \* MERGEFORMAT </w:instrText>
      </w:r>
      <w:r w:rsidRPr="00B13444">
        <w:fldChar w:fldCharType="separate"/>
      </w:r>
      <w:r w:rsidR="007A1473" w:rsidRPr="00025910">
        <w:t>Part D</w:t>
      </w:r>
      <w:r w:rsidRPr="00B13444">
        <w:fldChar w:fldCharType="end"/>
      </w:r>
      <w:r w:rsidRPr="00025910">
        <w:t>; or</w:t>
      </w:r>
    </w:p>
    <w:p w14:paraId="7DCF2B59" w14:textId="713CEFA6" w:rsidR="00F67E9E" w:rsidRPr="00025910" w:rsidRDefault="00F67E9E" w:rsidP="00F67E9E">
      <w:pPr>
        <w:pStyle w:val="AppendixText3"/>
      </w:pPr>
      <w:r w:rsidRPr="00025910">
        <w:t xml:space="preserve">commits a breach of any provision or obligation it has under this </w:t>
      </w:r>
      <w:r w:rsidRPr="00B13444">
        <w:fldChar w:fldCharType="begin"/>
      </w:r>
      <w:r w:rsidRPr="00B13444">
        <w:instrText xml:space="preserve"> REF Sch28PartD \h  \* MERGEFORMAT </w:instrText>
      </w:r>
      <w:r w:rsidRPr="00B13444">
        <w:fldChar w:fldCharType="separate"/>
      </w:r>
      <w:r w:rsidR="007A1473" w:rsidRPr="00025910">
        <w:t>Part D</w:t>
      </w:r>
      <w:r w:rsidRPr="00B13444">
        <w:fldChar w:fldCharType="end"/>
      </w:r>
      <w:r w:rsidRPr="00025910">
        <w:t xml:space="preserve"> which, where capable of remedy, it fails to remedy within a reasonable time and in any event within 28 days of the date of a notice from the Authority giving particulars of the breach and requiring the Supplier to remedy it.</w:t>
      </w:r>
    </w:p>
    <w:p w14:paraId="0FBEE188" w14:textId="77777777" w:rsidR="00F67E9E" w:rsidRPr="00C542C5" w:rsidRDefault="00F67E9E" w:rsidP="00F13933">
      <w:pPr>
        <w:pStyle w:val="AppendixText1"/>
        <w:numPr>
          <w:ilvl w:val="0"/>
          <w:numId w:val="59"/>
        </w:numPr>
        <w:rPr>
          <w:color w:val="1F497D"/>
        </w:rPr>
      </w:pPr>
      <w:r w:rsidRPr="00C542C5">
        <w:rPr>
          <w:color w:val="1F497D"/>
        </w:rPr>
        <w:t>Transfer to Another Employer/Sub-contractors</w:t>
      </w:r>
    </w:p>
    <w:p w14:paraId="28DEDCF9" w14:textId="77777777" w:rsidR="00F67E9E" w:rsidRPr="00025910" w:rsidRDefault="00F67E9E" w:rsidP="00F67E9E">
      <w:pPr>
        <w:pStyle w:val="AppendixText2"/>
      </w:pPr>
      <w:r w:rsidRPr="00025910">
        <w:t>Save on expiry or termination of this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08D009A3" w14:textId="77777777" w:rsidR="00F67E9E" w:rsidRPr="00620079" w:rsidRDefault="00F67E9E" w:rsidP="00F67E9E">
      <w:pPr>
        <w:pStyle w:val="AppendixText3"/>
      </w:pPr>
      <w:r w:rsidRPr="00025910">
        <w:t xml:space="preserve">notify the Authority as far as reasonably practicable in advance of the transfer to allow the Authority to make the necessary arrangements for participation with the relevant </w:t>
      </w:r>
      <w:r w:rsidRPr="00620079">
        <w:t xml:space="preserve">Statutory Scheme(s); </w:t>
      </w:r>
    </w:p>
    <w:p w14:paraId="300E6923" w14:textId="77777777" w:rsidR="00F67E9E" w:rsidRPr="00620079" w:rsidRDefault="00F67E9E" w:rsidP="00F67E9E">
      <w:pPr>
        <w:pStyle w:val="AppendixText3"/>
      </w:pPr>
      <w:r w:rsidRPr="00620079">
        <w:t>consult with about, and inform those Fair Deal Eligible Employees of, the pension provisions relating to that transfer; and</w:t>
      </w:r>
    </w:p>
    <w:p w14:paraId="33E44306" w14:textId="7BE19749" w:rsidR="00F67E9E" w:rsidRPr="00025910" w:rsidRDefault="00F67E9E" w:rsidP="00F67E9E">
      <w:pPr>
        <w:pStyle w:val="AppendixText3"/>
      </w:pPr>
      <w:r w:rsidRPr="00620079">
        <w:t>procure</w:t>
      </w:r>
      <w:r w:rsidRPr="00025910">
        <w:t xml:space="preserve"> that the employer to which the Fair Deal Eligible Employees are transferred (the </w:t>
      </w:r>
      <w:r>
        <w:t>“</w:t>
      </w:r>
      <w:r w:rsidRPr="00B13444">
        <w:rPr>
          <w:b/>
        </w:rPr>
        <w:t>New Employer</w:t>
      </w:r>
      <w:r>
        <w:t>”</w:t>
      </w:r>
      <w:r w:rsidRPr="00025910">
        <w:t xml:space="preserve">) complies with the provisions of this </w:t>
      </w:r>
      <w:r w:rsidRPr="00B13444">
        <w:fldChar w:fldCharType="begin"/>
      </w:r>
      <w:r w:rsidRPr="00B13444">
        <w:instrText xml:space="preserve"> REF Sch28PartD \h  \* MERGEFORMAT </w:instrText>
      </w:r>
      <w:r w:rsidRPr="00B13444">
        <w:fldChar w:fldCharType="separate"/>
      </w:r>
      <w:r w:rsidR="007A1473" w:rsidRPr="00025910">
        <w:t>Part D</w:t>
      </w:r>
      <w:r w:rsidRPr="00B13444">
        <w:fldChar w:fldCharType="end"/>
      </w:r>
      <w:r w:rsidRPr="00025910">
        <w:t xml:space="preserve"> and its Annexes provided that references to the </w:t>
      </w:r>
      <w:r>
        <w:t>“</w:t>
      </w:r>
      <w:r w:rsidRPr="00025910">
        <w:t>Supplier</w:t>
      </w:r>
      <w:r>
        <w:t>”</w:t>
      </w:r>
      <w:r w:rsidRPr="00025910">
        <w:t xml:space="preserve"> will become references to the New Employer, references to </w:t>
      </w:r>
      <w:r>
        <w:t>“</w:t>
      </w:r>
      <w:r w:rsidRPr="00025910">
        <w:t>Relevant Transfer Date</w:t>
      </w:r>
      <w:r>
        <w:t>”</w:t>
      </w:r>
      <w:r w:rsidRPr="00025910">
        <w:t xml:space="preserve"> will become references to the date of the transfer to the New Employer and references to </w:t>
      </w:r>
      <w:r>
        <w:t>“</w:t>
      </w:r>
      <w:r w:rsidRPr="00025910">
        <w:t>Fair Deal Employees</w:t>
      </w:r>
      <w:r>
        <w:t>”</w:t>
      </w:r>
      <w:r w:rsidRPr="00025910">
        <w:t xml:space="preserve"> will become references to the Fair Deal Eligible Employees so transferred to the New Employer.</w:t>
      </w:r>
    </w:p>
    <w:p w14:paraId="56EC18D1" w14:textId="77777777" w:rsidR="00F67E9E" w:rsidRPr="00C542C5" w:rsidRDefault="00F67E9E" w:rsidP="00F13933">
      <w:pPr>
        <w:pStyle w:val="AppendixText1"/>
        <w:numPr>
          <w:ilvl w:val="0"/>
          <w:numId w:val="59"/>
        </w:numPr>
        <w:rPr>
          <w:color w:val="1F497D"/>
        </w:rPr>
      </w:pPr>
      <w:r w:rsidRPr="00C542C5">
        <w:rPr>
          <w:color w:val="1F497D"/>
        </w:rPr>
        <w:t>Pension Issues on Expiry or Termination</w:t>
      </w:r>
    </w:p>
    <w:p w14:paraId="3A80E963" w14:textId="4E8DC37D" w:rsidR="00F67E9E" w:rsidRPr="00025910" w:rsidRDefault="00F67E9E" w:rsidP="00F67E9E">
      <w:pPr>
        <w:pStyle w:val="AppendixText2"/>
      </w:pPr>
      <w:r w:rsidRPr="00025910">
        <w:t xml:space="preserve">The provisions of </w:t>
      </w:r>
      <w:bookmarkStart w:id="2296" w:name="_9kMON5YVt4DDABGgGp9X"/>
      <w:r w:rsidRPr="00025910">
        <w:fldChar w:fldCharType="begin"/>
      </w:r>
      <w:r w:rsidRPr="00025910">
        <w:instrText xml:space="preserve"> REF Sch28PartE \h  \* MERGEFORMAT </w:instrText>
      </w:r>
      <w:r w:rsidRPr="00025910">
        <w:fldChar w:fldCharType="separate"/>
      </w:r>
      <w:r w:rsidR="007A1473" w:rsidRPr="007A1473">
        <w:t>Part E</w:t>
      </w:r>
      <w:r w:rsidRPr="00025910">
        <w:fldChar w:fldCharType="end"/>
      </w:r>
      <w:bookmarkEnd w:id="2296"/>
      <w:r w:rsidRPr="00025910">
        <w:t xml:space="preserve">: </w:t>
      </w:r>
      <w:r w:rsidRPr="00BB0C30">
        <w:t xml:space="preserve">Employment Exit Provisions </w:t>
      </w:r>
      <w:r w:rsidRPr="00025910">
        <w:t>(Mandatory) apply in relation to pension issues on expiry or termination of this Contract.</w:t>
      </w:r>
    </w:p>
    <w:p w14:paraId="7E863E2C" w14:textId="77777777" w:rsidR="00F67E9E" w:rsidRPr="00025910" w:rsidRDefault="00F67E9E" w:rsidP="00F67E9E">
      <w:pPr>
        <w:pStyle w:val="AppendixText2"/>
      </w:pPr>
      <w:r w:rsidRPr="00025910">
        <w:t>The Supplier shall (and shall procure that any of its Sub-contractors shall) prior to the termination of this Contract</w:t>
      </w:r>
      <w:r w:rsidRPr="00025910" w:rsidDel="000D1FBB">
        <w:t xml:space="preserve"> </w:t>
      </w:r>
      <w:r w:rsidRPr="00025910">
        <w:t>provide all such co-operation and assistance (including co-operation and assistance from the Broadly Comparable pension scheme</w:t>
      </w:r>
      <w:r>
        <w:t>’</w:t>
      </w:r>
      <w:r w:rsidRPr="00025910">
        <w:t>s Actuary) as the Replacement Supplier and/or NHS Pension and/or CSPS and/or the relevant Administering Authority and/or the Authority may reasonably require, to enable the Replacement Supplier to participate in the appropriate Statutory Scheme in respect of any Fair Deal</w:t>
      </w:r>
      <w:r>
        <w:t xml:space="preserve"> </w:t>
      </w:r>
      <w:r w:rsidRPr="00025910">
        <w:t>Eligible Employee that remains eligible for New Fair Deal protection following a Service Transfer.</w:t>
      </w:r>
    </w:p>
    <w:p w14:paraId="7F0C1B90" w14:textId="77777777" w:rsidR="00F67E9E" w:rsidRPr="00C542C5" w:rsidRDefault="00F67E9E" w:rsidP="00F13933">
      <w:pPr>
        <w:pStyle w:val="AppendixText1"/>
        <w:numPr>
          <w:ilvl w:val="0"/>
          <w:numId w:val="59"/>
        </w:numPr>
        <w:rPr>
          <w:color w:val="1F497D"/>
        </w:rPr>
      </w:pPr>
      <w:bookmarkStart w:id="2297" w:name="_9kR3WTrAG98A8ZJfifw5qFQKjPyIfiPa9N7x9VN"/>
      <w:bookmarkStart w:id="2298" w:name="_9kR3WTr29B7FKeJfifw5qFQKjPyIfiPa9N7x9VN"/>
      <w:bookmarkStart w:id="2299" w:name="_Ref_ContractCompanion_9kb9Ur378"/>
      <w:bookmarkStart w:id="2300" w:name="_Ref_ContractCompanion_9kb9Ur37A"/>
      <w:bookmarkStart w:id="2301" w:name="_Ref_ContractCompanion_9kb9Ur37C"/>
      <w:bookmarkStart w:id="2302" w:name="_Ref_ContractCompanion_9kb9Ur37E"/>
      <w:bookmarkStart w:id="2303" w:name="_Ref_ContractCompanion_9kb9Ur38F"/>
      <w:bookmarkStart w:id="2304" w:name="_Ref_ContractCompanion_9kb9Us45B"/>
      <w:r w:rsidRPr="00C542C5">
        <w:rPr>
          <w:color w:val="1F497D"/>
        </w:rPr>
        <w:lastRenderedPageBreak/>
        <w:t>Broadly Comparable Pension Scheme on Relevant Transfer Date</w:t>
      </w:r>
      <w:bookmarkEnd w:id="2297"/>
      <w:bookmarkEnd w:id="2298"/>
      <w:r w:rsidRPr="00C542C5">
        <w:rPr>
          <w:color w:val="1F497D"/>
        </w:rPr>
        <w:t xml:space="preserve"> </w:t>
      </w:r>
      <w:bookmarkEnd w:id="2299"/>
      <w:bookmarkEnd w:id="2300"/>
      <w:bookmarkEnd w:id="2301"/>
      <w:bookmarkEnd w:id="2302"/>
      <w:bookmarkEnd w:id="2303"/>
      <w:bookmarkEnd w:id="2304"/>
    </w:p>
    <w:p w14:paraId="0E8A4DA4" w14:textId="6302A610" w:rsidR="00F67E9E" w:rsidRPr="00025910" w:rsidRDefault="00F67E9E" w:rsidP="00F67E9E">
      <w:pPr>
        <w:pStyle w:val="AppendixText2"/>
      </w:pPr>
      <w:r w:rsidRPr="00025910">
        <w:t xml:space="preserve">If the terms of any of </w:t>
      </w:r>
      <w:bookmarkStart w:id="2305" w:name="_9kR3WTr2BD67Bzknoewrqy2Q"/>
      <w:r w:rsidRPr="00025910">
        <w:t xml:space="preserve">Paragraphs </w:t>
      </w:r>
      <w:r w:rsidRPr="00025910">
        <w:fldChar w:fldCharType="begin"/>
      </w:r>
      <w:r w:rsidRPr="00025910">
        <w:instrText xml:space="preserve"> REF _Ref_ContractCompanion_9kb9Ut235 \w \n \h \t \* MERGEFORMAT </w:instrText>
      </w:r>
      <w:r w:rsidRPr="00025910">
        <w:fldChar w:fldCharType="separate"/>
      </w:r>
      <w:r w:rsidR="007A1473">
        <w:t>4</w:t>
      </w:r>
      <w:r w:rsidRPr="00025910">
        <w:fldChar w:fldCharType="end"/>
      </w:r>
      <w:bookmarkEnd w:id="2305"/>
      <w:r w:rsidRPr="00025910">
        <w:t xml:space="preserve"> of Annex </w:t>
      </w:r>
      <w:r w:rsidRPr="00025910">
        <w:fldChar w:fldCharType="begin"/>
      </w:r>
      <w:r w:rsidRPr="00025910">
        <w:instrText xml:space="preserve"> REF ANNEXD2_SCHEDULE28 \h </w:instrText>
      </w:r>
      <w:r>
        <w:instrText xml:space="preserve"> \* MERGEFORMAT </w:instrText>
      </w:r>
      <w:r w:rsidRPr="00025910">
        <w:fldChar w:fldCharType="separate"/>
      </w:r>
      <w:r w:rsidR="007A1473" w:rsidRPr="00025910">
        <w:t>D2</w:t>
      </w:r>
      <w:r w:rsidRPr="00025910">
        <w:fldChar w:fldCharType="end"/>
      </w:r>
      <w:r w:rsidRPr="00025910">
        <w:t xml:space="preserve">: </w:t>
      </w:r>
      <w:r w:rsidRPr="00025910">
        <w:fldChar w:fldCharType="begin"/>
      </w:r>
      <w:r w:rsidRPr="00025910">
        <w:instrText xml:space="preserve"> REF ANNEXD2HEADING_SCHEDULE28 \h </w:instrText>
      </w:r>
      <w:r>
        <w:instrText xml:space="preserve"> \* MERGEFORMAT </w:instrText>
      </w:r>
      <w:r w:rsidRPr="00025910">
        <w:fldChar w:fldCharType="separate"/>
      </w:r>
      <w:r w:rsidR="007A1473" w:rsidRPr="00025910">
        <w:t>NHSPS</w:t>
      </w:r>
      <w:r w:rsidRPr="00025910">
        <w:fldChar w:fldCharType="end"/>
      </w:r>
      <w:r w:rsidRPr="00025910">
        <w:t xml:space="preserve"> or </w:t>
      </w:r>
      <w:bookmarkStart w:id="2306" w:name="_9kR3WTr2BD67EGC"/>
      <w:r w:rsidRPr="00025910">
        <w:fldChar w:fldCharType="begin"/>
      </w:r>
      <w:r w:rsidRPr="00025910">
        <w:instrText xml:space="preserve"> REF _Ref_ContractCompanion_9kb9Ut238 \n \h \t \* MERGEFORMAT </w:instrText>
      </w:r>
      <w:r w:rsidRPr="00025910">
        <w:fldChar w:fldCharType="separate"/>
      </w:r>
      <w:r w:rsidR="007A1473">
        <w:t>3.1</w:t>
      </w:r>
      <w:r w:rsidRPr="00025910">
        <w:fldChar w:fldCharType="end"/>
      </w:r>
      <w:bookmarkEnd w:id="2306"/>
      <w:r w:rsidRPr="00025910">
        <w:t xml:space="preserve"> of Annex </w:t>
      </w:r>
      <w:r w:rsidRPr="00025910">
        <w:fldChar w:fldCharType="begin"/>
      </w:r>
      <w:r w:rsidRPr="00025910">
        <w:instrText xml:space="preserve"> REF ANNEXD3_SCHEDULE28 \h </w:instrText>
      </w:r>
      <w:r>
        <w:instrText xml:space="preserve"> \* MERGEFORMAT </w:instrText>
      </w:r>
      <w:r w:rsidRPr="00025910">
        <w:fldChar w:fldCharType="separate"/>
      </w:r>
      <w:r w:rsidR="007A1473" w:rsidRPr="00025910">
        <w:t>D3</w:t>
      </w:r>
      <w:r w:rsidRPr="00025910">
        <w:fldChar w:fldCharType="end"/>
      </w:r>
      <w:r w:rsidRPr="00025910">
        <w:t xml:space="preserve">: </w:t>
      </w:r>
      <w:r w:rsidRPr="00025910">
        <w:fldChar w:fldCharType="begin"/>
      </w:r>
      <w:r w:rsidRPr="00025910">
        <w:instrText xml:space="preserve"> REF ANNEXD3HEADING_SCHEDULE28 \h </w:instrText>
      </w:r>
      <w:r>
        <w:instrText xml:space="preserve"> \* MERGEFORMAT </w:instrText>
      </w:r>
      <w:r w:rsidRPr="00025910">
        <w:fldChar w:fldCharType="separate"/>
      </w:r>
      <w:r w:rsidR="007A1473" w:rsidRPr="00025910">
        <w:t>LGPS</w:t>
      </w:r>
      <w:r w:rsidRPr="00025910">
        <w:fldChar w:fldCharType="end"/>
      </w:r>
      <w:r w:rsidRPr="00025910">
        <w:t xml:space="preserve">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Authority.</w:t>
      </w:r>
    </w:p>
    <w:p w14:paraId="6AD13676" w14:textId="77777777" w:rsidR="00F67E9E" w:rsidRPr="00025910" w:rsidRDefault="00F67E9E" w:rsidP="00F67E9E">
      <w:pPr>
        <w:pStyle w:val="AppendixText2"/>
      </w:pPr>
      <w:r w:rsidRPr="00025910">
        <w:t>Such Broadly Comparable pension scheme must be:</w:t>
      </w:r>
    </w:p>
    <w:p w14:paraId="77233B4F" w14:textId="77777777" w:rsidR="00F67E9E" w:rsidRPr="00620079" w:rsidRDefault="00F67E9E" w:rsidP="00F67E9E">
      <w:pPr>
        <w:pStyle w:val="AppendixText3"/>
      </w:pPr>
      <w:r w:rsidRPr="00620079">
        <w:t>established by the Relevant Transfer Date;</w:t>
      </w:r>
    </w:p>
    <w:p w14:paraId="1DA73C03" w14:textId="77777777" w:rsidR="00F67E9E" w:rsidRPr="00620079" w:rsidRDefault="00F67E9E" w:rsidP="00F67E9E">
      <w:pPr>
        <w:pStyle w:val="AppendixText3"/>
      </w:pPr>
      <w:r w:rsidRPr="00620079">
        <w:t xml:space="preserve">a registered pension scheme for the purposes of Part 4 of the Finance Act 2004; </w:t>
      </w:r>
    </w:p>
    <w:p w14:paraId="33B611BD" w14:textId="77777777" w:rsidR="00F67E9E" w:rsidRPr="00620079" w:rsidRDefault="00F67E9E" w:rsidP="00F67E9E">
      <w:pPr>
        <w:pStyle w:val="AppendixText3"/>
      </w:pPr>
      <w:r w:rsidRPr="00620079">
        <w:t xml:space="preserve">capable of receiving a bulk transfer payment from the relevant Statutory Scheme or from a Former Supplier’s Broadly Comparable pension scheme (unless otherwise instructed by the Authority); </w:t>
      </w:r>
    </w:p>
    <w:p w14:paraId="6AD3408C" w14:textId="77777777" w:rsidR="00F67E9E" w:rsidRPr="00620079" w:rsidRDefault="00F67E9E" w:rsidP="00F67E9E">
      <w:pPr>
        <w:pStyle w:val="AppendixText3"/>
      </w:pPr>
      <w:r w:rsidRPr="00620079">
        <w:t xml:space="preserve">capable of paying a bulk transfer payment to the Replacement Supplier’s Broadly Comparable pension scheme (or the relevant Statutory Scheme if applicable) (unless otherwise instructed by the Authority); and </w:t>
      </w:r>
    </w:p>
    <w:p w14:paraId="4560203D" w14:textId="77777777" w:rsidR="00F67E9E" w:rsidRPr="00025910" w:rsidRDefault="00F67E9E" w:rsidP="00F67E9E">
      <w:pPr>
        <w:pStyle w:val="AppendixText3"/>
      </w:pPr>
      <w:r w:rsidRPr="00620079">
        <w:t>maintained until such bulk transfer payments have been received or paid (unless otherwise</w:t>
      </w:r>
      <w:r w:rsidRPr="00025910">
        <w:t xml:space="preserve"> instructed by the Authority).</w:t>
      </w:r>
    </w:p>
    <w:p w14:paraId="13C194DC" w14:textId="416971C9" w:rsidR="00F67E9E" w:rsidRPr="00025910" w:rsidRDefault="00F67E9E" w:rsidP="00F67E9E">
      <w:pPr>
        <w:pStyle w:val="AppendixText2"/>
      </w:pPr>
      <w:r w:rsidRPr="00025910">
        <w:t xml:space="preserve">Where the Supplier has provided a Broadly Comparable pension scheme pursuant to the provisions of this </w:t>
      </w:r>
      <w:bookmarkStart w:id="2307" w:name="_9kMHG5YVtCIBACAbLhkhy7sHSMlR0KhkRcBP9zB"/>
      <w:r w:rsidRPr="00025910">
        <w:t xml:space="preserve">Paragraph </w:t>
      </w:r>
      <w:r w:rsidRPr="00025910">
        <w:fldChar w:fldCharType="begin"/>
      </w:r>
      <w:r w:rsidRPr="00025910">
        <w:instrText xml:space="preserve"> REF _Ref_ContractCompanion_9kb9Us45B \w \n \h \t \* MERGEFORMAT </w:instrText>
      </w:r>
      <w:r w:rsidRPr="00025910">
        <w:fldChar w:fldCharType="separate"/>
      </w:r>
      <w:bookmarkStart w:id="2308" w:name="_9kMKJ5YVt4BD9HMgLhkhy7sHSMlR0KhkRcBP9zB"/>
      <w:r w:rsidR="007A1473">
        <w:t>10</w:t>
      </w:r>
      <w:bookmarkEnd w:id="2308"/>
      <w:r w:rsidRPr="00025910">
        <w:fldChar w:fldCharType="end"/>
      </w:r>
      <w:bookmarkEnd w:id="2307"/>
      <w:r w:rsidRPr="00025910">
        <w:t>, the Supplier shall (and shall procure that any of its Sub-contractors shall):</w:t>
      </w:r>
    </w:p>
    <w:p w14:paraId="04788774" w14:textId="77777777" w:rsidR="00F67E9E" w:rsidRPr="00025910" w:rsidRDefault="00F67E9E" w:rsidP="00F67E9E">
      <w:pPr>
        <w:pStyle w:val="AppendixText3"/>
      </w:pPr>
      <w:r w:rsidRPr="00025910">
        <w:t>supply to the Authority details of its (or its Sub-contractor</w:t>
      </w:r>
      <w:r>
        <w:t>’</w:t>
      </w:r>
      <w:r w:rsidRPr="00025910">
        <w:t>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1EF12437" w14:textId="77777777" w:rsidR="00F67E9E" w:rsidRPr="00025910" w:rsidRDefault="00F67E9E" w:rsidP="00F67E9E">
      <w:pPr>
        <w:pStyle w:val="AppendixText3"/>
      </w:pPr>
      <w:r w:rsidRPr="00025910">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2309" w:name="_9kR3WTr2797DH3rcszv1LR99TVZQ28Bxgb6LHEK"/>
      <w:r w:rsidRPr="00025910">
        <w:t>section 75 or 75A of the Pensions Act 1995</w:t>
      </w:r>
      <w:bookmarkEnd w:id="2309"/>
      <w:r w:rsidRPr="00025910">
        <w:t xml:space="preserve">; </w:t>
      </w:r>
    </w:p>
    <w:p w14:paraId="240718DD" w14:textId="77777777" w:rsidR="00F67E9E" w:rsidRPr="00025910" w:rsidRDefault="00F67E9E" w:rsidP="00F67E9E">
      <w:pPr>
        <w:pStyle w:val="AppendixText3"/>
      </w:pPr>
      <w:bookmarkStart w:id="2310" w:name="_9kR3WTrAGA67HH9Cpiu5CCE00zuJPM7vVaK4u6S"/>
      <w:bookmarkStart w:id="2311" w:name="_Ref_ContractCompanion_9kb9Ut23B"/>
      <w:r w:rsidRPr="00025910">
        <w:t>instruct any such Broadly Comparable pension scheme</w:t>
      </w:r>
      <w:r>
        <w:t>’</w:t>
      </w:r>
      <w:r w:rsidRPr="00025910">
        <w:t>s Actuary to provide all such co-operation and assistance in agreeing bulk transfer process with the Actuary to the Former Supplier</w:t>
      </w:r>
      <w:r>
        <w:t>’</w:t>
      </w:r>
      <w:r w:rsidRPr="00025910">
        <w:t>s Broadly Comparable pension scheme or the Actuary to the relevant Statutory Scheme (as appropriate) and to provide all such co-operation and assistance with any other Actuary appointed by the Authority (where applicable).</w:t>
      </w:r>
      <w:bookmarkEnd w:id="2310"/>
      <w:r w:rsidRPr="00025910">
        <w:t xml:space="preserve"> This will be with a view to the bulk transfer terms providing day for day and/or pound for pound (as applicable) (or actuarially equivalent where there are benefit differences between the two schemes) </w:t>
      </w:r>
      <w:r w:rsidRPr="00025910">
        <w:lastRenderedPageBreak/>
        <w:t>credits in the Broadly Comparable pension scheme in respect of any Fair Deal Eligible Employee who consents to such a transfer; and</w:t>
      </w:r>
      <w:bookmarkEnd w:id="2311"/>
    </w:p>
    <w:p w14:paraId="3F51A9AE" w14:textId="5C8EA914" w:rsidR="00F67E9E" w:rsidRPr="00025910" w:rsidRDefault="00F67E9E" w:rsidP="00F67E9E">
      <w:pPr>
        <w:pStyle w:val="AppendixText3"/>
      </w:pPr>
      <w:r w:rsidRPr="00025910">
        <w:t xml:space="preserve">provide a replacement Broadly Comparable pension scheme in accordance with this </w:t>
      </w:r>
      <w:bookmarkStart w:id="2312" w:name="_9kMIH5YVtCIBACAbLhkhy7sHSMlR0KhkRcBP9zB"/>
      <w:r w:rsidRPr="00025910">
        <w:t xml:space="preserve">Paragraph </w:t>
      </w:r>
      <w:r w:rsidRPr="00025910">
        <w:fldChar w:fldCharType="begin"/>
      </w:r>
      <w:r w:rsidRPr="00025910">
        <w:instrText xml:space="preserve"> REF _Ref_ContractCompanion_9kb9Us45B \w \n \h \t \* MERGEFORMAT </w:instrText>
      </w:r>
      <w:r w:rsidRPr="00025910">
        <w:fldChar w:fldCharType="separate"/>
      </w:r>
      <w:bookmarkStart w:id="2313" w:name="_9kMLK5YVt4BD9HMgLhkhy7sHSMlR0KhkRcBP9zB"/>
      <w:r w:rsidR="007A1473">
        <w:t>10</w:t>
      </w:r>
      <w:bookmarkEnd w:id="2313"/>
      <w:r w:rsidRPr="00025910">
        <w:fldChar w:fldCharType="end"/>
      </w:r>
      <w:bookmarkEnd w:id="2312"/>
      <w:r w:rsidRPr="00025910">
        <w:t xml:space="preserve"> with immediate effect for those Fair Deal Eligible Employees who are still employed by the Supplier and/or relevant Sub-contractor and are still eligible for New Fair Deal protection in the event that the Supplier and/or Sub-contractor</w:t>
      </w:r>
      <w:r>
        <w:t>’</w:t>
      </w:r>
      <w:r w:rsidRPr="00025910">
        <w:t xml:space="preserve">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AE7586B" w14:textId="5FED2230" w:rsidR="00F67E9E" w:rsidRPr="00025910" w:rsidRDefault="00F67E9E" w:rsidP="00F67E9E">
      <w:pPr>
        <w:pStyle w:val="AppendixText2"/>
      </w:pPr>
      <w:r w:rsidRPr="00025910">
        <w:t xml:space="preserve">Where the Supplier has provided a Broadly Comparable pension scheme pursuant to the provisions of this </w:t>
      </w:r>
      <w:bookmarkStart w:id="2314" w:name="_9kMJI5YVtCIBACAbLhkhy7sHSMlR0KhkRcBP9zB"/>
      <w:r w:rsidRPr="00025910">
        <w:t xml:space="preserve">Paragraph </w:t>
      </w:r>
      <w:r w:rsidRPr="00025910">
        <w:fldChar w:fldCharType="begin"/>
      </w:r>
      <w:r w:rsidRPr="00025910">
        <w:instrText xml:space="preserve"> REF _Ref_ContractCompanion_9kb9Us45B \w \n \h \t \* MERGEFORMAT </w:instrText>
      </w:r>
      <w:r w:rsidRPr="00025910">
        <w:fldChar w:fldCharType="separate"/>
      </w:r>
      <w:bookmarkStart w:id="2315" w:name="_9kMML5YVt4BD9HMgLhkhy7sHSMlR0KhkRcBP9zB"/>
      <w:r w:rsidR="007A1473">
        <w:t>10</w:t>
      </w:r>
      <w:bookmarkEnd w:id="2315"/>
      <w:r w:rsidRPr="00025910">
        <w:fldChar w:fldCharType="end"/>
      </w:r>
      <w:bookmarkEnd w:id="2314"/>
      <w:r w:rsidRPr="00025910">
        <w:t>, the Supplier shall (and shall procure that any of its Sub-contractors shall) prior to the termination of this Contract:</w:t>
      </w:r>
    </w:p>
    <w:p w14:paraId="5837E367" w14:textId="0E0EE512" w:rsidR="00F67E9E" w:rsidRPr="00025910" w:rsidRDefault="00F67E9E" w:rsidP="00F67E9E">
      <w:pPr>
        <w:pStyle w:val="AppendixText3"/>
      </w:pPr>
      <w:bookmarkStart w:id="2316" w:name="_9kR3WTrAGA68BA9DoYkw0Czrvvtsxow8B5vwDSB"/>
      <w:bookmarkStart w:id="2317" w:name="_Ref_ContractCompanion_9kb9Ut245"/>
      <w:r w:rsidRPr="00025910">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w:t>
      </w:r>
      <w:r>
        <w:t>’</w:t>
      </w:r>
      <w:r w:rsidRPr="00025910">
        <w:t>s Broadly Comparable pension scheme (or the relevant Statutory Scheme if applicable).</w:t>
      </w:r>
      <w:bookmarkEnd w:id="2316"/>
      <w:r w:rsidRPr="00025910">
        <w:t xml:space="preserv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w:t>
      </w:r>
      <w:bookmarkStart w:id="2318" w:name="_9kMHG5YVtCIC89JJBErkw7EEG221wLRO9xXcM6w"/>
      <w:r w:rsidRPr="00025910">
        <w:t xml:space="preserve">Paragraph </w:t>
      </w:r>
      <w:r w:rsidRPr="00025910">
        <w:fldChar w:fldCharType="begin"/>
      </w:r>
      <w:r w:rsidRPr="00025910">
        <w:instrText xml:space="preserve"> REF _Ref_ContractCompanion_9kb9Ut23B \w \h \t \* MERGEFORMAT </w:instrText>
      </w:r>
      <w:r w:rsidRPr="00025910">
        <w:fldChar w:fldCharType="separate"/>
      </w:r>
      <w:r w:rsidR="007A1473">
        <w:t>10.3.3</w:t>
      </w:r>
      <w:r w:rsidRPr="00025910">
        <w:fldChar w:fldCharType="end"/>
      </w:r>
      <w:bookmarkEnd w:id="2318"/>
      <w:r w:rsidRPr="00025910">
        <w:t xml:space="preserve"> such that the element of the past service reserve amount which relates to such service credits shall be no lower than that required by the bulk transfer terms that were agreed in accordance with </w:t>
      </w:r>
      <w:bookmarkStart w:id="2319" w:name="_9kMIH5YVtCIC89JJBErkw7EEG221wLRO9xXcM6w"/>
      <w:r w:rsidRPr="00025910">
        <w:t xml:space="preserve">Paragraph </w:t>
      </w:r>
      <w:r w:rsidRPr="00025910">
        <w:fldChar w:fldCharType="begin"/>
      </w:r>
      <w:r w:rsidRPr="00025910">
        <w:instrText xml:space="preserve"> REF _Ref_ContractCompanion_9kb9Ut23B \w \h \t \* MERGEFORMAT </w:instrText>
      </w:r>
      <w:r w:rsidRPr="00025910">
        <w:fldChar w:fldCharType="separate"/>
      </w:r>
      <w:r w:rsidR="007A1473">
        <w:t>10.3.3</w:t>
      </w:r>
      <w:r w:rsidRPr="00025910">
        <w:fldChar w:fldCharType="end"/>
      </w:r>
      <w:bookmarkEnd w:id="2319"/>
      <w:r w:rsidRPr="00025910">
        <w:t xml:space="preserve"> but using the last day of the Fair Deal Eligible Employees</w:t>
      </w:r>
      <w:r>
        <w:t>’</w:t>
      </w:r>
      <w:r w:rsidRPr="00025910">
        <w:t xml:space="preserve"> employment with the Supplier or Sub-contractor (as appropriate) as the date used to determine the actuarial assumptions; and </w:t>
      </w:r>
      <w:bookmarkEnd w:id="2317"/>
    </w:p>
    <w:p w14:paraId="731BBAC9" w14:textId="1AA95BDB" w:rsidR="00F67E9E" w:rsidRPr="00025910" w:rsidRDefault="00F67E9E" w:rsidP="00F67E9E">
      <w:pPr>
        <w:pStyle w:val="AppendixText3"/>
      </w:pPr>
      <w:r w:rsidRPr="00025910">
        <w:t>if the transfer payment paid by the trustees of the Broadly Comparable pension scheme is less (in the opinion of the Actuary to the Replacement Supplier</w:t>
      </w:r>
      <w:r>
        <w:t>’</w:t>
      </w:r>
      <w:r w:rsidRPr="00025910">
        <w:t xml:space="preserve">s Broadly Comparable pension scheme (or to the relevant Statutory Scheme if applicable)) than the transfer payment which would have been paid had </w:t>
      </w:r>
      <w:bookmarkStart w:id="2320" w:name="_9kMHG5YVtCIC8ADCBFqamy2E1txxvuzqyAD7xyF"/>
      <w:r w:rsidRPr="00025910">
        <w:t xml:space="preserve">Paragraph </w:t>
      </w:r>
      <w:r w:rsidRPr="00025910">
        <w:fldChar w:fldCharType="begin"/>
      </w:r>
      <w:r w:rsidRPr="00025910">
        <w:instrText xml:space="preserve"> REF _Ref_ContractCompanion_9kb9Ut245 \w \h \t \* MERGEFORMAT </w:instrText>
      </w:r>
      <w:r w:rsidRPr="00025910">
        <w:fldChar w:fldCharType="separate"/>
      </w:r>
      <w:r w:rsidR="007A1473">
        <w:t>10.4.1</w:t>
      </w:r>
      <w:r w:rsidRPr="00025910">
        <w:fldChar w:fldCharType="end"/>
      </w:r>
      <w:bookmarkEnd w:id="2320"/>
      <w:r w:rsidRPr="00025910">
        <w:t xml:space="preserve"> been complied with, the Supplier shall (or shall procure that the Sub-contractor shall) pay the amount of the difference to the Replacement Supplier</w:t>
      </w:r>
      <w:r>
        <w:t>’</w:t>
      </w:r>
      <w:r w:rsidRPr="00025910">
        <w:t>s Broadly Comparable pension scheme (or relevant Statutory Scheme if applicable) or as the Authority shall otherwise direct. The Supplier shall indemnify the Authority or the Replacement Supplier</w:t>
      </w:r>
      <w:r>
        <w:t>’</w:t>
      </w:r>
      <w:r w:rsidRPr="00025910">
        <w:t>s Broadly Comparable pension scheme (or the relevant Statutory Scheme if applicable) (as the Authority directs) for any failure to pay the difference as required under this Paragraph.</w:t>
      </w:r>
    </w:p>
    <w:p w14:paraId="09D99F18" w14:textId="77777777" w:rsidR="00F67E9E" w:rsidRPr="00C542C5" w:rsidRDefault="00F67E9E" w:rsidP="00F13933">
      <w:pPr>
        <w:pStyle w:val="AppendixText1"/>
        <w:numPr>
          <w:ilvl w:val="0"/>
          <w:numId w:val="59"/>
        </w:numPr>
        <w:rPr>
          <w:color w:val="1F497D"/>
        </w:rPr>
      </w:pPr>
      <w:bookmarkStart w:id="2321" w:name="_Ref_ContractCompanion_9kb9Ur388"/>
      <w:bookmarkStart w:id="2322" w:name="_Ref_ContractCompanion_9kb9Ur38A"/>
      <w:bookmarkStart w:id="2323" w:name="_Ref_ContractCompanion_9kb9Ur39B"/>
      <w:bookmarkStart w:id="2324" w:name="_Ref_ContractCompanion_9kb9Ur39F"/>
      <w:bookmarkStart w:id="2325" w:name="_Ref_ContractCompanion_9kb9Ur3A8"/>
      <w:bookmarkStart w:id="2326" w:name="_Ref_ContractCompanion_9kb9Us458"/>
      <w:bookmarkStart w:id="2327" w:name="_9kR3WTrAG989EgJfifw5qFQKjPyIfiQb9N7x9VN"/>
      <w:bookmarkStart w:id="2328" w:name="_9kR3WTr29B7FJdJfifw5qFQKjPyIfiQb9N7x9VN"/>
      <w:r w:rsidRPr="00C542C5">
        <w:rPr>
          <w:color w:val="1F497D"/>
        </w:rPr>
        <w:lastRenderedPageBreak/>
        <w:t>Broadly Comparable Pension Scheme in Other Circumstances</w:t>
      </w:r>
      <w:bookmarkEnd w:id="2321"/>
      <w:bookmarkEnd w:id="2322"/>
      <w:bookmarkEnd w:id="2323"/>
      <w:bookmarkEnd w:id="2324"/>
      <w:bookmarkEnd w:id="2325"/>
      <w:bookmarkEnd w:id="2326"/>
      <w:bookmarkEnd w:id="2327"/>
      <w:bookmarkEnd w:id="2328"/>
    </w:p>
    <w:p w14:paraId="7CB908BF" w14:textId="55649523" w:rsidR="00F67E9E" w:rsidRPr="00025910" w:rsidRDefault="00F67E9E" w:rsidP="00F67E9E">
      <w:pPr>
        <w:pStyle w:val="AppendixText2"/>
      </w:pPr>
      <w:r w:rsidRPr="00025910">
        <w:t xml:space="preserve">If the terms of any of </w:t>
      </w:r>
      <w:bookmarkStart w:id="2329" w:name="_9kR3WTr2BD68E1knoewrqy2OM"/>
      <w:r w:rsidRPr="00025910">
        <w:t xml:space="preserve">Paragraphs </w:t>
      </w:r>
      <w:r w:rsidRPr="00025910">
        <w:fldChar w:fldCharType="begin"/>
      </w:r>
      <w:r w:rsidRPr="00025910">
        <w:instrText xml:space="preserve"> REF _Ref_ContractCompanion_9kb9Ut248 \n \h \t \* MERGEFORMAT </w:instrText>
      </w:r>
      <w:r w:rsidRPr="00025910">
        <w:fldChar w:fldCharType="separate"/>
      </w:r>
      <w:r w:rsidR="007A1473">
        <w:t>2.2</w:t>
      </w:r>
      <w:r w:rsidRPr="00025910">
        <w:fldChar w:fldCharType="end"/>
      </w:r>
      <w:bookmarkEnd w:id="2329"/>
      <w:r w:rsidRPr="00025910">
        <w:t xml:space="preserve"> of Annex </w:t>
      </w:r>
      <w:r w:rsidRPr="00025910">
        <w:fldChar w:fldCharType="begin"/>
      </w:r>
      <w:r w:rsidRPr="00025910">
        <w:instrText xml:space="preserve"> REF ANNEXD1_SCHEDULE28 \h </w:instrText>
      </w:r>
      <w:r>
        <w:instrText xml:space="preserve"> \* MERGEFORMAT </w:instrText>
      </w:r>
      <w:r w:rsidRPr="00025910">
        <w:fldChar w:fldCharType="separate"/>
      </w:r>
      <w:r w:rsidR="007A1473" w:rsidRPr="00025910">
        <w:t>D1</w:t>
      </w:r>
      <w:r w:rsidRPr="00025910">
        <w:fldChar w:fldCharType="end"/>
      </w:r>
      <w:r w:rsidRPr="00025910">
        <w:t xml:space="preserve">: </w:t>
      </w:r>
      <w:r w:rsidRPr="00025910">
        <w:fldChar w:fldCharType="begin"/>
      </w:r>
      <w:r w:rsidRPr="00025910">
        <w:instrText xml:space="preserve"> REF ANNEXD1HEADING_SCHEDULE28 \h </w:instrText>
      </w:r>
      <w:r>
        <w:instrText xml:space="preserve"> \* MERGEFORMAT </w:instrText>
      </w:r>
      <w:r w:rsidRPr="00025910">
        <w:fldChar w:fldCharType="separate"/>
      </w:r>
      <w:r w:rsidR="007A1473" w:rsidRPr="00025910">
        <w:t>CSPS</w:t>
      </w:r>
      <w:r w:rsidRPr="00025910">
        <w:fldChar w:fldCharType="end"/>
      </w:r>
      <w:r w:rsidRPr="00025910">
        <w:t xml:space="preserve">, </w:t>
      </w:r>
      <w:bookmarkStart w:id="2330" w:name="_9kR3WTr2BD68HKF"/>
      <w:r w:rsidRPr="00025910">
        <w:fldChar w:fldCharType="begin"/>
      </w:r>
      <w:r w:rsidRPr="00025910">
        <w:instrText xml:space="preserve"> REF _Ref_ContractCompanion_9kb9Ut24B \n \h \t \* MERGEFORMAT </w:instrText>
      </w:r>
      <w:r w:rsidRPr="00025910">
        <w:fldChar w:fldCharType="separate"/>
      </w:r>
      <w:r w:rsidR="007A1473">
        <w:t>5.2</w:t>
      </w:r>
      <w:r w:rsidRPr="00025910">
        <w:fldChar w:fldCharType="end"/>
      </w:r>
      <w:bookmarkEnd w:id="2330"/>
      <w:r w:rsidRPr="00025910">
        <w:t xml:space="preserve"> of Annex </w:t>
      </w:r>
      <w:r w:rsidRPr="00025910">
        <w:fldChar w:fldCharType="begin"/>
      </w:r>
      <w:r w:rsidRPr="00025910">
        <w:instrText xml:space="preserve"> REF ANNEXD2_SCHEDULE28 \h </w:instrText>
      </w:r>
      <w:r>
        <w:instrText xml:space="preserve"> \* MERGEFORMAT </w:instrText>
      </w:r>
      <w:r w:rsidRPr="00025910">
        <w:fldChar w:fldCharType="separate"/>
      </w:r>
      <w:r w:rsidR="007A1473" w:rsidRPr="00025910">
        <w:t>D2</w:t>
      </w:r>
      <w:r w:rsidRPr="00025910">
        <w:fldChar w:fldCharType="end"/>
      </w:r>
      <w:r w:rsidRPr="00025910">
        <w:t xml:space="preserve">: </w:t>
      </w:r>
      <w:r w:rsidRPr="00025910">
        <w:fldChar w:fldCharType="begin"/>
      </w:r>
      <w:r w:rsidRPr="00025910">
        <w:instrText xml:space="preserve"> REF ANNEXD2HEADING_SCHEDULE28 \h </w:instrText>
      </w:r>
      <w:r>
        <w:instrText xml:space="preserve"> \* MERGEFORMAT </w:instrText>
      </w:r>
      <w:r w:rsidRPr="00025910">
        <w:fldChar w:fldCharType="separate"/>
      </w:r>
      <w:r w:rsidR="007A1473" w:rsidRPr="00025910">
        <w:t>NHSPS</w:t>
      </w:r>
      <w:r w:rsidRPr="00025910">
        <w:fldChar w:fldCharType="end"/>
      </w:r>
      <w:r w:rsidRPr="00025910">
        <w:t xml:space="preserve"> and/or </w:t>
      </w:r>
      <w:bookmarkStart w:id="2331" w:name="_9kMHG5YVtCIC8BDDFVGy1nZkEA71v52z35K74TV"/>
      <w:r w:rsidRPr="00025910">
        <w:fldChar w:fldCharType="begin"/>
      </w:r>
      <w:r w:rsidRPr="00025910">
        <w:instrText xml:space="preserve"> REF _Ref_ContractCompanion_9kb9Ut24E \n \h \t \* MERGEFORMAT </w:instrText>
      </w:r>
      <w:r w:rsidRPr="00025910">
        <w:fldChar w:fldCharType="separate"/>
      </w:r>
      <w:r w:rsidR="007A1473">
        <w:t>3.2</w:t>
      </w:r>
      <w:r w:rsidRPr="00025910">
        <w:fldChar w:fldCharType="end"/>
      </w:r>
      <w:bookmarkEnd w:id="2331"/>
      <w:r w:rsidRPr="00025910">
        <w:t xml:space="preserve"> of Annex </w:t>
      </w:r>
      <w:r w:rsidRPr="00025910">
        <w:fldChar w:fldCharType="begin"/>
      </w:r>
      <w:r w:rsidRPr="00025910">
        <w:instrText xml:space="preserve"> REF ANNEXD3_SCHEDULE28 \h </w:instrText>
      </w:r>
      <w:r>
        <w:instrText xml:space="preserve"> \* MERGEFORMAT </w:instrText>
      </w:r>
      <w:r w:rsidRPr="00025910">
        <w:fldChar w:fldCharType="separate"/>
      </w:r>
      <w:r w:rsidR="007A1473" w:rsidRPr="00025910">
        <w:t>D3</w:t>
      </w:r>
      <w:r w:rsidRPr="00025910">
        <w:fldChar w:fldCharType="end"/>
      </w:r>
      <w:r w:rsidRPr="00025910">
        <w:t xml:space="preserve">: </w:t>
      </w:r>
      <w:r w:rsidRPr="00025910">
        <w:fldChar w:fldCharType="begin"/>
      </w:r>
      <w:r w:rsidRPr="00025910">
        <w:instrText xml:space="preserve"> REF ANNEXD3HEADING_SCHEDULE28 \h </w:instrText>
      </w:r>
      <w:r>
        <w:instrText xml:space="preserve"> \* MERGEFORMAT </w:instrText>
      </w:r>
      <w:r w:rsidRPr="00025910">
        <w:fldChar w:fldCharType="separate"/>
      </w:r>
      <w:r w:rsidR="007A1473" w:rsidRPr="00025910">
        <w:t>LGPS</w:t>
      </w:r>
      <w:r w:rsidRPr="00025910">
        <w:fldChar w:fldCharType="end"/>
      </w:r>
      <w:r w:rsidRPr="00025910">
        <w:t xml:space="preserve">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Authority.</w:t>
      </w:r>
    </w:p>
    <w:p w14:paraId="61918DF5" w14:textId="77777777" w:rsidR="00F67E9E" w:rsidRPr="00025910" w:rsidRDefault="00F67E9E" w:rsidP="00F67E9E">
      <w:pPr>
        <w:pStyle w:val="AppendixText2"/>
      </w:pPr>
      <w:r w:rsidRPr="00025910">
        <w:t>Such Broadly Comparable pension scheme must be:</w:t>
      </w:r>
    </w:p>
    <w:p w14:paraId="27FFD289" w14:textId="77777777" w:rsidR="00F67E9E" w:rsidRPr="00025910" w:rsidRDefault="00F67E9E" w:rsidP="00F67E9E">
      <w:pPr>
        <w:pStyle w:val="AppendixText3"/>
      </w:pPr>
      <w:r w:rsidRPr="00025910">
        <w:t>established by the date of cessation of participation in the Statutory Scheme;</w:t>
      </w:r>
    </w:p>
    <w:p w14:paraId="1C3CA624" w14:textId="77777777" w:rsidR="00F67E9E" w:rsidRPr="00025910" w:rsidRDefault="00F67E9E" w:rsidP="00F67E9E">
      <w:pPr>
        <w:pStyle w:val="AppendixText3"/>
      </w:pPr>
      <w:r w:rsidRPr="00025910">
        <w:t>a registered pension scheme for the purposes of Part 4 of the Finance Act 2004;</w:t>
      </w:r>
    </w:p>
    <w:p w14:paraId="5DBE7AC8" w14:textId="77777777" w:rsidR="00F67E9E" w:rsidRPr="00025910" w:rsidRDefault="00F67E9E" w:rsidP="00F67E9E">
      <w:pPr>
        <w:pStyle w:val="AppendixText3"/>
      </w:pPr>
      <w:r w:rsidRPr="00025910">
        <w:t>capable of receiving a bulk transfer payment from the relevant Statutory Scheme (where instructed to do so by the Authority);</w:t>
      </w:r>
    </w:p>
    <w:p w14:paraId="6F794456" w14:textId="77777777" w:rsidR="00F67E9E" w:rsidRPr="00025910" w:rsidRDefault="00F67E9E" w:rsidP="00F67E9E">
      <w:pPr>
        <w:pStyle w:val="AppendixText3"/>
      </w:pPr>
      <w:r w:rsidRPr="00025910">
        <w:t>capable of paying a bulk transfer payment to the Replacement Supplier</w:t>
      </w:r>
      <w:r>
        <w:t>’</w:t>
      </w:r>
      <w:r w:rsidRPr="00025910">
        <w:t>s Broadly Comparable pension scheme (or the relevant Statutory Scheme if applicable) (unless otherwise instructed by the Authority); and</w:t>
      </w:r>
    </w:p>
    <w:p w14:paraId="1A3F96D9" w14:textId="77777777" w:rsidR="00F67E9E" w:rsidRPr="00025910" w:rsidRDefault="00F67E9E" w:rsidP="00F67E9E">
      <w:pPr>
        <w:pStyle w:val="AppendixText3"/>
      </w:pPr>
      <w:r w:rsidRPr="00025910">
        <w:t>maintained until such bulk transfer payments have been received or paid (unless otherwise instructed by the Authority).</w:t>
      </w:r>
    </w:p>
    <w:p w14:paraId="148AC333" w14:textId="1C2D0C82" w:rsidR="00F67E9E" w:rsidRPr="00025910" w:rsidRDefault="00F67E9E" w:rsidP="00F67E9E">
      <w:pPr>
        <w:pStyle w:val="AppendixText2"/>
      </w:pPr>
      <w:r w:rsidRPr="00025910">
        <w:t xml:space="preserve">Where the Supplier has provided a Broadly Comparable pension scheme pursuant to the provisions of this </w:t>
      </w:r>
      <w:bookmarkStart w:id="2332" w:name="_9kMHG5YVtCIBABGiLhkhy7sHSMlR0KhkSdBP9zB"/>
      <w:r w:rsidRPr="00025910">
        <w:t xml:space="preserve">Paragraph </w:t>
      </w:r>
      <w:r w:rsidRPr="00025910">
        <w:fldChar w:fldCharType="begin"/>
      </w:r>
      <w:r w:rsidRPr="00025910">
        <w:instrText xml:space="preserve"> REF _Ref_ContractCompanion_9kb9Us458 \w \n \h \t \* MERGEFORMAT </w:instrText>
      </w:r>
      <w:r w:rsidRPr="00025910">
        <w:fldChar w:fldCharType="separate"/>
      </w:r>
      <w:bookmarkStart w:id="2333" w:name="_9kMJI5YVt4BD9HLfLhkhy7sHSMlR0KhkSdBP9zB"/>
      <w:r w:rsidR="007A1473">
        <w:t>11</w:t>
      </w:r>
      <w:bookmarkEnd w:id="2333"/>
      <w:r w:rsidRPr="00025910">
        <w:fldChar w:fldCharType="end"/>
      </w:r>
      <w:bookmarkEnd w:id="2332"/>
      <w:r w:rsidRPr="00025910">
        <w:t>, the Supplier shall (and shall procure that any of its Sub-contractors shall):</w:t>
      </w:r>
    </w:p>
    <w:p w14:paraId="2A6F3021" w14:textId="77777777" w:rsidR="00F67E9E" w:rsidRPr="00620079" w:rsidRDefault="00F67E9E" w:rsidP="00F67E9E">
      <w:pPr>
        <w:pStyle w:val="AppendixText3"/>
      </w:pPr>
      <w:r w:rsidRPr="00025910">
        <w:t>supply to the Authority</w:t>
      </w:r>
      <w:r>
        <w:t xml:space="preserve"> </w:t>
      </w:r>
      <w:r w:rsidRPr="00025910">
        <w:t>details of its (or its Sub-contractor</w:t>
      </w:r>
      <w:r>
        <w:t>’</w:t>
      </w:r>
      <w:r w:rsidRPr="00025910">
        <w:t xml:space="preserve">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w:t>
      </w:r>
      <w:r w:rsidRPr="00620079">
        <w:t>certificate;</w:t>
      </w:r>
    </w:p>
    <w:p w14:paraId="06962919" w14:textId="77777777" w:rsidR="00F67E9E" w:rsidRPr="00025910" w:rsidRDefault="00F67E9E" w:rsidP="00F67E9E">
      <w:pPr>
        <w:pStyle w:val="AppendixText3"/>
      </w:pPr>
      <w:r w:rsidRPr="00620079">
        <w:t>be fully responsible for all costs, contributions, payments and other amounts relating to the setting up, certification of, ongoing participation in and/or withdrawal and exit from the Broadly Comparable pension scheme, including for the avoida</w:t>
      </w:r>
      <w:r w:rsidRPr="00025910">
        <w:t xml:space="preserve">nce of doubt any debts arising under </w:t>
      </w:r>
      <w:bookmarkStart w:id="2334" w:name="_9kMHG5YVt49B9FJ5teu1x3NTBBVXbS4ADzid8NJ"/>
      <w:r w:rsidRPr="00025910">
        <w:t>section 75 or 75A of the Pensions Act 1995</w:t>
      </w:r>
      <w:bookmarkEnd w:id="2334"/>
      <w:r w:rsidRPr="00025910">
        <w:t>; and</w:t>
      </w:r>
    </w:p>
    <w:p w14:paraId="49B36605" w14:textId="77777777" w:rsidR="00F67E9E" w:rsidRPr="00025910" w:rsidRDefault="00F67E9E" w:rsidP="00F67E9E">
      <w:pPr>
        <w:pStyle w:val="AppendixText3"/>
      </w:pPr>
      <w:r w:rsidRPr="00025910">
        <w:t>where required to do so by the Authority, instruct any such Broadly Comparable pension scheme</w:t>
      </w:r>
      <w:r>
        <w:t>’</w:t>
      </w:r>
      <w:r w:rsidRPr="00025910">
        <w:t xml:space="preserve">s Actuary to provide all such co-operation and assistance in agreeing a bulk transfer process with the Actuary to the relevant Statutory Scheme and to provide all such co-operation and assistance with any other Actuary appointed by the Authority (where applicable). The Supplier must ensure that day for day and/or pound for pound (as applicable) (or actuarially equivalent where there are benefit differences between the two schemes) </w:t>
      </w:r>
      <w:r w:rsidRPr="00025910">
        <w:lastRenderedPageBreak/>
        <w:t>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 and</w:t>
      </w:r>
    </w:p>
    <w:p w14:paraId="025DA1AA" w14:textId="119F104C" w:rsidR="00F67E9E" w:rsidRPr="00025910" w:rsidRDefault="00F67E9E" w:rsidP="00F67E9E">
      <w:pPr>
        <w:pStyle w:val="AppendixText3"/>
      </w:pPr>
      <w:r w:rsidRPr="00025910">
        <w:t xml:space="preserve">provide a replacement Broadly Comparable pension scheme in accordance with this </w:t>
      </w:r>
      <w:bookmarkStart w:id="2335" w:name="_9kMIH5YVtCIBABGiLhkhy7sHSMlR0KhkSdBP9zB"/>
      <w:r w:rsidRPr="00025910">
        <w:t xml:space="preserve">Paragraph </w:t>
      </w:r>
      <w:r w:rsidRPr="00025910">
        <w:fldChar w:fldCharType="begin"/>
      </w:r>
      <w:r w:rsidRPr="00025910">
        <w:instrText xml:space="preserve"> REF _Ref_ContractCompanion_9kb9Us458 \w \n \h \t \* MERGEFORMAT </w:instrText>
      </w:r>
      <w:r w:rsidRPr="00025910">
        <w:fldChar w:fldCharType="separate"/>
      </w:r>
      <w:bookmarkStart w:id="2336" w:name="_9kMKJ5YVt4BD9HLfLhkhy7sHSMlR0KhkSdBP9zB"/>
      <w:r w:rsidR="007A1473">
        <w:t>11</w:t>
      </w:r>
      <w:bookmarkEnd w:id="2336"/>
      <w:r w:rsidRPr="00025910">
        <w:fldChar w:fldCharType="end"/>
      </w:r>
      <w:bookmarkEnd w:id="2335"/>
      <w:r w:rsidRPr="00025910">
        <w:t xml:space="preserve"> with immediate effect for those Fair Deal Eligible Employees who are still employed by the Supplier and/or relevant Sub-contractor and are still eligible for New Fair Deal protection in the event that the Supplier and/or Sub-contractor</w:t>
      </w:r>
      <w:r>
        <w:t>’</w:t>
      </w:r>
      <w:r w:rsidRPr="00025910">
        <w:t>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5D0FB40C" w14:textId="3ECDBC0C" w:rsidR="00F67E9E" w:rsidRPr="00025910" w:rsidRDefault="00F67E9E" w:rsidP="00F67E9E">
      <w:pPr>
        <w:pStyle w:val="AppendixText2"/>
      </w:pPr>
      <w:r w:rsidRPr="00025910">
        <w:t xml:space="preserve">Where the Supplier has provided a Broadly Comparable pension scheme pursuant to the provisions of this </w:t>
      </w:r>
      <w:bookmarkStart w:id="2337" w:name="_9kMJI5YVtCIBABGiLhkhy7sHSMlR0KhkSdBP9zB"/>
      <w:r w:rsidRPr="00025910">
        <w:t xml:space="preserve">Paragraph </w:t>
      </w:r>
      <w:r w:rsidRPr="00025910">
        <w:fldChar w:fldCharType="begin"/>
      </w:r>
      <w:r w:rsidRPr="00025910">
        <w:instrText xml:space="preserve"> REF _Ref_ContractCompanion_9kb9Us458 \w \n \h \t \* MERGEFORMAT </w:instrText>
      </w:r>
      <w:r w:rsidRPr="00025910">
        <w:fldChar w:fldCharType="separate"/>
      </w:r>
      <w:bookmarkStart w:id="2338" w:name="_9kMLK5YVt4BD9HLfLhkhy7sHSMlR0KhkSdBP9zB"/>
      <w:r w:rsidR="007A1473">
        <w:t>11</w:t>
      </w:r>
      <w:bookmarkEnd w:id="2338"/>
      <w:r w:rsidRPr="00025910">
        <w:fldChar w:fldCharType="end"/>
      </w:r>
      <w:bookmarkEnd w:id="2337"/>
      <w:r w:rsidRPr="00025910">
        <w:t>, the Supplier shall (and shall procure that any of its Sub-contractors shall) prior to the termination of this Contract</w:t>
      </w:r>
      <w:r w:rsidRPr="00025910" w:rsidDel="000D1FBB">
        <w:t xml:space="preserve"> </w:t>
      </w:r>
      <w:r w:rsidRPr="00025910">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w:t>
      </w:r>
      <w:r>
        <w:t>’</w:t>
      </w:r>
      <w:r w:rsidRPr="00025910">
        <w:t>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w:t>
      </w:r>
      <w:r>
        <w:t>’</w:t>
      </w:r>
      <w:r w:rsidRPr="00025910">
        <w:t>s Broadly Comparable pension scheme (or relevant Statutory Scheme if applicable). For the avoidance of doubt, should the amount offered by the Broadly Comparable pension scheme be less than the amount required by the Replacement Supplier</w:t>
      </w:r>
      <w:r>
        <w:t>’</w:t>
      </w:r>
      <w:r w:rsidRPr="00025910">
        <w:t>s Broadly Comparable pension scheme (or the relevant Statutory Scheme if applicable) to fund the required credits (</w:t>
      </w:r>
      <w:r>
        <w:t>“</w:t>
      </w:r>
      <w:r w:rsidRPr="00315AAE">
        <w:rPr>
          <w:rStyle w:val="StdBodyTextBoldChar"/>
          <w:rFonts w:eastAsia="Arial" w:cs="Arial"/>
          <w:b w:val="0"/>
          <w:bCs/>
        </w:rPr>
        <w:t>the</w:t>
      </w:r>
      <w:r w:rsidRPr="00025910">
        <w:rPr>
          <w:rStyle w:val="StdBodyTextBoldChar"/>
          <w:rFonts w:eastAsia="Arial" w:cs="Arial"/>
        </w:rPr>
        <w:t xml:space="preserve"> Shortfall</w:t>
      </w:r>
      <w:r>
        <w:t>”</w:t>
      </w:r>
      <w:r w:rsidRPr="00025910">
        <w:t>), the Supplier or the Sub-contractor (as agreed between them) must pay the Replacement Supplier</w:t>
      </w:r>
      <w:r>
        <w:t>’</w:t>
      </w:r>
      <w:r w:rsidRPr="00025910">
        <w:t xml:space="preserve">s Broadly </w:t>
      </w:r>
      <w:r w:rsidRPr="005E6515">
        <w:t>Comparable</w:t>
      </w:r>
      <w:r w:rsidRPr="00025910">
        <w:t xml:space="preserve"> pension scheme (or relevant Statutory Scheme if applicable) the Shortfall as required, provided that in the absence of any agreement between the Supplier and any Sub-contractor, the Shortfall shall be paid by the Supplier. The Supplier shall indemnify the Authority or the Replacement Supplier</w:t>
      </w:r>
      <w:r>
        <w:t>’</w:t>
      </w:r>
      <w:r w:rsidRPr="00025910">
        <w:t xml:space="preserve">s Broadly Comparable pension scheme (or the relevant Statutory Scheme if applicable) (as the Authority directs) for any failure to pay the Shortfall under this Paragraph. </w:t>
      </w:r>
    </w:p>
    <w:p w14:paraId="3E7B2088" w14:textId="77777777" w:rsidR="00F67E9E" w:rsidRPr="00C542C5" w:rsidRDefault="00F67E9E" w:rsidP="00F13933">
      <w:pPr>
        <w:pStyle w:val="AppendixText1"/>
        <w:numPr>
          <w:ilvl w:val="0"/>
          <w:numId w:val="59"/>
        </w:numPr>
        <w:rPr>
          <w:color w:val="1F497D"/>
        </w:rPr>
      </w:pPr>
      <w:r w:rsidRPr="00C542C5">
        <w:rPr>
          <w:color w:val="1F497D"/>
        </w:rPr>
        <w:t>Right of Set-Off</w:t>
      </w:r>
    </w:p>
    <w:p w14:paraId="149BC8AB" w14:textId="77777777" w:rsidR="00F67E9E" w:rsidRPr="00025910" w:rsidRDefault="00F67E9E" w:rsidP="00F67E9E">
      <w:pPr>
        <w:pStyle w:val="AppendixText2"/>
      </w:pPr>
      <w:bookmarkStart w:id="2339" w:name="_9kR3WTrAGA69ECBCeSkEPF3zA58PP9sx96wBGwA"/>
      <w:bookmarkStart w:id="2340" w:name="_Ref_ContractCompanion_9kb9Ut258"/>
      <w:r w:rsidRPr="00025910">
        <w:t>The Authority shall have a right to set off against any payments due to the Supplier under this Contract</w:t>
      </w:r>
      <w:r w:rsidRPr="00025910" w:rsidDel="000D1FBB">
        <w:t xml:space="preserve"> </w:t>
      </w:r>
      <w:r w:rsidRPr="00025910">
        <w:t>an amount equal to:</w:t>
      </w:r>
      <w:bookmarkEnd w:id="2339"/>
      <w:r w:rsidRPr="00025910">
        <w:t xml:space="preserve"> </w:t>
      </w:r>
      <w:bookmarkEnd w:id="2340"/>
    </w:p>
    <w:p w14:paraId="376DF1A2" w14:textId="77777777" w:rsidR="00F67E9E" w:rsidRPr="00025910" w:rsidRDefault="00F67E9E" w:rsidP="00F67E9E">
      <w:pPr>
        <w:pStyle w:val="AppendixText3"/>
      </w:pPr>
      <w:r w:rsidRPr="00025910">
        <w:t>any unpaid employer</w:t>
      </w:r>
      <w:r>
        <w:t>’</w:t>
      </w:r>
      <w:r w:rsidRPr="00025910">
        <w:t>s contributions or employee</w:t>
      </w:r>
      <w:r>
        <w:t>’</w:t>
      </w:r>
      <w:r w:rsidRPr="00025910">
        <w:t>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0FDB9F75" w14:textId="77777777" w:rsidR="00F67E9E" w:rsidRPr="00025910" w:rsidRDefault="00F67E9E" w:rsidP="00F67E9E">
      <w:pPr>
        <w:pStyle w:val="AppendixText3"/>
      </w:pPr>
      <w:r w:rsidRPr="00025910">
        <w:lastRenderedPageBreak/>
        <w:t>any unpaid employer</w:t>
      </w:r>
      <w:r>
        <w:t>’</w:t>
      </w:r>
      <w:r w:rsidRPr="00025910">
        <w:t>s contributions or employee</w:t>
      </w:r>
      <w:r>
        <w:t>’</w:t>
      </w:r>
      <w:r w:rsidRPr="00025910">
        <w:t>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7781098B" w14:textId="77777777" w:rsidR="00F67E9E" w:rsidRPr="00025910" w:rsidRDefault="00F67E9E" w:rsidP="00F67E9E">
      <w:pPr>
        <w:pStyle w:val="AppendixText3"/>
      </w:pPr>
      <w:r w:rsidRPr="00025910">
        <w:t>any unpaid employer</w:t>
      </w:r>
      <w:r>
        <w:t>’</w:t>
      </w:r>
      <w:r w:rsidRPr="00025910">
        <w:t>s contributions or employee</w:t>
      </w:r>
      <w:r>
        <w:t>’</w:t>
      </w:r>
      <w:r w:rsidRPr="00025910">
        <w:t>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2C58029F" w14:textId="77777777" w:rsidR="00F67E9E" w:rsidRPr="00025910" w:rsidRDefault="00F67E9E" w:rsidP="00F67E9E">
      <w:pPr>
        <w:pStyle w:val="StdBodyText2"/>
        <w:rPr>
          <w:rFonts w:cs="Arial"/>
        </w:rPr>
      </w:pPr>
      <w:r w:rsidRPr="00025910">
        <w:rPr>
          <w:rFonts w:cs="Arial"/>
        </w:rPr>
        <w:t>and shall pay such set off amount to the relevant Statutory Scheme.</w:t>
      </w:r>
    </w:p>
    <w:p w14:paraId="4769619B" w14:textId="12F504FD" w:rsidR="00F67E9E" w:rsidRPr="00025910" w:rsidRDefault="00F67E9E" w:rsidP="00F67E9E">
      <w:pPr>
        <w:pStyle w:val="AppendixText2"/>
      </w:pPr>
      <w:r w:rsidRPr="00025910">
        <w:t>The Authority shall also have a right to set off against any payments due to the Supplier</w:t>
      </w:r>
      <w:r>
        <w:t xml:space="preserve"> </w:t>
      </w:r>
      <w:r w:rsidRPr="00025910">
        <w:t>under this Contract</w:t>
      </w:r>
      <w:r w:rsidRPr="00025910" w:rsidDel="000D1FBB">
        <w:t xml:space="preserve"> </w:t>
      </w:r>
      <w:r w:rsidRPr="00025910">
        <w:t xml:space="preserve">all reasonable costs and expenses incurred by the Authority as result of </w:t>
      </w:r>
      <w:bookmarkStart w:id="2341" w:name="_9kMHG5YVtCIC8BGEDEgUmGRH51C7ARRBuzB8yDI"/>
      <w:r w:rsidRPr="00025910">
        <w:t xml:space="preserve">Paragraphs </w:t>
      </w:r>
      <w:r w:rsidRPr="00025910">
        <w:fldChar w:fldCharType="begin"/>
      </w:r>
      <w:r w:rsidRPr="00025910">
        <w:instrText xml:space="preserve"> REF _Ref_ContractCompanion_9kb9Ut258 \n \h \t \* MERGEFORMAT </w:instrText>
      </w:r>
      <w:r w:rsidRPr="00025910">
        <w:fldChar w:fldCharType="separate"/>
      </w:r>
      <w:r w:rsidR="007A1473">
        <w:t>12.1</w:t>
      </w:r>
      <w:r w:rsidRPr="00025910">
        <w:fldChar w:fldCharType="end"/>
      </w:r>
      <w:bookmarkEnd w:id="2341"/>
      <w:r w:rsidRPr="00025910">
        <w:t xml:space="preserve"> above.</w:t>
      </w:r>
    </w:p>
    <w:p w14:paraId="30D25AF7" w14:textId="77777777" w:rsidR="00F67E9E" w:rsidRDefault="00F67E9E" w:rsidP="00F67E9E">
      <w:pPr>
        <w:rPr>
          <w:rFonts w:eastAsia="Times New Roman" w:cs="Arial"/>
          <w:szCs w:val="24"/>
          <w:lang w:eastAsia="en-GB"/>
        </w:rPr>
      </w:pPr>
    </w:p>
    <w:p w14:paraId="10F87F8A" w14:textId="77777777" w:rsidR="00F67E9E" w:rsidRDefault="00F67E9E" w:rsidP="00F67E9E">
      <w:pPr>
        <w:pStyle w:val="Heading2"/>
        <w:pageBreakBefore/>
      </w:pPr>
      <w:bookmarkStart w:id="2342" w:name="_Ref41979560"/>
      <w:bookmarkStart w:id="2343" w:name="_Toc145412822"/>
      <w:r w:rsidRPr="00025910">
        <w:lastRenderedPageBreak/>
        <w:t xml:space="preserve">Annex </w:t>
      </w:r>
      <w:bookmarkStart w:id="2344" w:name="ANNEXD1_SCHEDULE28"/>
      <w:r w:rsidRPr="00025910">
        <w:t>D1</w:t>
      </w:r>
      <w:bookmarkEnd w:id="2344"/>
      <w:r w:rsidRPr="00025910">
        <w:t xml:space="preserve">: </w:t>
      </w:r>
      <w:bookmarkStart w:id="2345" w:name="ANNEXD1HEADING_SCHEDULE28"/>
      <w:r w:rsidRPr="00025910">
        <w:t>CSPS</w:t>
      </w:r>
      <w:bookmarkEnd w:id="2342"/>
      <w:bookmarkEnd w:id="2343"/>
      <w:bookmarkEnd w:id="2345"/>
    </w:p>
    <w:p w14:paraId="28418163" w14:textId="77777777" w:rsidR="00F67E9E" w:rsidRPr="00025910" w:rsidRDefault="00F67E9E" w:rsidP="00F13933">
      <w:pPr>
        <w:pStyle w:val="AppendixText1"/>
        <w:numPr>
          <w:ilvl w:val="0"/>
          <w:numId w:val="60"/>
        </w:numPr>
      </w:pPr>
      <w:r w:rsidRPr="00620079">
        <w:t>Definitions</w:t>
      </w:r>
    </w:p>
    <w:p w14:paraId="740D8BE7" w14:textId="3A4C0281" w:rsidR="00F67E9E" w:rsidRPr="00025910" w:rsidRDefault="00F67E9E" w:rsidP="00F67E9E">
      <w:pPr>
        <w:pStyle w:val="AppendixText2"/>
      </w:pPr>
      <w:r w:rsidRPr="00025910">
        <w:t xml:space="preserve">In this Annex </w:t>
      </w:r>
      <w:r w:rsidRPr="00025910">
        <w:fldChar w:fldCharType="begin"/>
      </w:r>
      <w:r w:rsidRPr="00025910">
        <w:instrText xml:space="preserve"> REF ANNEXD1_SCHEDULE28 \h </w:instrText>
      </w:r>
      <w:r>
        <w:instrText xml:space="preserve"> \* MERGEFORMAT </w:instrText>
      </w:r>
      <w:r w:rsidRPr="00025910">
        <w:fldChar w:fldCharType="separate"/>
      </w:r>
      <w:r w:rsidR="007A1473" w:rsidRPr="00025910">
        <w:t>D1</w:t>
      </w:r>
      <w:r w:rsidRPr="00025910">
        <w:fldChar w:fldCharType="end"/>
      </w:r>
      <w:r w:rsidRPr="00025910">
        <w:t xml:space="preserve">: </w:t>
      </w:r>
      <w:r w:rsidRPr="00025910">
        <w:fldChar w:fldCharType="begin"/>
      </w:r>
      <w:r w:rsidRPr="00025910">
        <w:instrText xml:space="preserve"> REF ANNEXD1HEADING_SCHEDULE28 \h </w:instrText>
      </w:r>
      <w:r>
        <w:instrText xml:space="preserve"> \* MERGEFORMAT </w:instrText>
      </w:r>
      <w:r w:rsidRPr="00025910">
        <w:fldChar w:fldCharType="separate"/>
      </w:r>
      <w:r w:rsidR="007A1473" w:rsidRPr="00025910">
        <w:t>CSPS</w:t>
      </w:r>
      <w:r w:rsidRPr="00025910">
        <w:fldChar w:fldCharType="end"/>
      </w:r>
      <w:r w:rsidRPr="00025910">
        <w:t xml:space="preserve"> to </w:t>
      </w:r>
      <w:bookmarkStart w:id="2346" w:name="_9kMHG5YVt4DEFKEZGp9W"/>
      <w:bookmarkEnd w:id="2346"/>
      <w:r w:rsidRPr="002E7013">
        <w:rPr>
          <w:rFonts w:eastAsia="Arial"/>
          <w:color w:val="000000"/>
        </w:rPr>
        <w:fldChar w:fldCharType="begin"/>
      </w:r>
      <w:r w:rsidRPr="002E7013">
        <w:rPr>
          <w:rFonts w:eastAsia="Arial"/>
          <w:color w:val="000000"/>
        </w:rPr>
        <w:instrText xml:space="preserve"> REF Sch28PartD \h  \* MERGEFORMAT </w:instrText>
      </w:r>
      <w:r w:rsidRPr="002E7013">
        <w:rPr>
          <w:rFonts w:eastAsia="Arial"/>
          <w:color w:val="000000"/>
        </w:rPr>
      </w:r>
      <w:r w:rsidRPr="002E7013">
        <w:rPr>
          <w:rFonts w:eastAsia="Arial"/>
          <w:color w:val="000000"/>
        </w:rPr>
        <w:fldChar w:fldCharType="separate"/>
      </w:r>
      <w:r w:rsidR="007A1473" w:rsidRPr="007A1473">
        <w:rPr>
          <w:rFonts w:eastAsia="Calibri"/>
        </w:rPr>
        <w:t>Part D</w:t>
      </w:r>
      <w:r w:rsidRPr="002E7013">
        <w:rPr>
          <w:rFonts w:eastAsia="Arial"/>
          <w:color w:val="000000"/>
        </w:rPr>
        <w:fldChar w:fldCharType="end"/>
      </w:r>
      <w:r w:rsidRPr="00025910">
        <w:t xml:space="preserve">: </w:t>
      </w:r>
      <w:r>
        <w:fldChar w:fldCharType="begin"/>
      </w:r>
      <w:r>
        <w:instrText xml:space="preserve"> REF PartDSchedule28Heading \h </w:instrText>
      </w:r>
      <w:r>
        <w:fldChar w:fldCharType="separate"/>
      </w:r>
      <w:r w:rsidR="007A1473" w:rsidRPr="00025910">
        <w:t>Pensions</w:t>
      </w:r>
      <w:r>
        <w:fldChar w:fldCharType="end"/>
      </w:r>
      <w:r w:rsidRPr="00025910">
        <w:t xml:space="preserve">, the following words have the following </w:t>
      </w:r>
      <w:r w:rsidRPr="00620079">
        <w:t>meanings</w:t>
      </w:r>
      <w:r w:rsidRPr="00025910">
        <w:t>:</w:t>
      </w:r>
    </w:p>
    <w:tbl>
      <w:tblPr>
        <w:tblStyle w:val="MSAdefinitions"/>
        <w:tblW w:w="9630" w:type="dxa"/>
        <w:tblLook w:val="04A0" w:firstRow="1" w:lastRow="0" w:firstColumn="1" w:lastColumn="0" w:noHBand="0" w:noVBand="1"/>
      </w:tblPr>
      <w:tblGrid>
        <w:gridCol w:w="2835"/>
        <w:gridCol w:w="6795"/>
      </w:tblGrid>
      <w:tr w:rsidR="00F67E9E" w:rsidRPr="00025910" w14:paraId="3EADE8EF" w14:textId="77777777" w:rsidTr="0052486C">
        <w:tc>
          <w:tcPr>
            <w:tcW w:w="2835" w:type="dxa"/>
          </w:tcPr>
          <w:p w14:paraId="46BD0E0F" w14:textId="77777777" w:rsidR="00F67E9E" w:rsidRPr="00025910" w:rsidRDefault="00F67E9E" w:rsidP="0052486C">
            <w:pPr>
              <w:pStyle w:val="StdBodyTextBold"/>
              <w:rPr>
                <w:rFonts w:cs="Arial"/>
              </w:rPr>
            </w:pPr>
            <w:r>
              <w:rPr>
                <w:rFonts w:cs="Arial"/>
              </w:rPr>
              <w:t>“</w:t>
            </w:r>
            <w:r w:rsidRPr="00025910">
              <w:rPr>
                <w:rFonts w:cs="Arial"/>
              </w:rPr>
              <w:t>CSPS Admission Agreement</w:t>
            </w:r>
            <w:r>
              <w:rPr>
                <w:rFonts w:cs="Arial"/>
              </w:rPr>
              <w:t>”</w:t>
            </w:r>
          </w:p>
        </w:tc>
        <w:tc>
          <w:tcPr>
            <w:tcW w:w="6795" w:type="dxa"/>
          </w:tcPr>
          <w:p w14:paraId="5DD13A14" w14:textId="77777777" w:rsidR="00F67E9E" w:rsidRPr="00025910" w:rsidRDefault="00F67E9E" w:rsidP="0052486C">
            <w:pPr>
              <w:pStyle w:val="StdBodyText"/>
              <w:rPr>
                <w:rFonts w:cs="Arial"/>
              </w:rPr>
            </w:pPr>
            <w:r w:rsidRPr="00025910">
              <w:rPr>
                <w:rFonts w:cs="Arial"/>
              </w:rPr>
              <w:t>an admission agreement in the form available on the Civil Service Pensions website immediately prior to the Relevant Transfer Date to be entered into for the CSPS in respect of the Services;</w:t>
            </w:r>
          </w:p>
        </w:tc>
      </w:tr>
      <w:tr w:rsidR="00F67E9E" w:rsidRPr="00025910" w14:paraId="1ADBD540" w14:textId="77777777" w:rsidTr="0052486C">
        <w:tc>
          <w:tcPr>
            <w:tcW w:w="2835" w:type="dxa"/>
          </w:tcPr>
          <w:p w14:paraId="30CDE03B" w14:textId="77777777" w:rsidR="00F67E9E" w:rsidRPr="00025910" w:rsidRDefault="00F67E9E" w:rsidP="0052486C">
            <w:pPr>
              <w:pStyle w:val="StdBodyTextBold"/>
              <w:rPr>
                <w:rFonts w:cs="Arial"/>
              </w:rPr>
            </w:pPr>
            <w:r>
              <w:rPr>
                <w:rFonts w:cs="Arial"/>
              </w:rPr>
              <w:t>“</w:t>
            </w:r>
            <w:r w:rsidRPr="00025910">
              <w:rPr>
                <w:rFonts w:cs="Arial"/>
              </w:rPr>
              <w:t>CSPS Eligible Employee</w:t>
            </w:r>
            <w:r>
              <w:rPr>
                <w:rFonts w:cs="Arial"/>
              </w:rPr>
              <w:t>”</w:t>
            </w:r>
          </w:p>
        </w:tc>
        <w:tc>
          <w:tcPr>
            <w:tcW w:w="6795" w:type="dxa"/>
          </w:tcPr>
          <w:p w14:paraId="6520153E" w14:textId="77777777" w:rsidR="00F67E9E" w:rsidRPr="00025910" w:rsidRDefault="00F67E9E" w:rsidP="0052486C">
            <w:pPr>
              <w:pStyle w:val="StdBodyText"/>
              <w:rPr>
                <w:rFonts w:cs="Arial"/>
              </w:rPr>
            </w:pPr>
            <w:r w:rsidRPr="00025910">
              <w:rPr>
                <w:rFonts w:cs="Arial"/>
              </w:rPr>
              <w:t>any CSPS Fair Deal Employee who at the relevant time is an active member or eligible to participate in the CSPS under a CSPS Admission Agreement;</w:t>
            </w:r>
          </w:p>
        </w:tc>
      </w:tr>
      <w:tr w:rsidR="00F67E9E" w:rsidRPr="00025910" w14:paraId="5182297A" w14:textId="77777777" w:rsidTr="0052486C">
        <w:tc>
          <w:tcPr>
            <w:tcW w:w="2835" w:type="dxa"/>
          </w:tcPr>
          <w:p w14:paraId="7E90B709" w14:textId="77777777" w:rsidR="00F67E9E" w:rsidRPr="00025910" w:rsidRDefault="00F67E9E" w:rsidP="0052486C">
            <w:pPr>
              <w:pStyle w:val="StdBodyTextBold"/>
              <w:rPr>
                <w:rFonts w:cs="Arial"/>
              </w:rPr>
            </w:pPr>
            <w:r>
              <w:rPr>
                <w:rFonts w:cs="Arial"/>
              </w:rPr>
              <w:t>“</w:t>
            </w:r>
            <w:r w:rsidRPr="00025910">
              <w:rPr>
                <w:rFonts w:cs="Arial"/>
              </w:rPr>
              <w:t>CSPS Fair Deal Employee</w:t>
            </w:r>
            <w:r>
              <w:rPr>
                <w:rFonts w:cs="Arial"/>
              </w:rPr>
              <w:t>”</w:t>
            </w:r>
          </w:p>
        </w:tc>
        <w:tc>
          <w:tcPr>
            <w:tcW w:w="6795" w:type="dxa"/>
          </w:tcPr>
          <w:p w14:paraId="10CADCB8" w14:textId="77777777" w:rsidR="00F67E9E" w:rsidRPr="00025910" w:rsidRDefault="00F67E9E" w:rsidP="0052486C">
            <w:pPr>
              <w:pStyle w:val="StdBodyText"/>
              <w:rPr>
                <w:rFonts w:cs="Arial"/>
              </w:rPr>
            </w:pPr>
            <w:r w:rsidRPr="00025910">
              <w:rPr>
                <w:rFonts w:cs="Arial"/>
              </w:rPr>
              <w:t>a Fair Deal Employee who at the Relevant Transfer Date is or becomes entitled to protection in respect of the CSPS in accordance with the provisions of New Fair Deal;</w:t>
            </w:r>
          </w:p>
        </w:tc>
      </w:tr>
      <w:tr w:rsidR="00F67E9E" w:rsidRPr="00025910" w14:paraId="71714F46" w14:textId="77777777" w:rsidTr="0052486C">
        <w:tc>
          <w:tcPr>
            <w:tcW w:w="2835" w:type="dxa"/>
          </w:tcPr>
          <w:p w14:paraId="097E14BA" w14:textId="77777777" w:rsidR="00F67E9E" w:rsidRPr="00025910" w:rsidRDefault="00F67E9E" w:rsidP="0052486C">
            <w:pPr>
              <w:pStyle w:val="StdBodyTextBold"/>
              <w:rPr>
                <w:rFonts w:cs="Arial"/>
              </w:rPr>
            </w:pPr>
            <w:r>
              <w:rPr>
                <w:rFonts w:cs="Arial"/>
              </w:rPr>
              <w:t>“</w:t>
            </w:r>
            <w:r w:rsidRPr="00025910">
              <w:rPr>
                <w:rFonts w:cs="Arial"/>
              </w:rPr>
              <w:t>CSPS</w:t>
            </w:r>
            <w:r>
              <w:rPr>
                <w:rFonts w:cs="Arial"/>
              </w:rPr>
              <w:t>”</w:t>
            </w:r>
          </w:p>
        </w:tc>
        <w:tc>
          <w:tcPr>
            <w:tcW w:w="6795" w:type="dxa"/>
          </w:tcPr>
          <w:p w14:paraId="44EDCA29" w14:textId="77777777" w:rsidR="00F67E9E" w:rsidRPr="00025910" w:rsidRDefault="00F67E9E" w:rsidP="0052486C">
            <w:pPr>
              <w:pStyle w:val="StdBodyText"/>
              <w:rPr>
                <w:rFonts w:cs="Arial"/>
              </w:rPr>
            </w:pPr>
            <w:r w:rsidRPr="00025910">
              <w:rPr>
                <w:rFonts w:cs="Arial"/>
              </w:rPr>
              <w:t xml:space="preserve">the </w:t>
            </w:r>
            <w:r w:rsidRPr="00F85CF1">
              <w:rPr>
                <w:rFonts w:cs="Arial"/>
              </w:rPr>
              <w:t xml:space="preserve">"Alpha" pension scheme introduced under The Public Service (Civil Servants and Others) Pensions Regulations 2014 </w:t>
            </w:r>
            <w:r w:rsidRPr="00025910">
              <w:rPr>
                <w:rFonts w:cs="Arial"/>
              </w:rPr>
              <w:t>available to Civil Servants and employees of bodies under Schedule</w:t>
            </w:r>
            <w:r>
              <w:rPr>
                <w:rFonts w:cs="Arial"/>
              </w:rPr>
              <w:t> </w:t>
            </w:r>
            <w:r w:rsidRPr="00025910">
              <w:rPr>
                <w:rFonts w:cs="Arial"/>
              </w:rPr>
              <w:t xml:space="preserve">1 of the Superannuation Act 1972 (and eligible employees of other bodies admitted to participate under a determination under </w:t>
            </w:r>
            <w:bookmarkStart w:id="2347" w:name="_9kR3WTr2797EK5rcszv1GM9x36sbm5x5xifBTL3"/>
            <w:r w:rsidRPr="00025910">
              <w:rPr>
                <w:rFonts w:cs="Arial"/>
              </w:rPr>
              <w:t>section 25 of the Public Service Pensions Act 2013</w:t>
            </w:r>
            <w:bookmarkEnd w:id="2347"/>
            <w:r w:rsidRPr="00025910">
              <w:rPr>
                <w:rFonts w:cs="Arial"/>
              </w:rPr>
              <w:t>), as governed by rules adopted by Parliament; the Partnership Pension Account and its (i) Ill health Benefits Arrangements and (ii) Death Benefits Arrangements; the Civil Service Additional Voluntary Contribution Scheme</w:t>
            </w:r>
            <w:r>
              <w:rPr>
                <w:rFonts w:cs="Arial"/>
              </w:rPr>
              <w:t>.</w:t>
            </w:r>
          </w:p>
        </w:tc>
      </w:tr>
    </w:tbl>
    <w:p w14:paraId="22FB1C1B" w14:textId="77777777" w:rsidR="00F67E9E" w:rsidRPr="00025910" w:rsidRDefault="00F67E9E" w:rsidP="00F67E9E">
      <w:pPr>
        <w:pStyle w:val="AppendixText1"/>
      </w:pPr>
      <w:r w:rsidRPr="00025910">
        <w:t xml:space="preserve">Future </w:t>
      </w:r>
      <w:r w:rsidRPr="00620079">
        <w:t>Service</w:t>
      </w:r>
      <w:r w:rsidRPr="00025910">
        <w:t xml:space="preserve"> Benefits</w:t>
      </w:r>
    </w:p>
    <w:p w14:paraId="1671EC09" w14:textId="77777777" w:rsidR="00F67E9E" w:rsidRPr="00620079" w:rsidRDefault="00F67E9E" w:rsidP="00F67E9E">
      <w:pPr>
        <w:pStyle w:val="AppendixText2"/>
      </w:pPr>
      <w:bookmarkStart w:id="2348" w:name="_9kR3WTrAGA69HGBSMlber7xhsvn8DBBgYEqPzHn"/>
      <w:bookmarkStart w:id="2349" w:name="_Ref_ContractCompanion_9kb9Ut25B"/>
      <w:r w:rsidRPr="00025910">
        <w:t>In accordance with New Fair Deal, the Supplier and/or any of its Sub-contractors to which the employment of any CSPS Fair Deal Employee compulsorily transfers as a result of either the award of this Contract</w:t>
      </w:r>
      <w:r w:rsidRPr="00025910" w:rsidDel="000D1FBB">
        <w:t xml:space="preserve"> </w:t>
      </w:r>
      <w:r w:rsidRPr="00025910">
        <w:t>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w:t>
      </w:r>
      <w:bookmarkEnd w:id="2348"/>
      <w:r w:rsidRPr="00025910">
        <w:t xml:space="preserve"> The Supplier and/or any of its Sub-contractors shall procure that the CSPS Fair Deal Employees continue to accrue benefits in the CSPS in accordance with the provisions governing the relevant section of the CSPS for </w:t>
      </w:r>
      <w:r w:rsidRPr="00620079">
        <w:t xml:space="preserve">service from (and including) the Relevant Transfer Date. </w:t>
      </w:r>
      <w:bookmarkEnd w:id="2349"/>
    </w:p>
    <w:p w14:paraId="2B78DFE6" w14:textId="508A216B" w:rsidR="00F67E9E" w:rsidRPr="00025910" w:rsidRDefault="00F67E9E" w:rsidP="00F67E9E">
      <w:pPr>
        <w:pStyle w:val="AppendixText2"/>
      </w:pPr>
      <w:bookmarkStart w:id="2350" w:name="_Ref_ContractCompanion_9kb9Ut248"/>
      <w:r w:rsidRPr="00620079">
        <w:t>If the Supplier and/or any of its Sub-contractors enters into a CSPS Admission Agreement in accordance</w:t>
      </w:r>
      <w:r w:rsidRPr="00025910">
        <w:t xml:space="preserve"> with </w:t>
      </w:r>
      <w:bookmarkStart w:id="2351" w:name="_9kMHG5YVtCIC8BJIDUOndgt9zjuxpAFDDiaGsR1"/>
      <w:r w:rsidRPr="00025910">
        <w:t xml:space="preserve">Paragraph </w:t>
      </w:r>
      <w:r w:rsidRPr="00025910">
        <w:fldChar w:fldCharType="begin"/>
      </w:r>
      <w:r w:rsidRPr="00025910">
        <w:instrText xml:space="preserve"> REF _Ref_ContractCompanion_9kb9Ut25B \n \h \t \* MERGEFORMAT </w:instrText>
      </w:r>
      <w:r w:rsidRPr="00025910">
        <w:fldChar w:fldCharType="separate"/>
      </w:r>
      <w:r w:rsidR="007A1473">
        <w:t>2.1</w:t>
      </w:r>
      <w:r w:rsidRPr="00025910">
        <w:fldChar w:fldCharType="end"/>
      </w:r>
      <w:bookmarkEnd w:id="2351"/>
      <w:r w:rsidRPr="00025910">
        <w:t xml:space="preserve"> but the CSPS Admission Agreement is terminated during the term of this Contract</w:t>
      </w:r>
      <w:r w:rsidRPr="00025910" w:rsidDel="000D1FBB">
        <w:t xml:space="preserve"> </w:t>
      </w:r>
      <w:r w:rsidRPr="00025910">
        <w:t xml:space="preserve">for any reason at a time when the Supplier or Sub-contractor still employs any CSPS Eligible Employees, the Supplier shall (and </w:t>
      </w:r>
      <w:r w:rsidRPr="00025910">
        <w:lastRenderedPageBreak/>
        <w:t xml:space="preserve">procure that its Sub-contractors shall) at no extra cost to the Authority, offer the remaining CSPS Eligible Employees membership of a pension scheme which is Broadly Comparable to the CSPS on the date those CSPS Eligible Employees ceased to participate in the CSPS in accordance with the provisions of </w:t>
      </w:r>
      <w:bookmarkStart w:id="2352" w:name="_9kR3WTr2CC7EEyknoewrqyBJ"/>
      <w:r w:rsidRPr="00025910">
        <w:t xml:space="preserve">Paragraph </w:t>
      </w:r>
      <w:r w:rsidRPr="00025910">
        <w:fldChar w:fldCharType="begin"/>
      </w:r>
      <w:r w:rsidRPr="00025910">
        <w:instrText xml:space="preserve"> REF _Ref_ContractCompanion_9kb9Ur39F \w \n \h \t \* MERGEFORMAT </w:instrText>
      </w:r>
      <w:r w:rsidRPr="00025910">
        <w:fldChar w:fldCharType="separate"/>
      </w:r>
      <w:bookmarkStart w:id="2353" w:name="_9kMML5YVt4BD9HLfLhkhy7sHSMlR0KhkSdBP9zB"/>
      <w:r w:rsidR="007A1473">
        <w:t>11</w:t>
      </w:r>
      <w:bookmarkEnd w:id="2353"/>
      <w:r w:rsidRPr="00025910">
        <w:fldChar w:fldCharType="end"/>
      </w:r>
      <w:bookmarkEnd w:id="2352"/>
      <w:r w:rsidRPr="00025910">
        <w:t xml:space="preserve"> of </w:t>
      </w:r>
      <w:r w:rsidRPr="002E7013">
        <w:rPr>
          <w:rFonts w:eastAsia="Arial"/>
          <w:color w:val="000000"/>
        </w:rPr>
        <w:fldChar w:fldCharType="begin"/>
      </w:r>
      <w:r w:rsidRPr="002E7013">
        <w:rPr>
          <w:rFonts w:eastAsia="Arial"/>
          <w:color w:val="000000"/>
        </w:rPr>
        <w:instrText xml:space="preserve"> REF Sch28PartD \h  \* MERGEFORMAT </w:instrText>
      </w:r>
      <w:r w:rsidRPr="002E7013">
        <w:rPr>
          <w:rFonts w:eastAsia="Arial"/>
          <w:color w:val="000000"/>
        </w:rPr>
      </w:r>
      <w:r w:rsidRPr="002E7013">
        <w:rPr>
          <w:rFonts w:eastAsia="Arial"/>
          <w:color w:val="000000"/>
        </w:rPr>
        <w:fldChar w:fldCharType="separate"/>
      </w:r>
      <w:r w:rsidR="007A1473" w:rsidRPr="007A1473">
        <w:rPr>
          <w:rFonts w:eastAsia="Calibri"/>
        </w:rPr>
        <w:t>Part D</w:t>
      </w:r>
      <w:r w:rsidRPr="002E7013">
        <w:rPr>
          <w:rFonts w:eastAsia="Arial"/>
          <w:color w:val="000000"/>
        </w:rPr>
        <w:fldChar w:fldCharType="end"/>
      </w:r>
      <w:r w:rsidRPr="00025910">
        <w:t>.</w:t>
      </w:r>
      <w:bookmarkEnd w:id="2350"/>
    </w:p>
    <w:p w14:paraId="57325119" w14:textId="77777777" w:rsidR="00F67E9E" w:rsidRDefault="00F67E9E" w:rsidP="00F67E9E">
      <w:pPr>
        <w:rPr>
          <w:rFonts w:eastAsia="Times New Roman" w:cs="Arial"/>
          <w:szCs w:val="24"/>
          <w:lang w:eastAsia="en-GB"/>
        </w:rPr>
      </w:pPr>
    </w:p>
    <w:p w14:paraId="405DFE0E" w14:textId="77777777" w:rsidR="00F67E9E" w:rsidRDefault="00F67E9E" w:rsidP="00F67E9E">
      <w:pPr>
        <w:pStyle w:val="Heading2"/>
        <w:pageBreakBefore/>
      </w:pPr>
      <w:bookmarkStart w:id="2354" w:name="_Ref41978730"/>
      <w:bookmarkStart w:id="2355" w:name="_Toc145412823"/>
      <w:r w:rsidRPr="00025910">
        <w:lastRenderedPageBreak/>
        <w:t xml:space="preserve">Annex </w:t>
      </w:r>
      <w:bookmarkStart w:id="2356" w:name="ANNEXD2_SCHEDULE28"/>
      <w:r w:rsidRPr="00025910">
        <w:t>D2</w:t>
      </w:r>
      <w:bookmarkEnd w:id="2356"/>
      <w:r w:rsidRPr="00025910">
        <w:t xml:space="preserve">: </w:t>
      </w:r>
      <w:bookmarkStart w:id="2357" w:name="ANNEXD2HEADING_SCHEDULE28"/>
      <w:r w:rsidRPr="00025910">
        <w:t>NHSPS</w:t>
      </w:r>
      <w:bookmarkEnd w:id="2354"/>
      <w:bookmarkEnd w:id="2355"/>
      <w:bookmarkEnd w:id="2357"/>
    </w:p>
    <w:p w14:paraId="70E82DFC" w14:textId="77777777" w:rsidR="00F67E9E" w:rsidRPr="00025910" w:rsidRDefault="00F67E9E" w:rsidP="00F13933">
      <w:pPr>
        <w:pStyle w:val="AppendixText1"/>
        <w:numPr>
          <w:ilvl w:val="0"/>
          <w:numId w:val="61"/>
        </w:numPr>
      </w:pPr>
      <w:r w:rsidRPr="00620079">
        <w:t>Definitions</w:t>
      </w:r>
    </w:p>
    <w:p w14:paraId="163900A7" w14:textId="33D00D57" w:rsidR="00F67E9E" w:rsidRPr="00025910" w:rsidRDefault="00F67E9E" w:rsidP="00F67E9E">
      <w:pPr>
        <w:pStyle w:val="AppendixText2"/>
      </w:pPr>
      <w:r w:rsidRPr="00025910">
        <w:t xml:space="preserve">In this Annex </w:t>
      </w:r>
      <w:r w:rsidRPr="00025910">
        <w:fldChar w:fldCharType="begin"/>
      </w:r>
      <w:r w:rsidRPr="00025910">
        <w:instrText xml:space="preserve"> REF ANNEXD2_SCHEDULE28 \h </w:instrText>
      </w:r>
      <w:r>
        <w:instrText xml:space="preserve"> \* MERGEFORMAT </w:instrText>
      </w:r>
      <w:r w:rsidRPr="00025910">
        <w:fldChar w:fldCharType="separate"/>
      </w:r>
      <w:r w:rsidR="007A1473" w:rsidRPr="00025910">
        <w:t>D2</w:t>
      </w:r>
      <w:r w:rsidRPr="00025910">
        <w:fldChar w:fldCharType="end"/>
      </w:r>
      <w:r w:rsidRPr="00025910">
        <w:t xml:space="preserve">: </w:t>
      </w:r>
      <w:r w:rsidRPr="00025910">
        <w:fldChar w:fldCharType="begin"/>
      </w:r>
      <w:r w:rsidRPr="00025910">
        <w:instrText xml:space="preserve"> REF ANNEXD2HEADING_SCHEDULE28 \h </w:instrText>
      </w:r>
      <w:r>
        <w:instrText xml:space="preserve"> \* MERGEFORMAT </w:instrText>
      </w:r>
      <w:r w:rsidRPr="00025910">
        <w:fldChar w:fldCharType="separate"/>
      </w:r>
      <w:r w:rsidR="007A1473" w:rsidRPr="00025910">
        <w:t>NHSPS</w:t>
      </w:r>
      <w:r w:rsidRPr="00025910">
        <w:fldChar w:fldCharType="end"/>
      </w:r>
      <w:r w:rsidRPr="00025910">
        <w:t xml:space="preserve"> to </w:t>
      </w:r>
      <w:bookmarkStart w:id="2358" w:name="_9kMIH5YVt4DEFKEZGp9W"/>
      <w:bookmarkEnd w:id="2358"/>
      <w:r w:rsidRPr="002E7013">
        <w:rPr>
          <w:rFonts w:eastAsia="Arial"/>
          <w:color w:val="000000"/>
        </w:rPr>
        <w:fldChar w:fldCharType="begin"/>
      </w:r>
      <w:r w:rsidRPr="002E7013">
        <w:rPr>
          <w:rFonts w:eastAsia="Arial"/>
          <w:color w:val="000000"/>
        </w:rPr>
        <w:instrText xml:space="preserve"> REF Sch28PartD \h  \* MERGEFORMAT </w:instrText>
      </w:r>
      <w:r w:rsidRPr="002E7013">
        <w:rPr>
          <w:rFonts w:eastAsia="Arial"/>
          <w:color w:val="000000"/>
        </w:rPr>
      </w:r>
      <w:r w:rsidRPr="002E7013">
        <w:rPr>
          <w:rFonts w:eastAsia="Arial"/>
          <w:color w:val="000000"/>
        </w:rPr>
        <w:fldChar w:fldCharType="separate"/>
      </w:r>
      <w:r w:rsidR="007A1473" w:rsidRPr="007A1473">
        <w:rPr>
          <w:rFonts w:eastAsia="Calibri"/>
        </w:rPr>
        <w:t>Part D</w:t>
      </w:r>
      <w:r w:rsidRPr="002E7013">
        <w:rPr>
          <w:rFonts w:eastAsia="Arial"/>
          <w:color w:val="000000"/>
        </w:rPr>
        <w:fldChar w:fldCharType="end"/>
      </w:r>
      <w:r w:rsidRPr="00025910">
        <w:t xml:space="preserve">: </w:t>
      </w:r>
      <w:r>
        <w:fldChar w:fldCharType="begin"/>
      </w:r>
      <w:r>
        <w:instrText xml:space="preserve"> REF PartDSchedule28Heading \h </w:instrText>
      </w:r>
      <w:r>
        <w:fldChar w:fldCharType="separate"/>
      </w:r>
      <w:r w:rsidR="007A1473" w:rsidRPr="00025910">
        <w:t>Pensions</w:t>
      </w:r>
      <w:r>
        <w:fldChar w:fldCharType="end"/>
      </w:r>
      <w:r w:rsidRPr="00025910">
        <w:t xml:space="preserve">, the following words have the following </w:t>
      </w:r>
      <w:r w:rsidRPr="00620079">
        <w:t>meanings</w:t>
      </w:r>
      <w:r w:rsidRPr="00025910">
        <w:t>:</w:t>
      </w:r>
    </w:p>
    <w:tbl>
      <w:tblPr>
        <w:tblStyle w:val="MSAdefinitions"/>
        <w:tblW w:w="9629" w:type="dxa"/>
        <w:tblLook w:val="04A0" w:firstRow="1" w:lastRow="0" w:firstColumn="1" w:lastColumn="0" w:noHBand="0" w:noVBand="1"/>
      </w:tblPr>
      <w:tblGrid>
        <w:gridCol w:w="2835"/>
        <w:gridCol w:w="6794"/>
      </w:tblGrid>
      <w:tr w:rsidR="00F67E9E" w:rsidRPr="00025910" w14:paraId="41374F50" w14:textId="77777777" w:rsidTr="0052486C">
        <w:tc>
          <w:tcPr>
            <w:tcW w:w="2835" w:type="dxa"/>
          </w:tcPr>
          <w:p w14:paraId="23DAD3EC" w14:textId="77777777" w:rsidR="00F67E9E" w:rsidRPr="00025910" w:rsidRDefault="00F67E9E" w:rsidP="0052486C">
            <w:pPr>
              <w:pStyle w:val="StdBodyTextBold"/>
              <w:rPr>
                <w:rFonts w:cs="Arial"/>
              </w:rPr>
            </w:pPr>
            <w:r>
              <w:rPr>
                <w:rFonts w:cs="Arial"/>
              </w:rPr>
              <w:t>“</w:t>
            </w:r>
            <w:r w:rsidRPr="00025910">
              <w:rPr>
                <w:rFonts w:cs="Arial"/>
              </w:rPr>
              <w:t>Direction Letter/Determination</w:t>
            </w:r>
            <w:r>
              <w:rPr>
                <w:rFonts w:cs="Arial"/>
              </w:rPr>
              <w:t>”</w:t>
            </w:r>
          </w:p>
        </w:tc>
        <w:tc>
          <w:tcPr>
            <w:tcW w:w="6794" w:type="dxa"/>
          </w:tcPr>
          <w:p w14:paraId="1D00C2A1" w14:textId="77777777" w:rsidR="00F67E9E" w:rsidRPr="00025910" w:rsidRDefault="00F67E9E" w:rsidP="0052486C">
            <w:pPr>
              <w:pStyle w:val="StdBodyText"/>
              <w:rPr>
                <w:rFonts w:cs="Arial"/>
              </w:rPr>
            </w:pPr>
            <w:r w:rsidRPr="00025910">
              <w:rPr>
                <w:rFonts w:cs="Arial"/>
              </w:rPr>
              <w:t xml:space="preserve">an NHS Pensions Direction or Determination (as appropriate) issued by the Secretary of State in exercise of the powers conferred by </w:t>
            </w:r>
            <w:bookmarkStart w:id="2359" w:name="_9kR3WTr2797EG1rcszv1LAw25rdoI3630EMAAJF"/>
            <w:r w:rsidRPr="00025910">
              <w:rPr>
                <w:rFonts w:cs="Arial"/>
              </w:rPr>
              <w:t>section 7 of the Superannuation (Miscellaneous Provisions) Act 1967</w:t>
            </w:r>
            <w:bookmarkEnd w:id="2359"/>
            <w:r w:rsidRPr="00025910">
              <w:rPr>
                <w:rFonts w:cs="Arial"/>
              </w:rPr>
              <w:t xml:space="preserve"> or by </w:t>
            </w:r>
            <w:bookmarkStart w:id="2360" w:name="_9kMHG5YVt49B9GM7teu1x3IOBz58udo7z7zkhDV"/>
            <w:r w:rsidRPr="00025910">
              <w:rPr>
                <w:rFonts w:cs="Arial"/>
              </w:rPr>
              <w:t>section 25 of the Public Service Pensions Act 2013</w:t>
            </w:r>
            <w:bookmarkEnd w:id="2360"/>
            <w:r w:rsidRPr="00025910">
              <w:rPr>
                <w:rFonts w:cs="Arial"/>
              </w:rPr>
              <w:t xml:space="preserve"> (as appropriate) and issued to the Supplier or a Sub-contractor of the Supplier (as appropriate) relating to the terms of participation of the Supplier or Sub-contractor in the NHSPS in respect of the NHSPS Fair Deal Employees;</w:t>
            </w:r>
          </w:p>
        </w:tc>
      </w:tr>
      <w:tr w:rsidR="00F67E9E" w:rsidRPr="00025910" w14:paraId="34CBD4A8" w14:textId="77777777" w:rsidTr="0052486C">
        <w:tc>
          <w:tcPr>
            <w:tcW w:w="2835" w:type="dxa"/>
          </w:tcPr>
          <w:p w14:paraId="01EA8C14" w14:textId="77777777" w:rsidR="00F67E9E" w:rsidRPr="00025910" w:rsidRDefault="00F67E9E" w:rsidP="0052486C">
            <w:pPr>
              <w:pStyle w:val="StdBodyTextBold"/>
              <w:rPr>
                <w:rFonts w:cs="Arial"/>
              </w:rPr>
            </w:pPr>
            <w:r>
              <w:rPr>
                <w:rFonts w:cs="Arial"/>
              </w:rPr>
              <w:t>“</w:t>
            </w:r>
            <w:r w:rsidRPr="00025910">
              <w:rPr>
                <w:rFonts w:cs="Arial"/>
              </w:rPr>
              <w:t>NHS Broadly Comparable Employees</w:t>
            </w:r>
            <w:r>
              <w:rPr>
                <w:rFonts w:cs="Arial"/>
              </w:rPr>
              <w:t>”</w:t>
            </w:r>
          </w:p>
        </w:tc>
        <w:tc>
          <w:tcPr>
            <w:tcW w:w="6794" w:type="dxa"/>
          </w:tcPr>
          <w:p w14:paraId="1E0C90D7" w14:textId="77777777" w:rsidR="00F67E9E" w:rsidRPr="00025910" w:rsidRDefault="00F67E9E" w:rsidP="0052486C">
            <w:pPr>
              <w:pStyle w:val="StdBodyText"/>
              <w:rPr>
                <w:rFonts w:cs="Arial"/>
              </w:rPr>
            </w:pPr>
            <w:r w:rsidRPr="00025910">
              <w:rPr>
                <w:rFonts w:cs="Arial"/>
              </w:rPr>
              <w:t>means each of the Fair Deal Employees who at a Relevant Transfer Date was a member of, or was entitled to become a member of, or but for their compulsory transfer of employment would have been entitled to be or become a member of, the NHSPS as a result of either:</w:t>
            </w:r>
          </w:p>
          <w:p w14:paraId="631D5D13" w14:textId="77777777" w:rsidR="00F67E9E" w:rsidRPr="00620079" w:rsidRDefault="00F67E9E" w:rsidP="00F13933">
            <w:pPr>
              <w:pStyle w:val="DefinitionList"/>
              <w:numPr>
                <w:ilvl w:val="0"/>
                <w:numId w:val="170"/>
              </w:numPr>
            </w:pPr>
            <w:r w:rsidRPr="00620079">
              <w:t>their employment with the Authority, an NHS Body or other employer which participates automatically in the NHSPS; or</w:t>
            </w:r>
          </w:p>
          <w:p w14:paraId="788891FE" w14:textId="77777777" w:rsidR="00F67E9E" w:rsidRPr="00025910" w:rsidRDefault="00F67E9E" w:rsidP="00F13933">
            <w:pPr>
              <w:pStyle w:val="DefinitionList"/>
              <w:numPr>
                <w:ilvl w:val="0"/>
                <w:numId w:val="78"/>
              </w:numPr>
            </w:pPr>
            <w:r w:rsidRPr="00620079">
              <w:t>their employment</w:t>
            </w:r>
            <w:r w:rsidRPr="00025910">
              <w:t xml:space="preserve"> with a Former Supplier who provides access to either the NHSPS pursuant to a</w:t>
            </w:r>
            <w:r>
              <w:t xml:space="preserve"> </w:t>
            </w:r>
            <w:r w:rsidRPr="00025910">
              <w:t>Direction Letter/Determination or to a Broadly Comparable pension scheme in respect of their employment with that Former Supplier (on the basis that they are entitled to protection under New Fair Deal (or previous guidance), having been formerly in employment with the Authority, an NHS Body or other employer who participated automatically in the NHSPS in connection with the Services, prior to being employed by the Former Supplier),</w:t>
            </w:r>
          </w:p>
          <w:p w14:paraId="2A55B34A" w14:textId="77777777" w:rsidR="00F67E9E" w:rsidRPr="00025910" w:rsidRDefault="00F67E9E" w:rsidP="0052486C">
            <w:pPr>
              <w:pStyle w:val="StdBodyText"/>
              <w:rPr>
                <w:rFonts w:cs="Arial"/>
              </w:rPr>
            </w:pPr>
            <w:r w:rsidRPr="00025910">
              <w:rPr>
                <w:rFonts w:cs="Arial"/>
              </w:rPr>
              <w:t>but who is now ineligible to participate in the NHSPS under the rules of the NHSPS and in respect of whom the Authority has agreed are to be provided with a Broadly Comparable pension scheme to provide Pension Benefits that are Broadly Comparable to those provided under the NHSPS.</w:t>
            </w:r>
          </w:p>
        </w:tc>
      </w:tr>
      <w:tr w:rsidR="00F67E9E" w:rsidRPr="00025910" w14:paraId="09A9FB53" w14:textId="77777777" w:rsidTr="0052486C">
        <w:tc>
          <w:tcPr>
            <w:tcW w:w="2835" w:type="dxa"/>
          </w:tcPr>
          <w:p w14:paraId="0AAA0268" w14:textId="77777777" w:rsidR="00F67E9E" w:rsidRPr="00025910" w:rsidRDefault="00F67E9E" w:rsidP="0052486C">
            <w:pPr>
              <w:pStyle w:val="StdBodyTextBold"/>
              <w:rPr>
                <w:rFonts w:cs="Arial"/>
              </w:rPr>
            </w:pPr>
            <w:r>
              <w:rPr>
                <w:rFonts w:cs="Arial"/>
              </w:rPr>
              <w:t>“</w:t>
            </w:r>
            <w:r w:rsidRPr="00025910">
              <w:rPr>
                <w:rFonts w:cs="Arial"/>
              </w:rPr>
              <w:t>NHSPS Eligible Employees</w:t>
            </w:r>
            <w:r>
              <w:rPr>
                <w:rFonts w:cs="Arial"/>
              </w:rPr>
              <w:t>”</w:t>
            </w:r>
          </w:p>
        </w:tc>
        <w:tc>
          <w:tcPr>
            <w:tcW w:w="6794" w:type="dxa"/>
          </w:tcPr>
          <w:p w14:paraId="372B0D4C" w14:textId="77777777" w:rsidR="00F67E9E" w:rsidRPr="00025910" w:rsidRDefault="00F67E9E" w:rsidP="0052486C">
            <w:pPr>
              <w:pStyle w:val="StdBodyText"/>
              <w:rPr>
                <w:rFonts w:cs="Arial"/>
              </w:rPr>
            </w:pPr>
            <w:r w:rsidRPr="00025910">
              <w:rPr>
                <w:rFonts w:cs="Arial"/>
              </w:rPr>
              <w:t>any NHSPS Fair Deal Employee who at the relevant time is an active member or eligible to participate in the NHSPS under a Direction Letter/Determination Letter.</w:t>
            </w:r>
          </w:p>
        </w:tc>
      </w:tr>
      <w:tr w:rsidR="00F67E9E" w:rsidRPr="00025910" w14:paraId="4B69C9D7" w14:textId="77777777" w:rsidTr="0052486C">
        <w:tc>
          <w:tcPr>
            <w:tcW w:w="2835" w:type="dxa"/>
          </w:tcPr>
          <w:p w14:paraId="591B430B" w14:textId="77777777" w:rsidR="00F67E9E" w:rsidRPr="00025910" w:rsidRDefault="00F67E9E" w:rsidP="0052486C">
            <w:pPr>
              <w:pStyle w:val="StdBodyTextBold"/>
              <w:rPr>
                <w:rFonts w:cs="Arial"/>
              </w:rPr>
            </w:pPr>
            <w:r>
              <w:rPr>
                <w:rFonts w:cs="Arial"/>
              </w:rPr>
              <w:t>“</w:t>
            </w:r>
            <w:r w:rsidRPr="00025910">
              <w:rPr>
                <w:rFonts w:cs="Arial"/>
              </w:rPr>
              <w:t>NHSPS Fair Deal Employees</w:t>
            </w:r>
            <w:r>
              <w:rPr>
                <w:rFonts w:cs="Arial"/>
              </w:rPr>
              <w:t>”</w:t>
            </w:r>
          </w:p>
        </w:tc>
        <w:tc>
          <w:tcPr>
            <w:tcW w:w="6794" w:type="dxa"/>
          </w:tcPr>
          <w:p w14:paraId="05E7D710" w14:textId="77777777" w:rsidR="00F67E9E" w:rsidRPr="00025910" w:rsidRDefault="00F67E9E" w:rsidP="0052486C">
            <w:pPr>
              <w:pStyle w:val="StdBodyText"/>
              <w:rPr>
                <w:rFonts w:cs="Arial"/>
              </w:rPr>
            </w:pPr>
            <w:r w:rsidRPr="00025910">
              <w:rPr>
                <w:rFonts w:cs="Arial"/>
              </w:rPr>
              <w:t xml:space="preserve">means other than the NHS Broadly Comparable Employees, each of the Fair Deal Employees who at a Relevant Transfer Date was a member of, or was entitled to become a member </w:t>
            </w:r>
            <w:r w:rsidRPr="00025910">
              <w:rPr>
                <w:rFonts w:cs="Arial"/>
              </w:rPr>
              <w:lastRenderedPageBreak/>
              <w:t>of, or but for their compulsory transfer of employment would have been entitled to be or become a member of, the NHSPS as a result of either:</w:t>
            </w:r>
          </w:p>
          <w:p w14:paraId="2A324107" w14:textId="77777777" w:rsidR="00F67E9E" w:rsidRPr="00620079" w:rsidRDefault="00F67E9E" w:rsidP="00E1349E">
            <w:pPr>
              <w:pStyle w:val="DefinitionList"/>
              <w:numPr>
                <w:ilvl w:val="0"/>
                <w:numId w:val="182"/>
              </w:numPr>
            </w:pPr>
            <w:r w:rsidRPr="00620079">
              <w:t>their employment with the Authority, an NHS Body or other employer which participates automatically in the NHSPS; or</w:t>
            </w:r>
          </w:p>
          <w:p w14:paraId="64F57691" w14:textId="77777777" w:rsidR="00F67E9E" w:rsidRPr="00025910" w:rsidRDefault="00F67E9E" w:rsidP="00F13933">
            <w:pPr>
              <w:pStyle w:val="DefinitionList"/>
              <w:numPr>
                <w:ilvl w:val="0"/>
                <w:numId w:val="78"/>
              </w:numPr>
            </w:pPr>
            <w:r w:rsidRPr="00620079">
              <w:t>their employment with a Former Supplier who provides access to either the NH</w:t>
            </w:r>
            <w:r w:rsidRPr="00025910">
              <w:t>SPS pursuant to a</w:t>
            </w:r>
            <w:r>
              <w:t xml:space="preserve"> </w:t>
            </w:r>
            <w:r w:rsidRPr="00025910">
              <w:t>Direction Letter/Determination or to a Broadly Comparable pension scheme in respect of their employment with that Former Supplier (on the basis that they are entitled to protection under New Fair Deal (or previous guidance), having been formerly in employment with the Authority, an NHS Body or other employer who participated automatically in the NHSPS in connection with the Services, prior to being employed by the Former Supplier),</w:t>
            </w:r>
          </w:p>
          <w:p w14:paraId="37D28E64" w14:textId="77777777" w:rsidR="00F67E9E" w:rsidRPr="00025910" w:rsidRDefault="00F67E9E" w:rsidP="0052486C">
            <w:pPr>
              <w:pStyle w:val="StdBodyText"/>
              <w:rPr>
                <w:rFonts w:cs="Arial"/>
              </w:rPr>
            </w:pPr>
            <w:r w:rsidRPr="00025910">
              <w:rPr>
                <w:rFonts w:cs="Arial"/>
              </w:rPr>
              <w:t>and, in each case, being continuously engaged for more than fifty per cent (50%) of their employed time in the delivery of services (the same as or similar to the Services).</w:t>
            </w:r>
          </w:p>
          <w:p w14:paraId="23AD5385" w14:textId="77777777" w:rsidR="00F67E9E" w:rsidRPr="00025910" w:rsidRDefault="00F67E9E" w:rsidP="0052486C">
            <w:pPr>
              <w:pStyle w:val="StdBodyText"/>
              <w:rPr>
                <w:rFonts w:cs="Arial"/>
              </w:rPr>
            </w:pPr>
            <w:r w:rsidRPr="00025910">
              <w:rPr>
                <w:rFonts w:cs="Arial"/>
              </w:rPr>
              <w:t xml:space="preserve">For the avoidance of doubt, an individual who is in or entitled to become a member of the NHSPS as a result of being engaged in the Services and being covered by an </w:t>
            </w:r>
            <w:r>
              <w:rPr>
                <w:rFonts w:cs="Arial"/>
              </w:rPr>
              <w:t>“</w:t>
            </w:r>
            <w:r w:rsidRPr="00025910">
              <w:rPr>
                <w:rFonts w:cs="Arial"/>
              </w:rPr>
              <w:t>open</w:t>
            </w:r>
            <w:r>
              <w:rPr>
                <w:rFonts w:cs="Arial"/>
              </w:rPr>
              <w:t>”</w:t>
            </w:r>
            <w:r w:rsidRPr="00025910">
              <w:rPr>
                <w:rFonts w:cs="Arial"/>
              </w:rPr>
              <w:t xml:space="preserve"> Direction Letter/Determination or other NHSPS </w:t>
            </w:r>
            <w:r>
              <w:rPr>
                <w:rFonts w:cs="Arial"/>
              </w:rPr>
              <w:t>“</w:t>
            </w:r>
            <w:r w:rsidRPr="00025910">
              <w:rPr>
                <w:rFonts w:cs="Arial"/>
              </w:rPr>
              <w:t>access</w:t>
            </w:r>
            <w:r>
              <w:rPr>
                <w:rFonts w:cs="Arial"/>
              </w:rPr>
              <w:t>”</w:t>
            </w:r>
            <w:r w:rsidRPr="00025910">
              <w:rPr>
                <w:rFonts w:cs="Arial"/>
              </w:rPr>
              <w:t xml:space="preserve"> facility but who has never been employed directly by the Authority, an NHS Body or other body which participates automatically in the NHSPS is not an NHSPS Fair Deal Employee; </w:t>
            </w:r>
          </w:p>
        </w:tc>
      </w:tr>
      <w:tr w:rsidR="00F67E9E" w:rsidRPr="00025910" w14:paraId="259A2268" w14:textId="77777777" w:rsidTr="0052486C">
        <w:tc>
          <w:tcPr>
            <w:tcW w:w="2835" w:type="dxa"/>
          </w:tcPr>
          <w:p w14:paraId="3471239C" w14:textId="77777777" w:rsidR="00F67E9E" w:rsidRPr="00025910" w:rsidRDefault="00F67E9E" w:rsidP="0052486C">
            <w:pPr>
              <w:pStyle w:val="StdBodyTextBold"/>
              <w:rPr>
                <w:rFonts w:cs="Arial"/>
              </w:rPr>
            </w:pPr>
            <w:r>
              <w:rPr>
                <w:rFonts w:cs="Arial"/>
              </w:rPr>
              <w:lastRenderedPageBreak/>
              <w:t>“</w:t>
            </w:r>
            <w:r w:rsidRPr="00025910">
              <w:rPr>
                <w:rFonts w:cs="Arial"/>
              </w:rPr>
              <w:t>NHS Body</w:t>
            </w:r>
            <w:r>
              <w:rPr>
                <w:rFonts w:cs="Arial"/>
              </w:rPr>
              <w:t>”</w:t>
            </w:r>
          </w:p>
        </w:tc>
        <w:tc>
          <w:tcPr>
            <w:tcW w:w="6794" w:type="dxa"/>
          </w:tcPr>
          <w:p w14:paraId="736FDDBA" w14:textId="77777777" w:rsidR="00F67E9E" w:rsidRPr="00025910" w:rsidRDefault="00F67E9E" w:rsidP="0052486C">
            <w:pPr>
              <w:pStyle w:val="StdBodyText"/>
              <w:rPr>
                <w:rFonts w:cs="Arial"/>
              </w:rPr>
            </w:pPr>
            <w:r w:rsidRPr="00025910">
              <w:rPr>
                <w:rFonts w:cs="Arial"/>
              </w:rPr>
              <w:t xml:space="preserve">has the meaning given to it in </w:t>
            </w:r>
            <w:bookmarkStart w:id="2361" w:name="_9kR3WTr2797EI3rcszv1GOSAy47taR4D9F21jXx"/>
            <w:r w:rsidRPr="00025910">
              <w:rPr>
                <w:rFonts w:cs="Arial"/>
              </w:rPr>
              <w:t>section 275 of the National Health Service Act 2006</w:t>
            </w:r>
            <w:bookmarkEnd w:id="2361"/>
            <w:r w:rsidRPr="00025910">
              <w:rPr>
                <w:rFonts w:cs="Arial"/>
              </w:rPr>
              <w:t xml:space="preserve"> as amended by </w:t>
            </w:r>
            <w:bookmarkStart w:id="2362" w:name="_9kR3WTr2797EM7rcszv1FJRRww0fXtwtAJ4ORPQ"/>
            <w:r w:rsidRPr="00025910">
              <w:rPr>
                <w:rFonts w:cs="Arial"/>
              </w:rPr>
              <w:t>section 138(2)(c) of Schedule 4 to the Health and Social Care Act 2012</w:t>
            </w:r>
            <w:bookmarkEnd w:id="2362"/>
            <w:r w:rsidRPr="00025910">
              <w:rPr>
                <w:rFonts w:cs="Arial"/>
              </w:rPr>
              <w:t>;</w:t>
            </w:r>
          </w:p>
        </w:tc>
      </w:tr>
      <w:tr w:rsidR="00F67E9E" w:rsidRPr="00025910" w14:paraId="2972EA04" w14:textId="77777777" w:rsidTr="0052486C">
        <w:tc>
          <w:tcPr>
            <w:tcW w:w="2835" w:type="dxa"/>
          </w:tcPr>
          <w:p w14:paraId="2526B0BF" w14:textId="77777777" w:rsidR="00F67E9E" w:rsidRPr="00025910" w:rsidRDefault="00F67E9E" w:rsidP="0052486C">
            <w:pPr>
              <w:pStyle w:val="StdBodyTextBold"/>
              <w:rPr>
                <w:rFonts w:cs="Arial"/>
              </w:rPr>
            </w:pPr>
            <w:r>
              <w:rPr>
                <w:rFonts w:cs="Arial"/>
              </w:rPr>
              <w:t>“</w:t>
            </w:r>
            <w:r w:rsidRPr="00025910">
              <w:rPr>
                <w:rFonts w:cs="Arial"/>
              </w:rPr>
              <w:t>NHS Pensions</w:t>
            </w:r>
            <w:r>
              <w:rPr>
                <w:rFonts w:cs="Arial"/>
              </w:rPr>
              <w:t>”</w:t>
            </w:r>
          </w:p>
        </w:tc>
        <w:tc>
          <w:tcPr>
            <w:tcW w:w="6794" w:type="dxa"/>
          </w:tcPr>
          <w:p w14:paraId="5857555E" w14:textId="77777777" w:rsidR="00F67E9E" w:rsidRPr="00025910" w:rsidRDefault="00F67E9E" w:rsidP="0052486C">
            <w:pPr>
              <w:pStyle w:val="StdBodyText"/>
              <w:rPr>
                <w:rFonts w:cs="Arial"/>
              </w:rPr>
            </w:pPr>
            <w:r w:rsidRPr="00025910">
              <w:rPr>
                <w:rFonts w:cs="Arial"/>
              </w:rPr>
              <w:t>NHS Pensions as the administrators of the NHSPS or such other body as may from time to time be responsible for relevant administrative functions of the NHSPS;</w:t>
            </w:r>
          </w:p>
        </w:tc>
      </w:tr>
      <w:tr w:rsidR="00F67E9E" w:rsidRPr="00025910" w14:paraId="42C89C44" w14:textId="77777777" w:rsidTr="0052486C">
        <w:tc>
          <w:tcPr>
            <w:tcW w:w="2835" w:type="dxa"/>
          </w:tcPr>
          <w:p w14:paraId="38886063" w14:textId="77777777" w:rsidR="00F67E9E" w:rsidRPr="00025910" w:rsidRDefault="00F67E9E" w:rsidP="0052486C">
            <w:pPr>
              <w:pStyle w:val="StdBodyTextBold"/>
              <w:rPr>
                <w:rFonts w:cs="Arial"/>
              </w:rPr>
            </w:pPr>
            <w:r>
              <w:rPr>
                <w:rFonts w:cs="Arial"/>
              </w:rPr>
              <w:t>“</w:t>
            </w:r>
            <w:r w:rsidRPr="00025910">
              <w:rPr>
                <w:rFonts w:cs="Arial"/>
              </w:rPr>
              <w:t>NHSPS</w:t>
            </w:r>
            <w:r>
              <w:rPr>
                <w:rFonts w:cs="Arial"/>
              </w:rPr>
              <w:t>”</w:t>
            </w:r>
          </w:p>
        </w:tc>
        <w:tc>
          <w:tcPr>
            <w:tcW w:w="6794" w:type="dxa"/>
          </w:tcPr>
          <w:p w14:paraId="62E693FF" w14:textId="77777777" w:rsidR="00F67E9E" w:rsidRPr="00025910" w:rsidRDefault="00F67E9E" w:rsidP="0052486C">
            <w:pPr>
              <w:pStyle w:val="StdBodyText"/>
              <w:rPr>
                <w:rFonts w:cs="Arial"/>
              </w:rPr>
            </w:pPr>
            <w:r w:rsidRPr="00025910">
              <w:rPr>
                <w:rFonts w:cs="Arial"/>
              </w:rPr>
              <w:t xml:space="preserve">the National Health Service Pension Scheme for England and Wales, established pursuant to the </w:t>
            </w:r>
            <w:bookmarkStart w:id="2363" w:name="_9kR3WTr2797DEab5qtqn19xx628VF5VZga"/>
            <w:r w:rsidRPr="00025910">
              <w:rPr>
                <w:rFonts w:cs="Arial"/>
              </w:rPr>
              <w:t>Superannuation Act 1972</w:t>
            </w:r>
            <w:bookmarkEnd w:id="2363"/>
            <w:r w:rsidRPr="00025910">
              <w:rPr>
                <w:rFonts w:cs="Arial"/>
              </w:rPr>
              <w:t xml:space="preserve"> and the Public Service Pensions Act 2013 governed by subsequent regulations under those Acts including the NHS Pension Scheme Regulations;</w:t>
            </w:r>
          </w:p>
        </w:tc>
      </w:tr>
      <w:tr w:rsidR="00F67E9E" w:rsidRPr="00025910" w14:paraId="465AB48B" w14:textId="77777777" w:rsidTr="0052486C">
        <w:tc>
          <w:tcPr>
            <w:tcW w:w="2835" w:type="dxa"/>
          </w:tcPr>
          <w:p w14:paraId="251FB57F" w14:textId="77777777" w:rsidR="00F67E9E" w:rsidRPr="00025910" w:rsidRDefault="00F67E9E" w:rsidP="0052486C">
            <w:pPr>
              <w:pStyle w:val="StdBodyTextBold"/>
              <w:rPr>
                <w:rFonts w:cs="Arial"/>
              </w:rPr>
            </w:pPr>
            <w:r>
              <w:rPr>
                <w:rFonts w:cs="Arial"/>
              </w:rPr>
              <w:t>“</w:t>
            </w:r>
            <w:r w:rsidRPr="00025910">
              <w:rPr>
                <w:rFonts w:cs="Arial"/>
              </w:rPr>
              <w:t>NHS Pension Scheme Regulations</w:t>
            </w:r>
            <w:r>
              <w:rPr>
                <w:rFonts w:cs="Arial"/>
              </w:rPr>
              <w:t>”</w:t>
            </w:r>
          </w:p>
        </w:tc>
        <w:tc>
          <w:tcPr>
            <w:tcW w:w="6794" w:type="dxa"/>
          </w:tcPr>
          <w:p w14:paraId="4C8285FA" w14:textId="77777777" w:rsidR="00F67E9E" w:rsidRPr="00025910" w:rsidRDefault="00F67E9E" w:rsidP="0052486C">
            <w:pPr>
              <w:pStyle w:val="StdBodyText"/>
              <w:rPr>
                <w:rFonts w:cs="Arial"/>
              </w:rPr>
            </w:pPr>
            <w:r w:rsidRPr="00025910">
              <w:rPr>
                <w:rFonts w:cs="Arial"/>
              </w:rPr>
              <w:t xml:space="preserve">as appropriate, any or all of the National Health Service Pension Scheme Regulations 1995 (SI 1995/300), the National Health Service Pension Scheme Regulations 2008 (SI 2008/653), the National Health Service Pension Scheme Regulations 2015 (2015/94) and any subsequent regulations </w:t>
            </w:r>
            <w:r w:rsidRPr="00025910">
              <w:rPr>
                <w:rFonts w:cs="Arial"/>
              </w:rPr>
              <w:lastRenderedPageBreak/>
              <w:t>made in respect of the NHSPS, each as amended from time to time;</w:t>
            </w:r>
          </w:p>
        </w:tc>
      </w:tr>
      <w:tr w:rsidR="00F67E9E" w:rsidRPr="00025910" w14:paraId="6DA85EFF" w14:textId="77777777" w:rsidTr="0052486C">
        <w:tc>
          <w:tcPr>
            <w:tcW w:w="2835" w:type="dxa"/>
          </w:tcPr>
          <w:p w14:paraId="20CD017A" w14:textId="77777777" w:rsidR="00F67E9E" w:rsidRPr="00025910" w:rsidRDefault="00F67E9E" w:rsidP="0052486C">
            <w:pPr>
              <w:pStyle w:val="StdBodyTextBold"/>
              <w:rPr>
                <w:rFonts w:cs="Arial"/>
              </w:rPr>
            </w:pPr>
            <w:r>
              <w:rPr>
                <w:rFonts w:cs="Arial"/>
              </w:rPr>
              <w:lastRenderedPageBreak/>
              <w:t>“</w:t>
            </w:r>
            <w:r w:rsidRPr="00025910">
              <w:rPr>
                <w:rFonts w:cs="Arial"/>
              </w:rPr>
              <w:t>NHS Premature Retirement Rights</w:t>
            </w:r>
            <w:r>
              <w:rPr>
                <w:rFonts w:cs="Arial"/>
              </w:rPr>
              <w:t>”</w:t>
            </w:r>
          </w:p>
        </w:tc>
        <w:tc>
          <w:tcPr>
            <w:tcW w:w="6794" w:type="dxa"/>
          </w:tcPr>
          <w:p w14:paraId="73BE7C02" w14:textId="77777777" w:rsidR="00F67E9E" w:rsidRPr="00025910" w:rsidRDefault="00F67E9E" w:rsidP="0052486C">
            <w:pPr>
              <w:pStyle w:val="StdBodyText"/>
              <w:rPr>
                <w:rFonts w:cs="Arial"/>
              </w:rPr>
            </w:pPr>
            <w:r w:rsidRPr="00025910">
              <w:rPr>
                <w:rFonts w:cs="Arial"/>
              </w:rPr>
              <w:t xml:space="preserve">rights to which any NHSPS Fair Deal Employee (had they remained in the employment of the Authority,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w:t>
            </w:r>
            <w:bookmarkStart w:id="2364" w:name="_9kR3WTr2CC7EF2rcszv1IO"/>
            <w:r w:rsidRPr="00025910">
              <w:rPr>
                <w:rFonts w:cs="Arial"/>
              </w:rPr>
              <w:t>section 45</w:t>
            </w:r>
            <w:bookmarkEnd w:id="2364"/>
            <w:r w:rsidRPr="00025910">
              <w:rPr>
                <w:rFonts w:cs="Arial"/>
              </w:rPr>
              <w:t xml:space="preserve"> of the General Whitley Council conditions of service, or any other legislative or contractual provision which replaces, amends, extends or consolidates the same from time to time;</w:t>
            </w:r>
          </w:p>
        </w:tc>
      </w:tr>
      <w:tr w:rsidR="00F67E9E" w:rsidRPr="00025910" w14:paraId="7F43289D" w14:textId="77777777" w:rsidTr="0052486C">
        <w:tc>
          <w:tcPr>
            <w:tcW w:w="2835" w:type="dxa"/>
          </w:tcPr>
          <w:p w14:paraId="6F5149A8" w14:textId="77777777" w:rsidR="00F67E9E" w:rsidRPr="00025910" w:rsidRDefault="00F67E9E" w:rsidP="0052486C">
            <w:pPr>
              <w:pStyle w:val="StdBodyTextBold"/>
              <w:rPr>
                <w:rFonts w:cs="Arial"/>
              </w:rPr>
            </w:pPr>
            <w:r>
              <w:rPr>
                <w:rFonts w:cs="Arial"/>
              </w:rPr>
              <w:t>“</w:t>
            </w:r>
            <w:r w:rsidRPr="00025910">
              <w:rPr>
                <w:rFonts w:cs="Arial"/>
              </w:rPr>
              <w:t>Pension Benefits</w:t>
            </w:r>
            <w:r>
              <w:rPr>
                <w:rFonts w:cs="Arial"/>
              </w:rPr>
              <w:t>”</w:t>
            </w:r>
          </w:p>
        </w:tc>
        <w:tc>
          <w:tcPr>
            <w:tcW w:w="6794" w:type="dxa"/>
          </w:tcPr>
          <w:p w14:paraId="1C8396F6" w14:textId="77777777" w:rsidR="00F67E9E" w:rsidRPr="00025910" w:rsidRDefault="00F67E9E" w:rsidP="0052486C">
            <w:pPr>
              <w:pStyle w:val="StdBodyText"/>
              <w:rPr>
                <w:rFonts w:cs="Arial"/>
              </w:rPr>
            </w:pPr>
            <w:r w:rsidRPr="00025910">
              <w:rPr>
                <w:rFonts w:cs="Arial"/>
              </w:rPr>
              <w:t>any benefits payable in respect of an individual (including but not limited to pensions related allowances and lump sums) relating to old age, invalidity or survivor</w:t>
            </w:r>
            <w:r>
              <w:rPr>
                <w:rFonts w:cs="Arial"/>
              </w:rPr>
              <w:t>’</w:t>
            </w:r>
            <w:r w:rsidRPr="00025910">
              <w:rPr>
                <w:rFonts w:cs="Arial"/>
              </w:rPr>
              <w:t>s benefits provided under an occupational pension scheme; and</w:t>
            </w:r>
          </w:p>
        </w:tc>
      </w:tr>
    </w:tbl>
    <w:p w14:paraId="4E7A19A7" w14:textId="77777777" w:rsidR="00F67E9E" w:rsidRPr="00025910" w:rsidRDefault="00F67E9E" w:rsidP="00F67E9E">
      <w:pPr>
        <w:pStyle w:val="AppendixText1"/>
      </w:pPr>
      <w:bookmarkStart w:id="2365" w:name="_Ref_ContractCompanion_9kb9Ut26A"/>
      <w:bookmarkStart w:id="2366" w:name="_9kR3WTrAGA6AGMCwozZZIdxywp6LC3CJAGJ5CGM"/>
      <w:r w:rsidRPr="00620079">
        <w:t>Membership</w:t>
      </w:r>
      <w:r w:rsidRPr="00025910">
        <w:t xml:space="preserve"> </w:t>
      </w:r>
      <w:r>
        <w:t>o</w:t>
      </w:r>
      <w:r w:rsidRPr="00025910">
        <w:t xml:space="preserve">f </w:t>
      </w:r>
      <w:r>
        <w:t>t</w:t>
      </w:r>
      <w:r w:rsidRPr="00025910">
        <w:t>he NHSPS</w:t>
      </w:r>
      <w:bookmarkEnd w:id="2365"/>
      <w:bookmarkEnd w:id="2366"/>
    </w:p>
    <w:p w14:paraId="3D36F702" w14:textId="77777777" w:rsidR="00F67E9E" w:rsidRPr="00620079" w:rsidRDefault="00F67E9E" w:rsidP="00F67E9E">
      <w:pPr>
        <w:pStyle w:val="AppendixText2"/>
      </w:pPr>
      <w:r w:rsidRPr="00025910">
        <w:t>In accordance with New Fair Deal, the Supplier and/or any of its Sub-contractors to which the employment of any NHSPS Fair Deal Employee compulsorily transfers as a result of either the award of this Contract</w:t>
      </w:r>
      <w:r w:rsidRPr="00025910" w:rsidDel="000D1FBB">
        <w:t xml:space="preserve"> </w:t>
      </w:r>
      <w:r w:rsidRPr="00025910">
        <w:t xml:space="preserve">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w:t>
      </w:r>
      <w:r w:rsidRPr="00620079">
        <w:t>the delivery of the Services under this Contract.</w:t>
      </w:r>
    </w:p>
    <w:p w14:paraId="00AECB51" w14:textId="77777777" w:rsidR="00F67E9E" w:rsidRPr="00025910" w:rsidRDefault="00F67E9E" w:rsidP="00F67E9E">
      <w:pPr>
        <w:pStyle w:val="AppendixText2"/>
      </w:pPr>
      <w:r w:rsidRPr="00620079">
        <w:t>Where it is not possible for the Supplier and/or any of its Sub-contractors to secure a Direction Letter/D</w:t>
      </w:r>
      <w:r w:rsidRPr="00025910">
        <w:t>etermination on or before the Relevant Transfer Date, the Supplier must secure a Direction Letter/Determination as soon as possible after the Relevant Transfer Date, and in the period between the Relevant Transfer Date and the date the Direction Letter/Determination is secure, the Provider must ensure that:</w:t>
      </w:r>
    </w:p>
    <w:p w14:paraId="4CBA8FC2" w14:textId="77777777" w:rsidR="00F67E9E" w:rsidRPr="00620079" w:rsidRDefault="00F67E9E" w:rsidP="00F67E9E">
      <w:pPr>
        <w:pStyle w:val="AppendixText3"/>
      </w:pPr>
      <w:r w:rsidRPr="00025910">
        <w:t>all employer</w:t>
      </w:r>
      <w:r>
        <w:t>’</w:t>
      </w:r>
      <w:r w:rsidRPr="00025910">
        <w:t>s and NHSPS Fair Deal Employees</w:t>
      </w:r>
      <w:r>
        <w:t>’</w:t>
      </w:r>
      <w:r w:rsidRPr="00025910">
        <w:t xml:space="preserve"> contributions intended to go to the </w:t>
      </w:r>
      <w:r w:rsidRPr="00620079">
        <w:t>NHSPS are kept in a separate bank account; and</w:t>
      </w:r>
    </w:p>
    <w:p w14:paraId="2C29DB32" w14:textId="77777777" w:rsidR="00F67E9E" w:rsidRPr="00025910" w:rsidRDefault="00F67E9E" w:rsidP="00F67E9E">
      <w:pPr>
        <w:pStyle w:val="AppendixText3"/>
      </w:pPr>
      <w:r w:rsidRPr="00620079">
        <w:t>the Pension Benefits and Premature Retirement Rights of NHSPS Fair Deal Employees</w:t>
      </w:r>
      <w:r w:rsidRPr="00025910">
        <w:t xml:space="preserve"> are not adversely affected.</w:t>
      </w:r>
    </w:p>
    <w:p w14:paraId="5CCAEAAC" w14:textId="77777777" w:rsidR="00F67E9E" w:rsidRPr="00025910" w:rsidRDefault="00F67E9E" w:rsidP="00F67E9E">
      <w:pPr>
        <w:pStyle w:val="AppendixText2"/>
      </w:pPr>
      <w:r w:rsidRPr="00025910">
        <w:t>The Supplier must supply to the Authority a complete copy of each Direction Letter/Determination within 5 Working Days of receipt of the Direction Letter/Determination.</w:t>
      </w:r>
    </w:p>
    <w:p w14:paraId="6F99BCB2" w14:textId="77777777" w:rsidR="00F67E9E" w:rsidRPr="00025910" w:rsidRDefault="00F67E9E" w:rsidP="00F67E9E">
      <w:pPr>
        <w:pStyle w:val="AppendixText2"/>
      </w:pPr>
      <w:r w:rsidRPr="00025910">
        <w:t>The Supplier must ensure (and procure that each of its Sub-contractors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77E8EE4C" w14:textId="77777777" w:rsidR="00F67E9E" w:rsidRPr="00025910" w:rsidRDefault="00F67E9E" w:rsidP="00F67E9E">
      <w:pPr>
        <w:pStyle w:val="AppendixText2"/>
      </w:pPr>
      <w:r w:rsidRPr="00025910">
        <w:t xml:space="preserve">The Supplier will (and will procure that its Sub-contractors (if any) will) comply with the terms of the Direction Letter/Determination, the NHS Pension Scheme Regulations </w:t>
      </w:r>
      <w:r w:rsidRPr="00025910">
        <w:lastRenderedPageBreak/>
        <w:t>(including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3E0AE0B5" w14:textId="470DA8DE" w:rsidR="00F67E9E" w:rsidRPr="00025910" w:rsidRDefault="00F67E9E" w:rsidP="00F67E9E">
      <w:pPr>
        <w:pStyle w:val="AppendixText2"/>
      </w:pPr>
      <w:r w:rsidRPr="00025910">
        <w:t xml:space="preserve">Where any employee omitted from the Direction Letter/Determination supplied in accordance with </w:t>
      </w:r>
      <w:bookmarkStart w:id="2367" w:name="_9kMHG5YVtCIC8CIOEyq1bbKfz0yr8NE5ELCIL7E"/>
      <w:r w:rsidRPr="00025910">
        <w:t xml:space="preserve">Paragraph </w:t>
      </w:r>
      <w:r w:rsidRPr="00025910">
        <w:fldChar w:fldCharType="begin"/>
      </w:r>
      <w:r w:rsidRPr="00025910">
        <w:instrText xml:space="preserve"> REF _Ref_ContractCompanion_9kb9Ut26A \w \n \h \t \* MERGEFORMAT </w:instrText>
      </w:r>
      <w:r w:rsidRPr="00025910">
        <w:fldChar w:fldCharType="separate"/>
      </w:r>
      <w:r w:rsidR="007A1473">
        <w:t>2</w:t>
      </w:r>
      <w:r w:rsidRPr="00025910">
        <w:fldChar w:fldCharType="end"/>
      </w:r>
      <w:bookmarkEnd w:id="2367"/>
      <w:r w:rsidRPr="00025910">
        <w:t xml:space="preserve">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425B4669" w14:textId="77777777" w:rsidR="00F67E9E" w:rsidRPr="00025910" w:rsidRDefault="00F67E9E" w:rsidP="00F67E9E">
      <w:pPr>
        <w:pStyle w:val="AppendixText2"/>
      </w:pPr>
      <w:r w:rsidRPr="00025910">
        <w:t>The Supplier will (and will procure that its Sub-contractors (if any) will) provide any indemnity, bond or guarantee required by NHS Pensions in relation to a Direction Letter/Determination.</w:t>
      </w:r>
    </w:p>
    <w:p w14:paraId="42A90F00" w14:textId="77777777" w:rsidR="00F67E9E" w:rsidRPr="00025910" w:rsidRDefault="00F67E9E" w:rsidP="00F67E9E">
      <w:pPr>
        <w:pStyle w:val="AppendixText1"/>
      </w:pPr>
      <w:r w:rsidRPr="00025910">
        <w:t>NHS Premature Retirement Rights</w:t>
      </w:r>
    </w:p>
    <w:p w14:paraId="6AB13935" w14:textId="77777777" w:rsidR="00F67E9E" w:rsidRPr="00025910" w:rsidRDefault="00F67E9E" w:rsidP="00F67E9E">
      <w:pPr>
        <w:pStyle w:val="AppendixText2"/>
      </w:pPr>
      <w:r w:rsidRPr="00025910">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Authority, an NHS Body or other employer which participates automatically in the NHSPS.</w:t>
      </w:r>
    </w:p>
    <w:p w14:paraId="2BEC87AA" w14:textId="77777777" w:rsidR="00F67E9E" w:rsidRPr="00025910" w:rsidRDefault="00F67E9E" w:rsidP="00F67E9E">
      <w:pPr>
        <w:pStyle w:val="AppendixText1"/>
      </w:pPr>
      <w:bookmarkStart w:id="2368" w:name="_Ref_ContractCompanion_9kb9Ut235"/>
      <w:r w:rsidRPr="00025910">
        <w:t>NHS Broadly Comparable Employees</w:t>
      </w:r>
      <w:bookmarkEnd w:id="2368"/>
    </w:p>
    <w:p w14:paraId="2C1D3D55" w14:textId="541AC4CE" w:rsidR="00F67E9E" w:rsidRPr="00025910" w:rsidRDefault="00F67E9E" w:rsidP="00F67E9E">
      <w:pPr>
        <w:pStyle w:val="AppendixText2"/>
      </w:pPr>
      <w:r w:rsidRPr="00025910">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w:t>
      </w:r>
      <w:bookmarkStart w:id="2369" w:name="_9kMIH5YVt4EE9EDzmpqgyts0DK"/>
      <w:r w:rsidRPr="00025910">
        <w:t xml:space="preserve">Paragraph </w:t>
      </w:r>
      <w:r w:rsidRPr="00025910">
        <w:fldChar w:fldCharType="begin"/>
      </w:r>
      <w:r w:rsidRPr="00025910">
        <w:instrText xml:space="preserve"> REF _Ref_ContractCompanion_9kb9Ur37C \w \n \h \t \* MERGEFORMAT </w:instrText>
      </w:r>
      <w:r w:rsidRPr="00025910">
        <w:fldChar w:fldCharType="separate"/>
      </w:r>
      <w:bookmarkStart w:id="2370" w:name="_9kMNM5YVt4BD9HMgLhkhy7sHSMlR0KhkRcBP9zB"/>
      <w:r w:rsidR="007A1473">
        <w:t>10</w:t>
      </w:r>
      <w:bookmarkEnd w:id="2370"/>
      <w:r w:rsidRPr="00025910">
        <w:fldChar w:fldCharType="end"/>
      </w:r>
      <w:bookmarkEnd w:id="2369"/>
      <w:r w:rsidRPr="00025910">
        <w:t xml:space="preserve"> of </w:t>
      </w:r>
      <w:r w:rsidRPr="002E7013">
        <w:rPr>
          <w:rFonts w:eastAsia="Arial"/>
          <w:color w:val="000000"/>
        </w:rPr>
        <w:fldChar w:fldCharType="begin"/>
      </w:r>
      <w:r w:rsidRPr="002E7013">
        <w:rPr>
          <w:rFonts w:eastAsia="Arial"/>
          <w:color w:val="000000"/>
        </w:rPr>
        <w:instrText xml:space="preserve"> REF Sch28PartD \h  \* MERGEFORMAT </w:instrText>
      </w:r>
      <w:r w:rsidRPr="002E7013">
        <w:rPr>
          <w:rFonts w:eastAsia="Arial"/>
          <w:color w:val="000000"/>
        </w:rPr>
      </w:r>
      <w:r w:rsidRPr="002E7013">
        <w:rPr>
          <w:rFonts w:eastAsia="Arial"/>
          <w:color w:val="000000"/>
        </w:rPr>
        <w:fldChar w:fldCharType="separate"/>
      </w:r>
      <w:r w:rsidR="007A1473" w:rsidRPr="007A1473">
        <w:rPr>
          <w:rFonts w:eastAsia="Calibri"/>
        </w:rPr>
        <w:t>Part D</w:t>
      </w:r>
      <w:r w:rsidRPr="002E7013">
        <w:rPr>
          <w:rFonts w:eastAsia="Arial"/>
          <w:color w:val="000000"/>
        </w:rPr>
        <w:fldChar w:fldCharType="end"/>
      </w:r>
      <w:r w:rsidRPr="00025910">
        <w:t xml:space="preserve">. For the avoidance of doubt, this requirement is separate from any requirement to offer a Broadly Comparable pension scheme in accordance with </w:t>
      </w:r>
      <w:bookmarkStart w:id="2371" w:name="_9kMHG5YVtCIC8CLMHVGy1nZkEA71v5GHCFQ0xDw"/>
      <w:r w:rsidRPr="00025910">
        <w:t xml:space="preserve">Paragraph </w:t>
      </w:r>
      <w:r w:rsidRPr="00025910">
        <w:fldChar w:fldCharType="begin"/>
      </w:r>
      <w:r w:rsidRPr="00025910">
        <w:instrText xml:space="preserve"> REF _Ref_ContractCompanion_9kb9Ut26D \n \h \t \* MERGEFORMAT </w:instrText>
      </w:r>
      <w:r w:rsidRPr="00025910">
        <w:fldChar w:fldCharType="separate"/>
      </w:r>
      <w:r w:rsidR="007A1473">
        <w:t>5.2</w:t>
      </w:r>
      <w:r w:rsidRPr="00025910">
        <w:fldChar w:fldCharType="end"/>
      </w:r>
      <w:bookmarkEnd w:id="2371"/>
      <w:r w:rsidRPr="00025910">
        <w:t xml:space="preserve"> below.</w:t>
      </w:r>
    </w:p>
    <w:p w14:paraId="78C69EAC" w14:textId="77777777" w:rsidR="00F67E9E" w:rsidRPr="00025910" w:rsidRDefault="00F67E9E" w:rsidP="00F67E9E">
      <w:pPr>
        <w:pStyle w:val="AppendixText1"/>
      </w:pPr>
      <w:r w:rsidRPr="00025910">
        <w:t xml:space="preserve">Breach </w:t>
      </w:r>
      <w:r>
        <w:t>a</w:t>
      </w:r>
      <w:r w:rsidRPr="00025910">
        <w:t xml:space="preserve">nd Cancellation </w:t>
      </w:r>
      <w:r>
        <w:t>o</w:t>
      </w:r>
      <w:r w:rsidRPr="00025910">
        <w:t xml:space="preserve">f </w:t>
      </w:r>
      <w:r>
        <w:t>a</w:t>
      </w:r>
      <w:r w:rsidRPr="00025910">
        <w:t>ny Direction Letter/Determination(</w:t>
      </w:r>
      <w:r>
        <w:t>s</w:t>
      </w:r>
      <w:r w:rsidRPr="00025910">
        <w:t>)</w:t>
      </w:r>
    </w:p>
    <w:p w14:paraId="76C2208C" w14:textId="77777777" w:rsidR="00F67E9E" w:rsidRPr="00025910" w:rsidRDefault="00F67E9E" w:rsidP="00F67E9E">
      <w:pPr>
        <w:pStyle w:val="AppendixText2"/>
      </w:pPr>
      <w:r w:rsidRPr="00025910">
        <w:t>The Supplier agrees that the Authority is entitled to make arrangements with NHS Pensions for the Authority to be notified if the Supplier (or its Sub-contractors) breaches the terms of its Direction Letter/Determination. Notwithstanding the provisions of the foregoing, the Supplier shall notify the Authority in the event that it (or its Sub-contractor) breaches the terms of its Direction Letter/Determination.</w:t>
      </w:r>
    </w:p>
    <w:p w14:paraId="106782A3" w14:textId="73AEAEA0" w:rsidR="00F67E9E" w:rsidRPr="00025910" w:rsidRDefault="00F67E9E" w:rsidP="00F67E9E">
      <w:pPr>
        <w:pStyle w:val="AppendixText2"/>
      </w:pPr>
      <w:bookmarkStart w:id="2372" w:name="_9kR3WTrAGA6AJKFTEwzlXiC85zt3EFADOyvBu8K"/>
      <w:bookmarkStart w:id="2373" w:name="_Ref_ContractCompanion_9kb9Ut24B"/>
      <w:bookmarkStart w:id="2374" w:name="_Ref_ContractCompanion_9kb9Ut26D"/>
      <w:r w:rsidRPr="00025910">
        <w:t xml:space="preserve">If the Supplier (or its Sub-contractors, if relevant) ceases to participate in the NHSPS for whatever reason, the Supplier (or any such Sub-contractor, as appropriate) shall offer the NHSPS Eligible Employees membership of a pension scheme which is Broadly Comparable to the NHSPS on the date the NHSPS Eligible Employees ceased to participate in the NHSPS in accordance with the provisions of </w:t>
      </w:r>
      <w:bookmarkStart w:id="2375" w:name="_9kMHG5YVt4EE9GG0mpqgyts0DL"/>
      <w:r w:rsidRPr="00025910">
        <w:t xml:space="preserve">Paragraph </w:t>
      </w:r>
      <w:r w:rsidRPr="00025910">
        <w:fldChar w:fldCharType="begin"/>
      </w:r>
      <w:r w:rsidRPr="00025910">
        <w:instrText xml:space="preserve"> REF _Ref_ContractCompanion_9kb9Ur3A8 \w \n \h \t \* MERGEFORMAT </w:instrText>
      </w:r>
      <w:r w:rsidRPr="00025910">
        <w:fldChar w:fldCharType="separate"/>
      </w:r>
      <w:bookmarkStart w:id="2376" w:name="_9kMNM5YVt4BD9HLfLhkhy7sHSMlR0KhkSdBP9zB"/>
      <w:r w:rsidR="007A1473">
        <w:t>11</w:t>
      </w:r>
      <w:bookmarkEnd w:id="2376"/>
      <w:r w:rsidRPr="00025910">
        <w:fldChar w:fldCharType="end"/>
      </w:r>
      <w:bookmarkEnd w:id="2375"/>
      <w:r w:rsidRPr="00025910">
        <w:t xml:space="preserve"> of </w:t>
      </w:r>
      <w:r w:rsidRPr="002E7013">
        <w:rPr>
          <w:rFonts w:eastAsia="Arial"/>
          <w:color w:val="000000"/>
        </w:rPr>
        <w:fldChar w:fldCharType="begin"/>
      </w:r>
      <w:r w:rsidRPr="002E7013">
        <w:rPr>
          <w:rFonts w:eastAsia="Arial"/>
          <w:color w:val="000000"/>
        </w:rPr>
        <w:instrText xml:space="preserve"> REF Sch28PartD \h  \* MERGEFORMAT </w:instrText>
      </w:r>
      <w:r w:rsidRPr="002E7013">
        <w:rPr>
          <w:rFonts w:eastAsia="Arial"/>
          <w:color w:val="000000"/>
        </w:rPr>
      </w:r>
      <w:r w:rsidRPr="002E7013">
        <w:rPr>
          <w:rFonts w:eastAsia="Arial"/>
          <w:color w:val="000000"/>
        </w:rPr>
        <w:fldChar w:fldCharType="separate"/>
      </w:r>
      <w:r w:rsidR="007A1473" w:rsidRPr="007A1473">
        <w:rPr>
          <w:rFonts w:eastAsia="Calibri"/>
        </w:rPr>
        <w:t>Part D</w:t>
      </w:r>
      <w:r w:rsidRPr="002E7013">
        <w:rPr>
          <w:rFonts w:eastAsia="Arial"/>
          <w:color w:val="000000"/>
        </w:rPr>
        <w:fldChar w:fldCharType="end"/>
      </w:r>
      <w:r w:rsidRPr="00025910">
        <w:t>.</w:t>
      </w:r>
      <w:bookmarkEnd w:id="2372"/>
      <w:r w:rsidRPr="00025910">
        <w:t xml:space="preserve"> </w:t>
      </w:r>
      <w:bookmarkEnd w:id="2373"/>
      <w:bookmarkEnd w:id="2374"/>
    </w:p>
    <w:p w14:paraId="6E0B70B8" w14:textId="77777777" w:rsidR="00F67E9E" w:rsidRPr="00025910" w:rsidRDefault="00F67E9E" w:rsidP="00F67E9E">
      <w:pPr>
        <w:pStyle w:val="AppendixText1"/>
      </w:pPr>
      <w:r w:rsidRPr="00025910">
        <w:t>Compensation</w:t>
      </w:r>
    </w:p>
    <w:p w14:paraId="47F023F3" w14:textId="77777777" w:rsidR="00F67E9E" w:rsidRPr="00025910" w:rsidRDefault="00F67E9E" w:rsidP="00F67E9E">
      <w:pPr>
        <w:pStyle w:val="AppendixText2"/>
      </w:pPr>
      <w:r w:rsidRPr="00025910">
        <w:t>If the Supplier (or its Sub-contractor, if relevant) is unable to provide the NHSPS Fair Deal Employees with either membership of:</w:t>
      </w:r>
    </w:p>
    <w:p w14:paraId="62A00AB3" w14:textId="77777777" w:rsidR="00F67E9E" w:rsidRPr="00025910" w:rsidRDefault="00F67E9E" w:rsidP="00F67E9E">
      <w:pPr>
        <w:pStyle w:val="AppendixText3"/>
      </w:pPr>
      <w:r w:rsidRPr="00025910">
        <w:t xml:space="preserve">the NHSPS (having used its best endeavours to secure a Direction Letter/Determination); or </w:t>
      </w:r>
    </w:p>
    <w:p w14:paraId="30C764AC" w14:textId="77777777" w:rsidR="00F67E9E" w:rsidRPr="00025910" w:rsidRDefault="00F67E9E" w:rsidP="00F67E9E">
      <w:pPr>
        <w:pStyle w:val="AppendixText3"/>
      </w:pPr>
      <w:r w:rsidRPr="00025910">
        <w:lastRenderedPageBreak/>
        <w:t xml:space="preserve">a Broadly Comparable pension scheme, </w:t>
      </w:r>
    </w:p>
    <w:p w14:paraId="6C6DE6AF" w14:textId="77777777" w:rsidR="00F67E9E" w:rsidRPr="00025910" w:rsidRDefault="00F67E9E" w:rsidP="00F67E9E">
      <w:pPr>
        <w:pStyle w:val="StdBodyText2"/>
        <w:rPr>
          <w:rFonts w:cs="Arial"/>
        </w:rPr>
      </w:pPr>
      <w:r w:rsidRPr="00025910">
        <w:rPr>
          <w:rFonts w:cs="Arial"/>
        </w:rPr>
        <w:t>the Authority 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w:t>
      </w:r>
      <w:r>
        <w:rPr>
          <w:rFonts w:cs="Arial"/>
        </w:rPr>
        <w:t xml:space="preserve"> </w:t>
      </w:r>
      <w:r w:rsidRPr="00025910">
        <w:rPr>
          <w:rFonts w:cs="Arial"/>
        </w:rPr>
        <w:t>The Supplier must meet (or must procure that the relevant Sub-contractor meets) the costs of the Authority determining whether the level of compensation offered is reasonable in the circumstances.</w:t>
      </w:r>
    </w:p>
    <w:p w14:paraId="4F37BD5C" w14:textId="429FFC4F" w:rsidR="00F67E9E" w:rsidRPr="00025910" w:rsidRDefault="00F67E9E" w:rsidP="00F67E9E">
      <w:pPr>
        <w:pStyle w:val="AppendixText2"/>
      </w:pPr>
      <w:r w:rsidRPr="00025910">
        <w:t>This flexibility for the Authority to allow compensation in place of Pension Benefits is in addition to and not instead of the Authority</w:t>
      </w:r>
      <w:r>
        <w:t>’</w:t>
      </w:r>
      <w:r w:rsidRPr="00025910">
        <w:t>s right to terminate the Contract</w:t>
      </w:r>
      <w:r w:rsidRPr="00025910" w:rsidDel="000D1FBB">
        <w:t xml:space="preserve"> </w:t>
      </w:r>
      <w:r w:rsidRPr="00025910">
        <w:t xml:space="preserve">under </w:t>
      </w:r>
      <w:bookmarkStart w:id="2377" w:name="_9kMHG5YVtCIACFJkLhkhy7sHSMlR0KhqiAEyx5"/>
      <w:r w:rsidRPr="00025910">
        <w:t xml:space="preserve">Paragraph </w:t>
      </w:r>
      <w:r w:rsidRPr="00025910">
        <w:fldChar w:fldCharType="begin"/>
      </w:r>
      <w:r w:rsidRPr="00025910">
        <w:instrText xml:space="preserve"> REF _Ref_ContractCompanion_9kb9Ur69B \w \n \h \t \* MERGEFORMAT </w:instrText>
      </w:r>
      <w:r w:rsidRPr="00025910">
        <w:fldChar w:fldCharType="separate"/>
      </w:r>
      <w:bookmarkStart w:id="2378" w:name="_9kMHG5YVt4BD9HKeLhkhy7sHSMlR0KhqiAEyx5"/>
      <w:r w:rsidR="007A1473">
        <w:t>7</w:t>
      </w:r>
      <w:bookmarkEnd w:id="2378"/>
      <w:r w:rsidRPr="00025910">
        <w:fldChar w:fldCharType="end"/>
      </w:r>
      <w:bookmarkEnd w:id="2377"/>
      <w:r w:rsidRPr="00025910">
        <w:t xml:space="preserve"> (</w:t>
      </w:r>
      <w:r w:rsidRPr="00B6750E">
        <w:rPr>
          <w:i/>
          <w:iCs/>
        </w:rPr>
        <w:fldChar w:fldCharType="begin"/>
      </w:r>
      <w:r w:rsidRPr="00B6750E">
        <w:rPr>
          <w:i/>
          <w:iCs/>
        </w:rPr>
        <w:instrText xml:space="preserve"> REF _Ref_ContractCompanion_9kb9Ur69B \h  \* MERGEFORMAT </w:instrText>
      </w:r>
      <w:r w:rsidRPr="00B6750E">
        <w:rPr>
          <w:i/>
          <w:iCs/>
        </w:rPr>
      </w:r>
      <w:r w:rsidRPr="00B6750E">
        <w:rPr>
          <w:i/>
          <w:iCs/>
        </w:rPr>
        <w:fldChar w:fldCharType="separate"/>
      </w:r>
      <w:r w:rsidR="007A1473" w:rsidRPr="007A1473">
        <w:rPr>
          <w:i/>
          <w:iCs/>
        </w:rPr>
        <w:t>Breach</w:t>
      </w:r>
      <w:r w:rsidRPr="00B6750E">
        <w:rPr>
          <w:i/>
          <w:iCs/>
        </w:rPr>
        <w:fldChar w:fldCharType="end"/>
      </w:r>
      <w:r w:rsidRPr="00025910">
        <w:t xml:space="preserve">) of </w:t>
      </w:r>
      <w:r w:rsidRPr="002E7013">
        <w:rPr>
          <w:rFonts w:eastAsia="Arial"/>
          <w:color w:val="000000"/>
        </w:rPr>
        <w:fldChar w:fldCharType="begin"/>
      </w:r>
      <w:r w:rsidRPr="002E7013">
        <w:rPr>
          <w:rFonts w:eastAsia="Arial"/>
          <w:color w:val="000000"/>
        </w:rPr>
        <w:instrText xml:space="preserve"> REF Sch28PartD \h  \* MERGEFORMAT </w:instrText>
      </w:r>
      <w:r w:rsidRPr="002E7013">
        <w:rPr>
          <w:rFonts w:eastAsia="Arial"/>
          <w:color w:val="000000"/>
        </w:rPr>
      </w:r>
      <w:r w:rsidRPr="002E7013">
        <w:rPr>
          <w:rFonts w:eastAsia="Arial"/>
          <w:color w:val="000000"/>
        </w:rPr>
        <w:fldChar w:fldCharType="separate"/>
      </w:r>
      <w:r w:rsidR="007A1473" w:rsidRPr="007A1473">
        <w:rPr>
          <w:rFonts w:eastAsia="Calibri"/>
        </w:rPr>
        <w:t>Part D</w:t>
      </w:r>
      <w:r w:rsidRPr="002E7013">
        <w:rPr>
          <w:rFonts w:eastAsia="Arial"/>
          <w:color w:val="000000"/>
        </w:rPr>
        <w:fldChar w:fldCharType="end"/>
      </w:r>
      <w:r w:rsidRPr="00025910">
        <w:t xml:space="preserve"> of this Schedule.</w:t>
      </w:r>
    </w:p>
    <w:p w14:paraId="286860F1" w14:textId="77777777" w:rsidR="00F67E9E" w:rsidRPr="00025910" w:rsidRDefault="00F67E9E" w:rsidP="00F67E9E">
      <w:pPr>
        <w:pStyle w:val="AppendixText1"/>
      </w:pPr>
      <w:r w:rsidRPr="00025910">
        <w:t>Supplier Indemnities</w:t>
      </w:r>
    </w:p>
    <w:p w14:paraId="475BD451" w14:textId="77777777" w:rsidR="00F67E9E" w:rsidRDefault="00F67E9E" w:rsidP="00F67E9E">
      <w:pPr>
        <w:pStyle w:val="AppendixText2"/>
      </w:pPr>
      <w:r w:rsidRPr="00025910">
        <w:t>The Supplier must indemnify and keep indemnified the Authority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28ED0E4E" w14:textId="77777777" w:rsidR="00F67E9E" w:rsidRDefault="00F67E9E" w:rsidP="00F67E9E"/>
    <w:p w14:paraId="294A88E0" w14:textId="77777777" w:rsidR="00F67E9E" w:rsidRDefault="00F67E9E" w:rsidP="00F67E9E">
      <w:pPr>
        <w:pStyle w:val="Heading2"/>
        <w:pageBreakBefore/>
      </w:pPr>
      <w:bookmarkStart w:id="2379" w:name="_Ref41978739"/>
      <w:bookmarkStart w:id="2380" w:name="_Toc145412824"/>
      <w:r w:rsidRPr="00025910">
        <w:lastRenderedPageBreak/>
        <w:t xml:space="preserve">Annex </w:t>
      </w:r>
      <w:bookmarkStart w:id="2381" w:name="ANNEXD3_SCHEDULE28"/>
      <w:r w:rsidRPr="00025910">
        <w:t>D3</w:t>
      </w:r>
      <w:bookmarkEnd w:id="2381"/>
      <w:r w:rsidRPr="00025910">
        <w:t xml:space="preserve">: </w:t>
      </w:r>
      <w:bookmarkStart w:id="2382" w:name="ANNEXD3HEADING_SCHEDULE28"/>
      <w:r w:rsidRPr="00025910">
        <w:t>LGPS</w:t>
      </w:r>
      <w:bookmarkEnd w:id="2379"/>
      <w:bookmarkEnd w:id="2380"/>
      <w:bookmarkEnd w:id="2382"/>
    </w:p>
    <w:p w14:paraId="2B71B83E" w14:textId="77777777" w:rsidR="00F67E9E" w:rsidRPr="00025910" w:rsidRDefault="00F67E9E" w:rsidP="00F13933">
      <w:pPr>
        <w:pStyle w:val="AppendixText1"/>
        <w:numPr>
          <w:ilvl w:val="0"/>
          <w:numId w:val="62"/>
        </w:numPr>
      </w:pPr>
      <w:r w:rsidRPr="00620079">
        <w:t>Definitions</w:t>
      </w:r>
    </w:p>
    <w:p w14:paraId="44B5E536" w14:textId="316A399F" w:rsidR="00F67E9E" w:rsidRPr="00025910" w:rsidRDefault="00F67E9E" w:rsidP="00F67E9E">
      <w:pPr>
        <w:pStyle w:val="AppendixText2"/>
      </w:pPr>
      <w:r w:rsidRPr="00025910">
        <w:t xml:space="preserve">In this Annex </w:t>
      </w:r>
      <w:r w:rsidRPr="00025910">
        <w:fldChar w:fldCharType="begin"/>
      </w:r>
      <w:r w:rsidRPr="00025910">
        <w:instrText xml:space="preserve"> REF ANNEXD3_SCHEDULE28 \h </w:instrText>
      </w:r>
      <w:r>
        <w:instrText xml:space="preserve"> \* MERGEFORMAT </w:instrText>
      </w:r>
      <w:r w:rsidRPr="00025910">
        <w:fldChar w:fldCharType="separate"/>
      </w:r>
      <w:r w:rsidR="007A1473" w:rsidRPr="00025910">
        <w:t>D3</w:t>
      </w:r>
      <w:r w:rsidRPr="00025910">
        <w:fldChar w:fldCharType="end"/>
      </w:r>
      <w:r w:rsidRPr="00025910">
        <w:t xml:space="preserve"> </w:t>
      </w:r>
      <w:r w:rsidRPr="00025910">
        <w:fldChar w:fldCharType="begin"/>
      </w:r>
      <w:r w:rsidRPr="00025910">
        <w:instrText xml:space="preserve"> REF ANNEXD3HEADING_SCHEDULE28 \h </w:instrText>
      </w:r>
      <w:r>
        <w:instrText xml:space="preserve"> \* MERGEFORMAT </w:instrText>
      </w:r>
      <w:r w:rsidRPr="00025910">
        <w:fldChar w:fldCharType="separate"/>
      </w:r>
      <w:r w:rsidR="007A1473" w:rsidRPr="00025910">
        <w:t>LGPS</w:t>
      </w:r>
      <w:r w:rsidRPr="00025910">
        <w:fldChar w:fldCharType="end"/>
      </w:r>
      <w:r w:rsidRPr="00025910">
        <w:t xml:space="preserve"> to </w:t>
      </w:r>
      <w:bookmarkStart w:id="2383" w:name="_9kMJI5YVt4DEFKEZGp9W"/>
      <w:bookmarkEnd w:id="2383"/>
      <w:r w:rsidRPr="002E7013">
        <w:rPr>
          <w:rFonts w:eastAsia="Arial"/>
          <w:color w:val="000000"/>
        </w:rPr>
        <w:fldChar w:fldCharType="begin"/>
      </w:r>
      <w:r w:rsidRPr="002E7013">
        <w:rPr>
          <w:rFonts w:eastAsia="Arial"/>
          <w:color w:val="000000"/>
        </w:rPr>
        <w:instrText xml:space="preserve"> REF Sch28PartD \h  \* MERGEFORMAT </w:instrText>
      </w:r>
      <w:r w:rsidRPr="002E7013">
        <w:rPr>
          <w:rFonts w:eastAsia="Arial"/>
          <w:color w:val="000000"/>
        </w:rPr>
      </w:r>
      <w:r w:rsidRPr="002E7013">
        <w:rPr>
          <w:rFonts w:eastAsia="Arial"/>
          <w:color w:val="000000"/>
        </w:rPr>
        <w:fldChar w:fldCharType="separate"/>
      </w:r>
      <w:r w:rsidR="007A1473" w:rsidRPr="007A1473">
        <w:rPr>
          <w:rFonts w:eastAsia="Calibri"/>
        </w:rPr>
        <w:t>Part D</w:t>
      </w:r>
      <w:r w:rsidRPr="002E7013">
        <w:rPr>
          <w:rFonts w:eastAsia="Arial"/>
          <w:color w:val="000000"/>
        </w:rPr>
        <w:fldChar w:fldCharType="end"/>
      </w:r>
      <w:r w:rsidRPr="00025910">
        <w:t xml:space="preserve">: </w:t>
      </w:r>
      <w:r>
        <w:fldChar w:fldCharType="begin"/>
      </w:r>
      <w:r>
        <w:instrText xml:space="preserve"> REF PartDSchedule28Heading \h </w:instrText>
      </w:r>
      <w:r>
        <w:fldChar w:fldCharType="separate"/>
      </w:r>
      <w:r w:rsidR="007A1473" w:rsidRPr="00025910">
        <w:t>Pensions</w:t>
      </w:r>
      <w:r>
        <w:fldChar w:fldCharType="end"/>
      </w:r>
      <w:r w:rsidRPr="00025910">
        <w:t xml:space="preserve">, the following words have the following </w:t>
      </w:r>
      <w:r w:rsidRPr="00620079">
        <w:t>meanings</w:t>
      </w:r>
      <w:r w:rsidRPr="00025910">
        <w:t>:</w:t>
      </w:r>
    </w:p>
    <w:tbl>
      <w:tblPr>
        <w:tblStyle w:val="MSAdefinitions"/>
        <w:tblW w:w="9630" w:type="dxa"/>
        <w:tblLook w:val="04A0" w:firstRow="1" w:lastRow="0" w:firstColumn="1" w:lastColumn="0" w:noHBand="0" w:noVBand="1"/>
      </w:tblPr>
      <w:tblGrid>
        <w:gridCol w:w="2835"/>
        <w:gridCol w:w="6795"/>
      </w:tblGrid>
      <w:tr w:rsidR="00F67E9E" w:rsidRPr="00CD4FDC" w14:paraId="3C6E02C3" w14:textId="77777777" w:rsidTr="0052486C">
        <w:tc>
          <w:tcPr>
            <w:tcW w:w="2835" w:type="dxa"/>
          </w:tcPr>
          <w:p w14:paraId="1127156C" w14:textId="77777777" w:rsidR="00F67E9E" w:rsidRPr="00CD4FDC" w:rsidRDefault="00F67E9E" w:rsidP="0052486C">
            <w:pPr>
              <w:pStyle w:val="StdBodyTextBold"/>
              <w:rPr>
                <w:rFonts w:cs="Arial"/>
              </w:rPr>
            </w:pPr>
            <w:r>
              <w:rPr>
                <w:rFonts w:cs="Arial"/>
              </w:rPr>
              <w:t>“</w:t>
            </w:r>
            <w:r w:rsidRPr="00CD4FDC">
              <w:rPr>
                <w:rFonts w:cs="Arial"/>
              </w:rPr>
              <w:t>2013 Regulations</w:t>
            </w:r>
            <w:r>
              <w:rPr>
                <w:rFonts w:cs="Arial"/>
              </w:rPr>
              <w:t>”</w:t>
            </w:r>
          </w:p>
        </w:tc>
        <w:tc>
          <w:tcPr>
            <w:tcW w:w="6795" w:type="dxa"/>
          </w:tcPr>
          <w:p w14:paraId="236D8AAE" w14:textId="77777777" w:rsidR="00F67E9E" w:rsidRPr="00CD4FDC" w:rsidRDefault="00F67E9E" w:rsidP="0052486C">
            <w:pPr>
              <w:pStyle w:val="StdBodyText"/>
              <w:rPr>
                <w:rFonts w:cs="Arial"/>
              </w:rPr>
            </w:pPr>
            <w:r w:rsidRPr="00CD4FDC">
              <w:rPr>
                <w:rFonts w:cs="Arial"/>
              </w:rPr>
              <w:t>the Local Government Pension Scheme Regulations 2013 (SI</w:t>
            </w:r>
            <w:r>
              <w:rPr>
                <w:rFonts w:cs="Arial"/>
              </w:rPr>
              <w:t> </w:t>
            </w:r>
            <w:r w:rsidRPr="00CD4FDC">
              <w:rPr>
                <w:rFonts w:cs="Arial"/>
              </w:rPr>
              <w:t>2013/2356) (as amended from time to time);</w:t>
            </w:r>
          </w:p>
        </w:tc>
      </w:tr>
      <w:tr w:rsidR="00F67E9E" w:rsidRPr="00CD4FDC" w14:paraId="66E94D99" w14:textId="77777777" w:rsidTr="0052486C">
        <w:tc>
          <w:tcPr>
            <w:tcW w:w="2835" w:type="dxa"/>
          </w:tcPr>
          <w:p w14:paraId="636CCC9A" w14:textId="77777777" w:rsidR="00F67E9E" w:rsidRPr="00CD4FDC" w:rsidRDefault="00F67E9E" w:rsidP="0052486C">
            <w:pPr>
              <w:pStyle w:val="StdBodyTextBold"/>
              <w:rPr>
                <w:rFonts w:cs="Arial"/>
              </w:rPr>
            </w:pPr>
            <w:r>
              <w:rPr>
                <w:rFonts w:cs="Arial"/>
              </w:rPr>
              <w:t>“</w:t>
            </w:r>
            <w:r w:rsidRPr="00CD4FDC">
              <w:rPr>
                <w:rFonts w:cs="Arial"/>
              </w:rPr>
              <w:t>Administering Authority</w:t>
            </w:r>
            <w:r>
              <w:rPr>
                <w:rFonts w:cs="Arial"/>
              </w:rPr>
              <w:t>”</w:t>
            </w:r>
          </w:p>
        </w:tc>
        <w:tc>
          <w:tcPr>
            <w:tcW w:w="6795" w:type="dxa"/>
          </w:tcPr>
          <w:p w14:paraId="5FF22103" w14:textId="77777777" w:rsidR="00F67E9E" w:rsidRPr="00CD4FDC" w:rsidRDefault="00F67E9E" w:rsidP="0052486C">
            <w:pPr>
              <w:pStyle w:val="StdBodyText"/>
              <w:rPr>
                <w:rFonts w:cs="Arial"/>
              </w:rPr>
            </w:pPr>
            <w:r w:rsidRPr="00CD4FDC">
              <w:rPr>
                <w:rFonts w:cs="Arial"/>
              </w:rPr>
              <w:t xml:space="preserve">in relation to </w:t>
            </w:r>
            <w:r w:rsidRPr="00401120">
              <w:rPr>
                <w:rStyle w:val="StdBodyTextBoldChar"/>
                <w:rFonts w:cs="Arial"/>
              </w:rPr>
              <w:t>the Fund</w:t>
            </w:r>
            <w:r w:rsidRPr="00B1698D">
              <w:rPr>
                <w:rStyle w:val="StdBodyTextBoldChar"/>
                <w:rFonts w:cs="Arial"/>
                <w:b w:val="0"/>
                <w:bCs/>
              </w:rPr>
              <w:t xml:space="preserve"> </w:t>
            </w:r>
            <w:r w:rsidRPr="00B73DD6">
              <w:rPr>
                <w:rStyle w:val="StdBodyTextBoldChar"/>
                <w:rFonts w:cs="Arial"/>
                <w:bCs/>
                <w:highlight w:val="yellow"/>
              </w:rPr>
              <w:t>[insert</w:t>
            </w:r>
            <w:r w:rsidRPr="00B1698D">
              <w:rPr>
                <w:rStyle w:val="StdBodyTextBoldChar"/>
                <w:rFonts w:cs="Arial"/>
                <w:b w:val="0"/>
                <w:bCs/>
                <w:highlight w:val="yellow"/>
              </w:rPr>
              <w:t xml:space="preserve"> name]</w:t>
            </w:r>
            <w:r w:rsidRPr="00CD4FDC">
              <w:rPr>
                <w:rFonts w:cs="Arial"/>
              </w:rPr>
              <w:t>,</w:t>
            </w:r>
            <w:r>
              <w:rPr>
                <w:rFonts w:cs="Arial"/>
              </w:rPr>
              <w:t xml:space="preserve"> </w:t>
            </w:r>
            <w:r w:rsidRPr="00CD4FDC">
              <w:rPr>
                <w:rFonts w:cs="Arial"/>
              </w:rPr>
              <w:t>the relevant administering authority of that Fund for the purposes of the 2013 Regulations;</w:t>
            </w:r>
          </w:p>
        </w:tc>
      </w:tr>
      <w:tr w:rsidR="00F67E9E" w:rsidRPr="00CD4FDC" w14:paraId="5342F72F" w14:textId="77777777" w:rsidTr="0052486C">
        <w:tc>
          <w:tcPr>
            <w:tcW w:w="2835" w:type="dxa"/>
          </w:tcPr>
          <w:p w14:paraId="1F52DACC" w14:textId="77777777" w:rsidR="00F67E9E" w:rsidRPr="00CD4FDC" w:rsidRDefault="00F67E9E" w:rsidP="0052486C">
            <w:pPr>
              <w:pStyle w:val="StdBodyTextBold"/>
              <w:rPr>
                <w:rFonts w:cs="Arial"/>
              </w:rPr>
            </w:pPr>
            <w:r>
              <w:rPr>
                <w:rFonts w:cs="Arial"/>
              </w:rPr>
              <w:t>“</w:t>
            </w:r>
            <w:r w:rsidRPr="00CD4FDC">
              <w:rPr>
                <w:rFonts w:cs="Arial"/>
              </w:rPr>
              <w:t>Fund Actuary</w:t>
            </w:r>
            <w:r>
              <w:rPr>
                <w:rFonts w:cs="Arial"/>
              </w:rPr>
              <w:t>”</w:t>
            </w:r>
          </w:p>
        </w:tc>
        <w:tc>
          <w:tcPr>
            <w:tcW w:w="6795" w:type="dxa"/>
          </w:tcPr>
          <w:p w14:paraId="48A09362" w14:textId="77777777" w:rsidR="00F67E9E" w:rsidRPr="00CD4FDC" w:rsidRDefault="00F67E9E" w:rsidP="0052486C">
            <w:pPr>
              <w:pStyle w:val="StdBodyText"/>
              <w:rPr>
                <w:rFonts w:cs="Arial"/>
              </w:rPr>
            </w:pPr>
            <w:r w:rsidRPr="00CD4FDC">
              <w:rPr>
                <w:rFonts w:cs="Arial"/>
              </w:rPr>
              <w:t>the actuary to a Fund appointed by the Administering Authority of the Fund;</w:t>
            </w:r>
          </w:p>
        </w:tc>
      </w:tr>
      <w:tr w:rsidR="00F67E9E" w:rsidRPr="00CD4FDC" w14:paraId="644B680E" w14:textId="77777777" w:rsidTr="0052486C">
        <w:tc>
          <w:tcPr>
            <w:tcW w:w="2835" w:type="dxa"/>
          </w:tcPr>
          <w:p w14:paraId="4B11A515" w14:textId="77777777" w:rsidR="00F67E9E" w:rsidRPr="00CD4FDC" w:rsidRDefault="00F67E9E" w:rsidP="0052486C">
            <w:pPr>
              <w:pStyle w:val="StdBodyTextBold"/>
              <w:rPr>
                <w:rFonts w:cs="Arial"/>
              </w:rPr>
            </w:pPr>
            <w:r>
              <w:rPr>
                <w:rFonts w:cs="Arial"/>
              </w:rPr>
              <w:t>“</w:t>
            </w:r>
            <w:r w:rsidRPr="00CD4FDC">
              <w:rPr>
                <w:rFonts w:cs="Arial"/>
              </w:rPr>
              <w:t>Fund</w:t>
            </w:r>
            <w:r>
              <w:rPr>
                <w:rFonts w:cs="Arial"/>
              </w:rPr>
              <w:t>”</w:t>
            </w:r>
          </w:p>
        </w:tc>
        <w:tc>
          <w:tcPr>
            <w:tcW w:w="6795" w:type="dxa"/>
          </w:tcPr>
          <w:p w14:paraId="7EF6FCC1" w14:textId="77777777" w:rsidR="00F67E9E" w:rsidRPr="00B1698D" w:rsidRDefault="00F67E9E" w:rsidP="0052486C">
            <w:pPr>
              <w:pStyle w:val="StdBodyTextBold"/>
              <w:rPr>
                <w:rFonts w:cs="Arial"/>
                <w:b w:val="0"/>
                <w:bCs/>
              </w:rPr>
            </w:pPr>
            <w:r w:rsidRPr="00B73DD6">
              <w:rPr>
                <w:rFonts w:cs="Arial"/>
                <w:bCs/>
              </w:rPr>
              <w:t>[insert</w:t>
            </w:r>
            <w:r w:rsidRPr="00B1698D">
              <w:rPr>
                <w:rFonts w:cs="Arial"/>
                <w:b w:val="0"/>
                <w:bCs/>
                <w:highlight w:val="yellow"/>
              </w:rPr>
              <w:t xml:space="preserve"> name</w:t>
            </w:r>
            <w:r w:rsidRPr="00B1698D">
              <w:rPr>
                <w:rFonts w:cs="Arial"/>
                <w:b w:val="0"/>
                <w:bCs/>
              </w:rPr>
              <w:t>], a pension fund within the LGPS;</w:t>
            </w:r>
          </w:p>
        </w:tc>
      </w:tr>
      <w:tr w:rsidR="00F67E9E" w:rsidRPr="00CD4FDC" w14:paraId="4945B4F7" w14:textId="77777777" w:rsidTr="0052486C">
        <w:tc>
          <w:tcPr>
            <w:tcW w:w="2835" w:type="dxa"/>
          </w:tcPr>
          <w:p w14:paraId="3BE3C950" w14:textId="77777777" w:rsidR="00F67E9E" w:rsidRPr="00CD4FDC" w:rsidRDefault="00F67E9E" w:rsidP="0052486C">
            <w:pPr>
              <w:pStyle w:val="StdBodyTextBold"/>
              <w:rPr>
                <w:rFonts w:cs="Arial"/>
              </w:rPr>
            </w:pPr>
            <w:r w:rsidRPr="00CD4FDC">
              <w:rPr>
                <w:rFonts w:cs="Arial"/>
                <w:highlight w:val="yellow"/>
              </w:rPr>
              <w:t>[</w:t>
            </w:r>
            <w:r>
              <w:rPr>
                <w:rFonts w:cs="Arial"/>
                <w:highlight w:val="yellow"/>
              </w:rPr>
              <w:t>“</w:t>
            </w:r>
            <w:r w:rsidRPr="00CD4FDC">
              <w:rPr>
                <w:rFonts w:cs="Arial"/>
                <w:highlight w:val="yellow"/>
              </w:rPr>
              <w:t>Initial Contribution Rate</w:t>
            </w:r>
            <w:r>
              <w:rPr>
                <w:rFonts w:cs="Arial"/>
                <w:highlight w:val="yellow"/>
              </w:rPr>
              <w:t>”</w:t>
            </w:r>
            <w:r w:rsidRPr="00CD4FDC">
              <w:rPr>
                <w:rFonts w:cs="Arial"/>
                <w:highlight w:val="yellow"/>
              </w:rPr>
              <w:t>]</w:t>
            </w:r>
          </w:p>
        </w:tc>
        <w:tc>
          <w:tcPr>
            <w:tcW w:w="6795" w:type="dxa"/>
          </w:tcPr>
          <w:p w14:paraId="2CAECEF1" w14:textId="77777777" w:rsidR="00F67E9E" w:rsidRPr="00CD4FDC" w:rsidRDefault="00F67E9E" w:rsidP="0052486C">
            <w:pPr>
              <w:pStyle w:val="StdBodyText"/>
              <w:rPr>
                <w:rFonts w:cs="Arial"/>
              </w:rPr>
            </w:pPr>
            <w:r w:rsidRPr="00CD4FDC">
              <w:rPr>
                <w:rFonts w:cs="Arial"/>
                <w:highlight w:val="yellow"/>
              </w:rPr>
              <w:t>[</w:t>
            </w:r>
            <w:r w:rsidRPr="00B1698D">
              <w:rPr>
                <w:rFonts w:cs="Arial"/>
                <w:highlight w:val="yellow"/>
              </w:rPr>
              <w:t>XX</w:t>
            </w:r>
            <w:r w:rsidRPr="0040049C">
              <w:rPr>
                <w:rFonts w:cs="Arial"/>
                <w:b/>
                <w:bCs/>
                <w:highlight w:val="yellow"/>
              </w:rPr>
              <w:t>%</w:t>
            </w:r>
            <w:r w:rsidRPr="00CD4FDC">
              <w:rPr>
                <w:rFonts w:cs="Arial"/>
                <w:highlight w:val="yellow"/>
              </w:rPr>
              <w:t>] of pensionable pay (as defined in the 2013</w:t>
            </w:r>
            <w:r>
              <w:rPr>
                <w:rFonts w:cs="Arial"/>
                <w:highlight w:val="yellow"/>
              </w:rPr>
              <w:t xml:space="preserve"> </w:t>
            </w:r>
            <w:r w:rsidRPr="00CD4FDC">
              <w:rPr>
                <w:rFonts w:cs="Arial"/>
                <w:highlight w:val="yellow"/>
              </w:rPr>
              <w:t>Regulations);]</w:t>
            </w:r>
          </w:p>
        </w:tc>
      </w:tr>
      <w:tr w:rsidR="00F67E9E" w:rsidRPr="00CD4FDC" w14:paraId="133E3C74" w14:textId="77777777" w:rsidTr="0052486C">
        <w:tc>
          <w:tcPr>
            <w:tcW w:w="2835" w:type="dxa"/>
          </w:tcPr>
          <w:p w14:paraId="123C312A" w14:textId="77777777" w:rsidR="00F67E9E" w:rsidRPr="00CD4FDC" w:rsidRDefault="00F67E9E" w:rsidP="0052486C">
            <w:pPr>
              <w:pStyle w:val="StdBodyTextBold"/>
              <w:rPr>
                <w:rFonts w:cs="Arial"/>
              </w:rPr>
            </w:pPr>
            <w:r>
              <w:rPr>
                <w:rFonts w:cs="Arial"/>
              </w:rPr>
              <w:t>“</w:t>
            </w:r>
            <w:r w:rsidRPr="00CD4FDC">
              <w:rPr>
                <w:rFonts w:cs="Arial"/>
              </w:rPr>
              <w:t>LGPS</w:t>
            </w:r>
            <w:r>
              <w:rPr>
                <w:rFonts w:cs="Arial"/>
              </w:rPr>
              <w:t>”</w:t>
            </w:r>
          </w:p>
        </w:tc>
        <w:tc>
          <w:tcPr>
            <w:tcW w:w="6795" w:type="dxa"/>
          </w:tcPr>
          <w:p w14:paraId="2A36CC09" w14:textId="77777777" w:rsidR="00F67E9E" w:rsidRPr="00CD4FDC" w:rsidRDefault="00F67E9E" w:rsidP="0052486C">
            <w:pPr>
              <w:pStyle w:val="StdBodyText"/>
              <w:rPr>
                <w:rFonts w:cs="Arial"/>
              </w:rPr>
            </w:pPr>
            <w:r w:rsidRPr="00CD4FDC">
              <w:rPr>
                <w:rFonts w:cs="Arial"/>
              </w:rPr>
              <w:t>the Local Government Pension Scheme as governed by the LGPS Regulations, and any other regulations (in each case as amended from time to time) which are from time to time applicable to the Local Government Pension Scheme;</w:t>
            </w:r>
          </w:p>
        </w:tc>
      </w:tr>
      <w:tr w:rsidR="00F67E9E" w:rsidRPr="00025910" w14:paraId="330CA4A9" w14:textId="77777777" w:rsidTr="0052486C">
        <w:tc>
          <w:tcPr>
            <w:tcW w:w="2835" w:type="dxa"/>
          </w:tcPr>
          <w:p w14:paraId="55A1F70B" w14:textId="77777777" w:rsidR="00F67E9E" w:rsidRPr="00025910" w:rsidRDefault="00F67E9E" w:rsidP="0052486C">
            <w:pPr>
              <w:pStyle w:val="StdBodyTextBold"/>
              <w:rPr>
                <w:rFonts w:cs="Arial"/>
              </w:rPr>
            </w:pPr>
            <w:r>
              <w:rPr>
                <w:rFonts w:cs="Arial"/>
              </w:rPr>
              <w:t>“</w:t>
            </w:r>
            <w:r w:rsidRPr="00025910">
              <w:rPr>
                <w:rFonts w:cs="Arial"/>
              </w:rPr>
              <w:t>LGPS Admission Agreement</w:t>
            </w:r>
            <w:r>
              <w:rPr>
                <w:rFonts w:cs="Arial"/>
              </w:rPr>
              <w:t>”</w:t>
            </w:r>
          </w:p>
        </w:tc>
        <w:tc>
          <w:tcPr>
            <w:tcW w:w="6795" w:type="dxa"/>
          </w:tcPr>
          <w:p w14:paraId="418F5715" w14:textId="77777777" w:rsidR="00F67E9E" w:rsidRPr="00025910" w:rsidRDefault="00F67E9E" w:rsidP="0052486C">
            <w:pPr>
              <w:pStyle w:val="StdBodyText"/>
              <w:rPr>
                <w:rFonts w:cs="Arial"/>
              </w:rPr>
            </w:pPr>
            <w:r w:rsidRPr="00025910">
              <w:rPr>
                <w:rFonts w:cs="Arial"/>
              </w:rPr>
              <w:t xml:space="preserve">an admission agreement within the meaning in </w:t>
            </w:r>
            <w:bookmarkStart w:id="2384" w:name="_9kR3WTr2CC7EGdJfifw5q7"/>
            <w:r w:rsidRPr="00025910">
              <w:rPr>
                <w:rFonts w:cs="Arial"/>
              </w:rPr>
              <w:t>Schedule</w:t>
            </w:r>
            <w:r>
              <w:rPr>
                <w:rFonts w:cs="Arial"/>
              </w:rPr>
              <w:t> </w:t>
            </w:r>
            <w:r w:rsidRPr="00025910">
              <w:rPr>
                <w:rFonts w:cs="Arial"/>
              </w:rPr>
              <w:t>1</w:t>
            </w:r>
            <w:bookmarkEnd w:id="2384"/>
            <w:r w:rsidRPr="00025910">
              <w:rPr>
                <w:rFonts w:cs="Arial"/>
              </w:rPr>
              <w:t xml:space="preserve"> of the 2013 Regulations;</w:t>
            </w:r>
          </w:p>
        </w:tc>
      </w:tr>
      <w:tr w:rsidR="00F67E9E" w:rsidRPr="00025910" w14:paraId="5F8C9B85" w14:textId="77777777" w:rsidTr="0052486C">
        <w:tc>
          <w:tcPr>
            <w:tcW w:w="2835" w:type="dxa"/>
          </w:tcPr>
          <w:p w14:paraId="0715ADAE" w14:textId="77777777" w:rsidR="00F67E9E" w:rsidRPr="00025910" w:rsidRDefault="00F67E9E" w:rsidP="0052486C">
            <w:pPr>
              <w:pStyle w:val="StdBodyTextBold"/>
              <w:rPr>
                <w:rFonts w:cs="Arial"/>
              </w:rPr>
            </w:pPr>
            <w:r>
              <w:rPr>
                <w:rFonts w:cs="Arial"/>
              </w:rPr>
              <w:t>“</w:t>
            </w:r>
            <w:r w:rsidRPr="00025910">
              <w:rPr>
                <w:rFonts w:cs="Arial"/>
              </w:rPr>
              <w:t>LGPS Admission Body</w:t>
            </w:r>
            <w:r>
              <w:rPr>
                <w:rFonts w:cs="Arial"/>
              </w:rPr>
              <w:t>”</w:t>
            </w:r>
          </w:p>
        </w:tc>
        <w:tc>
          <w:tcPr>
            <w:tcW w:w="6795" w:type="dxa"/>
          </w:tcPr>
          <w:p w14:paraId="65B4AE39" w14:textId="77777777" w:rsidR="00F67E9E" w:rsidRPr="00025910" w:rsidRDefault="00F67E9E" w:rsidP="0052486C">
            <w:pPr>
              <w:pStyle w:val="StdBodyText"/>
              <w:rPr>
                <w:rFonts w:cs="Arial"/>
              </w:rPr>
            </w:pPr>
            <w:r w:rsidRPr="00025910">
              <w:rPr>
                <w:rFonts w:cs="Arial"/>
              </w:rPr>
              <w:t xml:space="preserve">an admission body (within the meaning </w:t>
            </w:r>
            <w:bookmarkStart w:id="2385" w:name="_9kR3WTr2CC7EHbEn7K"/>
            <w:bookmarkEnd w:id="2385"/>
            <w:r w:rsidRPr="00025910">
              <w:rPr>
                <w:rFonts w:cs="Arial"/>
              </w:rPr>
              <w:t xml:space="preserve">of </w:t>
            </w:r>
            <w:bookmarkStart w:id="2386" w:name="_9kR3WTr2CC7EIcEn7K"/>
            <w:r w:rsidRPr="00025910">
              <w:rPr>
                <w:rFonts w:cs="Arial"/>
              </w:rPr>
              <w:t>Part 3</w:t>
            </w:r>
            <w:bookmarkEnd w:id="2386"/>
            <w:r w:rsidRPr="00025910">
              <w:rPr>
                <w:rFonts w:cs="Arial"/>
              </w:rPr>
              <w:t xml:space="preserve"> of </w:t>
            </w:r>
            <w:bookmarkStart w:id="2387" w:name="_9kR3WTr2CC7EJgJfifw5q8"/>
            <w:r w:rsidRPr="00025910">
              <w:rPr>
                <w:rFonts w:cs="Arial"/>
              </w:rPr>
              <w:t>Schedule 2</w:t>
            </w:r>
            <w:bookmarkEnd w:id="2387"/>
            <w:r w:rsidRPr="00025910">
              <w:rPr>
                <w:rFonts w:cs="Arial"/>
              </w:rPr>
              <w:t xml:space="preserve"> of the 2013 Regulations);</w:t>
            </w:r>
          </w:p>
        </w:tc>
      </w:tr>
      <w:tr w:rsidR="00F67E9E" w:rsidRPr="00025910" w14:paraId="28EDB2F9" w14:textId="77777777" w:rsidTr="0052486C">
        <w:tc>
          <w:tcPr>
            <w:tcW w:w="2835" w:type="dxa"/>
          </w:tcPr>
          <w:p w14:paraId="30371CDA" w14:textId="77777777" w:rsidR="00F67E9E" w:rsidRPr="00025910" w:rsidRDefault="00F67E9E" w:rsidP="0052486C">
            <w:pPr>
              <w:pStyle w:val="StdBodyTextBold"/>
              <w:rPr>
                <w:rFonts w:cs="Arial"/>
              </w:rPr>
            </w:pPr>
            <w:r>
              <w:rPr>
                <w:rFonts w:cs="Arial"/>
              </w:rPr>
              <w:t>“</w:t>
            </w:r>
            <w:r w:rsidRPr="00025910">
              <w:rPr>
                <w:rFonts w:cs="Arial"/>
              </w:rPr>
              <w:t>LGPS Eligible Employees</w:t>
            </w:r>
            <w:r>
              <w:rPr>
                <w:rFonts w:cs="Arial"/>
              </w:rPr>
              <w:t>”</w:t>
            </w:r>
          </w:p>
        </w:tc>
        <w:tc>
          <w:tcPr>
            <w:tcW w:w="6795" w:type="dxa"/>
          </w:tcPr>
          <w:p w14:paraId="4D5AA160" w14:textId="77777777" w:rsidR="00F67E9E" w:rsidRPr="00025910" w:rsidRDefault="00F67E9E" w:rsidP="0052486C">
            <w:pPr>
              <w:pStyle w:val="StdBodyText"/>
              <w:rPr>
                <w:rFonts w:cs="Arial"/>
              </w:rPr>
            </w:pPr>
            <w:r w:rsidRPr="00025910">
              <w:rPr>
                <w:rFonts w:cs="Arial"/>
              </w:rPr>
              <w:t>any LGPS Fair Deal Employee who at the relevant time is an active member or eligible to participate in the LGPS under an LGPS Admission Agreement;</w:t>
            </w:r>
          </w:p>
        </w:tc>
      </w:tr>
      <w:tr w:rsidR="00F67E9E" w:rsidRPr="00025910" w14:paraId="58E9A1ED" w14:textId="77777777" w:rsidTr="0052486C">
        <w:tc>
          <w:tcPr>
            <w:tcW w:w="2835" w:type="dxa"/>
          </w:tcPr>
          <w:p w14:paraId="41F7BECB" w14:textId="77777777" w:rsidR="00F67E9E" w:rsidRPr="00025910" w:rsidRDefault="00F67E9E" w:rsidP="0052486C">
            <w:pPr>
              <w:pStyle w:val="StdBodyTextBold"/>
              <w:rPr>
                <w:rFonts w:cs="Arial"/>
              </w:rPr>
            </w:pPr>
            <w:r>
              <w:rPr>
                <w:rFonts w:cs="Arial"/>
              </w:rPr>
              <w:t>“</w:t>
            </w:r>
            <w:r w:rsidRPr="00025910">
              <w:rPr>
                <w:rFonts w:cs="Arial"/>
              </w:rPr>
              <w:t>LGPS Fair Deal</w:t>
            </w:r>
            <w:r>
              <w:rPr>
                <w:rFonts w:cs="Arial"/>
              </w:rPr>
              <w:t xml:space="preserve"> </w:t>
            </w:r>
            <w:r w:rsidRPr="00025910">
              <w:rPr>
                <w:rFonts w:cs="Arial"/>
              </w:rPr>
              <w:t>Employees</w:t>
            </w:r>
            <w:r>
              <w:rPr>
                <w:rFonts w:cs="Arial"/>
              </w:rPr>
              <w:t>”</w:t>
            </w:r>
          </w:p>
        </w:tc>
        <w:tc>
          <w:tcPr>
            <w:tcW w:w="6795" w:type="dxa"/>
          </w:tcPr>
          <w:p w14:paraId="585F3E66" w14:textId="77777777" w:rsidR="00F67E9E" w:rsidRPr="00025910" w:rsidRDefault="00F67E9E" w:rsidP="0052486C">
            <w:pPr>
              <w:pStyle w:val="StdBodyText"/>
              <w:rPr>
                <w:rFonts w:cs="Arial"/>
              </w:rPr>
            </w:pPr>
            <w:r w:rsidRPr="00025910">
              <w:rPr>
                <w:rFonts w:cs="Arial"/>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w:t>
            </w:r>
          </w:p>
        </w:tc>
      </w:tr>
      <w:tr w:rsidR="00F67E9E" w:rsidRPr="00025910" w14:paraId="5CB64D37" w14:textId="77777777" w:rsidTr="0052486C">
        <w:tc>
          <w:tcPr>
            <w:tcW w:w="2835" w:type="dxa"/>
          </w:tcPr>
          <w:p w14:paraId="15F5D6E5" w14:textId="77777777" w:rsidR="00F67E9E" w:rsidRPr="00025910" w:rsidRDefault="00F67E9E" w:rsidP="0052486C">
            <w:pPr>
              <w:pStyle w:val="StdBodyTextBold"/>
              <w:rPr>
                <w:rFonts w:cs="Arial"/>
              </w:rPr>
            </w:pPr>
            <w:r>
              <w:rPr>
                <w:rFonts w:cs="Arial"/>
              </w:rPr>
              <w:t>“</w:t>
            </w:r>
            <w:r w:rsidRPr="00025910">
              <w:rPr>
                <w:rFonts w:cs="Arial"/>
              </w:rPr>
              <w:t>LGPS Regulations</w:t>
            </w:r>
            <w:r>
              <w:rPr>
                <w:rFonts w:cs="Arial"/>
              </w:rPr>
              <w:t>”</w:t>
            </w:r>
          </w:p>
        </w:tc>
        <w:tc>
          <w:tcPr>
            <w:tcW w:w="6795" w:type="dxa"/>
          </w:tcPr>
          <w:p w14:paraId="1341C1D9" w14:textId="77777777" w:rsidR="00F67E9E" w:rsidRPr="00025910" w:rsidRDefault="00F67E9E" w:rsidP="0052486C">
            <w:pPr>
              <w:pStyle w:val="StdBodyText"/>
              <w:rPr>
                <w:rFonts w:cs="Arial"/>
              </w:rPr>
            </w:pPr>
            <w:r w:rsidRPr="00025910">
              <w:rPr>
                <w:rFonts w:cs="Arial"/>
              </w:rPr>
              <w:t xml:space="preserve">the 2013 Regulations and The Local Government Pension Scheme (Transitional Provisions, Savings and Amendment) Regulations 2014 (SI 2014/525), and any other regulations (in </w:t>
            </w:r>
            <w:r w:rsidRPr="00025910">
              <w:rPr>
                <w:rFonts w:cs="Arial"/>
              </w:rPr>
              <w:lastRenderedPageBreak/>
              <w:t>each case as amended from time to time) which are from time to time applicable to the LGPS.</w:t>
            </w:r>
          </w:p>
        </w:tc>
      </w:tr>
    </w:tbl>
    <w:p w14:paraId="58BD1756" w14:textId="77777777" w:rsidR="00F67E9E" w:rsidRPr="00025910" w:rsidRDefault="00F67E9E" w:rsidP="00F67E9E">
      <w:pPr>
        <w:pStyle w:val="AppendixText1"/>
      </w:pPr>
      <w:r>
        <w:lastRenderedPageBreak/>
        <w:t>S</w:t>
      </w:r>
      <w:r w:rsidRPr="00025910">
        <w:t xml:space="preserve">upplier to </w:t>
      </w:r>
      <w:r w:rsidRPr="00620079">
        <w:t>Become</w:t>
      </w:r>
      <w:r w:rsidRPr="00025910">
        <w:t xml:space="preserve"> an LGPS Admission Body</w:t>
      </w:r>
    </w:p>
    <w:p w14:paraId="69352EB5" w14:textId="77777777" w:rsidR="00F67E9E" w:rsidRPr="00025910" w:rsidRDefault="00F67E9E" w:rsidP="00F67E9E">
      <w:pPr>
        <w:pStyle w:val="AppendixText2"/>
      </w:pPr>
      <w:bookmarkStart w:id="2388" w:name="_Ref_ContractCompanion_9kb9Ut26G"/>
      <w:bookmarkStart w:id="2389" w:name="_9kR3WTrAGA6BDABSMlber7xhsvn8DBBCDz8MGD8"/>
      <w:r w:rsidRPr="00025910">
        <w:t xml:space="preserve">In accordance with the principles of New Fair Deal and/or the Best Value Direction, the Supplier and/or any of its Sub-contractors to which the employment of any LGPS Fair Deal Employee </w:t>
      </w:r>
      <w:r w:rsidRPr="00620079">
        <w:t>compulsorily</w:t>
      </w:r>
      <w:r w:rsidRPr="00025910">
        <w:t xml:space="preserve"> transfers as a result of either the award of this Contract</w:t>
      </w:r>
      <w:r w:rsidRPr="00025910" w:rsidDel="000D1FBB">
        <w:t xml:space="preserve"> </w:t>
      </w:r>
      <w:r w:rsidRPr="00025910">
        <w:t xml:space="preserve">or a Relevant Transfer, if not a scheme employer which participates automatically in the LGPS, shall each become an LGPS Admission Body by entering into an LGPS Admission Agreement </w:t>
      </w:r>
      <w:r>
        <w:t>with effect from</w:t>
      </w:r>
      <w:r w:rsidRPr="00025910">
        <w:t xml:space="preserve"> the Relevant Transfer Date to enable the LGPS Fair Deal Employees to retain either continuous active membership of or eligibility for the LGPS on and from the Relevant Transfer Date for so long as they remain employed in connection with the delivery of the Services under this Contract.</w:t>
      </w:r>
      <w:bookmarkEnd w:id="2388"/>
      <w:bookmarkEnd w:id="2389"/>
    </w:p>
    <w:p w14:paraId="384DC83F" w14:textId="77777777" w:rsidR="00F67E9E" w:rsidRPr="00CD4FDC" w:rsidRDefault="00F67E9E" w:rsidP="00F67E9E">
      <w:pPr>
        <w:pStyle w:val="StdBodyText2"/>
        <w:ind w:left="0"/>
        <w:rPr>
          <w:rFonts w:cs="Arial"/>
        </w:rPr>
      </w:pPr>
      <w:r w:rsidRPr="00CD4FDC">
        <w:rPr>
          <w:rFonts w:cs="Arial"/>
        </w:rPr>
        <w:t>OPTION 1</w:t>
      </w:r>
    </w:p>
    <w:p w14:paraId="1B07E158" w14:textId="77777777" w:rsidR="00F67E9E" w:rsidRPr="002E7013" w:rsidRDefault="00F67E9E" w:rsidP="00F67E9E">
      <w:pPr>
        <w:pStyle w:val="AppendixText2"/>
        <w:rPr>
          <w:highlight w:val="yellow"/>
        </w:rPr>
      </w:pPr>
      <w:r w:rsidRPr="002E7013">
        <w:rPr>
          <w:highlight w:val="yellow"/>
        </w:rPr>
        <w:t>[Any LGPS Fair Deal Employees who:</w:t>
      </w:r>
    </w:p>
    <w:p w14:paraId="185CB940" w14:textId="77777777" w:rsidR="00F67E9E" w:rsidRPr="00CD4FDC" w:rsidRDefault="00F67E9E" w:rsidP="00F67E9E">
      <w:pPr>
        <w:pStyle w:val="AppendixText3"/>
        <w:rPr>
          <w:highlight w:val="yellow"/>
        </w:rPr>
      </w:pPr>
      <w:r w:rsidRPr="00CD4FDC">
        <w:rPr>
          <w:highlight w:val="yellow"/>
        </w:rPr>
        <w:t>were active members of the LGPS (or a Broadly Comparable pension scheme) immediately before the Relevant Transfer Date shall be admitted to the LGPS with effect on and from the Relevant Transfer Date; and</w:t>
      </w:r>
    </w:p>
    <w:p w14:paraId="383B7C48" w14:textId="77777777" w:rsidR="00F67E9E" w:rsidRPr="00CD4FDC" w:rsidRDefault="00F67E9E" w:rsidP="00F67E9E">
      <w:pPr>
        <w:pStyle w:val="AppendixText3"/>
        <w:rPr>
          <w:highlight w:val="yellow"/>
        </w:rPr>
      </w:pPr>
      <w:r w:rsidRPr="00CD4FDC">
        <w:rPr>
          <w:highlight w:val="yellow"/>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
    <w:p w14:paraId="5D1B9A31" w14:textId="77777777" w:rsidR="00F67E9E" w:rsidRPr="00CD4FDC" w:rsidRDefault="00F67E9E" w:rsidP="00F67E9E">
      <w:pPr>
        <w:pStyle w:val="StdBodyText2"/>
        <w:ind w:left="0"/>
        <w:rPr>
          <w:rFonts w:cs="Arial"/>
        </w:rPr>
      </w:pPr>
      <w:r w:rsidRPr="00CD4FDC">
        <w:rPr>
          <w:rFonts w:cs="Arial"/>
        </w:rPr>
        <w:t>OPTION 2</w:t>
      </w:r>
    </w:p>
    <w:p w14:paraId="06F720F2" w14:textId="77777777" w:rsidR="00F67E9E" w:rsidRPr="00CD4FDC" w:rsidRDefault="00F67E9E" w:rsidP="00F67E9E">
      <w:pPr>
        <w:pStyle w:val="StdBodyText2"/>
        <w:rPr>
          <w:rFonts w:cs="Arial"/>
          <w:highlight w:val="yellow"/>
        </w:rPr>
      </w:pPr>
      <w:r w:rsidRPr="00CD4FDC">
        <w:rPr>
          <w:rFonts w:cs="Arial"/>
          <w:highlight w:val="yellow"/>
        </w:rPr>
        <w:t>[Any LGPS Fair Deal Employees whether:</w:t>
      </w:r>
    </w:p>
    <w:p w14:paraId="51B7A0E8" w14:textId="77777777" w:rsidR="00F67E9E" w:rsidRPr="00CD4FDC" w:rsidRDefault="00F67E9E" w:rsidP="00F67E9E">
      <w:pPr>
        <w:pStyle w:val="AppendixText3"/>
        <w:rPr>
          <w:highlight w:val="yellow"/>
        </w:rPr>
      </w:pPr>
      <w:r w:rsidRPr="00CD4FDC">
        <w:rPr>
          <w:highlight w:val="yellow"/>
        </w:rPr>
        <w:t xml:space="preserve">active members of the LGPS (or a Broadly Comparable pension scheme) immediately before the Relevant Transfer Date; or </w:t>
      </w:r>
    </w:p>
    <w:p w14:paraId="0CA4B894" w14:textId="77777777" w:rsidR="00F67E9E" w:rsidRPr="00CD4FDC" w:rsidRDefault="00F67E9E" w:rsidP="00F67E9E">
      <w:pPr>
        <w:pStyle w:val="AppendixText3"/>
        <w:rPr>
          <w:highlight w:val="yellow"/>
        </w:rPr>
      </w:pPr>
      <w:r w:rsidRPr="00CD4FDC">
        <w:rPr>
          <w:highlight w:val="yellow"/>
        </w:rPr>
        <w:t xml:space="preserve">eligible to join the LGPS (or a Broadly Comparable pension scheme) but not active members of the LGPS (or a Broadly Comparable pension scheme) immediately before the Relevant Transfer Date </w:t>
      </w:r>
    </w:p>
    <w:p w14:paraId="2649C681" w14:textId="77777777" w:rsidR="00F67E9E" w:rsidRPr="00CD4FDC" w:rsidRDefault="00F67E9E" w:rsidP="00F67E9E">
      <w:pPr>
        <w:pStyle w:val="StdBodyText2"/>
        <w:rPr>
          <w:rFonts w:cs="Arial"/>
          <w:highlight w:val="yellow"/>
        </w:rPr>
      </w:pPr>
      <w:r w:rsidRPr="00CD4FDC">
        <w:rPr>
          <w:rFonts w:cs="Arial"/>
          <w:highlight w:val="yellow"/>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77511A4D" w14:textId="77777777" w:rsidR="00F67E9E" w:rsidRPr="00025910" w:rsidRDefault="00F67E9E" w:rsidP="00F67E9E">
      <w:pPr>
        <w:pStyle w:val="AppendixText2"/>
      </w:pPr>
      <w:r w:rsidRPr="00025910">
        <w:t xml:space="preserve">The Supplier will (and will procure that its Sub-contractors (if any) will) provide at its own cost any indemnity, bond or guarantee required by an Administering Authority in relation to an LGPS Admission Agreement. </w:t>
      </w:r>
    </w:p>
    <w:p w14:paraId="7D6AFB33" w14:textId="77777777" w:rsidR="00F67E9E" w:rsidRPr="00025910" w:rsidRDefault="00F67E9E" w:rsidP="00F67E9E">
      <w:pPr>
        <w:pStyle w:val="AppendixText1"/>
      </w:pPr>
      <w:r w:rsidRPr="00025910">
        <w:t>Broadly Comparable Scheme</w:t>
      </w:r>
    </w:p>
    <w:p w14:paraId="0C33BDDB" w14:textId="64AAE5F3" w:rsidR="00F67E9E" w:rsidRPr="00025910" w:rsidRDefault="00F67E9E" w:rsidP="00F67E9E">
      <w:pPr>
        <w:pStyle w:val="AppendixText2"/>
      </w:pPr>
      <w:bookmarkStart w:id="2390" w:name="_Ref_ContractCompanion_9kb9Ut238"/>
      <w:r w:rsidRPr="00025910">
        <w:t xml:space="preserve">If the Supplier and/or any of its Sub-contractors is unable to obtain an LGPS Admission Agreement in accordance with </w:t>
      </w:r>
      <w:bookmarkStart w:id="2391" w:name="_9kMHG5YVtCIC8DFCDUOndgt9zjuxpAFDDEF1AOI"/>
      <w:r w:rsidRPr="00025910">
        <w:t xml:space="preserve">Paragraph </w:t>
      </w:r>
      <w:r w:rsidRPr="00025910">
        <w:fldChar w:fldCharType="begin"/>
      </w:r>
      <w:r w:rsidRPr="00025910">
        <w:instrText xml:space="preserve"> REF _Ref_ContractCompanion_9kb9Ut26G \n \h \t \* MERGEFORMAT </w:instrText>
      </w:r>
      <w:r w:rsidRPr="00025910">
        <w:fldChar w:fldCharType="separate"/>
      </w:r>
      <w:r w:rsidR="007A1473">
        <w:t>2.1</w:t>
      </w:r>
      <w:r w:rsidRPr="00025910">
        <w:fldChar w:fldCharType="end"/>
      </w:r>
      <w:bookmarkEnd w:id="2391"/>
      <w:r w:rsidRPr="00025910">
        <w:t xml:space="preserve"> because the Administering Authority will not allow it to participate in the Fund,</w:t>
      </w:r>
      <w:r>
        <w:t xml:space="preserve"> </w:t>
      </w:r>
      <w:r w:rsidRPr="00025910">
        <w:t xml:space="preserve">the Supplier shall (and procure that its Sub-contractors shall), with effect from the Relevant Transfer Date, offer the LGPS Fair Deal </w:t>
      </w:r>
      <w:r w:rsidRPr="00025910">
        <w:lastRenderedPageBreak/>
        <w:t xml:space="preserve">Employees membership of a pension scheme which is Broadly Comparable to LGPS on the Relevant Transfer Date in accordance with the provisions of </w:t>
      </w:r>
      <w:bookmarkStart w:id="2392" w:name="_9kMJI5YVt4EE9EDzmpqgyts0DK"/>
      <w:r w:rsidRPr="00025910">
        <w:t xml:space="preserve">Paragraph </w:t>
      </w:r>
      <w:r w:rsidRPr="00025910">
        <w:fldChar w:fldCharType="begin"/>
      </w:r>
      <w:r w:rsidRPr="00025910">
        <w:instrText xml:space="preserve"> REF _Ref_ContractCompanion_9kb9Ur37E \w \n \h \t \* MERGEFORMAT </w:instrText>
      </w:r>
      <w:r w:rsidRPr="00025910">
        <w:fldChar w:fldCharType="separate"/>
      </w:r>
      <w:bookmarkStart w:id="2393" w:name="_9kMON5YVt4BD9HMgLhkhy7sHSMlR0KhkRcBP9zB"/>
      <w:r w:rsidR="007A1473">
        <w:t>10</w:t>
      </w:r>
      <w:bookmarkEnd w:id="2393"/>
      <w:r w:rsidRPr="00025910">
        <w:fldChar w:fldCharType="end"/>
      </w:r>
      <w:bookmarkEnd w:id="2392"/>
      <w:r w:rsidRPr="00025910">
        <w:t xml:space="preserve"> of </w:t>
      </w:r>
      <w:r w:rsidRPr="002E7013">
        <w:rPr>
          <w:rFonts w:eastAsia="Arial"/>
          <w:color w:val="000000"/>
        </w:rPr>
        <w:fldChar w:fldCharType="begin"/>
      </w:r>
      <w:r w:rsidRPr="002E7013">
        <w:rPr>
          <w:rFonts w:eastAsia="Arial"/>
          <w:color w:val="000000"/>
        </w:rPr>
        <w:instrText xml:space="preserve"> REF Sch28PartD \h  \* MERGEFORMAT </w:instrText>
      </w:r>
      <w:r w:rsidRPr="002E7013">
        <w:rPr>
          <w:rFonts w:eastAsia="Arial"/>
          <w:color w:val="000000"/>
        </w:rPr>
      </w:r>
      <w:r w:rsidRPr="002E7013">
        <w:rPr>
          <w:rFonts w:eastAsia="Arial"/>
          <w:color w:val="000000"/>
        </w:rPr>
        <w:fldChar w:fldCharType="separate"/>
      </w:r>
      <w:r w:rsidR="007A1473" w:rsidRPr="007A1473">
        <w:rPr>
          <w:rFonts w:eastAsia="Calibri"/>
        </w:rPr>
        <w:t>Part D</w:t>
      </w:r>
      <w:r w:rsidRPr="002E7013">
        <w:rPr>
          <w:rFonts w:eastAsia="Arial"/>
          <w:color w:val="000000"/>
        </w:rPr>
        <w:fldChar w:fldCharType="end"/>
      </w:r>
      <w:r w:rsidRPr="00025910">
        <w:t xml:space="preserve">. </w:t>
      </w:r>
      <w:bookmarkEnd w:id="2390"/>
    </w:p>
    <w:p w14:paraId="38072472" w14:textId="04F99788" w:rsidR="00F67E9E" w:rsidRPr="00025910" w:rsidRDefault="00F67E9E" w:rsidP="00F67E9E">
      <w:pPr>
        <w:pStyle w:val="AppendixText2"/>
      </w:pPr>
      <w:bookmarkStart w:id="2394" w:name="_Ref_ContractCompanion_9kb9Ut24E"/>
      <w:bookmarkStart w:id="2395" w:name="_9kR3WTrAGA69BBDTEwzlXiC85zt30x13I52RTB6"/>
      <w:r w:rsidRPr="00025910">
        <w:t xml:space="preserve">If the Supplier and/or any of its Sub-contractors becomes an LGPS Admission Body in accordance with </w:t>
      </w:r>
      <w:bookmarkStart w:id="2396" w:name="_9kMIH5YVtCIC8DFCDUOndgt9zjuxpAFDDEF1AOI"/>
      <w:r w:rsidRPr="00025910">
        <w:t xml:space="preserve">Paragraph </w:t>
      </w:r>
      <w:r w:rsidRPr="00025910">
        <w:fldChar w:fldCharType="begin"/>
      </w:r>
      <w:r w:rsidRPr="00025910">
        <w:instrText xml:space="preserve"> REF _Ref_ContractCompanion_9kb9Ut26G \n \h \t \* MERGEFORMAT </w:instrText>
      </w:r>
      <w:r w:rsidRPr="00025910">
        <w:fldChar w:fldCharType="separate"/>
      </w:r>
      <w:r w:rsidR="007A1473">
        <w:t>2.1</w:t>
      </w:r>
      <w:r w:rsidRPr="00025910">
        <w:fldChar w:fldCharType="end"/>
      </w:r>
      <w:bookmarkEnd w:id="2396"/>
      <w:r w:rsidRPr="00025910">
        <w:t xml:space="preserve"> but the LGPS Admission Agreement is terminated during the term of this Contract</w:t>
      </w:r>
      <w:r w:rsidRPr="00025910" w:rsidDel="000D1FBB">
        <w:t xml:space="preserve"> </w:t>
      </w:r>
      <w:r w:rsidRPr="00025910">
        <w:t xml:space="preserve">for any reason at a time when the Supplier or Sub-contractors still employs any LGPS Eligible Employees, the Supplier shall (and procure that its Sub-contractors shall) at no extra cost to the Authority, offer the remaining LGPS Eligible Employees membership of a pension scheme which is Broadly Comparable to the LGPS on the date the LGPS Eligible Employees ceased to participate in the LGPS in accordance with the provisions of Paragraph </w:t>
      </w:r>
      <w:r w:rsidRPr="00025910">
        <w:fldChar w:fldCharType="begin"/>
      </w:r>
      <w:r w:rsidRPr="00025910">
        <w:instrText xml:space="preserve"> REF _Ref_ContractCompanion_9kb9Ur39B \w \n \h \t \* MERGEFORMAT </w:instrText>
      </w:r>
      <w:r w:rsidRPr="00025910">
        <w:fldChar w:fldCharType="separate"/>
      </w:r>
      <w:bookmarkStart w:id="2397" w:name="_9kMON5YVt4BD9HLfLhkhy7sHSMlR0KhkSdBP9zB"/>
      <w:r w:rsidR="007A1473">
        <w:t>11</w:t>
      </w:r>
      <w:bookmarkEnd w:id="2397"/>
      <w:r w:rsidRPr="00025910">
        <w:fldChar w:fldCharType="end"/>
      </w:r>
      <w:r w:rsidRPr="00025910">
        <w:t xml:space="preserve"> of </w:t>
      </w:r>
      <w:r w:rsidRPr="002E7013">
        <w:rPr>
          <w:rFonts w:eastAsia="Arial"/>
          <w:color w:val="000000"/>
        </w:rPr>
        <w:fldChar w:fldCharType="begin"/>
      </w:r>
      <w:r w:rsidRPr="002E7013">
        <w:rPr>
          <w:rFonts w:eastAsia="Arial"/>
          <w:color w:val="000000"/>
        </w:rPr>
        <w:instrText xml:space="preserve"> REF Sch28PartD \h  \* MERGEFORMAT </w:instrText>
      </w:r>
      <w:r w:rsidRPr="002E7013">
        <w:rPr>
          <w:rFonts w:eastAsia="Arial"/>
          <w:color w:val="000000"/>
        </w:rPr>
      </w:r>
      <w:r w:rsidRPr="002E7013">
        <w:rPr>
          <w:rFonts w:eastAsia="Arial"/>
          <w:color w:val="000000"/>
        </w:rPr>
        <w:fldChar w:fldCharType="separate"/>
      </w:r>
      <w:r w:rsidR="007A1473" w:rsidRPr="007A1473">
        <w:rPr>
          <w:rFonts w:eastAsia="Calibri"/>
        </w:rPr>
        <w:t>Part D</w:t>
      </w:r>
      <w:r w:rsidRPr="002E7013">
        <w:rPr>
          <w:rFonts w:eastAsia="Arial"/>
          <w:color w:val="000000"/>
        </w:rPr>
        <w:fldChar w:fldCharType="end"/>
      </w:r>
      <w:r w:rsidRPr="00025910">
        <w:t>.</w:t>
      </w:r>
      <w:bookmarkEnd w:id="2394"/>
      <w:bookmarkEnd w:id="2395"/>
    </w:p>
    <w:p w14:paraId="050DF180" w14:textId="77777777" w:rsidR="00F67E9E" w:rsidRPr="00025910" w:rsidRDefault="00F67E9E" w:rsidP="00F67E9E">
      <w:pPr>
        <w:pStyle w:val="AppendixText1"/>
      </w:pPr>
      <w:r w:rsidRPr="00025910">
        <w:t>Discretionary Benefits</w:t>
      </w:r>
    </w:p>
    <w:p w14:paraId="02F664F0" w14:textId="77777777" w:rsidR="00F67E9E" w:rsidRPr="00025910" w:rsidRDefault="00F67E9E" w:rsidP="00F67E9E">
      <w:pPr>
        <w:pStyle w:val="AppendixText2"/>
      </w:pPr>
      <w:r w:rsidRPr="00025910">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418B0FD2" w14:textId="77777777" w:rsidR="00F67E9E" w:rsidRPr="00025910" w:rsidRDefault="00F67E9E" w:rsidP="00F67E9E">
      <w:pPr>
        <w:pStyle w:val="AppendixText1"/>
      </w:pPr>
      <w:bookmarkStart w:id="2398" w:name="_Ref_ContractCompanion_9kb9Ut22B"/>
      <w:bookmarkStart w:id="2399" w:name="_Ref_ContractCompanion_9kb9Ut28G"/>
      <w:bookmarkStart w:id="2400" w:name="_9kR3WTrAGA6CMQCwozZaMfy3GJACFGEx8HED"/>
      <w:r w:rsidRPr="00025910">
        <w:t>LGPS Risk Sharing</w:t>
      </w:r>
      <w:bookmarkEnd w:id="2398"/>
      <w:bookmarkEnd w:id="2399"/>
      <w:bookmarkEnd w:id="2400"/>
    </w:p>
    <w:p w14:paraId="0EEAD3D2" w14:textId="10DF581B" w:rsidR="00F67E9E" w:rsidRPr="00025910" w:rsidRDefault="00F67E9E" w:rsidP="00F67E9E">
      <w:pPr>
        <w:pStyle w:val="AppendixText2"/>
      </w:pPr>
      <w:r w:rsidRPr="00025910">
        <w:t xml:space="preserve">Subject to </w:t>
      </w:r>
      <w:bookmarkStart w:id="2401" w:name="_9kMHG5YVtCIC8DIIJiTlXiC85zt30x1p0P5wCv9"/>
      <w:r w:rsidRPr="00025910">
        <w:t xml:space="preserve">Paragraphs </w:t>
      </w:r>
      <w:r w:rsidRPr="00025910">
        <w:fldChar w:fldCharType="begin"/>
      </w:r>
      <w:r w:rsidRPr="00025910">
        <w:instrText xml:space="preserve"> REF _Ref_ContractCompanion_9kb9Ut27A \n \h \t \* MERGEFORMAT </w:instrText>
      </w:r>
      <w:r w:rsidRPr="00025910">
        <w:fldChar w:fldCharType="separate"/>
      </w:r>
      <w:r w:rsidR="007A1473">
        <w:t>5.4</w:t>
      </w:r>
      <w:r w:rsidRPr="00025910">
        <w:fldChar w:fldCharType="end"/>
      </w:r>
      <w:bookmarkEnd w:id="2401"/>
      <w:r w:rsidRPr="00025910">
        <w:t xml:space="preserve"> to </w:t>
      </w:r>
      <w:bookmarkStart w:id="2402" w:name="_9kMIH5YVtCIB7EIHGCMHCeY3l2HaPAJJJLKlmNK"/>
      <w:r w:rsidRPr="00025910">
        <w:fldChar w:fldCharType="begin"/>
      </w:r>
      <w:r w:rsidRPr="00025910">
        <w:instrText xml:space="preserve"> REF _Ref_ContractCompanion_9kb9Us17H \n \h \t \* MERGEFORMAT </w:instrText>
      </w:r>
      <w:r w:rsidRPr="00025910">
        <w:fldChar w:fldCharType="separate"/>
      </w:r>
      <w:r w:rsidR="007A1473">
        <w:t>5.10</w:t>
      </w:r>
      <w:r w:rsidRPr="00025910">
        <w:fldChar w:fldCharType="end"/>
      </w:r>
      <w:bookmarkEnd w:id="2402"/>
      <w:r w:rsidRPr="00025910">
        <w:t>, if at any time during the term of this Contract</w:t>
      </w:r>
      <w:r w:rsidRPr="00025910" w:rsidDel="000D1FBB">
        <w:t xml:space="preserve"> </w:t>
      </w:r>
      <w:r w:rsidRPr="00025910">
        <w:t xml:space="preserve">the Administering Authority,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w:t>
      </w:r>
      <w:r>
        <w:t>“</w:t>
      </w:r>
      <w:r w:rsidRPr="002E7013">
        <w:rPr>
          <w:rStyle w:val="StdBodyTextBoldChar"/>
          <w:rFonts w:eastAsia="Verdana" w:cs="Arial"/>
        </w:rPr>
        <w:t>Excess Amount</w:t>
      </w:r>
      <w:r>
        <w:t>”</w:t>
      </w:r>
      <w:r w:rsidRPr="00025910">
        <w:t>) shall be paid by the Supplier or the Sub-contractor, as the case may be, and the Supplier shall be reimbursed by the Authority.</w:t>
      </w:r>
    </w:p>
    <w:p w14:paraId="61CCD250" w14:textId="5301899A" w:rsidR="00F67E9E" w:rsidRPr="00025910" w:rsidRDefault="00F67E9E" w:rsidP="00F67E9E">
      <w:pPr>
        <w:pStyle w:val="AppendixText2"/>
      </w:pPr>
      <w:r w:rsidRPr="00025910">
        <w:t xml:space="preserve">Subject to </w:t>
      </w:r>
      <w:bookmarkStart w:id="2403" w:name="_9kMIH5YVtCIC8DIIJiTlXiC85zt30x1p0P5wCv9"/>
      <w:r w:rsidRPr="00025910">
        <w:t xml:space="preserve">Paragraphs </w:t>
      </w:r>
      <w:r w:rsidRPr="00025910">
        <w:fldChar w:fldCharType="begin"/>
      </w:r>
      <w:r w:rsidRPr="00025910">
        <w:instrText xml:space="preserve"> REF _Ref_ContractCompanion_9kb9Ut27A \n \h \t \* MERGEFORMAT </w:instrText>
      </w:r>
      <w:r w:rsidRPr="00025910">
        <w:fldChar w:fldCharType="separate"/>
      </w:r>
      <w:r w:rsidR="007A1473">
        <w:t>5.4</w:t>
      </w:r>
      <w:r w:rsidRPr="00025910">
        <w:fldChar w:fldCharType="end"/>
      </w:r>
      <w:bookmarkEnd w:id="2403"/>
      <w:r w:rsidRPr="00025910">
        <w:t xml:space="preserve"> to </w:t>
      </w:r>
      <w:bookmarkStart w:id="2404" w:name="_9kMHG5YVtCIC8DLLOqWlwx04qOc7p6LeTENNN2i"/>
      <w:r w:rsidRPr="00025910">
        <w:fldChar w:fldCharType="begin"/>
      </w:r>
      <w:r w:rsidRPr="00025910">
        <w:instrText xml:space="preserve"> REF _Ref_ContractCompanion_9kb9Ut27D \n \h \t \* MERGEFORMAT </w:instrText>
      </w:r>
      <w:r w:rsidRPr="00025910">
        <w:fldChar w:fldCharType="separate"/>
      </w:r>
      <w:r w:rsidR="007A1473">
        <w:t>5.9</w:t>
      </w:r>
      <w:r w:rsidRPr="00025910">
        <w:fldChar w:fldCharType="end"/>
      </w:r>
      <w:bookmarkEnd w:id="2404"/>
      <w:r w:rsidRPr="00025910">
        <w:t xml:space="preserve"> and </w:t>
      </w:r>
      <w:bookmarkStart w:id="2405" w:name="_9kMHG5YVtCIC8EFEGDNHCrSn4DxLPAJJJ7vDC00"/>
      <w:r w:rsidRPr="00025910">
        <w:fldChar w:fldCharType="begin"/>
      </w:r>
      <w:r w:rsidRPr="00025910">
        <w:instrText xml:space="preserve"> REF _Ref_ContractCompanion_9kb9Ut27G \n \h \t \* MERGEFORMAT </w:instrText>
      </w:r>
      <w:r w:rsidRPr="00025910">
        <w:fldChar w:fldCharType="separate"/>
      </w:r>
      <w:r w:rsidR="007A1473">
        <w:t>5.11</w:t>
      </w:r>
      <w:r w:rsidRPr="00025910">
        <w:fldChar w:fldCharType="end"/>
      </w:r>
      <w:bookmarkEnd w:id="2405"/>
      <w:r w:rsidRPr="00025910">
        <w:t xml:space="preserve">, if at any time during the term of this Contract, the Administering Authority, pursuant to the LGPS Admission Agreement or the LGPS Regulations, requires the Supplier or any Sub-contractor to pay employer contributions or payments to the Fund in aggregate below the Initial Contribution Rate for a Contract Year, the Supplier shall reimburse the Authority an amount equal to A–B (the </w:t>
      </w:r>
      <w:r>
        <w:t>“</w:t>
      </w:r>
      <w:r w:rsidRPr="002E7013">
        <w:rPr>
          <w:rStyle w:val="StdBodyTextBoldChar"/>
          <w:rFonts w:eastAsia="Verdana" w:cs="Arial"/>
        </w:rPr>
        <w:t>Refund Amount</w:t>
      </w:r>
      <w:r>
        <w:t>”</w:t>
      </w:r>
      <w:r w:rsidRPr="00025910">
        <w:t>) where:</w:t>
      </w:r>
    </w:p>
    <w:p w14:paraId="09AD3BA8" w14:textId="77777777" w:rsidR="00F67E9E" w:rsidRPr="00025910" w:rsidRDefault="00F67E9E" w:rsidP="00F67E9E">
      <w:pPr>
        <w:pStyle w:val="StdBodyText2"/>
        <w:ind w:left="1803" w:hanging="1083"/>
        <w:rPr>
          <w:rFonts w:cs="Arial"/>
        </w:rPr>
      </w:pPr>
      <w:r w:rsidRPr="00025910">
        <w:rPr>
          <w:rFonts w:cs="Arial"/>
        </w:rPr>
        <w:t>A =</w:t>
      </w:r>
      <w:r w:rsidRPr="00025910">
        <w:rPr>
          <w:rFonts w:cs="Arial"/>
        </w:rPr>
        <w:tab/>
        <w:t>the amount which would have been paid if contributions and payments had been paid equal to the Initial Contribution Rate for that Contract Year; and</w:t>
      </w:r>
    </w:p>
    <w:p w14:paraId="55D6416B" w14:textId="77777777" w:rsidR="00F67E9E" w:rsidRPr="00025910" w:rsidRDefault="00F67E9E" w:rsidP="00F67E9E">
      <w:pPr>
        <w:pStyle w:val="StdBodyText2"/>
        <w:ind w:left="1803" w:hanging="1083"/>
        <w:rPr>
          <w:rFonts w:cs="Arial"/>
        </w:rPr>
      </w:pPr>
      <w:r w:rsidRPr="00025910">
        <w:rPr>
          <w:rFonts w:cs="Arial"/>
        </w:rPr>
        <w:t>B =</w:t>
      </w:r>
      <w:r w:rsidRPr="00025910">
        <w:rPr>
          <w:rFonts w:cs="Arial"/>
        </w:rPr>
        <w:tab/>
        <w:t>the amount of contributions or payments actually paid by the Supplier or Sub-contractor for that Contract Year, as the case may be, to the Fund.</w:t>
      </w:r>
    </w:p>
    <w:p w14:paraId="17989837" w14:textId="0F4A8C1C" w:rsidR="00F67E9E" w:rsidRPr="00025910" w:rsidRDefault="00F67E9E" w:rsidP="00F67E9E">
      <w:pPr>
        <w:pStyle w:val="AppendixText2"/>
      </w:pPr>
      <w:r w:rsidRPr="00025910">
        <w:t xml:space="preserve">Subject to </w:t>
      </w:r>
      <w:bookmarkStart w:id="2406" w:name="_9kMJI5YVtCIC8DIIJiTlXiC85zt30x1p0P5wCv9"/>
      <w:r w:rsidRPr="00025910">
        <w:t xml:space="preserve">Paragraphs </w:t>
      </w:r>
      <w:r w:rsidRPr="00025910">
        <w:fldChar w:fldCharType="begin"/>
      </w:r>
      <w:r w:rsidRPr="00025910">
        <w:instrText xml:space="preserve"> REF _Ref_ContractCompanion_9kb9Ut27A \n \h \t \* MERGEFORMAT </w:instrText>
      </w:r>
      <w:r w:rsidRPr="00025910">
        <w:fldChar w:fldCharType="separate"/>
      </w:r>
      <w:r w:rsidR="007A1473">
        <w:t>5.4</w:t>
      </w:r>
      <w:r w:rsidRPr="00025910">
        <w:fldChar w:fldCharType="end"/>
      </w:r>
      <w:bookmarkEnd w:id="2406"/>
      <w:r w:rsidRPr="00025910">
        <w:t xml:space="preserve"> to </w:t>
      </w:r>
      <w:bookmarkStart w:id="2407" w:name="_9kMJI5YVtCIB7EIHGCMHCeY3l2HaPAJJJLKlmNK"/>
      <w:r w:rsidRPr="00025910">
        <w:fldChar w:fldCharType="begin"/>
      </w:r>
      <w:r w:rsidRPr="00025910">
        <w:instrText xml:space="preserve"> REF _Ref_ContractCompanion_9kb9Us18A \n \h \t \* MERGEFORMAT </w:instrText>
      </w:r>
      <w:r w:rsidRPr="00025910">
        <w:fldChar w:fldCharType="separate"/>
      </w:r>
      <w:r w:rsidR="007A1473">
        <w:t>5.10</w:t>
      </w:r>
      <w:r w:rsidRPr="00025910">
        <w:fldChar w:fldCharType="end"/>
      </w:r>
      <w:bookmarkEnd w:id="2407"/>
      <w:r w:rsidRPr="00025910">
        <w:t xml:space="preserve">, 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t>“</w:t>
      </w:r>
      <w:r w:rsidRPr="002E7013">
        <w:rPr>
          <w:rStyle w:val="StdBodyTextBoldChar"/>
          <w:rFonts w:eastAsia="Verdana" w:cs="Arial"/>
        </w:rPr>
        <w:t>Exit Payment</w:t>
      </w:r>
      <w:r>
        <w:t>”</w:t>
      </w:r>
      <w:r w:rsidRPr="00025910">
        <w:t>), such Exit Payment shall be paid by the Supplier or any Sub-contractor (as the case may be) and the Supplier shall be reimbursed by the Authority.</w:t>
      </w:r>
    </w:p>
    <w:p w14:paraId="54143080" w14:textId="77777777" w:rsidR="00F67E9E" w:rsidRPr="00025910" w:rsidRDefault="00F67E9E" w:rsidP="00F67E9E">
      <w:pPr>
        <w:pStyle w:val="AppendixText2"/>
        <w:keepNext/>
      </w:pPr>
      <w:bookmarkStart w:id="2408" w:name="_Ref_ContractCompanion_9kb9Ut27A"/>
      <w:bookmarkStart w:id="2409" w:name="_9kR3WTrAGA6BGGHgRjVgA63xr1yvznyN3uAt7JP"/>
      <w:r w:rsidRPr="00025910">
        <w:lastRenderedPageBreak/>
        <w:t>The Supplier and any Sub-contractors shall at all times be responsible for the following costs:</w:t>
      </w:r>
      <w:bookmarkEnd w:id="2408"/>
      <w:bookmarkEnd w:id="2409"/>
    </w:p>
    <w:p w14:paraId="25957305" w14:textId="77777777" w:rsidR="00F67E9E" w:rsidRPr="00025910" w:rsidRDefault="00F67E9E" w:rsidP="00F67E9E">
      <w:pPr>
        <w:pStyle w:val="AppendixText3"/>
      </w:pPr>
      <w:r w:rsidRPr="00025910">
        <w:t xml:space="preserve">any employer contributions relating to the costs of early retirement benefits arising on </w:t>
      </w:r>
      <w:r w:rsidRPr="00620079">
        <w:t>redundancy</w:t>
      </w:r>
      <w:r w:rsidRPr="00025910">
        <w:t xml:space="preserve"> or as a result of business efficiency under Regulation 30(7) of the 2013 Regulations or otherwise;</w:t>
      </w:r>
    </w:p>
    <w:p w14:paraId="716A5C75" w14:textId="77777777" w:rsidR="00F67E9E" w:rsidRPr="00025910" w:rsidRDefault="00F67E9E" w:rsidP="00F67E9E">
      <w:pPr>
        <w:pStyle w:val="AppendixText3"/>
      </w:pPr>
      <w:r w:rsidRPr="00025910">
        <w:t>any payment of Fund benefits to active members on the grounds of ill health or infirmity of mind or body under Regulation 35 of the 2013 Regulations or otherwise;</w:t>
      </w:r>
    </w:p>
    <w:p w14:paraId="1869E5F3" w14:textId="77777777" w:rsidR="00F67E9E" w:rsidRPr="00025910" w:rsidRDefault="00F67E9E" w:rsidP="00F67E9E">
      <w:pPr>
        <w:pStyle w:val="AppendixText3"/>
      </w:pPr>
      <w:r w:rsidRPr="00025910">
        <w:t>any payment of Fund benefits to deferred or deferred pensioner members on the grounds of ill health or infirmity of mind or body under Regulation 38 of the 2013 Regulations or otherwise;</w:t>
      </w:r>
    </w:p>
    <w:p w14:paraId="31A74F0E" w14:textId="77777777" w:rsidR="00F67E9E" w:rsidRPr="00025910" w:rsidRDefault="00F67E9E" w:rsidP="00F67E9E">
      <w:pPr>
        <w:pStyle w:val="AppendixText3"/>
      </w:pPr>
      <w:r w:rsidRPr="00025910">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w:t>
      </w:r>
      <w:bookmarkStart w:id="2410" w:name="_9kMHG5YVt4EE9GLiLhkhy7sA"/>
      <w:r w:rsidRPr="00025910">
        <w:t>Schedule 2</w:t>
      </w:r>
      <w:bookmarkEnd w:id="2410"/>
      <w:r w:rsidRPr="00025910">
        <w:t xml:space="preserve"> of The Local Government Pension Scheme (Transitional Provisions, Savings and Amendment) Regulations 2014;</w:t>
      </w:r>
    </w:p>
    <w:p w14:paraId="7A909344" w14:textId="77777777" w:rsidR="00F67E9E" w:rsidRPr="00025910" w:rsidRDefault="00F67E9E" w:rsidP="00F67E9E">
      <w:pPr>
        <w:pStyle w:val="AppendixText3"/>
      </w:pPr>
      <w:r w:rsidRPr="00025910">
        <w:t>any employer contributions relating to the costs of enhanced benefits made at the discretion of the Supplier or any relevant Sub-contractors including without limitation additional pension awarded under Regulation 31 of the 2013 Regulations or otherwise;</w:t>
      </w:r>
    </w:p>
    <w:p w14:paraId="176E86F9" w14:textId="77777777" w:rsidR="00F67E9E" w:rsidRPr="00025910" w:rsidRDefault="00F67E9E" w:rsidP="00F67E9E">
      <w:pPr>
        <w:pStyle w:val="AppendixText3"/>
      </w:pPr>
      <w:r w:rsidRPr="00025910">
        <w:t>any increase to the employer contribution rate resulting from the award of pay increases by the Supplier or relevant Sub-contractors in respect of all or any of the LGPS Eligible Employees in excess of the pay increases assumed in the Fund</w:t>
      </w:r>
      <w:r>
        <w:t>’</w:t>
      </w:r>
      <w:r w:rsidRPr="00025910">
        <w:t>s most recent actuarial valuation (unless the Supplier and/or any Sub-contractor is contractually bound to provide such increases on the Relevant Transfer Date);</w:t>
      </w:r>
    </w:p>
    <w:p w14:paraId="063CCE42" w14:textId="77777777" w:rsidR="00F67E9E" w:rsidRPr="00025910" w:rsidRDefault="00F67E9E" w:rsidP="00F67E9E">
      <w:pPr>
        <w:pStyle w:val="AppendixText3"/>
      </w:pPr>
      <w:r w:rsidRPr="00025910">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65C17E9C" w14:textId="77777777" w:rsidR="00F67E9E" w:rsidRPr="00025910" w:rsidRDefault="00F67E9E" w:rsidP="00F67E9E">
      <w:pPr>
        <w:pStyle w:val="AppendixText3"/>
      </w:pPr>
      <w:r w:rsidRPr="00025910">
        <w:t>any cost of the administration of the Fund that are not met through the Supplier</w:t>
      </w:r>
      <w:r>
        <w:t>’</w:t>
      </w:r>
      <w:r w:rsidRPr="00025910">
        <w:t>s or Sub-contractor</w:t>
      </w:r>
      <w:r>
        <w:t>’</w:t>
      </w:r>
      <w:r w:rsidRPr="00025910">
        <w:t xml:space="preserve">s employer contribution rate, including without limitation an amount specified in a notice given by the Administering Authority under Regulation 70 of the 2013 Regulations; </w:t>
      </w:r>
    </w:p>
    <w:p w14:paraId="4B230F32" w14:textId="77777777" w:rsidR="00F67E9E" w:rsidRPr="00025910" w:rsidRDefault="00F67E9E" w:rsidP="00F67E9E">
      <w:pPr>
        <w:pStyle w:val="AppendixText3"/>
      </w:pPr>
      <w:r w:rsidRPr="00025910">
        <w:t>the costs of any reports and advice requested by or arising from an instruction given by the Supplier or a Sub-contractor from the Fund Actuary; and/or</w:t>
      </w:r>
    </w:p>
    <w:p w14:paraId="1B0AD9EB" w14:textId="77777777" w:rsidR="00F67E9E" w:rsidRPr="00025910" w:rsidRDefault="00F67E9E" w:rsidP="00F67E9E">
      <w:pPr>
        <w:pStyle w:val="AppendixText3"/>
      </w:pPr>
      <w:r w:rsidRPr="00025910">
        <w:t>any interest payable under the 2013 Regulations or LGPS Administration Agreement.</w:t>
      </w:r>
    </w:p>
    <w:p w14:paraId="0A56BD4E" w14:textId="7335F770" w:rsidR="00F67E9E" w:rsidRPr="00025910" w:rsidRDefault="00F67E9E" w:rsidP="00F67E9E">
      <w:pPr>
        <w:pStyle w:val="AppendixText2"/>
      </w:pPr>
      <w:r w:rsidRPr="00025910">
        <w:t>For the purposes of calculating any Exit Payment, Excess Amount or Refund Amount, any part of such an amount which is attributable to any costs which the Supplier or Sub-</w:t>
      </w:r>
      <w:r w:rsidRPr="00025910">
        <w:lastRenderedPageBreak/>
        <w:t xml:space="preserve">contractors are responsible for in accordance with </w:t>
      </w:r>
      <w:bookmarkStart w:id="2411" w:name="_9kMKJ5YVtCIC8DIIJiTlXiC85zt30x1p0P5wCv9"/>
      <w:r w:rsidRPr="00025910">
        <w:t xml:space="preserve">Paragraph </w:t>
      </w:r>
      <w:r w:rsidRPr="00025910">
        <w:fldChar w:fldCharType="begin"/>
      </w:r>
      <w:r w:rsidRPr="00025910">
        <w:instrText xml:space="preserve"> REF _Ref_ContractCompanion_9kb9Ut27A \n \h \t \* MERGEFORMAT </w:instrText>
      </w:r>
      <w:r w:rsidRPr="00025910">
        <w:fldChar w:fldCharType="separate"/>
      </w:r>
      <w:r w:rsidR="007A1473">
        <w:t>5.4</w:t>
      </w:r>
      <w:r w:rsidRPr="00025910">
        <w:fldChar w:fldCharType="end"/>
      </w:r>
      <w:bookmarkEnd w:id="2411"/>
      <w:r w:rsidRPr="00025910">
        <w:t xml:space="preserve"> above shall be disregarded and excluded from </w:t>
      </w:r>
      <w:r w:rsidRPr="00620079">
        <w:t>the</w:t>
      </w:r>
      <w:r w:rsidRPr="00025910">
        <w:t xml:space="preserve"> calculation. In the event of any dispute as to level of any cost that should be excluded from the calculation, the opinion of the Fund Actuary shall be final and binding.</w:t>
      </w:r>
    </w:p>
    <w:p w14:paraId="3CA8FDE7" w14:textId="77777777" w:rsidR="00F67E9E" w:rsidRPr="00025910" w:rsidRDefault="00F67E9E" w:rsidP="00F67E9E">
      <w:pPr>
        <w:pStyle w:val="AppendixText2"/>
      </w:pPr>
      <w:r w:rsidRPr="00025910">
        <w:t xml:space="preserve">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t>“</w:t>
      </w:r>
      <w:r w:rsidRPr="002E7013">
        <w:rPr>
          <w:rStyle w:val="StdBodyTextBoldChar"/>
          <w:rFonts w:eastAsia="Verdana" w:cs="Arial"/>
        </w:rPr>
        <w:t>Exit Credit</w:t>
      </w:r>
      <w:r>
        <w:t>”</w:t>
      </w:r>
      <w:r w:rsidRPr="00025910">
        <w:t xml:space="preserve">), the Supplier shall (or procure that any Sub-contractor shall) reimburse the Authority an amount equal to the Exit Credit within twenty (20) Working Days of receipt of the Exit Credit. </w:t>
      </w:r>
    </w:p>
    <w:p w14:paraId="3A2152F9" w14:textId="77777777" w:rsidR="00F67E9E" w:rsidRPr="00025910" w:rsidRDefault="00F67E9E" w:rsidP="00F67E9E">
      <w:pPr>
        <w:pStyle w:val="AppendixText2"/>
      </w:pPr>
      <w:bookmarkStart w:id="2412" w:name="_Ref_ContractCompanion_9kb9Ut28A"/>
      <w:bookmarkStart w:id="2413" w:name="_9kR3WTrAGA6CGFKjRjVgA63xr1G7qv7BIKLL7EU"/>
      <w:r w:rsidRPr="00025910">
        <w:t>The Supplier shall (or procure that the Sub-contractor shall) notify the Authority in writing within twenty (20) Working Days:</w:t>
      </w:r>
      <w:bookmarkEnd w:id="2412"/>
      <w:bookmarkEnd w:id="2413"/>
    </w:p>
    <w:p w14:paraId="2B78DBF2" w14:textId="77777777" w:rsidR="00F67E9E" w:rsidRPr="00025910" w:rsidRDefault="00F67E9E" w:rsidP="00F67E9E">
      <w:pPr>
        <w:pStyle w:val="AppendixText3"/>
      </w:pPr>
      <w:r w:rsidRPr="00025910">
        <w:t>of the end of each Contract Year of any Excess Amount or Refund Amount due in respect of the Contract Year that has just ended and provide a reasonable summary of how the Excess Amount or Refund Amount was calculated; and</w:t>
      </w:r>
    </w:p>
    <w:p w14:paraId="569AA350" w14:textId="77777777" w:rsidR="00F67E9E" w:rsidRPr="00025910" w:rsidRDefault="00F67E9E" w:rsidP="00F67E9E">
      <w:pPr>
        <w:pStyle w:val="AppendixText3"/>
      </w:pPr>
      <w:r w:rsidRPr="00025910">
        <w:t>of being informed by the Administering Authority of any Exit Payment or Exit Credit that is determined by as being due from or to the Supplier or a Sub-contractor and provide a copy of any revised rates and adjustments certificate detailing the Exit Payment or Exit Credit and its calculation.</w:t>
      </w:r>
    </w:p>
    <w:p w14:paraId="05780A16" w14:textId="31D72A80" w:rsidR="00F67E9E" w:rsidRPr="00025910" w:rsidRDefault="00F67E9E" w:rsidP="00F67E9E">
      <w:pPr>
        <w:pStyle w:val="AppendixText2"/>
      </w:pPr>
      <w:bookmarkStart w:id="2414" w:name="_Ref_ContractCompanion_9kb9Ut28D"/>
      <w:bookmarkStart w:id="2415" w:name="_9kR3WTrAGA6CJILnVzzpw8I4wCOYOtpHE6A9aPH"/>
      <w:r w:rsidRPr="00025910">
        <w:t xml:space="preserve">Within twenty (20) Working Days of receiving the notification under </w:t>
      </w:r>
      <w:bookmarkStart w:id="2416" w:name="_9kMHG5YVtCIC8EIHMlTlXiC85zt3I9sx9DKMNN9"/>
      <w:r w:rsidRPr="00025910">
        <w:t xml:space="preserve">Paragraph </w:t>
      </w:r>
      <w:r w:rsidRPr="00025910">
        <w:fldChar w:fldCharType="begin"/>
      </w:r>
      <w:r w:rsidRPr="00025910">
        <w:instrText xml:space="preserve"> REF _Ref_ContractCompanion_9kb9Ut28A \n \h \t \* MERGEFORMAT </w:instrText>
      </w:r>
      <w:r w:rsidRPr="00025910">
        <w:fldChar w:fldCharType="separate"/>
      </w:r>
      <w:r w:rsidR="007A1473">
        <w:t>5.7</w:t>
      </w:r>
      <w:r w:rsidRPr="00025910">
        <w:fldChar w:fldCharType="end"/>
      </w:r>
      <w:bookmarkEnd w:id="2416"/>
      <w:r w:rsidRPr="00025910">
        <w:t xml:space="preserve"> above, the Authority shall either:</w:t>
      </w:r>
      <w:bookmarkEnd w:id="2414"/>
      <w:bookmarkEnd w:id="2415"/>
    </w:p>
    <w:p w14:paraId="69278F2F" w14:textId="77777777" w:rsidR="00F67E9E" w:rsidRPr="00025910" w:rsidRDefault="00F67E9E" w:rsidP="00F67E9E">
      <w:pPr>
        <w:pStyle w:val="AppendixText3"/>
      </w:pPr>
      <w:r w:rsidRPr="00025910">
        <w:t>notify the Supplier in writing of its acceptance of the Excess Amount, Refund Amount or Exit Payment;</w:t>
      </w:r>
    </w:p>
    <w:p w14:paraId="2DACE9D3" w14:textId="77777777" w:rsidR="00F67E9E" w:rsidRPr="00025910" w:rsidRDefault="00F67E9E" w:rsidP="00F67E9E">
      <w:pPr>
        <w:pStyle w:val="AppendixText3"/>
      </w:pPr>
      <w:r w:rsidRPr="00025910">
        <w:t>request further information or evidence about the Excess Amount, Refund Amount or Exit Payment from the Supplier; and/or</w:t>
      </w:r>
    </w:p>
    <w:p w14:paraId="5D92FEC5" w14:textId="77777777" w:rsidR="00F67E9E" w:rsidRPr="00025910" w:rsidRDefault="00F67E9E" w:rsidP="00F67E9E">
      <w:pPr>
        <w:pStyle w:val="AppendixText3"/>
      </w:pPr>
      <w:r w:rsidRPr="00025910">
        <w:t>request a meeting with the Supplier to discuss or clarify the information or evidence provided.</w:t>
      </w:r>
    </w:p>
    <w:p w14:paraId="6B44B177" w14:textId="04C86C5B" w:rsidR="00F67E9E" w:rsidRPr="00025910" w:rsidRDefault="00F67E9E" w:rsidP="00F67E9E">
      <w:pPr>
        <w:pStyle w:val="AppendixText2"/>
      </w:pPr>
      <w:bookmarkStart w:id="2417" w:name="_9kR3WTrAGA6BJJMoUjuvy2oMa5n4JcRCLLL0g1I"/>
      <w:bookmarkStart w:id="2418" w:name="_Ref_ContractCompanion_9kb9Ut27D"/>
      <w:r w:rsidRPr="00025910">
        <w:t xml:space="preserve">Where the Excess Amount, Refund Amount or Exit Payment is agreed following the receipt of further information or evidence or following a meeting in accordance with </w:t>
      </w:r>
      <w:bookmarkStart w:id="2419" w:name="_9kMHG5YVtCIC8ELKNpX11ryAK6yEQaQvrJG8CBc"/>
      <w:r w:rsidRPr="00025910">
        <w:t xml:space="preserve">Paragraph </w:t>
      </w:r>
      <w:r w:rsidRPr="00025910">
        <w:fldChar w:fldCharType="begin"/>
      </w:r>
      <w:r w:rsidRPr="00025910">
        <w:instrText xml:space="preserve"> REF _Ref_ContractCompanion_9kb9Ut28D \n \h \t \* MERGEFORMAT </w:instrText>
      </w:r>
      <w:r w:rsidRPr="00025910">
        <w:fldChar w:fldCharType="separate"/>
      </w:r>
      <w:r w:rsidR="007A1473">
        <w:t>5.8</w:t>
      </w:r>
      <w:r w:rsidRPr="00025910">
        <w:fldChar w:fldCharType="end"/>
      </w:r>
      <w:bookmarkEnd w:id="2419"/>
      <w:r w:rsidRPr="00025910">
        <w:t xml:space="preserve"> above, the Authority shall notify the Supplier in writing.</w:t>
      </w:r>
      <w:bookmarkEnd w:id="2417"/>
      <w:r>
        <w:t xml:space="preserve"> </w:t>
      </w:r>
      <w:r w:rsidRPr="00025910">
        <w:t>In the event that the Supplier and the Authority are unable to agree the amount of the Excess Amount, Refund Amount or Exit Payment then they shall follow the Dispute Resolution Procedure.</w:t>
      </w:r>
      <w:bookmarkEnd w:id="2418"/>
    </w:p>
    <w:p w14:paraId="455923A2" w14:textId="77777777" w:rsidR="00F67E9E" w:rsidRPr="00025910" w:rsidRDefault="00F67E9E" w:rsidP="00F67E9E">
      <w:pPr>
        <w:pStyle w:val="AppendixText2"/>
      </w:pPr>
      <w:bookmarkStart w:id="2420" w:name="_9kR3WTrAG95CGFEAKFAcW1j0FYN8HHHJIjkLI0c"/>
      <w:bookmarkStart w:id="2421" w:name="_Ref_ContractCompanion_9kb9Us17H"/>
      <w:bookmarkStart w:id="2422" w:name="_Ref_ContractCompanion_9kb9Us18A"/>
      <w:r w:rsidRPr="00025910">
        <w:t>Any Excess Amount or Exit Payment agreed by the Authority or in accordance with the Dispute Resolution Procedure shall be paid by the Authority within timescales as agreed between Authority and Supplier.</w:t>
      </w:r>
      <w:bookmarkEnd w:id="2420"/>
      <w:r w:rsidRPr="00025910">
        <w:t xml:space="preserve"> The amount to be paid by the Authority shall be an amount equal to the Excess Amount or Exit Payment less an amount equal to any corporation tax relief which has been claimed in respect of the Excess Amount or Exit Payment by the Supplier or a Sub-contractor.</w:t>
      </w:r>
      <w:bookmarkEnd w:id="2421"/>
      <w:bookmarkEnd w:id="2422"/>
    </w:p>
    <w:p w14:paraId="07B8CC01" w14:textId="77777777" w:rsidR="00F67E9E" w:rsidRPr="00025910" w:rsidRDefault="00F67E9E" w:rsidP="00F67E9E">
      <w:pPr>
        <w:pStyle w:val="AppendixText2"/>
      </w:pPr>
      <w:bookmarkStart w:id="2423" w:name="_9kR3WTrAGA6CDCEBLFApQl2BvJN8HHH5tBAyywI"/>
      <w:bookmarkStart w:id="2424" w:name="_Ref_ContractCompanion_9kb9Ut27G"/>
      <w:r w:rsidRPr="00025910">
        <w:t xml:space="preserve">Any Refund Amount agreed by the Authority or in accordance with the Dispute Resolution Procedure as payable by the Supplier or any Sub-contractor to the Authority, shall be paid by the Supplier or any Sub-contractor forthwith as the liability has been </w:t>
      </w:r>
      <w:r w:rsidRPr="00025910">
        <w:lastRenderedPageBreak/>
        <w:t>agreed.</w:t>
      </w:r>
      <w:bookmarkEnd w:id="2423"/>
      <w:r w:rsidRPr="00025910">
        <w:t xml:space="preserve"> In the event the Supplier or any Sub-contractor fails to pay any agreed Refund Amount, the Authority shall demand in writing the immediate payment of the agreed Refund Amount by the Supplier and the Supplier shall make payment within seven (7) Working Days of such demand.</w:t>
      </w:r>
      <w:bookmarkEnd w:id="2424"/>
    </w:p>
    <w:p w14:paraId="57770725" w14:textId="0DC77275" w:rsidR="00F67E9E" w:rsidRPr="00025910" w:rsidRDefault="00F67E9E" w:rsidP="00F67E9E">
      <w:pPr>
        <w:pStyle w:val="AppendixText2"/>
      </w:pPr>
      <w:r w:rsidRPr="00F3052F">
        <w:t xml:space="preserve">This </w:t>
      </w:r>
      <w:bookmarkStart w:id="2425" w:name="_9kMHG5YVtCIC8EOSEyq1bcOh05ILCEHIGzAJGF"/>
      <w:r w:rsidRPr="00F3052F">
        <w:t xml:space="preserve">Paragraph </w:t>
      </w:r>
      <w:r w:rsidRPr="00F3052F">
        <w:fldChar w:fldCharType="begin"/>
      </w:r>
      <w:r w:rsidRPr="00F3052F">
        <w:instrText xml:space="preserve"> REF _Ref_ContractCompanion_9kb9Ut28G \w \n \h \t \* MERGEFORMAT </w:instrText>
      </w:r>
      <w:r w:rsidRPr="00F3052F">
        <w:fldChar w:fldCharType="separate"/>
      </w:r>
      <w:r w:rsidR="007A1473">
        <w:t>5</w:t>
      </w:r>
      <w:r w:rsidRPr="00F3052F">
        <w:fldChar w:fldCharType="end"/>
      </w:r>
      <w:bookmarkEnd w:id="2425"/>
      <w:r w:rsidRPr="00F3052F">
        <w:t xml:space="preserve"> shall survive termination of this Contract.</w:t>
      </w:r>
    </w:p>
    <w:p w14:paraId="0C5A0CE8" w14:textId="77777777" w:rsidR="00F67E9E" w:rsidRDefault="00F67E9E" w:rsidP="00F67E9E">
      <w:pPr>
        <w:pStyle w:val="Heading2"/>
        <w:pageBreakBefore/>
        <w:rPr>
          <w:lang w:eastAsia="en-GB"/>
        </w:rPr>
      </w:pPr>
      <w:bookmarkStart w:id="2426" w:name="_Ref92450522"/>
      <w:bookmarkStart w:id="2427" w:name="_Toc145412825"/>
      <w:r w:rsidRPr="00025910">
        <w:rPr>
          <w:lang w:eastAsia="en-GB"/>
        </w:rPr>
        <w:lastRenderedPageBreak/>
        <w:t xml:space="preserve">Annex </w:t>
      </w:r>
      <w:bookmarkStart w:id="2428" w:name="ANNEXD4_SCHEDULE28"/>
      <w:bookmarkStart w:id="2429" w:name="ANNEXD4_HEADING_SCHEDULE28"/>
      <w:r w:rsidRPr="00025910">
        <w:rPr>
          <w:lang w:eastAsia="en-GB"/>
        </w:rPr>
        <w:t>D4</w:t>
      </w:r>
      <w:bookmarkEnd w:id="2428"/>
      <w:bookmarkEnd w:id="2429"/>
      <w:r w:rsidRPr="00FA4BBC">
        <w:rPr>
          <w:lang w:eastAsia="en-GB"/>
        </w:rPr>
        <w:t>:</w:t>
      </w:r>
      <w:r w:rsidRPr="000038E2">
        <w:t xml:space="preserve"> </w:t>
      </w:r>
      <w:bookmarkStart w:id="2430" w:name="ANNEXD4HEADING_SCHEDULE28"/>
      <w:r w:rsidRPr="00FA4BBC">
        <w:rPr>
          <w:lang w:eastAsia="en-GB"/>
        </w:rPr>
        <w:t>Other Schemes</w:t>
      </w:r>
      <w:bookmarkEnd w:id="2426"/>
      <w:bookmarkEnd w:id="2427"/>
      <w:bookmarkEnd w:id="2430"/>
    </w:p>
    <w:p w14:paraId="75ADDA6C" w14:textId="77777777" w:rsidR="00F67E9E" w:rsidRPr="00266335" w:rsidRDefault="00F67E9E" w:rsidP="00F67E9E">
      <w:pPr>
        <w:rPr>
          <w:rFonts w:eastAsia="Arial"/>
          <w:b/>
          <w:i/>
          <w:szCs w:val="24"/>
        </w:rPr>
      </w:pPr>
      <w:r>
        <w:rPr>
          <w:rFonts w:eastAsia="Arial"/>
          <w:b/>
          <w:i/>
          <w:szCs w:val="24"/>
          <w:highlight w:val="yellow"/>
        </w:rPr>
        <w:t>[Guidance note:</w:t>
      </w:r>
      <w:r w:rsidRPr="00266335">
        <w:rPr>
          <w:rFonts w:eastAsia="Arial"/>
          <w:b/>
          <w:i/>
          <w:szCs w:val="24"/>
          <w:highlight w:val="yellow"/>
        </w:rPr>
        <w:t xml:space="preserve"> Placeholder for Pension Schemes other than LGPS, CSPS &amp; NHSPS]</w:t>
      </w:r>
    </w:p>
    <w:p w14:paraId="29A15FA4" w14:textId="77777777" w:rsidR="00F67E9E" w:rsidRPr="00DD4CC2" w:rsidRDefault="00F67E9E" w:rsidP="00F67E9E">
      <w:pPr>
        <w:rPr>
          <w:bCs/>
          <w:lang w:eastAsia="en-GB"/>
        </w:rPr>
      </w:pPr>
    </w:p>
    <w:p w14:paraId="2EDEDA8A" w14:textId="77777777" w:rsidR="00F67E9E" w:rsidRDefault="00F67E9E" w:rsidP="00F67E9E">
      <w:pPr>
        <w:rPr>
          <w:lang w:eastAsia="en-GB"/>
        </w:rPr>
      </w:pPr>
    </w:p>
    <w:p w14:paraId="3672B04F" w14:textId="77777777" w:rsidR="00F67E9E" w:rsidRPr="00D6019B" w:rsidRDefault="00F67E9E" w:rsidP="00F67E9E">
      <w:pPr>
        <w:pStyle w:val="Heading2"/>
        <w:pageBreakBefore/>
        <w:rPr>
          <w:color w:val="1F497D"/>
        </w:rPr>
      </w:pPr>
      <w:bookmarkStart w:id="2431" w:name="Sch28PartE"/>
      <w:bookmarkStart w:id="2432" w:name="_Ref_ContractCompanion_9kb9Ur3DF"/>
      <w:bookmarkStart w:id="2433" w:name="_Ref_ContractCompanion_9kb9Ur3DH"/>
      <w:bookmarkStart w:id="2434" w:name="_Ref_ContractCompanion_9kb9Ur3DJ"/>
      <w:bookmarkStart w:id="2435" w:name="_Ref_ContractCompanion_9kb9Ur452"/>
      <w:bookmarkStart w:id="2436" w:name="_Ref_ContractCompanion_9kb9Ur454"/>
      <w:bookmarkStart w:id="2437" w:name="_Ref_ContractCompanion_9kb9Ur458"/>
      <w:bookmarkStart w:id="2438" w:name="_9kR3WTr29B7FHbJfifw5qFQKjPyIgw5HHHVUBDT"/>
      <w:bookmarkStart w:id="2439" w:name="_Toc145412826"/>
      <w:r w:rsidRPr="005D768B">
        <w:rPr>
          <w:color w:val="1F497D"/>
        </w:rPr>
        <w:lastRenderedPageBreak/>
        <w:t>Part </w:t>
      </w:r>
      <w:r w:rsidRPr="00D6019B">
        <w:rPr>
          <w:color w:val="1F497D"/>
        </w:rPr>
        <w:t>E</w:t>
      </w:r>
      <w:bookmarkEnd w:id="2431"/>
      <w:r w:rsidRPr="00D6019B">
        <w:rPr>
          <w:color w:val="1F497D"/>
        </w:rPr>
        <w:t>: Employment Exit Provisions</w:t>
      </w:r>
      <w:bookmarkEnd w:id="2432"/>
      <w:bookmarkEnd w:id="2433"/>
      <w:bookmarkEnd w:id="2434"/>
      <w:bookmarkEnd w:id="2435"/>
      <w:bookmarkEnd w:id="2436"/>
      <w:bookmarkEnd w:id="2437"/>
      <w:bookmarkEnd w:id="2438"/>
      <w:bookmarkEnd w:id="2439"/>
    </w:p>
    <w:p w14:paraId="55810A7B" w14:textId="77777777" w:rsidR="00F67E9E" w:rsidRPr="005D768B" w:rsidRDefault="00F67E9E" w:rsidP="00F13933">
      <w:pPr>
        <w:pStyle w:val="AppendixText1"/>
        <w:numPr>
          <w:ilvl w:val="0"/>
          <w:numId w:val="63"/>
        </w:numPr>
        <w:rPr>
          <w:color w:val="1F497D"/>
        </w:rPr>
      </w:pPr>
      <w:r w:rsidRPr="005D768B">
        <w:rPr>
          <w:color w:val="1F497D"/>
        </w:rPr>
        <w:t>Pre-service Transfer Obligations</w:t>
      </w:r>
    </w:p>
    <w:p w14:paraId="527BFB4E" w14:textId="77777777" w:rsidR="00F67E9E" w:rsidRPr="00CD4FDC" w:rsidRDefault="00F67E9E" w:rsidP="00F67E9E">
      <w:pPr>
        <w:pStyle w:val="AppendixText2"/>
      </w:pPr>
      <w:bookmarkStart w:id="2440" w:name="_Ref_ContractCompanion_9kb9Us7BD"/>
      <w:bookmarkStart w:id="2441" w:name="_Ref_ContractCompanion_9kb9Us7BF"/>
      <w:bookmarkStart w:id="2442" w:name="_Ref_ContractCompanion_9kb9Ut29A"/>
      <w:bookmarkStart w:id="2443" w:name="_9kR3WTrAGA6DGAAdRjVgA63xr1yo65t8OEw9WMK"/>
      <w:r w:rsidRPr="00CD4FDC">
        <w:t xml:space="preserve">The Supplier agrees that within 20 </w:t>
      </w:r>
      <w:r w:rsidRPr="005D768B">
        <w:t>Working</w:t>
      </w:r>
      <w:r w:rsidRPr="00CD4FDC">
        <w:t xml:space="preserve"> Days of the earliest of:</w:t>
      </w:r>
      <w:bookmarkEnd w:id="2440"/>
      <w:bookmarkEnd w:id="2441"/>
      <w:bookmarkEnd w:id="2442"/>
      <w:bookmarkEnd w:id="2443"/>
    </w:p>
    <w:p w14:paraId="7964CB61" w14:textId="77777777" w:rsidR="00F67E9E" w:rsidRPr="005D768B" w:rsidRDefault="00F67E9E" w:rsidP="00F67E9E">
      <w:pPr>
        <w:pStyle w:val="AppendixText3"/>
      </w:pPr>
      <w:bookmarkStart w:id="2444" w:name="_9kR3WTrAGA6DMGAkotfgnzBBylu9GByzxq8HDJB"/>
      <w:bookmarkStart w:id="2445" w:name="_Ref_ContractCompanion_9kb9Ut29G"/>
      <w:r w:rsidRPr="00CD4FDC">
        <w:t xml:space="preserve">receipt of a notification from the Authority of a Service Transfer or intended </w:t>
      </w:r>
      <w:r w:rsidRPr="005D768B">
        <w:t>Service Transfer;</w:t>
      </w:r>
      <w:bookmarkEnd w:id="2444"/>
      <w:r w:rsidRPr="005D768B">
        <w:t xml:space="preserve"> </w:t>
      </w:r>
      <w:bookmarkEnd w:id="2445"/>
    </w:p>
    <w:p w14:paraId="2ADB4598" w14:textId="77777777" w:rsidR="00F67E9E" w:rsidRPr="005D768B" w:rsidRDefault="00F67E9E" w:rsidP="00F67E9E">
      <w:pPr>
        <w:pStyle w:val="AppendixText3"/>
      </w:pPr>
      <w:bookmarkStart w:id="2446" w:name="_9kR3WTrAGA6EG9AlptfgnzBBy47ttyEF87999JQ"/>
      <w:bookmarkStart w:id="2447" w:name="_Ref_ContractCompanion_9kb9Ut29J"/>
      <w:bookmarkStart w:id="2448" w:name="_Ref141302705"/>
      <w:r w:rsidRPr="005D768B">
        <w:t>receipt of the giving of notice of early termination or any Partial Termination of this Contract;</w:t>
      </w:r>
      <w:bookmarkEnd w:id="2446"/>
      <w:r w:rsidRPr="005D768B">
        <w:t xml:space="preserve"> </w:t>
      </w:r>
      <w:bookmarkEnd w:id="2447"/>
      <w:r>
        <w:t>and</w:t>
      </w:r>
      <w:bookmarkEnd w:id="2448"/>
    </w:p>
    <w:p w14:paraId="3909ADB6" w14:textId="77777777" w:rsidR="00F67E9E" w:rsidRPr="005D768B" w:rsidRDefault="00F67E9E" w:rsidP="00F67E9E">
      <w:pPr>
        <w:pStyle w:val="AppendixText3"/>
      </w:pPr>
      <w:bookmarkStart w:id="2449" w:name="_9kR3WTrAGA6EJCAmsykhev048vrryAUSEEGMHHC"/>
      <w:bookmarkStart w:id="2450" w:name="_Ref_ContractCompanion_9kb9Ut2AD"/>
      <w:bookmarkStart w:id="2451" w:name="_Ref141302714"/>
      <w:r w:rsidRPr="005D768B">
        <w:t>the date which is 12 months before the end of the Term;</w:t>
      </w:r>
      <w:bookmarkEnd w:id="2449"/>
      <w:r w:rsidRPr="005D768B">
        <w:t xml:space="preserve"> </w:t>
      </w:r>
      <w:bookmarkEnd w:id="2450"/>
      <w:r>
        <w:t>or</w:t>
      </w:r>
      <w:bookmarkEnd w:id="2451"/>
    </w:p>
    <w:p w14:paraId="435A029F" w14:textId="77777777" w:rsidR="00F67E9E" w:rsidRPr="00025910" w:rsidRDefault="00F67E9E" w:rsidP="00F67E9E">
      <w:pPr>
        <w:pStyle w:val="AppendixText3"/>
      </w:pPr>
      <w:bookmarkStart w:id="2452" w:name="_Ref99026409"/>
      <w:r w:rsidRPr="005D768B">
        <w:t>receipt</w:t>
      </w:r>
      <w:r w:rsidRPr="00025910">
        <w:t xml:space="preserve"> of a written request of the Authority at any time (provided that the Authority shall only be entitled to make one such request in any 6 month period),</w:t>
      </w:r>
      <w:bookmarkEnd w:id="2452"/>
    </w:p>
    <w:p w14:paraId="6F236FFD" w14:textId="77777777" w:rsidR="00F67E9E" w:rsidRPr="00025910" w:rsidRDefault="00F67E9E" w:rsidP="00F67E9E">
      <w:pPr>
        <w:pStyle w:val="StdBodyText2"/>
        <w:rPr>
          <w:rFonts w:cs="Arial"/>
        </w:rPr>
      </w:pPr>
      <w:r w:rsidRPr="00025910">
        <w:rPr>
          <w:rFonts w:cs="Arial"/>
        </w:rPr>
        <w:t>it shall provide in a suitably anonymised format so as to comply with the DPA</w:t>
      </w:r>
      <w:r>
        <w:rPr>
          <w:rFonts w:cs="Arial"/>
        </w:rPr>
        <w:t xml:space="preserve"> 2018</w:t>
      </w:r>
      <w:r w:rsidRPr="00025910">
        <w:rPr>
          <w:rFonts w:cs="Arial"/>
        </w:rPr>
        <w:t>, the Supplier</w:t>
      </w:r>
      <w:r>
        <w:rPr>
          <w:rFonts w:cs="Arial"/>
        </w:rPr>
        <w:t>’</w:t>
      </w:r>
      <w:r w:rsidRPr="00025910">
        <w:rPr>
          <w:rFonts w:cs="Arial"/>
        </w:rPr>
        <w:t>s Provisional Supplier Personnel List, together with the Staffing Information and it shall provide an updated Supplier</w:t>
      </w:r>
      <w:r>
        <w:rPr>
          <w:rFonts w:cs="Arial"/>
        </w:rPr>
        <w:t>’</w:t>
      </w:r>
      <w:r w:rsidRPr="00025910">
        <w:rPr>
          <w:rFonts w:cs="Arial"/>
        </w:rPr>
        <w:t>s Provisional Supplier Personnel List at such intervals as are reasonably requested by the Authority.</w:t>
      </w:r>
    </w:p>
    <w:p w14:paraId="3D8C4222" w14:textId="77777777" w:rsidR="00F67E9E" w:rsidRPr="00025910" w:rsidRDefault="00F67E9E" w:rsidP="00F67E9E">
      <w:pPr>
        <w:pStyle w:val="AppendixText2"/>
      </w:pPr>
      <w:bookmarkStart w:id="2453" w:name="_9kR3WTrAGA6DJDBLK2oetDOJokC9154VKCVNNHF"/>
      <w:bookmarkStart w:id="2454" w:name="_Ref_ContractCompanion_9kb9Us8AA"/>
      <w:bookmarkStart w:id="2455" w:name="_Ref_ContractCompanion_9kb9Ut29D"/>
      <w:r w:rsidRPr="00025910">
        <w:t>At least 20 Working Days prior to the Service Transfer Date, the Supplier shall provide to the Authority or at the direction of the Authority to any Replacement Supplier and/or any Replacement Sub-contractor:</w:t>
      </w:r>
      <w:bookmarkEnd w:id="2453"/>
      <w:r w:rsidRPr="00025910">
        <w:t xml:space="preserve"> </w:t>
      </w:r>
      <w:bookmarkEnd w:id="2454"/>
      <w:bookmarkEnd w:id="2455"/>
    </w:p>
    <w:p w14:paraId="48D1EAB1" w14:textId="77777777" w:rsidR="00F67E9E" w:rsidRPr="00025910" w:rsidRDefault="00F67E9E" w:rsidP="00F67E9E">
      <w:pPr>
        <w:pStyle w:val="AppendixText3"/>
      </w:pPr>
      <w:r w:rsidRPr="00025910">
        <w:t>the Supplier</w:t>
      </w:r>
      <w:r>
        <w:t>’</w:t>
      </w:r>
      <w:r w:rsidRPr="00025910">
        <w:t>s Final Supplier Personnel List, which shall identify which of the Supplier Personnel are Transferring Supplier Employees; and</w:t>
      </w:r>
    </w:p>
    <w:p w14:paraId="3825680F" w14:textId="77777777" w:rsidR="00F67E9E" w:rsidRPr="00025910" w:rsidRDefault="00F67E9E" w:rsidP="00F67E9E">
      <w:pPr>
        <w:pStyle w:val="AppendixText3"/>
      </w:pPr>
      <w:r w:rsidRPr="00025910">
        <w:t>the Staffing Information in relation to the Supplier</w:t>
      </w:r>
      <w:r>
        <w:t>’</w:t>
      </w:r>
      <w:r w:rsidRPr="00025910">
        <w:t>s Final Supplier Personnel List (insofar as such information has not previously been provided).</w:t>
      </w:r>
    </w:p>
    <w:p w14:paraId="0E15E689" w14:textId="1CA09E4A" w:rsidR="00F67E9E" w:rsidRPr="00025910" w:rsidRDefault="00F67E9E" w:rsidP="00F67E9E">
      <w:pPr>
        <w:pStyle w:val="AppendixText2"/>
      </w:pPr>
      <w:r w:rsidRPr="00025910">
        <w:t xml:space="preserve">The Authority shall be permitted to use and disclose information provided by the Supplier under </w:t>
      </w:r>
      <w:bookmarkStart w:id="2456" w:name="_9kMHG5YVtCIC8FICCfTlXiC85zt30q87vAQGyBY"/>
      <w:r w:rsidRPr="00025910">
        <w:t xml:space="preserve">Paragraphs </w:t>
      </w:r>
      <w:r w:rsidRPr="00025910">
        <w:fldChar w:fldCharType="begin"/>
      </w:r>
      <w:r w:rsidRPr="00025910">
        <w:instrText xml:space="preserve"> REF _Ref_ContractCompanion_9kb9Ut29A \n \h \t \* MERGEFORMAT </w:instrText>
      </w:r>
      <w:r w:rsidRPr="00025910">
        <w:fldChar w:fldCharType="separate"/>
      </w:r>
      <w:r w:rsidR="007A1473">
        <w:t>1.1</w:t>
      </w:r>
      <w:r w:rsidRPr="00025910">
        <w:fldChar w:fldCharType="end"/>
      </w:r>
      <w:bookmarkEnd w:id="2456"/>
      <w:r w:rsidRPr="00025910">
        <w:t xml:space="preserve"> and </w:t>
      </w:r>
      <w:bookmarkStart w:id="2457" w:name="_9kMHG5YVtCIC8FLFDNM4qgvFQLqmEB376XMEXPP"/>
      <w:r w:rsidRPr="00025910">
        <w:fldChar w:fldCharType="begin"/>
      </w:r>
      <w:r w:rsidRPr="00025910">
        <w:instrText xml:space="preserve"> REF _Ref_ContractCompanion_9kb9Ut29D \n \h \t \* MERGEFORMAT </w:instrText>
      </w:r>
      <w:r w:rsidRPr="00025910">
        <w:fldChar w:fldCharType="separate"/>
      </w:r>
      <w:r w:rsidR="007A1473">
        <w:t>1.2</w:t>
      </w:r>
      <w:r w:rsidRPr="00025910">
        <w:fldChar w:fldCharType="end"/>
      </w:r>
      <w:bookmarkEnd w:id="2457"/>
      <w:r w:rsidRPr="00025910">
        <w:t xml:space="preserve"> for the purpose of informing any prospective Replacement Supplier and/or Replacement Sub-contractor. </w:t>
      </w:r>
    </w:p>
    <w:p w14:paraId="7939DC80" w14:textId="3E90087E" w:rsidR="00F67E9E" w:rsidRPr="00025910" w:rsidRDefault="00F67E9E" w:rsidP="00F67E9E">
      <w:pPr>
        <w:pStyle w:val="AppendixText2"/>
      </w:pPr>
      <w:r w:rsidRPr="00025910">
        <w:t xml:space="preserve">The Supplier warrants, for the benefit of the Authority, any Replacement Supplier, and any Replacement Sub-contractor that all information provided pursuant to </w:t>
      </w:r>
      <w:bookmarkStart w:id="2458" w:name="_9kMIH5YVtCIC8FICCfTlXiC85zt30q87vAQGyBY"/>
      <w:r w:rsidRPr="00025910">
        <w:t xml:space="preserve">Paragraphs </w:t>
      </w:r>
      <w:r w:rsidRPr="00025910">
        <w:fldChar w:fldCharType="begin"/>
      </w:r>
      <w:r w:rsidRPr="00025910">
        <w:instrText xml:space="preserve"> REF _Ref_ContractCompanion_9kb9Ut29A \n \h \t \* MERGEFORMAT </w:instrText>
      </w:r>
      <w:r w:rsidRPr="00025910">
        <w:fldChar w:fldCharType="separate"/>
      </w:r>
      <w:r w:rsidR="007A1473">
        <w:t>1.1</w:t>
      </w:r>
      <w:r w:rsidRPr="00025910">
        <w:fldChar w:fldCharType="end"/>
      </w:r>
      <w:bookmarkEnd w:id="2458"/>
      <w:r w:rsidRPr="00025910">
        <w:t xml:space="preserve"> and </w:t>
      </w:r>
      <w:bookmarkStart w:id="2459" w:name="_9kMIH5YVtCIC8FLFDNM4qgvFQLqmEB376XMEXPP"/>
      <w:r w:rsidRPr="00025910">
        <w:fldChar w:fldCharType="begin"/>
      </w:r>
      <w:r w:rsidRPr="00025910">
        <w:instrText xml:space="preserve"> REF _Ref_ContractCompanion_9kb9Ut29D \n \h \t \* MERGEFORMAT </w:instrText>
      </w:r>
      <w:r w:rsidRPr="00025910">
        <w:fldChar w:fldCharType="separate"/>
      </w:r>
      <w:r w:rsidR="007A1473">
        <w:t>1.2</w:t>
      </w:r>
      <w:r w:rsidRPr="00025910">
        <w:fldChar w:fldCharType="end"/>
      </w:r>
      <w:bookmarkEnd w:id="2459"/>
      <w:r w:rsidRPr="00025910">
        <w:t xml:space="preserve"> shall be true and accurate in all material respects at the time of providing the information.</w:t>
      </w:r>
    </w:p>
    <w:p w14:paraId="3BCD0653" w14:textId="339D50DB" w:rsidR="00F67E9E" w:rsidRPr="00025910" w:rsidRDefault="00F67E9E" w:rsidP="00F67E9E">
      <w:pPr>
        <w:pStyle w:val="AppendixText2"/>
      </w:pPr>
      <w:r w:rsidRPr="00025910">
        <w:t xml:space="preserve">From the date of the earliest event referred to in </w:t>
      </w:r>
      <w:bookmarkStart w:id="2460" w:name="_9kMHG5YVtCIC8FOICmqvhip1DD0nwBID01zsAJF"/>
      <w:r w:rsidRPr="00025910">
        <w:t xml:space="preserve">Paragraph </w:t>
      </w:r>
      <w:r w:rsidRPr="00025910">
        <w:fldChar w:fldCharType="begin"/>
      </w:r>
      <w:r w:rsidRPr="00025910">
        <w:instrText xml:space="preserve"> REF _Ref_ContractCompanion_9kb9Ut29G \w \h \t \* MERGEFORMAT </w:instrText>
      </w:r>
      <w:r w:rsidRPr="00025910">
        <w:fldChar w:fldCharType="separate"/>
      </w:r>
      <w:r w:rsidR="007A1473">
        <w:t>1.1.1</w:t>
      </w:r>
      <w:r w:rsidRPr="00025910">
        <w:fldChar w:fldCharType="end"/>
      </w:r>
      <w:bookmarkEnd w:id="2460"/>
      <w:r w:rsidRPr="00025910">
        <w:t xml:space="preserve">, </w:t>
      </w:r>
      <w:bookmarkStart w:id="2461" w:name="_9kMHG5YVtCIC8GIBCnrvhip1DD069vv0GHA9BBB"/>
      <w:r w:rsidRPr="00025910">
        <w:fldChar w:fldCharType="begin"/>
      </w:r>
      <w:r w:rsidRPr="00025910">
        <w:instrText xml:space="preserve"> REF _Ref_ContractCompanion_9kb9Ut29J \w \h \t \* MERGEFORMAT </w:instrText>
      </w:r>
      <w:r w:rsidRPr="00025910">
        <w:fldChar w:fldCharType="separate"/>
      </w:r>
      <w:r w:rsidR="007A1473">
        <w:t>1.1.2</w:t>
      </w:r>
      <w:r w:rsidRPr="00025910">
        <w:fldChar w:fldCharType="end"/>
      </w:r>
      <w:bookmarkEnd w:id="2461"/>
      <w:r w:rsidRPr="00025910">
        <w:t xml:space="preserve"> and </w:t>
      </w:r>
      <w:bookmarkStart w:id="2462" w:name="_9kMHG5YVtCIC8GLECou0mjgx26Axtt0CWUGGIOJ"/>
      <w:r w:rsidRPr="00025910">
        <w:fldChar w:fldCharType="begin"/>
      </w:r>
      <w:r w:rsidRPr="00025910">
        <w:instrText xml:space="preserve"> REF _Ref_ContractCompanion_9kb9Ut2AD \w \h \t \* MERGEFORMAT </w:instrText>
      </w:r>
      <w:r w:rsidRPr="00025910">
        <w:fldChar w:fldCharType="separate"/>
      </w:r>
      <w:r w:rsidR="007A1473">
        <w:t>1.1.3</w:t>
      </w:r>
      <w:r w:rsidRPr="00025910">
        <w:fldChar w:fldCharType="end"/>
      </w:r>
      <w:bookmarkEnd w:id="2462"/>
      <w:r w:rsidRPr="00025910">
        <w:t>, the Supplier agrees, that it shall not, and agrees to procure that each Sub-contractor shall not, assign any person to the provision of the Services who is not listed on the Supplier</w:t>
      </w:r>
      <w:r>
        <w:t>’</w:t>
      </w:r>
      <w:r w:rsidRPr="00025910">
        <w:t>s Provisional Supplier Personnel List and shall not without the approval of the Authority (not to be unreasonably withheld or delayed):</w:t>
      </w:r>
    </w:p>
    <w:p w14:paraId="43786050" w14:textId="463F9C9E" w:rsidR="00F67E9E" w:rsidRPr="005D768B" w:rsidRDefault="00F67E9E" w:rsidP="00F67E9E">
      <w:pPr>
        <w:pStyle w:val="AppendixText3"/>
      </w:pPr>
      <w:r w:rsidRPr="00025910">
        <w:t xml:space="preserve">replace or re-deploy any Supplier Personnel listed on the Supplier Provisional Supplier Personnel List other than where any replacement is of equivalent grade, skills, experience and expertise and is employed on the same terms and </w:t>
      </w:r>
      <w:r w:rsidRPr="005D768B">
        <w:t xml:space="preserve">conditions of employment as the person </w:t>
      </w:r>
      <w:r w:rsidR="00A10006">
        <w:t>they</w:t>
      </w:r>
      <w:r w:rsidRPr="005D768B">
        <w:t xml:space="preserve"> replace;</w:t>
      </w:r>
    </w:p>
    <w:p w14:paraId="7C13C5CF" w14:textId="77777777" w:rsidR="00F67E9E" w:rsidRPr="00025910" w:rsidRDefault="00F67E9E" w:rsidP="00F67E9E">
      <w:pPr>
        <w:pStyle w:val="AppendixText3"/>
      </w:pPr>
      <w:r w:rsidRPr="005D768B">
        <w:t>make, pro</w:t>
      </w:r>
      <w:r w:rsidRPr="00025910">
        <w:t xml:space="preserve">mise, propose, permit or implement any material changes to the </w:t>
      </w:r>
      <w:r w:rsidRPr="00025910">
        <w:lastRenderedPageBreak/>
        <w:t xml:space="preserve">terms and conditions of employment of the Supplier Personnel (including pensions and any payments connected with the termination of employment); </w:t>
      </w:r>
    </w:p>
    <w:p w14:paraId="1D9893DB" w14:textId="77777777" w:rsidR="00F67E9E" w:rsidRPr="00025910" w:rsidRDefault="00F67E9E" w:rsidP="00F67E9E">
      <w:pPr>
        <w:pStyle w:val="AppendixText3"/>
      </w:pPr>
      <w:r w:rsidRPr="00025910">
        <w:t>increase the proportion of working time spent on the Services (or the relevant part of the Services) by any of the Supplier Personnel save for fulfilling assignments and projects previously scheduled and agreed;</w:t>
      </w:r>
    </w:p>
    <w:p w14:paraId="016D0391" w14:textId="77777777" w:rsidR="00F67E9E" w:rsidRPr="00025910" w:rsidRDefault="00F67E9E" w:rsidP="00F67E9E">
      <w:pPr>
        <w:pStyle w:val="AppendixText3"/>
      </w:pPr>
      <w:r w:rsidRPr="00025910">
        <w:t>introduce any new contractual or customary practice concerning the making of any lump sum payment on the termination of employment of any employees listed on the Supplier</w:t>
      </w:r>
      <w:r>
        <w:t>’</w:t>
      </w:r>
      <w:r w:rsidRPr="00025910">
        <w:t xml:space="preserve">s Provisional Supplier Personnel List; </w:t>
      </w:r>
    </w:p>
    <w:p w14:paraId="4E2E7E55" w14:textId="77777777" w:rsidR="00F67E9E" w:rsidRPr="00025910" w:rsidRDefault="00F67E9E" w:rsidP="00F67E9E">
      <w:pPr>
        <w:pStyle w:val="AppendixText3"/>
      </w:pPr>
      <w:r w:rsidRPr="00025910">
        <w:t>increase or reduce the total number of employees so engaged, or deploy any other person to perform the Services (or the relevant part of the Services); or</w:t>
      </w:r>
    </w:p>
    <w:p w14:paraId="68B1669C" w14:textId="77777777" w:rsidR="00F67E9E" w:rsidRPr="00025910" w:rsidRDefault="00F67E9E" w:rsidP="00F67E9E">
      <w:pPr>
        <w:pStyle w:val="AppendixText3"/>
      </w:pPr>
      <w:r w:rsidRPr="00025910">
        <w:t>terminate or give notice to terminate the employment or contracts of any persons on the Supplier</w:t>
      </w:r>
      <w:r>
        <w:t>’</w:t>
      </w:r>
      <w:r w:rsidRPr="00025910">
        <w:t>s Provisional Supplier Personnel List save by due disciplinary process,</w:t>
      </w:r>
    </w:p>
    <w:p w14:paraId="78BA4AE8" w14:textId="77777777" w:rsidR="00F67E9E" w:rsidRPr="00025910" w:rsidRDefault="00F67E9E" w:rsidP="00F67E9E">
      <w:pPr>
        <w:pStyle w:val="StdBodyText2"/>
        <w:rPr>
          <w:rFonts w:cs="Arial"/>
        </w:rPr>
      </w:pPr>
      <w:r w:rsidRPr="00025910">
        <w:rPr>
          <w:rFonts w:cs="Arial"/>
        </w:rPr>
        <w:t>and shall promptly notify, and procure that each Sub-contractor shall promptly notify, the Authority or, at the direction of the Authority, any Replacement Supplier and any Replacement Sub-contractor of any notice to terminate employment given by the Supplier or relevant Sub-contractor or received from any persons listed on the Supplier</w:t>
      </w:r>
      <w:r>
        <w:rPr>
          <w:rFonts w:cs="Arial"/>
        </w:rPr>
        <w:t>’</w:t>
      </w:r>
      <w:r w:rsidRPr="00025910">
        <w:rPr>
          <w:rFonts w:cs="Arial"/>
        </w:rPr>
        <w:t>s Provisional Supplier Personnel List regardless of when such notice takes effect.</w:t>
      </w:r>
    </w:p>
    <w:p w14:paraId="1DD89720" w14:textId="77777777" w:rsidR="00F67E9E" w:rsidRPr="00025910" w:rsidRDefault="00F67E9E" w:rsidP="00F67E9E">
      <w:pPr>
        <w:pStyle w:val="AppendixText2"/>
      </w:pPr>
      <w:bookmarkStart w:id="2463" w:name="_Ref_ContractCompanion_9kb9Us8AD"/>
      <w:r w:rsidRPr="00025910">
        <w:t>During the Term, the Supplier shall provide, and shall procure that each Sub-contractor shall provide,</w:t>
      </w:r>
      <w:r>
        <w:t xml:space="preserve"> within 20 Working Days</w:t>
      </w:r>
      <w:r w:rsidRPr="00025910">
        <w:t xml:space="preserve"> to the Authority any information the Authority may reasonably require relating to the manner in which the Services are organised, which shall include:</w:t>
      </w:r>
      <w:bookmarkEnd w:id="2463"/>
    </w:p>
    <w:p w14:paraId="192A6F62" w14:textId="77777777" w:rsidR="00F67E9E" w:rsidRPr="00025910" w:rsidRDefault="00F67E9E" w:rsidP="00F67E9E">
      <w:pPr>
        <w:pStyle w:val="AppendixText3"/>
      </w:pPr>
      <w:bookmarkStart w:id="2464" w:name="_Ref141302531"/>
      <w:r w:rsidRPr="00025910">
        <w:t xml:space="preserve">the numbers of </w:t>
      </w:r>
      <w:r>
        <w:t>Supplier Personnel</w:t>
      </w:r>
      <w:r w:rsidRPr="00025910">
        <w:t xml:space="preserve"> engaged in providing the Services;</w:t>
      </w:r>
      <w:bookmarkEnd w:id="2464"/>
    </w:p>
    <w:p w14:paraId="0BFFC464" w14:textId="77777777" w:rsidR="00F67E9E" w:rsidRPr="00025910" w:rsidRDefault="00F67E9E" w:rsidP="00F67E9E">
      <w:pPr>
        <w:pStyle w:val="AppendixText3"/>
      </w:pPr>
      <w:bookmarkStart w:id="2465" w:name="_Ref141302538"/>
      <w:r w:rsidRPr="00025910">
        <w:t xml:space="preserve">the percentage of time spent by each </w:t>
      </w:r>
      <w:r>
        <w:t>Supplier Personnel</w:t>
      </w:r>
      <w:r w:rsidRPr="00025910">
        <w:t xml:space="preserve"> engaged in providing the Services;</w:t>
      </w:r>
      <w:bookmarkEnd w:id="2465"/>
      <w:r w:rsidRPr="00025910">
        <w:t xml:space="preserve"> </w:t>
      </w:r>
    </w:p>
    <w:p w14:paraId="6E1DF63C" w14:textId="2813B531" w:rsidR="00F67E9E" w:rsidRPr="00025910" w:rsidRDefault="00F67E9E" w:rsidP="00F67E9E">
      <w:pPr>
        <w:pStyle w:val="AppendixText3"/>
      </w:pPr>
      <w:bookmarkStart w:id="2466" w:name="_Ref141302550"/>
      <w:r w:rsidRPr="00025910">
        <w:t xml:space="preserve">the extent to which each employee qualifies for membership of any of the Statutory Schemes or any Broadly Comparable scheme set up pursuant to the provisions of any of the Annexes to </w:t>
      </w:r>
      <w:r w:rsidRPr="0067085E">
        <w:fldChar w:fldCharType="begin"/>
      </w:r>
      <w:r w:rsidRPr="0067085E">
        <w:instrText xml:space="preserve"> REF Sch28PartD \h  \* MERGEFORMAT </w:instrText>
      </w:r>
      <w:r w:rsidRPr="0067085E">
        <w:fldChar w:fldCharType="separate"/>
      </w:r>
      <w:r w:rsidR="007A1473" w:rsidRPr="00025910">
        <w:t>Part D</w:t>
      </w:r>
      <w:r w:rsidRPr="0067085E">
        <w:fldChar w:fldCharType="end"/>
      </w:r>
      <w:r w:rsidRPr="00025910">
        <w:t xml:space="preserve"> (</w:t>
      </w:r>
      <w:r w:rsidRPr="002438D2">
        <w:rPr>
          <w:i/>
          <w:iCs/>
        </w:rPr>
        <w:fldChar w:fldCharType="begin"/>
      </w:r>
      <w:r w:rsidRPr="002438D2">
        <w:rPr>
          <w:i/>
          <w:iCs/>
        </w:rPr>
        <w:instrText xml:space="preserve"> REF PartDSchedule28Heading \h </w:instrText>
      </w:r>
      <w:r>
        <w:rPr>
          <w:i/>
          <w:iCs/>
        </w:rPr>
        <w:instrText xml:space="preserve"> \* MERGEFORMAT </w:instrText>
      </w:r>
      <w:r w:rsidRPr="002438D2">
        <w:rPr>
          <w:i/>
          <w:iCs/>
        </w:rPr>
      </w:r>
      <w:r w:rsidRPr="002438D2">
        <w:rPr>
          <w:i/>
          <w:iCs/>
        </w:rPr>
        <w:fldChar w:fldCharType="separate"/>
      </w:r>
      <w:r w:rsidR="007A1473" w:rsidRPr="007A1473">
        <w:rPr>
          <w:i/>
          <w:iCs/>
        </w:rPr>
        <w:t>Pensions</w:t>
      </w:r>
      <w:r w:rsidRPr="002438D2">
        <w:rPr>
          <w:i/>
          <w:iCs/>
        </w:rPr>
        <w:fldChar w:fldCharType="end"/>
      </w:r>
      <w:r w:rsidRPr="00025910">
        <w:t xml:space="preserve">) of this </w:t>
      </w:r>
      <w:r>
        <w:fldChar w:fldCharType="begin"/>
      </w:r>
      <w:r>
        <w:instrText xml:space="preserve"> REF Schedule28 \h  \* MERGEFORMAT </w:instrText>
      </w:r>
      <w:r>
        <w:fldChar w:fldCharType="separate"/>
      </w:r>
      <w:r w:rsidR="007A1473" w:rsidRPr="005D0525">
        <w:t>Schedule</w:t>
      </w:r>
      <w:r w:rsidR="007A1473">
        <w:t> </w:t>
      </w:r>
      <w:r w:rsidR="007A1473" w:rsidRPr="005D0525">
        <w:t>28</w:t>
      </w:r>
      <w:r>
        <w:fldChar w:fldCharType="end"/>
      </w:r>
      <w:r>
        <w:t xml:space="preserve"> (</w:t>
      </w:r>
      <w:r w:rsidRPr="00864C57">
        <w:rPr>
          <w:i/>
          <w:iCs/>
        </w:rPr>
        <w:fldChar w:fldCharType="begin"/>
      </w:r>
      <w:r w:rsidRPr="00864C57">
        <w:rPr>
          <w:i/>
          <w:iCs/>
        </w:rPr>
        <w:instrText xml:space="preserve"> REF Schedule28Heading \h  \* MERGEFORMAT </w:instrText>
      </w:r>
      <w:r w:rsidRPr="00864C57">
        <w:rPr>
          <w:i/>
          <w:iCs/>
        </w:rPr>
      </w:r>
      <w:r w:rsidRPr="00864C57">
        <w:rPr>
          <w:i/>
          <w:iCs/>
        </w:rPr>
        <w:fldChar w:fldCharType="separate"/>
      </w:r>
      <w:r w:rsidR="007A1473" w:rsidRPr="007A1473">
        <w:rPr>
          <w:i/>
          <w:iCs/>
        </w:rPr>
        <w:t>Staff Transfer</w:t>
      </w:r>
      <w:r w:rsidRPr="00864C57">
        <w:rPr>
          <w:i/>
          <w:iCs/>
        </w:rPr>
        <w:fldChar w:fldCharType="end"/>
      </w:r>
      <w:r>
        <w:t>)</w:t>
      </w:r>
      <w:r w:rsidRPr="00025910">
        <w:t xml:space="preserve"> (as appropriate); and</w:t>
      </w:r>
      <w:bookmarkEnd w:id="2466"/>
    </w:p>
    <w:p w14:paraId="0E7C47B2" w14:textId="77777777" w:rsidR="00F67E9E" w:rsidRPr="00025910" w:rsidRDefault="00F67E9E" w:rsidP="00F67E9E">
      <w:pPr>
        <w:pStyle w:val="AppendixText3"/>
      </w:pPr>
      <w:bookmarkStart w:id="2467" w:name="_Ref141302545"/>
      <w:r w:rsidRPr="00025910">
        <w:t xml:space="preserve">a description of the nature of the work undertaken by each </w:t>
      </w:r>
      <w:r>
        <w:t>Supplier Personnel</w:t>
      </w:r>
      <w:r w:rsidRPr="00025910">
        <w:t xml:space="preserve"> by location.</w:t>
      </w:r>
      <w:bookmarkEnd w:id="2467"/>
    </w:p>
    <w:p w14:paraId="50D740B8" w14:textId="77777777" w:rsidR="00F67E9E" w:rsidRPr="00025910" w:rsidRDefault="00F67E9E" w:rsidP="00F67E9E">
      <w:pPr>
        <w:pStyle w:val="AppendixText2"/>
      </w:pPr>
      <w:bookmarkStart w:id="2468" w:name="_Ref_ContractCompanion_9kb9Us8B7"/>
      <w:r w:rsidRPr="00025910">
        <w:t>The Supplier shall provide, and shall procure that each Sub-contractor shall provide, all reasonable cooperation and assistance to the Authority,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w:t>
      </w:r>
      <w:r>
        <w:t xml:space="preserve"> </w:t>
      </w:r>
      <w:r w:rsidRPr="00025910">
        <w:t xml:space="preserve">Without prejudice to the generality of the foregoing, within 5 Working Days following the Service Transfer Date, the Supplier shall provide, and shall procure that each Sub-contractor shall provide, to the Authority or, at the direction of the Authority, to any Replacement Supplier and/or any Replacement Sub-contractor (as appropriate), in </w:t>
      </w:r>
      <w:r w:rsidRPr="00025910">
        <w:lastRenderedPageBreak/>
        <w:t>respect of each person on the Supplier</w:t>
      </w:r>
      <w:r>
        <w:t>’</w:t>
      </w:r>
      <w:r w:rsidRPr="00025910">
        <w:t>s Final Supplier Personnel List who is a Transferring Supplier Employee:</w:t>
      </w:r>
      <w:bookmarkEnd w:id="2468"/>
    </w:p>
    <w:p w14:paraId="6CDAB080" w14:textId="77777777" w:rsidR="00F67E9E" w:rsidRPr="00025910" w:rsidRDefault="00F67E9E" w:rsidP="00F67E9E">
      <w:pPr>
        <w:pStyle w:val="AppendixText3"/>
      </w:pPr>
      <w:r w:rsidRPr="00025910">
        <w:t>the most recent month</w:t>
      </w:r>
      <w:r>
        <w:t>’</w:t>
      </w:r>
      <w:r w:rsidRPr="00025910">
        <w:t>s copy pay slip data;</w:t>
      </w:r>
    </w:p>
    <w:p w14:paraId="1CB220A7" w14:textId="77777777" w:rsidR="00F67E9E" w:rsidRPr="00025910" w:rsidRDefault="00F67E9E" w:rsidP="00F67E9E">
      <w:pPr>
        <w:pStyle w:val="AppendixText3"/>
      </w:pPr>
      <w:r w:rsidRPr="00025910">
        <w:t>details of cumulative pay for tax and pension purposes;</w:t>
      </w:r>
    </w:p>
    <w:p w14:paraId="789B6DC6" w14:textId="77777777" w:rsidR="00F67E9E" w:rsidRPr="00025910" w:rsidRDefault="00F67E9E" w:rsidP="00F67E9E">
      <w:pPr>
        <w:pStyle w:val="AppendixText3"/>
      </w:pPr>
      <w:r w:rsidRPr="00025910">
        <w:t>details of cumulative tax paid;</w:t>
      </w:r>
    </w:p>
    <w:p w14:paraId="7DCF2D3A" w14:textId="77777777" w:rsidR="00F67E9E" w:rsidRPr="00025910" w:rsidRDefault="00F67E9E" w:rsidP="00F67E9E">
      <w:pPr>
        <w:pStyle w:val="AppendixText3"/>
      </w:pPr>
      <w:r w:rsidRPr="00025910">
        <w:t>tax code;</w:t>
      </w:r>
    </w:p>
    <w:p w14:paraId="10070448" w14:textId="77777777" w:rsidR="00F67E9E" w:rsidRPr="00103CB5" w:rsidRDefault="00F67E9E" w:rsidP="00F67E9E">
      <w:pPr>
        <w:pStyle w:val="AppendixText3"/>
      </w:pPr>
      <w:r w:rsidRPr="00025910">
        <w:t xml:space="preserve">details of any voluntary deductions from pay; </w:t>
      </w:r>
    </w:p>
    <w:p w14:paraId="783BFB85" w14:textId="77777777" w:rsidR="00F67E9E" w:rsidRDefault="00F67E9E" w:rsidP="00F67E9E">
      <w:pPr>
        <w:pStyle w:val="AppendixText3"/>
      </w:pPr>
      <w:r>
        <w:t>a copy of any personnel file and/or any other records regarding the service of the Transferring Supplier Employee;</w:t>
      </w:r>
    </w:p>
    <w:p w14:paraId="302D1474" w14:textId="77777777" w:rsidR="00F67E9E" w:rsidRDefault="00F67E9E" w:rsidP="00F67E9E">
      <w:pPr>
        <w:pStyle w:val="AppendixText3"/>
      </w:pPr>
      <w:r>
        <w:t xml:space="preserve">a complete copy of the information required to meet the minimum recording keeping requirements under the Working Time Regulations 1998 and the National Minimum Wage Regulations 1998; and </w:t>
      </w:r>
    </w:p>
    <w:p w14:paraId="4C7678C9" w14:textId="77777777" w:rsidR="00F67E9E" w:rsidRDefault="00F67E9E" w:rsidP="00F67E9E">
      <w:pPr>
        <w:pStyle w:val="AppendixText3"/>
      </w:pPr>
      <w:r w:rsidRPr="00025910">
        <w:t>bank/building society account details for payroll purposes.</w:t>
      </w:r>
    </w:p>
    <w:p w14:paraId="78049E45" w14:textId="7BFF588A" w:rsidR="00F67E9E" w:rsidRDefault="00F67E9E" w:rsidP="00F67E9E">
      <w:pPr>
        <w:pStyle w:val="AppendixText2"/>
      </w:pPr>
      <w:bookmarkStart w:id="2469" w:name="_Ref141302743"/>
      <w:r>
        <w:t xml:space="preserve">From the date of the earliest event referred to in Paragraph </w:t>
      </w:r>
      <w:r>
        <w:fldChar w:fldCharType="begin"/>
      </w:r>
      <w:r>
        <w:instrText xml:space="preserve"> REF _9kR3WTrAGA6DMGAkotfgnzBBylu9GByzxq8HDJB \r \h </w:instrText>
      </w:r>
      <w:r>
        <w:fldChar w:fldCharType="separate"/>
      </w:r>
      <w:r w:rsidR="007A1473">
        <w:t>1.1.1</w:t>
      </w:r>
      <w:r>
        <w:fldChar w:fldCharType="end"/>
      </w:r>
      <w:r>
        <w:t xml:space="preserve">, </w:t>
      </w:r>
      <w:r>
        <w:fldChar w:fldCharType="begin"/>
      </w:r>
      <w:r>
        <w:instrText xml:space="preserve"> REF _Ref141302705 \w \h </w:instrText>
      </w:r>
      <w:r>
        <w:fldChar w:fldCharType="separate"/>
      </w:r>
      <w:r w:rsidR="007A1473">
        <w:t>1.1.2</w:t>
      </w:r>
      <w:r>
        <w:fldChar w:fldCharType="end"/>
      </w:r>
      <w:r>
        <w:t xml:space="preserve"> and </w:t>
      </w:r>
      <w:r>
        <w:fldChar w:fldCharType="begin"/>
      </w:r>
      <w:r>
        <w:instrText xml:space="preserve"> REF _Ref141302714 \w \h </w:instrText>
      </w:r>
      <w:r>
        <w:fldChar w:fldCharType="separate"/>
      </w:r>
      <w:r w:rsidR="007A1473">
        <w:t>1.1.3</w:t>
      </w:r>
      <w:r>
        <w:fldChar w:fldCharType="end"/>
      </w:r>
      <w:r>
        <w:t xml:space="preserve">, the Supplier agrees that following within 20 Working Days of a request from the Authority it shall and shall procure that each Sub-contractor shall use reasonable endeavours to comply with any </w:t>
      </w:r>
      <w:r w:rsidRPr="009F10CE">
        <w:t>reasonable</w:t>
      </w:r>
      <w:r>
        <w:t xml:space="preserve"> request to align and assign Supplier Personnel to any future delivery model proposed by the Authority for Replacement Services within 30 Working Days or such longer timescale as may be agreed.</w:t>
      </w:r>
      <w:bookmarkEnd w:id="2469"/>
    </w:p>
    <w:p w14:paraId="6438A271" w14:textId="33AD7161" w:rsidR="00F67E9E" w:rsidRDefault="00F67E9E" w:rsidP="00F67E9E">
      <w:pPr>
        <w:pStyle w:val="AppendixText2"/>
      </w:pPr>
      <w:r>
        <w:t>Any changes necessary to this Contract as a result of alignment referred to in Paragraph </w:t>
      </w:r>
      <w:r>
        <w:fldChar w:fldCharType="begin"/>
      </w:r>
      <w:r>
        <w:instrText xml:space="preserve"> REF _Ref141302743 \w \h </w:instrText>
      </w:r>
      <w:r>
        <w:fldChar w:fldCharType="separate"/>
      </w:r>
      <w:r w:rsidR="007A1473">
        <w:t>1.8</w:t>
      </w:r>
      <w:r>
        <w:fldChar w:fldCharType="end"/>
      </w:r>
      <w:r>
        <w:t xml:space="preserve"> shall be agreed in accordance with the Change Control Procedure.</w:t>
      </w:r>
    </w:p>
    <w:p w14:paraId="6BBCC01C" w14:textId="77777777" w:rsidR="00F67E9E" w:rsidRPr="005D768B" w:rsidRDefault="00F67E9E" w:rsidP="00F13933">
      <w:pPr>
        <w:pStyle w:val="AppendixText1"/>
        <w:numPr>
          <w:ilvl w:val="0"/>
          <w:numId w:val="63"/>
        </w:numPr>
        <w:rPr>
          <w:color w:val="1F497D"/>
        </w:rPr>
      </w:pPr>
      <w:r w:rsidRPr="005D768B">
        <w:rPr>
          <w:color w:val="1F497D"/>
        </w:rPr>
        <w:t>Employment Regulations Exit Provisions</w:t>
      </w:r>
    </w:p>
    <w:p w14:paraId="4322E410" w14:textId="77777777" w:rsidR="00F67E9E" w:rsidRPr="00025910" w:rsidRDefault="00F67E9E" w:rsidP="00F67E9E">
      <w:pPr>
        <w:pStyle w:val="AppendixText2"/>
      </w:pPr>
      <w:r w:rsidRPr="00025910">
        <w:t>The Authority and the Supplier acknowledge that subsequent to the commencement of the provision of the Services, the identity of the provider of the Services (or any part of the Services) may change (whether as a result of termination or Partial Termination of this Contract</w:t>
      </w:r>
      <w:r w:rsidRPr="00025910" w:rsidDel="000D1FBB">
        <w:t xml:space="preserve"> </w:t>
      </w:r>
      <w:r w:rsidRPr="00025910">
        <w:t>or otherwise) resulting in the Services being undertaken by a Replacement Supplier and/or a Replacement Sub-contractor.</w:t>
      </w:r>
      <w:r>
        <w:t xml:space="preserve"> </w:t>
      </w:r>
      <w:r w:rsidRPr="00025910">
        <w:t>Such change in the identity of the supplier of such services may constitute a Relevant Transfer to which the Employment Regulations will apply.</w:t>
      </w:r>
      <w:r>
        <w:t xml:space="preserve"> </w:t>
      </w:r>
      <w:r w:rsidRPr="00025910">
        <w:t xml:space="preserve">The Authority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w:t>
      </w:r>
      <w:bookmarkStart w:id="2470" w:name="_9kMIH5YVt49BA9D5siz5mv406KLN"/>
      <w:r w:rsidRPr="00025910">
        <w:t>regulation 10</w:t>
      </w:r>
      <w:bookmarkEnd w:id="2470"/>
      <w:r>
        <w:t xml:space="preserve"> </w:t>
      </w:r>
      <w:r w:rsidRPr="00025910">
        <w:t>of the Employment Regulations) will have effect on and from the Service Transfer Date as if originally made between the Replacement Supplier and/or a Replacement Sub-contractor (as the case may be) and each such Transferring Supplier Employee.</w:t>
      </w:r>
    </w:p>
    <w:p w14:paraId="4B129874" w14:textId="0D12FB09" w:rsidR="00E70551" w:rsidRDefault="00F67E9E" w:rsidP="00F67E9E">
      <w:pPr>
        <w:pStyle w:val="AppendixText2"/>
      </w:pPr>
      <w:r w:rsidRPr="0008270F">
        <w:t xml:space="preserve">The Supplier shall, and shall procure that each Sub-contractor shall, comply with all its obligations under the Employment Regulations and in particular obligations in respect of the Transferring Supplier Employees arising under the Employment Regulations in respect of the period up to (but excluding) the Service Transfer Date and shall perform and discharge, and procure that each Sub-contractor shall perform and discharge, all its obligations in respect of any person identified in the Supplier’s Final Supplier Personnel </w:t>
      </w:r>
      <w:r w:rsidR="00A10006">
        <w:lastRenderedPageBreak/>
        <w:t xml:space="preserve">List </w:t>
      </w:r>
      <w:r w:rsidRPr="0008270F">
        <w:t>all the Transferring Supplier Employees arising in respect of the period up to (and including but excluding)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Statutory Schemes  and any requirement to set up a broadly comparable pension scheme which in any case are attributable in whole or in part to the period ending on (and including but excluding) the Service Transfer Date) and any necessary apportionments in respect of any periodic payments shall be made between:</w:t>
      </w:r>
    </w:p>
    <w:p w14:paraId="13DCB613" w14:textId="3F88C1C2" w:rsidR="00E70551" w:rsidRDefault="00F67E9E" w:rsidP="00E62DE6">
      <w:pPr>
        <w:pStyle w:val="AppendixText3"/>
      </w:pPr>
      <w:r w:rsidRPr="00025910">
        <w:t xml:space="preserve">the Supplier and/or the Sub-contractor (as appropriate); and </w:t>
      </w:r>
    </w:p>
    <w:p w14:paraId="2C941740" w14:textId="721467BD" w:rsidR="00F67E9E" w:rsidRPr="00025910" w:rsidRDefault="00F67E9E" w:rsidP="00E62DE6">
      <w:pPr>
        <w:pStyle w:val="AppendixText3"/>
      </w:pPr>
      <w:r w:rsidRPr="00025910">
        <w:t>the Replacement Supplier and/or Replacement Sub-contractor.</w:t>
      </w:r>
      <w:r>
        <w:t xml:space="preserve"> </w:t>
      </w:r>
    </w:p>
    <w:p w14:paraId="484CB922" w14:textId="41E9D61C" w:rsidR="00F67E9E" w:rsidRPr="00025910" w:rsidRDefault="00F67E9E" w:rsidP="00F67E9E">
      <w:pPr>
        <w:pStyle w:val="AppendixText2"/>
      </w:pPr>
      <w:bookmarkStart w:id="2471" w:name="_Ref_ContractCompanion_9kb9Ut2AJ"/>
      <w:bookmarkStart w:id="2472" w:name="_9kR3WTrAGA7669DedtjnhxFBiPyzp7219NYQH3p"/>
      <w:r w:rsidRPr="00025910">
        <w:t xml:space="preserve">Subject to </w:t>
      </w:r>
      <w:bookmarkStart w:id="2473" w:name="_9kMHG5YVtCIC8GOIGiTlnxtlv529Aw7C8qY78yG"/>
      <w:r w:rsidRPr="00025910">
        <w:t xml:space="preserve">Paragraph </w:t>
      </w:r>
      <w:r w:rsidRPr="00025910">
        <w:fldChar w:fldCharType="begin"/>
      </w:r>
      <w:r w:rsidRPr="00025910">
        <w:instrText xml:space="preserve"> REF _Ref_ContractCompanion_9kb9Ut2AG \n \h \t \* MERGEFORMAT </w:instrText>
      </w:r>
      <w:r w:rsidRPr="00025910">
        <w:fldChar w:fldCharType="separate"/>
      </w:r>
      <w:r w:rsidR="007A1473">
        <w:t>2.4</w:t>
      </w:r>
      <w:r w:rsidRPr="00025910">
        <w:fldChar w:fldCharType="end"/>
      </w:r>
      <w:bookmarkEnd w:id="2473"/>
      <w:r w:rsidRPr="00025910">
        <w:t>, the Supplier shall indemnify the Authority and/or the Replacement Supplier and/or any Replacement Sub-contractor against any Employee Liabilities arising from or as a result of:</w:t>
      </w:r>
      <w:bookmarkEnd w:id="2471"/>
      <w:bookmarkEnd w:id="2472"/>
    </w:p>
    <w:p w14:paraId="426720BF" w14:textId="77777777" w:rsidR="00F67E9E" w:rsidRPr="00025910" w:rsidRDefault="00F67E9E" w:rsidP="00F67E9E">
      <w:pPr>
        <w:pStyle w:val="AppendixText3"/>
      </w:pPr>
      <w:r w:rsidRPr="00025910">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09601F99" w14:textId="77777777" w:rsidR="00F67E9E" w:rsidRPr="00025910" w:rsidRDefault="00F67E9E" w:rsidP="00F67E9E">
      <w:pPr>
        <w:pStyle w:val="AppendixText3"/>
      </w:pPr>
      <w:r w:rsidRPr="00025910">
        <w:t>the breach or non-observance by the Supplier or any Sub-contractor occurring before</w:t>
      </w:r>
      <w:r>
        <w:t xml:space="preserve"> but excluding</w:t>
      </w:r>
      <w:r w:rsidRPr="00025910">
        <w:t xml:space="preserve"> the Service Transfer Date of: </w:t>
      </w:r>
    </w:p>
    <w:p w14:paraId="47A8ECC0" w14:textId="77777777" w:rsidR="00F67E9E" w:rsidRPr="005D768B" w:rsidRDefault="00F67E9E" w:rsidP="00F67E9E">
      <w:pPr>
        <w:pStyle w:val="AppendixText4"/>
      </w:pPr>
      <w:r w:rsidRPr="00025910">
        <w:t xml:space="preserve">any collective agreement applicable to the Transferring Supplier </w:t>
      </w:r>
      <w:r w:rsidRPr="005D768B">
        <w:t>Employees; and/or</w:t>
      </w:r>
    </w:p>
    <w:p w14:paraId="368F561F" w14:textId="77777777" w:rsidR="00F67E9E" w:rsidRPr="00025910" w:rsidRDefault="00F67E9E" w:rsidP="00F67E9E">
      <w:pPr>
        <w:pStyle w:val="AppendixText4"/>
      </w:pPr>
      <w:r w:rsidRPr="005D768B">
        <w:t>any other custom or practice with a trade union or staff association in respect of a</w:t>
      </w:r>
      <w:r w:rsidRPr="00025910">
        <w:t>ny Transferring Supplier Employees which the Supplier or any Sub-contractor is contractually bound to honour;</w:t>
      </w:r>
    </w:p>
    <w:p w14:paraId="33E7AAF8" w14:textId="77777777" w:rsidR="00F67E9E" w:rsidRPr="00025910" w:rsidRDefault="00F67E9E" w:rsidP="00F67E9E">
      <w:pPr>
        <w:pStyle w:val="AppendixText3"/>
      </w:pPr>
      <w:r w:rsidRPr="00025910">
        <w:t xml:space="preserve">any claim by any trade union or other body or person representing any Transferring Supplier Employees arising from or connected with any failure by the Supplier or a Sub-contractor to comply with any legal obligation to such trade union, body or person arising before </w:t>
      </w:r>
      <w:r>
        <w:t>but excluding</w:t>
      </w:r>
      <w:r w:rsidRPr="00025910">
        <w:t xml:space="preserve"> the Service Transfer Date;</w:t>
      </w:r>
    </w:p>
    <w:p w14:paraId="5996BF6A" w14:textId="77777777" w:rsidR="00F67E9E" w:rsidRPr="00025910" w:rsidRDefault="00F67E9E" w:rsidP="00F67E9E">
      <w:pPr>
        <w:pStyle w:val="AppendixText3"/>
      </w:pPr>
      <w:r w:rsidRPr="00025910">
        <w:t>any proceeding, claim or demand by HMRC or other statutory authority in respect of any financial obligation including, but not limited to, PAYE and primary and secondary national insurance contributions:</w:t>
      </w:r>
    </w:p>
    <w:p w14:paraId="073A1EC0" w14:textId="77777777" w:rsidR="00F67E9E" w:rsidRPr="005D768B" w:rsidRDefault="00F67E9E" w:rsidP="00F67E9E">
      <w:pPr>
        <w:pStyle w:val="AppendixText4"/>
      </w:pPr>
      <w:r w:rsidRPr="00025910">
        <w:t xml:space="preserve">in relation to any Transferring Supplier Employee, to the extent that the proceeding, claim or demand by HMRC or other statutory authority relates to </w:t>
      </w:r>
      <w:r w:rsidRPr="005D768B">
        <w:t xml:space="preserve">financial obligations arising before </w:t>
      </w:r>
      <w:r>
        <w:t>but excluding</w:t>
      </w:r>
      <w:r w:rsidRPr="00025910">
        <w:t xml:space="preserve"> </w:t>
      </w:r>
      <w:r w:rsidRPr="005D768B">
        <w:t>the Service Transfer Date; and</w:t>
      </w:r>
    </w:p>
    <w:p w14:paraId="5BBA6C0A" w14:textId="77777777" w:rsidR="00F67E9E" w:rsidRPr="00025910" w:rsidRDefault="00F67E9E" w:rsidP="00F67E9E">
      <w:pPr>
        <w:pStyle w:val="AppendixText4"/>
      </w:pPr>
      <w:r w:rsidRPr="005D768B">
        <w:t>in relation to any employee who is not identified in the Supplier’s Final Supplier Personnel List, and in respect of whom it is later alleged or determined th</w:t>
      </w:r>
      <w:r w:rsidRPr="00025910">
        <w:t xml:space="preserve">at the Employment Regulations applied so as to transfer his/her employment from the Supplier to the Authority and/or Replacement Supplier and/or any Replacement Sub-contractor, to the </w:t>
      </w:r>
      <w:r w:rsidRPr="00025910">
        <w:lastRenderedPageBreak/>
        <w:t xml:space="preserve">extent that the proceeding, claim or demand by HMRC or other statutory authority relates to financial obligations arising before </w:t>
      </w:r>
      <w:r>
        <w:t>but excluding</w:t>
      </w:r>
      <w:r w:rsidRPr="00025910">
        <w:t xml:space="preserve"> the Service Transfer Date;</w:t>
      </w:r>
    </w:p>
    <w:p w14:paraId="19CF8FA1" w14:textId="77777777" w:rsidR="00F67E9E" w:rsidRPr="00025910" w:rsidRDefault="00F67E9E" w:rsidP="00F67E9E">
      <w:pPr>
        <w:pStyle w:val="AppendixText3"/>
      </w:pPr>
      <w:r w:rsidRPr="00025910">
        <w:t>a failure of the Supplier or any Sub-contractor to discharge or procure the discharge of all wages, salaries and all other benefits and all PAYE tax deductions and national insurance contributions relating to the Transferring Supplier Employees in respect of the period up to (</w:t>
      </w:r>
      <w:r>
        <w:t>but excluding</w:t>
      </w:r>
      <w:r w:rsidRPr="00025910">
        <w:t>) the Service Transfer Date);</w:t>
      </w:r>
    </w:p>
    <w:p w14:paraId="4AC5DEB7" w14:textId="77777777" w:rsidR="00F67E9E" w:rsidRPr="00025910" w:rsidRDefault="00F67E9E" w:rsidP="00F67E9E">
      <w:pPr>
        <w:pStyle w:val="AppendixText3"/>
      </w:pPr>
      <w:r w:rsidRPr="00025910">
        <w:t>any claim made by or in respect of any person employed or formerly employed by the Supplier or any Sub-contractor other than a Transferring Supplier Employee identified in the Supplier</w:t>
      </w:r>
      <w:r>
        <w:t>’</w:t>
      </w:r>
      <w:r w:rsidRPr="00025910">
        <w:t>s Final Supplier Personnel List for whom it is alleged the Authority and/or the Replacement Supplier and/or any Replacement Sub-contractor may be liable by virtue of this Contract</w:t>
      </w:r>
      <w:r w:rsidRPr="00025910" w:rsidDel="000D1FBB">
        <w:t xml:space="preserve"> </w:t>
      </w:r>
      <w:r w:rsidRPr="00025910">
        <w:t>and/or the Employment Regulations; and</w:t>
      </w:r>
    </w:p>
    <w:p w14:paraId="23FDFA68" w14:textId="77777777" w:rsidR="00F67E9E" w:rsidRPr="00025910" w:rsidRDefault="00F67E9E" w:rsidP="00F67E9E">
      <w:pPr>
        <w:pStyle w:val="AppendixText3"/>
      </w:pPr>
      <w:r w:rsidRPr="00025910">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Authority and/or Replacement Supplier to comply with regulation 13(4) of the Employment Regulations.</w:t>
      </w:r>
    </w:p>
    <w:p w14:paraId="617C3F25" w14:textId="06A05B20" w:rsidR="00F67E9E" w:rsidRPr="00025910" w:rsidRDefault="00F67E9E" w:rsidP="00F67E9E">
      <w:pPr>
        <w:pStyle w:val="AppendixText2"/>
      </w:pPr>
      <w:bookmarkStart w:id="2474" w:name="_9kR3WTrAGA6EMGEgRjlvrjt3078u5A6oW56wE98"/>
      <w:bookmarkStart w:id="2475" w:name="_Ref_ContractCompanion_9kb9Ut2AG"/>
      <w:r w:rsidRPr="00025910">
        <w:t xml:space="preserve">The indemnities in </w:t>
      </w:r>
      <w:bookmarkStart w:id="2476" w:name="_9kMHG5YVtCIC988BFgfvlpjzHDkR01r943BPaSJ"/>
      <w:r w:rsidRPr="00025910">
        <w:t xml:space="preserve">Paragraph </w:t>
      </w:r>
      <w:r w:rsidRPr="00025910">
        <w:fldChar w:fldCharType="begin"/>
      </w:r>
      <w:r w:rsidRPr="00025910">
        <w:instrText xml:space="preserve"> REF _Ref_ContractCompanion_9kb9Ut2AJ \n \h \t \* MERGEFORMAT </w:instrText>
      </w:r>
      <w:r w:rsidRPr="00025910">
        <w:fldChar w:fldCharType="separate"/>
      </w:r>
      <w:r w:rsidR="007A1473">
        <w:t>2.3</w:t>
      </w:r>
      <w:r w:rsidRPr="00025910">
        <w:fldChar w:fldCharType="end"/>
      </w:r>
      <w:bookmarkEnd w:id="2476"/>
      <w:r w:rsidRPr="00025910">
        <w:t xml:space="preserv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bookmarkEnd w:id="2474"/>
      <w:r w:rsidRPr="00025910">
        <w:t xml:space="preserve"> </w:t>
      </w:r>
      <w:bookmarkEnd w:id="2475"/>
    </w:p>
    <w:p w14:paraId="768F66B3" w14:textId="77777777" w:rsidR="00F67E9E" w:rsidRPr="00025910" w:rsidRDefault="00F67E9E" w:rsidP="00F67E9E">
      <w:pPr>
        <w:pStyle w:val="AppendixText3"/>
      </w:pPr>
      <w:r w:rsidRPr="00025910">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663CF52" w14:textId="77777777" w:rsidR="00F67E9E" w:rsidRPr="00025910" w:rsidRDefault="00F67E9E" w:rsidP="00F67E9E">
      <w:pPr>
        <w:pStyle w:val="AppendixText3"/>
      </w:pPr>
      <w:r w:rsidRPr="00025910">
        <w:t>arising from the Replacement Supplier</w:t>
      </w:r>
      <w:r>
        <w:t>’</w:t>
      </w:r>
      <w:r w:rsidRPr="00025910">
        <w:t>s failure, and/or Replacement Sub-contractor</w:t>
      </w:r>
      <w:r>
        <w:t>’</w:t>
      </w:r>
      <w:r w:rsidRPr="00025910">
        <w:t>s failure, to comply with its obligations under the Employment Regulations.</w:t>
      </w:r>
    </w:p>
    <w:p w14:paraId="6E156503" w14:textId="6221ABB4" w:rsidR="00F67E9E" w:rsidRPr="00025910" w:rsidRDefault="00F67E9E" w:rsidP="00F67E9E">
      <w:pPr>
        <w:pStyle w:val="AppendixText2"/>
      </w:pPr>
      <w:bookmarkStart w:id="2477" w:name="_Ref_ContractCompanion_9kb9Ut326"/>
      <w:bookmarkStart w:id="2478" w:name="_9kR3WTrAGA76CFFWEdmBEvyDB7GB46BHELG1y9P"/>
      <w:r w:rsidRPr="00025910">
        <w:t>If any person who is not identified in the Supplier</w:t>
      </w:r>
      <w:r>
        <w:t>’</w:t>
      </w:r>
      <w:r w:rsidRPr="00025910">
        <w:t>s Final Supplier Personnel</w:t>
      </w:r>
      <w:r w:rsidR="00A10006">
        <w:t xml:space="preserve"> L</w:t>
      </w:r>
      <w:r w:rsidRPr="00025910">
        <w:t>ist claims, or it is determined in relation to any person who is not identified in the Supplier</w:t>
      </w:r>
      <w:r>
        <w:t>’</w:t>
      </w:r>
      <w:r w:rsidRPr="00025910">
        <w:t xml:space="preserve">s Final Supplier Personnel </w:t>
      </w:r>
      <w:r w:rsidR="00A10006">
        <w:t>L</w:t>
      </w:r>
      <w:r w:rsidRPr="00025910">
        <w:t>ist, that his/her contract of employment has been transferred from the Supplier or any Sub-contractor to the Replacement Supplier and/or Replacement Sub-contractor pursuant to the Employment Regulations, then:</w:t>
      </w:r>
      <w:bookmarkEnd w:id="2477"/>
      <w:bookmarkEnd w:id="2478"/>
    </w:p>
    <w:p w14:paraId="45D11768" w14:textId="77777777" w:rsidR="00F67E9E" w:rsidRPr="00025910" w:rsidRDefault="00F67E9E" w:rsidP="00F67E9E">
      <w:pPr>
        <w:pStyle w:val="AppendixText3"/>
      </w:pPr>
      <w:bookmarkStart w:id="2479" w:name="_9kR3WTrAGA79HHFoqykEPF3zA58PP9sx9ELL7EU"/>
      <w:bookmarkStart w:id="2480" w:name="_Ref_ContractCompanion_9kb9Ut35B"/>
      <w:r w:rsidRPr="00025910">
        <w:t>the Authority shall procure that the Replacement Supplier shall, or any Replacement Sub-contractor shall, within 5 Working Days of becoming aware of that fact, give notice in writing to the Supplier;</w:t>
      </w:r>
      <w:bookmarkEnd w:id="2479"/>
      <w:r w:rsidRPr="00025910">
        <w:t xml:space="preserve"> and</w:t>
      </w:r>
      <w:bookmarkEnd w:id="2480"/>
    </w:p>
    <w:p w14:paraId="017BB93E" w14:textId="77777777" w:rsidR="00F67E9E" w:rsidRPr="00025910" w:rsidRDefault="00F67E9E" w:rsidP="00F67E9E">
      <w:pPr>
        <w:pStyle w:val="AppendixText3"/>
      </w:pPr>
      <w:bookmarkStart w:id="2481" w:name="_Ref_ContractCompanion_9kb9Ut323"/>
      <w:bookmarkStart w:id="2482" w:name="_9kR3WTrAGA769CFprykWhB74ys2Bv8N5xxALML5"/>
      <w:r w:rsidRPr="00025910">
        <w:t xml:space="preserve">the Supplier may offer (or may procure that a Sub-contractor may offer) employment to such person within 15 Working Days of the notification by the Replacement Supplier and/or any and/or Replacement Sub-contractor or take </w:t>
      </w:r>
      <w:r w:rsidRPr="00025910">
        <w:lastRenderedPageBreak/>
        <w:t>such other reasonable steps as it considers appropriate to deal with the matter provided always that such steps are in compliance with Law.</w:t>
      </w:r>
      <w:bookmarkEnd w:id="2481"/>
      <w:bookmarkEnd w:id="2482"/>
    </w:p>
    <w:p w14:paraId="027E2571" w14:textId="77777777" w:rsidR="00F67E9E" w:rsidRPr="00025910" w:rsidRDefault="00F67E9E" w:rsidP="00F67E9E">
      <w:pPr>
        <w:pStyle w:val="AppendixText2"/>
      </w:pPr>
      <w:r w:rsidRPr="00025910">
        <w:t>If such offer is accepted, or if the situation has otherwise been resolved by the Supplier or a Sub-contractor, the Authority shall procure that the Replacement Supplier shall, or procure that the Replacement Sub-contractor shall, immediately release or procure the release of the person from his/her employment or alleged employment.</w:t>
      </w:r>
    </w:p>
    <w:p w14:paraId="3C6F1015" w14:textId="291645F8" w:rsidR="00F67E9E" w:rsidRPr="00025910" w:rsidRDefault="00F67E9E" w:rsidP="00F67E9E">
      <w:pPr>
        <w:pStyle w:val="AppendixText2"/>
      </w:pPr>
      <w:bookmarkStart w:id="2483" w:name="_Ref_ContractCompanion_9kb9Ut329"/>
      <w:bookmarkStart w:id="2484" w:name="_9kR3WTrAGA76FIHYEdeyyxD4qBQwnFC487YNFVC"/>
      <w:r w:rsidRPr="00025910">
        <w:t xml:space="preserve">If after the 15 Working Day period specified in </w:t>
      </w:r>
      <w:bookmarkStart w:id="2485" w:name="_9kMHG5YVtCIC98BEHrt0mYjD960u4DxAP7zzCNO"/>
      <w:r w:rsidRPr="00025910">
        <w:t xml:space="preserve">Paragraph </w:t>
      </w:r>
      <w:r w:rsidRPr="00025910">
        <w:fldChar w:fldCharType="begin"/>
      </w:r>
      <w:r w:rsidRPr="00025910">
        <w:instrText xml:space="preserve"> REF _Ref_ContractCompanion_9kb9Ut323 \w \h \t \* MERGEFORMAT </w:instrText>
      </w:r>
      <w:r w:rsidRPr="00025910">
        <w:fldChar w:fldCharType="separate"/>
      </w:r>
      <w:r w:rsidR="007A1473">
        <w:t>2.5.2</w:t>
      </w:r>
      <w:r w:rsidRPr="00025910">
        <w:fldChar w:fldCharType="end"/>
      </w:r>
      <w:bookmarkEnd w:id="2485"/>
      <w:r w:rsidRPr="00025910">
        <w:t xml:space="preserve"> has elapsed:</w:t>
      </w:r>
      <w:bookmarkEnd w:id="2483"/>
      <w:bookmarkEnd w:id="2484"/>
    </w:p>
    <w:p w14:paraId="0BC8C52B" w14:textId="77777777" w:rsidR="00F67E9E" w:rsidRPr="00025910" w:rsidRDefault="00F67E9E" w:rsidP="00F67E9E">
      <w:pPr>
        <w:pStyle w:val="AppendixText3"/>
      </w:pPr>
      <w:r w:rsidRPr="00025910">
        <w:t xml:space="preserve">no such offer of employment has been made; </w:t>
      </w:r>
    </w:p>
    <w:p w14:paraId="3040AB15" w14:textId="77777777" w:rsidR="00F67E9E" w:rsidRPr="00025910" w:rsidRDefault="00F67E9E" w:rsidP="00F67E9E">
      <w:pPr>
        <w:pStyle w:val="AppendixText3"/>
      </w:pPr>
      <w:r w:rsidRPr="00025910">
        <w:t>such offer has been made but not accepted; or</w:t>
      </w:r>
    </w:p>
    <w:p w14:paraId="3BF021C4" w14:textId="77777777" w:rsidR="00F67E9E" w:rsidRPr="00025910" w:rsidRDefault="00F67E9E" w:rsidP="00F67E9E">
      <w:pPr>
        <w:pStyle w:val="AppendixText3"/>
      </w:pPr>
      <w:r w:rsidRPr="00025910">
        <w:t>the situation has not otherwise been resolved</w:t>
      </w:r>
    </w:p>
    <w:p w14:paraId="064C2D94" w14:textId="77777777" w:rsidR="00F67E9E" w:rsidRPr="00025910" w:rsidRDefault="00F67E9E" w:rsidP="00F67E9E">
      <w:pPr>
        <w:pStyle w:val="StdBodyText2"/>
        <w:rPr>
          <w:rFonts w:cs="Arial"/>
        </w:rPr>
      </w:pPr>
      <w:r w:rsidRPr="00025910">
        <w:rPr>
          <w:rFonts w:cs="Arial"/>
        </w:rPr>
        <w:t>the Authority shall advise the Replacement Supplier and/or Replacement Sub-contractor, as appropriate that it may within 5 Working Days give notice to terminate the employment or alleged employment of such person.</w:t>
      </w:r>
    </w:p>
    <w:p w14:paraId="337D4448" w14:textId="14E4C60D" w:rsidR="00F67E9E" w:rsidRPr="00025910" w:rsidRDefault="00F67E9E" w:rsidP="00F67E9E">
      <w:pPr>
        <w:pStyle w:val="AppendixText2"/>
      </w:pPr>
      <w:bookmarkStart w:id="2486" w:name="_Ref_ContractCompanion_9kb9Ut358"/>
      <w:bookmarkStart w:id="2487" w:name="_9kR3WTrAGA79EEIjdtjnhxFBC6sdY3Bxpu568O4"/>
      <w:r w:rsidRPr="00025910">
        <w:t xml:space="preserve">Subject to the Replacement Supplier and/or Replacement Sub-contractor acting in accordance with the provisions of </w:t>
      </w:r>
      <w:bookmarkStart w:id="2488" w:name="_9kMHG5YVtCIC98EHHYGfoDGx0FD9ID68DJGNI30"/>
      <w:r w:rsidRPr="00025910">
        <w:t xml:space="preserve">Paragraphs </w:t>
      </w:r>
      <w:r w:rsidRPr="00025910">
        <w:fldChar w:fldCharType="begin"/>
      </w:r>
      <w:r w:rsidRPr="00025910">
        <w:instrText xml:space="preserve"> REF _Ref_ContractCompanion_9kb9Ut326 \n \h \t \* MERGEFORMAT </w:instrText>
      </w:r>
      <w:r w:rsidRPr="00025910">
        <w:fldChar w:fldCharType="separate"/>
      </w:r>
      <w:r w:rsidR="007A1473">
        <w:t>2.5</w:t>
      </w:r>
      <w:r w:rsidRPr="00025910">
        <w:fldChar w:fldCharType="end"/>
      </w:r>
      <w:bookmarkEnd w:id="2488"/>
      <w:r w:rsidRPr="00025910">
        <w:t xml:space="preserve"> to </w:t>
      </w:r>
      <w:bookmarkStart w:id="2489" w:name="_9kMHG5YVtCIC98HKJaGfg00zF6sDSypHE6A9aPH"/>
      <w:r w:rsidRPr="00025910">
        <w:fldChar w:fldCharType="begin"/>
      </w:r>
      <w:r w:rsidRPr="00025910">
        <w:instrText xml:space="preserve"> REF _Ref_ContractCompanion_9kb9Ut329 \n \h \t \* MERGEFORMAT </w:instrText>
      </w:r>
      <w:r w:rsidRPr="00025910">
        <w:fldChar w:fldCharType="separate"/>
      </w:r>
      <w:r w:rsidR="007A1473">
        <w:t>2.7</w:t>
      </w:r>
      <w:r w:rsidRPr="00025910">
        <w:fldChar w:fldCharType="end"/>
      </w:r>
      <w:bookmarkEnd w:id="2489"/>
      <w:r w:rsidRPr="00025910">
        <w:t xml:space="preserve">,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w:t>
      </w:r>
      <w:bookmarkStart w:id="2490" w:name="_9kMIH5YVtCIC98HKJaGfg00zF6sDSypHE6A9aPH"/>
      <w:r w:rsidRPr="00025910">
        <w:t xml:space="preserve">Paragraph </w:t>
      </w:r>
      <w:r w:rsidRPr="00025910">
        <w:fldChar w:fldCharType="begin"/>
      </w:r>
      <w:r w:rsidRPr="00025910">
        <w:instrText xml:space="preserve"> REF _Ref_ContractCompanion_9kb9Ut329 \n \h \t \* MERGEFORMAT </w:instrText>
      </w:r>
      <w:r w:rsidRPr="00025910">
        <w:fldChar w:fldCharType="separate"/>
      </w:r>
      <w:r w:rsidR="007A1473">
        <w:t>2.7</w:t>
      </w:r>
      <w:r w:rsidRPr="00025910">
        <w:fldChar w:fldCharType="end"/>
      </w:r>
      <w:bookmarkEnd w:id="2490"/>
      <w:r w:rsidRPr="00025910">
        <w:t xml:space="preserve"> provided that the Replacement Supplier takes, or shall procure that the Replacement Sub-contractor takes, all reasonable steps to minimise any such Employee Liabilities.</w:t>
      </w:r>
      <w:bookmarkEnd w:id="2486"/>
      <w:bookmarkEnd w:id="2487"/>
    </w:p>
    <w:p w14:paraId="67B15CDD" w14:textId="44333228" w:rsidR="00F67E9E" w:rsidRPr="00025910" w:rsidRDefault="00F67E9E" w:rsidP="00F67E9E">
      <w:pPr>
        <w:pStyle w:val="AppendixText2"/>
      </w:pPr>
      <w:r w:rsidRPr="00025910">
        <w:t xml:space="preserve">The indemnity in </w:t>
      </w:r>
      <w:bookmarkStart w:id="2491" w:name="_9kMHG5YVtCIC9BGGKlfvlpjzHDE8ufa5Dzrw78A"/>
      <w:r w:rsidRPr="00025910">
        <w:t xml:space="preserve">Paragraph </w:t>
      </w:r>
      <w:r w:rsidRPr="00025910">
        <w:fldChar w:fldCharType="begin"/>
      </w:r>
      <w:r w:rsidRPr="00025910">
        <w:instrText xml:space="preserve"> REF _Ref_ContractCompanion_9kb9Ut358 \n \h \t \* MERGEFORMAT </w:instrText>
      </w:r>
      <w:r w:rsidRPr="00025910">
        <w:fldChar w:fldCharType="separate"/>
      </w:r>
      <w:r w:rsidR="007A1473">
        <w:t>2.8</w:t>
      </w:r>
      <w:r w:rsidRPr="00025910">
        <w:fldChar w:fldCharType="end"/>
      </w:r>
      <w:bookmarkEnd w:id="2491"/>
      <w:r w:rsidRPr="00025910">
        <w:t>:</w:t>
      </w:r>
    </w:p>
    <w:p w14:paraId="1A447AE8" w14:textId="77777777" w:rsidR="00F67E9E" w:rsidRPr="00025910" w:rsidRDefault="00F67E9E" w:rsidP="00F67E9E">
      <w:pPr>
        <w:pStyle w:val="AppendixText3"/>
      </w:pPr>
      <w:r w:rsidRPr="00025910">
        <w:t>shall not apply to:</w:t>
      </w:r>
    </w:p>
    <w:p w14:paraId="502BC9FB" w14:textId="77777777" w:rsidR="00F67E9E" w:rsidRPr="00025910" w:rsidRDefault="00F67E9E" w:rsidP="00F67E9E">
      <w:pPr>
        <w:pStyle w:val="AppendixText4"/>
      </w:pPr>
      <w:r w:rsidRPr="00025910">
        <w:t>any claim for:</w:t>
      </w:r>
    </w:p>
    <w:p w14:paraId="3AF088C3" w14:textId="77777777" w:rsidR="00F67E9E" w:rsidRPr="005D768B" w:rsidRDefault="00F67E9E" w:rsidP="00F67E9E">
      <w:pPr>
        <w:pStyle w:val="Numbered111ai"/>
      </w:pPr>
      <w:r w:rsidRPr="00025910">
        <w:t xml:space="preserve">discrimination, including on the grounds of sex, race, disability, age, gender reassignment, marriage or civil partnership, pregnancy and </w:t>
      </w:r>
      <w:r w:rsidRPr="005D768B">
        <w:t>maternity or sexual orientation, religion or belief; or</w:t>
      </w:r>
    </w:p>
    <w:p w14:paraId="38BB6DDE" w14:textId="77777777" w:rsidR="00F67E9E" w:rsidRPr="00025910" w:rsidRDefault="00F67E9E" w:rsidP="00F67E9E">
      <w:pPr>
        <w:pStyle w:val="Numbered111ai"/>
      </w:pPr>
      <w:r w:rsidRPr="005D768B">
        <w:t>equal p</w:t>
      </w:r>
      <w:r w:rsidRPr="00025910">
        <w:t>ay or compensation for less favourable treatment of part-time workers or fixed-term employees,</w:t>
      </w:r>
    </w:p>
    <w:p w14:paraId="0972AD00" w14:textId="77777777" w:rsidR="00F67E9E" w:rsidRPr="00025910" w:rsidRDefault="00F67E9E" w:rsidP="00F67E9E">
      <w:pPr>
        <w:pStyle w:val="StdBodyText5"/>
        <w:ind w:left="2520"/>
        <w:rPr>
          <w:rFonts w:cs="Arial"/>
        </w:rPr>
      </w:pPr>
      <w:r w:rsidRPr="00025910">
        <w:rPr>
          <w:rFonts w:cs="Arial"/>
        </w:rPr>
        <w:t>in any case in relation to any alleged act or omission of the Replacement Supplier and/or Replacement Sub-contractor; or</w:t>
      </w:r>
    </w:p>
    <w:p w14:paraId="0F639A31" w14:textId="77777777" w:rsidR="00F67E9E" w:rsidRPr="00025910" w:rsidRDefault="00F67E9E" w:rsidP="00F67E9E">
      <w:pPr>
        <w:pStyle w:val="AppendixText4"/>
      </w:pPr>
      <w:r w:rsidRPr="00025910">
        <w:t>any claim that the termination of employment was unfair because the Replacement Supplier and/or Replacement Sub-contractor neglected to follow a fair dismissal procedure; and</w:t>
      </w:r>
    </w:p>
    <w:p w14:paraId="7B1EFE52" w14:textId="02200EFF" w:rsidR="00F67E9E" w:rsidRPr="00025910" w:rsidRDefault="00F67E9E" w:rsidP="00F67E9E">
      <w:pPr>
        <w:pStyle w:val="AppendixText3"/>
      </w:pPr>
      <w:r w:rsidRPr="00025910">
        <w:t xml:space="preserve">shall apply only where the notification referred to in </w:t>
      </w:r>
      <w:bookmarkStart w:id="2492" w:name="_9kMHG5YVtCIC9BJJHqs0mGRH51C7ARRBuzBGNN9"/>
      <w:r w:rsidRPr="00025910">
        <w:t xml:space="preserve">Paragraph </w:t>
      </w:r>
      <w:r w:rsidRPr="00025910">
        <w:fldChar w:fldCharType="begin"/>
      </w:r>
      <w:r w:rsidRPr="00025910">
        <w:instrText xml:space="preserve"> REF _Ref_ContractCompanion_9kb9Ut35B \w \h \t \* MERGEFORMAT </w:instrText>
      </w:r>
      <w:r w:rsidRPr="00025910">
        <w:fldChar w:fldCharType="separate"/>
      </w:r>
      <w:r w:rsidR="007A1473">
        <w:t>2.5.1</w:t>
      </w:r>
      <w:r w:rsidRPr="00025910">
        <w:fldChar w:fldCharType="end"/>
      </w:r>
      <w:bookmarkEnd w:id="2492"/>
      <w:r w:rsidRPr="00025910">
        <w:t xml:space="preserve"> is made by the Replacement Supplier and/or Replacement Sub-contractor to the Supplier within 6 months of the Service Transfer Date.</w:t>
      </w:r>
    </w:p>
    <w:p w14:paraId="6F0F9CA7" w14:textId="0AEDF177" w:rsidR="00F67E9E" w:rsidRPr="00025910" w:rsidRDefault="00F67E9E" w:rsidP="00F67E9E">
      <w:pPr>
        <w:pStyle w:val="AppendixText2"/>
      </w:pPr>
      <w:r w:rsidRPr="00025910">
        <w:lastRenderedPageBreak/>
        <w:t xml:space="preserve">If any such person as is described in </w:t>
      </w:r>
      <w:bookmarkStart w:id="2493" w:name="_9kMIH5YVtCIC98EHHYGfoDGx0FD9ID68DJGNI30"/>
      <w:r w:rsidRPr="00025910">
        <w:t xml:space="preserve">Paragraph </w:t>
      </w:r>
      <w:r w:rsidRPr="00025910">
        <w:fldChar w:fldCharType="begin"/>
      </w:r>
      <w:r w:rsidRPr="00025910">
        <w:instrText xml:space="preserve"> REF _Ref_ContractCompanion_9kb9Ut326 \n \h \t \* MERGEFORMAT </w:instrText>
      </w:r>
      <w:r w:rsidRPr="00025910">
        <w:fldChar w:fldCharType="separate"/>
      </w:r>
      <w:r w:rsidR="007A1473">
        <w:t>2.5</w:t>
      </w:r>
      <w:r w:rsidRPr="00025910">
        <w:fldChar w:fldCharType="end"/>
      </w:r>
      <w:bookmarkEnd w:id="2493"/>
      <w:r w:rsidRPr="00025910">
        <w:t xml:space="preserve"> is neither re-employed by the Supplier or any Sub-contractor nor dismissed by the Replacement Supplier and/or Replacement Sub-contractor within the time scales set out in </w:t>
      </w:r>
      <w:bookmarkStart w:id="2494" w:name="_9kMJI5YVtCIC98EHHYGfoDGx0FD9ID68DJGNI30"/>
      <w:r w:rsidRPr="00025910">
        <w:t xml:space="preserve">Paragraphs </w:t>
      </w:r>
      <w:r w:rsidRPr="00025910">
        <w:fldChar w:fldCharType="begin"/>
      </w:r>
      <w:r w:rsidRPr="00025910">
        <w:instrText xml:space="preserve"> REF _Ref_ContractCompanion_9kb9Ut326 \n \h \t \* MERGEFORMAT </w:instrText>
      </w:r>
      <w:r w:rsidRPr="00025910">
        <w:fldChar w:fldCharType="separate"/>
      </w:r>
      <w:r w:rsidR="007A1473">
        <w:t>2.5</w:t>
      </w:r>
      <w:r w:rsidRPr="00025910">
        <w:fldChar w:fldCharType="end"/>
      </w:r>
      <w:bookmarkEnd w:id="2494"/>
      <w:r w:rsidRPr="00025910">
        <w:t xml:space="preserve"> to </w:t>
      </w:r>
      <w:bookmarkStart w:id="2495" w:name="_9kMJI5YVtCIC98HKJaGfg00zF6sDSypHE6A9aPH"/>
      <w:r w:rsidRPr="00025910">
        <w:fldChar w:fldCharType="begin"/>
      </w:r>
      <w:r w:rsidRPr="00025910">
        <w:instrText xml:space="preserve"> REF _Ref_ContractCompanion_9kb9Ut329 \n \h \t \* MERGEFORMAT </w:instrText>
      </w:r>
      <w:r w:rsidRPr="00025910">
        <w:fldChar w:fldCharType="separate"/>
      </w:r>
      <w:r w:rsidR="007A1473">
        <w:t>2.7</w:t>
      </w:r>
      <w:r w:rsidRPr="00025910">
        <w:fldChar w:fldCharType="end"/>
      </w:r>
      <w:bookmarkEnd w:id="2495"/>
      <w:r w:rsidRPr="00025910">
        <w:t>, such person shall be treated as a Transferring Supplier Employee.</w:t>
      </w:r>
    </w:p>
    <w:p w14:paraId="44F99F17" w14:textId="77777777" w:rsidR="00F67E9E" w:rsidRPr="00025910" w:rsidRDefault="00F67E9E" w:rsidP="00F67E9E">
      <w:pPr>
        <w:pStyle w:val="AppendixText2"/>
      </w:pPr>
      <w:r w:rsidRPr="00025910">
        <w:t>The Supplier shall, and shall procure that each Sub-contractor shall, promptly provide to the Authority and any Replacement Supplier and/or Replacement Sub-contractor, in writing such information as is necessary to enable the Authority, the Replacement Supplier and/or Replacement Sub-contractor to carry out their respective duties under regulation 13 of the Employment Regulations. The Authority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375908E7" w14:textId="6E521DE2" w:rsidR="00F67E9E" w:rsidRPr="00025910" w:rsidRDefault="00F67E9E" w:rsidP="00F67E9E">
      <w:pPr>
        <w:pStyle w:val="AppendixText2"/>
      </w:pPr>
      <w:bookmarkStart w:id="2496" w:name="_Ref_ContractCompanion_9kb9Ut36B"/>
      <w:bookmarkStart w:id="2497" w:name="_9kR3WTrAGA7AHGBDfeukoiyGCjQz0q832AOWZSJ"/>
      <w:r w:rsidRPr="00025910">
        <w:t xml:space="preserve">Subject to </w:t>
      </w:r>
      <w:bookmarkStart w:id="2498" w:name="_9kMHG5YVtCIC9CGFDGjUmoyumw63ABx8D9rZ89z"/>
      <w:r w:rsidRPr="00025910">
        <w:t xml:space="preserve">Paragraph </w:t>
      </w:r>
      <w:r w:rsidRPr="00025910">
        <w:fldChar w:fldCharType="begin"/>
      </w:r>
      <w:r w:rsidRPr="00025910">
        <w:instrText xml:space="preserve"> REF _Ref_ContractCompanion_9kb9Ut368 \n \h \t \* MERGEFORMAT </w:instrText>
      </w:r>
      <w:r w:rsidRPr="00025910">
        <w:fldChar w:fldCharType="separate"/>
      </w:r>
      <w:r w:rsidR="007A1473">
        <w:t>2.13</w:t>
      </w:r>
      <w:r w:rsidRPr="00025910">
        <w:fldChar w:fldCharType="end"/>
      </w:r>
      <w:bookmarkEnd w:id="2498"/>
      <w:r w:rsidRPr="00025910">
        <w:t>, the Authority shall procure that the Replacement Supplier indemnifies the Supplier on its own behalf and on behalf of any Replacement Sub-contractor and its sub-contractors against any Employee Liabilities arising from or as a result of:</w:t>
      </w:r>
      <w:bookmarkEnd w:id="2496"/>
      <w:bookmarkEnd w:id="2497"/>
    </w:p>
    <w:p w14:paraId="6DB74DB2" w14:textId="77777777" w:rsidR="00F67E9E" w:rsidRPr="00025910" w:rsidRDefault="00F67E9E" w:rsidP="00F67E9E">
      <w:pPr>
        <w:pStyle w:val="AppendixText3"/>
      </w:pPr>
      <w:r w:rsidRPr="00025910">
        <w:t>any act or omission of the Replacement Supplier and/or Replacement Sub-contractor in respect of any Transferring Supplier Employee identified in the Supplier</w:t>
      </w:r>
      <w:r>
        <w:t>’</w:t>
      </w:r>
      <w:r w:rsidRPr="00025910">
        <w:t>s Final Supplier Personnel List or any appropriate employee representative (as defined in the Employment Regulations) of any such Transferring Supplier Employee;</w:t>
      </w:r>
    </w:p>
    <w:p w14:paraId="2C2CA651" w14:textId="77777777" w:rsidR="00F67E9E" w:rsidRPr="00025910" w:rsidRDefault="00F67E9E" w:rsidP="00F67E9E">
      <w:pPr>
        <w:pStyle w:val="AppendixText3"/>
      </w:pPr>
      <w:r w:rsidRPr="00025910">
        <w:t xml:space="preserve">the breach or non-observance by the Replacement Supplier and/or Replacement Sub-contractor on or after the Service Transfer Date of: </w:t>
      </w:r>
    </w:p>
    <w:p w14:paraId="47F5469E" w14:textId="77777777" w:rsidR="00F67E9E" w:rsidRPr="00025910" w:rsidRDefault="00F67E9E" w:rsidP="00F67E9E">
      <w:pPr>
        <w:pStyle w:val="AppendixText4"/>
      </w:pPr>
      <w:r w:rsidRPr="00025910">
        <w:t>any collective agreement applicable to the Transferring Supplier Employees identified in the Supplier</w:t>
      </w:r>
      <w:r>
        <w:t>’</w:t>
      </w:r>
      <w:r w:rsidRPr="00025910">
        <w:t xml:space="preserve">s Final Supplier Personnel List; and/or </w:t>
      </w:r>
    </w:p>
    <w:p w14:paraId="27A30965" w14:textId="77777777" w:rsidR="00F67E9E" w:rsidRPr="00025910" w:rsidRDefault="00F67E9E" w:rsidP="00F67E9E">
      <w:pPr>
        <w:pStyle w:val="AppendixText4"/>
      </w:pPr>
      <w:r w:rsidRPr="00025910">
        <w:t>any custom or practice in respect of any Transferring Supplier Employees identified in the Supplier</w:t>
      </w:r>
      <w:r>
        <w:t>’</w:t>
      </w:r>
      <w:r w:rsidRPr="00025910">
        <w:t>s Final Supplier Personnel List which the Replacement Supplier and/or Replacement Sub-contractor is contractually bound to honour;</w:t>
      </w:r>
    </w:p>
    <w:p w14:paraId="34AC340B" w14:textId="77777777" w:rsidR="00F67E9E" w:rsidRPr="00025910" w:rsidRDefault="00F67E9E" w:rsidP="00F67E9E">
      <w:pPr>
        <w:pStyle w:val="AppendixText3"/>
      </w:pPr>
      <w:r w:rsidRPr="00025910">
        <w:t>any claim by any trade union or other body or person representing any Transferring Supplier Employees identified in the Supplier</w:t>
      </w:r>
      <w:r>
        <w:t>’</w:t>
      </w:r>
      <w:r w:rsidRPr="00025910">
        <w:t>s Final Supplier Personnel List arising from or connected with any failure by the Replacement Supplier and/or Replacement Sub-contractor to comply with any legal obligation to such trade union, body or person arising on or after the Service Transfer Date;</w:t>
      </w:r>
    </w:p>
    <w:p w14:paraId="4D55675B" w14:textId="77777777" w:rsidR="00F67E9E" w:rsidRPr="00025910" w:rsidRDefault="00F67E9E" w:rsidP="00F67E9E">
      <w:pPr>
        <w:pStyle w:val="AppendixText3"/>
      </w:pPr>
      <w:r w:rsidRPr="00025910">
        <w:t>any proposal by the Replacement Supplier and/or Replacement Sub-contractor to change the terms and conditions of employment or working conditions of any Transferring Supplier Employees identified in the Supplier</w:t>
      </w:r>
      <w:r>
        <w:t>’</w:t>
      </w:r>
      <w:r w:rsidRPr="00025910">
        <w:t>s Final Supplier Personnel List on or after their transfer to the Replacement Supplier or Replacement Sub-contractor (as the case may be) on the Service Transfer Date, or to change the terms and conditions of employment or working conditions of any person identified in the Supplier</w:t>
      </w:r>
      <w:r>
        <w:t>’</w:t>
      </w:r>
      <w:r w:rsidRPr="00025910">
        <w:t xml:space="preserve">s Final Supplier Personnel </w:t>
      </w:r>
      <w:r w:rsidRPr="00025910">
        <w:lastRenderedPageBreak/>
        <w:t xml:space="preserve">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06AF456" w14:textId="77777777" w:rsidR="00F67E9E" w:rsidRPr="00025910" w:rsidRDefault="00F67E9E" w:rsidP="00F67E9E">
      <w:pPr>
        <w:pStyle w:val="AppendixText3"/>
      </w:pPr>
      <w:r w:rsidRPr="00025910">
        <w:t>any statement communicated to or action undertaken by the Replacement Supplier or Replacement Sub-contractor to, or in respect of, any Transferring Supplier Employee identified in the Supplier</w:t>
      </w:r>
      <w:r>
        <w:t>’</w:t>
      </w:r>
      <w:r w:rsidRPr="00025910">
        <w:t>s Final Supplier Personnel List on or before the Service Transfer Date regarding the Relevant Transfer which has not been agreed in advance with the Supplier in writing;</w:t>
      </w:r>
    </w:p>
    <w:p w14:paraId="022C5EC3" w14:textId="77777777" w:rsidR="00F67E9E" w:rsidRPr="00025910" w:rsidRDefault="00F67E9E" w:rsidP="00F67E9E">
      <w:pPr>
        <w:pStyle w:val="AppendixText3"/>
      </w:pPr>
      <w:r w:rsidRPr="00025910">
        <w:t>any proceeding, claim or demand by HMRC or other statutory authority in respect of any financial obligation including, but not limited to, PAYE and primary and secondary national insurance contributions:</w:t>
      </w:r>
    </w:p>
    <w:p w14:paraId="7B3C184E" w14:textId="77777777" w:rsidR="00F67E9E" w:rsidRPr="005D768B" w:rsidRDefault="00F67E9E" w:rsidP="00F13933">
      <w:pPr>
        <w:pStyle w:val="Numbered111a"/>
        <w:numPr>
          <w:ilvl w:val="3"/>
          <w:numId w:val="172"/>
        </w:numPr>
      </w:pPr>
      <w:r w:rsidRPr="00025910">
        <w:t>in relation to any Transferring Supplier Employee identified in the Supplier</w:t>
      </w:r>
      <w:r>
        <w:t>’</w:t>
      </w:r>
      <w:r w:rsidRPr="00025910">
        <w:t xml:space="preserve">s Final Supplier Personnel List, to the extent that the proceeding, claim or demand by HMRC or other statutory authority relates to financial </w:t>
      </w:r>
      <w:r w:rsidRPr="005D768B">
        <w:t xml:space="preserve">obligations arising </w:t>
      </w:r>
      <w:r>
        <w:rPr>
          <w:color w:val="000000"/>
        </w:rPr>
        <w:t xml:space="preserve">on and </w:t>
      </w:r>
      <w:r w:rsidRPr="005D768B">
        <w:t>after the Service Transfer Date; and</w:t>
      </w:r>
    </w:p>
    <w:p w14:paraId="4B7D74C1" w14:textId="77777777" w:rsidR="00F67E9E" w:rsidRPr="00025910" w:rsidRDefault="00F67E9E" w:rsidP="00F67E9E">
      <w:pPr>
        <w:pStyle w:val="Numbered111a"/>
      </w:pPr>
      <w:r w:rsidRPr="005D768B">
        <w:t>in relation to any employee who is not a Transferring Supplier Employee identified</w:t>
      </w:r>
      <w:r w:rsidRPr="00025910">
        <w:t xml:space="preserve"> in the Supplier</w:t>
      </w:r>
      <w:r>
        <w:t>’</w:t>
      </w:r>
      <w:r w:rsidRPr="00025910">
        <w:t xml:space="preserve">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w:t>
      </w:r>
      <w:r>
        <w:rPr>
          <w:color w:val="000000"/>
        </w:rPr>
        <w:t xml:space="preserve">on and </w:t>
      </w:r>
      <w:r w:rsidRPr="00025910">
        <w:t>after the Service Transfer Date;</w:t>
      </w:r>
    </w:p>
    <w:p w14:paraId="26F4E9CE" w14:textId="77777777" w:rsidR="00F67E9E" w:rsidRPr="00025910" w:rsidRDefault="00F67E9E" w:rsidP="00F67E9E">
      <w:pPr>
        <w:pStyle w:val="AppendixText3"/>
      </w:pPr>
      <w:r w:rsidRPr="002439EF">
        <w:t>a failure of the Replacement Supplier or Replacement Sub-contractor to discharge or procure the discharge of all wages, salaries and all other benefits and all PAYE tax deductions and national insurance contributions relating to the Transferring Supplier Employees</w:t>
      </w:r>
      <w:r w:rsidRPr="00025910">
        <w:t xml:space="preserve"> identified in the Supplier</w:t>
      </w:r>
      <w:r>
        <w:t>’</w:t>
      </w:r>
      <w:r w:rsidRPr="00025910">
        <w:t>s Final Supplier Personnel List in respect of the period from (and including) the Service Transfer Date; and</w:t>
      </w:r>
    </w:p>
    <w:p w14:paraId="1CBA4793" w14:textId="77777777" w:rsidR="00F67E9E" w:rsidRPr="00102034" w:rsidRDefault="00F67E9E" w:rsidP="00F67E9E">
      <w:pPr>
        <w:pStyle w:val="AppendixText3"/>
      </w:pPr>
      <w:r w:rsidRPr="002025E5">
        <w:t>any claim made by or i</w:t>
      </w:r>
      <w:r w:rsidRPr="00A14C8E">
        <w:t>n respect of a Transfer</w:t>
      </w:r>
      <w:r w:rsidRPr="00DA2043">
        <w:t>ring Supplier Employee identified in the Supplier</w:t>
      </w:r>
      <w:r w:rsidRPr="00D563EE">
        <w:t>’</w:t>
      </w:r>
      <w:r w:rsidRPr="00102034">
        <w:t>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1588DAC" w14:textId="51ACE4CE" w:rsidR="00F67E9E" w:rsidRPr="00025910" w:rsidRDefault="00F67E9E" w:rsidP="00F67E9E">
      <w:pPr>
        <w:pStyle w:val="AppendixText2"/>
      </w:pPr>
      <w:bookmarkStart w:id="2499" w:name="_Ref_ContractCompanion_9kb9Ut368"/>
      <w:bookmarkStart w:id="2500" w:name="_9kR3WTrAGA7AEDBEhSkmwsku4189v6B7pX67xFA"/>
      <w:r w:rsidRPr="00025910">
        <w:t xml:space="preserve">The indemnities in </w:t>
      </w:r>
      <w:bookmarkStart w:id="2501" w:name="_9kMHG5YVtCIC9CJIDFhgwmqk0IElS12sA54CQYb"/>
      <w:r w:rsidRPr="00025910">
        <w:t xml:space="preserve">Paragraph </w:t>
      </w:r>
      <w:r w:rsidRPr="00025910">
        <w:fldChar w:fldCharType="begin"/>
      </w:r>
      <w:r w:rsidRPr="00025910">
        <w:instrText xml:space="preserve"> REF _Ref_ContractCompanion_9kb9Ut36B \n \h \t \* MERGEFORMAT </w:instrText>
      </w:r>
      <w:r w:rsidRPr="00025910">
        <w:fldChar w:fldCharType="separate"/>
      </w:r>
      <w:r w:rsidR="007A1473">
        <w:t>2.12</w:t>
      </w:r>
      <w:r w:rsidRPr="00025910">
        <w:fldChar w:fldCharType="end"/>
      </w:r>
      <w:bookmarkEnd w:id="2501"/>
      <w:r w:rsidRPr="00025910">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bookmarkEnd w:id="2499"/>
      <w:bookmarkEnd w:id="2500"/>
    </w:p>
    <w:p w14:paraId="2D3FCCF6" w14:textId="77777777" w:rsidR="00F67E9E" w:rsidRDefault="00F67E9E" w:rsidP="00F67E9E">
      <w:pPr>
        <w:rPr>
          <w:rFonts w:eastAsia="Times New Roman" w:cs="Arial"/>
          <w:szCs w:val="24"/>
          <w:lang w:eastAsia="en-GB"/>
        </w:rPr>
      </w:pPr>
    </w:p>
    <w:p w14:paraId="03A6CC2B" w14:textId="77777777" w:rsidR="00F67E9E" w:rsidRDefault="00F67E9E" w:rsidP="00F67E9E">
      <w:pPr>
        <w:pStyle w:val="Heading2"/>
        <w:pageBreakBefore/>
      </w:pPr>
      <w:bookmarkStart w:id="2502" w:name="_Ref41919802"/>
      <w:bookmarkStart w:id="2503" w:name="_Toc145412827"/>
      <w:r w:rsidRPr="00025910">
        <w:lastRenderedPageBreak/>
        <w:t xml:space="preserve">Annex </w:t>
      </w:r>
      <w:bookmarkStart w:id="2504" w:name="ANNEXE1_SCHEDULE28"/>
      <w:r w:rsidRPr="00025910">
        <w:t>E1</w:t>
      </w:r>
      <w:bookmarkEnd w:id="2504"/>
      <w:r w:rsidRPr="00025910">
        <w:t xml:space="preserve">: </w:t>
      </w:r>
      <w:bookmarkStart w:id="2505" w:name="ANNEXE1HEADING_SCHEDULE28"/>
      <w:r w:rsidRPr="00025910">
        <w:t xml:space="preserve">List </w:t>
      </w:r>
      <w:r>
        <w:t>o</w:t>
      </w:r>
      <w:r w:rsidRPr="00025910">
        <w:t>f Notified Sub-</w:t>
      </w:r>
      <w:r>
        <w:t>c</w:t>
      </w:r>
      <w:r w:rsidRPr="00025910">
        <w:t>ontractors</w:t>
      </w:r>
      <w:bookmarkEnd w:id="2502"/>
      <w:bookmarkEnd w:id="2503"/>
      <w:bookmarkEnd w:id="2505"/>
    </w:p>
    <w:p w14:paraId="30F33615" w14:textId="77777777" w:rsidR="00F67E9E" w:rsidRDefault="00F67E9E" w:rsidP="00F67E9E">
      <w:pPr>
        <w:rPr>
          <w:lang w:eastAsia="en-GB"/>
        </w:rPr>
      </w:pPr>
    </w:p>
    <w:p w14:paraId="7D6EA0C3" w14:textId="77777777" w:rsidR="00F67E9E" w:rsidRDefault="00F67E9E" w:rsidP="00F67E9E">
      <w:pPr>
        <w:rPr>
          <w:lang w:eastAsia="en-GB"/>
        </w:rPr>
      </w:pPr>
    </w:p>
    <w:p w14:paraId="181A5094" w14:textId="77777777" w:rsidR="00F67E9E" w:rsidRDefault="00F67E9E" w:rsidP="00F67E9E"/>
    <w:p w14:paraId="4491FB6F" w14:textId="77777777" w:rsidR="00F67E9E" w:rsidRPr="00025910" w:rsidRDefault="00F67E9E" w:rsidP="00F67E9E"/>
    <w:p w14:paraId="2F67979C" w14:textId="77777777" w:rsidR="00F67E9E" w:rsidRPr="00025910" w:rsidRDefault="00F67E9E" w:rsidP="00F67E9E">
      <w:pPr>
        <w:sectPr w:rsidR="00F67E9E" w:rsidRPr="00025910" w:rsidSect="00240D26">
          <w:headerReference w:type="default" r:id="rId158"/>
          <w:footerReference w:type="default" r:id="rId159"/>
          <w:pgSz w:w="11909" w:h="16834"/>
          <w:pgMar w:top="1701" w:right="851" w:bottom="1134" w:left="851" w:header="567" w:footer="567" w:gutter="0"/>
          <w:cols w:space="720"/>
          <w:docGrid w:linePitch="326"/>
        </w:sectPr>
      </w:pPr>
    </w:p>
    <w:p w14:paraId="342FFDAF" w14:textId="77777777" w:rsidR="00F67E9E" w:rsidRDefault="00F67E9E" w:rsidP="00F67E9E">
      <w:pPr>
        <w:pStyle w:val="Heading2"/>
        <w:pageBreakBefore/>
      </w:pPr>
      <w:bookmarkStart w:id="2506" w:name="_Ref_ContractCompanion_9kb9Ur476"/>
      <w:bookmarkStart w:id="2507" w:name="_9kR3WTrAG88BCLCwozOhGzmsw540868LK4CLHN"/>
      <w:bookmarkStart w:id="2508" w:name="_Ref_ContractCompanion_9kb9Us7A6"/>
      <w:bookmarkStart w:id="2509" w:name="_Toc145412828"/>
      <w:r w:rsidRPr="00025910">
        <w:lastRenderedPageBreak/>
        <w:t xml:space="preserve">Annex </w:t>
      </w:r>
      <w:bookmarkStart w:id="2510" w:name="ANNEXE2_SCHEDULE28"/>
      <w:r w:rsidRPr="00025910">
        <w:t>E2</w:t>
      </w:r>
      <w:bookmarkEnd w:id="2510"/>
      <w:r w:rsidRPr="00025910">
        <w:t xml:space="preserve">: </w:t>
      </w:r>
      <w:bookmarkStart w:id="2511" w:name="ANNEXE2HEADING_SCHEDULE28"/>
      <w:r w:rsidRPr="00025910">
        <w:t>Staffing Information</w:t>
      </w:r>
      <w:bookmarkEnd w:id="2506"/>
      <w:bookmarkEnd w:id="2507"/>
      <w:bookmarkEnd w:id="2508"/>
      <w:bookmarkEnd w:id="2509"/>
      <w:bookmarkEnd w:id="2511"/>
    </w:p>
    <w:p w14:paraId="3023FD63" w14:textId="77777777" w:rsidR="00F67E9E" w:rsidRPr="00025910" w:rsidRDefault="00F67E9E" w:rsidP="00F67E9E">
      <w:pPr>
        <w:pStyle w:val="StdBodyTextBold"/>
        <w:rPr>
          <w:rFonts w:cs="Arial"/>
        </w:rPr>
      </w:pPr>
      <w:r w:rsidRPr="00025910">
        <w:rPr>
          <w:rFonts w:cs="Arial"/>
        </w:rPr>
        <w:t>Employee Information (Anonymised)</w:t>
      </w:r>
    </w:p>
    <w:p w14:paraId="6FBC9E7F" w14:textId="77777777" w:rsidR="00F67E9E" w:rsidRPr="00025910" w:rsidRDefault="00F67E9E" w:rsidP="00F67E9E">
      <w:pPr>
        <w:pStyle w:val="StdBodyText"/>
        <w:rPr>
          <w:rFonts w:cs="Arial"/>
        </w:rPr>
      </w:pPr>
      <w:r w:rsidRPr="00025910">
        <w:rPr>
          <w:rFonts w:cs="Arial"/>
        </w:rPr>
        <w:t>Name of Transferor:</w:t>
      </w:r>
    </w:p>
    <w:p w14:paraId="32195EAE" w14:textId="77777777" w:rsidR="00F67E9E" w:rsidRPr="00025910" w:rsidRDefault="00F67E9E" w:rsidP="00F67E9E">
      <w:pPr>
        <w:pStyle w:val="StdBodyText"/>
        <w:rPr>
          <w:rFonts w:cs="Arial"/>
        </w:rPr>
      </w:pPr>
      <w:r w:rsidRPr="00025910">
        <w:rPr>
          <w:rFonts w:cs="Arial"/>
        </w:rPr>
        <w:t>Number of Employees in-scope to transfer:</w:t>
      </w:r>
    </w:p>
    <w:p w14:paraId="12520C76" w14:textId="77777777" w:rsidR="00F67E9E" w:rsidRPr="00B1698D" w:rsidRDefault="00F67E9E" w:rsidP="00F13933">
      <w:pPr>
        <w:pStyle w:val="AppendixText1"/>
        <w:numPr>
          <w:ilvl w:val="0"/>
          <w:numId w:val="64"/>
        </w:numPr>
      </w:pPr>
      <w:r w:rsidRPr="00B1698D">
        <w:t>Completion notes</w:t>
      </w:r>
    </w:p>
    <w:p w14:paraId="70B4B6C6" w14:textId="77777777" w:rsidR="00F67E9E" w:rsidRPr="005D768B" w:rsidRDefault="00F67E9E" w:rsidP="00F67E9E">
      <w:pPr>
        <w:pStyle w:val="AppendixText2"/>
      </w:pPr>
      <w:r w:rsidRPr="00443D28">
        <w:t xml:space="preserve">If you have any Key Sub-contractors, please complete all the above information for any staff employed by such Key Sub-contractor(s) in a separate </w:t>
      </w:r>
      <w:r w:rsidRPr="005D768B">
        <w:t>spreadsheet.</w:t>
      </w:r>
    </w:p>
    <w:p w14:paraId="5FD4B4B3" w14:textId="77777777" w:rsidR="00F67E9E" w:rsidRPr="005D768B" w:rsidRDefault="00F67E9E" w:rsidP="00F67E9E">
      <w:pPr>
        <w:pStyle w:val="AppendixText2"/>
      </w:pPr>
      <w:r w:rsidRPr="005D768B">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7E253115" w14:textId="77777777" w:rsidR="00F67E9E" w:rsidRPr="00443D28" w:rsidRDefault="00F67E9E" w:rsidP="00F67E9E">
      <w:pPr>
        <w:pStyle w:val="AppendixText2"/>
      </w:pPr>
      <w:r w:rsidRPr="005D768B">
        <w:t>If the information</w:t>
      </w:r>
      <w:r w:rsidRPr="00443D28">
        <w:t xml:space="preserve"> cannot be included on this form, attach the additional information, such as relevant policies, and cross reference to the item number and employee number where appropriate.</w:t>
      </w:r>
    </w:p>
    <w:p w14:paraId="73D8EEB5" w14:textId="77777777" w:rsidR="00F67E9E" w:rsidRPr="00025910" w:rsidRDefault="00F67E9E" w:rsidP="00F67E9E">
      <w:pPr>
        <w:rPr>
          <w:rFonts w:eastAsia="Times New Roman"/>
          <w:lang w:eastAsia="en-GB"/>
        </w:rPr>
      </w:pPr>
      <w:r w:rsidRPr="00025910">
        <w:br w:type="page"/>
      </w:r>
    </w:p>
    <w:tbl>
      <w:tblPr>
        <w:tblStyle w:val="MSATable-header"/>
        <w:tblW w:w="15137" w:type="dxa"/>
        <w:tblLook w:val="0620" w:firstRow="1" w:lastRow="0" w:firstColumn="0" w:lastColumn="0" w:noHBand="1" w:noVBand="1"/>
      </w:tblPr>
      <w:tblGrid>
        <w:gridCol w:w="1381"/>
        <w:gridCol w:w="1625"/>
        <w:gridCol w:w="1111"/>
        <w:gridCol w:w="1924"/>
        <w:gridCol w:w="1395"/>
        <w:gridCol w:w="3801"/>
        <w:gridCol w:w="1682"/>
        <w:gridCol w:w="2218"/>
      </w:tblGrid>
      <w:tr w:rsidR="00F67E9E" w:rsidRPr="00A45727" w14:paraId="034D067C"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left w:val="nil"/>
            </w:tcBorders>
            <w:shd w:val="clear" w:color="auto" w:fill="auto"/>
          </w:tcPr>
          <w:p w14:paraId="644A8E29" w14:textId="77777777" w:rsidR="00F67E9E" w:rsidRPr="00A45727" w:rsidRDefault="00F67E9E" w:rsidP="0052486C">
            <w:pPr>
              <w:pStyle w:val="Tabletext0"/>
              <w:widowControl/>
              <w:autoSpaceDE/>
              <w:autoSpaceDN/>
            </w:pPr>
          </w:p>
        </w:tc>
        <w:tc>
          <w:tcPr>
            <w:tcW w:w="13720" w:type="dxa"/>
            <w:gridSpan w:val="7"/>
          </w:tcPr>
          <w:p w14:paraId="1B3CB734" w14:textId="77777777" w:rsidR="00F67E9E" w:rsidRPr="00A45727" w:rsidRDefault="00F67E9E" w:rsidP="0052486C">
            <w:pPr>
              <w:pStyle w:val="Tabletext0"/>
              <w:widowControl/>
              <w:autoSpaceDE/>
              <w:autoSpaceDN/>
            </w:pPr>
            <w:r w:rsidRPr="00A45727">
              <w:t>EMPLOYEE DETAILS &amp; KEY TERMS</w:t>
            </w:r>
          </w:p>
        </w:tc>
      </w:tr>
      <w:tr w:rsidR="00F67E9E" w:rsidRPr="00025910" w14:paraId="66A99C71"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7" w:type="dxa"/>
          </w:tcPr>
          <w:p w14:paraId="3CFE6630" w14:textId="77777777" w:rsidR="00F67E9E" w:rsidRPr="00A45727" w:rsidRDefault="00F67E9E" w:rsidP="0052486C">
            <w:pPr>
              <w:pStyle w:val="Tabletext0"/>
              <w:widowControl/>
              <w:autoSpaceDE/>
              <w:autoSpaceDN/>
            </w:pPr>
            <w:r w:rsidRPr="00A45727">
              <w:t>Details</w:t>
            </w:r>
          </w:p>
        </w:tc>
        <w:tc>
          <w:tcPr>
            <w:tcW w:w="1701" w:type="dxa"/>
          </w:tcPr>
          <w:p w14:paraId="06A3208D" w14:textId="77777777" w:rsidR="00F67E9E" w:rsidRPr="00A45727" w:rsidRDefault="00F67E9E" w:rsidP="0052486C">
            <w:pPr>
              <w:pStyle w:val="Tabletext0"/>
              <w:widowControl/>
              <w:autoSpaceDE/>
              <w:autoSpaceDN/>
            </w:pPr>
            <w:r w:rsidRPr="00A45727">
              <w:t>Job Title</w:t>
            </w:r>
          </w:p>
        </w:tc>
        <w:tc>
          <w:tcPr>
            <w:tcW w:w="1134" w:type="dxa"/>
          </w:tcPr>
          <w:p w14:paraId="3B2474EC" w14:textId="77777777" w:rsidR="00F67E9E" w:rsidRPr="00A45727" w:rsidRDefault="00F67E9E" w:rsidP="0052486C">
            <w:pPr>
              <w:pStyle w:val="Tabletext0"/>
              <w:widowControl/>
              <w:autoSpaceDE/>
              <w:autoSpaceDN/>
            </w:pPr>
            <w:r w:rsidRPr="00A45727">
              <w:t>Grade / band</w:t>
            </w:r>
          </w:p>
        </w:tc>
        <w:tc>
          <w:tcPr>
            <w:tcW w:w="1984" w:type="dxa"/>
          </w:tcPr>
          <w:p w14:paraId="00A66851" w14:textId="77777777" w:rsidR="00F67E9E" w:rsidRPr="00A45727" w:rsidRDefault="00F67E9E" w:rsidP="0052486C">
            <w:pPr>
              <w:pStyle w:val="Tabletext0"/>
              <w:widowControl/>
              <w:autoSpaceDE/>
              <w:autoSpaceDN/>
            </w:pPr>
            <w:r w:rsidRPr="00A45727">
              <w:t xml:space="preserve">Work Location </w:t>
            </w:r>
          </w:p>
        </w:tc>
        <w:tc>
          <w:tcPr>
            <w:tcW w:w="964" w:type="dxa"/>
          </w:tcPr>
          <w:p w14:paraId="0AFC9218" w14:textId="77777777" w:rsidR="00F67E9E" w:rsidRPr="00A45727" w:rsidRDefault="00F67E9E" w:rsidP="0052486C">
            <w:pPr>
              <w:pStyle w:val="Tabletext0"/>
              <w:widowControl/>
              <w:autoSpaceDE/>
              <w:autoSpaceDN/>
            </w:pPr>
            <w:r>
              <w:t>Date of Birth (dd/mm/yy)</w:t>
            </w:r>
          </w:p>
        </w:tc>
        <w:tc>
          <w:tcPr>
            <w:tcW w:w="3969" w:type="dxa"/>
          </w:tcPr>
          <w:p w14:paraId="167D4BB5" w14:textId="77777777" w:rsidR="00F67E9E" w:rsidRPr="00A45727" w:rsidRDefault="00F67E9E" w:rsidP="0052486C">
            <w:pPr>
              <w:pStyle w:val="Tabletext0"/>
              <w:widowControl/>
              <w:autoSpaceDE/>
              <w:autoSpaceDN/>
            </w:pPr>
            <w:r w:rsidRPr="00A45727">
              <w:t>Employment status (for example, employee, fixed-term employee, self-employed, agency worker)?</w:t>
            </w:r>
          </w:p>
        </w:tc>
        <w:tc>
          <w:tcPr>
            <w:tcW w:w="1699" w:type="dxa"/>
          </w:tcPr>
          <w:p w14:paraId="5FCE2B71" w14:textId="77777777" w:rsidR="00F67E9E" w:rsidRPr="009A5275" w:rsidRDefault="00F67E9E" w:rsidP="0052486C">
            <w:pPr>
              <w:pStyle w:val="Tabletext0"/>
              <w:widowControl/>
              <w:autoSpaceDE/>
              <w:autoSpaceDN/>
              <w:rPr>
                <w:lang w:val="fr-FR"/>
              </w:rPr>
            </w:pPr>
            <w:r w:rsidRPr="009A5275">
              <w:rPr>
                <w:lang w:val="fr-FR"/>
              </w:rPr>
              <w:t>Continuous service date (dd/mm/</w:t>
            </w:r>
            <w:bookmarkStart w:id="2512" w:name="_9kR3WTr2CC7EKDH"/>
            <w:r w:rsidRPr="009A5275">
              <w:rPr>
                <w:lang w:val="fr-FR"/>
              </w:rPr>
              <w:t>yy</w:t>
            </w:r>
            <w:bookmarkEnd w:id="2512"/>
            <w:r w:rsidRPr="009A5275">
              <w:rPr>
                <w:lang w:val="fr-FR"/>
              </w:rPr>
              <w:t>)</w:t>
            </w:r>
          </w:p>
        </w:tc>
        <w:tc>
          <w:tcPr>
            <w:tcW w:w="2269" w:type="dxa"/>
          </w:tcPr>
          <w:p w14:paraId="03657797" w14:textId="77777777" w:rsidR="00F67E9E" w:rsidRPr="00A45727" w:rsidRDefault="00F67E9E" w:rsidP="0052486C">
            <w:pPr>
              <w:pStyle w:val="Tabletext0"/>
              <w:widowControl/>
              <w:autoSpaceDE/>
              <w:autoSpaceDN/>
            </w:pPr>
            <w:r w:rsidRPr="00A45727">
              <w:t>Date employment started with existing employer</w:t>
            </w:r>
          </w:p>
        </w:tc>
      </w:tr>
      <w:tr w:rsidR="00F67E9E" w:rsidRPr="00025910" w14:paraId="14AB9061" w14:textId="77777777" w:rsidTr="0052486C">
        <w:trPr>
          <w:trHeight w:val="680"/>
        </w:trPr>
        <w:tc>
          <w:tcPr>
            <w:tcW w:w="1417" w:type="dxa"/>
          </w:tcPr>
          <w:p w14:paraId="13E38AEC" w14:textId="77777777" w:rsidR="00F67E9E" w:rsidRPr="00A45727" w:rsidRDefault="00F67E9E" w:rsidP="0052486C">
            <w:pPr>
              <w:pStyle w:val="Tabletext0"/>
              <w:widowControl/>
              <w:autoSpaceDE/>
              <w:autoSpaceDN/>
              <w:rPr>
                <w:b/>
                <w:bCs/>
              </w:rPr>
            </w:pPr>
            <w:r w:rsidRPr="00A45727">
              <w:rPr>
                <w:b/>
                <w:bCs/>
              </w:rPr>
              <w:t>Emp No 1</w:t>
            </w:r>
          </w:p>
        </w:tc>
        <w:tc>
          <w:tcPr>
            <w:tcW w:w="1701" w:type="dxa"/>
          </w:tcPr>
          <w:p w14:paraId="1B553A7B" w14:textId="77777777" w:rsidR="00F67E9E" w:rsidRPr="00A45727" w:rsidRDefault="00F67E9E" w:rsidP="0052486C">
            <w:pPr>
              <w:pStyle w:val="Tabletext0"/>
              <w:widowControl/>
              <w:autoSpaceDE/>
              <w:autoSpaceDN/>
            </w:pPr>
          </w:p>
        </w:tc>
        <w:tc>
          <w:tcPr>
            <w:tcW w:w="1134" w:type="dxa"/>
          </w:tcPr>
          <w:p w14:paraId="2FB143BF" w14:textId="77777777" w:rsidR="00F67E9E" w:rsidRPr="00A45727" w:rsidRDefault="00F67E9E" w:rsidP="0052486C">
            <w:pPr>
              <w:pStyle w:val="Tabletext0"/>
              <w:widowControl/>
              <w:autoSpaceDE/>
              <w:autoSpaceDN/>
            </w:pPr>
          </w:p>
        </w:tc>
        <w:tc>
          <w:tcPr>
            <w:tcW w:w="1984" w:type="dxa"/>
          </w:tcPr>
          <w:p w14:paraId="3E80BFAB" w14:textId="77777777" w:rsidR="00F67E9E" w:rsidRPr="00A45727" w:rsidRDefault="00F67E9E" w:rsidP="0052486C">
            <w:pPr>
              <w:pStyle w:val="Tabletext0"/>
              <w:widowControl/>
              <w:autoSpaceDE/>
              <w:autoSpaceDN/>
            </w:pPr>
          </w:p>
        </w:tc>
        <w:tc>
          <w:tcPr>
            <w:tcW w:w="964" w:type="dxa"/>
          </w:tcPr>
          <w:p w14:paraId="6C45CF52" w14:textId="77777777" w:rsidR="00F67E9E" w:rsidRPr="00A45727" w:rsidRDefault="00F67E9E" w:rsidP="0052486C">
            <w:pPr>
              <w:pStyle w:val="Tabletext0"/>
              <w:widowControl/>
              <w:autoSpaceDE/>
              <w:autoSpaceDN/>
            </w:pPr>
          </w:p>
        </w:tc>
        <w:tc>
          <w:tcPr>
            <w:tcW w:w="3969" w:type="dxa"/>
          </w:tcPr>
          <w:p w14:paraId="4D2F7293" w14:textId="77777777" w:rsidR="00F67E9E" w:rsidRPr="00A45727" w:rsidRDefault="00F67E9E" w:rsidP="0052486C">
            <w:pPr>
              <w:pStyle w:val="Tabletext0"/>
              <w:widowControl/>
              <w:autoSpaceDE/>
              <w:autoSpaceDN/>
            </w:pPr>
          </w:p>
        </w:tc>
        <w:tc>
          <w:tcPr>
            <w:tcW w:w="1699" w:type="dxa"/>
          </w:tcPr>
          <w:p w14:paraId="304B5FEC" w14:textId="77777777" w:rsidR="00F67E9E" w:rsidRPr="00A45727" w:rsidRDefault="00F67E9E" w:rsidP="0052486C">
            <w:pPr>
              <w:pStyle w:val="Tabletext0"/>
              <w:widowControl/>
              <w:autoSpaceDE/>
              <w:autoSpaceDN/>
            </w:pPr>
          </w:p>
        </w:tc>
        <w:tc>
          <w:tcPr>
            <w:tcW w:w="2269" w:type="dxa"/>
          </w:tcPr>
          <w:p w14:paraId="56ABB780" w14:textId="77777777" w:rsidR="00F67E9E" w:rsidRPr="00A45727" w:rsidRDefault="00F67E9E" w:rsidP="0052486C">
            <w:pPr>
              <w:pStyle w:val="Tabletext0"/>
              <w:widowControl/>
              <w:autoSpaceDE/>
              <w:autoSpaceDN/>
            </w:pPr>
          </w:p>
        </w:tc>
      </w:tr>
      <w:tr w:rsidR="00F67E9E" w:rsidRPr="00025910" w14:paraId="003B18E2" w14:textId="77777777" w:rsidTr="0052486C">
        <w:trPr>
          <w:trHeight w:val="680"/>
        </w:trPr>
        <w:tc>
          <w:tcPr>
            <w:tcW w:w="1417" w:type="dxa"/>
          </w:tcPr>
          <w:p w14:paraId="14CE9BC7" w14:textId="77777777" w:rsidR="00F67E9E" w:rsidRPr="00A45727" w:rsidRDefault="00F67E9E" w:rsidP="0052486C">
            <w:pPr>
              <w:pStyle w:val="Tabletext0"/>
              <w:widowControl/>
              <w:autoSpaceDE/>
              <w:autoSpaceDN/>
              <w:rPr>
                <w:b/>
                <w:bCs/>
              </w:rPr>
            </w:pPr>
            <w:r w:rsidRPr="00A45727">
              <w:rPr>
                <w:b/>
                <w:bCs/>
              </w:rPr>
              <w:t>Emp No 2</w:t>
            </w:r>
          </w:p>
        </w:tc>
        <w:tc>
          <w:tcPr>
            <w:tcW w:w="1701" w:type="dxa"/>
          </w:tcPr>
          <w:p w14:paraId="553AE028" w14:textId="77777777" w:rsidR="00F67E9E" w:rsidRPr="00A45727" w:rsidRDefault="00F67E9E" w:rsidP="0052486C">
            <w:pPr>
              <w:pStyle w:val="Tabletext0"/>
              <w:widowControl/>
              <w:autoSpaceDE/>
              <w:autoSpaceDN/>
            </w:pPr>
          </w:p>
        </w:tc>
        <w:tc>
          <w:tcPr>
            <w:tcW w:w="1134" w:type="dxa"/>
          </w:tcPr>
          <w:p w14:paraId="4EB64795" w14:textId="77777777" w:rsidR="00F67E9E" w:rsidRPr="00A45727" w:rsidRDefault="00F67E9E" w:rsidP="0052486C">
            <w:pPr>
              <w:pStyle w:val="Tabletext0"/>
              <w:widowControl/>
              <w:autoSpaceDE/>
              <w:autoSpaceDN/>
            </w:pPr>
          </w:p>
        </w:tc>
        <w:tc>
          <w:tcPr>
            <w:tcW w:w="1984" w:type="dxa"/>
          </w:tcPr>
          <w:p w14:paraId="41E4EBEE" w14:textId="77777777" w:rsidR="00F67E9E" w:rsidRPr="00A45727" w:rsidRDefault="00F67E9E" w:rsidP="0052486C">
            <w:pPr>
              <w:pStyle w:val="Tabletext0"/>
              <w:widowControl/>
              <w:autoSpaceDE/>
              <w:autoSpaceDN/>
            </w:pPr>
          </w:p>
        </w:tc>
        <w:tc>
          <w:tcPr>
            <w:tcW w:w="964" w:type="dxa"/>
          </w:tcPr>
          <w:p w14:paraId="063BEA46" w14:textId="77777777" w:rsidR="00F67E9E" w:rsidRPr="00A45727" w:rsidRDefault="00F67E9E" w:rsidP="0052486C">
            <w:pPr>
              <w:pStyle w:val="Tabletext0"/>
              <w:widowControl/>
              <w:autoSpaceDE/>
              <w:autoSpaceDN/>
            </w:pPr>
          </w:p>
        </w:tc>
        <w:tc>
          <w:tcPr>
            <w:tcW w:w="3969" w:type="dxa"/>
          </w:tcPr>
          <w:p w14:paraId="4397269E" w14:textId="77777777" w:rsidR="00F67E9E" w:rsidRPr="00A45727" w:rsidRDefault="00F67E9E" w:rsidP="0052486C">
            <w:pPr>
              <w:pStyle w:val="Tabletext0"/>
              <w:widowControl/>
              <w:autoSpaceDE/>
              <w:autoSpaceDN/>
            </w:pPr>
          </w:p>
        </w:tc>
        <w:tc>
          <w:tcPr>
            <w:tcW w:w="1699" w:type="dxa"/>
          </w:tcPr>
          <w:p w14:paraId="18B1552A" w14:textId="77777777" w:rsidR="00F67E9E" w:rsidRPr="00A45727" w:rsidRDefault="00F67E9E" w:rsidP="0052486C">
            <w:pPr>
              <w:pStyle w:val="Tabletext0"/>
              <w:widowControl/>
              <w:autoSpaceDE/>
              <w:autoSpaceDN/>
            </w:pPr>
          </w:p>
        </w:tc>
        <w:tc>
          <w:tcPr>
            <w:tcW w:w="2269" w:type="dxa"/>
          </w:tcPr>
          <w:p w14:paraId="661CF6F6" w14:textId="77777777" w:rsidR="00F67E9E" w:rsidRPr="00A45727" w:rsidRDefault="00F67E9E" w:rsidP="0052486C">
            <w:pPr>
              <w:pStyle w:val="Tabletext0"/>
              <w:widowControl/>
              <w:autoSpaceDE/>
              <w:autoSpaceDN/>
            </w:pPr>
          </w:p>
        </w:tc>
      </w:tr>
      <w:tr w:rsidR="00F67E9E" w:rsidRPr="00025910" w14:paraId="2A3B4861" w14:textId="77777777" w:rsidTr="0052486C">
        <w:trPr>
          <w:trHeight w:val="680"/>
        </w:trPr>
        <w:tc>
          <w:tcPr>
            <w:tcW w:w="1417" w:type="dxa"/>
          </w:tcPr>
          <w:p w14:paraId="76363D96" w14:textId="77777777" w:rsidR="00F67E9E" w:rsidRPr="00A45727" w:rsidRDefault="00F67E9E" w:rsidP="0052486C">
            <w:pPr>
              <w:pStyle w:val="Tabletext0"/>
              <w:widowControl/>
              <w:autoSpaceDE/>
              <w:autoSpaceDN/>
              <w:rPr>
                <w:b/>
                <w:bCs/>
              </w:rPr>
            </w:pPr>
            <w:r w:rsidRPr="00A45727">
              <w:rPr>
                <w:b/>
                <w:bCs/>
              </w:rPr>
              <w:t>Emp No</w:t>
            </w:r>
          </w:p>
        </w:tc>
        <w:tc>
          <w:tcPr>
            <w:tcW w:w="1701" w:type="dxa"/>
          </w:tcPr>
          <w:p w14:paraId="19E59922" w14:textId="77777777" w:rsidR="00F67E9E" w:rsidRPr="00A45727" w:rsidRDefault="00F67E9E" w:rsidP="0052486C">
            <w:pPr>
              <w:pStyle w:val="Tabletext0"/>
              <w:widowControl/>
              <w:autoSpaceDE/>
              <w:autoSpaceDN/>
            </w:pPr>
          </w:p>
        </w:tc>
        <w:tc>
          <w:tcPr>
            <w:tcW w:w="1134" w:type="dxa"/>
          </w:tcPr>
          <w:p w14:paraId="183075F6" w14:textId="77777777" w:rsidR="00F67E9E" w:rsidRPr="00A45727" w:rsidRDefault="00F67E9E" w:rsidP="0052486C">
            <w:pPr>
              <w:pStyle w:val="Tabletext0"/>
              <w:widowControl/>
              <w:autoSpaceDE/>
              <w:autoSpaceDN/>
            </w:pPr>
          </w:p>
        </w:tc>
        <w:tc>
          <w:tcPr>
            <w:tcW w:w="1984" w:type="dxa"/>
          </w:tcPr>
          <w:p w14:paraId="162A1238" w14:textId="77777777" w:rsidR="00F67E9E" w:rsidRPr="00A45727" w:rsidRDefault="00F67E9E" w:rsidP="0052486C">
            <w:pPr>
              <w:pStyle w:val="Tabletext0"/>
              <w:widowControl/>
              <w:autoSpaceDE/>
              <w:autoSpaceDN/>
            </w:pPr>
          </w:p>
        </w:tc>
        <w:tc>
          <w:tcPr>
            <w:tcW w:w="964" w:type="dxa"/>
          </w:tcPr>
          <w:p w14:paraId="6709BC7E" w14:textId="77777777" w:rsidR="00F67E9E" w:rsidRPr="00A45727" w:rsidRDefault="00F67E9E" w:rsidP="0052486C">
            <w:pPr>
              <w:pStyle w:val="Tabletext0"/>
              <w:widowControl/>
              <w:autoSpaceDE/>
              <w:autoSpaceDN/>
            </w:pPr>
          </w:p>
        </w:tc>
        <w:tc>
          <w:tcPr>
            <w:tcW w:w="3969" w:type="dxa"/>
          </w:tcPr>
          <w:p w14:paraId="7B9118EB" w14:textId="77777777" w:rsidR="00F67E9E" w:rsidRPr="00A45727" w:rsidRDefault="00F67E9E" w:rsidP="0052486C">
            <w:pPr>
              <w:pStyle w:val="Tabletext0"/>
              <w:widowControl/>
              <w:autoSpaceDE/>
              <w:autoSpaceDN/>
            </w:pPr>
          </w:p>
        </w:tc>
        <w:tc>
          <w:tcPr>
            <w:tcW w:w="1699" w:type="dxa"/>
          </w:tcPr>
          <w:p w14:paraId="0875E5D6" w14:textId="77777777" w:rsidR="00F67E9E" w:rsidRPr="00A45727" w:rsidRDefault="00F67E9E" w:rsidP="0052486C">
            <w:pPr>
              <w:pStyle w:val="Tabletext0"/>
              <w:widowControl/>
              <w:autoSpaceDE/>
              <w:autoSpaceDN/>
            </w:pPr>
          </w:p>
        </w:tc>
        <w:tc>
          <w:tcPr>
            <w:tcW w:w="2269" w:type="dxa"/>
          </w:tcPr>
          <w:p w14:paraId="2DFEFCF7" w14:textId="77777777" w:rsidR="00F67E9E" w:rsidRPr="00A45727" w:rsidRDefault="00F67E9E" w:rsidP="0052486C">
            <w:pPr>
              <w:pStyle w:val="Tabletext0"/>
              <w:widowControl/>
              <w:autoSpaceDE/>
              <w:autoSpaceDN/>
            </w:pPr>
          </w:p>
        </w:tc>
      </w:tr>
      <w:tr w:rsidR="00F67E9E" w:rsidRPr="00025910" w14:paraId="3F3ABA5C" w14:textId="77777777" w:rsidTr="0052486C">
        <w:trPr>
          <w:trHeight w:val="680"/>
        </w:trPr>
        <w:tc>
          <w:tcPr>
            <w:tcW w:w="1417" w:type="dxa"/>
          </w:tcPr>
          <w:p w14:paraId="3F547101" w14:textId="77777777" w:rsidR="00F67E9E" w:rsidRPr="00A45727" w:rsidRDefault="00F67E9E" w:rsidP="0052486C">
            <w:pPr>
              <w:pStyle w:val="Tabletext0"/>
              <w:widowControl/>
              <w:autoSpaceDE/>
              <w:autoSpaceDN/>
              <w:rPr>
                <w:b/>
                <w:bCs/>
              </w:rPr>
            </w:pPr>
            <w:r w:rsidRPr="00A45727">
              <w:rPr>
                <w:b/>
                <w:bCs/>
              </w:rPr>
              <w:t>Emp No</w:t>
            </w:r>
          </w:p>
        </w:tc>
        <w:tc>
          <w:tcPr>
            <w:tcW w:w="1701" w:type="dxa"/>
          </w:tcPr>
          <w:p w14:paraId="257FFCF2" w14:textId="77777777" w:rsidR="00F67E9E" w:rsidRPr="00A45727" w:rsidRDefault="00F67E9E" w:rsidP="0052486C">
            <w:pPr>
              <w:pStyle w:val="Tabletext0"/>
              <w:widowControl/>
              <w:autoSpaceDE/>
              <w:autoSpaceDN/>
            </w:pPr>
          </w:p>
        </w:tc>
        <w:tc>
          <w:tcPr>
            <w:tcW w:w="1134" w:type="dxa"/>
          </w:tcPr>
          <w:p w14:paraId="3A1791A0" w14:textId="77777777" w:rsidR="00F67E9E" w:rsidRPr="00A45727" w:rsidRDefault="00F67E9E" w:rsidP="0052486C">
            <w:pPr>
              <w:pStyle w:val="Tabletext0"/>
              <w:widowControl/>
              <w:autoSpaceDE/>
              <w:autoSpaceDN/>
            </w:pPr>
          </w:p>
        </w:tc>
        <w:tc>
          <w:tcPr>
            <w:tcW w:w="1984" w:type="dxa"/>
          </w:tcPr>
          <w:p w14:paraId="353A8C6E" w14:textId="77777777" w:rsidR="00F67E9E" w:rsidRPr="00A45727" w:rsidRDefault="00F67E9E" w:rsidP="0052486C">
            <w:pPr>
              <w:pStyle w:val="Tabletext0"/>
              <w:widowControl/>
              <w:autoSpaceDE/>
              <w:autoSpaceDN/>
            </w:pPr>
          </w:p>
        </w:tc>
        <w:tc>
          <w:tcPr>
            <w:tcW w:w="964" w:type="dxa"/>
          </w:tcPr>
          <w:p w14:paraId="222A219E" w14:textId="77777777" w:rsidR="00F67E9E" w:rsidRPr="00A45727" w:rsidRDefault="00F67E9E" w:rsidP="0052486C">
            <w:pPr>
              <w:pStyle w:val="Tabletext0"/>
              <w:widowControl/>
              <w:autoSpaceDE/>
              <w:autoSpaceDN/>
            </w:pPr>
          </w:p>
        </w:tc>
        <w:tc>
          <w:tcPr>
            <w:tcW w:w="3969" w:type="dxa"/>
          </w:tcPr>
          <w:p w14:paraId="45587314" w14:textId="77777777" w:rsidR="00F67E9E" w:rsidRPr="00A45727" w:rsidRDefault="00F67E9E" w:rsidP="0052486C">
            <w:pPr>
              <w:pStyle w:val="Tabletext0"/>
              <w:widowControl/>
              <w:autoSpaceDE/>
              <w:autoSpaceDN/>
            </w:pPr>
          </w:p>
        </w:tc>
        <w:tc>
          <w:tcPr>
            <w:tcW w:w="1699" w:type="dxa"/>
          </w:tcPr>
          <w:p w14:paraId="6D43A772" w14:textId="77777777" w:rsidR="00F67E9E" w:rsidRPr="00A45727" w:rsidRDefault="00F67E9E" w:rsidP="0052486C">
            <w:pPr>
              <w:pStyle w:val="Tabletext0"/>
              <w:widowControl/>
              <w:autoSpaceDE/>
              <w:autoSpaceDN/>
            </w:pPr>
          </w:p>
        </w:tc>
        <w:tc>
          <w:tcPr>
            <w:tcW w:w="2269" w:type="dxa"/>
          </w:tcPr>
          <w:p w14:paraId="577BB0CE" w14:textId="77777777" w:rsidR="00F67E9E" w:rsidRPr="00A45727" w:rsidRDefault="00F67E9E" w:rsidP="0052486C">
            <w:pPr>
              <w:pStyle w:val="Tabletext0"/>
              <w:widowControl/>
              <w:autoSpaceDE/>
              <w:autoSpaceDN/>
            </w:pPr>
          </w:p>
        </w:tc>
      </w:tr>
      <w:tr w:rsidR="00F67E9E" w:rsidRPr="00025910" w14:paraId="36B8E959" w14:textId="77777777" w:rsidTr="0052486C">
        <w:trPr>
          <w:trHeight w:val="680"/>
        </w:trPr>
        <w:tc>
          <w:tcPr>
            <w:tcW w:w="1417" w:type="dxa"/>
          </w:tcPr>
          <w:p w14:paraId="4B0C2800" w14:textId="77777777" w:rsidR="00F67E9E" w:rsidRPr="00A45727" w:rsidRDefault="00F67E9E" w:rsidP="0052486C">
            <w:pPr>
              <w:pStyle w:val="Tabletext0"/>
              <w:widowControl/>
              <w:autoSpaceDE/>
              <w:autoSpaceDN/>
              <w:rPr>
                <w:b/>
                <w:bCs/>
              </w:rPr>
            </w:pPr>
            <w:r w:rsidRPr="00A45727">
              <w:rPr>
                <w:b/>
                <w:bCs/>
              </w:rPr>
              <w:t>Emp No</w:t>
            </w:r>
          </w:p>
        </w:tc>
        <w:tc>
          <w:tcPr>
            <w:tcW w:w="1701" w:type="dxa"/>
          </w:tcPr>
          <w:p w14:paraId="2C6753E7" w14:textId="77777777" w:rsidR="00F67E9E" w:rsidRPr="00A45727" w:rsidRDefault="00F67E9E" w:rsidP="0052486C">
            <w:pPr>
              <w:pStyle w:val="Tabletext0"/>
              <w:widowControl/>
              <w:autoSpaceDE/>
              <w:autoSpaceDN/>
            </w:pPr>
          </w:p>
        </w:tc>
        <w:tc>
          <w:tcPr>
            <w:tcW w:w="1134" w:type="dxa"/>
          </w:tcPr>
          <w:p w14:paraId="130A9ED6" w14:textId="77777777" w:rsidR="00F67E9E" w:rsidRPr="00A45727" w:rsidRDefault="00F67E9E" w:rsidP="0052486C">
            <w:pPr>
              <w:pStyle w:val="Tabletext0"/>
              <w:widowControl/>
              <w:autoSpaceDE/>
              <w:autoSpaceDN/>
            </w:pPr>
          </w:p>
        </w:tc>
        <w:tc>
          <w:tcPr>
            <w:tcW w:w="1984" w:type="dxa"/>
          </w:tcPr>
          <w:p w14:paraId="197C2A06" w14:textId="77777777" w:rsidR="00F67E9E" w:rsidRPr="00A45727" w:rsidRDefault="00F67E9E" w:rsidP="0052486C">
            <w:pPr>
              <w:pStyle w:val="Tabletext0"/>
              <w:widowControl/>
              <w:autoSpaceDE/>
              <w:autoSpaceDN/>
            </w:pPr>
          </w:p>
        </w:tc>
        <w:tc>
          <w:tcPr>
            <w:tcW w:w="964" w:type="dxa"/>
          </w:tcPr>
          <w:p w14:paraId="4B64D716" w14:textId="77777777" w:rsidR="00F67E9E" w:rsidRPr="00A45727" w:rsidRDefault="00F67E9E" w:rsidP="0052486C">
            <w:pPr>
              <w:pStyle w:val="Tabletext0"/>
              <w:widowControl/>
              <w:autoSpaceDE/>
              <w:autoSpaceDN/>
            </w:pPr>
          </w:p>
        </w:tc>
        <w:tc>
          <w:tcPr>
            <w:tcW w:w="3969" w:type="dxa"/>
          </w:tcPr>
          <w:p w14:paraId="769C3597" w14:textId="77777777" w:rsidR="00F67E9E" w:rsidRPr="00A45727" w:rsidRDefault="00F67E9E" w:rsidP="0052486C">
            <w:pPr>
              <w:pStyle w:val="Tabletext0"/>
              <w:widowControl/>
              <w:autoSpaceDE/>
              <w:autoSpaceDN/>
            </w:pPr>
          </w:p>
        </w:tc>
        <w:tc>
          <w:tcPr>
            <w:tcW w:w="1699" w:type="dxa"/>
          </w:tcPr>
          <w:p w14:paraId="61C0D073" w14:textId="77777777" w:rsidR="00F67E9E" w:rsidRPr="00A45727" w:rsidRDefault="00F67E9E" w:rsidP="0052486C">
            <w:pPr>
              <w:pStyle w:val="Tabletext0"/>
              <w:widowControl/>
              <w:autoSpaceDE/>
              <w:autoSpaceDN/>
            </w:pPr>
          </w:p>
        </w:tc>
        <w:tc>
          <w:tcPr>
            <w:tcW w:w="2269" w:type="dxa"/>
          </w:tcPr>
          <w:p w14:paraId="3D09A983" w14:textId="77777777" w:rsidR="00F67E9E" w:rsidRPr="00A45727" w:rsidRDefault="00F67E9E" w:rsidP="0052486C">
            <w:pPr>
              <w:pStyle w:val="Tabletext0"/>
              <w:widowControl/>
              <w:autoSpaceDE/>
              <w:autoSpaceDN/>
            </w:pPr>
          </w:p>
        </w:tc>
      </w:tr>
      <w:tr w:rsidR="00F67E9E" w:rsidRPr="00025910" w14:paraId="2ED5DF1A" w14:textId="77777777" w:rsidTr="0052486C">
        <w:trPr>
          <w:trHeight w:val="680"/>
        </w:trPr>
        <w:tc>
          <w:tcPr>
            <w:tcW w:w="1417" w:type="dxa"/>
          </w:tcPr>
          <w:p w14:paraId="6EDCBE3E" w14:textId="77777777" w:rsidR="00F67E9E" w:rsidRPr="00A45727" w:rsidRDefault="00F67E9E" w:rsidP="0052486C">
            <w:pPr>
              <w:pStyle w:val="Tabletext0"/>
              <w:widowControl/>
              <w:autoSpaceDE/>
              <w:autoSpaceDN/>
              <w:rPr>
                <w:b/>
                <w:bCs/>
              </w:rPr>
            </w:pPr>
            <w:r w:rsidRPr="00A45727">
              <w:rPr>
                <w:b/>
                <w:bCs/>
              </w:rPr>
              <w:t>Emp No</w:t>
            </w:r>
          </w:p>
        </w:tc>
        <w:tc>
          <w:tcPr>
            <w:tcW w:w="1701" w:type="dxa"/>
          </w:tcPr>
          <w:p w14:paraId="257B323B" w14:textId="77777777" w:rsidR="00F67E9E" w:rsidRPr="00A45727" w:rsidRDefault="00F67E9E" w:rsidP="0052486C">
            <w:pPr>
              <w:pStyle w:val="Tabletext0"/>
              <w:widowControl/>
              <w:autoSpaceDE/>
              <w:autoSpaceDN/>
            </w:pPr>
          </w:p>
        </w:tc>
        <w:tc>
          <w:tcPr>
            <w:tcW w:w="1134" w:type="dxa"/>
          </w:tcPr>
          <w:p w14:paraId="0242D5E2" w14:textId="77777777" w:rsidR="00F67E9E" w:rsidRPr="00A45727" w:rsidRDefault="00F67E9E" w:rsidP="0052486C">
            <w:pPr>
              <w:pStyle w:val="Tabletext0"/>
              <w:widowControl/>
              <w:autoSpaceDE/>
              <w:autoSpaceDN/>
            </w:pPr>
          </w:p>
        </w:tc>
        <w:tc>
          <w:tcPr>
            <w:tcW w:w="1984" w:type="dxa"/>
          </w:tcPr>
          <w:p w14:paraId="5913E769" w14:textId="77777777" w:rsidR="00F67E9E" w:rsidRPr="00A45727" w:rsidRDefault="00F67E9E" w:rsidP="0052486C">
            <w:pPr>
              <w:pStyle w:val="Tabletext0"/>
              <w:widowControl/>
              <w:autoSpaceDE/>
              <w:autoSpaceDN/>
            </w:pPr>
          </w:p>
        </w:tc>
        <w:tc>
          <w:tcPr>
            <w:tcW w:w="964" w:type="dxa"/>
          </w:tcPr>
          <w:p w14:paraId="6BA19CB5" w14:textId="77777777" w:rsidR="00F67E9E" w:rsidRPr="00A45727" w:rsidRDefault="00F67E9E" w:rsidP="0052486C">
            <w:pPr>
              <w:pStyle w:val="Tabletext0"/>
              <w:widowControl/>
              <w:autoSpaceDE/>
              <w:autoSpaceDN/>
            </w:pPr>
          </w:p>
        </w:tc>
        <w:tc>
          <w:tcPr>
            <w:tcW w:w="3969" w:type="dxa"/>
          </w:tcPr>
          <w:p w14:paraId="3205BC5F" w14:textId="77777777" w:rsidR="00F67E9E" w:rsidRPr="00A45727" w:rsidRDefault="00F67E9E" w:rsidP="0052486C">
            <w:pPr>
              <w:pStyle w:val="Tabletext0"/>
              <w:widowControl/>
              <w:autoSpaceDE/>
              <w:autoSpaceDN/>
            </w:pPr>
          </w:p>
        </w:tc>
        <w:tc>
          <w:tcPr>
            <w:tcW w:w="1699" w:type="dxa"/>
          </w:tcPr>
          <w:p w14:paraId="211862A7" w14:textId="77777777" w:rsidR="00F67E9E" w:rsidRPr="00A45727" w:rsidRDefault="00F67E9E" w:rsidP="0052486C">
            <w:pPr>
              <w:pStyle w:val="Tabletext0"/>
              <w:widowControl/>
              <w:autoSpaceDE/>
              <w:autoSpaceDN/>
            </w:pPr>
          </w:p>
        </w:tc>
        <w:tc>
          <w:tcPr>
            <w:tcW w:w="2269" w:type="dxa"/>
          </w:tcPr>
          <w:p w14:paraId="3F8D67DA" w14:textId="77777777" w:rsidR="00F67E9E" w:rsidRPr="00A45727" w:rsidRDefault="00F67E9E" w:rsidP="0052486C">
            <w:pPr>
              <w:pStyle w:val="Tabletext0"/>
              <w:widowControl/>
              <w:autoSpaceDE/>
              <w:autoSpaceDN/>
            </w:pPr>
          </w:p>
        </w:tc>
      </w:tr>
      <w:tr w:rsidR="00F67E9E" w:rsidRPr="00025910" w14:paraId="5A9783EB" w14:textId="77777777" w:rsidTr="0052486C">
        <w:trPr>
          <w:trHeight w:val="680"/>
        </w:trPr>
        <w:tc>
          <w:tcPr>
            <w:tcW w:w="1417" w:type="dxa"/>
          </w:tcPr>
          <w:p w14:paraId="5DDCB82B" w14:textId="77777777" w:rsidR="00F67E9E" w:rsidRPr="00A45727" w:rsidRDefault="00F67E9E" w:rsidP="0052486C">
            <w:pPr>
              <w:pStyle w:val="Tabletext0"/>
              <w:widowControl/>
              <w:autoSpaceDE/>
              <w:autoSpaceDN/>
              <w:rPr>
                <w:b/>
                <w:bCs/>
              </w:rPr>
            </w:pPr>
            <w:r w:rsidRPr="00A45727">
              <w:rPr>
                <w:b/>
                <w:bCs/>
              </w:rPr>
              <w:t>Emp No</w:t>
            </w:r>
          </w:p>
        </w:tc>
        <w:tc>
          <w:tcPr>
            <w:tcW w:w="1701" w:type="dxa"/>
          </w:tcPr>
          <w:p w14:paraId="77922DA6" w14:textId="77777777" w:rsidR="00F67E9E" w:rsidRPr="00A45727" w:rsidRDefault="00F67E9E" w:rsidP="0052486C">
            <w:pPr>
              <w:pStyle w:val="Tabletext0"/>
              <w:widowControl/>
              <w:autoSpaceDE/>
              <w:autoSpaceDN/>
            </w:pPr>
          </w:p>
        </w:tc>
        <w:tc>
          <w:tcPr>
            <w:tcW w:w="1134" w:type="dxa"/>
          </w:tcPr>
          <w:p w14:paraId="3DEE25F4" w14:textId="77777777" w:rsidR="00F67E9E" w:rsidRPr="00A45727" w:rsidRDefault="00F67E9E" w:rsidP="0052486C">
            <w:pPr>
              <w:pStyle w:val="Tabletext0"/>
              <w:widowControl/>
              <w:autoSpaceDE/>
              <w:autoSpaceDN/>
            </w:pPr>
          </w:p>
        </w:tc>
        <w:tc>
          <w:tcPr>
            <w:tcW w:w="1984" w:type="dxa"/>
          </w:tcPr>
          <w:p w14:paraId="7432C3CD" w14:textId="77777777" w:rsidR="00F67E9E" w:rsidRPr="00A45727" w:rsidRDefault="00F67E9E" w:rsidP="0052486C">
            <w:pPr>
              <w:pStyle w:val="Tabletext0"/>
              <w:widowControl/>
              <w:autoSpaceDE/>
              <w:autoSpaceDN/>
            </w:pPr>
          </w:p>
        </w:tc>
        <w:tc>
          <w:tcPr>
            <w:tcW w:w="964" w:type="dxa"/>
          </w:tcPr>
          <w:p w14:paraId="5A8E7839" w14:textId="77777777" w:rsidR="00F67E9E" w:rsidRPr="00A45727" w:rsidRDefault="00F67E9E" w:rsidP="0052486C">
            <w:pPr>
              <w:pStyle w:val="Tabletext0"/>
              <w:widowControl/>
              <w:autoSpaceDE/>
              <w:autoSpaceDN/>
            </w:pPr>
          </w:p>
        </w:tc>
        <w:tc>
          <w:tcPr>
            <w:tcW w:w="3969" w:type="dxa"/>
          </w:tcPr>
          <w:p w14:paraId="26A6FA26" w14:textId="77777777" w:rsidR="00F67E9E" w:rsidRPr="00A45727" w:rsidRDefault="00F67E9E" w:rsidP="0052486C">
            <w:pPr>
              <w:pStyle w:val="Tabletext0"/>
              <w:widowControl/>
              <w:autoSpaceDE/>
              <w:autoSpaceDN/>
            </w:pPr>
          </w:p>
        </w:tc>
        <w:tc>
          <w:tcPr>
            <w:tcW w:w="1699" w:type="dxa"/>
          </w:tcPr>
          <w:p w14:paraId="6ED75CAB" w14:textId="77777777" w:rsidR="00F67E9E" w:rsidRPr="00A45727" w:rsidRDefault="00F67E9E" w:rsidP="0052486C">
            <w:pPr>
              <w:pStyle w:val="Tabletext0"/>
              <w:widowControl/>
              <w:autoSpaceDE/>
              <w:autoSpaceDN/>
            </w:pPr>
          </w:p>
        </w:tc>
        <w:tc>
          <w:tcPr>
            <w:tcW w:w="2269" w:type="dxa"/>
          </w:tcPr>
          <w:p w14:paraId="570AF64B" w14:textId="77777777" w:rsidR="00F67E9E" w:rsidRPr="00A45727" w:rsidRDefault="00F67E9E" w:rsidP="0052486C">
            <w:pPr>
              <w:pStyle w:val="Tabletext0"/>
              <w:widowControl/>
              <w:autoSpaceDE/>
              <w:autoSpaceDN/>
            </w:pPr>
          </w:p>
        </w:tc>
      </w:tr>
      <w:tr w:rsidR="00F67E9E" w:rsidRPr="00025910" w14:paraId="24ABF2D4" w14:textId="77777777" w:rsidTr="0052486C">
        <w:trPr>
          <w:trHeight w:val="680"/>
        </w:trPr>
        <w:tc>
          <w:tcPr>
            <w:tcW w:w="1417" w:type="dxa"/>
          </w:tcPr>
          <w:p w14:paraId="01ACC510" w14:textId="77777777" w:rsidR="00F67E9E" w:rsidRPr="00A45727" w:rsidRDefault="00F67E9E" w:rsidP="0052486C">
            <w:pPr>
              <w:pStyle w:val="Tabletext0"/>
              <w:widowControl/>
              <w:autoSpaceDE/>
              <w:autoSpaceDN/>
              <w:rPr>
                <w:b/>
                <w:bCs/>
              </w:rPr>
            </w:pPr>
            <w:r w:rsidRPr="00A45727">
              <w:rPr>
                <w:b/>
                <w:bCs/>
              </w:rPr>
              <w:t>Emp No</w:t>
            </w:r>
          </w:p>
        </w:tc>
        <w:tc>
          <w:tcPr>
            <w:tcW w:w="1701" w:type="dxa"/>
          </w:tcPr>
          <w:p w14:paraId="5C109F7F" w14:textId="77777777" w:rsidR="00F67E9E" w:rsidRPr="00A45727" w:rsidRDefault="00F67E9E" w:rsidP="0052486C">
            <w:pPr>
              <w:pStyle w:val="Tabletext0"/>
              <w:widowControl/>
              <w:autoSpaceDE/>
              <w:autoSpaceDN/>
            </w:pPr>
          </w:p>
        </w:tc>
        <w:tc>
          <w:tcPr>
            <w:tcW w:w="1134" w:type="dxa"/>
          </w:tcPr>
          <w:p w14:paraId="04C3BD2F" w14:textId="77777777" w:rsidR="00F67E9E" w:rsidRPr="00A45727" w:rsidRDefault="00F67E9E" w:rsidP="0052486C">
            <w:pPr>
              <w:pStyle w:val="Tabletext0"/>
              <w:widowControl/>
              <w:autoSpaceDE/>
              <w:autoSpaceDN/>
            </w:pPr>
          </w:p>
        </w:tc>
        <w:tc>
          <w:tcPr>
            <w:tcW w:w="1984" w:type="dxa"/>
          </w:tcPr>
          <w:p w14:paraId="643D69B9" w14:textId="77777777" w:rsidR="00F67E9E" w:rsidRPr="00A45727" w:rsidRDefault="00F67E9E" w:rsidP="0052486C">
            <w:pPr>
              <w:pStyle w:val="Tabletext0"/>
              <w:widowControl/>
              <w:autoSpaceDE/>
              <w:autoSpaceDN/>
            </w:pPr>
          </w:p>
        </w:tc>
        <w:tc>
          <w:tcPr>
            <w:tcW w:w="964" w:type="dxa"/>
          </w:tcPr>
          <w:p w14:paraId="230DBA25" w14:textId="77777777" w:rsidR="00F67E9E" w:rsidRPr="00A45727" w:rsidRDefault="00F67E9E" w:rsidP="0052486C">
            <w:pPr>
              <w:pStyle w:val="Tabletext0"/>
              <w:widowControl/>
              <w:autoSpaceDE/>
              <w:autoSpaceDN/>
            </w:pPr>
          </w:p>
        </w:tc>
        <w:tc>
          <w:tcPr>
            <w:tcW w:w="3969" w:type="dxa"/>
          </w:tcPr>
          <w:p w14:paraId="60AAF269" w14:textId="77777777" w:rsidR="00F67E9E" w:rsidRPr="00A45727" w:rsidRDefault="00F67E9E" w:rsidP="0052486C">
            <w:pPr>
              <w:pStyle w:val="Tabletext0"/>
              <w:widowControl/>
              <w:autoSpaceDE/>
              <w:autoSpaceDN/>
            </w:pPr>
          </w:p>
        </w:tc>
        <w:tc>
          <w:tcPr>
            <w:tcW w:w="1699" w:type="dxa"/>
          </w:tcPr>
          <w:p w14:paraId="19227F3D" w14:textId="77777777" w:rsidR="00F67E9E" w:rsidRPr="00A45727" w:rsidRDefault="00F67E9E" w:rsidP="0052486C">
            <w:pPr>
              <w:pStyle w:val="Tabletext0"/>
              <w:widowControl/>
              <w:autoSpaceDE/>
              <w:autoSpaceDN/>
            </w:pPr>
          </w:p>
        </w:tc>
        <w:tc>
          <w:tcPr>
            <w:tcW w:w="2269" w:type="dxa"/>
          </w:tcPr>
          <w:p w14:paraId="5B77F983" w14:textId="77777777" w:rsidR="00F67E9E" w:rsidRPr="00A45727" w:rsidRDefault="00F67E9E" w:rsidP="0052486C">
            <w:pPr>
              <w:pStyle w:val="Tabletext0"/>
              <w:widowControl/>
              <w:autoSpaceDE/>
              <w:autoSpaceDN/>
            </w:pPr>
          </w:p>
        </w:tc>
      </w:tr>
    </w:tbl>
    <w:p w14:paraId="738F797E" w14:textId="77777777" w:rsidR="00F67E9E" w:rsidRDefault="00F67E9E" w:rsidP="00F67E9E"/>
    <w:p w14:paraId="6234C5BE" w14:textId="77777777" w:rsidR="00F67E9E" w:rsidRPr="00025910" w:rsidRDefault="00F67E9E" w:rsidP="00F67E9E">
      <w:r w:rsidRPr="00025910">
        <w:br w:type="page"/>
      </w:r>
    </w:p>
    <w:tbl>
      <w:tblPr>
        <w:tblStyle w:val="MSATable-header"/>
        <w:tblW w:w="15143" w:type="dxa"/>
        <w:tblLook w:val="0620" w:firstRow="1" w:lastRow="0" w:firstColumn="0" w:lastColumn="0" w:noHBand="1" w:noVBand="1"/>
      </w:tblPr>
      <w:tblGrid>
        <w:gridCol w:w="1417"/>
        <w:gridCol w:w="1701"/>
        <w:gridCol w:w="1701"/>
        <w:gridCol w:w="1701"/>
        <w:gridCol w:w="1531"/>
        <w:gridCol w:w="1531"/>
        <w:gridCol w:w="3742"/>
        <w:gridCol w:w="1813"/>
        <w:gridCol w:w="6"/>
      </w:tblGrid>
      <w:tr w:rsidR="00F67E9E" w:rsidRPr="00025910" w14:paraId="68ED19BC" w14:textId="77777777" w:rsidTr="0052486C">
        <w:trPr>
          <w:gridAfter w:val="1"/>
          <w:cnfStyle w:val="100000000000" w:firstRow="1" w:lastRow="0" w:firstColumn="0" w:lastColumn="0" w:oddVBand="0" w:evenVBand="0" w:oddHBand="0" w:evenHBand="0" w:firstRowFirstColumn="0" w:firstRowLastColumn="0" w:lastRowFirstColumn="0" w:lastRowLastColumn="0"/>
          <w:wAfter w:w="6" w:type="dxa"/>
          <w:tblHeader/>
        </w:trPr>
        <w:tc>
          <w:tcPr>
            <w:tcW w:w="1417" w:type="dxa"/>
            <w:tcBorders>
              <w:top w:val="nil"/>
              <w:left w:val="nil"/>
            </w:tcBorders>
            <w:shd w:val="clear" w:color="auto" w:fill="auto"/>
          </w:tcPr>
          <w:p w14:paraId="1D92E451" w14:textId="77777777" w:rsidR="00F67E9E" w:rsidRPr="00A45727" w:rsidRDefault="00F67E9E" w:rsidP="0052486C">
            <w:pPr>
              <w:pStyle w:val="Tabletext0"/>
              <w:widowControl/>
              <w:autoSpaceDE/>
              <w:autoSpaceDN/>
            </w:pPr>
          </w:p>
        </w:tc>
        <w:tc>
          <w:tcPr>
            <w:tcW w:w="13720" w:type="dxa"/>
            <w:gridSpan w:val="7"/>
          </w:tcPr>
          <w:p w14:paraId="274DA62F" w14:textId="77777777" w:rsidR="00F67E9E" w:rsidRPr="00A45727" w:rsidRDefault="00F67E9E" w:rsidP="0052486C">
            <w:pPr>
              <w:pStyle w:val="Tabletext0"/>
              <w:widowControl/>
              <w:autoSpaceDE/>
              <w:autoSpaceDN/>
            </w:pPr>
            <w:r w:rsidRPr="00A45727">
              <w:t>EMPLOYEE DETAILS &amp; KEY TERMS</w:t>
            </w:r>
          </w:p>
        </w:tc>
      </w:tr>
      <w:tr w:rsidR="00F67E9E" w:rsidRPr="00025910" w14:paraId="2451815A"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7" w:type="dxa"/>
          </w:tcPr>
          <w:p w14:paraId="6B013821" w14:textId="77777777" w:rsidR="00F67E9E" w:rsidRPr="00A45727" w:rsidRDefault="00F67E9E" w:rsidP="0052486C">
            <w:pPr>
              <w:pStyle w:val="Tabletext0"/>
              <w:widowControl/>
              <w:autoSpaceDE/>
              <w:autoSpaceDN/>
            </w:pPr>
            <w:r w:rsidRPr="00A45727">
              <w:t>Details</w:t>
            </w:r>
          </w:p>
        </w:tc>
        <w:tc>
          <w:tcPr>
            <w:tcW w:w="1701" w:type="dxa"/>
          </w:tcPr>
          <w:p w14:paraId="28D34D57" w14:textId="77777777" w:rsidR="00F67E9E" w:rsidRPr="00A45727" w:rsidRDefault="00F67E9E" w:rsidP="0052486C">
            <w:pPr>
              <w:pStyle w:val="Tabletext0"/>
              <w:widowControl/>
              <w:autoSpaceDE/>
              <w:autoSpaceDN/>
            </w:pPr>
            <w:r w:rsidRPr="00A45727">
              <w:t>Contract end date (if fixed term contract or temporary contract)</w:t>
            </w:r>
          </w:p>
        </w:tc>
        <w:tc>
          <w:tcPr>
            <w:tcW w:w="1701" w:type="dxa"/>
          </w:tcPr>
          <w:p w14:paraId="4D4AC61E" w14:textId="77777777" w:rsidR="00F67E9E" w:rsidRPr="00A45727" w:rsidRDefault="00F67E9E" w:rsidP="0052486C">
            <w:pPr>
              <w:pStyle w:val="Tabletext0"/>
              <w:widowControl/>
              <w:autoSpaceDE/>
              <w:autoSpaceDN/>
            </w:pPr>
            <w:r w:rsidRPr="00A45727">
              <w:t>Contractual notice period</w:t>
            </w:r>
          </w:p>
        </w:tc>
        <w:tc>
          <w:tcPr>
            <w:tcW w:w="1701" w:type="dxa"/>
          </w:tcPr>
          <w:p w14:paraId="489F39A0" w14:textId="77777777" w:rsidR="00F67E9E" w:rsidRPr="00A45727" w:rsidRDefault="00F67E9E" w:rsidP="0052486C">
            <w:pPr>
              <w:pStyle w:val="Tabletext0"/>
              <w:widowControl/>
              <w:autoSpaceDE/>
              <w:autoSpaceDN/>
            </w:pPr>
            <w:r w:rsidRPr="00A45727">
              <w:t>Contractual weekly hours</w:t>
            </w:r>
          </w:p>
        </w:tc>
        <w:tc>
          <w:tcPr>
            <w:tcW w:w="1531" w:type="dxa"/>
          </w:tcPr>
          <w:p w14:paraId="1F7288F7" w14:textId="77777777" w:rsidR="00F67E9E" w:rsidRPr="00A45727" w:rsidRDefault="00F67E9E" w:rsidP="0052486C">
            <w:pPr>
              <w:pStyle w:val="Tabletext0"/>
              <w:widowControl/>
              <w:autoSpaceDE/>
              <w:autoSpaceDN/>
            </w:pPr>
            <w:r w:rsidRPr="00A45727">
              <w:t>Regular overtime hours per week</w:t>
            </w:r>
          </w:p>
        </w:tc>
        <w:tc>
          <w:tcPr>
            <w:tcW w:w="1531" w:type="dxa"/>
          </w:tcPr>
          <w:p w14:paraId="07FD3D68" w14:textId="77777777" w:rsidR="00F67E9E" w:rsidRPr="00A45727" w:rsidRDefault="00F67E9E" w:rsidP="0052486C">
            <w:pPr>
              <w:pStyle w:val="Tabletext0"/>
              <w:widowControl/>
              <w:autoSpaceDE/>
              <w:autoSpaceDN/>
            </w:pPr>
            <w:r w:rsidRPr="00A45727">
              <w:t>Mobility or flexibility clause in contract?</w:t>
            </w:r>
          </w:p>
        </w:tc>
        <w:tc>
          <w:tcPr>
            <w:tcW w:w="3742" w:type="dxa"/>
          </w:tcPr>
          <w:p w14:paraId="192971CF" w14:textId="77777777" w:rsidR="00F67E9E" w:rsidRPr="00A45727" w:rsidRDefault="00F67E9E" w:rsidP="0052486C">
            <w:pPr>
              <w:pStyle w:val="Tabletext0"/>
              <w:widowControl/>
              <w:autoSpaceDE/>
              <w:autoSpaceDN/>
            </w:pPr>
            <w:r w:rsidRPr="00A45727">
              <w:t>Previously TUPE transferred to organisation? If so, please specify (i) date of transfer, (ii) name of transferor, and (iii) whether ex public sector</w:t>
            </w:r>
          </w:p>
        </w:tc>
        <w:tc>
          <w:tcPr>
            <w:tcW w:w="1814" w:type="dxa"/>
            <w:gridSpan w:val="2"/>
          </w:tcPr>
          <w:p w14:paraId="65FFE06C" w14:textId="77777777" w:rsidR="00F67E9E" w:rsidRPr="00A45727" w:rsidRDefault="00F67E9E" w:rsidP="0052486C">
            <w:pPr>
              <w:pStyle w:val="Tabletext0"/>
              <w:widowControl/>
              <w:autoSpaceDE/>
              <w:autoSpaceDN/>
            </w:pPr>
            <w:r w:rsidRPr="00A45727">
              <w:t>Any collective agreements?</w:t>
            </w:r>
          </w:p>
        </w:tc>
      </w:tr>
      <w:tr w:rsidR="00F67E9E" w:rsidRPr="00025910" w14:paraId="2F81B4FD" w14:textId="77777777" w:rsidTr="0052486C">
        <w:trPr>
          <w:trHeight w:val="680"/>
        </w:trPr>
        <w:tc>
          <w:tcPr>
            <w:tcW w:w="1417" w:type="dxa"/>
          </w:tcPr>
          <w:p w14:paraId="65DC25AC" w14:textId="77777777" w:rsidR="00F67E9E" w:rsidRPr="00A45727" w:rsidRDefault="00F67E9E" w:rsidP="0052486C">
            <w:pPr>
              <w:pStyle w:val="Tabletext0"/>
              <w:widowControl/>
              <w:autoSpaceDE/>
              <w:autoSpaceDN/>
              <w:rPr>
                <w:b/>
                <w:bCs/>
              </w:rPr>
            </w:pPr>
            <w:r w:rsidRPr="00A45727">
              <w:rPr>
                <w:b/>
                <w:bCs/>
              </w:rPr>
              <w:t>Emp No 1</w:t>
            </w:r>
          </w:p>
        </w:tc>
        <w:tc>
          <w:tcPr>
            <w:tcW w:w="1701" w:type="dxa"/>
          </w:tcPr>
          <w:p w14:paraId="499E185E" w14:textId="77777777" w:rsidR="00F67E9E" w:rsidRPr="00A45727" w:rsidRDefault="00F67E9E" w:rsidP="0052486C">
            <w:pPr>
              <w:pStyle w:val="Tabletext0"/>
              <w:widowControl/>
              <w:autoSpaceDE/>
              <w:autoSpaceDN/>
            </w:pPr>
          </w:p>
        </w:tc>
        <w:tc>
          <w:tcPr>
            <w:tcW w:w="1701" w:type="dxa"/>
          </w:tcPr>
          <w:p w14:paraId="5119A2AB" w14:textId="77777777" w:rsidR="00F67E9E" w:rsidRPr="00A45727" w:rsidRDefault="00F67E9E" w:rsidP="0052486C">
            <w:pPr>
              <w:pStyle w:val="Tabletext0"/>
              <w:widowControl/>
              <w:autoSpaceDE/>
              <w:autoSpaceDN/>
            </w:pPr>
          </w:p>
        </w:tc>
        <w:tc>
          <w:tcPr>
            <w:tcW w:w="1701" w:type="dxa"/>
          </w:tcPr>
          <w:p w14:paraId="5F824FC3" w14:textId="77777777" w:rsidR="00F67E9E" w:rsidRPr="00A45727" w:rsidRDefault="00F67E9E" w:rsidP="0052486C">
            <w:pPr>
              <w:pStyle w:val="Tabletext0"/>
              <w:widowControl/>
              <w:autoSpaceDE/>
              <w:autoSpaceDN/>
            </w:pPr>
          </w:p>
        </w:tc>
        <w:tc>
          <w:tcPr>
            <w:tcW w:w="1531" w:type="dxa"/>
          </w:tcPr>
          <w:p w14:paraId="253ADD49" w14:textId="77777777" w:rsidR="00F67E9E" w:rsidRPr="00A45727" w:rsidRDefault="00F67E9E" w:rsidP="0052486C">
            <w:pPr>
              <w:pStyle w:val="Tabletext0"/>
              <w:widowControl/>
              <w:autoSpaceDE/>
              <w:autoSpaceDN/>
            </w:pPr>
          </w:p>
        </w:tc>
        <w:tc>
          <w:tcPr>
            <w:tcW w:w="1531" w:type="dxa"/>
          </w:tcPr>
          <w:p w14:paraId="5E47ED25" w14:textId="77777777" w:rsidR="00F67E9E" w:rsidRPr="00A45727" w:rsidRDefault="00F67E9E" w:rsidP="0052486C">
            <w:pPr>
              <w:pStyle w:val="Tabletext0"/>
              <w:widowControl/>
              <w:autoSpaceDE/>
              <w:autoSpaceDN/>
            </w:pPr>
          </w:p>
        </w:tc>
        <w:tc>
          <w:tcPr>
            <w:tcW w:w="3742" w:type="dxa"/>
          </w:tcPr>
          <w:p w14:paraId="0861840E" w14:textId="77777777" w:rsidR="00F67E9E" w:rsidRPr="00A45727" w:rsidRDefault="00F67E9E" w:rsidP="0052486C">
            <w:pPr>
              <w:pStyle w:val="Tabletext0"/>
              <w:widowControl/>
              <w:autoSpaceDE/>
              <w:autoSpaceDN/>
            </w:pPr>
          </w:p>
        </w:tc>
        <w:tc>
          <w:tcPr>
            <w:tcW w:w="1814" w:type="dxa"/>
            <w:gridSpan w:val="2"/>
          </w:tcPr>
          <w:p w14:paraId="2013B7DF" w14:textId="77777777" w:rsidR="00F67E9E" w:rsidRPr="00A45727" w:rsidRDefault="00F67E9E" w:rsidP="0052486C">
            <w:pPr>
              <w:pStyle w:val="Tabletext0"/>
              <w:widowControl/>
              <w:autoSpaceDE/>
              <w:autoSpaceDN/>
            </w:pPr>
          </w:p>
        </w:tc>
      </w:tr>
      <w:tr w:rsidR="00F67E9E" w:rsidRPr="00025910" w14:paraId="46C1A130" w14:textId="77777777" w:rsidTr="0052486C">
        <w:trPr>
          <w:trHeight w:val="680"/>
        </w:trPr>
        <w:tc>
          <w:tcPr>
            <w:tcW w:w="1417" w:type="dxa"/>
          </w:tcPr>
          <w:p w14:paraId="1E09129F" w14:textId="77777777" w:rsidR="00F67E9E" w:rsidRPr="00A45727" w:rsidRDefault="00F67E9E" w:rsidP="0052486C">
            <w:pPr>
              <w:pStyle w:val="Tabletext0"/>
              <w:widowControl/>
              <w:autoSpaceDE/>
              <w:autoSpaceDN/>
              <w:rPr>
                <w:b/>
                <w:bCs/>
              </w:rPr>
            </w:pPr>
            <w:r w:rsidRPr="00A45727">
              <w:rPr>
                <w:b/>
                <w:bCs/>
              </w:rPr>
              <w:t>Emp No 2</w:t>
            </w:r>
          </w:p>
        </w:tc>
        <w:tc>
          <w:tcPr>
            <w:tcW w:w="1701" w:type="dxa"/>
          </w:tcPr>
          <w:p w14:paraId="5D1C26E4" w14:textId="77777777" w:rsidR="00F67E9E" w:rsidRPr="00A45727" w:rsidRDefault="00F67E9E" w:rsidP="0052486C">
            <w:pPr>
              <w:pStyle w:val="Tabletext0"/>
              <w:widowControl/>
              <w:autoSpaceDE/>
              <w:autoSpaceDN/>
            </w:pPr>
          </w:p>
        </w:tc>
        <w:tc>
          <w:tcPr>
            <w:tcW w:w="1701" w:type="dxa"/>
          </w:tcPr>
          <w:p w14:paraId="1C0CDD76" w14:textId="77777777" w:rsidR="00F67E9E" w:rsidRPr="00A45727" w:rsidRDefault="00F67E9E" w:rsidP="0052486C">
            <w:pPr>
              <w:pStyle w:val="Tabletext0"/>
              <w:widowControl/>
              <w:autoSpaceDE/>
              <w:autoSpaceDN/>
            </w:pPr>
          </w:p>
        </w:tc>
        <w:tc>
          <w:tcPr>
            <w:tcW w:w="1701" w:type="dxa"/>
          </w:tcPr>
          <w:p w14:paraId="3498A92C" w14:textId="77777777" w:rsidR="00F67E9E" w:rsidRPr="00A45727" w:rsidRDefault="00F67E9E" w:rsidP="0052486C">
            <w:pPr>
              <w:pStyle w:val="Tabletext0"/>
              <w:widowControl/>
              <w:autoSpaceDE/>
              <w:autoSpaceDN/>
            </w:pPr>
          </w:p>
        </w:tc>
        <w:tc>
          <w:tcPr>
            <w:tcW w:w="1531" w:type="dxa"/>
          </w:tcPr>
          <w:p w14:paraId="5F9EC464" w14:textId="77777777" w:rsidR="00F67E9E" w:rsidRPr="00A45727" w:rsidRDefault="00F67E9E" w:rsidP="0052486C">
            <w:pPr>
              <w:pStyle w:val="Tabletext0"/>
              <w:widowControl/>
              <w:autoSpaceDE/>
              <w:autoSpaceDN/>
            </w:pPr>
          </w:p>
        </w:tc>
        <w:tc>
          <w:tcPr>
            <w:tcW w:w="1531" w:type="dxa"/>
          </w:tcPr>
          <w:p w14:paraId="68E10E23" w14:textId="77777777" w:rsidR="00F67E9E" w:rsidRPr="00A45727" w:rsidRDefault="00F67E9E" w:rsidP="0052486C">
            <w:pPr>
              <w:pStyle w:val="Tabletext0"/>
              <w:widowControl/>
              <w:autoSpaceDE/>
              <w:autoSpaceDN/>
            </w:pPr>
          </w:p>
        </w:tc>
        <w:tc>
          <w:tcPr>
            <w:tcW w:w="3742" w:type="dxa"/>
          </w:tcPr>
          <w:p w14:paraId="1CE83E71" w14:textId="77777777" w:rsidR="00F67E9E" w:rsidRPr="00A45727" w:rsidRDefault="00F67E9E" w:rsidP="0052486C">
            <w:pPr>
              <w:pStyle w:val="Tabletext0"/>
              <w:widowControl/>
              <w:autoSpaceDE/>
              <w:autoSpaceDN/>
            </w:pPr>
          </w:p>
        </w:tc>
        <w:tc>
          <w:tcPr>
            <w:tcW w:w="1814" w:type="dxa"/>
            <w:gridSpan w:val="2"/>
          </w:tcPr>
          <w:p w14:paraId="14B033D8" w14:textId="77777777" w:rsidR="00F67E9E" w:rsidRPr="00A45727" w:rsidRDefault="00F67E9E" w:rsidP="0052486C">
            <w:pPr>
              <w:pStyle w:val="Tabletext0"/>
              <w:widowControl/>
              <w:autoSpaceDE/>
              <w:autoSpaceDN/>
            </w:pPr>
          </w:p>
        </w:tc>
      </w:tr>
      <w:tr w:rsidR="00F67E9E" w:rsidRPr="00025910" w14:paraId="3FCD8F23" w14:textId="77777777" w:rsidTr="0052486C">
        <w:trPr>
          <w:trHeight w:val="680"/>
        </w:trPr>
        <w:tc>
          <w:tcPr>
            <w:tcW w:w="1417" w:type="dxa"/>
          </w:tcPr>
          <w:p w14:paraId="0D517F5D" w14:textId="77777777" w:rsidR="00F67E9E" w:rsidRPr="00A45727" w:rsidRDefault="00F67E9E" w:rsidP="0052486C">
            <w:pPr>
              <w:pStyle w:val="Tabletext0"/>
              <w:widowControl/>
              <w:autoSpaceDE/>
              <w:autoSpaceDN/>
              <w:rPr>
                <w:b/>
                <w:bCs/>
              </w:rPr>
            </w:pPr>
            <w:r w:rsidRPr="00A45727">
              <w:rPr>
                <w:b/>
                <w:bCs/>
              </w:rPr>
              <w:t>Emp No</w:t>
            </w:r>
          </w:p>
        </w:tc>
        <w:tc>
          <w:tcPr>
            <w:tcW w:w="1701" w:type="dxa"/>
          </w:tcPr>
          <w:p w14:paraId="0A8FCCDC" w14:textId="77777777" w:rsidR="00F67E9E" w:rsidRPr="00A45727" w:rsidRDefault="00F67E9E" w:rsidP="0052486C">
            <w:pPr>
              <w:pStyle w:val="Tabletext0"/>
              <w:widowControl/>
              <w:autoSpaceDE/>
              <w:autoSpaceDN/>
            </w:pPr>
          </w:p>
        </w:tc>
        <w:tc>
          <w:tcPr>
            <w:tcW w:w="1701" w:type="dxa"/>
          </w:tcPr>
          <w:p w14:paraId="49B2BEA1" w14:textId="77777777" w:rsidR="00F67E9E" w:rsidRPr="00A45727" w:rsidRDefault="00F67E9E" w:rsidP="0052486C">
            <w:pPr>
              <w:pStyle w:val="Tabletext0"/>
              <w:widowControl/>
              <w:autoSpaceDE/>
              <w:autoSpaceDN/>
            </w:pPr>
          </w:p>
        </w:tc>
        <w:tc>
          <w:tcPr>
            <w:tcW w:w="1701" w:type="dxa"/>
          </w:tcPr>
          <w:p w14:paraId="694814DB" w14:textId="77777777" w:rsidR="00F67E9E" w:rsidRPr="00A45727" w:rsidRDefault="00F67E9E" w:rsidP="0052486C">
            <w:pPr>
              <w:pStyle w:val="Tabletext0"/>
              <w:widowControl/>
              <w:autoSpaceDE/>
              <w:autoSpaceDN/>
            </w:pPr>
          </w:p>
        </w:tc>
        <w:tc>
          <w:tcPr>
            <w:tcW w:w="1531" w:type="dxa"/>
          </w:tcPr>
          <w:p w14:paraId="0D5504C1" w14:textId="77777777" w:rsidR="00F67E9E" w:rsidRPr="00A45727" w:rsidRDefault="00F67E9E" w:rsidP="0052486C">
            <w:pPr>
              <w:pStyle w:val="Tabletext0"/>
              <w:widowControl/>
              <w:autoSpaceDE/>
              <w:autoSpaceDN/>
            </w:pPr>
          </w:p>
        </w:tc>
        <w:tc>
          <w:tcPr>
            <w:tcW w:w="1531" w:type="dxa"/>
          </w:tcPr>
          <w:p w14:paraId="11A428DF" w14:textId="77777777" w:rsidR="00F67E9E" w:rsidRPr="00A45727" w:rsidRDefault="00F67E9E" w:rsidP="0052486C">
            <w:pPr>
              <w:pStyle w:val="Tabletext0"/>
              <w:widowControl/>
              <w:autoSpaceDE/>
              <w:autoSpaceDN/>
            </w:pPr>
          </w:p>
        </w:tc>
        <w:tc>
          <w:tcPr>
            <w:tcW w:w="3742" w:type="dxa"/>
          </w:tcPr>
          <w:p w14:paraId="61C0B4CC" w14:textId="77777777" w:rsidR="00F67E9E" w:rsidRPr="00A45727" w:rsidRDefault="00F67E9E" w:rsidP="0052486C">
            <w:pPr>
              <w:pStyle w:val="Tabletext0"/>
              <w:widowControl/>
              <w:autoSpaceDE/>
              <w:autoSpaceDN/>
            </w:pPr>
          </w:p>
        </w:tc>
        <w:tc>
          <w:tcPr>
            <w:tcW w:w="1814" w:type="dxa"/>
            <w:gridSpan w:val="2"/>
          </w:tcPr>
          <w:p w14:paraId="38E4E262" w14:textId="77777777" w:rsidR="00F67E9E" w:rsidRPr="00A45727" w:rsidRDefault="00F67E9E" w:rsidP="0052486C">
            <w:pPr>
              <w:pStyle w:val="Tabletext0"/>
              <w:widowControl/>
              <w:autoSpaceDE/>
              <w:autoSpaceDN/>
            </w:pPr>
          </w:p>
        </w:tc>
      </w:tr>
      <w:tr w:rsidR="00F67E9E" w:rsidRPr="00025910" w14:paraId="3C7FC604" w14:textId="77777777" w:rsidTr="0052486C">
        <w:trPr>
          <w:trHeight w:val="680"/>
        </w:trPr>
        <w:tc>
          <w:tcPr>
            <w:tcW w:w="1417" w:type="dxa"/>
          </w:tcPr>
          <w:p w14:paraId="4BF8FAC5" w14:textId="77777777" w:rsidR="00F67E9E" w:rsidRPr="00A45727" w:rsidRDefault="00F67E9E" w:rsidP="0052486C">
            <w:pPr>
              <w:pStyle w:val="Tabletext0"/>
              <w:widowControl/>
              <w:autoSpaceDE/>
              <w:autoSpaceDN/>
              <w:rPr>
                <w:b/>
                <w:bCs/>
              </w:rPr>
            </w:pPr>
            <w:r w:rsidRPr="00A45727">
              <w:rPr>
                <w:b/>
                <w:bCs/>
              </w:rPr>
              <w:t>Emp No</w:t>
            </w:r>
          </w:p>
        </w:tc>
        <w:tc>
          <w:tcPr>
            <w:tcW w:w="1701" w:type="dxa"/>
          </w:tcPr>
          <w:p w14:paraId="29B9353A" w14:textId="77777777" w:rsidR="00F67E9E" w:rsidRPr="00A45727" w:rsidRDefault="00F67E9E" w:rsidP="0052486C">
            <w:pPr>
              <w:pStyle w:val="Tabletext0"/>
              <w:widowControl/>
              <w:autoSpaceDE/>
              <w:autoSpaceDN/>
            </w:pPr>
          </w:p>
        </w:tc>
        <w:tc>
          <w:tcPr>
            <w:tcW w:w="1701" w:type="dxa"/>
          </w:tcPr>
          <w:p w14:paraId="413BCDDC" w14:textId="77777777" w:rsidR="00F67E9E" w:rsidRPr="00A45727" w:rsidRDefault="00F67E9E" w:rsidP="0052486C">
            <w:pPr>
              <w:pStyle w:val="Tabletext0"/>
              <w:widowControl/>
              <w:autoSpaceDE/>
              <w:autoSpaceDN/>
            </w:pPr>
          </w:p>
        </w:tc>
        <w:tc>
          <w:tcPr>
            <w:tcW w:w="1701" w:type="dxa"/>
          </w:tcPr>
          <w:p w14:paraId="2E5537F5" w14:textId="77777777" w:rsidR="00F67E9E" w:rsidRPr="00A45727" w:rsidRDefault="00F67E9E" w:rsidP="0052486C">
            <w:pPr>
              <w:pStyle w:val="Tabletext0"/>
              <w:widowControl/>
              <w:autoSpaceDE/>
              <w:autoSpaceDN/>
            </w:pPr>
          </w:p>
        </w:tc>
        <w:tc>
          <w:tcPr>
            <w:tcW w:w="1531" w:type="dxa"/>
          </w:tcPr>
          <w:p w14:paraId="16506CFA" w14:textId="77777777" w:rsidR="00F67E9E" w:rsidRPr="00A45727" w:rsidRDefault="00F67E9E" w:rsidP="0052486C">
            <w:pPr>
              <w:pStyle w:val="Tabletext0"/>
              <w:widowControl/>
              <w:autoSpaceDE/>
              <w:autoSpaceDN/>
            </w:pPr>
          </w:p>
        </w:tc>
        <w:tc>
          <w:tcPr>
            <w:tcW w:w="1531" w:type="dxa"/>
          </w:tcPr>
          <w:p w14:paraId="2671646D" w14:textId="77777777" w:rsidR="00F67E9E" w:rsidRPr="00A45727" w:rsidRDefault="00F67E9E" w:rsidP="0052486C">
            <w:pPr>
              <w:pStyle w:val="Tabletext0"/>
              <w:widowControl/>
              <w:autoSpaceDE/>
              <w:autoSpaceDN/>
            </w:pPr>
          </w:p>
        </w:tc>
        <w:tc>
          <w:tcPr>
            <w:tcW w:w="3742" w:type="dxa"/>
          </w:tcPr>
          <w:p w14:paraId="67266683" w14:textId="77777777" w:rsidR="00F67E9E" w:rsidRPr="00A45727" w:rsidRDefault="00F67E9E" w:rsidP="0052486C">
            <w:pPr>
              <w:pStyle w:val="Tabletext0"/>
              <w:widowControl/>
              <w:autoSpaceDE/>
              <w:autoSpaceDN/>
            </w:pPr>
          </w:p>
        </w:tc>
        <w:tc>
          <w:tcPr>
            <w:tcW w:w="1814" w:type="dxa"/>
            <w:gridSpan w:val="2"/>
          </w:tcPr>
          <w:p w14:paraId="4737A347" w14:textId="77777777" w:rsidR="00F67E9E" w:rsidRPr="00A45727" w:rsidRDefault="00F67E9E" w:rsidP="0052486C">
            <w:pPr>
              <w:pStyle w:val="Tabletext0"/>
              <w:widowControl/>
              <w:autoSpaceDE/>
              <w:autoSpaceDN/>
            </w:pPr>
          </w:p>
        </w:tc>
      </w:tr>
      <w:tr w:rsidR="00F67E9E" w:rsidRPr="00025910" w14:paraId="5FF9A67B" w14:textId="77777777" w:rsidTr="0052486C">
        <w:trPr>
          <w:trHeight w:val="680"/>
        </w:trPr>
        <w:tc>
          <w:tcPr>
            <w:tcW w:w="1417" w:type="dxa"/>
          </w:tcPr>
          <w:p w14:paraId="0CDC5E86" w14:textId="77777777" w:rsidR="00F67E9E" w:rsidRPr="00A45727" w:rsidRDefault="00F67E9E" w:rsidP="0052486C">
            <w:pPr>
              <w:pStyle w:val="Tabletext0"/>
              <w:widowControl/>
              <w:autoSpaceDE/>
              <w:autoSpaceDN/>
              <w:rPr>
                <w:b/>
                <w:bCs/>
              </w:rPr>
            </w:pPr>
            <w:r w:rsidRPr="00A45727">
              <w:rPr>
                <w:b/>
                <w:bCs/>
              </w:rPr>
              <w:t>Emp No</w:t>
            </w:r>
          </w:p>
        </w:tc>
        <w:tc>
          <w:tcPr>
            <w:tcW w:w="1701" w:type="dxa"/>
          </w:tcPr>
          <w:p w14:paraId="7D22F0B3" w14:textId="77777777" w:rsidR="00F67E9E" w:rsidRPr="00A45727" w:rsidRDefault="00F67E9E" w:rsidP="0052486C">
            <w:pPr>
              <w:pStyle w:val="Tabletext0"/>
              <w:widowControl/>
              <w:autoSpaceDE/>
              <w:autoSpaceDN/>
            </w:pPr>
          </w:p>
        </w:tc>
        <w:tc>
          <w:tcPr>
            <w:tcW w:w="1701" w:type="dxa"/>
          </w:tcPr>
          <w:p w14:paraId="407901CE" w14:textId="77777777" w:rsidR="00F67E9E" w:rsidRPr="00A45727" w:rsidRDefault="00F67E9E" w:rsidP="0052486C">
            <w:pPr>
              <w:pStyle w:val="Tabletext0"/>
              <w:widowControl/>
              <w:autoSpaceDE/>
              <w:autoSpaceDN/>
            </w:pPr>
          </w:p>
        </w:tc>
        <w:tc>
          <w:tcPr>
            <w:tcW w:w="1701" w:type="dxa"/>
          </w:tcPr>
          <w:p w14:paraId="7D47228F" w14:textId="77777777" w:rsidR="00F67E9E" w:rsidRPr="00A45727" w:rsidRDefault="00F67E9E" w:rsidP="0052486C">
            <w:pPr>
              <w:pStyle w:val="Tabletext0"/>
              <w:widowControl/>
              <w:autoSpaceDE/>
              <w:autoSpaceDN/>
            </w:pPr>
          </w:p>
        </w:tc>
        <w:tc>
          <w:tcPr>
            <w:tcW w:w="1531" w:type="dxa"/>
          </w:tcPr>
          <w:p w14:paraId="2D05C947" w14:textId="77777777" w:rsidR="00F67E9E" w:rsidRPr="00A45727" w:rsidRDefault="00F67E9E" w:rsidP="0052486C">
            <w:pPr>
              <w:pStyle w:val="Tabletext0"/>
              <w:widowControl/>
              <w:autoSpaceDE/>
              <w:autoSpaceDN/>
            </w:pPr>
          </w:p>
        </w:tc>
        <w:tc>
          <w:tcPr>
            <w:tcW w:w="1531" w:type="dxa"/>
          </w:tcPr>
          <w:p w14:paraId="5207700D" w14:textId="77777777" w:rsidR="00F67E9E" w:rsidRPr="00A45727" w:rsidRDefault="00F67E9E" w:rsidP="0052486C">
            <w:pPr>
              <w:pStyle w:val="Tabletext0"/>
              <w:widowControl/>
              <w:autoSpaceDE/>
              <w:autoSpaceDN/>
            </w:pPr>
          </w:p>
        </w:tc>
        <w:tc>
          <w:tcPr>
            <w:tcW w:w="3742" w:type="dxa"/>
          </w:tcPr>
          <w:p w14:paraId="0262729A" w14:textId="77777777" w:rsidR="00F67E9E" w:rsidRPr="00A45727" w:rsidRDefault="00F67E9E" w:rsidP="0052486C">
            <w:pPr>
              <w:pStyle w:val="Tabletext0"/>
              <w:widowControl/>
              <w:autoSpaceDE/>
              <w:autoSpaceDN/>
            </w:pPr>
          </w:p>
        </w:tc>
        <w:tc>
          <w:tcPr>
            <w:tcW w:w="1814" w:type="dxa"/>
            <w:gridSpan w:val="2"/>
          </w:tcPr>
          <w:p w14:paraId="15D32330" w14:textId="77777777" w:rsidR="00F67E9E" w:rsidRPr="00A45727" w:rsidRDefault="00F67E9E" w:rsidP="0052486C">
            <w:pPr>
              <w:pStyle w:val="Tabletext0"/>
              <w:widowControl/>
              <w:autoSpaceDE/>
              <w:autoSpaceDN/>
            </w:pPr>
          </w:p>
        </w:tc>
      </w:tr>
      <w:tr w:rsidR="00F67E9E" w:rsidRPr="00025910" w14:paraId="739798E6" w14:textId="77777777" w:rsidTr="0052486C">
        <w:trPr>
          <w:trHeight w:val="680"/>
        </w:trPr>
        <w:tc>
          <w:tcPr>
            <w:tcW w:w="1417" w:type="dxa"/>
          </w:tcPr>
          <w:p w14:paraId="07749674" w14:textId="77777777" w:rsidR="00F67E9E" w:rsidRPr="00A45727" w:rsidRDefault="00F67E9E" w:rsidP="0052486C">
            <w:pPr>
              <w:pStyle w:val="Tabletext0"/>
              <w:widowControl/>
              <w:autoSpaceDE/>
              <w:autoSpaceDN/>
              <w:rPr>
                <w:b/>
                <w:bCs/>
              </w:rPr>
            </w:pPr>
            <w:r w:rsidRPr="00A45727">
              <w:rPr>
                <w:b/>
                <w:bCs/>
              </w:rPr>
              <w:t>Emp No</w:t>
            </w:r>
          </w:p>
        </w:tc>
        <w:tc>
          <w:tcPr>
            <w:tcW w:w="1701" w:type="dxa"/>
          </w:tcPr>
          <w:p w14:paraId="1EBC847C" w14:textId="77777777" w:rsidR="00F67E9E" w:rsidRPr="00A45727" w:rsidRDefault="00F67E9E" w:rsidP="0052486C">
            <w:pPr>
              <w:pStyle w:val="Tabletext0"/>
              <w:widowControl/>
              <w:autoSpaceDE/>
              <w:autoSpaceDN/>
            </w:pPr>
          </w:p>
        </w:tc>
        <w:tc>
          <w:tcPr>
            <w:tcW w:w="1701" w:type="dxa"/>
          </w:tcPr>
          <w:p w14:paraId="41334032" w14:textId="77777777" w:rsidR="00F67E9E" w:rsidRPr="00A45727" w:rsidRDefault="00F67E9E" w:rsidP="0052486C">
            <w:pPr>
              <w:pStyle w:val="Tabletext0"/>
              <w:widowControl/>
              <w:autoSpaceDE/>
              <w:autoSpaceDN/>
            </w:pPr>
          </w:p>
        </w:tc>
        <w:tc>
          <w:tcPr>
            <w:tcW w:w="1701" w:type="dxa"/>
          </w:tcPr>
          <w:p w14:paraId="66328C03" w14:textId="77777777" w:rsidR="00F67E9E" w:rsidRPr="00A45727" w:rsidRDefault="00F67E9E" w:rsidP="0052486C">
            <w:pPr>
              <w:pStyle w:val="Tabletext0"/>
              <w:widowControl/>
              <w:autoSpaceDE/>
              <w:autoSpaceDN/>
            </w:pPr>
          </w:p>
        </w:tc>
        <w:tc>
          <w:tcPr>
            <w:tcW w:w="1531" w:type="dxa"/>
          </w:tcPr>
          <w:p w14:paraId="3C3244BA" w14:textId="77777777" w:rsidR="00F67E9E" w:rsidRPr="00A45727" w:rsidRDefault="00F67E9E" w:rsidP="0052486C">
            <w:pPr>
              <w:pStyle w:val="Tabletext0"/>
              <w:widowControl/>
              <w:autoSpaceDE/>
              <w:autoSpaceDN/>
            </w:pPr>
          </w:p>
        </w:tc>
        <w:tc>
          <w:tcPr>
            <w:tcW w:w="1531" w:type="dxa"/>
          </w:tcPr>
          <w:p w14:paraId="6F837426" w14:textId="77777777" w:rsidR="00F67E9E" w:rsidRPr="00A45727" w:rsidRDefault="00F67E9E" w:rsidP="0052486C">
            <w:pPr>
              <w:pStyle w:val="Tabletext0"/>
              <w:widowControl/>
              <w:autoSpaceDE/>
              <w:autoSpaceDN/>
            </w:pPr>
          </w:p>
        </w:tc>
        <w:tc>
          <w:tcPr>
            <w:tcW w:w="3742" w:type="dxa"/>
          </w:tcPr>
          <w:p w14:paraId="210BDB2E" w14:textId="77777777" w:rsidR="00F67E9E" w:rsidRPr="00A45727" w:rsidRDefault="00F67E9E" w:rsidP="0052486C">
            <w:pPr>
              <w:pStyle w:val="Tabletext0"/>
              <w:widowControl/>
              <w:autoSpaceDE/>
              <w:autoSpaceDN/>
            </w:pPr>
          </w:p>
        </w:tc>
        <w:tc>
          <w:tcPr>
            <w:tcW w:w="1814" w:type="dxa"/>
            <w:gridSpan w:val="2"/>
          </w:tcPr>
          <w:p w14:paraId="5EE43379" w14:textId="77777777" w:rsidR="00F67E9E" w:rsidRPr="00A45727" w:rsidRDefault="00F67E9E" w:rsidP="0052486C">
            <w:pPr>
              <w:pStyle w:val="Tabletext0"/>
              <w:widowControl/>
              <w:autoSpaceDE/>
              <w:autoSpaceDN/>
            </w:pPr>
          </w:p>
        </w:tc>
      </w:tr>
      <w:tr w:rsidR="00F67E9E" w:rsidRPr="00025910" w14:paraId="55DE9F87" w14:textId="77777777" w:rsidTr="0052486C">
        <w:trPr>
          <w:trHeight w:val="680"/>
        </w:trPr>
        <w:tc>
          <w:tcPr>
            <w:tcW w:w="1417" w:type="dxa"/>
          </w:tcPr>
          <w:p w14:paraId="19D197A2" w14:textId="77777777" w:rsidR="00F67E9E" w:rsidRPr="00A45727" w:rsidRDefault="00F67E9E" w:rsidP="0052486C">
            <w:pPr>
              <w:pStyle w:val="Tabletext0"/>
              <w:widowControl/>
              <w:autoSpaceDE/>
              <w:autoSpaceDN/>
              <w:rPr>
                <w:b/>
                <w:bCs/>
              </w:rPr>
            </w:pPr>
            <w:r w:rsidRPr="00A45727">
              <w:rPr>
                <w:b/>
                <w:bCs/>
              </w:rPr>
              <w:t>Emp No</w:t>
            </w:r>
          </w:p>
        </w:tc>
        <w:tc>
          <w:tcPr>
            <w:tcW w:w="1701" w:type="dxa"/>
          </w:tcPr>
          <w:p w14:paraId="18B2E0DE" w14:textId="77777777" w:rsidR="00F67E9E" w:rsidRPr="00A45727" w:rsidRDefault="00F67E9E" w:rsidP="0052486C">
            <w:pPr>
              <w:pStyle w:val="Tabletext0"/>
              <w:widowControl/>
              <w:autoSpaceDE/>
              <w:autoSpaceDN/>
            </w:pPr>
          </w:p>
        </w:tc>
        <w:tc>
          <w:tcPr>
            <w:tcW w:w="1701" w:type="dxa"/>
          </w:tcPr>
          <w:p w14:paraId="21697546" w14:textId="77777777" w:rsidR="00F67E9E" w:rsidRPr="00A45727" w:rsidRDefault="00F67E9E" w:rsidP="0052486C">
            <w:pPr>
              <w:pStyle w:val="Tabletext0"/>
              <w:widowControl/>
              <w:autoSpaceDE/>
              <w:autoSpaceDN/>
            </w:pPr>
          </w:p>
        </w:tc>
        <w:tc>
          <w:tcPr>
            <w:tcW w:w="1701" w:type="dxa"/>
          </w:tcPr>
          <w:p w14:paraId="65C4C2FD" w14:textId="77777777" w:rsidR="00F67E9E" w:rsidRPr="00A45727" w:rsidRDefault="00F67E9E" w:rsidP="0052486C">
            <w:pPr>
              <w:pStyle w:val="Tabletext0"/>
              <w:widowControl/>
              <w:autoSpaceDE/>
              <w:autoSpaceDN/>
            </w:pPr>
          </w:p>
        </w:tc>
        <w:tc>
          <w:tcPr>
            <w:tcW w:w="1531" w:type="dxa"/>
          </w:tcPr>
          <w:p w14:paraId="48794577" w14:textId="77777777" w:rsidR="00F67E9E" w:rsidRPr="00A45727" w:rsidRDefault="00F67E9E" w:rsidP="0052486C">
            <w:pPr>
              <w:pStyle w:val="Tabletext0"/>
              <w:widowControl/>
              <w:autoSpaceDE/>
              <w:autoSpaceDN/>
            </w:pPr>
          </w:p>
        </w:tc>
        <w:tc>
          <w:tcPr>
            <w:tcW w:w="1531" w:type="dxa"/>
          </w:tcPr>
          <w:p w14:paraId="6F6AD319" w14:textId="77777777" w:rsidR="00F67E9E" w:rsidRPr="00A45727" w:rsidRDefault="00F67E9E" w:rsidP="0052486C">
            <w:pPr>
              <w:pStyle w:val="Tabletext0"/>
              <w:widowControl/>
              <w:autoSpaceDE/>
              <w:autoSpaceDN/>
            </w:pPr>
          </w:p>
        </w:tc>
        <w:tc>
          <w:tcPr>
            <w:tcW w:w="3742" w:type="dxa"/>
          </w:tcPr>
          <w:p w14:paraId="7031635C" w14:textId="77777777" w:rsidR="00F67E9E" w:rsidRPr="00A45727" w:rsidRDefault="00F67E9E" w:rsidP="0052486C">
            <w:pPr>
              <w:pStyle w:val="Tabletext0"/>
              <w:widowControl/>
              <w:autoSpaceDE/>
              <w:autoSpaceDN/>
            </w:pPr>
          </w:p>
        </w:tc>
        <w:tc>
          <w:tcPr>
            <w:tcW w:w="1814" w:type="dxa"/>
            <w:gridSpan w:val="2"/>
          </w:tcPr>
          <w:p w14:paraId="31BDB53C" w14:textId="77777777" w:rsidR="00F67E9E" w:rsidRPr="00A45727" w:rsidRDefault="00F67E9E" w:rsidP="0052486C">
            <w:pPr>
              <w:pStyle w:val="Tabletext0"/>
              <w:widowControl/>
              <w:autoSpaceDE/>
              <w:autoSpaceDN/>
            </w:pPr>
          </w:p>
        </w:tc>
      </w:tr>
    </w:tbl>
    <w:p w14:paraId="589AEAFD" w14:textId="77777777" w:rsidR="00F67E9E" w:rsidRDefault="00F67E9E" w:rsidP="00F67E9E"/>
    <w:p w14:paraId="4A35C9CC" w14:textId="77777777" w:rsidR="00F67E9E" w:rsidRPr="00025910" w:rsidRDefault="00F67E9E" w:rsidP="00F67E9E">
      <w:r w:rsidRPr="00025910">
        <w:br w:type="page"/>
      </w:r>
    </w:p>
    <w:tbl>
      <w:tblPr>
        <w:tblStyle w:val="MSATable-header"/>
        <w:tblW w:w="15140" w:type="dxa"/>
        <w:tblLook w:val="0620" w:firstRow="1" w:lastRow="0" w:firstColumn="0" w:lastColumn="0" w:noHBand="1" w:noVBand="1"/>
      </w:tblPr>
      <w:tblGrid>
        <w:gridCol w:w="1418"/>
        <w:gridCol w:w="2496"/>
        <w:gridCol w:w="1247"/>
        <w:gridCol w:w="1587"/>
        <w:gridCol w:w="3062"/>
        <w:gridCol w:w="1191"/>
        <w:gridCol w:w="1474"/>
        <w:gridCol w:w="1417"/>
        <w:gridCol w:w="1248"/>
      </w:tblGrid>
      <w:tr w:rsidR="00F67E9E" w:rsidRPr="00025910" w14:paraId="56B86E5F"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left w:val="nil"/>
            </w:tcBorders>
            <w:shd w:val="clear" w:color="auto" w:fill="auto"/>
          </w:tcPr>
          <w:p w14:paraId="0C8B6171" w14:textId="77777777" w:rsidR="00F67E9E" w:rsidRPr="00A45727" w:rsidRDefault="00F67E9E" w:rsidP="0052486C">
            <w:pPr>
              <w:pStyle w:val="Tabletext0"/>
              <w:widowControl/>
              <w:autoSpaceDE/>
              <w:autoSpaceDN/>
            </w:pPr>
          </w:p>
        </w:tc>
        <w:tc>
          <w:tcPr>
            <w:tcW w:w="2494" w:type="dxa"/>
          </w:tcPr>
          <w:p w14:paraId="5A25E6B8" w14:textId="77777777" w:rsidR="00F67E9E" w:rsidRPr="00A45727" w:rsidRDefault="00F67E9E" w:rsidP="0052486C">
            <w:pPr>
              <w:pStyle w:val="Tabletext0"/>
              <w:widowControl/>
              <w:autoSpaceDE/>
              <w:autoSpaceDN/>
            </w:pPr>
            <w:r w:rsidRPr="00A45727">
              <w:t>ASSIGNMENT</w:t>
            </w:r>
          </w:p>
        </w:tc>
        <w:tc>
          <w:tcPr>
            <w:tcW w:w="11225" w:type="dxa"/>
            <w:gridSpan w:val="7"/>
          </w:tcPr>
          <w:p w14:paraId="7B11034C" w14:textId="77777777" w:rsidR="00F67E9E" w:rsidRPr="00A45727" w:rsidRDefault="00F67E9E" w:rsidP="0052486C">
            <w:pPr>
              <w:pStyle w:val="Tabletext0"/>
              <w:widowControl/>
              <w:autoSpaceDE/>
              <w:autoSpaceDN/>
            </w:pPr>
            <w:r w:rsidRPr="00A45727">
              <w:t>CONTRACTUAL PAY AND BENEFITS</w:t>
            </w:r>
          </w:p>
        </w:tc>
      </w:tr>
      <w:tr w:rsidR="00F67E9E" w:rsidRPr="00025910" w14:paraId="765655D2"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7" w:type="dxa"/>
          </w:tcPr>
          <w:p w14:paraId="7C6F24C6" w14:textId="77777777" w:rsidR="00F67E9E" w:rsidRPr="00A45727" w:rsidRDefault="00F67E9E" w:rsidP="0052486C">
            <w:pPr>
              <w:pStyle w:val="Tabletext0"/>
              <w:widowControl/>
              <w:autoSpaceDE/>
              <w:autoSpaceDN/>
            </w:pPr>
            <w:r w:rsidRPr="00A45727">
              <w:t>Details</w:t>
            </w:r>
          </w:p>
        </w:tc>
        <w:tc>
          <w:tcPr>
            <w:tcW w:w="2494" w:type="dxa"/>
          </w:tcPr>
          <w:p w14:paraId="4EE2C035" w14:textId="77777777" w:rsidR="00F67E9E" w:rsidRPr="00A45727" w:rsidRDefault="00F67E9E" w:rsidP="0052486C">
            <w:pPr>
              <w:pStyle w:val="Tabletext0"/>
              <w:widowControl/>
              <w:autoSpaceDE/>
              <w:autoSpaceDN/>
            </w:pPr>
            <w:r w:rsidRPr="00A45727">
              <w:t>% of working time dedicated to the provision of services under the contract</w:t>
            </w:r>
          </w:p>
        </w:tc>
        <w:tc>
          <w:tcPr>
            <w:tcW w:w="1247" w:type="dxa"/>
          </w:tcPr>
          <w:p w14:paraId="6BF489E4" w14:textId="77777777" w:rsidR="00F67E9E" w:rsidRPr="00A45727" w:rsidRDefault="00F67E9E" w:rsidP="0052486C">
            <w:pPr>
              <w:pStyle w:val="Tabletext0"/>
              <w:widowControl/>
              <w:autoSpaceDE/>
              <w:autoSpaceDN/>
            </w:pPr>
            <w:r w:rsidRPr="00A45727">
              <w:t>Salary (or hourly rate of pay)</w:t>
            </w:r>
          </w:p>
        </w:tc>
        <w:tc>
          <w:tcPr>
            <w:tcW w:w="1587" w:type="dxa"/>
          </w:tcPr>
          <w:p w14:paraId="1F5AEB76" w14:textId="77777777" w:rsidR="00F67E9E" w:rsidRPr="00A45727" w:rsidRDefault="00F67E9E" w:rsidP="0052486C">
            <w:pPr>
              <w:pStyle w:val="Tabletext0"/>
              <w:widowControl/>
              <w:autoSpaceDE/>
              <w:autoSpaceDN/>
            </w:pPr>
            <w:r w:rsidRPr="00A45727">
              <w:t>Payment interval (weekly / fortnightly / monthly)</w:t>
            </w:r>
          </w:p>
        </w:tc>
        <w:tc>
          <w:tcPr>
            <w:tcW w:w="3061" w:type="dxa"/>
          </w:tcPr>
          <w:p w14:paraId="7E07DC9D" w14:textId="77777777" w:rsidR="00F67E9E" w:rsidRPr="00A45727" w:rsidRDefault="00F67E9E" w:rsidP="0052486C">
            <w:pPr>
              <w:pStyle w:val="Tabletext0"/>
              <w:widowControl/>
              <w:autoSpaceDE/>
              <w:autoSpaceDN/>
            </w:pPr>
            <w:r w:rsidRPr="00A45727">
              <w:t>Bonus payment for previous 12 months (please specify whether contractual or discretionary entitlement)</w:t>
            </w:r>
          </w:p>
        </w:tc>
        <w:tc>
          <w:tcPr>
            <w:tcW w:w="1191" w:type="dxa"/>
          </w:tcPr>
          <w:p w14:paraId="0EA76F92" w14:textId="77777777" w:rsidR="00F67E9E" w:rsidRPr="00A45727" w:rsidRDefault="00F67E9E" w:rsidP="0052486C">
            <w:pPr>
              <w:pStyle w:val="Tabletext0"/>
              <w:widowControl/>
              <w:autoSpaceDE/>
              <w:autoSpaceDN/>
            </w:pPr>
            <w:r w:rsidRPr="00A45727">
              <w:t>Pay review method</w:t>
            </w:r>
          </w:p>
        </w:tc>
        <w:tc>
          <w:tcPr>
            <w:tcW w:w="1474" w:type="dxa"/>
          </w:tcPr>
          <w:p w14:paraId="486FE352" w14:textId="77777777" w:rsidR="00F67E9E" w:rsidRPr="00A45727" w:rsidRDefault="00F67E9E" w:rsidP="0052486C">
            <w:pPr>
              <w:pStyle w:val="Tabletext0"/>
              <w:widowControl/>
              <w:autoSpaceDE/>
              <w:autoSpaceDN/>
            </w:pPr>
            <w:r w:rsidRPr="00A45727">
              <w:t>Frequency of pay reviews</w:t>
            </w:r>
          </w:p>
        </w:tc>
        <w:tc>
          <w:tcPr>
            <w:tcW w:w="1417" w:type="dxa"/>
          </w:tcPr>
          <w:p w14:paraId="07708BDF" w14:textId="77777777" w:rsidR="00F67E9E" w:rsidRPr="00A45727" w:rsidRDefault="00F67E9E" w:rsidP="0052486C">
            <w:pPr>
              <w:pStyle w:val="Tabletext0"/>
              <w:widowControl/>
              <w:autoSpaceDE/>
              <w:autoSpaceDN/>
            </w:pPr>
            <w:r w:rsidRPr="00A45727">
              <w:t>Agreed pay increases</w:t>
            </w:r>
          </w:p>
        </w:tc>
        <w:tc>
          <w:tcPr>
            <w:tcW w:w="1247" w:type="dxa"/>
          </w:tcPr>
          <w:p w14:paraId="03B29DA4" w14:textId="77777777" w:rsidR="00F67E9E" w:rsidRPr="00A45727" w:rsidRDefault="00F67E9E" w:rsidP="0052486C">
            <w:pPr>
              <w:pStyle w:val="Tabletext0"/>
              <w:widowControl/>
              <w:autoSpaceDE/>
              <w:autoSpaceDN/>
            </w:pPr>
            <w:r w:rsidRPr="00A45727">
              <w:t>Next pay review date</w:t>
            </w:r>
          </w:p>
        </w:tc>
      </w:tr>
      <w:tr w:rsidR="00F67E9E" w:rsidRPr="00025910" w14:paraId="412615DA" w14:textId="77777777" w:rsidTr="0052486C">
        <w:trPr>
          <w:trHeight w:val="680"/>
        </w:trPr>
        <w:tc>
          <w:tcPr>
            <w:tcW w:w="1417" w:type="dxa"/>
          </w:tcPr>
          <w:p w14:paraId="692750CC" w14:textId="77777777" w:rsidR="00F67E9E" w:rsidRPr="00A45727" w:rsidRDefault="00F67E9E" w:rsidP="0052486C">
            <w:pPr>
              <w:pStyle w:val="Tabletext0"/>
              <w:widowControl/>
              <w:autoSpaceDE/>
              <w:autoSpaceDN/>
              <w:rPr>
                <w:b/>
                <w:bCs/>
              </w:rPr>
            </w:pPr>
            <w:r w:rsidRPr="00A45727">
              <w:rPr>
                <w:b/>
                <w:bCs/>
              </w:rPr>
              <w:t>Emp No 1</w:t>
            </w:r>
          </w:p>
        </w:tc>
        <w:tc>
          <w:tcPr>
            <w:tcW w:w="2494" w:type="dxa"/>
          </w:tcPr>
          <w:p w14:paraId="24539786" w14:textId="77777777" w:rsidR="00F67E9E" w:rsidRPr="00A45727" w:rsidRDefault="00F67E9E" w:rsidP="0052486C">
            <w:pPr>
              <w:pStyle w:val="Tabletext0"/>
              <w:widowControl/>
              <w:autoSpaceDE/>
              <w:autoSpaceDN/>
            </w:pPr>
          </w:p>
        </w:tc>
        <w:tc>
          <w:tcPr>
            <w:tcW w:w="1247" w:type="dxa"/>
          </w:tcPr>
          <w:p w14:paraId="35E8BB5C" w14:textId="77777777" w:rsidR="00F67E9E" w:rsidRPr="00A45727" w:rsidRDefault="00F67E9E" w:rsidP="0052486C">
            <w:pPr>
              <w:pStyle w:val="Tabletext0"/>
              <w:widowControl/>
              <w:autoSpaceDE/>
              <w:autoSpaceDN/>
            </w:pPr>
          </w:p>
        </w:tc>
        <w:tc>
          <w:tcPr>
            <w:tcW w:w="1587" w:type="dxa"/>
          </w:tcPr>
          <w:p w14:paraId="3C687D6E" w14:textId="77777777" w:rsidR="00F67E9E" w:rsidRPr="00A45727" w:rsidRDefault="00F67E9E" w:rsidP="0052486C">
            <w:pPr>
              <w:pStyle w:val="Tabletext0"/>
              <w:widowControl/>
              <w:autoSpaceDE/>
              <w:autoSpaceDN/>
            </w:pPr>
          </w:p>
        </w:tc>
        <w:tc>
          <w:tcPr>
            <w:tcW w:w="3061" w:type="dxa"/>
          </w:tcPr>
          <w:p w14:paraId="0FA0C9F8" w14:textId="77777777" w:rsidR="00F67E9E" w:rsidRPr="00A45727" w:rsidRDefault="00F67E9E" w:rsidP="0052486C">
            <w:pPr>
              <w:pStyle w:val="Tabletext0"/>
              <w:widowControl/>
              <w:autoSpaceDE/>
              <w:autoSpaceDN/>
            </w:pPr>
          </w:p>
        </w:tc>
        <w:tc>
          <w:tcPr>
            <w:tcW w:w="1191" w:type="dxa"/>
          </w:tcPr>
          <w:p w14:paraId="2670DCE0" w14:textId="77777777" w:rsidR="00F67E9E" w:rsidRPr="00A45727" w:rsidRDefault="00F67E9E" w:rsidP="0052486C">
            <w:pPr>
              <w:pStyle w:val="Tabletext0"/>
              <w:widowControl/>
              <w:autoSpaceDE/>
              <w:autoSpaceDN/>
            </w:pPr>
          </w:p>
        </w:tc>
        <w:tc>
          <w:tcPr>
            <w:tcW w:w="1474" w:type="dxa"/>
          </w:tcPr>
          <w:p w14:paraId="52D6568A" w14:textId="77777777" w:rsidR="00F67E9E" w:rsidRPr="00A45727" w:rsidRDefault="00F67E9E" w:rsidP="0052486C">
            <w:pPr>
              <w:pStyle w:val="Tabletext0"/>
              <w:widowControl/>
              <w:autoSpaceDE/>
              <w:autoSpaceDN/>
            </w:pPr>
          </w:p>
        </w:tc>
        <w:tc>
          <w:tcPr>
            <w:tcW w:w="1417" w:type="dxa"/>
          </w:tcPr>
          <w:p w14:paraId="03C2CBD2" w14:textId="77777777" w:rsidR="00F67E9E" w:rsidRPr="00A45727" w:rsidRDefault="00F67E9E" w:rsidP="0052486C">
            <w:pPr>
              <w:pStyle w:val="Tabletext0"/>
              <w:widowControl/>
              <w:autoSpaceDE/>
              <w:autoSpaceDN/>
            </w:pPr>
          </w:p>
        </w:tc>
        <w:tc>
          <w:tcPr>
            <w:tcW w:w="1247" w:type="dxa"/>
          </w:tcPr>
          <w:p w14:paraId="6311E90A" w14:textId="77777777" w:rsidR="00F67E9E" w:rsidRPr="00A45727" w:rsidRDefault="00F67E9E" w:rsidP="0052486C">
            <w:pPr>
              <w:pStyle w:val="Tabletext0"/>
              <w:widowControl/>
              <w:autoSpaceDE/>
              <w:autoSpaceDN/>
            </w:pPr>
          </w:p>
        </w:tc>
      </w:tr>
      <w:tr w:rsidR="00F67E9E" w:rsidRPr="00025910" w14:paraId="54DA4CB6" w14:textId="77777777" w:rsidTr="0052486C">
        <w:trPr>
          <w:trHeight w:val="680"/>
        </w:trPr>
        <w:tc>
          <w:tcPr>
            <w:tcW w:w="1417" w:type="dxa"/>
          </w:tcPr>
          <w:p w14:paraId="6D211147" w14:textId="77777777" w:rsidR="00F67E9E" w:rsidRPr="00A45727" w:rsidRDefault="00F67E9E" w:rsidP="0052486C">
            <w:pPr>
              <w:pStyle w:val="Tabletext0"/>
              <w:widowControl/>
              <w:autoSpaceDE/>
              <w:autoSpaceDN/>
              <w:rPr>
                <w:b/>
                <w:bCs/>
              </w:rPr>
            </w:pPr>
            <w:r w:rsidRPr="00A45727">
              <w:rPr>
                <w:b/>
                <w:bCs/>
              </w:rPr>
              <w:t>Emp No 2</w:t>
            </w:r>
          </w:p>
        </w:tc>
        <w:tc>
          <w:tcPr>
            <w:tcW w:w="2494" w:type="dxa"/>
          </w:tcPr>
          <w:p w14:paraId="28A0BCC4" w14:textId="77777777" w:rsidR="00F67E9E" w:rsidRPr="00A45727" w:rsidRDefault="00F67E9E" w:rsidP="0052486C">
            <w:pPr>
              <w:pStyle w:val="Tabletext0"/>
              <w:widowControl/>
              <w:autoSpaceDE/>
              <w:autoSpaceDN/>
            </w:pPr>
          </w:p>
        </w:tc>
        <w:tc>
          <w:tcPr>
            <w:tcW w:w="1247" w:type="dxa"/>
          </w:tcPr>
          <w:p w14:paraId="39767B4D" w14:textId="77777777" w:rsidR="00F67E9E" w:rsidRPr="00A45727" w:rsidRDefault="00F67E9E" w:rsidP="0052486C">
            <w:pPr>
              <w:pStyle w:val="Tabletext0"/>
              <w:widowControl/>
              <w:autoSpaceDE/>
              <w:autoSpaceDN/>
            </w:pPr>
          </w:p>
        </w:tc>
        <w:tc>
          <w:tcPr>
            <w:tcW w:w="1587" w:type="dxa"/>
          </w:tcPr>
          <w:p w14:paraId="1165197C" w14:textId="77777777" w:rsidR="00F67E9E" w:rsidRPr="00A45727" w:rsidRDefault="00F67E9E" w:rsidP="0052486C">
            <w:pPr>
              <w:pStyle w:val="Tabletext0"/>
              <w:widowControl/>
              <w:autoSpaceDE/>
              <w:autoSpaceDN/>
            </w:pPr>
          </w:p>
        </w:tc>
        <w:tc>
          <w:tcPr>
            <w:tcW w:w="3061" w:type="dxa"/>
          </w:tcPr>
          <w:p w14:paraId="6E8F5BB9" w14:textId="77777777" w:rsidR="00F67E9E" w:rsidRPr="00A45727" w:rsidRDefault="00F67E9E" w:rsidP="0052486C">
            <w:pPr>
              <w:pStyle w:val="Tabletext0"/>
              <w:widowControl/>
              <w:autoSpaceDE/>
              <w:autoSpaceDN/>
            </w:pPr>
          </w:p>
        </w:tc>
        <w:tc>
          <w:tcPr>
            <w:tcW w:w="1191" w:type="dxa"/>
          </w:tcPr>
          <w:p w14:paraId="0CBEB275" w14:textId="77777777" w:rsidR="00F67E9E" w:rsidRPr="00A45727" w:rsidRDefault="00F67E9E" w:rsidP="0052486C">
            <w:pPr>
              <w:pStyle w:val="Tabletext0"/>
              <w:widowControl/>
              <w:autoSpaceDE/>
              <w:autoSpaceDN/>
            </w:pPr>
          </w:p>
        </w:tc>
        <w:tc>
          <w:tcPr>
            <w:tcW w:w="1474" w:type="dxa"/>
          </w:tcPr>
          <w:p w14:paraId="0AD0FBDD" w14:textId="77777777" w:rsidR="00F67E9E" w:rsidRPr="00A45727" w:rsidRDefault="00F67E9E" w:rsidP="0052486C">
            <w:pPr>
              <w:pStyle w:val="Tabletext0"/>
              <w:widowControl/>
              <w:autoSpaceDE/>
              <w:autoSpaceDN/>
            </w:pPr>
          </w:p>
        </w:tc>
        <w:tc>
          <w:tcPr>
            <w:tcW w:w="1417" w:type="dxa"/>
          </w:tcPr>
          <w:p w14:paraId="0E5AFA18" w14:textId="77777777" w:rsidR="00F67E9E" w:rsidRPr="00A45727" w:rsidRDefault="00F67E9E" w:rsidP="0052486C">
            <w:pPr>
              <w:pStyle w:val="Tabletext0"/>
              <w:widowControl/>
              <w:autoSpaceDE/>
              <w:autoSpaceDN/>
            </w:pPr>
          </w:p>
        </w:tc>
        <w:tc>
          <w:tcPr>
            <w:tcW w:w="1247" w:type="dxa"/>
          </w:tcPr>
          <w:p w14:paraId="53393605" w14:textId="77777777" w:rsidR="00F67E9E" w:rsidRPr="00A45727" w:rsidRDefault="00F67E9E" w:rsidP="0052486C">
            <w:pPr>
              <w:pStyle w:val="Tabletext0"/>
              <w:widowControl/>
              <w:autoSpaceDE/>
              <w:autoSpaceDN/>
            </w:pPr>
          </w:p>
        </w:tc>
      </w:tr>
      <w:tr w:rsidR="00F67E9E" w:rsidRPr="00025910" w14:paraId="6C9977B7" w14:textId="77777777" w:rsidTr="0052486C">
        <w:trPr>
          <w:trHeight w:val="680"/>
        </w:trPr>
        <w:tc>
          <w:tcPr>
            <w:tcW w:w="1417" w:type="dxa"/>
          </w:tcPr>
          <w:p w14:paraId="55BDB55D" w14:textId="77777777" w:rsidR="00F67E9E" w:rsidRPr="00A45727" w:rsidRDefault="00F67E9E" w:rsidP="0052486C">
            <w:pPr>
              <w:pStyle w:val="Tabletext0"/>
              <w:widowControl/>
              <w:autoSpaceDE/>
              <w:autoSpaceDN/>
              <w:rPr>
                <w:b/>
                <w:bCs/>
              </w:rPr>
            </w:pPr>
            <w:r w:rsidRPr="00A45727">
              <w:rPr>
                <w:b/>
                <w:bCs/>
              </w:rPr>
              <w:t>Emp No</w:t>
            </w:r>
          </w:p>
        </w:tc>
        <w:tc>
          <w:tcPr>
            <w:tcW w:w="2494" w:type="dxa"/>
          </w:tcPr>
          <w:p w14:paraId="69E3830E" w14:textId="77777777" w:rsidR="00F67E9E" w:rsidRPr="00A45727" w:rsidRDefault="00F67E9E" w:rsidP="0052486C">
            <w:pPr>
              <w:pStyle w:val="Tabletext0"/>
              <w:widowControl/>
              <w:autoSpaceDE/>
              <w:autoSpaceDN/>
            </w:pPr>
          </w:p>
        </w:tc>
        <w:tc>
          <w:tcPr>
            <w:tcW w:w="1247" w:type="dxa"/>
          </w:tcPr>
          <w:p w14:paraId="58279ADC" w14:textId="77777777" w:rsidR="00F67E9E" w:rsidRPr="00A45727" w:rsidRDefault="00F67E9E" w:rsidP="0052486C">
            <w:pPr>
              <w:pStyle w:val="Tabletext0"/>
              <w:widowControl/>
              <w:autoSpaceDE/>
              <w:autoSpaceDN/>
            </w:pPr>
          </w:p>
        </w:tc>
        <w:tc>
          <w:tcPr>
            <w:tcW w:w="1587" w:type="dxa"/>
          </w:tcPr>
          <w:p w14:paraId="026CBD8C" w14:textId="77777777" w:rsidR="00F67E9E" w:rsidRPr="00A45727" w:rsidRDefault="00F67E9E" w:rsidP="0052486C">
            <w:pPr>
              <w:pStyle w:val="Tabletext0"/>
              <w:widowControl/>
              <w:autoSpaceDE/>
              <w:autoSpaceDN/>
            </w:pPr>
          </w:p>
        </w:tc>
        <w:tc>
          <w:tcPr>
            <w:tcW w:w="3061" w:type="dxa"/>
          </w:tcPr>
          <w:p w14:paraId="20B04C3F" w14:textId="77777777" w:rsidR="00F67E9E" w:rsidRPr="00A45727" w:rsidRDefault="00F67E9E" w:rsidP="0052486C">
            <w:pPr>
              <w:pStyle w:val="Tabletext0"/>
              <w:widowControl/>
              <w:autoSpaceDE/>
              <w:autoSpaceDN/>
            </w:pPr>
          </w:p>
        </w:tc>
        <w:tc>
          <w:tcPr>
            <w:tcW w:w="1191" w:type="dxa"/>
          </w:tcPr>
          <w:p w14:paraId="2669E30F" w14:textId="77777777" w:rsidR="00F67E9E" w:rsidRPr="00A45727" w:rsidRDefault="00F67E9E" w:rsidP="0052486C">
            <w:pPr>
              <w:pStyle w:val="Tabletext0"/>
              <w:widowControl/>
              <w:autoSpaceDE/>
              <w:autoSpaceDN/>
            </w:pPr>
          </w:p>
        </w:tc>
        <w:tc>
          <w:tcPr>
            <w:tcW w:w="1474" w:type="dxa"/>
          </w:tcPr>
          <w:p w14:paraId="47387C95" w14:textId="77777777" w:rsidR="00F67E9E" w:rsidRPr="00A45727" w:rsidRDefault="00F67E9E" w:rsidP="0052486C">
            <w:pPr>
              <w:pStyle w:val="Tabletext0"/>
              <w:widowControl/>
              <w:autoSpaceDE/>
              <w:autoSpaceDN/>
            </w:pPr>
          </w:p>
        </w:tc>
        <w:tc>
          <w:tcPr>
            <w:tcW w:w="1417" w:type="dxa"/>
          </w:tcPr>
          <w:p w14:paraId="5D103A91" w14:textId="77777777" w:rsidR="00F67E9E" w:rsidRPr="00A45727" w:rsidRDefault="00F67E9E" w:rsidP="0052486C">
            <w:pPr>
              <w:pStyle w:val="Tabletext0"/>
              <w:widowControl/>
              <w:autoSpaceDE/>
              <w:autoSpaceDN/>
            </w:pPr>
          </w:p>
        </w:tc>
        <w:tc>
          <w:tcPr>
            <w:tcW w:w="1247" w:type="dxa"/>
          </w:tcPr>
          <w:p w14:paraId="52A3AFBB" w14:textId="77777777" w:rsidR="00F67E9E" w:rsidRPr="00A45727" w:rsidRDefault="00F67E9E" w:rsidP="0052486C">
            <w:pPr>
              <w:pStyle w:val="Tabletext0"/>
              <w:widowControl/>
              <w:autoSpaceDE/>
              <w:autoSpaceDN/>
            </w:pPr>
          </w:p>
        </w:tc>
      </w:tr>
      <w:tr w:rsidR="00F67E9E" w:rsidRPr="00025910" w14:paraId="5A524274" w14:textId="77777777" w:rsidTr="0052486C">
        <w:trPr>
          <w:trHeight w:val="680"/>
        </w:trPr>
        <w:tc>
          <w:tcPr>
            <w:tcW w:w="1417" w:type="dxa"/>
          </w:tcPr>
          <w:p w14:paraId="56929F11" w14:textId="77777777" w:rsidR="00F67E9E" w:rsidRPr="00A45727" w:rsidRDefault="00F67E9E" w:rsidP="0052486C">
            <w:pPr>
              <w:pStyle w:val="Tabletext0"/>
              <w:widowControl/>
              <w:autoSpaceDE/>
              <w:autoSpaceDN/>
              <w:rPr>
                <w:b/>
                <w:bCs/>
              </w:rPr>
            </w:pPr>
            <w:r w:rsidRPr="00A45727">
              <w:rPr>
                <w:b/>
                <w:bCs/>
              </w:rPr>
              <w:t>Emp No</w:t>
            </w:r>
          </w:p>
        </w:tc>
        <w:tc>
          <w:tcPr>
            <w:tcW w:w="2494" w:type="dxa"/>
          </w:tcPr>
          <w:p w14:paraId="51ED251E" w14:textId="77777777" w:rsidR="00F67E9E" w:rsidRPr="00A45727" w:rsidRDefault="00F67E9E" w:rsidP="0052486C">
            <w:pPr>
              <w:pStyle w:val="Tabletext0"/>
              <w:widowControl/>
              <w:autoSpaceDE/>
              <w:autoSpaceDN/>
            </w:pPr>
          </w:p>
        </w:tc>
        <w:tc>
          <w:tcPr>
            <w:tcW w:w="1247" w:type="dxa"/>
          </w:tcPr>
          <w:p w14:paraId="11B5D6DA" w14:textId="77777777" w:rsidR="00F67E9E" w:rsidRPr="00A45727" w:rsidRDefault="00F67E9E" w:rsidP="0052486C">
            <w:pPr>
              <w:pStyle w:val="Tabletext0"/>
              <w:widowControl/>
              <w:autoSpaceDE/>
              <w:autoSpaceDN/>
            </w:pPr>
          </w:p>
        </w:tc>
        <w:tc>
          <w:tcPr>
            <w:tcW w:w="1587" w:type="dxa"/>
          </w:tcPr>
          <w:p w14:paraId="080032B4" w14:textId="77777777" w:rsidR="00F67E9E" w:rsidRPr="00A45727" w:rsidRDefault="00F67E9E" w:rsidP="0052486C">
            <w:pPr>
              <w:pStyle w:val="Tabletext0"/>
              <w:widowControl/>
              <w:autoSpaceDE/>
              <w:autoSpaceDN/>
            </w:pPr>
          </w:p>
        </w:tc>
        <w:tc>
          <w:tcPr>
            <w:tcW w:w="3061" w:type="dxa"/>
          </w:tcPr>
          <w:p w14:paraId="0AA5DE23" w14:textId="77777777" w:rsidR="00F67E9E" w:rsidRPr="00A45727" w:rsidRDefault="00F67E9E" w:rsidP="0052486C">
            <w:pPr>
              <w:pStyle w:val="Tabletext0"/>
              <w:widowControl/>
              <w:autoSpaceDE/>
              <w:autoSpaceDN/>
            </w:pPr>
          </w:p>
        </w:tc>
        <w:tc>
          <w:tcPr>
            <w:tcW w:w="1191" w:type="dxa"/>
          </w:tcPr>
          <w:p w14:paraId="1847A7C7" w14:textId="77777777" w:rsidR="00F67E9E" w:rsidRPr="00A45727" w:rsidRDefault="00F67E9E" w:rsidP="0052486C">
            <w:pPr>
              <w:pStyle w:val="Tabletext0"/>
              <w:widowControl/>
              <w:autoSpaceDE/>
              <w:autoSpaceDN/>
            </w:pPr>
          </w:p>
        </w:tc>
        <w:tc>
          <w:tcPr>
            <w:tcW w:w="1474" w:type="dxa"/>
          </w:tcPr>
          <w:p w14:paraId="0FFC4693" w14:textId="77777777" w:rsidR="00F67E9E" w:rsidRPr="00A45727" w:rsidRDefault="00F67E9E" w:rsidP="0052486C">
            <w:pPr>
              <w:pStyle w:val="Tabletext0"/>
              <w:widowControl/>
              <w:autoSpaceDE/>
              <w:autoSpaceDN/>
            </w:pPr>
          </w:p>
        </w:tc>
        <w:tc>
          <w:tcPr>
            <w:tcW w:w="1417" w:type="dxa"/>
          </w:tcPr>
          <w:p w14:paraId="5C2C419A" w14:textId="77777777" w:rsidR="00F67E9E" w:rsidRPr="00A45727" w:rsidRDefault="00F67E9E" w:rsidP="0052486C">
            <w:pPr>
              <w:pStyle w:val="Tabletext0"/>
              <w:widowControl/>
              <w:autoSpaceDE/>
              <w:autoSpaceDN/>
            </w:pPr>
          </w:p>
        </w:tc>
        <w:tc>
          <w:tcPr>
            <w:tcW w:w="1247" w:type="dxa"/>
          </w:tcPr>
          <w:p w14:paraId="28DDA6BC" w14:textId="77777777" w:rsidR="00F67E9E" w:rsidRPr="00A45727" w:rsidRDefault="00F67E9E" w:rsidP="0052486C">
            <w:pPr>
              <w:pStyle w:val="Tabletext0"/>
              <w:widowControl/>
              <w:autoSpaceDE/>
              <w:autoSpaceDN/>
            </w:pPr>
          </w:p>
        </w:tc>
      </w:tr>
      <w:tr w:rsidR="00F67E9E" w:rsidRPr="00025910" w14:paraId="64B6F8BE" w14:textId="77777777" w:rsidTr="0052486C">
        <w:trPr>
          <w:trHeight w:val="680"/>
        </w:trPr>
        <w:tc>
          <w:tcPr>
            <w:tcW w:w="1417" w:type="dxa"/>
          </w:tcPr>
          <w:p w14:paraId="20CC32E9" w14:textId="77777777" w:rsidR="00F67E9E" w:rsidRPr="00A45727" w:rsidRDefault="00F67E9E" w:rsidP="0052486C">
            <w:pPr>
              <w:pStyle w:val="Tabletext0"/>
              <w:widowControl/>
              <w:autoSpaceDE/>
              <w:autoSpaceDN/>
              <w:rPr>
                <w:b/>
                <w:bCs/>
              </w:rPr>
            </w:pPr>
            <w:r w:rsidRPr="00A45727">
              <w:rPr>
                <w:b/>
                <w:bCs/>
              </w:rPr>
              <w:t>Emp No</w:t>
            </w:r>
          </w:p>
        </w:tc>
        <w:tc>
          <w:tcPr>
            <w:tcW w:w="2494" w:type="dxa"/>
          </w:tcPr>
          <w:p w14:paraId="54C9D528" w14:textId="77777777" w:rsidR="00F67E9E" w:rsidRPr="00A45727" w:rsidRDefault="00F67E9E" w:rsidP="0052486C">
            <w:pPr>
              <w:pStyle w:val="Tabletext0"/>
              <w:widowControl/>
              <w:autoSpaceDE/>
              <w:autoSpaceDN/>
            </w:pPr>
          </w:p>
        </w:tc>
        <w:tc>
          <w:tcPr>
            <w:tcW w:w="1247" w:type="dxa"/>
          </w:tcPr>
          <w:p w14:paraId="5E03486E" w14:textId="77777777" w:rsidR="00F67E9E" w:rsidRPr="00A45727" w:rsidRDefault="00F67E9E" w:rsidP="0052486C">
            <w:pPr>
              <w:pStyle w:val="Tabletext0"/>
              <w:widowControl/>
              <w:autoSpaceDE/>
              <w:autoSpaceDN/>
            </w:pPr>
          </w:p>
        </w:tc>
        <w:tc>
          <w:tcPr>
            <w:tcW w:w="1587" w:type="dxa"/>
          </w:tcPr>
          <w:p w14:paraId="3EFE8930" w14:textId="77777777" w:rsidR="00F67E9E" w:rsidRPr="00A45727" w:rsidRDefault="00F67E9E" w:rsidP="0052486C">
            <w:pPr>
              <w:pStyle w:val="Tabletext0"/>
              <w:widowControl/>
              <w:autoSpaceDE/>
              <w:autoSpaceDN/>
            </w:pPr>
          </w:p>
        </w:tc>
        <w:tc>
          <w:tcPr>
            <w:tcW w:w="3061" w:type="dxa"/>
          </w:tcPr>
          <w:p w14:paraId="45E1DF7D" w14:textId="77777777" w:rsidR="00F67E9E" w:rsidRPr="00A45727" w:rsidRDefault="00F67E9E" w:rsidP="0052486C">
            <w:pPr>
              <w:pStyle w:val="Tabletext0"/>
              <w:widowControl/>
              <w:autoSpaceDE/>
              <w:autoSpaceDN/>
            </w:pPr>
          </w:p>
        </w:tc>
        <w:tc>
          <w:tcPr>
            <w:tcW w:w="1191" w:type="dxa"/>
          </w:tcPr>
          <w:p w14:paraId="05478B37" w14:textId="77777777" w:rsidR="00F67E9E" w:rsidRPr="00A45727" w:rsidRDefault="00F67E9E" w:rsidP="0052486C">
            <w:pPr>
              <w:pStyle w:val="Tabletext0"/>
              <w:widowControl/>
              <w:autoSpaceDE/>
              <w:autoSpaceDN/>
            </w:pPr>
          </w:p>
        </w:tc>
        <w:tc>
          <w:tcPr>
            <w:tcW w:w="1474" w:type="dxa"/>
          </w:tcPr>
          <w:p w14:paraId="24B4776D" w14:textId="77777777" w:rsidR="00F67E9E" w:rsidRPr="00A45727" w:rsidRDefault="00F67E9E" w:rsidP="0052486C">
            <w:pPr>
              <w:pStyle w:val="Tabletext0"/>
              <w:widowControl/>
              <w:autoSpaceDE/>
              <w:autoSpaceDN/>
            </w:pPr>
          </w:p>
        </w:tc>
        <w:tc>
          <w:tcPr>
            <w:tcW w:w="1417" w:type="dxa"/>
          </w:tcPr>
          <w:p w14:paraId="3A565E26" w14:textId="77777777" w:rsidR="00F67E9E" w:rsidRPr="00A45727" w:rsidRDefault="00F67E9E" w:rsidP="0052486C">
            <w:pPr>
              <w:pStyle w:val="Tabletext0"/>
              <w:widowControl/>
              <w:autoSpaceDE/>
              <w:autoSpaceDN/>
            </w:pPr>
          </w:p>
        </w:tc>
        <w:tc>
          <w:tcPr>
            <w:tcW w:w="1247" w:type="dxa"/>
          </w:tcPr>
          <w:p w14:paraId="1E66B192" w14:textId="77777777" w:rsidR="00F67E9E" w:rsidRPr="00A45727" w:rsidRDefault="00F67E9E" w:rsidP="0052486C">
            <w:pPr>
              <w:pStyle w:val="Tabletext0"/>
              <w:widowControl/>
              <w:autoSpaceDE/>
              <w:autoSpaceDN/>
            </w:pPr>
          </w:p>
        </w:tc>
      </w:tr>
      <w:tr w:rsidR="00F67E9E" w:rsidRPr="00025910" w14:paraId="5AD0B1D0" w14:textId="77777777" w:rsidTr="0052486C">
        <w:trPr>
          <w:trHeight w:val="680"/>
        </w:trPr>
        <w:tc>
          <w:tcPr>
            <w:tcW w:w="1417" w:type="dxa"/>
          </w:tcPr>
          <w:p w14:paraId="5A716E88" w14:textId="77777777" w:rsidR="00F67E9E" w:rsidRPr="00A45727" w:rsidRDefault="00F67E9E" w:rsidP="0052486C">
            <w:pPr>
              <w:pStyle w:val="Tabletext0"/>
              <w:widowControl/>
              <w:autoSpaceDE/>
              <w:autoSpaceDN/>
              <w:rPr>
                <w:b/>
                <w:bCs/>
              </w:rPr>
            </w:pPr>
            <w:r w:rsidRPr="00A45727">
              <w:rPr>
                <w:b/>
                <w:bCs/>
              </w:rPr>
              <w:t>Emp No</w:t>
            </w:r>
          </w:p>
        </w:tc>
        <w:tc>
          <w:tcPr>
            <w:tcW w:w="2494" w:type="dxa"/>
          </w:tcPr>
          <w:p w14:paraId="4CAA4B9F" w14:textId="77777777" w:rsidR="00F67E9E" w:rsidRPr="00A45727" w:rsidRDefault="00F67E9E" w:rsidP="0052486C">
            <w:pPr>
              <w:pStyle w:val="Tabletext0"/>
              <w:widowControl/>
              <w:autoSpaceDE/>
              <w:autoSpaceDN/>
            </w:pPr>
          </w:p>
        </w:tc>
        <w:tc>
          <w:tcPr>
            <w:tcW w:w="1247" w:type="dxa"/>
          </w:tcPr>
          <w:p w14:paraId="3C23E209" w14:textId="77777777" w:rsidR="00F67E9E" w:rsidRPr="00A45727" w:rsidRDefault="00F67E9E" w:rsidP="0052486C">
            <w:pPr>
              <w:pStyle w:val="Tabletext0"/>
              <w:widowControl/>
              <w:autoSpaceDE/>
              <w:autoSpaceDN/>
            </w:pPr>
          </w:p>
        </w:tc>
        <w:tc>
          <w:tcPr>
            <w:tcW w:w="1587" w:type="dxa"/>
          </w:tcPr>
          <w:p w14:paraId="47A353DA" w14:textId="77777777" w:rsidR="00F67E9E" w:rsidRPr="00A45727" w:rsidRDefault="00F67E9E" w:rsidP="0052486C">
            <w:pPr>
              <w:pStyle w:val="Tabletext0"/>
              <w:widowControl/>
              <w:autoSpaceDE/>
              <w:autoSpaceDN/>
            </w:pPr>
          </w:p>
        </w:tc>
        <w:tc>
          <w:tcPr>
            <w:tcW w:w="3061" w:type="dxa"/>
          </w:tcPr>
          <w:p w14:paraId="5FD4B134" w14:textId="77777777" w:rsidR="00F67E9E" w:rsidRPr="00A45727" w:rsidRDefault="00F67E9E" w:rsidP="0052486C">
            <w:pPr>
              <w:pStyle w:val="Tabletext0"/>
              <w:widowControl/>
              <w:autoSpaceDE/>
              <w:autoSpaceDN/>
            </w:pPr>
          </w:p>
        </w:tc>
        <w:tc>
          <w:tcPr>
            <w:tcW w:w="1191" w:type="dxa"/>
          </w:tcPr>
          <w:p w14:paraId="7D9EFE04" w14:textId="77777777" w:rsidR="00F67E9E" w:rsidRPr="00A45727" w:rsidRDefault="00F67E9E" w:rsidP="0052486C">
            <w:pPr>
              <w:pStyle w:val="Tabletext0"/>
              <w:widowControl/>
              <w:autoSpaceDE/>
              <w:autoSpaceDN/>
            </w:pPr>
          </w:p>
        </w:tc>
        <w:tc>
          <w:tcPr>
            <w:tcW w:w="1474" w:type="dxa"/>
          </w:tcPr>
          <w:p w14:paraId="5783CF65" w14:textId="77777777" w:rsidR="00F67E9E" w:rsidRPr="00A45727" w:rsidRDefault="00F67E9E" w:rsidP="0052486C">
            <w:pPr>
              <w:pStyle w:val="Tabletext0"/>
              <w:widowControl/>
              <w:autoSpaceDE/>
              <w:autoSpaceDN/>
            </w:pPr>
          </w:p>
        </w:tc>
        <w:tc>
          <w:tcPr>
            <w:tcW w:w="1417" w:type="dxa"/>
          </w:tcPr>
          <w:p w14:paraId="76B83DEA" w14:textId="77777777" w:rsidR="00F67E9E" w:rsidRPr="00A45727" w:rsidRDefault="00F67E9E" w:rsidP="0052486C">
            <w:pPr>
              <w:pStyle w:val="Tabletext0"/>
              <w:widowControl/>
              <w:autoSpaceDE/>
              <w:autoSpaceDN/>
            </w:pPr>
          </w:p>
        </w:tc>
        <w:tc>
          <w:tcPr>
            <w:tcW w:w="1247" w:type="dxa"/>
          </w:tcPr>
          <w:p w14:paraId="152C2D40" w14:textId="77777777" w:rsidR="00F67E9E" w:rsidRPr="00A45727" w:rsidRDefault="00F67E9E" w:rsidP="0052486C">
            <w:pPr>
              <w:pStyle w:val="Tabletext0"/>
              <w:widowControl/>
              <w:autoSpaceDE/>
              <w:autoSpaceDN/>
            </w:pPr>
          </w:p>
        </w:tc>
      </w:tr>
      <w:tr w:rsidR="00F67E9E" w:rsidRPr="00025910" w14:paraId="1DC83D3A" w14:textId="77777777" w:rsidTr="0052486C">
        <w:trPr>
          <w:trHeight w:val="680"/>
        </w:trPr>
        <w:tc>
          <w:tcPr>
            <w:tcW w:w="1417" w:type="dxa"/>
          </w:tcPr>
          <w:p w14:paraId="13424FEF" w14:textId="77777777" w:rsidR="00F67E9E" w:rsidRPr="00A45727" w:rsidRDefault="00F67E9E" w:rsidP="0052486C">
            <w:pPr>
              <w:pStyle w:val="Tabletext0"/>
              <w:widowControl/>
              <w:autoSpaceDE/>
              <w:autoSpaceDN/>
              <w:rPr>
                <w:b/>
                <w:bCs/>
              </w:rPr>
            </w:pPr>
            <w:r w:rsidRPr="00A45727">
              <w:rPr>
                <w:b/>
                <w:bCs/>
              </w:rPr>
              <w:t>Emp No</w:t>
            </w:r>
          </w:p>
        </w:tc>
        <w:tc>
          <w:tcPr>
            <w:tcW w:w="2494" w:type="dxa"/>
          </w:tcPr>
          <w:p w14:paraId="72012F5B" w14:textId="77777777" w:rsidR="00F67E9E" w:rsidRPr="00A45727" w:rsidRDefault="00F67E9E" w:rsidP="0052486C">
            <w:pPr>
              <w:pStyle w:val="Tabletext0"/>
              <w:widowControl/>
              <w:autoSpaceDE/>
              <w:autoSpaceDN/>
            </w:pPr>
          </w:p>
        </w:tc>
        <w:tc>
          <w:tcPr>
            <w:tcW w:w="1247" w:type="dxa"/>
          </w:tcPr>
          <w:p w14:paraId="3282A45B" w14:textId="77777777" w:rsidR="00F67E9E" w:rsidRPr="00A45727" w:rsidRDefault="00F67E9E" w:rsidP="0052486C">
            <w:pPr>
              <w:pStyle w:val="Tabletext0"/>
              <w:widowControl/>
              <w:autoSpaceDE/>
              <w:autoSpaceDN/>
            </w:pPr>
          </w:p>
        </w:tc>
        <w:tc>
          <w:tcPr>
            <w:tcW w:w="1587" w:type="dxa"/>
          </w:tcPr>
          <w:p w14:paraId="58E7F8EB" w14:textId="77777777" w:rsidR="00F67E9E" w:rsidRPr="00A45727" w:rsidRDefault="00F67E9E" w:rsidP="0052486C">
            <w:pPr>
              <w:pStyle w:val="Tabletext0"/>
              <w:widowControl/>
              <w:autoSpaceDE/>
              <w:autoSpaceDN/>
            </w:pPr>
          </w:p>
        </w:tc>
        <w:tc>
          <w:tcPr>
            <w:tcW w:w="3061" w:type="dxa"/>
          </w:tcPr>
          <w:p w14:paraId="5645429C" w14:textId="77777777" w:rsidR="00F67E9E" w:rsidRPr="00A45727" w:rsidRDefault="00F67E9E" w:rsidP="0052486C">
            <w:pPr>
              <w:pStyle w:val="Tabletext0"/>
              <w:widowControl/>
              <w:autoSpaceDE/>
              <w:autoSpaceDN/>
            </w:pPr>
          </w:p>
        </w:tc>
        <w:tc>
          <w:tcPr>
            <w:tcW w:w="1191" w:type="dxa"/>
          </w:tcPr>
          <w:p w14:paraId="3A194273" w14:textId="77777777" w:rsidR="00F67E9E" w:rsidRPr="00A45727" w:rsidRDefault="00F67E9E" w:rsidP="0052486C">
            <w:pPr>
              <w:pStyle w:val="Tabletext0"/>
              <w:widowControl/>
              <w:autoSpaceDE/>
              <w:autoSpaceDN/>
            </w:pPr>
          </w:p>
        </w:tc>
        <w:tc>
          <w:tcPr>
            <w:tcW w:w="1474" w:type="dxa"/>
          </w:tcPr>
          <w:p w14:paraId="7616FF34" w14:textId="77777777" w:rsidR="00F67E9E" w:rsidRPr="00A45727" w:rsidRDefault="00F67E9E" w:rsidP="0052486C">
            <w:pPr>
              <w:pStyle w:val="Tabletext0"/>
              <w:widowControl/>
              <w:autoSpaceDE/>
              <w:autoSpaceDN/>
            </w:pPr>
          </w:p>
        </w:tc>
        <w:tc>
          <w:tcPr>
            <w:tcW w:w="1417" w:type="dxa"/>
          </w:tcPr>
          <w:p w14:paraId="6B496E64" w14:textId="77777777" w:rsidR="00F67E9E" w:rsidRPr="00A45727" w:rsidRDefault="00F67E9E" w:rsidP="0052486C">
            <w:pPr>
              <w:pStyle w:val="Tabletext0"/>
              <w:widowControl/>
              <w:autoSpaceDE/>
              <w:autoSpaceDN/>
            </w:pPr>
          </w:p>
        </w:tc>
        <w:tc>
          <w:tcPr>
            <w:tcW w:w="1247" w:type="dxa"/>
          </w:tcPr>
          <w:p w14:paraId="7B1CDFF2" w14:textId="77777777" w:rsidR="00F67E9E" w:rsidRPr="00A45727" w:rsidRDefault="00F67E9E" w:rsidP="0052486C">
            <w:pPr>
              <w:pStyle w:val="Tabletext0"/>
              <w:widowControl/>
              <w:autoSpaceDE/>
              <w:autoSpaceDN/>
            </w:pPr>
          </w:p>
        </w:tc>
      </w:tr>
    </w:tbl>
    <w:p w14:paraId="25E1ACB8" w14:textId="77777777" w:rsidR="00F67E9E" w:rsidRDefault="00F67E9E" w:rsidP="00F67E9E"/>
    <w:p w14:paraId="5DABCFBB" w14:textId="77777777" w:rsidR="00F67E9E" w:rsidRPr="00025910" w:rsidRDefault="00F67E9E" w:rsidP="00F67E9E">
      <w:r w:rsidRPr="00025910">
        <w:br w:type="page"/>
      </w:r>
    </w:p>
    <w:tbl>
      <w:tblPr>
        <w:tblStyle w:val="MSATable-header"/>
        <w:tblW w:w="15140" w:type="dxa"/>
        <w:tblLook w:val="0620" w:firstRow="1" w:lastRow="0" w:firstColumn="0" w:lastColumn="0" w:noHBand="1" w:noVBand="1"/>
      </w:tblPr>
      <w:tblGrid>
        <w:gridCol w:w="1418"/>
        <w:gridCol w:w="2155"/>
        <w:gridCol w:w="1588"/>
        <w:gridCol w:w="1587"/>
        <w:gridCol w:w="2041"/>
        <w:gridCol w:w="1871"/>
        <w:gridCol w:w="1417"/>
        <w:gridCol w:w="1474"/>
        <w:gridCol w:w="1589"/>
      </w:tblGrid>
      <w:tr w:rsidR="00F67E9E" w:rsidRPr="00025910" w14:paraId="2A4A2B80"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left w:val="nil"/>
            </w:tcBorders>
            <w:shd w:val="clear" w:color="auto" w:fill="auto"/>
          </w:tcPr>
          <w:p w14:paraId="234D1E50" w14:textId="77777777" w:rsidR="00F67E9E" w:rsidRPr="00A45727" w:rsidRDefault="00F67E9E" w:rsidP="0052486C">
            <w:pPr>
              <w:pStyle w:val="Tabletext0"/>
              <w:widowControl/>
              <w:autoSpaceDE/>
              <w:autoSpaceDN/>
            </w:pPr>
          </w:p>
        </w:tc>
        <w:tc>
          <w:tcPr>
            <w:tcW w:w="13720" w:type="dxa"/>
            <w:gridSpan w:val="8"/>
          </w:tcPr>
          <w:p w14:paraId="6090B3AF" w14:textId="77777777" w:rsidR="00F67E9E" w:rsidRPr="00A45727" w:rsidRDefault="00F67E9E" w:rsidP="0052486C">
            <w:pPr>
              <w:pStyle w:val="Tabletext0"/>
              <w:widowControl/>
              <w:autoSpaceDE/>
              <w:autoSpaceDN/>
            </w:pPr>
            <w:r w:rsidRPr="00A45727">
              <w:t>CONTRACTUAL PAY AND BENEFITS</w:t>
            </w:r>
          </w:p>
        </w:tc>
      </w:tr>
      <w:tr w:rsidR="00F67E9E" w:rsidRPr="00025910" w14:paraId="35D5B0A3"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7" w:type="dxa"/>
          </w:tcPr>
          <w:p w14:paraId="7A7388B1" w14:textId="77777777" w:rsidR="00F67E9E" w:rsidRPr="00A45727" w:rsidRDefault="00F67E9E" w:rsidP="0052486C">
            <w:pPr>
              <w:pStyle w:val="Tabletext0"/>
              <w:widowControl/>
              <w:autoSpaceDE/>
              <w:autoSpaceDN/>
            </w:pPr>
            <w:r w:rsidRPr="00A45727">
              <w:t>Details</w:t>
            </w:r>
          </w:p>
        </w:tc>
        <w:tc>
          <w:tcPr>
            <w:tcW w:w="2154" w:type="dxa"/>
          </w:tcPr>
          <w:p w14:paraId="3D4FDB2C" w14:textId="77777777" w:rsidR="00F67E9E" w:rsidRPr="00A45727" w:rsidRDefault="00F67E9E" w:rsidP="0052486C">
            <w:pPr>
              <w:pStyle w:val="Tabletext0"/>
              <w:widowControl/>
              <w:autoSpaceDE/>
              <w:autoSpaceDN/>
            </w:pPr>
            <w:r w:rsidRPr="00A45727">
              <w:t>Any existing or future commitment to training that has a time-off or financial implication</w:t>
            </w:r>
          </w:p>
        </w:tc>
        <w:tc>
          <w:tcPr>
            <w:tcW w:w="1587" w:type="dxa"/>
          </w:tcPr>
          <w:p w14:paraId="3B97FDFA" w14:textId="77777777" w:rsidR="00F67E9E" w:rsidRPr="00A45727" w:rsidRDefault="00F67E9E" w:rsidP="0052486C">
            <w:pPr>
              <w:pStyle w:val="Tabletext0"/>
              <w:widowControl/>
              <w:autoSpaceDE/>
              <w:autoSpaceDN/>
            </w:pPr>
            <w:r w:rsidRPr="00A45727">
              <w:t>Car allowance (£ per year)</w:t>
            </w:r>
          </w:p>
        </w:tc>
        <w:tc>
          <w:tcPr>
            <w:tcW w:w="1587" w:type="dxa"/>
          </w:tcPr>
          <w:p w14:paraId="50F7353D" w14:textId="77777777" w:rsidR="00F67E9E" w:rsidRPr="00A45727" w:rsidRDefault="00F67E9E" w:rsidP="0052486C">
            <w:pPr>
              <w:pStyle w:val="Tabletext0"/>
              <w:widowControl/>
              <w:autoSpaceDE/>
              <w:autoSpaceDN/>
            </w:pPr>
            <w:r w:rsidRPr="00A45727">
              <w:t>Lease or company car details</w:t>
            </w:r>
          </w:p>
        </w:tc>
        <w:tc>
          <w:tcPr>
            <w:tcW w:w="2041" w:type="dxa"/>
          </w:tcPr>
          <w:p w14:paraId="36C241B3" w14:textId="77777777" w:rsidR="00F67E9E" w:rsidRPr="00A45727" w:rsidRDefault="00F67E9E" w:rsidP="0052486C">
            <w:pPr>
              <w:pStyle w:val="Tabletext0"/>
              <w:widowControl/>
              <w:autoSpaceDE/>
              <w:autoSpaceDN/>
            </w:pPr>
            <w:r w:rsidRPr="00A45727">
              <w:t>Any other allowances paid (e.g. shift allowance, standby allowance, travel allowance)</w:t>
            </w:r>
          </w:p>
        </w:tc>
        <w:tc>
          <w:tcPr>
            <w:tcW w:w="1871" w:type="dxa"/>
          </w:tcPr>
          <w:p w14:paraId="555F3004" w14:textId="77777777" w:rsidR="00F67E9E" w:rsidRPr="00A45727" w:rsidRDefault="00F67E9E" w:rsidP="0052486C">
            <w:pPr>
              <w:pStyle w:val="Tabletext0"/>
              <w:widowControl/>
              <w:autoSpaceDE/>
              <w:autoSpaceDN/>
            </w:pPr>
            <w:r w:rsidRPr="00A45727">
              <w:t>Private medical insurance (please specify whether single or family cover)</w:t>
            </w:r>
          </w:p>
        </w:tc>
        <w:tc>
          <w:tcPr>
            <w:tcW w:w="1417" w:type="dxa"/>
          </w:tcPr>
          <w:p w14:paraId="3FC1E7F0" w14:textId="77777777" w:rsidR="00F67E9E" w:rsidRPr="00A45727" w:rsidRDefault="00F67E9E" w:rsidP="0052486C">
            <w:pPr>
              <w:pStyle w:val="Tabletext0"/>
              <w:widowControl/>
              <w:autoSpaceDE/>
              <w:autoSpaceDN/>
            </w:pPr>
            <w:r w:rsidRPr="00A45727">
              <w:t>Life assurance (xSalary)</w:t>
            </w:r>
          </w:p>
        </w:tc>
        <w:tc>
          <w:tcPr>
            <w:tcW w:w="1474" w:type="dxa"/>
          </w:tcPr>
          <w:p w14:paraId="0CEBBDE7" w14:textId="77777777" w:rsidR="00F67E9E" w:rsidRPr="00A45727" w:rsidRDefault="00F67E9E" w:rsidP="0052486C">
            <w:pPr>
              <w:pStyle w:val="Tabletext0"/>
              <w:widowControl/>
              <w:autoSpaceDE/>
              <w:autoSpaceDN/>
            </w:pPr>
            <w:r w:rsidRPr="00A45727">
              <w:t>Long Term Disability / PHI (% of Salary</w:t>
            </w:r>
          </w:p>
        </w:tc>
        <w:tc>
          <w:tcPr>
            <w:tcW w:w="1587" w:type="dxa"/>
          </w:tcPr>
          <w:p w14:paraId="4AE106FB" w14:textId="77777777" w:rsidR="00F67E9E" w:rsidRPr="00A45727" w:rsidRDefault="00F67E9E" w:rsidP="0052486C">
            <w:pPr>
              <w:pStyle w:val="Tabletext0"/>
              <w:widowControl/>
              <w:autoSpaceDE/>
              <w:autoSpaceDN/>
            </w:pPr>
            <w:r w:rsidRPr="00A45727">
              <w:t>Any other benefits in kind</w:t>
            </w:r>
          </w:p>
        </w:tc>
      </w:tr>
      <w:tr w:rsidR="00F67E9E" w:rsidRPr="00025910" w14:paraId="3E8F9040" w14:textId="77777777" w:rsidTr="0052486C">
        <w:trPr>
          <w:trHeight w:val="680"/>
        </w:trPr>
        <w:tc>
          <w:tcPr>
            <w:tcW w:w="1417" w:type="dxa"/>
          </w:tcPr>
          <w:p w14:paraId="61E634CE" w14:textId="77777777" w:rsidR="00F67E9E" w:rsidRPr="00A45727" w:rsidRDefault="00F67E9E" w:rsidP="0052486C">
            <w:pPr>
              <w:pStyle w:val="Tabletext0"/>
              <w:widowControl/>
              <w:autoSpaceDE/>
              <w:autoSpaceDN/>
              <w:rPr>
                <w:b/>
                <w:bCs/>
              </w:rPr>
            </w:pPr>
            <w:r w:rsidRPr="00A45727">
              <w:rPr>
                <w:b/>
                <w:bCs/>
              </w:rPr>
              <w:t>Emp No 1</w:t>
            </w:r>
          </w:p>
        </w:tc>
        <w:tc>
          <w:tcPr>
            <w:tcW w:w="2154" w:type="dxa"/>
          </w:tcPr>
          <w:p w14:paraId="5784A9A3" w14:textId="77777777" w:rsidR="00F67E9E" w:rsidRPr="00A45727" w:rsidRDefault="00F67E9E" w:rsidP="0052486C">
            <w:pPr>
              <w:pStyle w:val="Tabletext0"/>
              <w:widowControl/>
              <w:autoSpaceDE/>
              <w:autoSpaceDN/>
            </w:pPr>
          </w:p>
        </w:tc>
        <w:tc>
          <w:tcPr>
            <w:tcW w:w="1587" w:type="dxa"/>
          </w:tcPr>
          <w:p w14:paraId="176CB426" w14:textId="77777777" w:rsidR="00F67E9E" w:rsidRPr="00A45727" w:rsidRDefault="00F67E9E" w:rsidP="0052486C">
            <w:pPr>
              <w:pStyle w:val="Tabletext0"/>
              <w:widowControl/>
              <w:autoSpaceDE/>
              <w:autoSpaceDN/>
            </w:pPr>
          </w:p>
        </w:tc>
        <w:tc>
          <w:tcPr>
            <w:tcW w:w="1587" w:type="dxa"/>
          </w:tcPr>
          <w:p w14:paraId="4047D8CA" w14:textId="77777777" w:rsidR="00F67E9E" w:rsidRPr="00A45727" w:rsidRDefault="00F67E9E" w:rsidP="0052486C">
            <w:pPr>
              <w:pStyle w:val="Tabletext0"/>
              <w:widowControl/>
              <w:autoSpaceDE/>
              <w:autoSpaceDN/>
            </w:pPr>
          </w:p>
        </w:tc>
        <w:tc>
          <w:tcPr>
            <w:tcW w:w="2041" w:type="dxa"/>
          </w:tcPr>
          <w:p w14:paraId="1F54A60F" w14:textId="77777777" w:rsidR="00F67E9E" w:rsidRPr="00A45727" w:rsidRDefault="00F67E9E" w:rsidP="0052486C">
            <w:pPr>
              <w:pStyle w:val="Tabletext0"/>
              <w:widowControl/>
              <w:autoSpaceDE/>
              <w:autoSpaceDN/>
            </w:pPr>
          </w:p>
        </w:tc>
        <w:tc>
          <w:tcPr>
            <w:tcW w:w="1871" w:type="dxa"/>
          </w:tcPr>
          <w:p w14:paraId="0D735DC7" w14:textId="77777777" w:rsidR="00F67E9E" w:rsidRPr="00A45727" w:rsidRDefault="00F67E9E" w:rsidP="0052486C">
            <w:pPr>
              <w:pStyle w:val="Tabletext0"/>
              <w:widowControl/>
              <w:autoSpaceDE/>
              <w:autoSpaceDN/>
            </w:pPr>
          </w:p>
        </w:tc>
        <w:tc>
          <w:tcPr>
            <w:tcW w:w="1417" w:type="dxa"/>
          </w:tcPr>
          <w:p w14:paraId="1DE143FB" w14:textId="77777777" w:rsidR="00F67E9E" w:rsidRPr="00A45727" w:rsidRDefault="00F67E9E" w:rsidP="0052486C">
            <w:pPr>
              <w:pStyle w:val="Tabletext0"/>
              <w:widowControl/>
              <w:autoSpaceDE/>
              <w:autoSpaceDN/>
            </w:pPr>
          </w:p>
        </w:tc>
        <w:tc>
          <w:tcPr>
            <w:tcW w:w="1474" w:type="dxa"/>
          </w:tcPr>
          <w:p w14:paraId="65F9BFDC" w14:textId="77777777" w:rsidR="00F67E9E" w:rsidRPr="00A45727" w:rsidRDefault="00F67E9E" w:rsidP="0052486C">
            <w:pPr>
              <w:pStyle w:val="Tabletext0"/>
              <w:widowControl/>
              <w:autoSpaceDE/>
              <w:autoSpaceDN/>
            </w:pPr>
          </w:p>
        </w:tc>
        <w:tc>
          <w:tcPr>
            <w:tcW w:w="1587" w:type="dxa"/>
          </w:tcPr>
          <w:p w14:paraId="3942464B" w14:textId="77777777" w:rsidR="00F67E9E" w:rsidRPr="00A45727" w:rsidRDefault="00F67E9E" w:rsidP="0052486C">
            <w:pPr>
              <w:pStyle w:val="Tabletext0"/>
              <w:widowControl/>
              <w:autoSpaceDE/>
              <w:autoSpaceDN/>
            </w:pPr>
          </w:p>
        </w:tc>
      </w:tr>
      <w:tr w:rsidR="00F67E9E" w:rsidRPr="00025910" w14:paraId="50C790D9" w14:textId="77777777" w:rsidTr="0052486C">
        <w:trPr>
          <w:trHeight w:val="680"/>
        </w:trPr>
        <w:tc>
          <w:tcPr>
            <w:tcW w:w="1417" w:type="dxa"/>
          </w:tcPr>
          <w:p w14:paraId="249DBB65" w14:textId="77777777" w:rsidR="00F67E9E" w:rsidRPr="00A45727" w:rsidRDefault="00F67E9E" w:rsidP="0052486C">
            <w:pPr>
              <w:pStyle w:val="Tabletext0"/>
              <w:widowControl/>
              <w:autoSpaceDE/>
              <w:autoSpaceDN/>
              <w:rPr>
                <w:b/>
                <w:bCs/>
              </w:rPr>
            </w:pPr>
            <w:r w:rsidRPr="00A45727">
              <w:rPr>
                <w:b/>
                <w:bCs/>
              </w:rPr>
              <w:t>Emp No 2</w:t>
            </w:r>
          </w:p>
        </w:tc>
        <w:tc>
          <w:tcPr>
            <w:tcW w:w="2154" w:type="dxa"/>
          </w:tcPr>
          <w:p w14:paraId="522AEADB" w14:textId="77777777" w:rsidR="00F67E9E" w:rsidRPr="00A45727" w:rsidRDefault="00F67E9E" w:rsidP="0052486C">
            <w:pPr>
              <w:pStyle w:val="Tabletext0"/>
              <w:widowControl/>
              <w:autoSpaceDE/>
              <w:autoSpaceDN/>
            </w:pPr>
          </w:p>
        </w:tc>
        <w:tc>
          <w:tcPr>
            <w:tcW w:w="1587" w:type="dxa"/>
          </w:tcPr>
          <w:p w14:paraId="5380B33E" w14:textId="77777777" w:rsidR="00F67E9E" w:rsidRPr="00A45727" w:rsidRDefault="00F67E9E" w:rsidP="0052486C">
            <w:pPr>
              <w:pStyle w:val="Tabletext0"/>
              <w:widowControl/>
              <w:autoSpaceDE/>
              <w:autoSpaceDN/>
            </w:pPr>
          </w:p>
        </w:tc>
        <w:tc>
          <w:tcPr>
            <w:tcW w:w="1587" w:type="dxa"/>
          </w:tcPr>
          <w:p w14:paraId="0B6929A5" w14:textId="77777777" w:rsidR="00F67E9E" w:rsidRPr="00A45727" w:rsidRDefault="00F67E9E" w:rsidP="0052486C">
            <w:pPr>
              <w:pStyle w:val="Tabletext0"/>
              <w:widowControl/>
              <w:autoSpaceDE/>
              <w:autoSpaceDN/>
            </w:pPr>
          </w:p>
        </w:tc>
        <w:tc>
          <w:tcPr>
            <w:tcW w:w="2041" w:type="dxa"/>
          </w:tcPr>
          <w:p w14:paraId="5C6F436E" w14:textId="77777777" w:rsidR="00F67E9E" w:rsidRPr="00A45727" w:rsidRDefault="00F67E9E" w:rsidP="0052486C">
            <w:pPr>
              <w:pStyle w:val="Tabletext0"/>
              <w:widowControl/>
              <w:autoSpaceDE/>
              <w:autoSpaceDN/>
            </w:pPr>
          </w:p>
        </w:tc>
        <w:tc>
          <w:tcPr>
            <w:tcW w:w="1871" w:type="dxa"/>
          </w:tcPr>
          <w:p w14:paraId="337ABE69" w14:textId="77777777" w:rsidR="00F67E9E" w:rsidRPr="00A45727" w:rsidRDefault="00F67E9E" w:rsidP="0052486C">
            <w:pPr>
              <w:pStyle w:val="Tabletext0"/>
              <w:widowControl/>
              <w:autoSpaceDE/>
              <w:autoSpaceDN/>
            </w:pPr>
          </w:p>
        </w:tc>
        <w:tc>
          <w:tcPr>
            <w:tcW w:w="1417" w:type="dxa"/>
          </w:tcPr>
          <w:p w14:paraId="06E787C2" w14:textId="77777777" w:rsidR="00F67E9E" w:rsidRPr="00A45727" w:rsidRDefault="00F67E9E" w:rsidP="0052486C">
            <w:pPr>
              <w:pStyle w:val="Tabletext0"/>
              <w:widowControl/>
              <w:autoSpaceDE/>
              <w:autoSpaceDN/>
            </w:pPr>
          </w:p>
        </w:tc>
        <w:tc>
          <w:tcPr>
            <w:tcW w:w="1474" w:type="dxa"/>
          </w:tcPr>
          <w:p w14:paraId="7B4FC722" w14:textId="77777777" w:rsidR="00F67E9E" w:rsidRPr="00A45727" w:rsidRDefault="00F67E9E" w:rsidP="0052486C">
            <w:pPr>
              <w:pStyle w:val="Tabletext0"/>
              <w:widowControl/>
              <w:autoSpaceDE/>
              <w:autoSpaceDN/>
            </w:pPr>
          </w:p>
        </w:tc>
        <w:tc>
          <w:tcPr>
            <w:tcW w:w="1587" w:type="dxa"/>
          </w:tcPr>
          <w:p w14:paraId="3E976341" w14:textId="77777777" w:rsidR="00F67E9E" w:rsidRPr="00A45727" w:rsidRDefault="00F67E9E" w:rsidP="0052486C">
            <w:pPr>
              <w:pStyle w:val="Tabletext0"/>
              <w:widowControl/>
              <w:autoSpaceDE/>
              <w:autoSpaceDN/>
            </w:pPr>
          </w:p>
        </w:tc>
      </w:tr>
      <w:tr w:rsidR="00F67E9E" w:rsidRPr="00025910" w14:paraId="51FFF49C" w14:textId="77777777" w:rsidTr="0052486C">
        <w:trPr>
          <w:trHeight w:val="680"/>
        </w:trPr>
        <w:tc>
          <w:tcPr>
            <w:tcW w:w="1417" w:type="dxa"/>
          </w:tcPr>
          <w:p w14:paraId="130CC5AD" w14:textId="77777777" w:rsidR="00F67E9E" w:rsidRPr="00A45727" w:rsidRDefault="00F67E9E" w:rsidP="0052486C">
            <w:pPr>
              <w:pStyle w:val="Tabletext0"/>
              <w:widowControl/>
              <w:autoSpaceDE/>
              <w:autoSpaceDN/>
              <w:rPr>
                <w:b/>
                <w:bCs/>
              </w:rPr>
            </w:pPr>
            <w:r w:rsidRPr="00A45727">
              <w:rPr>
                <w:b/>
                <w:bCs/>
              </w:rPr>
              <w:t>Emp No</w:t>
            </w:r>
          </w:p>
        </w:tc>
        <w:tc>
          <w:tcPr>
            <w:tcW w:w="2154" w:type="dxa"/>
          </w:tcPr>
          <w:p w14:paraId="6C084673" w14:textId="77777777" w:rsidR="00F67E9E" w:rsidRPr="00A45727" w:rsidRDefault="00F67E9E" w:rsidP="0052486C">
            <w:pPr>
              <w:pStyle w:val="Tabletext0"/>
              <w:widowControl/>
              <w:autoSpaceDE/>
              <w:autoSpaceDN/>
            </w:pPr>
          </w:p>
        </w:tc>
        <w:tc>
          <w:tcPr>
            <w:tcW w:w="1587" w:type="dxa"/>
          </w:tcPr>
          <w:p w14:paraId="1483AA5B" w14:textId="77777777" w:rsidR="00F67E9E" w:rsidRPr="00A45727" w:rsidRDefault="00F67E9E" w:rsidP="0052486C">
            <w:pPr>
              <w:pStyle w:val="Tabletext0"/>
              <w:widowControl/>
              <w:autoSpaceDE/>
              <w:autoSpaceDN/>
            </w:pPr>
          </w:p>
        </w:tc>
        <w:tc>
          <w:tcPr>
            <w:tcW w:w="1587" w:type="dxa"/>
          </w:tcPr>
          <w:p w14:paraId="1A2B3336" w14:textId="77777777" w:rsidR="00F67E9E" w:rsidRPr="00A45727" w:rsidRDefault="00F67E9E" w:rsidP="0052486C">
            <w:pPr>
              <w:pStyle w:val="Tabletext0"/>
              <w:widowControl/>
              <w:autoSpaceDE/>
              <w:autoSpaceDN/>
            </w:pPr>
          </w:p>
        </w:tc>
        <w:tc>
          <w:tcPr>
            <w:tcW w:w="2041" w:type="dxa"/>
          </w:tcPr>
          <w:p w14:paraId="06586368" w14:textId="77777777" w:rsidR="00F67E9E" w:rsidRPr="00A45727" w:rsidRDefault="00F67E9E" w:rsidP="0052486C">
            <w:pPr>
              <w:pStyle w:val="Tabletext0"/>
              <w:widowControl/>
              <w:autoSpaceDE/>
              <w:autoSpaceDN/>
            </w:pPr>
          </w:p>
        </w:tc>
        <w:tc>
          <w:tcPr>
            <w:tcW w:w="1871" w:type="dxa"/>
          </w:tcPr>
          <w:p w14:paraId="07EA3685" w14:textId="77777777" w:rsidR="00F67E9E" w:rsidRPr="00A45727" w:rsidRDefault="00F67E9E" w:rsidP="0052486C">
            <w:pPr>
              <w:pStyle w:val="Tabletext0"/>
              <w:widowControl/>
              <w:autoSpaceDE/>
              <w:autoSpaceDN/>
            </w:pPr>
          </w:p>
        </w:tc>
        <w:tc>
          <w:tcPr>
            <w:tcW w:w="1417" w:type="dxa"/>
          </w:tcPr>
          <w:p w14:paraId="3F3A4676" w14:textId="77777777" w:rsidR="00F67E9E" w:rsidRPr="00A45727" w:rsidRDefault="00F67E9E" w:rsidP="0052486C">
            <w:pPr>
              <w:pStyle w:val="Tabletext0"/>
              <w:widowControl/>
              <w:autoSpaceDE/>
              <w:autoSpaceDN/>
            </w:pPr>
          </w:p>
        </w:tc>
        <w:tc>
          <w:tcPr>
            <w:tcW w:w="1474" w:type="dxa"/>
          </w:tcPr>
          <w:p w14:paraId="39ADF4E9" w14:textId="77777777" w:rsidR="00F67E9E" w:rsidRPr="00A45727" w:rsidRDefault="00F67E9E" w:rsidP="0052486C">
            <w:pPr>
              <w:pStyle w:val="Tabletext0"/>
              <w:widowControl/>
              <w:autoSpaceDE/>
              <w:autoSpaceDN/>
            </w:pPr>
          </w:p>
        </w:tc>
        <w:tc>
          <w:tcPr>
            <w:tcW w:w="1587" w:type="dxa"/>
          </w:tcPr>
          <w:p w14:paraId="61995287" w14:textId="77777777" w:rsidR="00F67E9E" w:rsidRPr="00A45727" w:rsidRDefault="00F67E9E" w:rsidP="0052486C">
            <w:pPr>
              <w:pStyle w:val="Tabletext0"/>
              <w:widowControl/>
              <w:autoSpaceDE/>
              <w:autoSpaceDN/>
            </w:pPr>
          </w:p>
        </w:tc>
      </w:tr>
      <w:tr w:rsidR="00F67E9E" w:rsidRPr="00025910" w14:paraId="2B810F51" w14:textId="77777777" w:rsidTr="0052486C">
        <w:trPr>
          <w:trHeight w:val="680"/>
        </w:trPr>
        <w:tc>
          <w:tcPr>
            <w:tcW w:w="1417" w:type="dxa"/>
          </w:tcPr>
          <w:p w14:paraId="6357F044" w14:textId="77777777" w:rsidR="00F67E9E" w:rsidRPr="00A45727" w:rsidRDefault="00F67E9E" w:rsidP="0052486C">
            <w:pPr>
              <w:pStyle w:val="Tabletext0"/>
              <w:widowControl/>
              <w:autoSpaceDE/>
              <w:autoSpaceDN/>
              <w:rPr>
                <w:b/>
                <w:bCs/>
              </w:rPr>
            </w:pPr>
            <w:r w:rsidRPr="00A45727">
              <w:rPr>
                <w:b/>
                <w:bCs/>
              </w:rPr>
              <w:t>Emp No</w:t>
            </w:r>
          </w:p>
        </w:tc>
        <w:tc>
          <w:tcPr>
            <w:tcW w:w="2154" w:type="dxa"/>
          </w:tcPr>
          <w:p w14:paraId="3FA95A9D" w14:textId="77777777" w:rsidR="00F67E9E" w:rsidRPr="00A45727" w:rsidRDefault="00F67E9E" w:rsidP="0052486C">
            <w:pPr>
              <w:pStyle w:val="Tabletext0"/>
              <w:widowControl/>
              <w:autoSpaceDE/>
              <w:autoSpaceDN/>
            </w:pPr>
          </w:p>
        </w:tc>
        <w:tc>
          <w:tcPr>
            <w:tcW w:w="1587" w:type="dxa"/>
          </w:tcPr>
          <w:p w14:paraId="5F0600D1" w14:textId="77777777" w:rsidR="00F67E9E" w:rsidRPr="00A45727" w:rsidRDefault="00F67E9E" w:rsidP="0052486C">
            <w:pPr>
              <w:pStyle w:val="Tabletext0"/>
              <w:widowControl/>
              <w:autoSpaceDE/>
              <w:autoSpaceDN/>
            </w:pPr>
          </w:p>
        </w:tc>
        <w:tc>
          <w:tcPr>
            <w:tcW w:w="1587" w:type="dxa"/>
          </w:tcPr>
          <w:p w14:paraId="045A2C38" w14:textId="77777777" w:rsidR="00F67E9E" w:rsidRPr="00A45727" w:rsidRDefault="00F67E9E" w:rsidP="0052486C">
            <w:pPr>
              <w:pStyle w:val="Tabletext0"/>
              <w:widowControl/>
              <w:autoSpaceDE/>
              <w:autoSpaceDN/>
            </w:pPr>
          </w:p>
        </w:tc>
        <w:tc>
          <w:tcPr>
            <w:tcW w:w="2041" w:type="dxa"/>
          </w:tcPr>
          <w:p w14:paraId="125F0F1A" w14:textId="77777777" w:rsidR="00F67E9E" w:rsidRPr="00A45727" w:rsidRDefault="00F67E9E" w:rsidP="0052486C">
            <w:pPr>
              <w:pStyle w:val="Tabletext0"/>
              <w:widowControl/>
              <w:autoSpaceDE/>
              <w:autoSpaceDN/>
            </w:pPr>
          </w:p>
        </w:tc>
        <w:tc>
          <w:tcPr>
            <w:tcW w:w="1871" w:type="dxa"/>
          </w:tcPr>
          <w:p w14:paraId="63D3191B" w14:textId="77777777" w:rsidR="00F67E9E" w:rsidRPr="00A45727" w:rsidRDefault="00F67E9E" w:rsidP="0052486C">
            <w:pPr>
              <w:pStyle w:val="Tabletext0"/>
              <w:widowControl/>
              <w:autoSpaceDE/>
              <w:autoSpaceDN/>
            </w:pPr>
          </w:p>
        </w:tc>
        <w:tc>
          <w:tcPr>
            <w:tcW w:w="1417" w:type="dxa"/>
          </w:tcPr>
          <w:p w14:paraId="347717A5" w14:textId="77777777" w:rsidR="00F67E9E" w:rsidRPr="00A45727" w:rsidRDefault="00F67E9E" w:rsidP="0052486C">
            <w:pPr>
              <w:pStyle w:val="Tabletext0"/>
              <w:widowControl/>
              <w:autoSpaceDE/>
              <w:autoSpaceDN/>
            </w:pPr>
          </w:p>
        </w:tc>
        <w:tc>
          <w:tcPr>
            <w:tcW w:w="1474" w:type="dxa"/>
          </w:tcPr>
          <w:p w14:paraId="57D2F1ED" w14:textId="77777777" w:rsidR="00F67E9E" w:rsidRPr="00A45727" w:rsidRDefault="00F67E9E" w:rsidP="0052486C">
            <w:pPr>
              <w:pStyle w:val="Tabletext0"/>
              <w:widowControl/>
              <w:autoSpaceDE/>
              <w:autoSpaceDN/>
            </w:pPr>
          </w:p>
        </w:tc>
        <w:tc>
          <w:tcPr>
            <w:tcW w:w="1587" w:type="dxa"/>
          </w:tcPr>
          <w:p w14:paraId="5297FAE5" w14:textId="77777777" w:rsidR="00F67E9E" w:rsidRPr="00A45727" w:rsidRDefault="00F67E9E" w:rsidP="0052486C">
            <w:pPr>
              <w:pStyle w:val="Tabletext0"/>
              <w:widowControl/>
              <w:autoSpaceDE/>
              <w:autoSpaceDN/>
            </w:pPr>
          </w:p>
        </w:tc>
      </w:tr>
      <w:tr w:rsidR="00F67E9E" w:rsidRPr="00025910" w14:paraId="766A809D" w14:textId="77777777" w:rsidTr="0052486C">
        <w:trPr>
          <w:trHeight w:val="680"/>
        </w:trPr>
        <w:tc>
          <w:tcPr>
            <w:tcW w:w="1417" w:type="dxa"/>
          </w:tcPr>
          <w:p w14:paraId="11354E07" w14:textId="77777777" w:rsidR="00F67E9E" w:rsidRPr="00A45727" w:rsidRDefault="00F67E9E" w:rsidP="0052486C">
            <w:pPr>
              <w:pStyle w:val="Tabletext0"/>
              <w:widowControl/>
              <w:autoSpaceDE/>
              <w:autoSpaceDN/>
              <w:rPr>
                <w:b/>
                <w:bCs/>
              </w:rPr>
            </w:pPr>
            <w:r w:rsidRPr="00A45727">
              <w:rPr>
                <w:b/>
                <w:bCs/>
              </w:rPr>
              <w:t>Emp No</w:t>
            </w:r>
          </w:p>
        </w:tc>
        <w:tc>
          <w:tcPr>
            <w:tcW w:w="2154" w:type="dxa"/>
          </w:tcPr>
          <w:p w14:paraId="44FF0D7A" w14:textId="77777777" w:rsidR="00F67E9E" w:rsidRPr="00A45727" w:rsidRDefault="00F67E9E" w:rsidP="0052486C">
            <w:pPr>
              <w:pStyle w:val="Tabletext0"/>
              <w:widowControl/>
              <w:autoSpaceDE/>
              <w:autoSpaceDN/>
            </w:pPr>
          </w:p>
        </w:tc>
        <w:tc>
          <w:tcPr>
            <w:tcW w:w="1587" w:type="dxa"/>
          </w:tcPr>
          <w:p w14:paraId="07B4DE3C" w14:textId="77777777" w:rsidR="00F67E9E" w:rsidRPr="00A45727" w:rsidRDefault="00F67E9E" w:rsidP="0052486C">
            <w:pPr>
              <w:pStyle w:val="Tabletext0"/>
              <w:widowControl/>
              <w:autoSpaceDE/>
              <w:autoSpaceDN/>
            </w:pPr>
          </w:p>
        </w:tc>
        <w:tc>
          <w:tcPr>
            <w:tcW w:w="1587" w:type="dxa"/>
          </w:tcPr>
          <w:p w14:paraId="40BE6044" w14:textId="77777777" w:rsidR="00F67E9E" w:rsidRPr="00A45727" w:rsidRDefault="00F67E9E" w:rsidP="0052486C">
            <w:pPr>
              <w:pStyle w:val="Tabletext0"/>
              <w:widowControl/>
              <w:autoSpaceDE/>
              <w:autoSpaceDN/>
            </w:pPr>
          </w:p>
        </w:tc>
        <w:tc>
          <w:tcPr>
            <w:tcW w:w="2041" w:type="dxa"/>
          </w:tcPr>
          <w:p w14:paraId="627FDA95" w14:textId="77777777" w:rsidR="00F67E9E" w:rsidRPr="00A45727" w:rsidRDefault="00F67E9E" w:rsidP="0052486C">
            <w:pPr>
              <w:pStyle w:val="Tabletext0"/>
              <w:widowControl/>
              <w:autoSpaceDE/>
              <w:autoSpaceDN/>
            </w:pPr>
          </w:p>
        </w:tc>
        <w:tc>
          <w:tcPr>
            <w:tcW w:w="1871" w:type="dxa"/>
          </w:tcPr>
          <w:p w14:paraId="5DF163B6" w14:textId="77777777" w:rsidR="00F67E9E" w:rsidRPr="00A45727" w:rsidRDefault="00F67E9E" w:rsidP="0052486C">
            <w:pPr>
              <w:pStyle w:val="Tabletext0"/>
              <w:widowControl/>
              <w:autoSpaceDE/>
              <w:autoSpaceDN/>
            </w:pPr>
          </w:p>
        </w:tc>
        <w:tc>
          <w:tcPr>
            <w:tcW w:w="1417" w:type="dxa"/>
          </w:tcPr>
          <w:p w14:paraId="108B384D" w14:textId="77777777" w:rsidR="00F67E9E" w:rsidRPr="00A45727" w:rsidRDefault="00F67E9E" w:rsidP="0052486C">
            <w:pPr>
              <w:pStyle w:val="Tabletext0"/>
              <w:widowControl/>
              <w:autoSpaceDE/>
              <w:autoSpaceDN/>
            </w:pPr>
          </w:p>
        </w:tc>
        <w:tc>
          <w:tcPr>
            <w:tcW w:w="1474" w:type="dxa"/>
          </w:tcPr>
          <w:p w14:paraId="47FBAD20" w14:textId="77777777" w:rsidR="00F67E9E" w:rsidRPr="00A45727" w:rsidRDefault="00F67E9E" w:rsidP="0052486C">
            <w:pPr>
              <w:pStyle w:val="Tabletext0"/>
              <w:widowControl/>
              <w:autoSpaceDE/>
              <w:autoSpaceDN/>
            </w:pPr>
          </w:p>
        </w:tc>
        <w:tc>
          <w:tcPr>
            <w:tcW w:w="1587" w:type="dxa"/>
          </w:tcPr>
          <w:p w14:paraId="1D2D8596" w14:textId="77777777" w:rsidR="00F67E9E" w:rsidRPr="00A45727" w:rsidRDefault="00F67E9E" w:rsidP="0052486C">
            <w:pPr>
              <w:pStyle w:val="Tabletext0"/>
              <w:widowControl/>
              <w:autoSpaceDE/>
              <w:autoSpaceDN/>
            </w:pPr>
          </w:p>
        </w:tc>
      </w:tr>
      <w:tr w:rsidR="00F67E9E" w:rsidRPr="00025910" w14:paraId="54A4D9C4" w14:textId="77777777" w:rsidTr="0052486C">
        <w:trPr>
          <w:trHeight w:val="680"/>
        </w:trPr>
        <w:tc>
          <w:tcPr>
            <w:tcW w:w="1417" w:type="dxa"/>
          </w:tcPr>
          <w:p w14:paraId="6ED4FEEB" w14:textId="77777777" w:rsidR="00F67E9E" w:rsidRPr="00A45727" w:rsidRDefault="00F67E9E" w:rsidP="0052486C">
            <w:pPr>
              <w:pStyle w:val="Tabletext0"/>
              <w:widowControl/>
              <w:autoSpaceDE/>
              <w:autoSpaceDN/>
              <w:rPr>
                <w:b/>
                <w:bCs/>
              </w:rPr>
            </w:pPr>
            <w:r w:rsidRPr="00A45727">
              <w:rPr>
                <w:b/>
                <w:bCs/>
              </w:rPr>
              <w:t>Emp No</w:t>
            </w:r>
          </w:p>
        </w:tc>
        <w:tc>
          <w:tcPr>
            <w:tcW w:w="2154" w:type="dxa"/>
          </w:tcPr>
          <w:p w14:paraId="7C446F2F" w14:textId="77777777" w:rsidR="00F67E9E" w:rsidRPr="00A45727" w:rsidRDefault="00F67E9E" w:rsidP="0052486C">
            <w:pPr>
              <w:pStyle w:val="Tabletext0"/>
              <w:widowControl/>
              <w:autoSpaceDE/>
              <w:autoSpaceDN/>
            </w:pPr>
          </w:p>
        </w:tc>
        <w:tc>
          <w:tcPr>
            <w:tcW w:w="1587" w:type="dxa"/>
          </w:tcPr>
          <w:p w14:paraId="686A5AFA" w14:textId="77777777" w:rsidR="00F67E9E" w:rsidRPr="00A45727" w:rsidRDefault="00F67E9E" w:rsidP="0052486C">
            <w:pPr>
              <w:pStyle w:val="Tabletext0"/>
              <w:widowControl/>
              <w:autoSpaceDE/>
              <w:autoSpaceDN/>
            </w:pPr>
          </w:p>
        </w:tc>
        <w:tc>
          <w:tcPr>
            <w:tcW w:w="1587" w:type="dxa"/>
          </w:tcPr>
          <w:p w14:paraId="5331213B" w14:textId="77777777" w:rsidR="00F67E9E" w:rsidRPr="00A45727" w:rsidRDefault="00F67E9E" w:rsidP="0052486C">
            <w:pPr>
              <w:pStyle w:val="Tabletext0"/>
              <w:widowControl/>
              <w:autoSpaceDE/>
              <w:autoSpaceDN/>
            </w:pPr>
          </w:p>
        </w:tc>
        <w:tc>
          <w:tcPr>
            <w:tcW w:w="2041" w:type="dxa"/>
          </w:tcPr>
          <w:p w14:paraId="1ED4AA4E" w14:textId="77777777" w:rsidR="00F67E9E" w:rsidRPr="00A45727" w:rsidRDefault="00F67E9E" w:rsidP="0052486C">
            <w:pPr>
              <w:pStyle w:val="Tabletext0"/>
              <w:widowControl/>
              <w:autoSpaceDE/>
              <w:autoSpaceDN/>
            </w:pPr>
          </w:p>
        </w:tc>
        <w:tc>
          <w:tcPr>
            <w:tcW w:w="1871" w:type="dxa"/>
          </w:tcPr>
          <w:p w14:paraId="5F962BF4" w14:textId="77777777" w:rsidR="00F67E9E" w:rsidRPr="00A45727" w:rsidRDefault="00F67E9E" w:rsidP="0052486C">
            <w:pPr>
              <w:pStyle w:val="Tabletext0"/>
              <w:widowControl/>
              <w:autoSpaceDE/>
              <w:autoSpaceDN/>
            </w:pPr>
          </w:p>
        </w:tc>
        <w:tc>
          <w:tcPr>
            <w:tcW w:w="1417" w:type="dxa"/>
          </w:tcPr>
          <w:p w14:paraId="1F2123A2" w14:textId="77777777" w:rsidR="00F67E9E" w:rsidRPr="00A45727" w:rsidRDefault="00F67E9E" w:rsidP="0052486C">
            <w:pPr>
              <w:pStyle w:val="Tabletext0"/>
              <w:widowControl/>
              <w:autoSpaceDE/>
              <w:autoSpaceDN/>
            </w:pPr>
          </w:p>
        </w:tc>
        <w:tc>
          <w:tcPr>
            <w:tcW w:w="1474" w:type="dxa"/>
          </w:tcPr>
          <w:p w14:paraId="5560B838" w14:textId="77777777" w:rsidR="00F67E9E" w:rsidRPr="00A45727" w:rsidRDefault="00F67E9E" w:rsidP="0052486C">
            <w:pPr>
              <w:pStyle w:val="Tabletext0"/>
              <w:widowControl/>
              <w:autoSpaceDE/>
              <w:autoSpaceDN/>
            </w:pPr>
          </w:p>
        </w:tc>
        <w:tc>
          <w:tcPr>
            <w:tcW w:w="1587" w:type="dxa"/>
          </w:tcPr>
          <w:p w14:paraId="7A882949" w14:textId="77777777" w:rsidR="00F67E9E" w:rsidRPr="00A45727" w:rsidRDefault="00F67E9E" w:rsidP="0052486C">
            <w:pPr>
              <w:pStyle w:val="Tabletext0"/>
              <w:widowControl/>
              <w:autoSpaceDE/>
              <w:autoSpaceDN/>
            </w:pPr>
          </w:p>
        </w:tc>
      </w:tr>
      <w:tr w:rsidR="00F67E9E" w:rsidRPr="00025910" w14:paraId="18ABE144" w14:textId="77777777" w:rsidTr="0052486C">
        <w:trPr>
          <w:trHeight w:val="680"/>
        </w:trPr>
        <w:tc>
          <w:tcPr>
            <w:tcW w:w="1417" w:type="dxa"/>
          </w:tcPr>
          <w:p w14:paraId="534324F8" w14:textId="77777777" w:rsidR="00F67E9E" w:rsidRPr="00A45727" w:rsidRDefault="00F67E9E" w:rsidP="0052486C">
            <w:pPr>
              <w:pStyle w:val="Tabletext0"/>
              <w:widowControl/>
              <w:autoSpaceDE/>
              <w:autoSpaceDN/>
              <w:rPr>
                <w:b/>
                <w:bCs/>
              </w:rPr>
            </w:pPr>
            <w:r w:rsidRPr="00A45727">
              <w:rPr>
                <w:b/>
                <w:bCs/>
              </w:rPr>
              <w:t>Emp No</w:t>
            </w:r>
          </w:p>
        </w:tc>
        <w:tc>
          <w:tcPr>
            <w:tcW w:w="2154" w:type="dxa"/>
          </w:tcPr>
          <w:p w14:paraId="51EE2618" w14:textId="77777777" w:rsidR="00F67E9E" w:rsidRPr="00A45727" w:rsidRDefault="00F67E9E" w:rsidP="0052486C">
            <w:pPr>
              <w:pStyle w:val="Tabletext0"/>
              <w:widowControl/>
              <w:autoSpaceDE/>
              <w:autoSpaceDN/>
            </w:pPr>
          </w:p>
        </w:tc>
        <w:tc>
          <w:tcPr>
            <w:tcW w:w="1587" w:type="dxa"/>
          </w:tcPr>
          <w:p w14:paraId="3838450E" w14:textId="77777777" w:rsidR="00F67E9E" w:rsidRPr="00A45727" w:rsidRDefault="00F67E9E" w:rsidP="0052486C">
            <w:pPr>
              <w:pStyle w:val="Tabletext0"/>
              <w:widowControl/>
              <w:autoSpaceDE/>
              <w:autoSpaceDN/>
            </w:pPr>
          </w:p>
        </w:tc>
        <w:tc>
          <w:tcPr>
            <w:tcW w:w="1587" w:type="dxa"/>
          </w:tcPr>
          <w:p w14:paraId="61BDF7DC" w14:textId="77777777" w:rsidR="00F67E9E" w:rsidRPr="00A45727" w:rsidRDefault="00F67E9E" w:rsidP="0052486C">
            <w:pPr>
              <w:pStyle w:val="Tabletext0"/>
              <w:widowControl/>
              <w:autoSpaceDE/>
              <w:autoSpaceDN/>
            </w:pPr>
          </w:p>
        </w:tc>
        <w:tc>
          <w:tcPr>
            <w:tcW w:w="2041" w:type="dxa"/>
          </w:tcPr>
          <w:p w14:paraId="4FDAA197" w14:textId="77777777" w:rsidR="00F67E9E" w:rsidRPr="00A45727" w:rsidRDefault="00F67E9E" w:rsidP="0052486C">
            <w:pPr>
              <w:pStyle w:val="Tabletext0"/>
              <w:widowControl/>
              <w:autoSpaceDE/>
              <w:autoSpaceDN/>
            </w:pPr>
          </w:p>
        </w:tc>
        <w:tc>
          <w:tcPr>
            <w:tcW w:w="1871" w:type="dxa"/>
          </w:tcPr>
          <w:p w14:paraId="11760290" w14:textId="77777777" w:rsidR="00F67E9E" w:rsidRPr="00A45727" w:rsidRDefault="00F67E9E" w:rsidP="0052486C">
            <w:pPr>
              <w:pStyle w:val="Tabletext0"/>
              <w:widowControl/>
              <w:autoSpaceDE/>
              <w:autoSpaceDN/>
            </w:pPr>
          </w:p>
        </w:tc>
        <w:tc>
          <w:tcPr>
            <w:tcW w:w="1417" w:type="dxa"/>
          </w:tcPr>
          <w:p w14:paraId="774D0695" w14:textId="77777777" w:rsidR="00F67E9E" w:rsidRPr="00A45727" w:rsidRDefault="00F67E9E" w:rsidP="0052486C">
            <w:pPr>
              <w:pStyle w:val="Tabletext0"/>
              <w:widowControl/>
              <w:autoSpaceDE/>
              <w:autoSpaceDN/>
            </w:pPr>
          </w:p>
        </w:tc>
        <w:tc>
          <w:tcPr>
            <w:tcW w:w="1474" w:type="dxa"/>
          </w:tcPr>
          <w:p w14:paraId="61026BC7" w14:textId="77777777" w:rsidR="00F67E9E" w:rsidRPr="00A45727" w:rsidRDefault="00F67E9E" w:rsidP="0052486C">
            <w:pPr>
              <w:pStyle w:val="Tabletext0"/>
              <w:widowControl/>
              <w:autoSpaceDE/>
              <w:autoSpaceDN/>
            </w:pPr>
          </w:p>
        </w:tc>
        <w:tc>
          <w:tcPr>
            <w:tcW w:w="1587" w:type="dxa"/>
          </w:tcPr>
          <w:p w14:paraId="34ED8FA1" w14:textId="77777777" w:rsidR="00F67E9E" w:rsidRPr="00A45727" w:rsidRDefault="00F67E9E" w:rsidP="0052486C">
            <w:pPr>
              <w:pStyle w:val="Tabletext0"/>
              <w:widowControl/>
              <w:autoSpaceDE/>
              <w:autoSpaceDN/>
            </w:pPr>
          </w:p>
        </w:tc>
      </w:tr>
    </w:tbl>
    <w:p w14:paraId="14EDB603" w14:textId="77777777" w:rsidR="00F67E9E" w:rsidRDefault="00F67E9E" w:rsidP="00F67E9E"/>
    <w:p w14:paraId="7E6C4F6D" w14:textId="77777777" w:rsidR="00F67E9E" w:rsidRPr="00025910" w:rsidRDefault="00F67E9E" w:rsidP="00F67E9E">
      <w:r w:rsidRPr="00025910">
        <w:br w:type="page"/>
      </w:r>
    </w:p>
    <w:tbl>
      <w:tblPr>
        <w:tblStyle w:val="MSATable-header"/>
        <w:tblW w:w="15142" w:type="dxa"/>
        <w:tblLook w:val="0620" w:firstRow="1" w:lastRow="0" w:firstColumn="0" w:lastColumn="0" w:noHBand="1" w:noVBand="1"/>
      </w:tblPr>
      <w:tblGrid>
        <w:gridCol w:w="1416"/>
        <w:gridCol w:w="1872"/>
        <w:gridCol w:w="1815"/>
        <w:gridCol w:w="3629"/>
        <w:gridCol w:w="2099"/>
        <w:gridCol w:w="1929"/>
        <w:gridCol w:w="2382"/>
      </w:tblGrid>
      <w:tr w:rsidR="00F67E9E" w:rsidRPr="00025910" w14:paraId="119B27B5"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left w:val="nil"/>
            </w:tcBorders>
            <w:shd w:val="clear" w:color="auto" w:fill="auto"/>
          </w:tcPr>
          <w:p w14:paraId="1C300D99" w14:textId="77777777" w:rsidR="00F67E9E" w:rsidRPr="00A45727" w:rsidRDefault="00F67E9E" w:rsidP="0052486C">
            <w:pPr>
              <w:pStyle w:val="Tabletext0"/>
              <w:widowControl/>
              <w:autoSpaceDE/>
              <w:autoSpaceDN/>
            </w:pPr>
          </w:p>
        </w:tc>
        <w:tc>
          <w:tcPr>
            <w:tcW w:w="13720" w:type="dxa"/>
            <w:gridSpan w:val="6"/>
          </w:tcPr>
          <w:p w14:paraId="7A8669F0" w14:textId="77777777" w:rsidR="00F67E9E" w:rsidRPr="00A45727" w:rsidRDefault="00F67E9E" w:rsidP="0052486C">
            <w:pPr>
              <w:pStyle w:val="Tabletext0"/>
              <w:widowControl/>
              <w:autoSpaceDE/>
              <w:autoSpaceDN/>
            </w:pPr>
            <w:r w:rsidRPr="00A45727">
              <w:t>CONTRACTUAL PAY AND BENEFITS</w:t>
            </w:r>
          </w:p>
        </w:tc>
      </w:tr>
      <w:tr w:rsidR="00F67E9E" w:rsidRPr="00025910" w14:paraId="3E814E86"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7" w:type="dxa"/>
          </w:tcPr>
          <w:p w14:paraId="084F06A0" w14:textId="77777777" w:rsidR="00F67E9E" w:rsidRPr="00A45727" w:rsidRDefault="00F67E9E" w:rsidP="0052486C">
            <w:pPr>
              <w:pStyle w:val="Tabletext0"/>
              <w:widowControl/>
              <w:autoSpaceDE/>
              <w:autoSpaceDN/>
            </w:pPr>
            <w:r w:rsidRPr="00A45727">
              <w:t>Details</w:t>
            </w:r>
          </w:p>
        </w:tc>
        <w:tc>
          <w:tcPr>
            <w:tcW w:w="1871" w:type="dxa"/>
          </w:tcPr>
          <w:p w14:paraId="5ABDE09F" w14:textId="77777777" w:rsidR="00F67E9E" w:rsidRPr="00A45727" w:rsidRDefault="00F67E9E" w:rsidP="0052486C">
            <w:pPr>
              <w:pStyle w:val="Tabletext0"/>
              <w:widowControl/>
              <w:autoSpaceDE/>
              <w:autoSpaceDN/>
            </w:pPr>
            <w:r w:rsidRPr="00A45727">
              <w:t>Annual leave entitlement (excluding bank holidays)</w:t>
            </w:r>
          </w:p>
        </w:tc>
        <w:tc>
          <w:tcPr>
            <w:tcW w:w="1814" w:type="dxa"/>
          </w:tcPr>
          <w:p w14:paraId="415F0BF4" w14:textId="77777777" w:rsidR="00F67E9E" w:rsidRPr="00A45727" w:rsidRDefault="00F67E9E" w:rsidP="0052486C">
            <w:pPr>
              <w:pStyle w:val="Tabletext0"/>
              <w:widowControl/>
              <w:autoSpaceDE/>
              <w:autoSpaceDN/>
            </w:pPr>
            <w:r w:rsidRPr="00A45727">
              <w:t>Bank holiday entitlement</w:t>
            </w:r>
          </w:p>
        </w:tc>
        <w:tc>
          <w:tcPr>
            <w:tcW w:w="3628" w:type="dxa"/>
          </w:tcPr>
          <w:p w14:paraId="765A6176" w14:textId="77777777" w:rsidR="00F67E9E" w:rsidRPr="00A45727" w:rsidRDefault="00F67E9E" w:rsidP="0052486C">
            <w:pPr>
              <w:pStyle w:val="Tabletext0"/>
              <w:widowControl/>
              <w:autoSpaceDE/>
              <w:autoSpaceDN/>
            </w:pPr>
            <w:r w:rsidRPr="00A45727">
              <w:t>Method of calculating holiday pay (i.e. based on fixed salary only or incl. entitlements to variable remuneration such as bonuses, allowances, commission or overtime pay?)</w:t>
            </w:r>
          </w:p>
        </w:tc>
        <w:tc>
          <w:tcPr>
            <w:tcW w:w="2098" w:type="dxa"/>
          </w:tcPr>
          <w:p w14:paraId="0459D333" w14:textId="77777777" w:rsidR="00F67E9E" w:rsidRPr="00A45727" w:rsidRDefault="00F67E9E" w:rsidP="0052486C">
            <w:pPr>
              <w:pStyle w:val="Tabletext0"/>
              <w:widowControl/>
              <w:autoSpaceDE/>
              <w:autoSpaceDN/>
            </w:pPr>
            <w:r w:rsidRPr="00A45727">
              <w:t>Maternity or paternity or shared parental leave entitlement and pay</w:t>
            </w:r>
          </w:p>
        </w:tc>
        <w:tc>
          <w:tcPr>
            <w:tcW w:w="1928" w:type="dxa"/>
          </w:tcPr>
          <w:p w14:paraId="0507EB3A" w14:textId="77777777" w:rsidR="00F67E9E" w:rsidRPr="00A45727" w:rsidRDefault="00F67E9E" w:rsidP="0052486C">
            <w:pPr>
              <w:pStyle w:val="Tabletext0"/>
              <w:widowControl/>
              <w:autoSpaceDE/>
              <w:autoSpaceDN/>
            </w:pPr>
            <w:r w:rsidRPr="00A45727">
              <w:t>Sick leave entitlement and pay</w:t>
            </w:r>
          </w:p>
        </w:tc>
        <w:tc>
          <w:tcPr>
            <w:tcW w:w="2381" w:type="dxa"/>
          </w:tcPr>
          <w:p w14:paraId="1BD7BD2E" w14:textId="77777777" w:rsidR="00F67E9E" w:rsidRPr="00A45727" w:rsidRDefault="00F67E9E" w:rsidP="0052486C">
            <w:pPr>
              <w:pStyle w:val="Tabletext0"/>
              <w:widowControl/>
              <w:autoSpaceDE/>
              <w:autoSpaceDN/>
            </w:pPr>
            <w:r w:rsidRPr="00A45727">
              <w:t xml:space="preserve">Redundancy pay entitlement (statutory / enhanced / contractual / discretionary) </w:t>
            </w:r>
          </w:p>
        </w:tc>
      </w:tr>
      <w:tr w:rsidR="00F67E9E" w:rsidRPr="00025910" w14:paraId="2CF192E9" w14:textId="77777777" w:rsidTr="0052486C">
        <w:trPr>
          <w:trHeight w:val="680"/>
        </w:trPr>
        <w:tc>
          <w:tcPr>
            <w:tcW w:w="1417" w:type="dxa"/>
          </w:tcPr>
          <w:p w14:paraId="01AE4918" w14:textId="77777777" w:rsidR="00F67E9E" w:rsidRPr="00A45727" w:rsidRDefault="00F67E9E" w:rsidP="0052486C">
            <w:pPr>
              <w:pStyle w:val="Tabletext0"/>
              <w:widowControl/>
              <w:autoSpaceDE/>
              <w:autoSpaceDN/>
              <w:rPr>
                <w:b/>
                <w:bCs/>
              </w:rPr>
            </w:pPr>
            <w:r w:rsidRPr="00A45727">
              <w:rPr>
                <w:b/>
                <w:bCs/>
              </w:rPr>
              <w:t>Emp No 1</w:t>
            </w:r>
          </w:p>
        </w:tc>
        <w:tc>
          <w:tcPr>
            <w:tcW w:w="1871" w:type="dxa"/>
          </w:tcPr>
          <w:p w14:paraId="1636CC1A" w14:textId="77777777" w:rsidR="00F67E9E" w:rsidRPr="00A45727" w:rsidRDefault="00F67E9E" w:rsidP="0052486C">
            <w:pPr>
              <w:pStyle w:val="Tabletext0"/>
              <w:widowControl/>
              <w:autoSpaceDE/>
              <w:autoSpaceDN/>
            </w:pPr>
          </w:p>
        </w:tc>
        <w:tc>
          <w:tcPr>
            <w:tcW w:w="1814" w:type="dxa"/>
          </w:tcPr>
          <w:p w14:paraId="4F40C5A2" w14:textId="77777777" w:rsidR="00F67E9E" w:rsidRPr="00A45727" w:rsidRDefault="00F67E9E" w:rsidP="0052486C">
            <w:pPr>
              <w:pStyle w:val="Tabletext0"/>
              <w:widowControl/>
              <w:autoSpaceDE/>
              <w:autoSpaceDN/>
            </w:pPr>
          </w:p>
        </w:tc>
        <w:tc>
          <w:tcPr>
            <w:tcW w:w="3628" w:type="dxa"/>
          </w:tcPr>
          <w:p w14:paraId="02EAAD93" w14:textId="77777777" w:rsidR="00F67E9E" w:rsidRPr="00A45727" w:rsidRDefault="00F67E9E" w:rsidP="0052486C">
            <w:pPr>
              <w:pStyle w:val="Tabletext0"/>
              <w:widowControl/>
              <w:autoSpaceDE/>
              <w:autoSpaceDN/>
            </w:pPr>
          </w:p>
        </w:tc>
        <w:tc>
          <w:tcPr>
            <w:tcW w:w="2098" w:type="dxa"/>
          </w:tcPr>
          <w:p w14:paraId="00118C17" w14:textId="77777777" w:rsidR="00F67E9E" w:rsidRPr="00A45727" w:rsidRDefault="00F67E9E" w:rsidP="0052486C">
            <w:pPr>
              <w:pStyle w:val="Tabletext0"/>
              <w:widowControl/>
              <w:autoSpaceDE/>
              <w:autoSpaceDN/>
            </w:pPr>
          </w:p>
        </w:tc>
        <w:tc>
          <w:tcPr>
            <w:tcW w:w="1928" w:type="dxa"/>
          </w:tcPr>
          <w:p w14:paraId="3C37FDDD" w14:textId="77777777" w:rsidR="00F67E9E" w:rsidRPr="00A45727" w:rsidRDefault="00F67E9E" w:rsidP="0052486C">
            <w:pPr>
              <w:pStyle w:val="Tabletext0"/>
              <w:widowControl/>
              <w:autoSpaceDE/>
              <w:autoSpaceDN/>
            </w:pPr>
          </w:p>
        </w:tc>
        <w:tc>
          <w:tcPr>
            <w:tcW w:w="2381" w:type="dxa"/>
          </w:tcPr>
          <w:p w14:paraId="4B12D7E7" w14:textId="77777777" w:rsidR="00F67E9E" w:rsidRPr="00A45727" w:rsidRDefault="00F67E9E" w:rsidP="0052486C">
            <w:pPr>
              <w:pStyle w:val="Tabletext0"/>
              <w:widowControl/>
              <w:autoSpaceDE/>
              <w:autoSpaceDN/>
            </w:pPr>
          </w:p>
        </w:tc>
      </w:tr>
      <w:tr w:rsidR="00F67E9E" w:rsidRPr="00025910" w14:paraId="39FA6BE6" w14:textId="77777777" w:rsidTr="0052486C">
        <w:trPr>
          <w:trHeight w:val="680"/>
        </w:trPr>
        <w:tc>
          <w:tcPr>
            <w:tcW w:w="1417" w:type="dxa"/>
          </w:tcPr>
          <w:p w14:paraId="4A9DADE4" w14:textId="77777777" w:rsidR="00F67E9E" w:rsidRPr="00A45727" w:rsidRDefault="00F67E9E" w:rsidP="0052486C">
            <w:pPr>
              <w:pStyle w:val="Tabletext0"/>
              <w:widowControl/>
              <w:autoSpaceDE/>
              <w:autoSpaceDN/>
              <w:rPr>
                <w:b/>
                <w:bCs/>
              </w:rPr>
            </w:pPr>
            <w:r w:rsidRPr="00A45727">
              <w:rPr>
                <w:b/>
                <w:bCs/>
              </w:rPr>
              <w:t>Emp No 2</w:t>
            </w:r>
          </w:p>
        </w:tc>
        <w:tc>
          <w:tcPr>
            <w:tcW w:w="1871" w:type="dxa"/>
          </w:tcPr>
          <w:p w14:paraId="1E24D4FA" w14:textId="77777777" w:rsidR="00F67E9E" w:rsidRPr="00A45727" w:rsidRDefault="00F67E9E" w:rsidP="0052486C">
            <w:pPr>
              <w:pStyle w:val="Tabletext0"/>
              <w:widowControl/>
              <w:autoSpaceDE/>
              <w:autoSpaceDN/>
            </w:pPr>
          </w:p>
        </w:tc>
        <w:tc>
          <w:tcPr>
            <w:tcW w:w="1814" w:type="dxa"/>
          </w:tcPr>
          <w:p w14:paraId="060B49CC" w14:textId="77777777" w:rsidR="00F67E9E" w:rsidRPr="00A45727" w:rsidRDefault="00F67E9E" w:rsidP="0052486C">
            <w:pPr>
              <w:pStyle w:val="Tabletext0"/>
              <w:widowControl/>
              <w:autoSpaceDE/>
              <w:autoSpaceDN/>
            </w:pPr>
          </w:p>
        </w:tc>
        <w:tc>
          <w:tcPr>
            <w:tcW w:w="3628" w:type="dxa"/>
          </w:tcPr>
          <w:p w14:paraId="7A1ADBD1" w14:textId="77777777" w:rsidR="00F67E9E" w:rsidRPr="00A45727" w:rsidRDefault="00F67E9E" w:rsidP="0052486C">
            <w:pPr>
              <w:pStyle w:val="Tabletext0"/>
              <w:widowControl/>
              <w:autoSpaceDE/>
              <w:autoSpaceDN/>
            </w:pPr>
          </w:p>
        </w:tc>
        <w:tc>
          <w:tcPr>
            <w:tcW w:w="2098" w:type="dxa"/>
          </w:tcPr>
          <w:p w14:paraId="736FD06B" w14:textId="77777777" w:rsidR="00F67E9E" w:rsidRPr="00A45727" w:rsidRDefault="00F67E9E" w:rsidP="0052486C">
            <w:pPr>
              <w:pStyle w:val="Tabletext0"/>
              <w:widowControl/>
              <w:autoSpaceDE/>
              <w:autoSpaceDN/>
            </w:pPr>
          </w:p>
        </w:tc>
        <w:tc>
          <w:tcPr>
            <w:tcW w:w="1928" w:type="dxa"/>
          </w:tcPr>
          <w:p w14:paraId="239B7D80" w14:textId="77777777" w:rsidR="00F67E9E" w:rsidRPr="00A45727" w:rsidRDefault="00F67E9E" w:rsidP="0052486C">
            <w:pPr>
              <w:pStyle w:val="Tabletext0"/>
              <w:widowControl/>
              <w:autoSpaceDE/>
              <w:autoSpaceDN/>
            </w:pPr>
          </w:p>
        </w:tc>
        <w:tc>
          <w:tcPr>
            <w:tcW w:w="2381" w:type="dxa"/>
          </w:tcPr>
          <w:p w14:paraId="1F2A6F3E" w14:textId="77777777" w:rsidR="00F67E9E" w:rsidRPr="00A45727" w:rsidRDefault="00F67E9E" w:rsidP="0052486C">
            <w:pPr>
              <w:pStyle w:val="Tabletext0"/>
              <w:widowControl/>
              <w:autoSpaceDE/>
              <w:autoSpaceDN/>
            </w:pPr>
          </w:p>
        </w:tc>
      </w:tr>
      <w:tr w:rsidR="00F67E9E" w:rsidRPr="00025910" w14:paraId="6C15F6D8" w14:textId="77777777" w:rsidTr="0052486C">
        <w:trPr>
          <w:trHeight w:val="680"/>
        </w:trPr>
        <w:tc>
          <w:tcPr>
            <w:tcW w:w="1417" w:type="dxa"/>
          </w:tcPr>
          <w:p w14:paraId="570A303E" w14:textId="77777777" w:rsidR="00F67E9E" w:rsidRPr="00A45727" w:rsidRDefault="00F67E9E" w:rsidP="0052486C">
            <w:pPr>
              <w:pStyle w:val="Tabletext0"/>
              <w:widowControl/>
              <w:autoSpaceDE/>
              <w:autoSpaceDN/>
              <w:rPr>
                <w:b/>
                <w:bCs/>
              </w:rPr>
            </w:pPr>
            <w:r w:rsidRPr="00A45727">
              <w:rPr>
                <w:b/>
                <w:bCs/>
              </w:rPr>
              <w:t>Emp No</w:t>
            </w:r>
          </w:p>
        </w:tc>
        <w:tc>
          <w:tcPr>
            <w:tcW w:w="1871" w:type="dxa"/>
          </w:tcPr>
          <w:p w14:paraId="3CE9A49F" w14:textId="77777777" w:rsidR="00F67E9E" w:rsidRPr="00A45727" w:rsidRDefault="00F67E9E" w:rsidP="0052486C">
            <w:pPr>
              <w:pStyle w:val="Tabletext0"/>
              <w:widowControl/>
              <w:autoSpaceDE/>
              <w:autoSpaceDN/>
            </w:pPr>
          </w:p>
        </w:tc>
        <w:tc>
          <w:tcPr>
            <w:tcW w:w="1814" w:type="dxa"/>
          </w:tcPr>
          <w:p w14:paraId="6A5D4964" w14:textId="77777777" w:rsidR="00F67E9E" w:rsidRPr="00A45727" w:rsidRDefault="00F67E9E" w:rsidP="0052486C">
            <w:pPr>
              <w:pStyle w:val="Tabletext0"/>
              <w:widowControl/>
              <w:autoSpaceDE/>
              <w:autoSpaceDN/>
            </w:pPr>
          </w:p>
        </w:tc>
        <w:tc>
          <w:tcPr>
            <w:tcW w:w="3628" w:type="dxa"/>
          </w:tcPr>
          <w:p w14:paraId="17D5752C" w14:textId="77777777" w:rsidR="00F67E9E" w:rsidRPr="00A45727" w:rsidRDefault="00F67E9E" w:rsidP="0052486C">
            <w:pPr>
              <w:pStyle w:val="Tabletext0"/>
              <w:widowControl/>
              <w:autoSpaceDE/>
              <w:autoSpaceDN/>
            </w:pPr>
          </w:p>
        </w:tc>
        <w:tc>
          <w:tcPr>
            <w:tcW w:w="2098" w:type="dxa"/>
          </w:tcPr>
          <w:p w14:paraId="72FCC56A" w14:textId="77777777" w:rsidR="00F67E9E" w:rsidRPr="00A45727" w:rsidRDefault="00F67E9E" w:rsidP="0052486C">
            <w:pPr>
              <w:pStyle w:val="Tabletext0"/>
              <w:widowControl/>
              <w:autoSpaceDE/>
              <w:autoSpaceDN/>
            </w:pPr>
          </w:p>
        </w:tc>
        <w:tc>
          <w:tcPr>
            <w:tcW w:w="1928" w:type="dxa"/>
          </w:tcPr>
          <w:p w14:paraId="662E68B2" w14:textId="77777777" w:rsidR="00F67E9E" w:rsidRPr="00A45727" w:rsidRDefault="00F67E9E" w:rsidP="0052486C">
            <w:pPr>
              <w:pStyle w:val="Tabletext0"/>
              <w:widowControl/>
              <w:autoSpaceDE/>
              <w:autoSpaceDN/>
            </w:pPr>
          </w:p>
        </w:tc>
        <w:tc>
          <w:tcPr>
            <w:tcW w:w="2381" w:type="dxa"/>
          </w:tcPr>
          <w:p w14:paraId="1D7351CD" w14:textId="77777777" w:rsidR="00F67E9E" w:rsidRPr="00A45727" w:rsidRDefault="00F67E9E" w:rsidP="0052486C">
            <w:pPr>
              <w:pStyle w:val="Tabletext0"/>
              <w:widowControl/>
              <w:autoSpaceDE/>
              <w:autoSpaceDN/>
            </w:pPr>
          </w:p>
        </w:tc>
      </w:tr>
      <w:tr w:rsidR="00F67E9E" w:rsidRPr="00025910" w14:paraId="2432069C" w14:textId="77777777" w:rsidTr="0052486C">
        <w:trPr>
          <w:trHeight w:val="680"/>
        </w:trPr>
        <w:tc>
          <w:tcPr>
            <w:tcW w:w="1417" w:type="dxa"/>
          </w:tcPr>
          <w:p w14:paraId="21ABA05A" w14:textId="77777777" w:rsidR="00F67E9E" w:rsidRPr="00A45727" w:rsidRDefault="00F67E9E" w:rsidP="0052486C">
            <w:pPr>
              <w:pStyle w:val="Tabletext0"/>
              <w:widowControl/>
              <w:autoSpaceDE/>
              <w:autoSpaceDN/>
              <w:rPr>
                <w:b/>
                <w:bCs/>
              </w:rPr>
            </w:pPr>
            <w:r w:rsidRPr="00A45727">
              <w:rPr>
                <w:b/>
                <w:bCs/>
              </w:rPr>
              <w:t>Emp No</w:t>
            </w:r>
          </w:p>
        </w:tc>
        <w:tc>
          <w:tcPr>
            <w:tcW w:w="1871" w:type="dxa"/>
          </w:tcPr>
          <w:p w14:paraId="5033551E" w14:textId="77777777" w:rsidR="00F67E9E" w:rsidRPr="00A45727" w:rsidRDefault="00F67E9E" w:rsidP="0052486C">
            <w:pPr>
              <w:pStyle w:val="Tabletext0"/>
              <w:widowControl/>
              <w:autoSpaceDE/>
              <w:autoSpaceDN/>
            </w:pPr>
          </w:p>
        </w:tc>
        <w:tc>
          <w:tcPr>
            <w:tcW w:w="1814" w:type="dxa"/>
          </w:tcPr>
          <w:p w14:paraId="5C55311F" w14:textId="77777777" w:rsidR="00F67E9E" w:rsidRPr="00A45727" w:rsidRDefault="00F67E9E" w:rsidP="0052486C">
            <w:pPr>
              <w:pStyle w:val="Tabletext0"/>
              <w:widowControl/>
              <w:autoSpaceDE/>
              <w:autoSpaceDN/>
            </w:pPr>
          </w:p>
        </w:tc>
        <w:tc>
          <w:tcPr>
            <w:tcW w:w="3628" w:type="dxa"/>
          </w:tcPr>
          <w:p w14:paraId="4B4A4834" w14:textId="77777777" w:rsidR="00F67E9E" w:rsidRPr="00A45727" w:rsidRDefault="00F67E9E" w:rsidP="0052486C">
            <w:pPr>
              <w:pStyle w:val="Tabletext0"/>
              <w:widowControl/>
              <w:autoSpaceDE/>
              <w:autoSpaceDN/>
            </w:pPr>
          </w:p>
        </w:tc>
        <w:tc>
          <w:tcPr>
            <w:tcW w:w="2098" w:type="dxa"/>
          </w:tcPr>
          <w:p w14:paraId="7BC0D9D7" w14:textId="77777777" w:rsidR="00F67E9E" w:rsidRPr="00A45727" w:rsidRDefault="00F67E9E" w:rsidP="0052486C">
            <w:pPr>
              <w:pStyle w:val="Tabletext0"/>
              <w:widowControl/>
              <w:autoSpaceDE/>
              <w:autoSpaceDN/>
            </w:pPr>
          </w:p>
        </w:tc>
        <w:tc>
          <w:tcPr>
            <w:tcW w:w="1928" w:type="dxa"/>
          </w:tcPr>
          <w:p w14:paraId="3071FCFA" w14:textId="77777777" w:rsidR="00F67E9E" w:rsidRPr="00A45727" w:rsidRDefault="00F67E9E" w:rsidP="0052486C">
            <w:pPr>
              <w:pStyle w:val="Tabletext0"/>
              <w:widowControl/>
              <w:autoSpaceDE/>
              <w:autoSpaceDN/>
            </w:pPr>
          </w:p>
        </w:tc>
        <w:tc>
          <w:tcPr>
            <w:tcW w:w="2381" w:type="dxa"/>
          </w:tcPr>
          <w:p w14:paraId="2002BDA4" w14:textId="77777777" w:rsidR="00F67E9E" w:rsidRPr="00A45727" w:rsidRDefault="00F67E9E" w:rsidP="0052486C">
            <w:pPr>
              <w:pStyle w:val="Tabletext0"/>
              <w:widowControl/>
              <w:autoSpaceDE/>
              <w:autoSpaceDN/>
            </w:pPr>
          </w:p>
        </w:tc>
      </w:tr>
      <w:tr w:rsidR="00F67E9E" w:rsidRPr="00025910" w14:paraId="2016BE61" w14:textId="77777777" w:rsidTr="0052486C">
        <w:trPr>
          <w:trHeight w:val="680"/>
        </w:trPr>
        <w:tc>
          <w:tcPr>
            <w:tcW w:w="1417" w:type="dxa"/>
          </w:tcPr>
          <w:p w14:paraId="2E3453D5" w14:textId="77777777" w:rsidR="00F67E9E" w:rsidRPr="00A45727" w:rsidRDefault="00F67E9E" w:rsidP="0052486C">
            <w:pPr>
              <w:pStyle w:val="Tabletext0"/>
              <w:widowControl/>
              <w:autoSpaceDE/>
              <w:autoSpaceDN/>
              <w:rPr>
                <w:b/>
                <w:bCs/>
              </w:rPr>
            </w:pPr>
            <w:r w:rsidRPr="00A45727">
              <w:rPr>
                <w:b/>
                <w:bCs/>
              </w:rPr>
              <w:t>Emp No</w:t>
            </w:r>
          </w:p>
        </w:tc>
        <w:tc>
          <w:tcPr>
            <w:tcW w:w="1871" w:type="dxa"/>
          </w:tcPr>
          <w:p w14:paraId="2880DEF5" w14:textId="77777777" w:rsidR="00F67E9E" w:rsidRPr="00A45727" w:rsidRDefault="00F67E9E" w:rsidP="0052486C">
            <w:pPr>
              <w:pStyle w:val="Tabletext0"/>
              <w:widowControl/>
              <w:autoSpaceDE/>
              <w:autoSpaceDN/>
            </w:pPr>
          </w:p>
        </w:tc>
        <w:tc>
          <w:tcPr>
            <w:tcW w:w="1814" w:type="dxa"/>
          </w:tcPr>
          <w:p w14:paraId="72F628E7" w14:textId="77777777" w:rsidR="00F67E9E" w:rsidRPr="00A45727" w:rsidRDefault="00F67E9E" w:rsidP="0052486C">
            <w:pPr>
              <w:pStyle w:val="Tabletext0"/>
              <w:widowControl/>
              <w:autoSpaceDE/>
              <w:autoSpaceDN/>
            </w:pPr>
          </w:p>
        </w:tc>
        <w:tc>
          <w:tcPr>
            <w:tcW w:w="3628" w:type="dxa"/>
          </w:tcPr>
          <w:p w14:paraId="688C2631" w14:textId="77777777" w:rsidR="00F67E9E" w:rsidRPr="00A45727" w:rsidRDefault="00F67E9E" w:rsidP="0052486C">
            <w:pPr>
              <w:pStyle w:val="Tabletext0"/>
              <w:widowControl/>
              <w:autoSpaceDE/>
              <w:autoSpaceDN/>
            </w:pPr>
          </w:p>
        </w:tc>
        <w:tc>
          <w:tcPr>
            <w:tcW w:w="2098" w:type="dxa"/>
          </w:tcPr>
          <w:p w14:paraId="63A224CD" w14:textId="77777777" w:rsidR="00F67E9E" w:rsidRPr="00A45727" w:rsidRDefault="00F67E9E" w:rsidP="0052486C">
            <w:pPr>
              <w:pStyle w:val="Tabletext0"/>
              <w:widowControl/>
              <w:autoSpaceDE/>
              <w:autoSpaceDN/>
            </w:pPr>
          </w:p>
        </w:tc>
        <w:tc>
          <w:tcPr>
            <w:tcW w:w="1928" w:type="dxa"/>
          </w:tcPr>
          <w:p w14:paraId="5E6AC81A" w14:textId="77777777" w:rsidR="00F67E9E" w:rsidRPr="00A45727" w:rsidRDefault="00F67E9E" w:rsidP="0052486C">
            <w:pPr>
              <w:pStyle w:val="Tabletext0"/>
              <w:widowControl/>
              <w:autoSpaceDE/>
              <w:autoSpaceDN/>
            </w:pPr>
          </w:p>
        </w:tc>
        <w:tc>
          <w:tcPr>
            <w:tcW w:w="2381" w:type="dxa"/>
          </w:tcPr>
          <w:p w14:paraId="418B8269" w14:textId="77777777" w:rsidR="00F67E9E" w:rsidRPr="00A45727" w:rsidRDefault="00F67E9E" w:rsidP="0052486C">
            <w:pPr>
              <w:pStyle w:val="Tabletext0"/>
              <w:widowControl/>
              <w:autoSpaceDE/>
              <w:autoSpaceDN/>
            </w:pPr>
          </w:p>
        </w:tc>
      </w:tr>
      <w:tr w:rsidR="00F67E9E" w:rsidRPr="00025910" w14:paraId="51353F6B" w14:textId="77777777" w:rsidTr="0052486C">
        <w:trPr>
          <w:trHeight w:val="680"/>
        </w:trPr>
        <w:tc>
          <w:tcPr>
            <w:tcW w:w="1417" w:type="dxa"/>
          </w:tcPr>
          <w:p w14:paraId="2392469D" w14:textId="77777777" w:rsidR="00F67E9E" w:rsidRPr="00A45727" w:rsidRDefault="00F67E9E" w:rsidP="0052486C">
            <w:pPr>
              <w:pStyle w:val="Tabletext0"/>
              <w:widowControl/>
              <w:autoSpaceDE/>
              <w:autoSpaceDN/>
              <w:rPr>
                <w:b/>
                <w:bCs/>
              </w:rPr>
            </w:pPr>
            <w:r w:rsidRPr="00A45727">
              <w:rPr>
                <w:b/>
                <w:bCs/>
              </w:rPr>
              <w:t>Emp No</w:t>
            </w:r>
          </w:p>
        </w:tc>
        <w:tc>
          <w:tcPr>
            <w:tcW w:w="1871" w:type="dxa"/>
          </w:tcPr>
          <w:p w14:paraId="3DABB16E" w14:textId="77777777" w:rsidR="00F67E9E" w:rsidRPr="00A45727" w:rsidRDefault="00F67E9E" w:rsidP="0052486C">
            <w:pPr>
              <w:pStyle w:val="Tabletext0"/>
              <w:widowControl/>
              <w:autoSpaceDE/>
              <w:autoSpaceDN/>
            </w:pPr>
          </w:p>
        </w:tc>
        <w:tc>
          <w:tcPr>
            <w:tcW w:w="1814" w:type="dxa"/>
          </w:tcPr>
          <w:p w14:paraId="7EC28BDE" w14:textId="77777777" w:rsidR="00F67E9E" w:rsidRPr="00A45727" w:rsidRDefault="00F67E9E" w:rsidP="0052486C">
            <w:pPr>
              <w:pStyle w:val="Tabletext0"/>
              <w:widowControl/>
              <w:autoSpaceDE/>
              <w:autoSpaceDN/>
            </w:pPr>
          </w:p>
        </w:tc>
        <w:tc>
          <w:tcPr>
            <w:tcW w:w="3628" w:type="dxa"/>
          </w:tcPr>
          <w:p w14:paraId="087CCBB9" w14:textId="77777777" w:rsidR="00F67E9E" w:rsidRPr="00A45727" w:rsidRDefault="00F67E9E" w:rsidP="0052486C">
            <w:pPr>
              <w:pStyle w:val="Tabletext0"/>
              <w:widowControl/>
              <w:autoSpaceDE/>
              <w:autoSpaceDN/>
            </w:pPr>
          </w:p>
        </w:tc>
        <w:tc>
          <w:tcPr>
            <w:tcW w:w="2098" w:type="dxa"/>
          </w:tcPr>
          <w:p w14:paraId="36A0264A" w14:textId="77777777" w:rsidR="00F67E9E" w:rsidRPr="00A45727" w:rsidRDefault="00F67E9E" w:rsidP="0052486C">
            <w:pPr>
              <w:pStyle w:val="Tabletext0"/>
              <w:widowControl/>
              <w:autoSpaceDE/>
              <w:autoSpaceDN/>
            </w:pPr>
          </w:p>
        </w:tc>
        <w:tc>
          <w:tcPr>
            <w:tcW w:w="1928" w:type="dxa"/>
          </w:tcPr>
          <w:p w14:paraId="38E9B38F" w14:textId="77777777" w:rsidR="00F67E9E" w:rsidRPr="00A45727" w:rsidRDefault="00F67E9E" w:rsidP="0052486C">
            <w:pPr>
              <w:pStyle w:val="Tabletext0"/>
              <w:widowControl/>
              <w:autoSpaceDE/>
              <w:autoSpaceDN/>
            </w:pPr>
          </w:p>
        </w:tc>
        <w:tc>
          <w:tcPr>
            <w:tcW w:w="2381" w:type="dxa"/>
          </w:tcPr>
          <w:p w14:paraId="789A4425" w14:textId="77777777" w:rsidR="00F67E9E" w:rsidRPr="00A45727" w:rsidRDefault="00F67E9E" w:rsidP="0052486C">
            <w:pPr>
              <w:pStyle w:val="Tabletext0"/>
              <w:widowControl/>
              <w:autoSpaceDE/>
              <w:autoSpaceDN/>
            </w:pPr>
          </w:p>
        </w:tc>
      </w:tr>
      <w:tr w:rsidR="00F67E9E" w:rsidRPr="00025910" w14:paraId="336677F4" w14:textId="77777777" w:rsidTr="0052486C">
        <w:trPr>
          <w:trHeight w:val="680"/>
        </w:trPr>
        <w:tc>
          <w:tcPr>
            <w:tcW w:w="1417" w:type="dxa"/>
          </w:tcPr>
          <w:p w14:paraId="02CECF01" w14:textId="77777777" w:rsidR="00F67E9E" w:rsidRPr="00A45727" w:rsidRDefault="00F67E9E" w:rsidP="0052486C">
            <w:pPr>
              <w:pStyle w:val="Tabletext0"/>
              <w:widowControl/>
              <w:autoSpaceDE/>
              <w:autoSpaceDN/>
              <w:rPr>
                <w:b/>
                <w:bCs/>
              </w:rPr>
            </w:pPr>
            <w:r w:rsidRPr="00A45727">
              <w:rPr>
                <w:b/>
                <w:bCs/>
              </w:rPr>
              <w:t>Emp No</w:t>
            </w:r>
          </w:p>
        </w:tc>
        <w:tc>
          <w:tcPr>
            <w:tcW w:w="1871" w:type="dxa"/>
          </w:tcPr>
          <w:p w14:paraId="52E818C0" w14:textId="77777777" w:rsidR="00F67E9E" w:rsidRPr="00A45727" w:rsidRDefault="00F67E9E" w:rsidP="0052486C">
            <w:pPr>
              <w:pStyle w:val="Tabletext0"/>
              <w:widowControl/>
              <w:autoSpaceDE/>
              <w:autoSpaceDN/>
            </w:pPr>
          </w:p>
        </w:tc>
        <w:tc>
          <w:tcPr>
            <w:tcW w:w="1814" w:type="dxa"/>
          </w:tcPr>
          <w:p w14:paraId="2D0A7138" w14:textId="77777777" w:rsidR="00F67E9E" w:rsidRPr="00A45727" w:rsidRDefault="00F67E9E" w:rsidP="0052486C">
            <w:pPr>
              <w:pStyle w:val="Tabletext0"/>
              <w:widowControl/>
              <w:autoSpaceDE/>
              <w:autoSpaceDN/>
            </w:pPr>
          </w:p>
        </w:tc>
        <w:tc>
          <w:tcPr>
            <w:tcW w:w="3628" w:type="dxa"/>
          </w:tcPr>
          <w:p w14:paraId="04A6384E" w14:textId="77777777" w:rsidR="00F67E9E" w:rsidRPr="00A45727" w:rsidRDefault="00F67E9E" w:rsidP="0052486C">
            <w:pPr>
              <w:pStyle w:val="Tabletext0"/>
              <w:widowControl/>
              <w:autoSpaceDE/>
              <w:autoSpaceDN/>
            </w:pPr>
          </w:p>
        </w:tc>
        <w:tc>
          <w:tcPr>
            <w:tcW w:w="2098" w:type="dxa"/>
          </w:tcPr>
          <w:p w14:paraId="77CABC55" w14:textId="77777777" w:rsidR="00F67E9E" w:rsidRPr="00A45727" w:rsidRDefault="00F67E9E" w:rsidP="0052486C">
            <w:pPr>
              <w:pStyle w:val="Tabletext0"/>
              <w:widowControl/>
              <w:autoSpaceDE/>
              <w:autoSpaceDN/>
            </w:pPr>
          </w:p>
        </w:tc>
        <w:tc>
          <w:tcPr>
            <w:tcW w:w="1928" w:type="dxa"/>
          </w:tcPr>
          <w:p w14:paraId="37A80B54" w14:textId="77777777" w:rsidR="00F67E9E" w:rsidRPr="00A45727" w:rsidRDefault="00F67E9E" w:rsidP="0052486C">
            <w:pPr>
              <w:pStyle w:val="Tabletext0"/>
              <w:widowControl/>
              <w:autoSpaceDE/>
              <w:autoSpaceDN/>
            </w:pPr>
          </w:p>
        </w:tc>
        <w:tc>
          <w:tcPr>
            <w:tcW w:w="2381" w:type="dxa"/>
          </w:tcPr>
          <w:p w14:paraId="44C7787F" w14:textId="77777777" w:rsidR="00F67E9E" w:rsidRPr="00A45727" w:rsidRDefault="00F67E9E" w:rsidP="0052486C">
            <w:pPr>
              <w:pStyle w:val="Tabletext0"/>
              <w:widowControl/>
              <w:autoSpaceDE/>
              <w:autoSpaceDN/>
            </w:pPr>
          </w:p>
        </w:tc>
      </w:tr>
    </w:tbl>
    <w:p w14:paraId="7D14A0FB" w14:textId="77777777" w:rsidR="00F67E9E" w:rsidRDefault="00F67E9E" w:rsidP="00F67E9E"/>
    <w:p w14:paraId="1B70B91E" w14:textId="77777777" w:rsidR="00F67E9E" w:rsidRPr="00025910" w:rsidRDefault="00F67E9E" w:rsidP="00F67E9E">
      <w:r w:rsidRPr="00025910">
        <w:br w:type="page"/>
      </w:r>
    </w:p>
    <w:tbl>
      <w:tblPr>
        <w:tblStyle w:val="MSATable-header"/>
        <w:tblW w:w="15142" w:type="dxa"/>
        <w:tblLook w:val="04A0" w:firstRow="1" w:lastRow="0" w:firstColumn="1" w:lastColumn="0" w:noHBand="0" w:noVBand="1"/>
      </w:tblPr>
      <w:tblGrid>
        <w:gridCol w:w="1418"/>
        <w:gridCol w:w="1701"/>
        <w:gridCol w:w="1587"/>
        <w:gridCol w:w="1985"/>
        <w:gridCol w:w="2042"/>
        <w:gridCol w:w="2382"/>
        <w:gridCol w:w="4027"/>
      </w:tblGrid>
      <w:tr w:rsidR="00F67E9E" w:rsidRPr="00025910" w14:paraId="507E3EC2"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nil"/>
              <w:left w:val="nil"/>
            </w:tcBorders>
            <w:shd w:val="clear" w:color="auto" w:fill="auto"/>
          </w:tcPr>
          <w:p w14:paraId="4E7A7828" w14:textId="77777777" w:rsidR="00F67E9E" w:rsidRPr="00A45727" w:rsidRDefault="00F67E9E" w:rsidP="0052486C">
            <w:pPr>
              <w:pStyle w:val="Tabletext0"/>
              <w:widowControl/>
              <w:autoSpaceDE/>
              <w:autoSpaceDN/>
            </w:pPr>
          </w:p>
        </w:tc>
        <w:tc>
          <w:tcPr>
            <w:tcW w:w="13720" w:type="dxa"/>
            <w:gridSpan w:val="6"/>
          </w:tcPr>
          <w:p w14:paraId="4B608294" w14:textId="77777777" w:rsidR="00F67E9E" w:rsidRPr="00A45727" w:rsidRDefault="00F67E9E" w:rsidP="0052486C">
            <w:pPr>
              <w:pStyle w:val="Tabletext0"/>
              <w:widowControl/>
              <w:autoSpaceDE/>
              <w:autoSpaceDN/>
            </w:pPr>
            <w:r w:rsidRPr="00A45727">
              <w:t>PENSIONS</w:t>
            </w:r>
          </w:p>
        </w:tc>
      </w:tr>
      <w:tr w:rsidR="00F67E9E" w:rsidRPr="00025910" w14:paraId="0AE5B2BE"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8" w:type="dxa"/>
          </w:tcPr>
          <w:p w14:paraId="163A6DE6" w14:textId="77777777" w:rsidR="00F67E9E" w:rsidRPr="00A45727" w:rsidRDefault="00F67E9E" w:rsidP="0052486C">
            <w:pPr>
              <w:pStyle w:val="Tabletext0"/>
              <w:widowControl/>
              <w:autoSpaceDE/>
              <w:autoSpaceDN/>
            </w:pPr>
            <w:r w:rsidRPr="00A45727">
              <w:t>Details</w:t>
            </w:r>
          </w:p>
        </w:tc>
        <w:tc>
          <w:tcPr>
            <w:tcW w:w="1701" w:type="dxa"/>
          </w:tcPr>
          <w:p w14:paraId="5A96C6BA" w14:textId="77777777" w:rsidR="00F67E9E" w:rsidRPr="00A45727" w:rsidRDefault="00F67E9E" w:rsidP="0052486C">
            <w:pPr>
              <w:pStyle w:val="Tabletext0"/>
              <w:widowControl/>
              <w:autoSpaceDE/>
              <w:autoSpaceDN/>
            </w:pPr>
            <w:r w:rsidRPr="00A45727">
              <w:t>Employee pension contribution rate</w:t>
            </w:r>
          </w:p>
        </w:tc>
        <w:tc>
          <w:tcPr>
            <w:tcW w:w="1587" w:type="dxa"/>
          </w:tcPr>
          <w:p w14:paraId="6552B3EC" w14:textId="77777777" w:rsidR="00F67E9E" w:rsidRPr="00A45727" w:rsidRDefault="00F67E9E" w:rsidP="0052486C">
            <w:pPr>
              <w:pStyle w:val="Tabletext0"/>
              <w:widowControl/>
              <w:autoSpaceDE/>
              <w:autoSpaceDN/>
            </w:pPr>
            <w:r w:rsidRPr="00A45727">
              <w:t>Employer pension contribution rate</w:t>
            </w:r>
          </w:p>
        </w:tc>
        <w:tc>
          <w:tcPr>
            <w:tcW w:w="1984" w:type="dxa"/>
          </w:tcPr>
          <w:p w14:paraId="30CD4338" w14:textId="77777777" w:rsidR="00F67E9E" w:rsidRPr="00A45727" w:rsidRDefault="00F67E9E" w:rsidP="0052486C">
            <w:pPr>
              <w:pStyle w:val="Tabletext0"/>
              <w:widowControl/>
              <w:autoSpaceDE/>
              <w:autoSpaceDN/>
            </w:pPr>
            <w:r w:rsidRPr="00A45727">
              <w:t>Please provide the name of the pension scheme and a link to the pension scheme website</w:t>
            </w:r>
          </w:p>
        </w:tc>
        <w:tc>
          <w:tcPr>
            <w:tcW w:w="2041" w:type="dxa"/>
          </w:tcPr>
          <w:p w14:paraId="4D98970E" w14:textId="77777777" w:rsidR="00F67E9E" w:rsidRPr="00A45727" w:rsidRDefault="00F67E9E" w:rsidP="0052486C">
            <w:pPr>
              <w:pStyle w:val="Tabletext0"/>
              <w:widowControl/>
              <w:autoSpaceDE/>
              <w:autoSpaceDN/>
            </w:pPr>
            <w:r w:rsidRPr="00A45727">
              <w:t>Is the scheme an occupational pension scheme as defined in the Pension Schemes Act 1993?</w:t>
            </w:r>
          </w:p>
        </w:tc>
        <w:tc>
          <w:tcPr>
            <w:tcW w:w="2381" w:type="dxa"/>
          </w:tcPr>
          <w:p w14:paraId="71E7DA83" w14:textId="77777777" w:rsidR="00F67E9E" w:rsidRPr="00A45727" w:rsidRDefault="00F67E9E" w:rsidP="0052486C">
            <w:pPr>
              <w:pStyle w:val="Tabletext0"/>
              <w:widowControl/>
              <w:autoSpaceDE/>
              <w:autoSpaceDN/>
            </w:pPr>
            <w:r w:rsidRPr="00A45727">
              <w:t>If the scheme is not an occupational pension scheme, what type of scheme is it? E.g. personal pension scheme?</w:t>
            </w:r>
          </w:p>
        </w:tc>
        <w:tc>
          <w:tcPr>
            <w:tcW w:w="4025" w:type="dxa"/>
          </w:tcPr>
          <w:p w14:paraId="66B6B90A" w14:textId="77777777" w:rsidR="00F67E9E" w:rsidRPr="00A45727" w:rsidRDefault="00F67E9E" w:rsidP="0052486C">
            <w:pPr>
              <w:pStyle w:val="Tabletext0"/>
              <w:widowControl/>
              <w:autoSpaceDE/>
              <w:autoSpaceDN/>
            </w:pPr>
            <w:r w:rsidRPr="00A45727">
              <w:t>Type of pension provision e.g. defined benefit (CARE or final salary, and whether a public sector scheme e.g. CSPS, NHSPS, LGPS etc. or a broadly comparable scheme) or a defined contribution scheme or an auto enrolment master trust?</w:t>
            </w:r>
          </w:p>
        </w:tc>
      </w:tr>
      <w:tr w:rsidR="00F67E9E" w:rsidRPr="00025910" w14:paraId="3755CC8B" w14:textId="77777777" w:rsidTr="0052486C">
        <w:trPr>
          <w:trHeight w:val="680"/>
        </w:trPr>
        <w:tc>
          <w:tcPr>
            <w:tcW w:w="1418" w:type="dxa"/>
          </w:tcPr>
          <w:p w14:paraId="2906CB09" w14:textId="77777777" w:rsidR="00F67E9E" w:rsidRPr="004E522A" w:rsidRDefault="00F67E9E" w:rsidP="0052486C">
            <w:pPr>
              <w:pStyle w:val="Tabletext0"/>
              <w:widowControl/>
              <w:autoSpaceDE/>
              <w:autoSpaceDN/>
              <w:rPr>
                <w:b/>
                <w:bCs/>
              </w:rPr>
            </w:pPr>
            <w:r w:rsidRPr="004E522A">
              <w:rPr>
                <w:b/>
                <w:bCs/>
              </w:rPr>
              <w:t>Emp No 1</w:t>
            </w:r>
          </w:p>
        </w:tc>
        <w:tc>
          <w:tcPr>
            <w:tcW w:w="1701" w:type="dxa"/>
          </w:tcPr>
          <w:p w14:paraId="04A7F1F6" w14:textId="77777777" w:rsidR="00F67E9E" w:rsidRPr="00A45727" w:rsidRDefault="00F67E9E" w:rsidP="0052486C">
            <w:pPr>
              <w:pStyle w:val="Tabletext0"/>
              <w:widowControl/>
              <w:autoSpaceDE/>
              <w:autoSpaceDN/>
            </w:pPr>
          </w:p>
        </w:tc>
        <w:tc>
          <w:tcPr>
            <w:tcW w:w="1587" w:type="dxa"/>
          </w:tcPr>
          <w:p w14:paraId="39FA2E1A" w14:textId="77777777" w:rsidR="00F67E9E" w:rsidRPr="00A45727" w:rsidRDefault="00F67E9E" w:rsidP="0052486C">
            <w:pPr>
              <w:pStyle w:val="Tabletext0"/>
              <w:widowControl/>
              <w:autoSpaceDE/>
              <w:autoSpaceDN/>
            </w:pPr>
          </w:p>
        </w:tc>
        <w:tc>
          <w:tcPr>
            <w:tcW w:w="1984" w:type="dxa"/>
          </w:tcPr>
          <w:p w14:paraId="4DC77D14" w14:textId="77777777" w:rsidR="00F67E9E" w:rsidRPr="00A45727" w:rsidRDefault="00F67E9E" w:rsidP="0052486C">
            <w:pPr>
              <w:pStyle w:val="Tabletext0"/>
              <w:widowControl/>
              <w:autoSpaceDE/>
              <w:autoSpaceDN/>
            </w:pPr>
          </w:p>
        </w:tc>
        <w:tc>
          <w:tcPr>
            <w:tcW w:w="2041" w:type="dxa"/>
          </w:tcPr>
          <w:p w14:paraId="791635BD" w14:textId="77777777" w:rsidR="00F67E9E" w:rsidRPr="00A45727" w:rsidRDefault="00F67E9E" w:rsidP="0052486C">
            <w:pPr>
              <w:pStyle w:val="Tabletext0"/>
              <w:widowControl/>
              <w:autoSpaceDE/>
              <w:autoSpaceDN/>
            </w:pPr>
          </w:p>
        </w:tc>
        <w:tc>
          <w:tcPr>
            <w:tcW w:w="2381" w:type="dxa"/>
          </w:tcPr>
          <w:p w14:paraId="64188CD1" w14:textId="77777777" w:rsidR="00F67E9E" w:rsidRPr="00A45727" w:rsidRDefault="00F67E9E" w:rsidP="0052486C">
            <w:pPr>
              <w:pStyle w:val="Tabletext0"/>
              <w:widowControl/>
              <w:autoSpaceDE/>
              <w:autoSpaceDN/>
            </w:pPr>
          </w:p>
        </w:tc>
        <w:tc>
          <w:tcPr>
            <w:tcW w:w="4025" w:type="dxa"/>
          </w:tcPr>
          <w:p w14:paraId="1CDF2331" w14:textId="77777777" w:rsidR="00F67E9E" w:rsidRPr="00A45727" w:rsidRDefault="00F67E9E" w:rsidP="0052486C">
            <w:pPr>
              <w:pStyle w:val="Tabletext0"/>
              <w:widowControl/>
              <w:autoSpaceDE/>
              <w:autoSpaceDN/>
            </w:pPr>
          </w:p>
        </w:tc>
      </w:tr>
      <w:tr w:rsidR="00F67E9E" w:rsidRPr="00025910" w14:paraId="38460658" w14:textId="77777777" w:rsidTr="0052486C">
        <w:trPr>
          <w:trHeight w:val="680"/>
        </w:trPr>
        <w:tc>
          <w:tcPr>
            <w:tcW w:w="1418" w:type="dxa"/>
          </w:tcPr>
          <w:p w14:paraId="7194BDBF" w14:textId="77777777" w:rsidR="00F67E9E" w:rsidRPr="004E522A" w:rsidRDefault="00F67E9E" w:rsidP="0052486C">
            <w:pPr>
              <w:pStyle w:val="Tabletext0"/>
              <w:widowControl/>
              <w:autoSpaceDE/>
              <w:autoSpaceDN/>
              <w:rPr>
                <w:b/>
                <w:bCs/>
              </w:rPr>
            </w:pPr>
            <w:r w:rsidRPr="004E522A">
              <w:rPr>
                <w:b/>
                <w:bCs/>
              </w:rPr>
              <w:t>Emp No 2</w:t>
            </w:r>
          </w:p>
        </w:tc>
        <w:tc>
          <w:tcPr>
            <w:tcW w:w="1701" w:type="dxa"/>
          </w:tcPr>
          <w:p w14:paraId="72402CA3" w14:textId="77777777" w:rsidR="00F67E9E" w:rsidRPr="00A45727" w:rsidRDefault="00F67E9E" w:rsidP="0052486C">
            <w:pPr>
              <w:pStyle w:val="Tabletext0"/>
              <w:widowControl/>
              <w:autoSpaceDE/>
              <w:autoSpaceDN/>
            </w:pPr>
          </w:p>
        </w:tc>
        <w:tc>
          <w:tcPr>
            <w:tcW w:w="1587" w:type="dxa"/>
          </w:tcPr>
          <w:p w14:paraId="22FD6AEB" w14:textId="77777777" w:rsidR="00F67E9E" w:rsidRPr="00A45727" w:rsidRDefault="00F67E9E" w:rsidP="0052486C">
            <w:pPr>
              <w:pStyle w:val="Tabletext0"/>
              <w:widowControl/>
              <w:autoSpaceDE/>
              <w:autoSpaceDN/>
            </w:pPr>
          </w:p>
        </w:tc>
        <w:tc>
          <w:tcPr>
            <w:tcW w:w="1984" w:type="dxa"/>
          </w:tcPr>
          <w:p w14:paraId="6EFB7D07" w14:textId="77777777" w:rsidR="00F67E9E" w:rsidRPr="00A45727" w:rsidRDefault="00F67E9E" w:rsidP="0052486C">
            <w:pPr>
              <w:pStyle w:val="Tabletext0"/>
              <w:widowControl/>
              <w:autoSpaceDE/>
              <w:autoSpaceDN/>
            </w:pPr>
          </w:p>
        </w:tc>
        <w:tc>
          <w:tcPr>
            <w:tcW w:w="2041" w:type="dxa"/>
          </w:tcPr>
          <w:p w14:paraId="40F87692" w14:textId="77777777" w:rsidR="00F67E9E" w:rsidRPr="00A45727" w:rsidRDefault="00F67E9E" w:rsidP="0052486C">
            <w:pPr>
              <w:pStyle w:val="Tabletext0"/>
              <w:widowControl/>
              <w:autoSpaceDE/>
              <w:autoSpaceDN/>
            </w:pPr>
          </w:p>
        </w:tc>
        <w:tc>
          <w:tcPr>
            <w:tcW w:w="2381" w:type="dxa"/>
          </w:tcPr>
          <w:p w14:paraId="16E990CA" w14:textId="77777777" w:rsidR="00F67E9E" w:rsidRPr="00A45727" w:rsidRDefault="00F67E9E" w:rsidP="0052486C">
            <w:pPr>
              <w:pStyle w:val="Tabletext0"/>
              <w:widowControl/>
              <w:autoSpaceDE/>
              <w:autoSpaceDN/>
            </w:pPr>
          </w:p>
        </w:tc>
        <w:tc>
          <w:tcPr>
            <w:tcW w:w="4025" w:type="dxa"/>
          </w:tcPr>
          <w:p w14:paraId="19644F61" w14:textId="77777777" w:rsidR="00F67E9E" w:rsidRPr="00A45727" w:rsidRDefault="00F67E9E" w:rsidP="0052486C">
            <w:pPr>
              <w:pStyle w:val="Tabletext0"/>
              <w:widowControl/>
              <w:autoSpaceDE/>
              <w:autoSpaceDN/>
            </w:pPr>
          </w:p>
        </w:tc>
      </w:tr>
      <w:tr w:rsidR="00F67E9E" w:rsidRPr="00025910" w14:paraId="5B9E8483" w14:textId="77777777" w:rsidTr="0052486C">
        <w:trPr>
          <w:trHeight w:val="680"/>
        </w:trPr>
        <w:tc>
          <w:tcPr>
            <w:tcW w:w="1418" w:type="dxa"/>
          </w:tcPr>
          <w:p w14:paraId="716E2A18" w14:textId="77777777" w:rsidR="00F67E9E" w:rsidRPr="004E522A" w:rsidRDefault="00F67E9E" w:rsidP="0052486C">
            <w:pPr>
              <w:pStyle w:val="Tabletext0"/>
              <w:widowControl/>
              <w:autoSpaceDE/>
              <w:autoSpaceDN/>
              <w:rPr>
                <w:b/>
                <w:bCs/>
              </w:rPr>
            </w:pPr>
            <w:r w:rsidRPr="004E522A">
              <w:rPr>
                <w:b/>
                <w:bCs/>
              </w:rPr>
              <w:t>Emp No</w:t>
            </w:r>
          </w:p>
        </w:tc>
        <w:tc>
          <w:tcPr>
            <w:tcW w:w="1701" w:type="dxa"/>
          </w:tcPr>
          <w:p w14:paraId="2A51C98A" w14:textId="77777777" w:rsidR="00F67E9E" w:rsidRPr="00A45727" w:rsidRDefault="00F67E9E" w:rsidP="0052486C">
            <w:pPr>
              <w:pStyle w:val="Tabletext0"/>
              <w:widowControl/>
              <w:autoSpaceDE/>
              <w:autoSpaceDN/>
            </w:pPr>
          </w:p>
        </w:tc>
        <w:tc>
          <w:tcPr>
            <w:tcW w:w="1587" w:type="dxa"/>
          </w:tcPr>
          <w:p w14:paraId="1EAD7F7D" w14:textId="77777777" w:rsidR="00F67E9E" w:rsidRPr="00A45727" w:rsidRDefault="00F67E9E" w:rsidP="0052486C">
            <w:pPr>
              <w:pStyle w:val="Tabletext0"/>
              <w:widowControl/>
              <w:autoSpaceDE/>
              <w:autoSpaceDN/>
            </w:pPr>
          </w:p>
        </w:tc>
        <w:tc>
          <w:tcPr>
            <w:tcW w:w="1984" w:type="dxa"/>
          </w:tcPr>
          <w:p w14:paraId="01009569" w14:textId="77777777" w:rsidR="00F67E9E" w:rsidRPr="00A45727" w:rsidRDefault="00F67E9E" w:rsidP="0052486C">
            <w:pPr>
              <w:pStyle w:val="Tabletext0"/>
              <w:widowControl/>
              <w:autoSpaceDE/>
              <w:autoSpaceDN/>
            </w:pPr>
          </w:p>
        </w:tc>
        <w:tc>
          <w:tcPr>
            <w:tcW w:w="2041" w:type="dxa"/>
          </w:tcPr>
          <w:p w14:paraId="0E709D10" w14:textId="77777777" w:rsidR="00F67E9E" w:rsidRPr="00A45727" w:rsidRDefault="00F67E9E" w:rsidP="0052486C">
            <w:pPr>
              <w:pStyle w:val="Tabletext0"/>
              <w:widowControl/>
              <w:autoSpaceDE/>
              <w:autoSpaceDN/>
            </w:pPr>
          </w:p>
        </w:tc>
        <w:tc>
          <w:tcPr>
            <w:tcW w:w="2381" w:type="dxa"/>
          </w:tcPr>
          <w:p w14:paraId="11461FF8" w14:textId="77777777" w:rsidR="00F67E9E" w:rsidRPr="00A45727" w:rsidRDefault="00F67E9E" w:rsidP="0052486C">
            <w:pPr>
              <w:pStyle w:val="Tabletext0"/>
              <w:widowControl/>
              <w:autoSpaceDE/>
              <w:autoSpaceDN/>
            </w:pPr>
          </w:p>
        </w:tc>
        <w:tc>
          <w:tcPr>
            <w:tcW w:w="4025" w:type="dxa"/>
          </w:tcPr>
          <w:p w14:paraId="4A453211" w14:textId="77777777" w:rsidR="00F67E9E" w:rsidRPr="00A45727" w:rsidRDefault="00F67E9E" w:rsidP="0052486C">
            <w:pPr>
              <w:pStyle w:val="Tabletext0"/>
              <w:widowControl/>
              <w:autoSpaceDE/>
              <w:autoSpaceDN/>
            </w:pPr>
          </w:p>
        </w:tc>
      </w:tr>
      <w:tr w:rsidR="00F67E9E" w:rsidRPr="00025910" w14:paraId="2AD5596B" w14:textId="77777777" w:rsidTr="0052486C">
        <w:trPr>
          <w:trHeight w:val="680"/>
        </w:trPr>
        <w:tc>
          <w:tcPr>
            <w:tcW w:w="1418" w:type="dxa"/>
          </w:tcPr>
          <w:p w14:paraId="6B4E7EF0" w14:textId="77777777" w:rsidR="00F67E9E" w:rsidRPr="004E522A" w:rsidRDefault="00F67E9E" w:rsidP="0052486C">
            <w:pPr>
              <w:pStyle w:val="Tabletext0"/>
              <w:widowControl/>
              <w:autoSpaceDE/>
              <w:autoSpaceDN/>
              <w:rPr>
                <w:b/>
                <w:bCs/>
              </w:rPr>
            </w:pPr>
            <w:r w:rsidRPr="004E522A">
              <w:rPr>
                <w:b/>
                <w:bCs/>
              </w:rPr>
              <w:t>Emp No</w:t>
            </w:r>
          </w:p>
        </w:tc>
        <w:tc>
          <w:tcPr>
            <w:tcW w:w="1701" w:type="dxa"/>
          </w:tcPr>
          <w:p w14:paraId="3D68A5DD" w14:textId="77777777" w:rsidR="00F67E9E" w:rsidRPr="00A45727" w:rsidRDefault="00F67E9E" w:rsidP="0052486C">
            <w:pPr>
              <w:pStyle w:val="Tabletext0"/>
              <w:widowControl/>
              <w:autoSpaceDE/>
              <w:autoSpaceDN/>
            </w:pPr>
          </w:p>
        </w:tc>
        <w:tc>
          <w:tcPr>
            <w:tcW w:w="1587" w:type="dxa"/>
          </w:tcPr>
          <w:p w14:paraId="72AFDFAE" w14:textId="77777777" w:rsidR="00F67E9E" w:rsidRPr="00A45727" w:rsidRDefault="00F67E9E" w:rsidP="0052486C">
            <w:pPr>
              <w:pStyle w:val="Tabletext0"/>
              <w:widowControl/>
              <w:autoSpaceDE/>
              <w:autoSpaceDN/>
            </w:pPr>
          </w:p>
        </w:tc>
        <w:tc>
          <w:tcPr>
            <w:tcW w:w="1984" w:type="dxa"/>
          </w:tcPr>
          <w:p w14:paraId="60251297" w14:textId="77777777" w:rsidR="00F67E9E" w:rsidRPr="00A45727" w:rsidRDefault="00F67E9E" w:rsidP="0052486C">
            <w:pPr>
              <w:pStyle w:val="Tabletext0"/>
              <w:widowControl/>
              <w:autoSpaceDE/>
              <w:autoSpaceDN/>
            </w:pPr>
          </w:p>
        </w:tc>
        <w:tc>
          <w:tcPr>
            <w:tcW w:w="2041" w:type="dxa"/>
          </w:tcPr>
          <w:p w14:paraId="094718C7" w14:textId="77777777" w:rsidR="00F67E9E" w:rsidRPr="00A45727" w:rsidRDefault="00F67E9E" w:rsidP="0052486C">
            <w:pPr>
              <w:pStyle w:val="Tabletext0"/>
              <w:widowControl/>
              <w:autoSpaceDE/>
              <w:autoSpaceDN/>
            </w:pPr>
          </w:p>
        </w:tc>
        <w:tc>
          <w:tcPr>
            <w:tcW w:w="2381" w:type="dxa"/>
          </w:tcPr>
          <w:p w14:paraId="078E4FAE" w14:textId="77777777" w:rsidR="00F67E9E" w:rsidRPr="00A45727" w:rsidRDefault="00F67E9E" w:rsidP="0052486C">
            <w:pPr>
              <w:pStyle w:val="Tabletext0"/>
              <w:widowControl/>
              <w:autoSpaceDE/>
              <w:autoSpaceDN/>
            </w:pPr>
          </w:p>
        </w:tc>
        <w:tc>
          <w:tcPr>
            <w:tcW w:w="4025" w:type="dxa"/>
          </w:tcPr>
          <w:p w14:paraId="79938154" w14:textId="77777777" w:rsidR="00F67E9E" w:rsidRPr="00A45727" w:rsidRDefault="00F67E9E" w:rsidP="0052486C">
            <w:pPr>
              <w:pStyle w:val="Tabletext0"/>
              <w:widowControl/>
              <w:autoSpaceDE/>
              <w:autoSpaceDN/>
            </w:pPr>
          </w:p>
        </w:tc>
      </w:tr>
      <w:tr w:rsidR="00F67E9E" w:rsidRPr="00025910" w14:paraId="01CB2200" w14:textId="77777777" w:rsidTr="0052486C">
        <w:trPr>
          <w:trHeight w:val="680"/>
        </w:trPr>
        <w:tc>
          <w:tcPr>
            <w:tcW w:w="1418" w:type="dxa"/>
          </w:tcPr>
          <w:p w14:paraId="55D438E8" w14:textId="77777777" w:rsidR="00F67E9E" w:rsidRPr="004E522A" w:rsidRDefault="00F67E9E" w:rsidP="0052486C">
            <w:pPr>
              <w:pStyle w:val="Tabletext0"/>
              <w:widowControl/>
              <w:autoSpaceDE/>
              <w:autoSpaceDN/>
              <w:rPr>
                <w:b/>
                <w:bCs/>
              </w:rPr>
            </w:pPr>
            <w:r w:rsidRPr="004E522A">
              <w:rPr>
                <w:b/>
                <w:bCs/>
              </w:rPr>
              <w:t>Emp No</w:t>
            </w:r>
          </w:p>
        </w:tc>
        <w:tc>
          <w:tcPr>
            <w:tcW w:w="1701" w:type="dxa"/>
          </w:tcPr>
          <w:p w14:paraId="499810B8" w14:textId="77777777" w:rsidR="00F67E9E" w:rsidRPr="00A45727" w:rsidRDefault="00F67E9E" w:rsidP="0052486C">
            <w:pPr>
              <w:pStyle w:val="Tabletext0"/>
              <w:widowControl/>
              <w:autoSpaceDE/>
              <w:autoSpaceDN/>
            </w:pPr>
          </w:p>
        </w:tc>
        <w:tc>
          <w:tcPr>
            <w:tcW w:w="1587" w:type="dxa"/>
          </w:tcPr>
          <w:p w14:paraId="69C64705" w14:textId="77777777" w:rsidR="00F67E9E" w:rsidRPr="00A45727" w:rsidRDefault="00F67E9E" w:rsidP="0052486C">
            <w:pPr>
              <w:pStyle w:val="Tabletext0"/>
              <w:widowControl/>
              <w:autoSpaceDE/>
              <w:autoSpaceDN/>
            </w:pPr>
          </w:p>
        </w:tc>
        <w:tc>
          <w:tcPr>
            <w:tcW w:w="1984" w:type="dxa"/>
          </w:tcPr>
          <w:p w14:paraId="769F8565" w14:textId="77777777" w:rsidR="00F67E9E" w:rsidRPr="00A45727" w:rsidRDefault="00F67E9E" w:rsidP="0052486C">
            <w:pPr>
              <w:pStyle w:val="Tabletext0"/>
              <w:widowControl/>
              <w:autoSpaceDE/>
              <w:autoSpaceDN/>
            </w:pPr>
          </w:p>
        </w:tc>
        <w:tc>
          <w:tcPr>
            <w:tcW w:w="2041" w:type="dxa"/>
          </w:tcPr>
          <w:p w14:paraId="60CD7A30" w14:textId="77777777" w:rsidR="00F67E9E" w:rsidRPr="00A45727" w:rsidRDefault="00F67E9E" w:rsidP="0052486C">
            <w:pPr>
              <w:pStyle w:val="Tabletext0"/>
              <w:widowControl/>
              <w:autoSpaceDE/>
              <w:autoSpaceDN/>
            </w:pPr>
          </w:p>
        </w:tc>
        <w:tc>
          <w:tcPr>
            <w:tcW w:w="2381" w:type="dxa"/>
          </w:tcPr>
          <w:p w14:paraId="45D55F13" w14:textId="77777777" w:rsidR="00F67E9E" w:rsidRPr="00A45727" w:rsidRDefault="00F67E9E" w:rsidP="0052486C">
            <w:pPr>
              <w:pStyle w:val="Tabletext0"/>
              <w:widowControl/>
              <w:autoSpaceDE/>
              <w:autoSpaceDN/>
            </w:pPr>
          </w:p>
        </w:tc>
        <w:tc>
          <w:tcPr>
            <w:tcW w:w="4025" w:type="dxa"/>
          </w:tcPr>
          <w:p w14:paraId="25AD3B5D" w14:textId="77777777" w:rsidR="00F67E9E" w:rsidRPr="00A45727" w:rsidRDefault="00F67E9E" w:rsidP="0052486C">
            <w:pPr>
              <w:pStyle w:val="Tabletext0"/>
              <w:widowControl/>
              <w:autoSpaceDE/>
              <w:autoSpaceDN/>
            </w:pPr>
          </w:p>
        </w:tc>
      </w:tr>
      <w:tr w:rsidR="00F67E9E" w:rsidRPr="00025910" w14:paraId="1991F047" w14:textId="77777777" w:rsidTr="0052486C">
        <w:trPr>
          <w:trHeight w:val="680"/>
        </w:trPr>
        <w:tc>
          <w:tcPr>
            <w:tcW w:w="1418" w:type="dxa"/>
          </w:tcPr>
          <w:p w14:paraId="68E40ADA" w14:textId="77777777" w:rsidR="00F67E9E" w:rsidRPr="004E522A" w:rsidRDefault="00F67E9E" w:rsidP="0052486C">
            <w:pPr>
              <w:pStyle w:val="Tabletext0"/>
              <w:widowControl/>
              <w:autoSpaceDE/>
              <w:autoSpaceDN/>
              <w:rPr>
                <w:b/>
                <w:bCs/>
              </w:rPr>
            </w:pPr>
            <w:r w:rsidRPr="004E522A">
              <w:rPr>
                <w:b/>
                <w:bCs/>
              </w:rPr>
              <w:t>Emp No</w:t>
            </w:r>
          </w:p>
        </w:tc>
        <w:tc>
          <w:tcPr>
            <w:tcW w:w="1701" w:type="dxa"/>
          </w:tcPr>
          <w:p w14:paraId="0F813786" w14:textId="77777777" w:rsidR="00F67E9E" w:rsidRPr="00A45727" w:rsidRDefault="00F67E9E" w:rsidP="0052486C">
            <w:pPr>
              <w:pStyle w:val="Tabletext0"/>
              <w:widowControl/>
              <w:autoSpaceDE/>
              <w:autoSpaceDN/>
            </w:pPr>
          </w:p>
        </w:tc>
        <w:tc>
          <w:tcPr>
            <w:tcW w:w="1587" w:type="dxa"/>
          </w:tcPr>
          <w:p w14:paraId="6B3BD07E" w14:textId="77777777" w:rsidR="00F67E9E" w:rsidRPr="00A45727" w:rsidRDefault="00F67E9E" w:rsidP="0052486C">
            <w:pPr>
              <w:pStyle w:val="Tabletext0"/>
              <w:widowControl/>
              <w:autoSpaceDE/>
              <w:autoSpaceDN/>
            </w:pPr>
          </w:p>
        </w:tc>
        <w:tc>
          <w:tcPr>
            <w:tcW w:w="1984" w:type="dxa"/>
          </w:tcPr>
          <w:p w14:paraId="70BA502E" w14:textId="77777777" w:rsidR="00F67E9E" w:rsidRPr="00A45727" w:rsidRDefault="00F67E9E" w:rsidP="0052486C">
            <w:pPr>
              <w:pStyle w:val="Tabletext0"/>
              <w:widowControl/>
              <w:autoSpaceDE/>
              <w:autoSpaceDN/>
            </w:pPr>
          </w:p>
        </w:tc>
        <w:tc>
          <w:tcPr>
            <w:tcW w:w="2041" w:type="dxa"/>
          </w:tcPr>
          <w:p w14:paraId="36A2EFD2" w14:textId="77777777" w:rsidR="00F67E9E" w:rsidRPr="00A45727" w:rsidRDefault="00F67E9E" w:rsidP="0052486C">
            <w:pPr>
              <w:pStyle w:val="Tabletext0"/>
              <w:widowControl/>
              <w:autoSpaceDE/>
              <w:autoSpaceDN/>
            </w:pPr>
          </w:p>
        </w:tc>
        <w:tc>
          <w:tcPr>
            <w:tcW w:w="2381" w:type="dxa"/>
          </w:tcPr>
          <w:p w14:paraId="23D70F8D" w14:textId="77777777" w:rsidR="00F67E9E" w:rsidRPr="00A45727" w:rsidRDefault="00F67E9E" w:rsidP="0052486C">
            <w:pPr>
              <w:pStyle w:val="Tabletext0"/>
              <w:widowControl/>
              <w:autoSpaceDE/>
              <w:autoSpaceDN/>
            </w:pPr>
          </w:p>
        </w:tc>
        <w:tc>
          <w:tcPr>
            <w:tcW w:w="4025" w:type="dxa"/>
          </w:tcPr>
          <w:p w14:paraId="0C7C59E9" w14:textId="77777777" w:rsidR="00F67E9E" w:rsidRPr="00A45727" w:rsidRDefault="00F67E9E" w:rsidP="0052486C">
            <w:pPr>
              <w:pStyle w:val="Tabletext0"/>
              <w:widowControl/>
              <w:autoSpaceDE/>
              <w:autoSpaceDN/>
            </w:pPr>
          </w:p>
        </w:tc>
      </w:tr>
      <w:tr w:rsidR="00F67E9E" w:rsidRPr="00025910" w14:paraId="50F3B6C1" w14:textId="77777777" w:rsidTr="0052486C">
        <w:trPr>
          <w:trHeight w:val="680"/>
        </w:trPr>
        <w:tc>
          <w:tcPr>
            <w:tcW w:w="1418" w:type="dxa"/>
          </w:tcPr>
          <w:p w14:paraId="0EBB82DA" w14:textId="77777777" w:rsidR="00F67E9E" w:rsidRPr="004E522A" w:rsidRDefault="00F67E9E" w:rsidP="0052486C">
            <w:pPr>
              <w:pStyle w:val="Tabletext0"/>
              <w:widowControl/>
              <w:autoSpaceDE/>
              <w:autoSpaceDN/>
              <w:rPr>
                <w:b/>
                <w:bCs/>
              </w:rPr>
            </w:pPr>
            <w:r w:rsidRPr="004E522A">
              <w:rPr>
                <w:b/>
                <w:bCs/>
              </w:rPr>
              <w:t>Emp No</w:t>
            </w:r>
          </w:p>
        </w:tc>
        <w:tc>
          <w:tcPr>
            <w:tcW w:w="1701" w:type="dxa"/>
          </w:tcPr>
          <w:p w14:paraId="4A979B5E" w14:textId="77777777" w:rsidR="00F67E9E" w:rsidRPr="00A45727" w:rsidRDefault="00F67E9E" w:rsidP="0052486C">
            <w:pPr>
              <w:pStyle w:val="Tabletext0"/>
              <w:widowControl/>
              <w:autoSpaceDE/>
              <w:autoSpaceDN/>
            </w:pPr>
          </w:p>
        </w:tc>
        <w:tc>
          <w:tcPr>
            <w:tcW w:w="1587" w:type="dxa"/>
          </w:tcPr>
          <w:p w14:paraId="35304B80" w14:textId="77777777" w:rsidR="00F67E9E" w:rsidRPr="00A45727" w:rsidRDefault="00F67E9E" w:rsidP="0052486C">
            <w:pPr>
              <w:pStyle w:val="Tabletext0"/>
              <w:widowControl/>
              <w:autoSpaceDE/>
              <w:autoSpaceDN/>
            </w:pPr>
          </w:p>
        </w:tc>
        <w:tc>
          <w:tcPr>
            <w:tcW w:w="1984" w:type="dxa"/>
          </w:tcPr>
          <w:p w14:paraId="18CD4BFD" w14:textId="77777777" w:rsidR="00F67E9E" w:rsidRPr="00A45727" w:rsidRDefault="00F67E9E" w:rsidP="0052486C">
            <w:pPr>
              <w:pStyle w:val="Tabletext0"/>
              <w:widowControl/>
              <w:autoSpaceDE/>
              <w:autoSpaceDN/>
            </w:pPr>
          </w:p>
        </w:tc>
        <w:tc>
          <w:tcPr>
            <w:tcW w:w="2041" w:type="dxa"/>
          </w:tcPr>
          <w:p w14:paraId="16E8DE43" w14:textId="77777777" w:rsidR="00F67E9E" w:rsidRPr="00A45727" w:rsidRDefault="00F67E9E" w:rsidP="0052486C">
            <w:pPr>
              <w:pStyle w:val="Tabletext0"/>
              <w:widowControl/>
              <w:autoSpaceDE/>
              <w:autoSpaceDN/>
            </w:pPr>
          </w:p>
        </w:tc>
        <w:tc>
          <w:tcPr>
            <w:tcW w:w="2381" w:type="dxa"/>
          </w:tcPr>
          <w:p w14:paraId="7EA37066" w14:textId="77777777" w:rsidR="00F67E9E" w:rsidRPr="00A45727" w:rsidRDefault="00F67E9E" w:rsidP="0052486C">
            <w:pPr>
              <w:pStyle w:val="Tabletext0"/>
              <w:widowControl/>
              <w:autoSpaceDE/>
              <w:autoSpaceDN/>
            </w:pPr>
          </w:p>
        </w:tc>
        <w:tc>
          <w:tcPr>
            <w:tcW w:w="4025" w:type="dxa"/>
          </w:tcPr>
          <w:p w14:paraId="5F1C04DF" w14:textId="77777777" w:rsidR="00F67E9E" w:rsidRPr="00A45727" w:rsidRDefault="00F67E9E" w:rsidP="0052486C">
            <w:pPr>
              <w:pStyle w:val="Tabletext0"/>
              <w:widowControl/>
              <w:autoSpaceDE/>
              <w:autoSpaceDN/>
            </w:pPr>
          </w:p>
        </w:tc>
      </w:tr>
    </w:tbl>
    <w:p w14:paraId="30B6D87D" w14:textId="77777777" w:rsidR="00F67E9E" w:rsidRDefault="00F67E9E" w:rsidP="00F67E9E"/>
    <w:tbl>
      <w:tblPr>
        <w:tblStyle w:val="MSATable-header"/>
        <w:tblW w:w="15142" w:type="dxa"/>
        <w:tblLook w:val="0620" w:firstRow="1" w:lastRow="0" w:firstColumn="0" w:lastColumn="0" w:noHBand="1" w:noVBand="1"/>
      </w:tblPr>
      <w:tblGrid>
        <w:gridCol w:w="1416"/>
        <w:gridCol w:w="1929"/>
        <w:gridCol w:w="1872"/>
        <w:gridCol w:w="1417"/>
        <w:gridCol w:w="1929"/>
        <w:gridCol w:w="4764"/>
        <w:gridCol w:w="1815"/>
      </w:tblGrid>
      <w:tr w:rsidR="00F67E9E" w:rsidRPr="00025910" w14:paraId="05566059"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left w:val="nil"/>
            </w:tcBorders>
            <w:shd w:val="clear" w:color="auto" w:fill="auto"/>
          </w:tcPr>
          <w:p w14:paraId="719C0D19" w14:textId="77777777" w:rsidR="00F67E9E" w:rsidRPr="00A45727" w:rsidRDefault="00F67E9E" w:rsidP="0052486C">
            <w:pPr>
              <w:pStyle w:val="Tabletext0"/>
              <w:widowControl/>
              <w:autoSpaceDE/>
              <w:autoSpaceDN/>
            </w:pPr>
          </w:p>
        </w:tc>
        <w:tc>
          <w:tcPr>
            <w:tcW w:w="13720" w:type="dxa"/>
            <w:gridSpan w:val="6"/>
          </w:tcPr>
          <w:p w14:paraId="0AAF622F" w14:textId="77777777" w:rsidR="00F67E9E" w:rsidRPr="00A45727" w:rsidRDefault="00F67E9E" w:rsidP="0052486C">
            <w:pPr>
              <w:pStyle w:val="Tabletext0"/>
              <w:widowControl/>
              <w:autoSpaceDE/>
              <w:autoSpaceDN/>
            </w:pPr>
            <w:r w:rsidRPr="00A45727">
              <w:t>PENSIONS</w:t>
            </w:r>
          </w:p>
        </w:tc>
      </w:tr>
      <w:tr w:rsidR="00F67E9E" w:rsidRPr="00025910" w14:paraId="425E9BDB"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417" w:type="dxa"/>
          </w:tcPr>
          <w:p w14:paraId="5DBADD71" w14:textId="77777777" w:rsidR="00F67E9E" w:rsidRPr="00A45727" w:rsidRDefault="00F67E9E" w:rsidP="0052486C">
            <w:pPr>
              <w:pStyle w:val="Tabletext0"/>
              <w:widowControl/>
              <w:autoSpaceDE/>
              <w:autoSpaceDN/>
            </w:pPr>
            <w:r w:rsidRPr="00A45727">
              <w:t>Details</w:t>
            </w:r>
          </w:p>
        </w:tc>
        <w:tc>
          <w:tcPr>
            <w:tcW w:w="1928" w:type="dxa"/>
          </w:tcPr>
          <w:p w14:paraId="64CE3135" w14:textId="77777777" w:rsidR="00F67E9E" w:rsidRPr="00A45727" w:rsidRDefault="00F67E9E" w:rsidP="0052486C">
            <w:pPr>
              <w:pStyle w:val="Tabletext0"/>
              <w:widowControl/>
              <w:autoSpaceDE/>
              <w:autoSpaceDN/>
            </w:pPr>
            <w:r w:rsidRPr="00A45727">
              <w:t>If the Employee is in the Local Government Pension Scheme, please supply details of Fund and Administering Authority.</w:t>
            </w:r>
          </w:p>
        </w:tc>
        <w:tc>
          <w:tcPr>
            <w:tcW w:w="1871" w:type="dxa"/>
          </w:tcPr>
          <w:p w14:paraId="5542B371" w14:textId="77777777" w:rsidR="00F67E9E" w:rsidRPr="00A45727" w:rsidRDefault="00F67E9E" w:rsidP="0052486C">
            <w:pPr>
              <w:pStyle w:val="Tabletext0"/>
              <w:widowControl/>
              <w:autoSpaceDE/>
              <w:autoSpaceDN/>
            </w:pPr>
            <w:r w:rsidRPr="00A45727">
              <w:t>If the Employee is in the Civil Service Pension Scheme, please provide details of the Admission Agreement.</w:t>
            </w:r>
          </w:p>
        </w:tc>
        <w:tc>
          <w:tcPr>
            <w:tcW w:w="1417" w:type="dxa"/>
          </w:tcPr>
          <w:p w14:paraId="7AEAD32F" w14:textId="77777777" w:rsidR="00F67E9E" w:rsidRPr="00A45727" w:rsidRDefault="00F67E9E" w:rsidP="0052486C">
            <w:pPr>
              <w:pStyle w:val="Tabletext0"/>
              <w:widowControl/>
              <w:autoSpaceDE/>
              <w:autoSpaceDN/>
            </w:pPr>
            <w:r w:rsidRPr="00A45727">
              <w:t>If the Employee is in the NHSPS, please provide details of the Direction Letter.</w:t>
            </w:r>
          </w:p>
        </w:tc>
        <w:tc>
          <w:tcPr>
            <w:tcW w:w="1928" w:type="dxa"/>
          </w:tcPr>
          <w:p w14:paraId="1DB4A9D0" w14:textId="77777777" w:rsidR="00F67E9E" w:rsidRPr="00A45727" w:rsidRDefault="00F67E9E" w:rsidP="0052486C">
            <w:pPr>
              <w:pStyle w:val="Tabletext0"/>
              <w:widowControl/>
              <w:autoSpaceDE/>
              <w:autoSpaceDN/>
            </w:pPr>
            <w:r w:rsidRPr="00A45727">
              <w:t>If the Employee is in a broadly comparable pension scheme, please supply a copy of the GAD certificate of Broad Comparability.</w:t>
            </w:r>
          </w:p>
        </w:tc>
        <w:tc>
          <w:tcPr>
            <w:tcW w:w="4762" w:type="dxa"/>
          </w:tcPr>
          <w:p w14:paraId="36E34E3B" w14:textId="77777777" w:rsidR="00F67E9E" w:rsidRPr="00A45727" w:rsidRDefault="00F67E9E" w:rsidP="0052486C">
            <w:pPr>
              <w:pStyle w:val="Tabletext0"/>
              <w:widowControl/>
              <w:autoSpaceDE/>
              <w:autoSpaceDN/>
            </w:pPr>
            <w:r w:rsidRPr="00A45727">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1814" w:type="dxa"/>
          </w:tcPr>
          <w:p w14:paraId="493CF3B7" w14:textId="77777777" w:rsidR="00F67E9E" w:rsidRPr="00A45727" w:rsidRDefault="00F67E9E" w:rsidP="0052486C">
            <w:pPr>
              <w:pStyle w:val="Tabletext0"/>
              <w:widowControl/>
              <w:autoSpaceDE/>
              <w:autoSpaceDN/>
            </w:pPr>
            <w:r w:rsidRPr="00A45727">
              <w:t xml:space="preserve">If Fair Deal, Best Value or other pension protection applied, which public sector employer did they originally transfer out of and when? </w:t>
            </w:r>
          </w:p>
        </w:tc>
      </w:tr>
      <w:tr w:rsidR="00F67E9E" w:rsidRPr="00025910" w14:paraId="78A9D9A5" w14:textId="77777777" w:rsidTr="0052486C">
        <w:trPr>
          <w:trHeight w:val="624"/>
        </w:trPr>
        <w:tc>
          <w:tcPr>
            <w:tcW w:w="1417" w:type="dxa"/>
          </w:tcPr>
          <w:p w14:paraId="428DFB5F" w14:textId="77777777" w:rsidR="00F67E9E" w:rsidRPr="004E522A" w:rsidRDefault="00F67E9E" w:rsidP="0052486C">
            <w:pPr>
              <w:pStyle w:val="Tabletext0"/>
              <w:widowControl/>
              <w:autoSpaceDE/>
              <w:autoSpaceDN/>
              <w:rPr>
                <w:b/>
                <w:bCs/>
              </w:rPr>
            </w:pPr>
            <w:r w:rsidRPr="004E522A">
              <w:rPr>
                <w:b/>
                <w:bCs/>
              </w:rPr>
              <w:t>Emp No 1</w:t>
            </w:r>
          </w:p>
        </w:tc>
        <w:tc>
          <w:tcPr>
            <w:tcW w:w="1928" w:type="dxa"/>
          </w:tcPr>
          <w:p w14:paraId="5BF14B0B" w14:textId="77777777" w:rsidR="00F67E9E" w:rsidRPr="00A45727" w:rsidRDefault="00F67E9E" w:rsidP="0052486C">
            <w:pPr>
              <w:pStyle w:val="Tabletext0"/>
              <w:widowControl/>
              <w:autoSpaceDE/>
              <w:autoSpaceDN/>
            </w:pPr>
          </w:p>
        </w:tc>
        <w:tc>
          <w:tcPr>
            <w:tcW w:w="1871" w:type="dxa"/>
          </w:tcPr>
          <w:p w14:paraId="52D8D58A" w14:textId="77777777" w:rsidR="00F67E9E" w:rsidRPr="00A45727" w:rsidRDefault="00F67E9E" w:rsidP="0052486C">
            <w:pPr>
              <w:pStyle w:val="Tabletext0"/>
              <w:widowControl/>
              <w:autoSpaceDE/>
              <w:autoSpaceDN/>
            </w:pPr>
          </w:p>
        </w:tc>
        <w:tc>
          <w:tcPr>
            <w:tcW w:w="1417" w:type="dxa"/>
          </w:tcPr>
          <w:p w14:paraId="6384E23A" w14:textId="77777777" w:rsidR="00F67E9E" w:rsidRPr="00A45727" w:rsidRDefault="00F67E9E" w:rsidP="0052486C">
            <w:pPr>
              <w:pStyle w:val="Tabletext0"/>
              <w:widowControl/>
              <w:autoSpaceDE/>
              <w:autoSpaceDN/>
            </w:pPr>
          </w:p>
        </w:tc>
        <w:tc>
          <w:tcPr>
            <w:tcW w:w="1928" w:type="dxa"/>
          </w:tcPr>
          <w:p w14:paraId="7BE7B5C4" w14:textId="77777777" w:rsidR="00F67E9E" w:rsidRPr="00A45727" w:rsidRDefault="00F67E9E" w:rsidP="0052486C">
            <w:pPr>
              <w:pStyle w:val="Tabletext0"/>
              <w:widowControl/>
              <w:autoSpaceDE/>
              <w:autoSpaceDN/>
            </w:pPr>
          </w:p>
        </w:tc>
        <w:tc>
          <w:tcPr>
            <w:tcW w:w="4762" w:type="dxa"/>
          </w:tcPr>
          <w:p w14:paraId="03351339" w14:textId="77777777" w:rsidR="00F67E9E" w:rsidRPr="00A45727" w:rsidRDefault="00F67E9E" w:rsidP="0052486C">
            <w:pPr>
              <w:pStyle w:val="Tabletext0"/>
              <w:widowControl/>
              <w:autoSpaceDE/>
              <w:autoSpaceDN/>
            </w:pPr>
          </w:p>
        </w:tc>
        <w:tc>
          <w:tcPr>
            <w:tcW w:w="1814" w:type="dxa"/>
          </w:tcPr>
          <w:p w14:paraId="262F1E4B" w14:textId="77777777" w:rsidR="00F67E9E" w:rsidRPr="00A45727" w:rsidRDefault="00F67E9E" w:rsidP="0052486C">
            <w:pPr>
              <w:pStyle w:val="Tabletext0"/>
              <w:widowControl/>
              <w:autoSpaceDE/>
              <w:autoSpaceDN/>
            </w:pPr>
          </w:p>
        </w:tc>
      </w:tr>
      <w:tr w:rsidR="00F67E9E" w:rsidRPr="00025910" w14:paraId="654B486E" w14:textId="77777777" w:rsidTr="0052486C">
        <w:trPr>
          <w:trHeight w:val="624"/>
        </w:trPr>
        <w:tc>
          <w:tcPr>
            <w:tcW w:w="1417" w:type="dxa"/>
          </w:tcPr>
          <w:p w14:paraId="270F7AD7" w14:textId="77777777" w:rsidR="00F67E9E" w:rsidRPr="004E522A" w:rsidRDefault="00F67E9E" w:rsidP="0052486C">
            <w:pPr>
              <w:pStyle w:val="Tabletext0"/>
              <w:widowControl/>
              <w:autoSpaceDE/>
              <w:autoSpaceDN/>
              <w:rPr>
                <w:b/>
                <w:bCs/>
              </w:rPr>
            </w:pPr>
            <w:r w:rsidRPr="004E522A">
              <w:rPr>
                <w:b/>
                <w:bCs/>
              </w:rPr>
              <w:t>Emp No 2</w:t>
            </w:r>
          </w:p>
        </w:tc>
        <w:tc>
          <w:tcPr>
            <w:tcW w:w="1928" w:type="dxa"/>
          </w:tcPr>
          <w:p w14:paraId="17E8532A" w14:textId="77777777" w:rsidR="00F67E9E" w:rsidRPr="00A45727" w:rsidRDefault="00F67E9E" w:rsidP="0052486C">
            <w:pPr>
              <w:pStyle w:val="Tabletext0"/>
              <w:widowControl/>
              <w:autoSpaceDE/>
              <w:autoSpaceDN/>
            </w:pPr>
          </w:p>
        </w:tc>
        <w:tc>
          <w:tcPr>
            <w:tcW w:w="1871" w:type="dxa"/>
          </w:tcPr>
          <w:p w14:paraId="46CB298E" w14:textId="77777777" w:rsidR="00F67E9E" w:rsidRPr="00A45727" w:rsidRDefault="00F67E9E" w:rsidP="0052486C">
            <w:pPr>
              <w:pStyle w:val="Tabletext0"/>
              <w:widowControl/>
              <w:autoSpaceDE/>
              <w:autoSpaceDN/>
            </w:pPr>
          </w:p>
        </w:tc>
        <w:tc>
          <w:tcPr>
            <w:tcW w:w="1417" w:type="dxa"/>
          </w:tcPr>
          <w:p w14:paraId="7B06085F" w14:textId="77777777" w:rsidR="00F67E9E" w:rsidRPr="00A45727" w:rsidRDefault="00F67E9E" w:rsidP="0052486C">
            <w:pPr>
              <w:pStyle w:val="Tabletext0"/>
              <w:widowControl/>
              <w:autoSpaceDE/>
              <w:autoSpaceDN/>
            </w:pPr>
          </w:p>
        </w:tc>
        <w:tc>
          <w:tcPr>
            <w:tcW w:w="1928" w:type="dxa"/>
          </w:tcPr>
          <w:p w14:paraId="317C11E9" w14:textId="77777777" w:rsidR="00F67E9E" w:rsidRPr="00A45727" w:rsidRDefault="00F67E9E" w:rsidP="0052486C">
            <w:pPr>
              <w:pStyle w:val="Tabletext0"/>
              <w:widowControl/>
              <w:autoSpaceDE/>
              <w:autoSpaceDN/>
            </w:pPr>
          </w:p>
        </w:tc>
        <w:tc>
          <w:tcPr>
            <w:tcW w:w="4762" w:type="dxa"/>
          </w:tcPr>
          <w:p w14:paraId="7FC7D29C" w14:textId="77777777" w:rsidR="00F67E9E" w:rsidRPr="00A45727" w:rsidRDefault="00F67E9E" w:rsidP="0052486C">
            <w:pPr>
              <w:pStyle w:val="Tabletext0"/>
              <w:widowControl/>
              <w:autoSpaceDE/>
              <w:autoSpaceDN/>
            </w:pPr>
          </w:p>
        </w:tc>
        <w:tc>
          <w:tcPr>
            <w:tcW w:w="1814" w:type="dxa"/>
          </w:tcPr>
          <w:p w14:paraId="2FE7A901" w14:textId="77777777" w:rsidR="00F67E9E" w:rsidRPr="00A45727" w:rsidRDefault="00F67E9E" w:rsidP="0052486C">
            <w:pPr>
              <w:pStyle w:val="Tabletext0"/>
              <w:widowControl/>
              <w:autoSpaceDE/>
              <w:autoSpaceDN/>
            </w:pPr>
          </w:p>
        </w:tc>
      </w:tr>
      <w:tr w:rsidR="00F67E9E" w:rsidRPr="00025910" w14:paraId="2F9497C3" w14:textId="77777777" w:rsidTr="0052486C">
        <w:trPr>
          <w:trHeight w:val="624"/>
        </w:trPr>
        <w:tc>
          <w:tcPr>
            <w:tcW w:w="1417" w:type="dxa"/>
          </w:tcPr>
          <w:p w14:paraId="14267F3A" w14:textId="77777777" w:rsidR="00F67E9E" w:rsidRPr="004E522A" w:rsidRDefault="00F67E9E" w:rsidP="0052486C">
            <w:pPr>
              <w:pStyle w:val="Tabletext0"/>
              <w:widowControl/>
              <w:autoSpaceDE/>
              <w:autoSpaceDN/>
              <w:rPr>
                <w:b/>
                <w:bCs/>
              </w:rPr>
            </w:pPr>
            <w:r w:rsidRPr="004E522A">
              <w:rPr>
                <w:b/>
                <w:bCs/>
              </w:rPr>
              <w:t>Emp No</w:t>
            </w:r>
          </w:p>
        </w:tc>
        <w:tc>
          <w:tcPr>
            <w:tcW w:w="1928" w:type="dxa"/>
          </w:tcPr>
          <w:p w14:paraId="23EB90B0" w14:textId="77777777" w:rsidR="00F67E9E" w:rsidRPr="00A45727" w:rsidRDefault="00F67E9E" w:rsidP="0052486C">
            <w:pPr>
              <w:pStyle w:val="Tabletext0"/>
              <w:widowControl/>
              <w:autoSpaceDE/>
              <w:autoSpaceDN/>
            </w:pPr>
          </w:p>
        </w:tc>
        <w:tc>
          <w:tcPr>
            <w:tcW w:w="1871" w:type="dxa"/>
          </w:tcPr>
          <w:p w14:paraId="1F1A87C1" w14:textId="77777777" w:rsidR="00F67E9E" w:rsidRPr="00A45727" w:rsidRDefault="00F67E9E" w:rsidP="0052486C">
            <w:pPr>
              <w:pStyle w:val="Tabletext0"/>
              <w:widowControl/>
              <w:autoSpaceDE/>
              <w:autoSpaceDN/>
            </w:pPr>
          </w:p>
        </w:tc>
        <w:tc>
          <w:tcPr>
            <w:tcW w:w="1417" w:type="dxa"/>
          </w:tcPr>
          <w:p w14:paraId="57D6CC75" w14:textId="77777777" w:rsidR="00F67E9E" w:rsidRPr="00A45727" w:rsidRDefault="00F67E9E" w:rsidP="0052486C">
            <w:pPr>
              <w:pStyle w:val="Tabletext0"/>
              <w:widowControl/>
              <w:autoSpaceDE/>
              <w:autoSpaceDN/>
            </w:pPr>
          </w:p>
        </w:tc>
        <w:tc>
          <w:tcPr>
            <w:tcW w:w="1928" w:type="dxa"/>
          </w:tcPr>
          <w:p w14:paraId="666E7A12" w14:textId="77777777" w:rsidR="00F67E9E" w:rsidRPr="00A45727" w:rsidRDefault="00F67E9E" w:rsidP="0052486C">
            <w:pPr>
              <w:pStyle w:val="Tabletext0"/>
              <w:widowControl/>
              <w:autoSpaceDE/>
              <w:autoSpaceDN/>
            </w:pPr>
          </w:p>
        </w:tc>
        <w:tc>
          <w:tcPr>
            <w:tcW w:w="4762" w:type="dxa"/>
          </w:tcPr>
          <w:p w14:paraId="374DEF03" w14:textId="77777777" w:rsidR="00F67E9E" w:rsidRPr="00A45727" w:rsidRDefault="00F67E9E" w:rsidP="0052486C">
            <w:pPr>
              <w:pStyle w:val="Tabletext0"/>
              <w:widowControl/>
              <w:autoSpaceDE/>
              <w:autoSpaceDN/>
            </w:pPr>
          </w:p>
        </w:tc>
        <w:tc>
          <w:tcPr>
            <w:tcW w:w="1814" w:type="dxa"/>
          </w:tcPr>
          <w:p w14:paraId="43D72433" w14:textId="77777777" w:rsidR="00F67E9E" w:rsidRPr="00A45727" w:rsidRDefault="00F67E9E" w:rsidP="0052486C">
            <w:pPr>
              <w:pStyle w:val="Tabletext0"/>
              <w:widowControl/>
              <w:autoSpaceDE/>
              <w:autoSpaceDN/>
            </w:pPr>
          </w:p>
        </w:tc>
      </w:tr>
      <w:tr w:rsidR="00F67E9E" w:rsidRPr="00025910" w14:paraId="23CFDD43" w14:textId="77777777" w:rsidTr="0052486C">
        <w:trPr>
          <w:trHeight w:val="624"/>
        </w:trPr>
        <w:tc>
          <w:tcPr>
            <w:tcW w:w="1417" w:type="dxa"/>
          </w:tcPr>
          <w:p w14:paraId="728EE882" w14:textId="77777777" w:rsidR="00F67E9E" w:rsidRPr="004E522A" w:rsidRDefault="00F67E9E" w:rsidP="0052486C">
            <w:pPr>
              <w:pStyle w:val="Tabletext0"/>
              <w:widowControl/>
              <w:autoSpaceDE/>
              <w:autoSpaceDN/>
              <w:rPr>
                <w:b/>
                <w:bCs/>
              </w:rPr>
            </w:pPr>
            <w:r w:rsidRPr="004E522A">
              <w:rPr>
                <w:b/>
                <w:bCs/>
              </w:rPr>
              <w:t>Emp No</w:t>
            </w:r>
          </w:p>
        </w:tc>
        <w:tc>
          <w:tcPr>
            <w:tcW w:w="1928" w:type="dxa"/>
          </w:tcPr>
          <w:p w14:paraId="6F7AA6CE" w14:textId="77777777" w:rsidR="00F67E9E" w:rsidRPr="00A45727" w:rsidRDefault="00F67E9E" w:rsidP="0052486C">
            <w:pPr>
              <w:pStyle w:val="Tabletext0"/>
              <w:widowControl/>
              <w:autoSpaceDE/>
              <w:autoSpaceDN/>
            </w:pPr>
          </w:p>
        </w:tc>
        <w:tc>
          <w:tcPr>
            <w:tcW w:w="1871" w:type="dxa"/>
          </w:tcPr>
          <w:p w14:paraId="4F5E161C" w14:textId="77777777" w:rsidR="00F67E9E" w:rsidRPr="00A45727" w:rsidRDefault="00F67E9E" w:rsidP="0052486C">
            <w:pPr>
              <w:pStyle w:val="Tabletext0"/>
              <w:widowControl/>
              <w:autoSpaceDE/>
              <w:autoSpaceDN/>
            </w:pPr>
          </w:p>
        </w:tc>
        <w:tc>
          <w:tcPr>
            <w:tcW w:w="1417" w:type="dxa"/>
          </w:tcPr>
          <w:p w14:paraId="678311F4" w14:textId="77777777" w:rsidR="00F67E9E" w:rsidRPr="00A45727" w:rsidRDefault="00F67E9E" w:rsidP="0052486C">
            <w:pPr>
              <w:pStyle w:val="Tabletext0"/>
              <w:widowControl/>
              <w:autoSpaceDE/>
              <w:autoSpaceDN/>
            </w:pPr>
          </w:p>
        </w:tc>
        <w:tc>
          <w:tcPr>
            <w:tcW w:w="1928" w:type="dxa"/>
          </w:tcPr>
          <w:p w14:paraId="2A54990E" w14:textId="77777777" w:rsidR="00F67E9E" w:rsidRPr="00A45727" w:rsidRDefault="00F67E9E" w:rsidP="0052486C">
            <w:pPr>
              <w:pStyle w:val="Tabletext0"/>
              <w:widowControl/>
              <w:autoSpaceDE/>
              <w:autoSpaceDN/>
            </w:pPr>
          </w:p>
        </w:tc>
        <w:tc>
          <w:tcPr>
            <w:tcW w:w="4762" w:type="dxa"/>
          </w:tcPr>
          <w:p w14:paraId="0A8078A5" w14:textId="77777777" w:rsidR="00F67E9E" w:rsidRPr="00A45727" w:rsidRDefault="00F67E9E" w:rsidP="0052486C">
            <w:pPr>
              <w:pStyle w:val="Tabletext0"/>
              <w:widowControl/>
              <w:autoSpaceDE/>
              <w:autoSpaceDN/>
            </w:pPr>
          </w:p>
        </w:tc>
        <w:tc>
          <w:tcPr>
            <w:tcW w:w="1814" w:type="dxa"/>
          </w:tcPr>
          <w:p w14:paraId="7DA0FB26" w14:textId="77777777" w:rsidR="00F67E9E" w:rsidRPr="00A45727" w:rsidRDefault="00F67E9E" w:rsidP="0052486C">
            <w:pPr>
              <w:pStyle w:val="Tabletext0"/>
              <w:widowControl/>
              <w:autoSpaceDE/>
              <w:autoSpaceDN/>
            </w:pPr>
          </w:p>
        </w:tc>
      </w:tr>
      <w:tr w:rsidR="00F67E9E" w:rsidRPr="00025910" w14:paraId="5A3DD8B7" w14:textId="77777777" w:rsidTr="0052486C">
        <w:trPr>
          <w:trHeight w:val="624"/>
        </w:trPr>
        <w:tc>
          <w:tcPr>
            <w:tcW w:w="1417" w:type="dxa"/>
          </w:tcPr>
          <w:p w14:paraId="786821F0" w14:textId="77777777" w:rsidR="00F67E9E" w:rsidRPr="004E522A" w:rsidRDefault="00F67E9E" w:rsidP="0052486C">
            <w:pPr>
              <w:pStyle w:val="Tabletext0"/>
              <w:widowControl/>
              <w:autoSpaceDE/>
              <w:autoSpaceDN/>
              <w:rPr>
                <w:b/>
                <w:bCs/>
              </w:rPr>
            </w:pPr>
            <w:r w:rsidRPr="004E522A">
              <w:rPr>
                <w:b/>
                <w:bCs/>
              </w:rPr>
              <w:t>Emp No</w:t>
            </w:r>
          </w:p>
        </w:tc>
        <w:tc>
          <w:tcPr>
            <w:tcW w:w="1928" w:type="dxa"/>
          </w:tcPr>
          <w:p w14:paraId="4DEAE2C8" w14:textId="77777777" w:rsidR="00F67E9E" w:rsidRPr="00A45727" w:rsidRDefault="00F67E9E" w:rsidP="0052486C">
            <w:pPr>
              <w:pStyle w:val="Tabletext0"/>
              <w:widowControl/>
              <w:autoSpaceDE/>
              <w:autoSpaceDN/>
            </w:pPr>
          </w:p>
        </w:tc>
        <w:tc>
          <w:tcPr>
            <w:tcW w:w="1871" w:type="dxa"/>
          </w:tcPr>
          <w:p w14:paraId="470AF064" w14:textId="77777777" w:rsidR="00F67E9E" w:rsidRPr="00A45727" w:rsidRDefault="00F67E9E" w:rsidP="0052486C">
            <w:pPr>
              <w:pStyle w:val="Tabletext0"/>
              <w:widowControl/>
              <w:autoSpaceDE/>
              <w:autoSpaceDN/>
            </w:pPr>
          </w:p>
        </w:tc>
        <w:tc>
          <w:tcPr>
            <w:tcW w:w="1417" w:type="dxa"/>
          </w:tcPr>
          <w:p w14:paraId="09B50F16" w14:textId="77777777" w:rsidR="00F67E9E" w:rsidRPr="00A45727" w:rsidRDefault="00F67E9E" w:rsidP="0052486C">
            <w:pPr>
              <w:pStyle w:val="Tabletext0"/>
              <w:widowControl/>
              <w:autoSpaceDE/>
              <w:autoSpaceDN/>
            </w:pPr>
          </w:p>
        </w:tc>
        <w:tc>
          <w:tcPr>
            <w:tcW w:w="1928" w:type="dxa"/>
          </w:tcPr>
          <w:p w14:paraId="021081E8" w14:textId="77777777" w:rsidR="00F67E9E" w:rsidRPr="00A45727" w:rsidRDefault="00F67E9E" w:rsidP="0052486C">
            <w:pPr>
              <w:pStyle w:val="Tabletext0"/>
              <w:widowControl/>
              <w:autoSpaceDE/>
              <w:autoSpaceDN/>
            </w:pPr>
          </w:p>
        </w:tc>
        <w:tc>
          <w:tcPr>
            <w:tcW w:w="4762" w:type="dxa"/>
          </w:tcPr>
          <w:p w14:paraId="4E545CA0" w14:textId="77777777" w:rsidR="00F67E9E" w:rsidRPr="00A45727" w:rsidRDefault="00F67E9E" w:rsidP="0052486C">
            <w:pPr>
              <w:pStyle w:val="Tabletext0"/>
              <w:widowControl/>
              <w:autoSpaceDE/>
              <w:autoSpaceDN/>
            </w:pPr>
          </w:p>
        </w:tc>
        <w:tc>
          <w:tcPr>
            <w:tcW w:w="1814" w:type="dxa"/>
          </w:tcPr>
          <w:p w14:paraId="15723A93" w14:textId="77777777" w:rsidR="00F67E9E" w:rsidRPr="00A45727" w:rsidRDefault="00F67E9E" w:rsidP="0052486C">
            <w:pPr>
              <w:pStyle w:val="Tabletext0"/>
              <w:widowControl/>
              <w:autoSpaceDE/>
              <w:autoSpaceDN/>
            </w:pPr>
          </w:p>
        </w:tc>
      </w:tr>
      <w:tr w:rsidR="00F67E9E" w:rsidRPr="00025910" w14:paraId="565549FC" w14:textId="77777777" w:rsidTr="0052486C">
        <w:trPr>
          <w:trHeight w:val="624"/>
        </w:trPr>
        <w:tc>
          <w:tcPr>
            <w:tcW w:w="1417" w:type="dxa"/>
          </w:tcPr>
          <w:p w14:paraId="11AFD0FB" w14:textId="77777777" w:rsidR="00F67E9E" w:rsidRPr="004E522A" w:rsidRDefault="00F67E9E" w:rsidP="0052486C">
            <w:pPr>
              <w:pStyle w:val="Tabletext0"/>
              <w:widowControl/>
              <w:autoSpaceDE/>
              <w:autoSpaceDN/>
              <w:rPr>
                <w:b/>
                <w:bCs/>
              </w:rPr>
            </w:pPr>
            <w:r w:rsidRPr="004E522A">
              <w:rPr>
                <w:b/>
                <w:bCs/>
              </w:rPr>
              <w:t>Emp No</w:t>
            </w:r>
          </w:p>
        </w:tc>
        <w:tc>
          <w:tcPr>
            <w:tcW w:w="1928" w:type="dxa"/>
          </w:tcPr>
          <w:p w14:paraId="20F0E143" w14:textId="77777777" w:rsidR="00F67E9E" w:rsidRPr="00A45727" w:rsidRDefault="00F67E9E" w:rsidP="0052486C">
            <w:pPr>
              <w:pStyle w:val="Tabletext0"/>
              <w:widowControl/>
              <w:autoSpaceDE/>
              <w:autoSpaceDN/>
            </w:pPr>
          </w:p>
        </w:tc>
        <w:tc>
          <w:tcPr>
            <w:tcW w:w="1871" w:type="dxa"/>
          </w:tcPr>
          <w:p w14:paraId="53FE8408" w14:textId="77777777" w:rsidR="00F67E9E" w:rsidRPr="00A45727" w:rsidRDefault="00F67E9E" w:rsidP="0052486C">
            <w:pPr>
              <w:pStyle w:val="Tabletext0"/>
              <w:widowControl/>
              <w:autoSpaceDE/>
              <w:autoSpaceDN/>
            </w:pPr>
          </w:p>
        </w:tc>
        <w:tc>
          <w:tcPr>
            <w:tcW w:w="1417" w:type="dxa"/>
          </w:tcPr>
          <w:p w14:paraId="661C05B0" w14:textId="77777777" w:rsidR="00F67E9E" w:rsidRPr="00A45727" w:rsidRDefault="00F67E9E" w:rsidP="0052486C">
            <w:pPr>
              <w:pStyle w:val="Tabletext0"/>
              <w:widowControl/>
              <w:autoSpaceDE/>
              <w:autoSpaceDN/>
            </w:pPr>
          </w:p>
        </w:tc>
        <w:tc>
          <w:tcPr>
            <w:tcW w:w="1928" w:type="dxa"/>
          </w:tcPr>
          <w:p w14:paraId="5C132886" w14:textId="77777777" w:rsidR="00F67E9E" w:rsidRPr="00A45727" w:rsidRDefault="00F67E9E" w:rsidP="0052486C">
            <w:pPr>
              <w:pStyle w:val="Tabletext0"/>
              <w:widowControl/>
              <w:autoSpaceDE/>
              <w:autoSpaceDN/>
            </w:pPr>
          </w:p>
        </w:tc>
        <w:tc>
          <w:tcPr>
            <w:tcW w:w="4762" w:type="dxa"/>
          </w:tcPr>
          <w:p w14:paraId="6606729F" w14:textId="77777777" w:rsidR="00F67E9E" w:rsidRPr="00A45727" w:rsidRDefault="00F67E9E" w:rsidP="0052486C">
            <w:pPr>
              <w:pStyle w:val="Tabletext0"/>
              <w:widowControl/>
              <w:autoSpaceDE/>
              <w:autoSpaceDN/>
            </w:pPr>
          </w:p>
        </w:tc>
        <w:tc>
          <w:tcPr>
            <w:tcW w:w="1814" w:type="dxa"/>
          </w:tcPr>
          <w:p w14:paraId="206824B7" w14:textId="77777777" w:rsidR="00F67E9E" w:rsidRPr="00A45727" w:rsidRDefault="00F67E9E" w:rsidP="0052486C">
            <w:pPr>
              <w:pStyle w:val="Tabletext0"/>
              <w:widowControl/>
              <w:autoSpaceDE/>
              <w:autoSpaceDN/>
            </w:pPr>
          </w:p>
        </w:tc>
      </w:tr>
      <w:tr w:rsidR="00F67E9E" w:rsidRPr="00025910" w14:paraId="53541211" w14:textId="77777777" w:rsidTr="0052486C">
        <w:trPr>
          <w:trHeight w:val="624"/>
        </w:trPr>
        <w:tc>
          <w:tcPr>
            <w:tcW w:w="1417" w:type="dxa"/>
          </w:tcPr>
          <w:p w14:paraId="210429A8" w14:textId="77777777" w:rsidR="00F67E9E" w:rsidRPr="004E522A" w:rsidRDefault="00F67E9E" w:rsidP="0052486C">
            <w:pPr>
              <w:pStyle w:val="Tabletext0"/>
              <w:widowControl/>
              <w:autoSpaceDE/>
              <w:autoSpaceDN/>
              <w:rPr>
                <w:b/>
                <w:bCs/>
              </w:rPr>
            </w:pPr>
            <w:r w:rsidRPr="004E522A">
              <w:rPr>
                <w:b/>
                <w:bCs/>
              </w:rPr>
              <w:t>Emp No</w:t>
            </w:r>
          </w:p>
        </w:tc>
        <w:tc>
          <w:tcPr>
            <w:tcW w:w="1928" w:type="dxa"/>
          </w:tcPr>
          <w:p w14:paraId="37BED518" w14:textId="77777777" w:rsidR="00F67E9E" w:rsidRPr="00A45727" w:rsidRDefault="00F67E9E" w:rsidP="0052486C">
            <w:pPr>
              <w:pStyle w:val="Tabletext0"/>
              <w:widowControl/>
              <w:autoSpaceDE/>
              <w:autoSpaceDN/>
            </w:pPr>
          </w:p>
        </w:tc>
        <w:tc>
          <w:tcPr>
            <w:tcW w:w="1871" w:type="dxa"/>
          </w:tcPr>
          <w:p w14:paraId="2F01C300" w14:textId="77777777" w:rsidR="00F67E9E" w:rsidRPr="00A45727" w:rsidRDefault="00F67E9E" w:rsidP="0052486C">
            <w:pPr>
              <w:pStyle w:val="Tabletext0"/>
              <w:widowControl/>
              <w:autoSpaceDE/>
              <w:autoSpaceDN/>
            </w:pPr>
          </w:p>
        </w:tc>
        <w:tc>
          <w:tcPr>
            <w:tcW w:w="1417" w:type="dxa"/>
          </w:tcPr>
          <w:p w14:paraId="71A2A333" w14:textId="77777777" w:rsidR="00F67E9E" w:rsidRPr="00A45727" w:rsidRDefault="00F67E9E" w:rsidP="0052486C">
            <w:pPr>
              <w:pStyle w:val="Tabletext0"/>
              <w:widowControl/>
              <w:autoSpaceDE/>
              <w:autoSpaceDN/>
            </w:pPr>
          </w:p>
        </w:tc>
        <w:tc>
          <w:tcPr>
            <w:tcW w:w="1928" w:type="dxa"/>
          </w:tcPr>
          <w:p w14:paraId="075BD152" w14:textId="77777777" w:rsidR="00F67E9E" w:rsidRPr="00A45727" w:rsidRDefault="00F67E9E" w:rsidP="0052486C">
            <w:pPr>
              <w:pStyle w:val="Tabletext0"/>
              <w:widowControl/>
              <w:autoSpaceDE/>
              <w:autoSpaceDN/>
            </w:pPr>
          </w:p>
        </w:tc>
        <w:tc>
          <w:tcPr>
            <w:tcW w:w="4762" w:type="dxa"/>
          </w:tcPr>
          <w:p w14:paraId="6879D894" w14:textId="77777777" w:rsidR="00F67E9E" w:rsidRPr="00A45727" w:rsidRDefault="00F67E9E" w:rsidP="0052486C">
            <w:pPr>
              <w:pStyle w:val="Tabletext0"/>
              <w:widowControl/>
              <w:autoSpaceDE/>
              <w:autoSpaceDN/>
            </w:pPr>
          </w:p>
        </w:tc>
        <w:tc>
          <w:tcPr>
            <w:tcW w:w="1814" w:type="dxa"/>
          </w:tcPr>
          <w:p w14:paraId="2576A2E6" w14:textId="77777777" w:rsidR="00F67E9E" w:rsidRPr="00A45727" w:rsidRDefault="00F67E9E" w:rsidP="0052486C">
            <w:pPr>
              <w:pStyle w:val="Tabletext0"/>
              <w:widowControl/>
              <w:autoSpaceDE/>
              <w:autoSpaceDN/>
            </w:pPr>
          </w:p>
        </w:tc>
      </w:tr>
    </w:tbl>
    <w:p w14:paraId="5B45FF13" w14:textId="77777777" w:rsidR="00F67E9E" w:rsidRPr="00025910" w:rsidRDefault="00F67E9E" w:rsidP="00F67E9E"/>
    <w:tbl>
      <w:tblPr>
        <w:tblStyle w:val="MSATable-header"/>
        <w:tblW w:w="15137" w:type="dxa"/>
        <w:tblLook w:val="0620" w:firstRow="1" w:lastRow="0" w:firstColumn="0" w:lastColumn="0" w:noHBand="1" w:noVBand="1"/>
      </w:tblPr>
      <w:tblGrid>
        <w:gridCol w:w="1531"/>
        <w:gridCol w:w="4535"/>
        <w:gridCol w:w="4535"/>
        <w:gridCol w:w="4536"/>
      </w:tblGrid>
      <w:tr w:rsidR="00F67E9E" w:rsidRPr="00025910" w14:paraId="5C45046F"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531" w:type="dxa"/>
            <w:tcBorders>
              <w:top w:val="nil"/>
              <w:left w:val="nil"/>
            </w:tcBorders>
            <w:shd w:val="clear" w:color="auto" w:fill="auto"/>
          </w:tcPr>
          <w:p w14:paraId="27576122" w14:textId="77777777" w:rsidR="00F67E9E" w:rsidRPr="00A45727" w:rsidRDefault="00F67E9E" w:rsidP="0052486C">
            <w:pPr>
              <w:pStyle w:val="Tabletext0"/>
              <w:widowControl/>
              <w:autoSpaceDE/>
              <w:autoSpaceDN/>
            </w:pPr>
          </w:p>
        </w:tc>
        <w:tc>
          <w:tcPr>
            <w:tcW w:w="13606" w:type="dxa"/>
            <w:gridSpan w:val="3"/>
          </w:tcPr>
          <w:p w14:paraId="5E361809" w14:textId="77777777" w:rsidR="00F67E9E" w:rsidRPr="00A45727" w:rsidRDefault="00F67E9E" w:rsidP="0052486C">
            <w:pPr>
              <w:pStyle w:val="Tabletext0"/>
              <w:widowControl/>
              <w:autoSpaceDE/>
              <w:autoSpaceDN/>
            </w:pPr>
            <w:r w:rsidRPr="00A45727">
              <w:t>OTHER</w:t>
            </w:r>
          </w:p>
        </w:tc>
      </w:tr>
      <w:tr w:rsidR="00F67E9E" w:rsidRPr="00025910" w14:paraId="65DE8460"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1531" w:type="dxa"/>
          </w:tcPr>
          <w:p w14:paraId="5EC7F721" w14:textId="77777777" w:rsidR="00F67E9E" w:rsidRPr="00A45727" w:rsidRDefault="00F67E9E" w:rsidP="0052486C">
            <w:pPr>
              <w:pStyle w:val="Tabletext0"/>
              <w:widowControl/>
              <w:autoSpaceDE/>
              <w:autoSpaceDN/>
            </w:pPr>
            <w:r w:rsidRPr="00A45727">
              <w:t>Details</w:t>
            </w:r>
          </w:p>
        </w:tc>
        <w:tc>
          <w:tcPr>
            <w:tcW w:w="4535" w:type="dxa"/>
          </w:tcPr>
          <w:p w14:paraId="3860A0E7" w14:textId="77777777" w:rsidR="00F67E9E" w:rsidRPr="00A45727" w:rsidRDefault="00F67E9E" w:rsidP="0052486C">
            <w:pPr>
              <w:pStyle w:val="Tabletext0"/>
              <w:widowControl/>
              <w:autoSpaceDE/>
              <w:autoSpaceDN/>
            </w:pPr>
            <w:r w:rsidRPr="00A45727">
              <w:t>Security Check Level</w:t>
            </w:r>
          </w:p>
        </w:tc>
        <w:tc>
          <w:tcPr>
            <w:tcW w:w="4535" w:type="dxa"/>
          </w:tcPr>
          <w:p w14:paraId="6E0997AE" w14:textId="77777777" w:rsidR="00F67E9E" w:rsidRPr="00A45727" w:rsidRDefault="00F67E9E" w:rsidP="0052486C">
            <w:pPr>
              <w:pStyle w:val="Tabletext0"/>
              <w:widowControl/>
              <w:autoSpaceDE/>
              <w:autoSpaceDN/>
            </w:pPr>
            <w:r w:rsidRPr="00A45727">
              <w:t>Security Clearance Expiry date</w:t>
            </w:r>
          </w:p>
        </w:tc>
        <w:tc>
          <w:tcPr>
            <w:tcW w:w="4536" w:type="dxa"/>
          </w:tcPr>
          <w:p w14:paraId="010CDF48" w14:textId="77777777" w:rsidR="00F67E9E" w:rsidRPr="00A45727" w:rsidRDefault="00F67E9E" w:rsidP="0052486C">
            <w:pPr>
              <w:pStyle w:val="Tabletext0"/>
              <w:widowControl/>
              <w:autoSpaceDE/>
              <w:autoSpaceDN/>
            </w:pPr>
            <w:r w:rsidRPr="00A45727">
              <w:t>Additional info or comments</w:t>
            </w:r>
          </w:p>
        </w:tc>
      </w:tr>
      <w:tr w:rsidR="00F67E9E" w:rsidRPr="00025910" w14:paraId="3F81037A" w14:textId="77777777" w:rsidTr="0052486C">
        <w:trPr>
          <w:trHeight w:val="680"/>
        </w:trPr>
        <w:tc>
          <w:tcPr>
            <w:tcW w:w="1531" w:type="dxa"/>
          </w:tcPr>
          <w:p w14:paraId="2489520F" w14:textId="77777777" w:rsidR="00F67E9E" w:rsidRPr="004E522A" w:rsidRDefault="00F67E9E" w:rsidP="0052486C">
            <w:pPr>
              <w:pStyle w:val="Tabletext0"/>
              <w:widowControl/>
              <w:autoSpaceDE/>
              <w:autoSpaceDN/>
              <w:rPr>
                <w:b/>
                <w:bCs/>
              </w:rPr>
            </w:pPr>
            <w:r w:rsidRPr="004E522A">
              <w:rPr>
                <w:b/>
                <w:bCs/>
              </w:rPr>
              <w:t>Emp No 1</w:t>
            </w:r>
          </w:p>
        </w:tc>
        <w:tc>
          <w:tcPr>
            <w:tcW w:w="4535" w:type="dxa"/>
          </w:tcPr>
          <w:p w14:paraId="431DE011" w14:textId="77777777" w:rsidR="00F67E9E" w:rsidRPr="00A45727" w:rsidRDefault="00F67E9E" w:rsidP="0052486C">
            <w:pPr>
              <w:pStyle w:val="Tabletext0"/>
              <w:widowControl/>
              <w:autoSpaceDE/>
              <w:autoSpaceDN/>
            </w:pPr>
          </w:p>
        </w:tc>
        <w:tc>
          <w:tcPr>
            <w:tcW w:w="4535" w:type="dxa"/>
          </w:tcPr>
          <w:p w14:paraId="6C29C51D" w14:textId="77777777" w:rsidR="00F67E9E" w:rsidRPr="00A45727" w:rsidRDefault="00F67E9E" w:rsidP="0052486C">
            <w:pPr>
              <w:pStyle w:val="Tabletext0"/>
              <w:widowControl/>
              <w:autoSpaceDE/>
              <w:autoSpaceDN/>
            </w:pPr>
          </w:p>
        </w:tc>
        <w:tc>
          <w:tcPr>
            <w:tcW w:w="4536" w:type="dxa"/>
          </w:tcPr>
          <w:p w14:paraId="197BDAAE" w14:textId="77777777" w:rsidR="00F67E9E" w:rsidRPr="00A45727" w:rsidRDefault="00F67E9E" w:rsidP="0052486C">
            <w:pPr>
              <w:pStyle w:val="Tabletext0"/>
              <w:widowControl/>
              <w:autoSpaceDE/>
              <w:autoSpaceDN/>
            </w:pPr>
          </w:p>
        </w:tc>
      </w:tr>
      <w:tr w:rsidR="00F67E9E" w:rsidRPr="00025910" w14:paraId="4F891278" w14:textId="77777777" w:rsidTr="0052486C">
        <w:trPr>
          <w:trHeight w:val="680"/>
        </w:trPr>
        <w:tc>
          <w:tcPr>
            <w:tcW w:w="1531" w:type="dxa"/>
          </w:tcPr>
          <w:p w14:paraId="536F36FC" w14:textId="77777777" w:rsidR="00F67E9E" w:rsidRPr="004E522A" w:rsidRDefault="00F67E9E" w:rsidP="0052486C">
            <w:pPr>
              <w:pStyle w:val="Tabletext0"/>
              <w:widowControl/>
              <w:autoSpaceDE/>
              <w:autoSpaceDN/>
              <w:rPr>
                <w:b/>
                <w:bCs/>
              </w:rPr>
            </w:pPr>
            <w:r w:rsidRPr="004E522A">
              <w:rPr>
                <w:b/>
                <w:bCs/>
              </w:rPr>
              <w:t>Emp No 2</w:t>
            </w:r>
          </w:p>
        </w:tc>
        <w:tc>
          <w:tcPr>
            <w:tcW w:w="4535" w:type="dxa"/>
          </w:tcPr>
          <w:p w14:paraId="6C9D4F50" w14:textId="77777777" w:rsidR="00F67E9E" w:rsidRPr="00A45727" w:rsidRDefault="00F67E9E" w:rsidP="0052486C">
            <w:pPr>
              <w:pStyle w:val="Tabletext0"/>
              <w:widowControl/>
              <w:autoSpaceDE/>
              <w:autoSpaceDN/>
            </w:pPr>
          </w:p>
        </w:tc>
        <w:tc>
          <w:tcPr>
            <w:tcW w:w="4535" w:type="dxa"/>
          </w:tcPr>
          <w:p w14:paraId="69F8B43C" w14:textId="77777777" w:rsidR="00F67E9E" w:rsidRPr="00A45727" w:rsidRDefault="00F67E9E" w:rsidP="0052486C">
            <w:pPr>
              <w:pStyle w:val="Tabletext0"/>
              <w:widowControl/>
              <w:autoSpaceDE/>
              <w:autoSpaceDN/>
            </w:pPr>
          </w:p>
        </w:tc>
        <w:tc>
          <w:tcPr>
            <w:tcW w:w="4536" w:type="dxa"/>
          </w:tcPr>
          <w:p w14:paraId="05274B86" w14:textId="77777777" w:rsidR="00F67E9E" w:rsidRPr="00A45727" w:rsidRDefault="00F67E9E" w:rsidP="0052486C">
            <w:pPr>
              <w:pStyle w:val="Tabletext0"/>
              <w:widowControl/>
              <w:autoSpaceDE/>
              <w:autoSpaceDN/>
            </w:pPr>
          </w:p>
        </w:tc>
      </w:tr>
      <w:tr w:rsidR="00F67E9E" w:rsidRPr="00025910" w14:paraId="59FA6BE8" w14:textId="77777777" w:rsidTr="0052486C">
        <w:trPr>
          <w:trHeight w:val="680"/>
        </w:trPr>
        <w:tc>
          <w:tcPr>
            <w:tcW w:w="1531" w:type="dxa"/>
          </w:tcPr>
          <w:p w14:paraId="589667AC" w14:textId="77777777" w:rsidR="00F67E9E" w:rsidRPr="004E522A" w:rsidRDefault="00F67E9E" w:rsidP="0052486C">
            <w:pPr>
              <w:pStyle w:val="Tabletext0"/>
              <w:widowControl/>
              <w:autoSpaceDE/>
              <w:autoSpaceDN/>
              <w:rPr>
                <w:b/>
                <w:bCs/>
              </w:rPr>
            </w:pPr>
            <w:r w:rsidRPr="004E522A">
              <w:rPr>
                <w:b/>
                <w:bCs/>
              </w:rPr>
              <w:t>Emp No</w:t>
            </w:r>
          </w:p>
        </w:tc>
        <w:tc>
          <w:tcPr>
            <w:tcW w:w="4535" w:type="dxa"/>
          </w:tcPr>
          <w:p w14:paraId="1D1428C6" w14:textId="77777777" w:rsidR="00F67E9E" w:rsidRPr="00A45727" w:rsidRDefault="00F67E9E" w:rsidP="0052486C">
            <w:pPr>
              <w:pStyle w:val="Tabletext0"/>
              <w:widowControl/>
              <w:autoSpaceDE/>
              <w:autoSpaceDN/>
            </w:pPr>
          </w:p>
        </w:tc>
        <w:tc>
          <w:tcPr>
            <w:tcW w:w="4535" w:type="dxa"/>
          </w:tcPr>
          <w:p w14:paraId="296CEE00" w14:textId="77777777" w:rsidR="00F67E9E" w:rsidRPr="00A45727" w:rsidRDefault="00F67E9E" w:rsidP="0052486C">
            <w:pPr>
              <w:pStyle w:val="Tabletext0"/>
              <w:widowControl/>
              <w:autoSpaceDE/>
              <w:autoSpaceDN/>
            </w:pPr>
          </w:p>
        </w:tc>
        <w:tc>
          <w:tcPr>
            <w:tcW w:w="4536" w:type="dxa"/>
          </w:tcPr>
          <w:p w14:paraId="52F34712" w14:textId="77777777" w:rsidR="00F67E9E" w:rsidRPr="00A45727" w:rsidRDefault="00F67E9E" w:rsidP="0052486C">
            <w:pPr>
              <w:pStyle w:val="Tabletext0"/>
              <w:widowControl/>
              <w:autoSpaceDE/>
              <w:autoSpaceDN/>
            </w:pPr>
          </w:p>
        </w:tc>
      </w:tr>
      <w:tr w:rsidR="00F67E9E" w:rsidRPr="00025910" w14:paraId="72F4FBEE" w14:textId="77777777" w:rsidTr="0052486C">
        <w:trPr>
          <w:trHeight w:val="680"/>
        </w:trPr>
        <w:tc>
          <w:tcPr>
            <w:tcW w:w="1531" w:type="dxa"/>
          </w:tcPr>
          <w:p w14:paraId="770A9279" w14:textId="77777777" w:rsidR="00F67E9E" w:rsidRPr="004E522A" w:rsidRDefault="00F67E9E" w:rsidP="0052486C">
            <w:pPr>
              <w:pStyle w:val="Tabletext0"/>
              <w:widowControl/>
              <w:autoSpaceDE/>
              <w:autoSpaceDN/>
              <w:rPr>
                <w:b/>
                <w:bCs/>
              </w:rPr>
            </w:pPr>
            <w:r w:rsidRPr="004E522A">
              <w:rPr>
                <w:b/>
                <w:bCs/>
              </w:rPr>
              <w:t>Emp No</w:t>
            </w:r>
          </w:p>
        </w:tc>
        <w:tc>
          <w:tcPr>
            <w:tcW w:w="4535" w:type="dxa"/>
          </w:tcPr>
          <w:p w14:paraId="6BA21B13" w14:textId="77777777" w:rsidR="00F67E9E" w:rsidRPr="00A45727" w:rsidRDefault="00F67E9E" w:rsidP="0052486C">
            <w:pPr>
              <w:pStyle w:val="Tabletext0"/>
              <w:widowControl/>
              <w:autoSpaceDE/>
              <w:autoSpaceDN/>
            </w:pPr>
          </w:p>
        </w:tc>
        <w:tc>
          <w:tcPr>
            <w:tcW w:w="4535" w:type="dxa"/>
          </w:tcPr>
          <w:p w14:paraId="44F59021" w14:textId="77777777" w:rsidR="00F67E9E" w:rsidRPr="00A45727" w:rsidRDefault="00F67E9E" w:rsidP="0052486C">
            <w:pPr>
              <w:pStyle w:val="Tabletext0"/>
              <w:widowControl/>
              <w:autoSpaceDE/>
              <w:autoSpaceDN/>
            </w:pPr>
          </w:p>
        </w:tc>
        <w:tc>
          <w:tcPr>
            <w:tcW w:w="4536" w:type="dxa"/>
          </w:tcPr>
          <w:p w14:paraId="1BA70EF1" w14:textId="77777777" w:rsidR="00F67E9E" w:rsidRPr="00A45727" w:rsidRDefault="00F67E9E" w:rsidP="0052486C">
            <w:pPr>
              <w:pStyle w:val="Tabletext0"/>
              <w:widowControl/>
              <w:autoSpaceDE/>
              <w:autoSpaceDN/>
            </w:pPr>
          </w:p>
        </w:tc>
      </w:tr>
      <w:tr w:rsidR="00F67E9E" w:rsidRPr="00025910" w14:paraId="5C403595" w14:textId="77777777" w:rsidTr="0052486C">
        <w:trPr>
          <w:trHeight w:val="680"/>
        </w:trPr>
        <w:tc>
          <w:tcPr>
            <w:tcW w:w="1531" w:type="dxa"/>
          </w:tcPr>
          <w:p w14:paraId="3B71C522" w14:textId="77777777" w:rsidR="00F67E9E" w:rsidRPr="004E522A" w:rsidRDefault="00F67E9E" w:rsidP="0052486C">
            <w:pPr>
              <w:pStyle w:val="Tabletext0"/>
              <w:widowControl/>
              <w:autoSpaceDE/>
              <w:autoSpaceDN/>
              <w:rPr>
                <w:b/>
                <w:bCs/>
              </w:rPr>
            </w:pPr>
            <w:r w:rsidRPr="004E522A">
              <w:rPr>
                <w:b/>
                <w:bCs/>
              </w:rPr>
              <w:t>Emp No</w:t>
            </w:r>
          </w:p>
        </w:tc>
        <w:tc>
          <w:tcPr>
            <w:tcW w:w="4535" w:type="dxa"/>
          </w:tcPr>
          <w:p w14:paraId="16A483F1" w14:textId="77777777" w:rsidR="00F67E9E" w:rsidRPr="00A45727" w:rsidRDefault="00F67E9E" w:rsidP="0052486C">
            <w:pPr>
              <w:pStyle w:val="Tabletext0"/>
              <w:widowControl/>
              <w:autoSpaceDE/>
              <w:autoSpaceDN/>
            </w:pPr>
          </w:p>
        </w:tc>
        <w:tc>
          <w:tcPr>
            <w:tcW w:w="4535" w:type="dxa"/>
          </w:tcPr>
          <w:p w14:paraId="40667F2E" w14:textId="77777777" w:rsidR="00F67E9E" w:rsidRPr="00A45727" w:rsidRDefault="00F67E9E" w:rsidP="0052486C">
            <w:pPr>
              <w:pStyle w:val="Tabletext0"/>
              <w:widowControl/>
              <w:autoSpaceDE/>
              <w:autoSpaceDN/>
            </w:pPr>
          </w:p>
        </w:tc>
        <w:tc>
          <w:tcPr>
            <w:tcW w:w="4536" w:type="dxa"/>
          </w:tcPr>
          <w:p w14:paraId="3729DE41" w14:textId="77777777" w:rsidR="00F67E9E" w:rsidRPr="00A45727" w:rsidRDefault="00F67E9E" w:rsidP="0052486C">
            <w:pPr>
              <w:pStyle w:val="Tabletext0"/>
              <w:widowControl/>
              <w:autoSpaceDE/>
              <w:autoSpaceDN/>
            </w:pPr>
          </w:p>
        </w:tc>
      </w:tr>
      <w:tr w:rsidR="00F67E9E" w:rsidRPr="00025910" w14:paraId="78DC9837" w14:textId="77777777" w:rsidTr="0052486C">
        <w:trPr>
          <w:trHeight w:val="680"/>
        </w:trPr>
        <w:tc>
          <w:tcPr>
            <w:tcW w:w="1531" w:type="dxa"/>
          </w:tcPr>
          <w:p w14:paraId="26548A65" w14:textId="77777777" w:rsidR="00F67E9E" w:rsidRPr="004E522A" w:rsidRDefault="00F67E9E" w:rsidP="0052486C">
            <w:pPr>
              <w:pStyle w:val="Tabletext0"/>
              <w:widowControl/>
              <w:autoSpaceDE/>
              <w:autoSpaceDN/>
              <w:rPr>
                <w:b/>
                <w:bCs/>
              </w:rPr>
            </w:pPr>
            <w:r w:rsidRPr="004E522A">
              <w:rPr>
                <w:b/>
                <w:bCs/>
              </w:rPr>
              <w:t>Emp No</w:t>
            </w:r>
          </w:p>
        </w:tc>
        <w:tc>
          <w:tcPr>
            <w:tcW w:w="4535" w:type="dxa"/>
          </w:tcPr>
          <w:p w14:paraId="144E026F" w14:textId="77777777" w:rsidR="00F67E9E" w:rsidRPr="00A45727" w:rsidRDefault="00F67E9E" w:rsidP="0052486C">
            <w:pPr>
              <w:pStyle w:val="Tabletext0"/>
              <w:widowControl/>
              <w:autoSpaceDE/>
              <w:autoSpaceDN/>
            </w:pPr>
          </w:p>
        </w:tc>
        <w:tc>
          <w:tcPr>
            <w:tcW w:w="4535" w:type="dxa"/>
          </w:tcPr>
          <w:p w14:paraId="0FC02994" w14:textId="77777777" w:rsidR="00F67E9E" w:rsidRPr="00A45727" w:rsidRDefault="00F67E9E" w:rsidP="0052486C">
            <w:pPr>
              <w:pStyle w:val="Tabletext0"/>
              <w:widowControl/>
              <w:autoSpaceDE/>
              <w:autoSpaceDN/>
            </w:pPr>
          </w:p>
        </w:tc>
        <w:tc>
          <w:tcPr>
            <w:tcW w:w="4536" w:type="dxa"/>
          </w:tcPr>
          <w:p w14:paraId="5A07D0A8" w14:textId="77777777" w:rsidR="00F67E9E" w:rsidRPr="00A45727" w:rsidRDefault="00F67E9E" w:rsidP="0052486C">
            <w:pPr>
              <w:pStyle w:val="Tabletext0"/>
              <w:widowControl/>
              <w:autoSpaceDE/>
              <w:autoSpaceDN/>
            </w:pPr>
          </w:p>
        </w:tc>
      </w:tr>
      <w:tr w:rsidR="00F67E9E" w:rsidRPr="00025910" w14:paraId="022219C6" w14:textId="77777777" w:rsidTr="0052486C">
        <w:trPr>
          <w:trHeight w:val="680"/>
        </w:trPr>
        <w:tc>
          <w:tcPr>
            <w:tcW w:w="1531" w:type="dxa"/>
          </w:tcPr>
          <w:p w14:paraId="41C8785B" w14:textId="77777777" w:rsidR="00F67E9E" w:rsidRPr="004E522A" w:rsidRDefault="00F67E9E" w:rsidP="0052486C">
            <w:pPr>
              <w:pStyle w:val="Tabletext0"/>
              <w:widowControl/>
              <w:autoSpaceDE/>
              <w:autoSpaceDN/>
              <w:rPr>
                <w:b/>
                <w:bCs/>
              </w:rPr>
            </w:pPr>
            <w:r w:rsidRPr="004E522A">
              <w:rPr>
                <w:b/>
                <w:bCs/>
              </w:rPr>
              <w:t>Emp No</w:t>
            </w:r>
          </w:p>
        </w:tc>
        <w:tc>
          <w:tcPr>
            <w:tcW w:w="4535" w:type="dxa"/>
          </w:tcPr>
          <w:p w14:paraId="42BE16FF" w14:textId="77777777" w:rsidR="00F67E9E" w:rsidRPr="00A45727" w:rsidRDefault="00F67E9E" w:rsidP="0052486C">
            <w:pPr>
              <w:pStyle w:val="Tabletext0"/>
              <w:widowControl/>
              <w:autoSpaceDE/>
              <w:autoSpaceDN/>
            </w:pPr>
          </w:p>
        </w:tc>
        <w:tc>
          <w:tcPr>
            <w:tcW w:w="4535" w:type="dxa"/>
          </w:tcPr>
          <w:p w14:paraId="1185099C" w14:textId="77777777" w:rsidR="00F67E9E" w:rsidRPr="00A45727" w:rsidRDefault="00F67E9E" w:rsidP="0052486C">
            <w:pPr>
              <w:pStyle w:val="Tabletext0"/>
              <w:widowControl/>
              <w:autoSpaceDE/>
              <w:autoSpaceDN/>
            </w:pPr>
          </w:p>
        </w:tc>
        <w:tc>
          <w:tcPr>
            <w:tcW w:w="4536" w:type="dxa"/>
          </w:tcPr>
          <w:p w14:paraId="37CE5866" w14:textId="77777777" w:rsidR="00F67E9E" w:rsidRPr="00A45727" w:rsidRDefault="00F67E9E" w:rsidP="0052486C">
            <w:pPr>
              <w:pStyle w:val="Tabletext0"/>
              <w:widowControl/>
              <w:autoSpaceDE/>
              <w:autoSpaceDN/>
            </w:pPr>
          </w:p>
        </w:tc>
      </w:tr>
    </w:tbl>
    <w:p w14:paraId="714376CD" w14:textId="77777777" w:rsidR="00F67E9E" w:rsidRDefault="00F67E9E" w:rsidP="00F67E9E"/>
    <w:p w14:paraId="44318751" w14:textId="77777777" w:rsidR="00F67E9E" w:rsidRDefault="00F67E9E" w:rsidP="00F67E9E"/>
    <w:p w14:paraId="3B210E1C" w14:textId="77777777" w:rsidR="00F67E9E" w:rsidRPr="003D07D0" w:rsidRDefault="00F67E9E" w:rsidP="00F67E9E">
      <w:pPr>
        <w:sectPr w:rsidR="00F67E9E" w:rsidRPr="003D07D0" w:rsidSect="00240D26">
          <w:footerReference w:type="default" r:id="rId160"/>
          <w:pgSz w:w="16834" w:h="11909" w:orient="landscape"/>
          <w:pgMar w:top="1701" w:right="851" w:bottom="1134" w:left="851" w:header="567" w:footer="567" w:gutter="0"/>
          <w:cols w:space="720"/>
          <w:docGrid w:linePitch="326"/>
        </w:sectPr>
      </w:pPr>
    </w:p>
    <w:p w14:paraId="7E272049" w14:textId="77777777" w:rsidR="00F67E9E" w:rsidRPr="00EE4F10" w:rsidRDefault="00F67E9E" w:rsidP="00F67E9E">
      <w:pPr>
        <w:pStyle w:val="Dividername"/>
      </w:pPr>
      <w:r w:rsidRPr="00EE4F10">
        <w:lastRenderedPageBreak/>
        <w:t>Schedule 29</w:t>
      </w:r>
    </w:p>
    <w:p w14:paraId="3E0E81BD" w14:textId="77777777" w:rsidR="00F67E9E" w:rsidRPr="00EE4F10" w:rsidRDefault="00F67E9E" w:rsidP="00F67E9E">
      <w:pPr>
        <w:pStyle w:val="Dividername"/>
      </w:pPr>
      <w:r w:rsidRPr="00EE4F10">
        <w:t>Key Personnel</w:t>
      </w:r>
    </w:p>
    <w:p w14:paraId="4D93F4D2" w14:textId="77777777" w:rsidR="00F67E9E" w:rsidRDefault="00F67E9E" w:rsidP="00F67E9E"/>
    <w:p w14:paraId="4023E8DE" w14:textId="77777777" w:rsidR="00F67E9E" w:rsidRDefault="00F67E9E" w:rsidP="00F67E9E">
      <w:r>
        <w:br w:type="page"/>
      </w:r>
    </w:p>
    <w:p w14:paraId="3CA9588D" w14:textId="77777777" w:rsidR="00F67E9E" w:rsidRPr="00DD4CC2" w:rsidRDefault="00F67E9E" w:rsidP="00F67E9E">
      <w:pPr>
        <w:pStyle w:val="Heading1"/>
      </w:pPr>
      <w:bookmarkStart w:id="2513" w:name="Schedule29"/>
      <w:bookmarkStart w:id="2514" w:name="_Ref92200080"/>
      <w:bookmarkStart w:id="2515" w:name="_Toc145412829"/>
      <w:r w:rsidRPr="00DD4CC2">
        <w:lastRenderedPageBreak/>
        <w:t>Schedule</w:t>
      </w:r>
      <w:r>
        <w:t> </w:t>
      </w:r>
      <w:r w:rsidRPr="00DD4CC2">
        <w:t>29</w:t>
      </w:r>
      <w:bookmarkEnd w:id="2513"/>
      <w:r w:rsidRPr="00DD4CC2">
        <w:t xml:space="preserve">: </w:t>
      </w:r>
      <w:bookmarkStart w:id="2516" w:name="Schedule29Heading"/>
      <w:r w:rsidRPr="00DD4CC2">
        <w:t>Key Personnel</w:t>
      </w:r>
      <w:bookmarkEnd w:id="2514"/>
      <w:bookmarkEnd w:id="2515"/>
      <w:bookmarkEnd w:id="2516"/>
    </w:p>
    <w:p w14:paraId="581C54FD" w14:textId="569FC48D" w:rsidR="00935DDC" w:rsidRPr="00E3380F" w:rsidRDefault="00F67E9E" w:rsidP="00F67E9E">
      <w:pPr>
        <w:spacing w:before="100" w:after="200"/>
      </w:pPr>
      <w:r w:rsidRPr="00E3380F">
        <w:t>This Schedule lists the key roles (</w:t>
      </w:r>
      <w:r>
        <w:t>“</w:t>
      </w:r>
      <w:r w:rsidRPr="006F18B1">
        <w:rPr>
          <w:b/>
          <w:bCs/>
        </w:rPr>
        <w:t>Key Roles</w:t>
      </w:r>
      <w:r>
        <w:t>”</w:t>
      </w:r>
      <w:r w:rsidRPr="00E3380F">
        <w:t>) and names of the persons who the Supplier shall appoint to fill those Key Roles at the</w:t>
      </w:r>
      <w:r>
        <w:t xml:space="preserve"> Operational Service Commencement</w:t>
      </w:r>
      <w:r w:rsidRPr="00E3380F">
        <w:t xml:space="preserve"> Date (</w:t>
      </w:r>
      <w:r>
        <w:t>“</w:t>
      </w:r>
      <w:r w:rsidRPr="006F18B1">
        <w:rPr>
          <w:b/>
          <w:bCs/>
        </w:rPr>
        <w:t>Key Personnel</w:t>
      </w:r>
      <w:r>
        <w:t>”</w:t>
      </w:r>
      <w:r w:rsidRPr="00E3380F">
        <w:t>).</w:t>
      </w:r>
      <w:bookmarkStart w:id="2517" w:name="bookmark=id.gjdgxs" w:colFirst="0" w:colLast="0"/>
      <w:bookmarkEnd w:id="2517"/>
    </w:p>
    <w:p w14:paraId="030DC1CA" w14:textId="33253346" w:rsidR="00F67E9E" w:rsidRDefault="00843493" w:rsidP="00F67E9E">
      <w:pPr>
        <w:rPr>
          <w:b/>
          <w:color w:val="FFFFFF" w:themeColor="background1"/>
          <w:highlight w:val="black"/>
        </w:rPr>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397217">
        <w:rPr>
          <w:b/>
          <w:color w:val="FFFFFF" w:themeColor="background1"/>
          <w:highlight w:val="black"/>
        </w:rPr>
        <w:t>, Personal Information</w:t>
      </w:r>
    </w:p>
    <w:p w14:paraId="352CC5D8" w14:textId="77777777" w:rsidR="00843493" w:rsidRPr="00025910" w:rsidRDefault="00843493" w:rsidP="00F67E9E"/>
    <w:p w14:paraId="67760400" w14:textId="77777777" w:rsidR="00F67E9E" w:rsidRPr="00025910" w:rsidRDefault="00F67E9E" w:rsidP="00F67E9E">
      <w:pPr>
        <w:rPr>
          <w:rFonts w:cs="Arial"/>
          <w:szCs w:val="24"/>
        </w:rPr>
      </w:pPr>
    </w:p>
    <w:p w14:paraId="35845209" w14:textId="77777777" w:rsidR="00F67E9E" w:rsidRPr="00025910" w:rsidRDefault="00F67E9E" w:rsidP="00F67E9E">
      <w:pPr>
        <w:rPr>
          <w:rFonts w:cs="Arial"/>
          <w:szCs w:val="24"/>
        </w:rPr>
        <w:sectPr w:rsidR="00F67E9E" w:rsidRPr="00025910" w:rsidSect="00240D26">
          <w:headerReference w:type="default" r:id="rId161"/>
          <w:footerReference w:type="default" r:id="rId162"/>
          <w:footerReference w:type="first" r:id="rId163"/>
          <w:pgSz w:w="11900" w:h="16840"/>
          <w:pgMar w:top="1701" w:right="851" w:bottom="1134" w:left="851" w:header="567" w:footer="567" w:gutter="0"/>
          <w:cols w:space="720"/>
          <w:docGrid w:linePitch="360"/>
        </w:sectPr>
      </w:pPr>
    </w:p>
    <w:p w14:paraId="304BFB89" w14:textId="77777777" w:rsidR="00F67E9E" w:rsidRPr="00EE4F10" w:rsidRDefault="00F67E9E" w:rsidP="00F67E9E">
      <w:pPr>
        <w:pStyle w:val="Dividername"/>
      </w:pPr>
      <w:r w:rsidRPr="00EE4F10">
        <w:lastRenderedPageBreak/>
        <w:t>Schedule 30</w:t>
      </w:r>
    </w:p>
    <w:p w14:paraId="6DFD8F8F" w14:textId="77777777" w:rsidR="00F67E9E" w:rsidRPr="00EE4F10" w:rsidRDefault="00F67E9E" w:rsidP="00F67E9E">
      <w:pPr>
        <w:pStyle w:val="Dividername"/>
      </w:pPr>
      <w:r w:rsidRPr="00EE4F10">
        <w:t xml:space="preserve">Deed of </w:t>
      </w:r>
      <w:r>
        <w:t>G</w:t>
      </w:r>
      <w:r w:rsidRPr="00EE4F10">
        <w:t>uarantee</w:t>
      </w:r>
    </w:p>
    <w:p w14:paraId="33794428" w14:textId="77777777" w:rsidR="00F67E9E" w:rsidRPr="00025910" w:rsidRDefault="00F67E9E" w:rsidP="00F67E9E"/>
    <w:p w14:paraId="4E3878E3" w14:textId="77777777" w:rsidR="00F67E9E" w:rsidRPr="00025910" w:rsidRDefault="00F67E9E" w:rsidP="00F67E9E">
      <w:r w:rsidRPr="00025910">
        <w:br w:type="page"/>
      </w:r>
    </w:p>
    <w:p w14:paraId="67828BCE" w14:textId="77777777" w:rsidR="00F67E9E" w:rsidRPr="006A54F8" w:rsidRDefault="00F67E9E" w:rsidP="00F67E9E">
      <w:pPr>
        <w:pStyle w:val="Heading1"/>
        <w:rPr>
          <w:rStyle w:val="StdBodyTextBoldChar"/>
          <w:rFonts w:eastAsiaTheme="majorEastAsia" w:cs="Arial"/>
          <w:b/>
          <w:color w:val="1F497D" w:themeColor="text2"/>
          <w:szCs w:val="36"/>
        </w:rPr>
      </w:pPr>
      <w:bookmarkStart w:id="2518" w:name="Schedule30"/>
      <w:bookmarkStart w:id="2519" w:name="_Ref92200088"/>
      <w:bookmarkStart w:id="2520" w:name="_Toc145412830"/>
      <w:r w:rsidRPr="006A54F8">
        <w:rPr>
          <w:rStyle w:val="StdBodyTextBoldChar"/>
          <w:rFonts w:eastAsiaTheme="majorEastAsia" w:cs="Arial"/>
          <w:b/>
          <w:color w:val="1F497D" w:themeColor="text2"/>
          <w:szCs w:val="36"/>
        </w:rPr>
        <w:lastRenderedPageBreak/>
        <w:t>Schedule</w:t>
      </w:r>
      <w:r>
        <w:rPr>
          <w:rStyle w:val="StdBodyTextBoldChar"/>
          <w:rFonts w:eastAsiaTheme="majorEastAsia" w:cs="Arial"/>
          <w:b/>
          <w:color w:val="1F497D" w:themeColor="text2"/>
          <w:szCs w:val="36"/>
        </w:rPr>
        <w:t> </w:t>
      </w:r>
      <w:r w:rsidRPr="006A54F8">
        <w:rPr>
          <w:rStyle w:val="StdBodyTextBoldChar"/>
          <w:rFonts w:eastAsiaTheme="majorEastAsia" w:cs="Arial"/>
          <w:b/>
          <w:color w:val="1F497D" w:themeColor="text2"/>
          <w:szCs w:val="36"/>
        </w:rPr>
        <w:t>30</w:t>
      </w:r>
      <w:bookmarkEnd w:id="2518"/>
      <w:r w:rsidRPr="006A54F8">
        <w:rPr>
          <w:rStyle w:val="StdBodyTextBoldChar"/>
          <w:rFonts w:eastAsiaTheme="majorEastAsia" w:cs="Arial"/>
          <w:b/>
          <w:color w:val="1F497D" w:themeColor="text2"/>
          <w:szCs w:val="36"/>
        </w:rPr>
        <w:t xml:space="preserve">: </w:t>
      </w:r>
      <w:bookmarkStart w:id="2521" w:name="Schedule30Heading"/>
      <w:r w:rsidRPr="006A54F8">
        <w:rPr>
          <w:rStyle w:val="StdBodyTextBoldChar"/>
          <w:rFonts w:eastAsiaTheme="majorEastAsia" w:cs="Arial"/>
          <w:b/>
          <w:color w:val="1F497D" w:themeColor="text2"/>
          <w:szCs w:val="36"/>
        </w:rPr>
        <w:t>Deed of</w:t>
      </w:r>
      <w:r w:rsidRPr="006A54F8">
        <w:rPr>
          <w:color w:val="1F497D" w:themeColor="text2"/>
        </w:rPr>
        <w:t xml:space="preserve"> </w:t>
      </w:r>
      <w:r w:rsidRPr="006A54F8">
        <w:rPr>
          <w:rStyle w:val="StdBodyTextBoldChar"/>
          <w:rFonts w:eastAsiaTheme="majorEastAsia" w:cs="Arial"/>
          <w:b/>
          <w:color w:val="1F497D" w:themeColor="text2"/>
          <w:szCs w:val="36"/>
        </w:rPr>
        <w:t>Guarantee</w:t>
      </w:r>
      <w:bookmarkEnd w:id="2519"/>
      <w:bookmarkEnd w:id="2520"/>
      <w:bookmarkEnd w:id="2521"/>
    </w:p>
    <w:p w14:paraId="57BDBCBC" w14:textId="77777777" w:rsidR="00F67E9E" w:rsidRPr="00C30121" w:rsidRDefault="00F67E9E" w:rsidP="00F67E9E">
      <w:pPr>
        <w:spacing w:before="100" w:after="200"/>
        <w:jc w:val="center"/>
        <w:rPr>
          <w:rFonts w:eastAsia="Times New Roman" w:cs="Arial"/>
          <w:szCs w:val="24"/>
          <w:lang w:eastAsia="en-GB"/>
        </w:rPr>
      </w:pPr>
      <w:r w:rsidRPr="00B73DD6">
        <w:rPr>
          <w:rStyle w:val="StdBodyTextBoldChar"/>
          <w:rFonts w:eastAsiaTheme="minorHAnsi" w:cs="Arial"/>
          <w:szCs w:val="24"/>
          <w:highlight w:val="yellow"/>
        </w:rPr>
        <w:t>[insert</w:t>
      </w:r>
      <w:r w:rsidRPr="00C30121">
        <w:rPr>
          <w:rStyle w:val="StdBodyTextBoldChar"/>
          <w:rFonts w:eastAsiaTheme="minorHAnsi" w:cs="Arial"/>
          <w:szCs w:val="24"/>
          <w:highlight w:val="yellow"/>
        </w:rPr>
        <w:t xml:space="preserve"> the name of the Guarantor]</w:t>
      </w:r>
    </w:p>
    <w:p w14:paraId="24FE6552" w14:textId="77777777" w:rsidR="00F67E9E" w:rsidRPr="00C30121" w:rsidRDefault="00F67E9E" w:rsidP="00F67E9E">
      <w:pPr>
        <w:spacing w:before="100" w:after="200"/>
        <w:jc w:val="center"/>
        <w:rPr>
          <w:rFonts w:cs="Arial"/>
        </w:rPr>
      </w:pPr>
      <w:r w:rsidRPr="00C30121">
        <w:rPr>
          <w:rStyle w:val="StdBodyTextBoldChar"/>
          <w:rFonts w:eastAsiaTheme="majorEastAsia" w:cs="Arial"/>
        </w:rPr>
        <w:t>- and -</w:t>
      </w:r>
    </w:p>
    <w:p w14:paraId="4E81B947" w14:textId="77777777" w:rsidR="00F67E9E" w:rsidRPr="00DD4CC2" w:rsidRDefault="00F67E9E" w:rsidP="00F67E9E">
      <w:pPr>
        <w:spacing w:before="100" w:after="200"/>
        <w:jc w:val="center"/>
        <w:rPr>
          <w:rFonts w:cs="Arial"/>
          <w:iCs/>
          <w:highlight w:val="yellow"/>
        </w:rPr>
      </w:pPr>
      <w:r w:rsidRPr="00B73DD6">
        <w:rPr>
          <w:rStyle w:val="StdBodyTextBoldChar"/>
          <w:rFonts w:eastAsiaTheme="majorEastAsia" w:cs="Arial"/>
          <w:highlight w:val="yellow"/>
        </w:rPr>
        <w:t>[insert</w:t>
      </w:r>
      <w:r w:rsidRPr="00C30121">
        <w:rPr>
          <w:rStyle w:val="StdBodyTextBoldChar"/>
          <w:rFonts w:eastAsiaTheme="majorEastAsia" w:cs="Arial"/>
          <w:highlight w:val="yellow"/>
        </w:rPr>
        <w:t xml:space="preserve"> the name of the Beneficiary]</w:t>
      </w:r>
    </w:p>
    <w:p w14:paraId="61ADC55D" w14:textId="77777777" w:rsidR="00F67E9E" w:rsidRDefault="00F67E9E" w:rsidP="00F67E9E">
      <w:pPr>
        <w:pStyle w:val="BlankDocumentTitle"/>
        <w:rPr>
          <w:rFonts w:cs="Arial"/>
        </w:rPr>
      </w:pPr>
    </w:p>
    <w:p w14:paraId="62796231" w14:textId="77777777" w:rsidR="00F67E9E" w:rsidRPr="00C30121" w:rsidRDefault="00F67E9E" w:rsidP="00F67E9E">
      <w:pPr>
        <w:pStyle w:val="BlankDocumentTitle"/>
        <w:rPr>
          <w:rFonts w:cs="Arial"/>
        </w:rPr>
      </w:pPr>
      <w:r w:rsidRPr="00C30121">
        <w:rPr>
          <w:rFonts w:cs="Arial"/>
        </w:rPr>
        <w:t>DEED OF GUARANTEE</w:t>
      </w:r>
    </w:p>
    <w:p w14:paraId="65B8D0BC" w14:textId="77777777" w:rsidR="00F67E9E" w:rsidRPr="00C30121" w:rsidRDefault="00F67E9E" w:rsidP="00F67E9E">
      <w:pPr>
        <w:pStyle w:val="StdBodyText"/>
        <w:rPr>
          <w:rFonts w:cs="Arial"/>
        </w:rPr>
      </w:pPr>
      <w:r w:rsidRPr="00C30121">
        <w:rPr>
          <w:rStyle w:val="StdBodyTextBoldChar"/>
          <w:rFonts w:eastAsiaTheme="majorEastAsia" w:cs="Arial"/>
        </w:rPr>
        <w:t>THIS DEED</w:t>
      </w:r>
      <w:r w:rsidRPr="00C30121">
        <w:rPr>
          <w:rFonts w:cs="Arial"/>
        </w:rPr>
        <w:t xml:space="preserve"> is executed as a deed and dated </w:t>
      </w:r>
      <w:r w:rsidRPr="00B73DD6">
        <w:rPr>
          <w:rFonts w:cs="Arial"/>
          <w:b/>
        </w:rPr>
        <w:t>[insert</w:t>
      </w:r>
      <w:r w:rsidRPr="00401120">
        <w:rPr>
          <w:rFonts w:cs="Arial"/>
          <w:highlight w:val="yellow"/>
        </w:rPr>
        <w:t xml:space="preserve"> date of execution</w:t>
      </w:r>
      <w:r w:rsidRPr="00C30121">
        <w:rPr>
          <w:rFonts w:cs="Arial"/>
        </w:rPr>
        <w:t xml:space="preserve">] (the </w:t>
      </w:r>
      <w:r>
        <w:rPr>
          <w:rFonts w:cs="Arial"/>
        </w:rPr>
        <w:t>“</w:t>
      </w:r>
      <w:r w:rsidRPr="00C30121">
        <w:rPr>
          <w:rStyle w:val="StdBodyTextBoldChar"/>
          <w:rFonts w:eastAsiaTheme="majorEastAsia" w:cs="Arial"/>
        </w:rPr>
        <w:t>Deed</w:t>
      </w:r>
      <w:r>
        <w:rPr>
          <w:rFonts w:cs="Arial"/>
        </w:rPr>
        <w:t>”</w:t>
      </w:r>
      <w:r w:rsidRPr="00C30121">
        <w:rPr>
          <w:rFonts w:cs="Arial"/>
        </w:rPr>
        <w:t>)</w:t>
      </w:r>
    </w:p>
    <w:p w14:paraId="7E2C9B74" w14:textId="77777777" w:rsidR="00F67E9E" w:rsidRPr="00C30121" w:rsidRDefault="00F67E9E" w:rsidP="00F67E9E">
      <w:pPr>
        <w:pStyle w:val="StdBodyTextBold"/>
        <w:rPr>
          <w:rFonts w:cs="Arial"/>
        </w:rPr>
      </w:pPr>
      <w:r w:rsidRPr="00C30121">
        <w:rPr>
          <w:rFonts w:cs="Arial"/>
        </w:rPr>
        <w:t>BETWEEN:</w:t>
      </w:r>
    </w:p>
    <w:p w14:paraId="1054A535" w14:textId="77777777" w:rsidR="00F67E9E" w:rsidRPr="00A44D3E" w:rsidRDefault="00F67E9E" w:rsidP="00F13933">
      <w:pPr>
        <w:pStyle w:val="PartiesBodyText"/>
        <w:numPr>
          <w:ilvl w:val="0"/>
          <w:numId w:val="173"/>
        </w:numPr>
        <w:tabs>
          <w:tab w:val="clear" w:pos="720"/>
          <w:tab w:val="num" w:pos="1080"/>
        </w:tabs>
        <w:rPr>
          <w:rFonts w:cs="Arial"/>
        </w:rPr>
      </w:pPr>
      <w:r w:rsidRPr="00B73DD6">
        <w:rPr>
          <w:rStyle w:val="StdBodyTextBoldChar"/>
          <w:rFonts w:eastAsiaTheme="majorEastAsia" w:cs="Arial"/>
          <w:highlight w:val="yellow"/>
        </w:rPr>
        <w:t>[insert</w:t>
      </w:r>
      <w:r w:rsidRPr="00A44D3E">
        <w:rPr>
          <w:rStyle w:val="StdBodyTextBoldChar"/>
          <w:rFonts w:eastAsiaTheme="majorEastAsia" w:cs="Arial"/>
          <w:highlight w:val="yellow"/>
        </w:rPr>
        <w:t xml:space="preserve"> NAME OF THE GUARANTOR]</w:t>
      </w:r>
      <w:r w:rsidRPr="00A44D3E">
        <w:rPr>
          <w:rFonts w:cs="Arial"/>
          <w:highlight w:val="yellow"/>
        </w:rPr>
        <w:t xml:space="preserve"> [a company incorporated in [England and Wales] under registered number </w:t>
      </w:r>
      <w:r w:rsidRPr="00B73DD6">
        <w:rPr>
          <w:rFonts w:cs="Arial"/>
          <w:b/>
          <w:highlight w:val="yellow"/>
        </w:rPr>
        <w:t>[insert</w:t>
      </w:r>
      <w:r w:rsidRPr="00A44D3E">
        <w:rPr>
          <w:rFonts w:cs="Arial"/>
          <w:highlight w:val="yellow"/>
        </w:rPr>
        <w:t xml:space="preserve"> registered number] whose registered office is at </w:t>
      </w:r>
      <w:r w:rsidRPr="00B73DD6">
        <w:rPr>
          <w:rFonts w:cs="Arial"/>
          <w:b/>
          <w:highlight w:val="yellow"/>
        </w:rPr>
        <w:t>[insert</w:t>
      </w:r>
      <w:r w:rsidRPr="00A44D3E">
        <w:rPr>
          <w:rFonts w:cs="Arial"/>
          <w:highlight w:val="yellow"/>
        </w:rPr>
        <w:t xml:space="preserve"> registered office]] [</w:t>
      </w:r>
      <w:r w:rsidRPr="00A44D3E">
        <w:rPr>
          <w:rStyle w:val="StdBodyTextBoldChar"/>
          <w:rFonts w:eastAsiaTheme="majorEastAsia" w:cs="Arial"/>
          <w:highlight w:val="yellow"/>
        </w:rPr>
        <w:t>OR]</w:t>
      </w:r>
      <w:r w:rsidRPr="00A44D3E">
        <w:rPr>
          <w:rFonts w:cs="Arial"/>
          <w:highlight w:val="yellow"/>
        </w:rPr>
        <w:t xml:space="preserve"> [a company incorporated under the laws of </w:t>
      </w:r>
      <w:r w:rsidRPr="00B73DD6">
        <w:rPr>
          <w:rFonts w:cs="Arial"/>
          <w:b/>
          <w:highlight w:val="yellow"/>
        </w:rPr>
        <w:t>[insert</w:t>
      </w:r>
      <w:r w:rsidRPr="00A44D3E">
        <w:rPr>
          <w:rFonts w:cs="Arial"/>
          <w:highlight w:val="yellow"/>
        </w:rPr>
        <w:t xml:space="preserve"> country], registered in </w:t>
      </w:r>
      <w:r w:rsidRPr="00B73DD6">
        <w:rPr>
          <w:rFonts w:cs="Arial"/>
          <w:b/>
          <w:highlight w:val="yellow"/>
        </w:rPr>
        <w:t>[insert</w:t>
      </w:r>
      <w:r w:rsidRPr="00A44D3E">
        <w:rPr>
          <w:rFonts w:cs="Arial"/>
          <w:highlight w:val="yellow"/>
        </w:rPr>
        <w:t xml:space="preserve"> country] with number </w:t>
      </w:r>
      <w:r w:rsidRPr="00B73DD6">
        <w:rPr>
          <w:rFonts w:cs="Arial"/>
          <w:b/>
          <w:highlight w:val="yellow"/>
        </w:rPr>
        <w:t>[insert</w:t>
      </w:r>
      <w:r w:rsidRPr="00A44D3E">
        <w:rPr>
          <w:rFonts w:cs="Arial"/>
          <w:highlight w:val="yellow"/>
        </w:rPr>
        <w:t xml:space="preserve"> number] at </w:t>
      </w:r>
      <w:r w:rsidRPr="00B73DD6">
        <w:rPr>
          <w:rFonts w:cs="Arial"/>
          <w:b/>
          <w:highlight w:val="yellow"/>
        </w:rPr>
        <w:t>[insert</w:t>
      </w:r>
      <w:r w:rsidRPr="00A44D3E">
        <w:rPr>
          <w:rFonts w:cs="Arial"/>
          <w:highlight w:val="yellow"/>
        </w:rPr>
        <w:t xml:space="preserve"> place of registration], whose principal office is at </w:t>
      </w:r>
      <w:r w:rsidRPr="00B73DD6">
        <w:rPr>
          <w:rFonts w:cs="Arial"/>
          <w:b/>
          <w:highlight w:val="yellow"/>
        </w:rPr>
        <w:t>[insert</w:t>
      </w:r>
      <w:r w:rsidRPr="00A44D3E">
        <w:rPr>
          <w:rFonts w:cs="Arial"/>
          <w:highlight w:val="yellow"/>
        </w:rPr>
        <w:t xml:space="preserve"> office details]</w:t>
      </w:r>
      <w:r w:rsidRPr="00A44D3E">
        <w:rPr>
          <w:rFonts w:cs="Arial"/>
        </w:rPr>
        <w:t xml:space="preserve"> (the “</w:t>
      </w:r>
      <w:r w:rsidRPr="00A44D3E">
        <w:rPr>
          <w:rStyle w:val="StdBodyTextBoldChar"/>
          <w:rFonts w:eastAsiaTheme="majorEastAsia" w:cs="Arial"/>
        </w:rPr>
        <w:t>Guarantor</w:t>
      </w:r>
      <w:r w:rsidRPr="00A44D3E">
        <w:rPr>
          <w:rFonts w:cs="Arial"/>
        </w:rPr>
        <w:t>”); and</w:t>
      </w:r>
    </w:p>
    <w:p w14:paraId="1A52A3AB" w14:textId="77777777" w:rsidR="00F67E9E" w:rsidRPr="00C30121" w:rsidRDefault="00F67E9E" w:rsidP="00F67E9E">
      <w:pPr>
        <w:pStyle w:val="PartiesBodyText"/>
        <w:tabs>
          <w:tab w:val="clear" w:pos="720"/>
          <w:tab w:val="num" w:pos="1080"/>
        </w:tabs>
        <w:rPr>
          <w:rFonts w:cs="Arial"/>
        </w:rPr>
      </w:pPr>
      <w:r w:rsidRPr="00B73DD6">
        <w:rPr>
          <w:rStyle w:val="StdBodyTextBoldChar"/>
          <w:rFonts w:eastAsiaTheme="majorEastAsia" w:cs="Arial"/>
          <w:highlight w:val="yellow"/>
        </w:rPr>
        <w:t>[insert</w:t>
      </w:r>
      <w:r w:rsidRPr="00C30121">
        <w:rPr>
          <w:rStyle w:val="StdBodyTextBoldChar"/>
          <w:rFonts w:eastAsiaTheme="majorEastAsia" w:cs="Arial"/>
          <w:highlight w:val="yellow"/>
        </w:rPr>
        <w:t xml:space="preserve"> NAME OF THE AUTHORITY]</w:t>
      </w:r>
      <w:r w:rsidRPr="00C30121">
        <w:rPr>
          <w:rFonts w:cs="Arial"/>
          <w:highlight w:val="yellow"/>
        </w:rPr>
        <w:t>, [acting on behalf of the Crown]</w:t>
      </w:r>
      <w:r w:rsidRPr="00C30121">
        <w:rPr>
          <w:rFonts w:cs="Arial"/>
        </w:rPr>
        <w:t xml:space="preserve"> of </w:t>
      </w:r>
      <w:r w:rsidRPr="00B73DD6">
        <w:rPr>
          <w:rFonts w:cs="Arial"/>
          <w:b/>
          <w:highlight w:val="yellow"/>
        </w:rPr>
        <w:t>[insert</w:t>
      </w:r>
      <w:r w:rsidRPr="00C30121">
        <w:rPr>
          <w:rFonts w:cs="Arial"/>
          <w:highlight w:val="yellow"/>
        </w:rPr>
        <w:t xml:space="preserve"> the Authority</w:t>
      </w:r>
      <w:r>
        <w:rPr>
          <w:rFonts w:cs="Arial"/>
          <w:highlight w:val="yellow"/>
        </w:rPr>
        <w:t>’</w:t>
      </w:r>
      <w:r w:rsidRPr="00C30121">
        <w:rPr>
          <w:rFonts w:cs="Arial"/>
          <w:highlight w:val="yellow"/>
        </w:rPr>
        <w:t>s address]</w:t>
      </w:r>
      <w:r w:rsidRPr="00C30121">
        <w:rPr>
          <w:rFonts w:cs="Arial"/>
        </w:rPr>
        <w:t xml:space="preserve"> (the </w:t>
      </w:r>
      <w:r>
        <w:rPr>
          <w:rFonts w:cs="Arial"/>
        </w:rPr>
        <w:t>“</w:t>
      </w:r>
      <w:r w:rsidRPr="00C30121">
        <w:rPr>
          <w:rStyle w:val="StdBodyTextBoldChar"/>
          <w:rFonts w:eastAsiaTheme="majorEastAsia" w:cs="Arial"/>
        </w:rPr>
        <w:t>Authority</w:t>
      </w:r>
      <w:r>
        <w:rPr>
          <w:rFonts w:cs="Arial"/>
        </w:rPr>
        <w:t>”</w:t>
      </w:r>
      <w:r w:rsidRPr="00C30121">
        <w:rPr>
          <w:rFonts w:cs="Arial"/>
        </w:rPr>
        <w:t>).</w:t>
      </w:r>
    </w:p>
    <w:p w14:paraId="6F5DA08C" w14:textId="77777777" w:rsidR="00F67E9E" w:rsidRPr="00C30121" w:rsidRDefault="00F67E9E" w:rsidP="00F67E9E">
      <w:pPr>
        <w:pStyle w:val="StdBodyText"/>
        <w:ind w:left="720"/>
        <w:rPr>
          <w:rFonts w:cs="Arial"/>
        </w:rPr>
      </w:pPr>
      <w:r w:rsidRPr="00C30121">
        <w:rPr>
          <w:rFonts w:cs="Arial"/>
        </w:rPr>
        <w:t xml:space="preserve">together the </w:t>
      </w:r>
      <w:r>
        <w:rPr>
          <w:rFonts w:cs="Arial"/>
        </w:rPr>
        <w:t>“</w:t>
      </w:r>
      <w:r w:rsidRPr="00C30121">
        <w:rPr>
          <w:rStyle w:val="StdBodyTextBoldChar"/>
          <w:rFonts w:eastAsiaTheme="majorEastAsia" w:cs="Arial"/>
        </w:rPr>
        <w:t>Parties</w:t>
      </w:r>
      <w:r>
        <w:rPr>
          <w:rFonts w:cs="Arial"/>
        </w:rPr>
        <w:t>”</w:t>
      </w:r>
      <w:r w:rsidRPr="00C30121">
        <w:rPr>
          <w:rFonts w:cs="Arial"/>
        </w:rPr>
        <w:t xml:space="preserve"> and each a </w:t>
      </w:r>
      <w:r>
        <w:rPr>
          <w:rFonts w:cs="Arial"/>
        </w:rPr>
        <w:t>“</w:t>
      </w:r>
      <w:r w:rsidRPr="00C30121">
        <w:rPr>
          <w:rStyle w:val="StdBodyTextBoldChar"/>
          <w:rFonts w:eastAsiaTheme="majorEastAsia" w:cs="Arial"/>
        </w:rPr>
        <w:t>Party</w:t>
      </w:r>
      <w:r>
        <w:rPr>
          <w:rFonts w:cs="Arial"/>
        </w:rPr>
        <w:t>”</w:t>
      </w:r>
      <w:r w:rsidRPr="00C30121">
        <w:rPr>
          <w:rFonts w:cs="Arial"/>
        </w:rPr>
        <w:t>.</w:t>
      </w:r>
    </w:p>
    <w:p w14:paraId="75E51B5C" w14:textId="77777777" w:rsidR="00F67E9E" w:rsidRPr="00C30121" w:rsidRDefault="00F67E9E" w:rsidP="00F67E9E">
      <w:pPr>
        <w:pStyle w:val="StdBodyTextBold"/>
        <w:rPr>
          <w:rFonts w:cs="Arial"/>
        </w:rPr>
      </w:pPr>
      <w:r w:rsidRPr="00C30121">
        <w:rPr>
          <w:rFonts w:cs="Arial"/>
        </w:rPr>
        <w:t>BACKGROUND:</w:t>
      </w:r>
    </w:p>
    <w:p w14:paraId="7157860A" w14:textId="77777777" w:rsidR="00F67E9E" w:rsidRPr="00025910" w:rsidRDefault="00F67E9E" w:rsidP="00F67E9E">
      <w:pPr>
        <w:spacing w:before="100" w:after="200"/>
        <w:ind w:left="720" w:hanging="720"/>
        <w:rPr>
          <w:rFonts w:cs="Arial"/>
        </w:rPr>
      </w:pPr>
      <w:bookmarkStart w:id="2522" w:name="recitalASch30"/>
      <w:bookmarkStart w:id="2523" w:name="_Ref41993548"/>
      <w:r>
        <w:rPr>
          <w:rFonts w:cs="Arial"/>
        </w:rPr>
        <w:t>(A)</w:t>
      </w:r>
      <w:bookmarkEnd w:id="2522"/>
      <w:r>
        <w:rPr>
          <w:rFonts w:cs="Arial"/>
        </w:rPr>
        <w:tab/>
      </w:r>
      <w:r w:rsidRPr="00D260A8">
        <w:rPr>
          <w:rFonts w:cs="Arial"/>
        </w:rPr>
        <w:t xml:space="preserve">The Authority </w:t>
      </w:r>
      <w:r w:rsidRPr="00D260A8">
        <w:rPr>
          <w:rFonts w:cs="Arial"/>
          <w:highlight w:val="yellow"/>
        </w:rPr>
        <w:t xml:space="preserve">[has awarded] </w:t>
      </w:r>
      <w:r w:rsidRPr="00025910">
        <w:rPr>
          <w:rFonts w:cs="Arial"/>
        </w:rPr>
        <w:t>a contract</w:t>
      </w:r>
      <w:r w:rsidRPr="00D260A8">
        <w:rPr>
          <w:rFonts w:cs="Arial"/>
        </w:rPr>
        <w:t xml:space="preserve"> dated </w:t>
      </w:r>
      <w:r w:rsidRPr="00B73DD6">
        <w:rPr>
          <w:rFonts w:cs="Arial"/>
          <w:b/>
          <w:highlight w:val="yellow"/>
        </w:rPr>
        <w:t>[insert</w:t>
      </w:r>
      <w:r w:rsidRPr="00D260A8">
        <w:rPr>
          <w:rFonts w:cs="Arial"/>
          <w:highlight w:val="yellow"/>
        </w:rPr>
        <w:t xml:space="preserve"> date</w:t>
      </w:r>
      <w:r w:rsidRPr="00401120">
        <w:rPr>
          <w:rFonts w:cs="Arial"/>
        </w:rPr>
        <w:t xml:space="preserve">] </w:t>
      </w:r>
      <w:r w:rsidRPr="00D260A8">
        <w:rPr>
          <w:rFonts w:cs="Arial"/>
        </w:rPr>
        <w:t xml:space="preserve">to </w:t>
      </w:r>
      <w:r w:rsidRPr="00B73DD6">
        <w:rPr>
          <w:rFonts w:cs="Arial"/>
          <w:b/>
          <w:highlight w:val="yellow"/>
        </w:rPr>
        <w:t>[insert</w:t>
      </w:r>
      <w:r w:rsidRPr="00D260A8">
        <w:rPr>
          <w:rFonts w:cs="Arial"/>
          <w:highlight w:val="yellow"/>
        </w:rPr>
        <w:t xml:space="preserve"> details of the Supplier]</w:t>
      </w:r>
      <w:r w:rsidRPr="00D260A8">
        <w:rPr>
          <w:rFonts w:cs="Arial"/>
        </w:rPr>
        <w:t xml:space="preserve"> (the </w:t>
      </w:r>
      <w:r>
        <w:rPr>
          <w:rFonts w:cs="Arial"/>
        </w:rPr>
        <w:t>“</w:t>
      </w:r>
      <w:r w:rsidRPr="00D260A8">
        <w:rPr>
          <w:rStyle w:val="StdBodyTextBoldChar"/>
          <w:rFonts w:eastAsiaTheme="majorEastAsia" w:cs="Arial"/>
        </w:rPr>
        <w:t>Supplier</w:t>
      </w:r>
      <w:r>
        <w:rPr>
          <w:rFonts w:cs="Arial"/>
        </w:rPr>
        <w:t>”</w:t>
      </w:r>
      <w:r w:rsidRPr="00D260A8">
        <w:rPr>
          <w:rFonts w:cs="Arial"/>
        </w:rPr>
        <w:t xml:space="preserve">) for the provision of </w:t>
      </w:r>
      <w:r w:rsidRPr="00B73DD6">
        <w:rPr>
          <w:rFonts w:cs="Arial"/>
          <w:b/>
          <w:highlight w:val="yellow"/>
        </w:rPr>
        <w:t>[insert</w:t>
      </w:r>
      <w:r w:rsidRPr="00D260A8">
        <w:rPr>
          <w:rFonts w:cs="Arial"/>
          <w:highlight w:val="yellow"/>
        </w:rPr>
        <w:t xml:space="preserve"> details of goods or services to be provided]</w:t>
      </w:r>
      <w:r w:rsidRPr="00D260A8">
        <w:rPr>
          <w:rFonts w:cs="Arial"/>
        </w:rPr>
        <w:t xml:space="preserve"> (the </w:t>
      </w:r>
      <w:r>
        <w:rPr>
          <w:rFonts w:cs="Arial"/>
        </w:rPr>
        <w:t>“</w:t>
      </w:r>
      <w:r w:rsidRPr="00025910">
        <w:rPr>
          <w:rStyle w:val="StdBodyTextBoldChar"/>
          <w:rFonts w:eastAsiaTheme="majorEastAsia" w:cs="Arial"/>
        </w:rPr>
        <w:t>Guaranteed Agreement</w:t>
      </w:r>
      <w:r>
        <w:rPr>
          <w:rFonts w:cs="Arial"/>
        </w:rPr>
        <w:t>”</w:t>
      </w:r>
      <w:r w:rsidRPr="00025910">
        <w:rPr>
          <w:rFonts w:cs="Arial"/>
        </w:rPr>
        <w:t>).</w:t>
      </w:r>
      <w:bookmarkEnd w:id="2523"/>
    </w:p>
    <w:p w14:paraId="45BE23F2" w14:textId="77777777" w:rsidR="00F67E9E" w:rsidRPr="00025910" w:rsidRDefault="00F67E9E" w:rsidP="00F67E9E">
      <w:pPr>
        <w:spacing w:before="100" w:after="200"/>
        <w:ind w:left="720" w:hanging="720"/>
        <w:rPr>
          <w:rFonts w:cs="Arial"/>
        </w:rPr>
      </w:pPr>
      <w:r>
        <w:rPr>
          <w:rFonts w:cs="Arial"/>
        </w:rPr>
        <w:t>(B)</w:t>
      </w:r>
      <w:r>
        <w:rPr>
          <w:rFonts w:cs="Arial"/>
        </w:rPr>
        <w:tab/>
      </w:r>
      <w:r w:rsidRPr="00025910">
        <w:rPr>
          <w:rFonts w:cs="Arial"/>
        </w:rPr>
        <w:t>It is a condition of the Authority entering into the Guaranteed Agreement that the Supplier procures the execution and delivery to the Authority of a parent company guarantee substantially in the form of this Deed.</w:t>
      </w:r>
    </w:p>
    <w:p w14:paraId="2A75CD90" w14:textId="77777777" w:rsidR="00F67E9E" w:rsidRPr="00025910" w:rsidRDefault="00F67E9E" w:rsidP="00F67E9E">
      <w:pPr>
        <w:spacing w:before="100" w:after="200"/>
        <w:ind w:left="720" w:hanging="720"/>
        <w:rPr>
          <w:rFonts w:cs="Arial"/>
        </w:rPr>
      </w:pPr>
      <w:r>
        <w:rPr>
          <w:rFonts w:cs="Arial"/>
        </w:rPr>
        <w:t>(C)</w:t>
      </w:r>
      <w:r>
        <w:rPr>
          <w:rFonts w:cs="Arial"/>
        </w:rPr>
        <w:tab/>
      </w:r>
      <w:r w:rsidRPr="00025910">
        <w:rPr>
          <w:rFonts w:cs="Arial"/>
        </w:rPr>
        <w:t xml:space="preserve">The Guarantor has agreed to guarantee the due performance of the Guaranteed Agreement. </w:t>
      </w:r>
    </w:p>
    <w:p w14:paraId="045BCE34" w14:textId="77777777" w:rsidR="00F67E9E" w:rsidRPr="00C30121" w:rsidRDefault="00F67E9E" w:rsidP="00F67E9E">
      <w:pPr>
        <w:pStyle w:val="StdBodyText"/>
        <w:rPr>
          <w:rFonts w:cs="Arial"/>
        </w:rPr>
      </w:pPr>
      <w:r w:rsidRPr="00C30121">
        <w:rPr>
          <w:rStyle w:val="StdBodyTextBoldChar"/>
          <w:rFonts w:eastAsiaTheme="majorEastAsia" w:cs="Arial"/>
        </w:rPr>
        <w:t>IT IS AGREED</w:t>
      </w:r>
      <w:r w:rsidRPr="00C30121">
        <w:rPr>
          <w:rFonts w:cs="Arial"/>
        </w:rPr>
        <w:t xml:space="preserve"> as follows: </w:t>
      </w:r>
    </w:p>
    <w:p w14:paraId="51025FE8" w14:textId="77777777" w:rsidR="00F67E9E" w:rsidRPr="00D260A8" w:rsidRDefault="00F67E9E" w:rsidP="00E1349E">
      <w:pPr>
        <w:pStyle w:val="Numbered1"/>
        <w:numPr>
          <w:ilvl w:val="0"/>
          <w:numId w:val="183"/>
        </w:numPr>
      </w:pPr>
      <w:r w:rsidRPr="00D260A8">
        <w:t xml:space="preserve">Definitions </w:t>
      </w:r>
      <w:r>
        <w:t>a</w:t>
      </w:r>
      <w:r w:rsidRPr="00D260A8">
        <w:t>nd Interpretation</w:t>
      </w:r>
    </w:p>
    <w:p w14:paraId="632617E7" w14:textId="77777777" w:rsidR="00F67E9E" w:rsidRPr="00C30121" w:rsidRDefault="00F67E9E" w:rsidP="00F67E9E">
      <w:pPr>
        <w:pStyle w:val="StdBodyText1"/>
        <w:ind w:left="360"/>
        <w:rPr>
          <w:rFonts w:cs="Arial"/>
        </w:rPr>
      </w:pPr>
      <w:r w:rsidRPr="00C30121">
        <w:rPr>
          <w:rStyle w:val="StdBodyTextBoldChar"/>
          <w:rFonts w:eastAsiaTheme="majorEastAsia" w:cs="Arial"/>
        </w:rPr>
        <w:t>Definitions</w:t>
      </w:r>
    </w:p>
    <w:p w14:paraId="476FE3D7" w14:textId="77777777" w:rsidR="00F67E9E" w:rsidRPr="00C30121" w:rsidRDefault="00F67E9E" w:rsidP="00F67E9E">
      <w:pPr>
        <w:pStyle w:val="Numbered11"/>
      </w:pPr>
      <w:r w:rsidRPr="00C30121">
        <w:t xml:space="preserve">The </w:t>
      </w:r>
      <w:r w:rsidRPr="005D768B">
        <w:rPr>
          <w:rStyle w:val="StdBodyTextBoldChar"/>
          <w:rFonts w:eastAsiaTheme="majorEastAsia" w:cs="Arial"/>
          <w:b w:val="0"/>
          <w:bCs/>
        </w:rPr>
        <w:t>following</w:t>
      </w:r>
      <w:r w:rsidRPr="00C30121">
        <w:t xml:space="preserve"> definitions apply in this Deed:</w:t>
      </w:r>
    </w:p>
    <w:tbl>
      <w:tblPr>
        <w:tblStyle w:val="MSAdefinitions"/>
        <w:tblW w:w="9638" w:type="dxa"/>
        <w:tblLook w:val="04A0" w:firstRow="1" w:lastRow="0" w:firstColumn="1" w:lastColumn="0" w:noHBand="0" w:noVBand="1"/>
      </w:tblPr>
      <w:tblGrid>
        <w:gridCol w:w="2835"/>
        <w:gridCol w:w="6803"/>
      </w:tblGrid>
      <w:tr w:rsidR="00F67E9E" w:rsidRPr="00C30121" w14:paraId="55E1579E" w14:textId="77777777" w:rsidTr="0052486C">
        <w:tc>
          <w:tcPr>
            <w:tcW w:w="2835" w:type="dxa"/>
          </w:tcPr>
          <w:p w14:paraId="2A8490AA" w14:textId="77777777" w:rsidR="00F67E9E" w:rsidRPr="00C30121" w:rsidRDefault="00F67E9E" w:rsidP="0052486C">
            <w:pPr>
              <w:pStyle w:val="StdBodyTextBold"/>
              <w:rPr>
                <w:rFonts w:cs="Arial"/>
              </w:rPr>
            </w:pPr>
            <w:r>
              <w:rPr>
                <w:rFonts w:cs="Arial"/>
              </w:rPr>
              <w:t>“</w:t>
            </w:r>
            <w:r w:rsidRPr="00C30121">
              <w:rPr>
                <w:rFonts w:cs="Arial"/>
              </w:rPr>
              <w:t>Business Day</w:t>
            </w:r>
            <w:r>
              <w:rPr>
                <w:rFonts w:cs="Arial"/>
              </w:rPr>
              <w:t>”</w:t>
            </w:r>
          </w:p>
        </w:tc>
        <w:tc>
          <w:tcPr>
            <w:tcW w:w="6803" w:type="dxa"/>
          </w:tcPr>
          <w:p w14:paraId="3AAE9044" w14:textId="77777777" w:rsidR="00F67E9E" w:rsidRPr="00C30121" w:rsidRDefault="00F67E9E" w:rsidP="0052486C">
            <w:pPr>
              <w:pStyle w:val="StdBodyText"/>
              <w:rPr>
                <w:rFonts w:cs="Arial"/>
              </w:rPr>
            </w:pPr>
            <w:r w:rsidRPr="00C30121">
              <w:rPr>
                <w:rFonts w:cs="Arial"/>
              </w:rPr>
              <w:t>means a day, other than a Saturday, Sunday or public holiday in England, when banks in London are open for business;</w:t>
            </w:r>
          </w:p>
        </w:tc>
      </w:tr>
      <w:tr w:rsidR="00F67E9E" w:rsidRPr="00C30121" w14:paraId="2B60AA57" w14:textId="77777777" w:rsidTr="0052486C">
        <w:tc>
          <w:tcPr>
            <w:tcW w:w="2835" w:type="dxa"/>
          </w:tcPr>
          <w:p w14:paraId="40EB3D36" w14:textId="77777777" w:rsidR="00F67E9E" w:rsidRPr="00C30121" w:rsidRDefault="00F67E9E" w:rsidP="0052486C">
            <w:pPr>
              <w:pStyle w:val="StdBodyTextBold"/>
              <w:rPr>
                <w:rFonts w:cs="Arial"/>
              </w:rPr>
            </w:pPr>
            <w:r>
              <w:rPr>
                <w:rFonts w:cs="Arial"/>
              </w:rPr>
              <w:lastRenderedPageBreak/>
              <w:t>“</w:t>
            </w:r>
            <w:r w:rsidRPr="00C30121">
              <w:rPr>
                <w:rFonts w:cs="Arial"/>
              </w:rPr>
              <w:t>Control</w:t>
            </w:r>
            <w:r>
              <w:rPr>
                <w:rFonts w:cs="Arial"/>
              </w:rPr>
              <w:t>”</w:t>
            </w:r>
          </w:p>
        </w:tc>
        <w:tc>
          <w:tcPr>
            <w:tcW w:w="6803" w:type="dxa"/>
          </w:tcPr>
          <w:p w14:paraId="1B982147" w14:textId="77777777" w:rsidR="00F67E9E" w:rsidRPr="00C30121" w:rsidRDefault="00F67E9E" w:rsidP="0052486C">
            <w:pPr>
              <w:pStyle w:val="StdBodyText"/>
              <w:rPr>
                <w:rFonts w:cs="Arial"/>
              </w:rPr>
            </w:pPr>
            <w:r w:rsidRPr="00C30121">
              <w:rPr>
                <w:rFonts w:cs="Arial"/>
              </w:rPr>
              <w:t>means the power of a person to secure that the affairs of a body corporate are conducted in accordance with the wishes of that person:</w:t>
            </w:r>
          </w:p>
          <w:p w14:paraId="36416068" w14:textId="77777777" w:rsidR="00F67E9E" w:rsidRPr="005D768B" w:rsidRDefault="00F67E9E" w:rsidP="00E1349E">
            <w:pPr>
              <w:pStyle w:val="DefinitionList"/>
              <w:numPr>
                <w:ilvl w:val="0"/>
                <w:numId w:val="184"/>
              </w:numPr>
            </w:pPr>
            <w:r w:rsidRPr="00D9715E">
              <w:t xml:space="preserve">by means of the holding of shares or the possession of voting power in relation to that body or any other body </w:t>
            </w:r>
            <w:r w:rsidRPr="005D768B">
              <w:t>corporate; or</w:t>
            </w:r>
          </w:p>
          <w:p w14:paraId="051C57CB" w14:textId="77777777" w:rsidR="00F67E9E" w:rsidRPr="00C30121" w:rsidRDefault="00F67E9E" w:rsidP="00F13933">
            <w:pPr>
              <w:pStyle w:val="DefinitionList"/>
              <w:numPr>
                <w:ilvl w:val="0"/>
                <w:numId w:val="78"/>
              </w:numPr>
            </w:pPr>
            <w:r w:rsidRPr="005D768B">
              <w:t>as</w:t>
            </w:r>
            <w:r w:rsidRPr="00C30121">
              <w:t xml:space="preserve"> a result of any powers conferred by the constitutional or corporate documents, or any other document regulating that body or any other body corporate;</w:t>
            </w:r>
          </w:p>
        </w:tc>
      </w:tr>
      <w:tr w:rsidR="00F67E9E" w:rsidRPr="00025910" w14:paraId="2E55FBBA" w14:textId="77777777" w:rsidTr="0052486C">
        <w:tc>
          <w:tcPr>
            <w:tcW w:w="2835" w:type="dxa"/>
          </w:tcPr>
          <w:p w14:paraId="367389CC" w14:textId="77777777" w:rsidR="00F67E9E" w:rsidRPr="00025910" w:rsidRDefault="00F67E9E" w:rsidP="0052486C">
            <w:pPr>
              <w:pStyle w:val="StdBodyTextBold"/>
              <w:rPr>
                <w:rFonts w:cs="Arial"/>
              </w:rPr>
            </w:pPr>
            <w:r>
              <w:rPr>
                <w:rFonts w:cs="Arial"/>
              </w:rPr>
              <w:t>“</w:t>
            </w:r>
            <w:r w:rsidRPr="00025910">
              <w:rPr>
                <w:rFonts w:cs="Arial"/>
              </w:rPr>
              <w:t>Guaranteed Agreement</w:t>
            </w:r>
            <w:r>
              <w:rPr>
                <w:rFonts w:cs="Arial"/>
              </w:rPr>
              <w:t>”</w:t>
            </w:r>
          </w:p>
        </w:tc>
        <w:tc>
          <w:tcPr>
            <w:tcW w:w="6803" w:type="dxa"/>
          </w:tcPr>
          <w:p w14:paraId="097A27D0" w14:textId="24E79591" w:rsidR="00F67E9E" w:rsidRPr="00025910" w:rsidRDefault="00F67E9E" w:rsidP="0052486C">
            <w:pPr>
              <w:pStyle w:val="StdBodyText"/>
              <w:rPr>
                <w:rFonts w:cs="Arial"/>
              </w:rPr>
            </w:pPr>
            <w:r w:rsidRPr="00025910">
              <w:rPr>
                <w:rFonts w:cs="Arial"/>
              </w:rPr>
              <w:t xml:space="preserve">has the meaning given to it in Recital </w:t>
            </w:r>
            <w:r w:rsidRPr="00025910">
              <w:rPr>
                <w:rFonts w:cs="Arial"/>
              </w:rPr>
              <w:fldChar w:fldCharType="begin"/>
            </w:r>
            <w:r w:rsidRPr="00025910">
              <w:rPr>
                <w:rFonts w:cs="Arial"/>
              </w:rPr>
              <w:instrText xml:space="preserve"> REF _Ref41993548 \r \h  \* MERGEFORMAT </w:instrText>
            </w:r>
            <w:r w:rsidRPr="00025910">
              <w:rPr>
                <w:rFonts w:cs="Arial"/>
              </w:rPr>
            </w:r>
            <w:r w:rsidRPr="00025910">
              <w:rPr>
                <w:rFonts w:cs="Arial"/>
              </w:rPr>
              <w:fldChar w:fldCharType="separate"/>
            </w:r>
            <w:r w:rsidR="007A1473">
              <w:rPr>
                <w:rFonts w:cs="Arial"/>
              </w:rPr>
              <w:t>0</w:t>
            </w:r>
            <w:r w:rsidRPr="00025910">
              <w:rPr>
                <w:rFonts w:cs="Arial"/>
              </w:rPr>
              <w:fldChar w:fldCharType="end"/>
            </w:r>
            <w:r w:rsidRPr="00025910">
              <w:rPr>
                <w:rFonts w:cs="Arial"/>
              </w:rPr>
              <w:t>;</w:t>
            </w:r>
          </w:p>
        </w:tc>
      </w:tr>
      <w:tr w:rsidR="00F67E9E" w:rsidRPr="00025910" w14:paraId="3E016711" w14:textId="77777777" w:rsidTr="0052486C">
        <w:tc>
          <w:tcPr>
            <w:tcW w:w="2835" w:type="dxa"/>
          </w:tcPr>
          <w:p w14:paraId="33A6EC02" w14:textId="77777777" w:rsidR="00F67E9E" w:rsidRPr="00025910" w:rsidRDefault="00F67E9E" w:rsidP="0052486C">
            <w:pPr>
              <w:pStyle w:val="StdBodyTextBold"/>
              <w:rPr>
                <w:rFonts w:cs="Arial"/>
              </w:rPr>
            </w:pPr>
            <w:r>
              <w:rPr>
                <w:rFonts w:cs="Arial"/>
              </w:rPr>
              <w:t>“</w:t>
            </w:r>
            <w:r w:rsidRPr="00025910">
              <w:rPr>
                <w:rFonts w:cs="Arial"/>
              </w:rPr>
              <w:t>Guaranteed Obligations</w:t>
            </w:r>
            <w:r>
              <w:rPr>
                <w:rFonts w:cs="Arial"/>
              </w:rPr>
              <w:t>”</w:t>
            </w:r>
          </w:p>
        </w:tc>
        <w:tc>
          <w:tcPr>
            <w:tcW w:w="6803" w:type="dxa"/>
          </w:tcPr>
          <w:p w14:paraId="25B8CF9C" w14:textId="340AB6D2" w:rsidR="00F67E9E" w:rsidRPr="00025910" w:rsidRDefault="00F67E9E" w:rsidP="0052486C">
            <w:pPr>
              <w:pStyle w:val="StdBodyText"/>
              <w:rPr>
                <w:rFonts w:cs="Arial"/>
              </w:rPr>
            </w:pPr>
            <w:r w:rsidRPr="00025910">
              <w:rPr>
                <w:rFonts w:cs="Arial"/>
              </w:rPr>
              <w:t xml:space="preserve">has the meaning given to it in </w:t>
            </w:r>
            <w:bookmarkStart w:id="2524" w:name="_9kMHG5YVtCIC9DJHDmf0vturB3p4KHICySdTHDO"/>
            <w:bookmarkStart w:id="2525" w:name="_9kMHG5YVtCJD9FKGDmf0vturB3p4KHICySdTHDO"/>
            <w:r w:rsidRPr="00025910">
              <w:rPr>
                <w:rFonts w:cs="Arial"/>
              </w:rPr>
              <w:t xml:space="preserve">Clause </w:t>
            </w:r>
            <w:r w:rsidRPr="00025910">
              <w:rPr>
                <w:rFonts w:cs="Arial"/>
              </w:rPr>
              <w:fldChar w:fldCharType="begin"/>
            </w:r>
            <w:r w:rsidRPr="00025910">
              <w:rPr>
                <w:rFonts w:cs="Arial"/>
              </w:rPr>
              <w:instrText xml:space="preserve"> REF _Ref_ContractCompanion_9kb9Ut37B \w \h \t \* MERGEFORMAT </w:instrText>
            </w:r>
            <w:r w:rsidRPr="00025910">
              <w:rPr>
                <w:rFonts w:cs="Arial"/>
              </w:rPr>
            </w:r>
            <w:r w:rsidRPr="00025910">
              <w:rPr>
                <w:rFonts w:cs="Arial"/>
              </w:rPr>
              <w:fldChar w:fldCharType="separate"/>
            </w:r>
            <w:r w:rsidR="007A1473">
              <w:rPr>
                <w:rFonts w:cs="Arial"/>
              </w:rPr>
              <w:t>2.1.1</w:t>
            </w:r>
            <w:r w:rsidRPr="00025910">
              <w:rPr>
                <w:rFonts w:cs="Arial"/>
              </w:rPr>
              <w:fldChar w:fldCharType="end"/>
            </w:r>
            <w:bookmarkEnd w:id="2524"/>
            <w:bookmarkEnd w:id="2525"/>
            <w:r w:rsidRPr="00025910">
              <w:rPr>
                <w:rFonts w:cs="Arial"/>
              </w:rPr>
              <w:t>;</w:t>
            </w:r>
          </w:p>
        </w:tc>
      </w:tr>
      <w:tr w:rsidR="00F67E9E" w:rsidRPr="00025910" w14:paraId="7518C5B8" w14:textId="77777777" w:rsidTr="0052486C">
        <w:tc>
          <w:tcPr>
            <w:tcW w:w="2835" w:type="dxa"/>
          </w:tcPr>
          <w:p w14:paraId="56DBD762" w14:textId="77777777" w:rsidR="00F67E9E" w:rsidRPr="00025910" w:rsidRDefault="00F67E9E" w:rsidP="0052486C">
            <w:pPr>
              <w:pStyle w:val="StdBodyTextBold"/>
              <w:rPr>
                <w:rFonts w:cs="Arial"/>
              </w:rPr>
            </w:pPr>
            <w:r>
              <w:rPr>
                <w:rFonts w:cs="Arial"/>
              </w:rPr>
              <w:t>“</w:t>
            </w:r>
            <w:r w:rsidRPr="00025910">
              <w:rPr>
                <w:rFonts w:cs="Arial"/>
              </w:rPr>
              <w:t>Supplier</w:t>
            </w:r>
            <w:r>
              <w:rPr>
                <w:rFonts w:cs="Arial"/>
              </w:rPr>
              <w:t>”</w:t>
            </w:r>
          </w:p>
        </w:tc>
        <w:tc>
          <w:tcPr>
            <w:tcW w:w="6803" w:type="dxa"/>
          </w:tcPr>
          <w:p w14:paraId="4AE2AD22" w14:textId="1180FFB8" w:rsidR="00F67E9E" w:rsidRPr="00025910" w:rsidRDefault="00F67E9E" w:rsidP="0052486C">
            <w:pPr>
              <w:pStyle w:val="StdBodyText"/>
              <w:rPr>
                <w:rFonts w:cs="Arial"/>
              </w:rPr>
            </w:pPr>
            <w:r w:rsidRPr="00025910">
              <w:rPr>
                <w:rFonts w:cs="Arial"/>
              </w:rPr>
              <w:t xml:space="preserve">has the meaning given to it in Recital </w:t>
            </w:r>
            <w:r>
              <w:rPr>
                <w:rFonts w:cs="Arial"/>
              </w:rPr>
              <w:fldChar w:fldCharType="begin"/>
            </w:r>
            <w:r>
              <w:rPr>
                <w:rFonts w:cs="Arial"/>
              </w:rPr>
              <w:instrText xml:space="preserve"> REF recitalASch30 \h </w:instrText>
            </w:r>
            <w:r>
              <w:rPr>
                <w:rFonts w:cs="Arial"/>
              </w:rPr>
            </w:r>
            <w:r>
              <w:rPr>
                <w:rFonts w:cs="Arial"/>
              </w:rPr>
              <w:fldChar w:fldCharType="separate"/>
            </w:r>
            <w:r w:rsidR="007A1473">
              <w:rPr>
                <w:rFonts w:cs="Arial"/>
              </w:rPr>
              <w:t>(A)</w:t>
            </w:r>
            <w:r>
              <w:rPr>
                <w:rFonts w:cs="Arial"/>
              </w:rPr>
              <w:fldChar w:fldCharType="end"/>
            </w:r>
            <w:r w:rsidRPr="00025910">
              <w:rPr>
                <w:rFonts w:cs="Arial"/>
              </w:rPr>
              <w:t>;</w:t>
            </w:r>
          </w:p>
        </w:tc>
      </w:tr>
      <w:tr w:rsidR="00F67E9E" w:rsidRPr="00025910" w14:paraId="530A7CA0" w14:textId="77777777" w:rsidTr="0052486C">
        <w:tc>
          <w:tcPr>
            <w:tcW w:w="2835" w:type="dxa"/>
          </w:tcPr>
          <w:p w14:paraId="526611EA" w14:textId="77777777" w:rsidR="00F67E9E" w:rsidRPr="00025910" w:rsidRDefault="00F67E9E" w:rsidP="0052486C">
            <w:pPr>
              <w:pStyle w:val="StdBodyTextBold"/>
              <w:rPr>
                <w:rFonts w:cs="Arial"/>
              </w:rPr>
            </w:pPr>
            <w:r>
              <w:rPr>
                <w:rFonts w:cs="Arial"/>
              </w:rPr>
              <w:t>“</w:t>
            </w:r>
            <w:r w:rsidRPr="00025910">
              <w:rPr>
                <w:rFonts w:cs="Arial"/>
              </w:rPr>
              <w:t>VAT</w:t>
            </w:r>
            <w:r>
              <w:rPr>
                <w:rFonts w:cs="Arial"/>
              </w:rPr>
              <w:t>”</w:t>
            </w:r>
          </w:p>
        </w:tc>
        <w:tc>
          <w:tcPr>
            <w:tcW w:w="6803" w:type="dxa"/>
          </w:tcPr>
          <w:p w14:paraId="30CA1167" w14:textId="77777777" w:rsidR="00F67E9E" w:rsidRPr="00025910" w:rsidRDefault="00F67E9E" w:rsidP="0052486C">
            <w:pPr>
              <w:pStyle w:val="StdBodyText"/>
              <w:rPr>
                <w:rFonts w:cs="Arial"/>
              </w:rPr>
            </w:pPr>
            <w:r w:rsidRPr="00025910">
              <w:rPr>
                <w:rFonts w:cs="Arial"/>
              </w:rPr>
              <w:t>means value added tax or any equivalent tax chargeable in the UK or elsewhere.</w:t>
            </w:r>
          </w:p>
        </w:tc>
      </w:tr>
    </w:tbl>
    <w:p w14:paraId="545BE8A8" w14:textId="77777777" w:rsidR="00F67E9E" w:rsidRPr="00025910" w:rsidRDefault="00F67E9E" w:rsidP="00F67E9E">
      <w:pPr>
        <w:pStyle w:val="StdBodyText1"/>
        <w:ind w:left="360"/>
        <w:rPr>
          <w:rFonts w:cs="Arial"/>
        </w:rPr>
      </w:pPr>
      <w:r w:rsidRPr="00025910">
        <w:rPr>
          <w:rStyle w:val="StdBodyTextBoldChar"/>
          <w:rFonts w:eastAsiaTheme="majorEastAsia" w:cs="Arial"/>
        </w:rPr>
        <w:t>Interpretation</w:t>
      </w:r>
    </w:p>
    <w:p w14:paraId="64F94966" w14:textId="77777777" w:rsidR="00F67E9E" w:rsidRPr="00025910" w:rsidRDefault="00F67E9E" w:rsidP="00F67E9E">
      <w:pPr>
        <w:pStyle w:val="Numbered11"/>
      </w:pPr>
      <w:r w:rsidRPr="00025910">
        <w:t>Unless otherwise stated, any reference in this Deed to:</w:t>
      </w:r>
    </w:p>
    <w:p w14:paraId="4A81BC20" w14:textId="77777777" w:rsidR="00F67E9E" w:rsidRPr="00025910" w:rsidRDefault="00F67E9E" w:rsidP="00F67E9E">
      <w:pPr>
        <w:pStyle w:val="Numbered111"/>
      </w:pPr>
      <w:r w:rsidRPr="00025910">
        <w:t xml:space="preserve">the </w:t>
      </w:r>
      <w:r>
        <w:t>“</w:t>
      </w:r>
      <w:r w:rsidRPr="00025910">
        <w:t>Guarantor</w:t>
      </w:r>
      <w:r>
        <w:t>”</w:t>
      </w:r>
      <w:r w:rsidRPr="00025910">
        <w:t xml:space="preserve">, the </w:t>
      </w:r>
      <w:r>
        <w:t>“</w:t>
      </w:r>
      <w:r w:rsidRPr="00025910">
        <w:t>Authority</w:t>
      </w:r>
      <w:r>
        <w:t>”</w:t>
      </w:r>
      <w:r w:rsidRPr="00025910">
        <w:t xml:space="preserve">, the </w:t>
      </w:r>
      <w:r>
        <w:t>“</w:t>
      </w:r>
      <w:r w:rsidRPr="00025910">
        <w:t>Supplier</w:t>
      </w:r>
      <w:r>
        <w:t>”</w:t>
      </w:r>
      <w:r w:rsidRPr="00025910">
        <w:t xml:space="preserve"> or any other person shall be construed so as to include their successors in title, permitted assigns and permitted transferees, whether direct or indirect;</w:t>
      </w:r>
    </w:p>
    <w:p w14:paraId="6E1AEAF1" w14:textId="77777777" w:rsidR="00F67E9E" w:rsidRPr="00025910" w:rsidRDefault="00F67E9E" w:rsidP="00F67E9E">
      <w:pPr>
        <w:pStyle w:val="Numbered111"/>
      </w:pPr>
      <w:r>
        <w:t>“</w:t>
      </w:r>
      <w:r w:rsidRPr="00025910">
        <w:t>assets</w:t>
      </w:r>
      <w:r>
        <w:t>”</w:t>
      </w:r>
      <w:r w:rsidRPr="00025910">
        <w:t xml:space="preserve"> includes present and future properties, revenues and rights of every description;</w:t>
      </w:r>
    </w:p>
    <w:p w14:paraId="19B41F28" w14:textId="77777777" w:rsidR="00F67E9E" w:rsidRPr="00025910" w:rsidRDefault="00F67E9E" w:rsidP="00F67E9E">
      <w:pPr>
        <w:pStyle w:val="Numbered111"/>
      </w:pPr>
      <w:r w:rsidRPr="00025910">
        <w:t xml:space="preserve">this </w:t>
      </w:r>
      <w:r>
        <w:t>“</w:t>
      </w:r>
      <w:r w:rsidRPr="00025910">
        <w:t>Deed</w:t>
      </w:r>
      <w:r>
        <w:t>”</w:t>
      </w:r>
      <w:r w:rsidRPr="00025910">
        <w:t xml:space="preserve">, or any other agreement or instrument is a reference to, this deed or other agreement or instrument as amended, novated, supplemented, extended or restated; </w:t>
      </w:r>
    </w:p>
    <w:p w14:paraId="2E1C01E5" w14:textId="77777777" w:rsidR="00F67E9E" w:rsidRPr="00025910" w:rsidRDefault="00F67E9E" w:rsidP="00F67E9E">
      <w:pPr>
        <w:pStyle w:val="Numbered111"/>
      </w:pPr>
      <w:r>
        <w:t>“</w:t>
      </w:r>
      <w:r w:rsidRPr="00025910">
        <w:t>indebtedness</w:t>
      </w:r>
      <w:r>
        <w:t>”</w:t>
      </w:r>
      <w:r w:rsidRPr="00025910">
        <w:t xml:space="preserve"> includes any obligation (whether incurred as principal or as surety) for the payment or repayment of money, whether present or future, actual or contingent;</w:t>
      </w:r>
    </w:p>
    <w:p w14:paraId="03818929" w14:textId="77777777" w:rsidR="00F67E9E" w:rsidRPr="00025910" w:rsidRDefault="00F67E9E" w:rsidP="00F67E9E">
      <w:pPr>
        <w:pStyle w:val="Numbered111"/>
      </w:pPr>
      <w:r w:rsidRPr="00025910">
        <w:t xml:space="preserve">a </w:t>
      </w:r>
      <w:r>
        <w:t>“</w:t>
      </w:r>
      <w:r w:rsidRPr="00025910">
        <w:t>person</w:t>
      </w:r>
      <w:r>
        <w:t>”</w:t>
      </w:r>
      <w:r w:rsidRPr="00025910">
        <w:t xml:space="preserve"> includes any individual, firm, company, corporation, government, state or agency of a state or any association, trust, joint venture, consortium, partnership or other entity (whether or not having separate legal personality); </w:t>
      </w:r>
    </w:p>
    <w:p w14:paraId="1B778AA4" w14:textId="77777777" w:rsidR="00F67E9E" w:rsidRPr="00025910" w:rsidRDefault="00F67E9E" w:rsidP="00F67E9E">
      <w:pPr>
        <w:pStyle w:val="Numbered111"/>
      </w:pPr>
      <w:r w:rsidRPr="00025910">
        <w:t xml:space="preserve">the words </w:t>
      </w:r>
      <w:r>
        <w:t>“</w:t>
      </w:r>
      <w:r w:rsidRPr="00025910">
        <w:t>including</w:t>
      </w:r>
      <w:r>
        <w:t>”</w:t>
      </w:r>
      <w:r w:rsidRPr="00025910">
        <w:t xml:space="preserve">, </w:t>
      </w:r>
      <w:r>
        <w:t>“</w:t>
      </w:r>
      <w:r w:rsidRPr="00025910">
        <w:t>includes</w:t>
      </w:r>
      <w:r>
        <w:t>”</w:t>
      </w:r>
      <w:r w:rsidRPr="00025910">
        <w:t xml:space="preserve">, </w:t>
      </w:r>
      <w:r>
        <w:t>“</w:t>
      </w:r>
      <w:r w:rsidRPr="00025910">
        <w:t>in particular</w:t>
      </w:r>
      <w:r>
        <w:t>”</w:t>
      </w:r>
      <w:r w:rsidRPr="00025910">
        <w:t xml:space="preserve">, </w:t>
      </w:r>
      <w:r>
        <w:t>“</w:t>
      </w:r>
      <w:r w:rsidRPr="00025910">
        <w:t>for example</w:t>
      </w:r>
      <w:r>
        <w:t>”</w:t>
      </w:r>
      <w:r w:rsidRPr="00025910">
        <w:t xml:space="preserve"> or similar shall be construed as illustrative and without limitation to the generality of the related general words; and</w:t>
      </w:r>
    </w:p>
    <w:p w14:paraId="540E7784" w14:textId="77777777" w:rsidR="00F67E9E" w:rsidRPr="00025910" w:rsidRDefault="00F67E9E" w:rsidP="00F67E9E">
      <w:pPr>
        <w:pStyle w:val="Numbered111"/>
      </w:pPr>
      <w:r w:rsidRPr="00025910">
        <w:t>a time of day is a reference to London time.</w:t>
      </w:r>
    </w:p>
    <w:p w14:paraId="4A0BD6CC" w14:textId="77777777" w:rsidR="00F67E9E" w:rsidRPr="00025910" w:rsidRDefault="00F67E9E" w:rsidP="00E1349E">
      <w:pPr>
        <w:pStyle w:val="Numbered1"/>
        <w:numPr>
          <w:ilvl w:val="0"/>
          <w:numId w:val="183"/>
        </w:numPr>
      </w:pPr>
      <w:r w:rsidRPr="00025910">
        <w:lastRenderedPageBreak/>
        <w:t xml:space="preserve">Guarantee </w:t>
      </w:r>
      <w:r>
        <w:t>a</w:t>
      </w:r>
      <w:r w:rsidRPr="00025910">
        <w:t>nd Indemnity</w:t>
      </w:r>
    </w:p>
    <w:p w14:paraId="433C33C4" w14:textId="77777777" w:rsidR="00F67E9E" w:rsidRPr="00025910" w:rsidRDefault="00F67E9E" w:rsidP="00F67E9E">
      <w:pPr>
        <w:pStyle w:val="Numbered11"/>
      </w:pPr>
      <w:bookmarkStart w:id="2526" w:name="_9kR3WTrAGA7DLHBdRjJUvturBDC"/>
      <w:bookmarkStart w:id="2527" w:name="_Ref_ContractCompanion_9kb9Ut39F"/>
      <w:r w:rsidRPr="00025910">
        <w:t>The Guarantor:</w:t>
      </w:r>
      <w:bookmarkEnd w:id="2526"/>
      <w:r w:rsidRPr="00025910">
        <w:t xml:space="preserve"> </w:t>
      </w:r>
      <w:bookmarkEnd w:id="2527"/>
    </w:p>
    <w:p w14:paraId="779AB001" w14:textId="77777777" w:rsidR="00F67E9E" w:rsidRPr="00025910" w:rsidRDefault="00F67E9E" w:rsidP="00F67E9E">
      <w:pPr>
        <w:pStyle w:val="Numbered111"/>
      </w:pPr>
      <w:bookmarkStart w:id="2528" w:name="_9kR3WTrAGA7BHFBkdytrsp91n2IFGAwQbRFBMHK"/>
      <w:bookmarkStart w:id="2529" w:name="_9kR3WTrAHB7DIEBkdytrsp91n2IFGAwQbRFBMHK"/>
      <w:bookmarkStart w:id="2530" w:name="_Ref_ContractCompanion_9kb9Ut37B"/>
      <w:r w:rsidRPr="00025910">
        <w:t>guarantees to the Authority the due and punctual performance of all of the Supplier</w:t>
      </w:r>
      <w:r>
        <w:t>’</w:t>
      </w:r>
      <w:r w:rsidRPr="00025910">
        <w:t xml:space="preserve">s present and future obligations under and in connection with the Guaranteed Agreement if and when they become due and performable in accordance with the terms of the Guaranteed Agreement (the </w:t>
      </w:r>
      <w:r>
        <w:t>“</w:t>
      </w:r>
      <w:r w:rsidRPr="00025910">
        <w:rPr>
          <w:rStyle w:val="StdBodyTextBoldChar"/>
          <w:rFonts w:eastAsiaTheme="majorEastAsia" w:cs="Arial"/>
        </w:rPr>
        <w:t>Guaranteed Obligations</w:t>
      </w:r>
      <w:r>
        <w:t>”</w:t>
      </w:r>
      <w:r w:rsidRPr="00025910">
        <w:t>);</w:t>
      </w:r>
      <w:bookmarkEnd w:id="2528"/>
      <w:bookmarkEnd w:id="2529"/>
      <w:r w:rsidRPr="00025910">
        <w:t xml:space="preserve"> </w:t>
      </w:r>
      <w:bookmarkEnd w:id="2530"/>
    </w:p>
    <w:p w14:paraId="045F1359" w14:textId="77777777" w:rsidR="00F67E9E" w:rsidRPr="00025910" w:rsidRDefault="00F67E9E" w:rsidP="00F67E9E">
      <w:pPr>
        <w:pStyle w:val="Numbered111"/>
      </w:pPr>
      <w:r w:rsidRPr="00025910">
        <w:t>shall pay to the Authority from time to time on demand all monies (together with interest on such sum accrued before and after the date of demand until the date of payment) that have become payable by the Supplier to the Authority under or in connection with the Guaranteed Agreement but which has not been paid at the time the demand is made; and</w:t>
      </w:r>
    </w:p>
    <w:p w14:paraId="4E75EFE8" w14:textId="77777777" w:rsidR="00F67E9E" w:rsidRPr="00025910" w:rsidRDefault="00F67E9E" w:rsidP="00F67E9E">
      <w:pPr>
        <w:pStyle w:val="Numbered111"/>
      </w:pPr>
      <w:r w:rsidRPr="00025910">
        <w:t>shall, if the Supplier fails to perform in full and on time any of the Guaranteed Obligations and upon written notice from the Authority, immediately on demand perform or procure performance of the same at the Guarantor</w:t>
      </w:r>
      <w:r>
        <w:t>’</w:t>
      </w:r>
      <w:r w:rsidRPr="00025910">
        <w:t>s own expense.</w:t>
      </w:r>
    </w:p>
    <w:p w14:paraId="1D81886D" w14:textId="328693F9" w:rsidR="00F67E9E" w:rsidRPr="00025910" w:rsidRDefault="00F67E9E" w:rsidP="00F67E9E">
      <w:pPr>
        <w:pStyle w:val="Numbered11"/>
      </w:pPr>
      <w:bookmarkStart w:id="2531" w:name="_9kR3WTrAGA7ABACeRjJUvturBDCz1HHB83zD63I"/>
      <w:bookmarkStart w:id="2532" w:name="_Ref_ContractCompanion_9kb9Ut35E"/>
      <w:r w:rsidRPr="00025910">
        <w:t xml:space="preserve">The Guarantor, as principal obligor and as a separate and independent obligation and liability from its obligations and liabilities under </w:t>
      </w:r>
      <w:bookmarkStart w:id="2533" w:name="_9kMHG5YVtCIC9FNJDfTlLWxvwtDFE"/>
      <w:r w:rsidRPr="00025910">
        <w:t xml:space="preserve">Clause </w:t>
      </w:r>
      <w:r w:rsidRPr="00025910">
        <w:fldChar w:fldCharType="begin"/>
      </w:r>
      <w:r w:rsidRPr="00025910">
        <w:instrText xml:space="preserve"> REF _Ref_ContractCompanion_9kb9Ut39F \n \h \t \* MERGEFORMAT </w:instrText>
      </w:r>
      <w:r w:rsidRPr="00025910">
        <w:fldChar w:fldCharType="separate"/>
      </w:r>
      <w:r w:rsidR="007A1473">
        <w:t>2.1</w:t>
      </w:r>
      <w:r w:rsidRPr="00025910">
        <w:fldChar w:fldCharType="end"/>
      </w:r>
      <w:bookmarkEnd w:id="2533"/>
      <w:r w:rsidRPr="00025910">
        <w:t>, shall indemnify and keep indemnified the Authority in full and on demand from and against all and any losses, damages, costs and expenses suffered or incurred by the Authority arising out of, or in connection with:</w:t>
      </w:r>
      <w:bookmarkEnd w:id="2531"/>
      <w:r w:rsidRPr="00025910">
        <w:t xml:space="preserve"> </w:t>
      </w:r>
      <w:bookmarkEnd w:id="2532"/>
    </w:p>
    <w:p w14:paraId="0D5B7BB7" w14:textId="77777777" w:rsidR="00F67E9E" w:rsidRPr="00025910" w:rsidRDefault="00F67E9E" w:rsidP="00F67E9E">
      <w:pPr>
        <w:pStyle w:val="Numbered111"/>
      </w:pPr>
      <w:r w:rsidRPr="00025910">
        <w:t xml:space="preserve">any failure by the Supplier to perform or discharge the Guaranteed Obligations; or </w:t>
      </w:r>
    </w:p>
    <w:p w14:paraId="09A5E537" w14:textId="77777777" w:rsidR="00F67E9E" w:rsidRPr="00025910" w:rsidRDefault="00F67E9E" w:rsidP="00F67E9E">
      <w:pPr>
        <w:pStyle w:val="Numbered111"/>
      </w:pPr>
      <w:r w:rsidRPr="00025910">
        <w:t>any of the Guaranteed Obligations being or becoming wholly or partially unenforceable for any reason,</w:t>
      </w:r>
    </w:p>
    <w:p w14:paraId="3C571844" w14:textId="65830370" w:rsidR="00F67E9E" w:rsidRPr="00025910" w:rsidRDefault="00F67E9E" w:rsidP="00F67E9E">
      <w:pPr>
        <w:pStyle w:val="Numbered111"/>
      </w:pPr>
      <w:r w:rsidRPr="00025910">
        <w:t>provided that the Guarantor</w:t>
      </w:r>
      <w:r>
        <w:t>’</w:t>
      </w:r>
      <w:r w:rsidRPr="00025910">
        <w:t xml:space="preserve">s liability under this </w:t>
      </w:r>
      <w:bookmarkStart w:id="2534" w:name="_9kMHG5YVtCIC9CDCEgTlLWxvwtDFE13JJDA51F8"/>
      <w:r w:rsidRPr="00025910">
        <w:t xml:space="preserve">Clause </w:t>
      </w:r>
      <w:r w:rsidRPr="00025910">
        <w:fldChar w:fldCharType="begin"/>
      </w:r>
      <w:r w:rsidRPr="00025910">
        <w:instrText xml:space="preserve"> REF _Ref_ContractCompanion_9kb9Ut35E \n \h \t \* MERGEFORMAT </w:instrText>
      </w:r>
      <w:r w:rsidRPr="00025910">
        <w:fldChar w:fldCharType="separate"/>
      </w:r>
      <w:r w:rsidR="007A1473">
        <w:t>2.2</w:t>
      </w:r>
      <w:r w:rsidRPr="00025910">
        <w:fldChar w:fldCharType="end"/>
      </w:r>
      <w:bookmarkEnd w:id="2534"/>
      <w:r w:rsidRPr="00025910">
        <w:t xml:space="preserve"> shall be no greater than the Supplier</w:t>
      </w:r>
      <w:r>
        <w:t>’</w:t>
      </w:r>
      <w:r w:rsidRPr="00025910">
        <w:t>s liability under the Guaranteed Agreement was (or would have been had the relevant Guaranteed Obligation been fully enforceable).</w:t>
      </w:r>
    </w:p>
    <w:p w14:paraId="744AC5C3" w14:textId="77777777" w:rsidR="00F67E9E" w:rsidRPr="00025910" w:rsidRDefault="00F67E9E" w:rsidP="00E1349E">
      <w:pPr>
        <w:pStyle w:val="Numbered1"/>
        <w:numPr>
          <w:ilvl w:val="0"/>
          <w:numId w:val="183"/>
        </w:numPr>
      </w:pPr>
      <w:r w:rsidRPr="00025910">
        <w:t>Authority Protections</w:t>
      </w:r>
    </w:p>
    <w:p w14:paraId="7391BA9B" w14:textId="77777777" w:rsidR="00F67E9E" w:rsidRPr="00025910" w:rsidRDefault="00F67E9E" w:rsidP="00F67E9E">
      <w:pPr>
        <w:pStyle w:val="StdBodyText1"/>
        <w:rPr>
          <w:rFonts w:cs="Arial"/>
        </w:rPr>
      </w:pPr>
      <w:r w:rsidRPr="00025910">
        <w:rPr>
          <w:rStyle w:val="StdBodyTextBoldChar"/>
          <w:rFonts w:eastAsiaTheme="majorEastAsia" w:cs="Arial"/>
        </w:rPr>
        <w:t>Continuing</w:t>
      </w:r>
      <w:r w:rsidRPr="00025910">
        <w:rPr>
          <w:rFonts w:cs="Arial"/>
        </w:rPr>
        <w:t xml:space="preserve"> </w:t>
      </w:r>
      <w:r w:rsidRPr="00025910">
        <w:rPr>
          <w:rStyle w:val="StdBodyTextBoldChar"/>
          <w:rFonts w:eastAsiaTheme="majorEastAsia" w:cs="Arial"/>
        </w:rPr>
        <w:t>Guarantee</w:t>
      </w:r>
    </w:p>
    <w:p w14:paraId="38B0B463" w14:textId="77777777" w:rsidR="00F67E9E" w:rsidRPr="00025910" w:rsidRDefault="00F67E9E" w:rsidP="00F67E9E">
      <w:pPr>
        <w:pStyle w:val="Numbered11"/>
      </w:pPr>
      <w:r w:rsidRPr="00025910">
        <w:t>This Deed is, and shall at all times be, a continuing and irrevocable security until the Guaranteed Obligations have been satisfied or performed in full, and is in addition to and not in substitution for and shall not merge with any other right, remedy, guarantee or security which the Authority may at any time hold for the performance of the Guaranteed Obligations and may be enforced without first having recourse to any such security.</w:t>
      </w:r>
    </w:p>
    <w:p w14:paraId="6E04F8FA" w14:textId="77777777" w:rsidR="00F67E9E" w:rsidRPr="00025910" w:rsidRDefault="00F67E9E" w:rsidP="00F67E9E">
      <w:pPr>
        <w:pStyle w:val="StdBodyText1"/>
        <w:rPr>
          <w:rFonts w:cs="Arial"/>
        </w:rPr>
      </w:pPr>
      <w:r w:rsidRPr="00025910">
        <w:rPr>
          <w:rStyle w:val="StdBodyTextBoldChar"/>
          <w:rFonts w:eastAsiaTheme="majorEastAsia" w:cs="Arial"/>
        </w:rPr>
        <w:t>Preservation of the Guarantor</w:t>
      </w:r>
      <w:r>
        <w:rPr>
          <w:rStyle w:val="StdBodyTextBoldChar"/>
          <w:rFonts w:eastAsiaTheme="majorEastAsia" w:cs="Arial"/>
        </w:rPr>
        <w:t>’</w:t>
      </w:r>
      <w:r w:rsidRPr="00025910">
        <w:rPr>
          <w:rStyle w:val="StdBodyTextBoldChar"/>
          <w:rFonts w:eastAsiaTheme="majorEastAsia" w:cs="Arial"/>
        </w:rPr>
        <w:t>s</w:t>
      </w:r>
      <w:r w:rsidRPr="00025910">
        <w:rPr>
          <w:rFonts w:cs="Arial"/>
        </w:rPr>
        <w:t xml:space="preserve"> </w:t>
      </w:r>
      <w:r w:rsidRPr="00025910">
        <w:rPr>
          <w:rStyle w:val="StdBodyTextBoldChar"/>
          <w:rFonts w:eastAsiaTheme="majorEastAsia" w:cs="Arial"/>
        </w:rPr>
        <w:t>liability</w:t>
      </w:r>
    </w:p>
    <w:p w14:paraId="4FD085CE" w14:textId="77777777" w:rsidR="00F67E9E" w:rsidRPr="00025910" w:rsidRDefault="00F67E9E" w:rsidP="00F67E9E">
      <w:pPr>
        <w:pStyle w:val="Numbered11"/>
      </w:pPr>
      <w:r w:rsidRPr="00025910">
        <w:t>The Guarantor</w:t>
      </w:r>
      <w:r>
        <w:t>’</w:t>
      </w:r>
      <w:r w:rsidRPr="00025910">
        <w:t>s liability under this Deed shall not be reduced, discharged or otherwise adversely affected by:</w:t>
      </w:r>
    </w:p>
    <w:p w14:paraId="0DAA1AC3" w14:textId="77777777" w:rsidR="00F67E9E" w:rsidRPr="00025910" w:rsidRDefault="00F67E9E" w:rsidP="00F67E9E">
      <w:pPr>
        <w:pStyle w:val="Numbered111"/>
      </w:pPr>
      <w:r w:rsidRPr="00025910">
        <w:t xml:space="preserve">any arrangement made between the Supplier and the Authority; </w:t>
      </w:r>
    </w:p>
    <w:p w14:paraId="51D16608" w14:textId="77777777" w:rsidR="00F67E9E" w:rsidRPr="00025910" w:rsidRDefault="00F67E9E" w:rsidP="00F67E9E">
      <w:pPr>
        <w:pStyle w:val="Numbered111"/>
      </w:pPr>
      <w:r w:rsidRPr="00025910">
        <w:t xml:space="preserve">any partial performance (except to the extent of such partial performance) by </w:t>
      </w:r>
      <w:r w:rsidRPr="00025910">
        <w:lastRenderedPageBreak/>
        <w:t xml:space="preserve">the Supplier of the Guaranteed Obligations; </w:t>
      </w:r>
    </w:p>
    <w:p w14:paraId="69442DC6" w14:textId="2CEBC40D" w:rsidR="00F67E9E" w:rsidRPr="00025910" w:rsidRDefault="00F67E9E" w:rsidP="00F67E9E">
      <w:pPr>
        <w:pStyle w:val="Numbered111"/>
      </w:pPr>
      <w:r w:rsidRPr="00025910">
        <w:t xml:space="preserve">any alteration in the obligations undertaken by the Supplier whether by way of any variation referred to in </w:t>
      </w:r>
      <w:bookmarkStart w:id="2535" w:name="_9kMHG5YVtCIBBBAdLhkhy7s9JVhu85EyAJFLMFL"/>
      <w:r w:rsidRPr="00025910">
        <w:t xml:space="preserve">Clause </w:t>
      </w:r>
      <w:r w:rsidRPr="00025910">
        <w:fldChar w:fldCharType="begin"/>
      </w:r>
      <w:r w:rsidRPr="00025910">
        <w:instrText xml:space="preserve"> REF _Ref_ContractCompanion_9kb9Us552 \w \n \h \t \* MERGEFORMAT </w:instrText>
      </w:r>
      <w:r w:rsidRPr="00025910">
        <w:fldChar w:fldCharType="separate"/>
      </w:r>
      <w:r w:rsidR="007A1473">
        <w:t>4</w:t>
      </w:r>
      <w:r w:rsidRPr="00025910">
        <w:fldChar w:fldCharType="end"/>
      </w:r>
      <w:bookmarkEnd w:id="2535"/>
      <w:r w:rsidRPr="00025910">
        <w:t xml:space="preserve"> or otherwise; </w:t>
      </w:r>
    </w:p>
    <w:p w14:paraId="779D0235" w14:textId="77777777" w:rsidR="00F67E9E" w:rsidRPr="00025910" w:rsidRDefault="00F67E9E" w:rsidP="00F67E9E">
      <w:pPr>
        <w:pStyle w:val="Numbered111"/>
      </w:pPr>
      <w:r w:rsidRPr="00025910">
        <w:t>any waiver or forbearance by the Authority whether as to payment, time, performance or otherwise;</w:t>
      </w:r>
    </w:p>
    <w:p w14:paraId="5D6AA011" w14:textId="77777777" w:rsidR="00F67E9E" w:rsidRPr="00025910" w:rsidRDefault="00F67E9E" w:rsidP="00F67E9E">
      <w:pPr>
        <w:pStyle w:val="Numbered111"/>
      </w:pPr>
      <w:r w:rsidRPr="00025910">
        <w:t>the taking, variation, renewal or release of, the enforcement or neglect to perfect or enforce any right, guarantee, remedy or security from or against the Supplier or any other person;</w:t>
      </w:r>
    </w:p>
    <w:p w14:paraId="5E8B8CE8" w14:textId="77777777" w:rsidR="00F67E9E" w:rsidRPr="00025910" w:rsidRDefault="00F67E9E" w:rsidP="00F67E9E">
      <w:pPr>
        <w:pStyle w:val="Numbered111"/>
      </w:pPr>
      <w:r w:rsidRPr="00025910">
        <w:t>any unenforceability, illegality or invalidity of any of the provisions of the Guaranteed Agreement or any of the Supplier</w:t>
      </w:r>
      <w:r>
        <w:t>’</w:t>
      </w:r>
      <w:r w:rsidRPr="00025910">
        <w:t>s obligations under the Guaranteed Agreement, so that this Deed shall be construed as if there were no such unenforceability, illegality or invalidity;</w:t>
      </w:r>
    </w:p>
    <w:p w14:paraId="2AA98D3B" w14:textId="77777777" w:rsidR="00F67E9E" w:rsidRPr="00025910" w:rsidRDefault="00F67E9E" w:rsidP="00F67E9E">
      <w:pPr>
        <w:pStyle w:val="Numbered111"/>
      </w:pPr>
      <w:r w:rsidRPr="00025910">
        <w:t>any dissolution, amalgamation, reconstruction, reorganisation, change in status, function, Control or ownership, insolvency, liquidation, administration, voluntary arrangement, or appointment of a receiver, of the Supplier or any other person.</w:t>
      </w:r>
    </w:p>
    <w:p w14:paraId="459BC7F5" w14:textId="77777777" w:rsidR="00F67E9E" w:rsidRPr="00025910" w:rsidRDefault="00F67E9E" w:rsidP="00F67E9E">
      <w:pPr>
        <w:pStyle w:val="StdBodyText1"/>
        <w:rPr>
          <w:rFonts w:cs="Arial"/>
        </w:rPr>
      </w:pPr>
      <w:r w:rsidRPr="00025910">
        <w:rPr>
          <w:rStyle w:val="StdBodyTextBoldChar"/>
          <w:rFonts w:eastAsiaTheme="majorEastAsia" w:cs="Arial"/>
        </w:rPr>
        <w:t>Immediate</w:t>
      </w:r>
      <w:r w:rsidRPr="00025910">
        <w:rPr>
          <w:rFonts w:cs="Arial"/>
        </w:rPr>
        <w:t xml:space="preserve"> </w:t>
      </w:r>
      <w:r w:rsidRPr="00025910">
        <w:rPr>
          <w:rStyle w:val="StdBodyTextBoldChar"/>
          <w:rFonts w:eastAsiaTheme="majorEastAsia" w:cs="Arial"/>
        </w:rPr>
        <w:t>demand</w:t>
      </w:r>
    </w:p>
    <w:p w14:paraId="0452CC56" w14:textId="77777777" w:rsidR="00F67E9E" w:rsidRPr="00025910" w:rsidRDefault="00F67E9E" w:rsidP="00F67E9E">
      <w:pPr>
        <w:pStyle w:val="Numbered11"/>
      </w:pPr>
      <w:r w:rsidRPr="00025910">
        <w:t>The Guarantor waives any right it may have to require the Authority to proceed against, enforce any other right or claim for payment against, or take any other action against, the Supplier or any other person before claiming from the Guarantor under this Guarantee.</w:t>
      </w:r>
    </w:p>
    <w:p w14:paraId="7775B9E8" w14:textId="77777777" w:rsidR="00F67E9E" w:rsidRPr="00025910" w:rsidRDefault="00F67E9E" w:rsidP="00F67E9E">
      <w:pPr>
        <w:pStyle w:val="StdBodyText1"/>
        <w:rPr>
          <w:rFonts w:cs="Arial"/>
        </w:rPr>
      </w:pPr>
      <w:r w:rsidRPr="00025910">
        <w:rPr>
          <w:rStyle w:val="StdBodyTextBoldChar"/>
          <w:rFonts w:eastAsiaTheme="majorEastAsia" w:cs="Arial"/>
        </w:rPr>
        <w:t>Deferral of</w:t>
      </w:r>
      <w:r w:rsidRPr="00025910">
        <w:rPr>
          <w:rFonts w:cs="Arial"/>
        </w:rPr>
        <w:t xml:space="preserve"> </w:t>
      </w:r>
      <w:r w:rsidRPr="00025910">
        <w:rPr>
          <w:rStyle w:val="StdBodyTextBoldChar"/>
          <w:rFonts w:eastAsiaTheme="majorEastAsia" w:cs="Arial"/>
        </w:rPr>
        <w:t>rights</w:t>
      </w:r>
    </w:p>
    <w:p w14:paraId="7A6A0219" w14:textId="77777777" w:rsidR="00F67E9E" w:rsidRPr="00025910" w:rsidRDefault="00F67E9E" w:rsidP="00F67E9E">
      <w:pPr>
        <w:pStyle w:val="Numbered11"/>
      </w:pPr>
      <w:bookmarkStart w:id="2536" w:name="_Ref_ContractCompanion_9kb9Ut34B"/>
      <w:bookmarkStart w:id="2537" w:name="_9kR3WTrAGA78HJFhY40tmnzpr6FFFLPF2yy93GI"/>
      <w:r w:rsidRPr="00025910">
        <w:t>Until all amounts which may be or become payable under the Guaranteed Agreement or this Deed have been irrevocably paid in full, the Guarantor shall not, as a result of this Deed or any payment performance under this Deed:</w:t>
      </w:r>
      <w:bookmarkEnd w:id="2536"/>
      <w:bookmarkEnd w:id="2537"/>
    </w:p>
    <w:p w14:paraId="4FDF6CFF" w14:textId="77777777" w:rsidR="00F67E9E" w:rsidRPr="00025910" w:rsidRDefault="00F67E9E" w:rsidP="00F67E9E">
      <w:pPr>
        <w:pStyle w:val="Numbered111"/>
      </w:pPr>
      <w:r w:rsidRPr="00025910">
        <w:t>be subrogated to any right or security of the Authority;</w:t>
      </w:r>
    </w:p>
    <w:p w14:paraId="49654C7A" w14:textId="77777777" w:rsidR="00F67E9E" w:rsidRPr="00025910" w:rsidRDefault="00F67E9E" w:rsidP="00F67E9E">
      <w:pPr>
        <w:pStyle w:val="Numbered111"/>
      </w:pPr>
      <w:r w:rsidRPr="00025910">
        <w:t>claim or prove in competition with the Authority against the Supplier or any other person;</w:t>
      </w:r>
    </w:p>
    <w:p w14:paraId="4E33B5FE" w14:textId="77777777" w:rsidR="00F67E9E" w:rsidRPr="00025910" w:rsidRDefault="00F67E9E" w:rsidP="00F67E9E">
      <w:pPr>
        <w:pStyle w:val="Numbered111"/>
      </w:pPr>
      <w:r w:rsidRPr="00025910">
        <w:t xml:space="preserve">demand or accept repayment in whole or in part of any indebtedness due from the Supplier; </w:t>
      </w:r>
    </w:p>
    <w:p w14:paraId="30D9AAAA" w14:textId="77777777" w:rsidR="00F67E9E" w:rsidRPr="00025910" w:rsidRDefault="00F67E9E" w:rsidP="00F67E9E">
      <w:pPr>
        <w:pStyle w:val="Numbered111"/>
      </w:pPr>
      <w:r w:rsidRPr="00025910">
        <w:t>take the benefit of, share in or enforce any security or other guarantee or indemnity against the Supplier; or</w:t>
      </w:r>
    </w:p>
    <w:p w14:paraId="297509FC" w14:textId="77777777" w:rsidR="00F67E9E" w:rsidRPr="00025910" w:rsidRDefault="00F67E9E" w:rsidP="00F67E9E">
      <w:pPr>
        <w:pStyle w:val="Numbered111"/>
      </w:pPr>
      <w:r w:rsidRPr="00025910">
        <w:t>claim any right of contribution, set-off or indemnity from the Supplier,</w:t>
      </w:r>
    </w:p>
    <w:p w14:paraId="0A0CD44E" w14:textId="77777777" w:rsidR="00F67E9E" w:rsidRPr="00025910" w:rsidRDefault="00F67E9E" w:rsidP="00F67E9E">
      <w:pPr>
        <w:pStyle w:val="StdBodyText2"/>
        <w:rPr>
          <w:rFonts w:cs="Arial"/>
        </w:rPr>
      </w:pPr>
      <w:r w:rsidRPr="00025910">
        <w:rPr>
          <w:rFonts w:cs="Arial"/>
        </w:rPr>
        <w:t>without the prior written consent of the Authority (and in such case only in accordance with any written instructions of the Authority).</w:t>
      </w:r>
    </w:p>
    <w:p w14:paraId="293959F4" w14:textId="551AA51D" w:rsidR="00F67E9E" w:rsidRPr="00025910" w:rsidRDefault="00F67E9E" w:rsidP="00F67E9E">
      <w:pPr>
        <w:pStyle w:val="Numbered11"/>
      </w:pPr>
      <w:r w:rsidRPr="00025910">
        <w:t xml:space="preserve">If the Guarantor receives any payment or other benefit in breach of </w:t>
      </w:r>
      <w:bookmarkStart w:id="2538" w:name="_9kMHG5YVtCIC9AJLHja62vop1rt8HHHNRH400B5"/>
      <w:r w:rsidRPr="00025910">
        <w:t xml:space="preserve">Clause </w:t>
      </w:r>
      <w:r w:rsidRPr="00025910">
        <w:fldChar w:fldCharType="begin"/>
      </w:r>
      <w:r w:rsidRPr="00025910">
        <w:instrText xml:space="preserve"> REF _Ref_ContractCompanion_9kb9Ut34B \n \h \t \* MERGEFORMAT </w:instrText>
      </w:r>
      <w:r w:rsidRPr="00025910">
        <w:fldChar w:fldCharType="separate"/>
      </w:r>
      <w:r w:rsidR="007A1473">
        <w:t>3.4</w:t>
      </w:r>
      <w:r w:rsidRPr="00025910">
        <w:fldChar w:fldCharType="end"/>
      </w:r>
      <w:bookmarkEnd w:id="2538"/>
      <w:r w:rsidRPr="00025910">
        <w:t xml:space="preserve">, or as a result of any action taken in accordance with a written instruction of the Authority given pursuant to </w:t>
      </w:r>
      <w:bookmarkStart w:id="2539" w:name="_9kMIH5YVtCIC9AJLHja62vop1rt8HHHNRH400B5"/>
      <w:r w:rsidRPr="00025910">
        <w:t xml:space="preserve">Clause </w:t>
      </w:r>
      <w:r w:rsidRPr="00025910">
        <w:fldChar w:fldCharType="begin"/>
      </w:r>
      <w:r w:rsidRPr="00025910">
        <w:instrText xml:space="preserve"> REF _Ref_ContractCompanion_9kb9Ut34B \n \h \t \* MERGEFORMAT </w:instrText>
      </w:r>
      <w:r w:rsidRPr="00025910">
        <w:fldChar w:fldCharType="separate"/>
      </w:r>
      <w:r w:rsidR="007A1473">
        <w:t>3.4</w:t>
      </w:r>
      <w:r w:rsidRPr="00025910">
        <w:fldChar w:fldCharType="end"/>
      </w:r>
      <w:bookmarkEnd w:id="2539"/>
      <w:r w:rsidRPr="00025910">
        <w:t>, such payment of other benefit, and any benefit derived directly or indirectly by the Guarantor therefrom, shall be held by the Guarantor on trust for the Authority applied towards the discharge of the Guarantor</w:t>
      </w:r>
      <w:r>
        <w:t>’</w:t>
      </w:r>
      <w:r w:rsidRPr="00025910">
        <w:t xml:space="preserve">s obligations to the Authority </w:t>
      </w:r>
      <w:r w:rsidRPr="00025910">
        <w:lastRenderedPageBreak/>
        <w:t>under this Deed.</w:t>
      </w:r>
    </w:p>
    <w:p w14:paraId="183CA02A" w14:textId="77777777" w:rsidR="00F67E9E" w:rsidRPr="00025910" w:rsidRDefault="00F67E9E" w:rsidP="00E1349E">
      <w:pPr>
        <w:pStyle w:val="Numbered1"/>
        <w:numPr>
          <w:ilvl w:val="0"/>
          <w:numId w:val="183"/>
        </w:numPr>
      </w:pPr>
      <w:bookmarkStart w:id="2540" w:name="_Ref_ContractCompanion_9kb9Us552"/>
      <w:bookmarkStart w:id="2541" w:name="_9kR3WTrAG9998bJfifw5q7HTfs63Cw8HDJKDJM8"/>
      <w:r w:rsidRPr="00025910">
        <w:t xml:space="preserve">Variation </w:t>
      </w:r>
      <w:r>
        <w:t>o</w:t>
      </w:r>
      <w:r w:rsidRPr="00025910">
        <w:t xml:space="preserve">f </w:t>
      </w:r>
      <w:r>
        <w:t>t</w:t>
      </w:r>
      <w:r w:rsidRPr="00025910">
        <w:t>he Guaranteed Agreement</w:t>
      </w:r>
      <w:bookmarkEnd w:id="2540"/>
      <w:bookmarkEnd w:id="2541"/>
    </w:p>
    <w:p w14:paraId="68D91969" w14:textId="77777777" w:rsidR="00F67E9E" w:rsidRPr="00025910" w:rsidRDefault="00F67E9E" w:rsidP="00F67E9E">
      <w:pPr>
        <w:pStyle w:val="Numbered11"/>
      </w:pPr>
      <w:r w:rsidRPr="00025910">
        <w:t>The Guarantor confirms that it intends that this Deed shall extend and apply from time to time to any variation, increase, extension or addition of the Guaranteed Agreement, however, fundamental, and any associated fees, costs and/or expenses.</w:t>
      </w:r>
    </w:p>
    <w:p w14:paraId="6BB0CD26" w14:textId="77777777" w:rsidR="00F67E9E" w:rsidRPr="00025910" w:rsidRDefault="00F67E9E" w:rsidP="00E1349E">
      <w:pPr>
        <w:pStyle w:val="Numbered1"/>
        <w:numPr>
          <w:ilvl w:val="0"/>
          <w:numId w:val="183"/>
        </w:numPr>
      </w:pPr>
      <w:r w:rsidRPr="00025910">
        <w:t xml:space="preserve">Payment </w:t>
      </w:r>
      <w:r>
        <w:t>a</w:t>
      </w:r>
      <w:r w:rsidRPr="00025910">
        <w:t>nd Costs</w:t>
      </w:r>
    </w:p>
    <w:p w14:paraId="78BB1C3E" w14:textId="77777777" w:rsidR="00F67E9E" w:rsidRPr="00025910" w:rsidRDefault="00F67E9E" w:rsidP="00F67E9E">
      <w:pPr>
        <w:pStyle w:val="Numbered11"/>
      </w:pPr>
      <w:r w:rsidRPr="00025910">
        <w:t>All sums payable by the Guarantor under this Deed shall be paid in full to the Authority in pounds sterling:</w:t>
      </w:r>
    </w:p>
    <w:p w14:paraId="3D377707" w14:textId="77777777" w:rsidR="00F67E9E" w:rsidRPr="00025910" w:rsidRDefault="00F67E9E" w:rsidP="00F67E9E">
      <w:pPr>
        <w:pStyle w:val="Numbered111"/>
      </w:pPr>
      <w:r w:rsidRPr="00025910">
        <w:t>without any set-off, condition or counterclaim whatsoever; and</w:t>
      </w:r>
    </w:p>
    <w:p w14:paraId="13DE0ECE" w14:textId="77777777" w:rsidR="00F67E9E" w:rsidRPr="00025910" w:rsidRDefault="00F67E9E" w:rsidP="00F67E9E">
      <w:pPr>
        <w:pStyle w:val="Numbered111"/>
      </w:pPr>
      <w:r w:rsidRPr="00025910">
        <w:t>free and clear of any deductions or withholdings whatsoever except as may be required by applicable law which is binding on the Guarantor.</w:t>
      </w:r>
    </w:p>
    <w:p w14:paraId="48EA9E59" w14:textId="77777777" w:rsidR="00F67E9E" w:rsidRPr="00025910" w:rsidRDefault="00F67E9E" w:rsidP="00F67E9E">
      <w:pPr>
        <w:pStyle w:val="Numbered11"/>
      </w:pPr>
      <w:r w:rsidRPr="00025910">
        <w:t>If any deduction or withholding is required by any applicable law to be made by the Guarantor:</w:t>
      </w:r>
    </w:p>
    <w:p w14:paraId="6BC987EF" w14:textId="77777777" w:rsidR="00F67E9E" w:rsidRPr="00025910" w:rsidRDefault="00F67E9E" w:rsidP="00F67E9E">
      <w:pPr>
        <w:pStyle w:val="Numbered111"/>
      </w:pPr>
      <w:r w:rsidRPr="00025910">
        <w:t>the amount of the payment due from the Guarantor shall be increased to an amount which (after making any deduction or withholding) leaves an amount equal to the payment which would have been due if no deduction or withholding had been required; and</w:t>
      </w:r>
    </w:p>
    <w:p w14:paraId="2D70C03B" w14:textId="77777777" w:rsidR="00F67E9E" w:rsidRPr="00025910" w:rsidRDefault="00F67E9E" w:rsidP="00F67E9E">
      <w:pPr>
        <w:pStyle w:val="Numbered111"/>
      </w:pPr>
      <w:r w:rsidRPr="00025910">
        <w:t>the Guarantor shall promptly deliver to the Authority all receipts issued to it evidencing each deduction or withholding which it has made.</w:t>
      </w:r>
    </w:p>
    <w:p w14:paraId="598B5A32" w14:textId="77777777" w:rsidR="00F67E9E" w:rsidRPr="00025910" w:rsidRDefault="00F67E9E" w:rsidP="00F67E9E">
      <w:pPr>
        <w:pStyle w:val="Numbered11"/>
      </w:pPr>
      <w:r w:rsidRPr="00025910">
        <w:t>The Guarantor shall not and may not direct the application by the Authority of any sums received by the Authority from the Guarantor under any of the terms in this Deed.</w:t>
      </w:r>
    </w:p>
    <w:p w14:paraId="521003EF" w14:textId="77777777" w:rsidR="00F67E9E" w:rsidRPr="00025910" w:rsidRDefault="00F67E9E" w:rsidP="00F67E9E">
      <w:pPr>
        <w:pStyle w:val="Numbered11"/>
      </w:pPr>
      <w:r w:rsidRPr="00025910">
        <w:t>The Guarantor shall pay interest on any amount due under this Deed at the applicable rate under the Late Payment of Commercial Debts (Interest) Act 1998, accruing on a daily basis from the due date up to the date of actual payment, whether before or after judgment.</w:t>
      </w:r>
    </w:p>
    <w:p w14:paraId="4B73C483" w14:textId="77777777" w:rsidR="00F67E9E" w:rsidRPr="00025910" w:rsidRDefault="00F67E9E" w:rsidP="00F67E9E">
      <w:pPr>
        <w:pStyle w:val="Numbered11"/>
      </w:pPr>
      <w:r w:rsidRPr="00025910">
        <w:t>The Guarantor shall, on a full indemnity basis, pay to the Authority on demand the amount of all costs and expenses (including legal and out-of-pocket expenses and any VAT on those costs and expenses) which the Authority incurs in connection with:</w:t>
      </w:r>
    </w:p>
    <w:p w14:paraId="3346A384" w14:textId="77777777" w:rsidR="00F67E9E" w:rsidRPr="00025910" w:rsidRDefault="00F67E9E" w:rsidP="00F67E9E">
      <w:pPr>
        <w:pStyle w:val="Numbered111"/>
      </w:pPr>
      <w:r w:rsidRPr="00025910">
        <w:t>the preservation, or exercise and enforcement, of any rights under or in connection with this Deed or any attempt to do so; and</w:t>
      </w:r>
    </w:p>
    <w:p w14:paraId="37FBD532" w14:textId="77777777" w:rsidR="00F67E9E" w:rsidRPr="00025910" w:rsidRDefault="00F67E9E" w:rsidP="00F67E9E">
      <w:pPr>
        <w:pStyle w:val="Numbered111"/>
      </w:pPr>
      <w:r w:rsidRPr="00025910">
        <w:t>any discharge or release of this Deed.</w:t>
      </w:r>
    </w:p>
    <w:p w14:paraId="532EBBA0" w14:textId="77777777" w:rsidR="00F67E9E" w:rsidRPr="00025910" w:rsidRDefault="00F67E9E" w:rsidP="00E1349E">
      <w:pPr>
        <w:pStyle w:val="Numbered1"/>
        <w:numPr>
          <w:ilvl w:val="0"/>
          <w:numId w:val="183"/>
        </w:numPr>
      </w:pPr>
      <w:r w:rsidRPr="00025910">
        <w:t>Conditional Discharge</w:t>
      </w:r>
    </w:p>
    <w:p w14:paraId="42E0C882" w14:textId="77777777" w:rsidR="00F67E9E" w:rsidRPr="00025910" w:rsidRDefault="00F67E9E" w:rsidP="00F67E9E">
      <w:pPr>
        <w:pStyle w:val="Numbered11"/>
      </w:pPr>
      <w:bookmarkStart w:id="2542" w:name="_Ref_ContractCompanion_9kb9Ut345"/>
      <w:bookmarkStart w:id="2543" w:name="_9kR3WTrAGA78BGFKE9Evqrhw1ns83ts3Ay7LQEG"/>
      <w:r w:rsidRPr="00025910">
        <w:t>Any release, discharge or settlement between the Guarantor and the Authority in relation to this Deed shall be conditional on no right, security, disposition or payment to the Authority by the Guarantor, the Supplier or any other person being avoided, set aside or ordered to be refunded pursuant to any enactment or law relating to breach of duty by any person, bankruptcy, liquidation, administration, protection from creditors generally or insolvency for any other reason.</w:t>
      </w:r>
      <w:bookmarkEnd w:id="2542"/>
      <w:bookmarkEnd w:id="2543"/>
    </w:p>
    <w:p w14:paraId="447905D5" w14:textId="6F08B534" w:rsidR="00F67E9E" w:rsidRPr="00025910" w:rsidRDefault="00F67E9E" w:rsidP="00F67E9E">
      <w:pPr>
        <w:pStyle w:val="Numbered11"/>
      </w:pPr>
      <w:r w:rsidRPr="00025910">
        <w:lastRenderedPageBreak/>
        <w:t xml:space="preserve">If any such right, security, disposition or payment as referred to in </w:t>
      </w:r>
      <w:bookmarkStart w:id="2544" w:name="_9kMHG5YVtCIC9ADIHMGBGxstjy3puA5vu5C09NS"/>
      <w:r w:rsidRPr="00025910">
        <w:t xml:space="preserve">Clause </w:t>
      </w:r>
      <w:r w:rsidRPr="00025910">
        <w:fldChar w:fldCharType="begin"/>
      </w:r>
      <w:r w:rsidRPr="00025910">
        <w:instrText xml:space="preserve"> REF _Ref_ContractCompanion_9kb9Ut345 \n \h \t \* MERGEFORMAT </w:instrText>
      </w:r>
      <w:r w:rsidRPr="00025910">
        <w:fldChar w:fldCharType="separate"/>
      </w:r>
      <w:r w:rsidR="007A1473">
        <w:t>6.1</w:t>
      </w:r>
      <w:r w:rsidRPr="00025910">
        <w:fldChar w:fldCharType="end"/>
      </w:r>
      <w:bookmarkEnd w:id="2544"/>
      <w:r w:rsidRPr="00025910">
        <w:t xml:space="preserve"> is avoided, set aside or ordered to be refunded, the Authority shall be entitled subsequently to enforce this Deed against the Guarantor as if such release, discharge or settlement had not occurred and any such security, disposition or payment has not been made.</w:t>
      </w:r>
    </w:p>
    <w:p w14:paraId="71E197B7" w14:textId="77777777" w:rsidR="00F67E9E" w:rsidRPr="00025910" w:rsidRDefault="00F67E9E" w:rsidP="00E1349E">
      <w:pPr>
        <w:pStyle w:val="Numbered1"/>
        <w:numPr>
          <w:ilvl w:val="0"/>
          <w:numId w:val="183"/>
        </w:numPr>
      </w:pPr>
      <w:r w:rsidRPr="00025910">
        <w:t xml:space="preserve">Representations </w:t>
      </w:r>
      <w:r>
        <w:t>a</w:t>
      </w:r>
      <w:r w:rsidRPr="00025910">
        <w:t>nd Warranties</w:t>
      </w:r>
    </w:p>
    <w:p w14:paraId="7686316D" w14:textId="77777777" w:rsidR="00F67E9E" w:rsidRPr="00025910" w:rsidRDefault="00F67E9E" w:rsidP="00F67E9E">
      <w:pPr>
        <w:pStyle w:val="Numbered11"/>
      </w:pPr>
      <w:r w:rsidRPr="00025910">
        <w:t>The Guarantor represents and warrants to the Authority that:</w:t>
      </w:r>
    </w:p>
    <w:p w14:paraId="15231CCF" w14:textId="77777777" w:rsidR="00F67E9E" w:rsidRPr="00025910" w:rsidRDefault="00F67E9E" w:rsidP="00F67E9E">
      <w:pPr>
        <w:pStyle w:val="Numbered111"/>
      </w:pPr>
      <w:r w:rsidRPr="00025910">
        <w:t xml:space="preserve">it is duly incorporated with limited liability and is a validly existing company under the laws of its place of incorporation, has the capacity to sue or be sued in its own name, and has power to carry on its business as now being conducted and to own its property and other assets; </w:t>
      </w:r>
    </w:p>
    <w:p w14:paraId="7F14EE90" w14:textId="77777777" w:rsidR="00F67E9E" w:rsidRPr="00025910" w:rsidRDefault="00F67E9E" w:rsidP="00F67E9E">
      <w:pPr>
        <w:pStyle w:val="Numbered111"/>
      </w:pPr>
      <w:r w:rsidRPr="00025910">
        <w:t>it has full power under its constitution or equivalent constitutional documents in the jurisdiction in which it is established to enter into this Deed;</w:t>
      </w:r>
    </w:p>
    <w:p w14:paraId="61110172" w14:textId="77777777" w:rsidR="00F67E9E" w:rsidRPr="00025910" w:rsidRDefault="00F67E9E" w:rsidP="00F67E9E">
      <w:pPr>
        <w:pStyle w:val="Numbered111"/>
      </w:pPr>
      <w:r w:rsidRPr="00025910">
        <w:t>it has full power to perform the obligations expressed to be assumed by it or contemplated by this Deed;</w:t>
      </w:r>
    </w:p>
    <w:p w14:paraId="64716B6C" w14:textId="77777777" w:rsidR="00F67E9E" w:rsidRPr="00025910" w:rsidRDefault="00F67E9E" w:rsidP="00F67E9E">
      <w:pPr>
        <w:pStyle w:val="Numbered111"/>
      </w:pPr>
      <w:r w:rsidRPr="00025910">
        <w:t>it has been duly authorised to enter into this Deed;</w:t>
      </w:r>
    </w:p>
    <w:p w14:paraId="6E32F57C" w14:textId="77777777" w:rsidR="00F67E9E" w:rsidRPr="00025910" w:rsidRDefault="00F67E9E" w:rsidP="00F67E9E">
      <w:pPr>
        <w:pStyle w:val="Numbered111"/>
      </w:pPr>
      <w:r w:rsidRPr="00025910">
        <w:t>it has taken all necessary corporate action to authorise the execution, delivery and performance of this Deed;</w:t>
      </w:r>
    </w:p>
    <w:p w14:paraId="34007B6D" w14:textId="77777777" w:rsidR="00F67E9E" w:rsidRPr="00025910" w:rsidRDefault="00F67E9E" w:rsidP="00F67E9E">
      <w:pPr>
        <w:pStyle w:val="Numbered111"/>
      </w:pPr>
      <w:r w:rsidRPr="00025910">
        <w:t>this Deed when executed and delivered will constitute a legally binding obligation on it enforceable in accordance with its terms;</w:t>
      </w:r>
    </w:p>
    <w:p w14:paraId="118BD54C" w14:textId="77777777" w:rsidR="00F67E9E" w:rsidRPr="00025910" w:rsidRDefault="00F67E9E" w:rsidP="00F67E9E">
      <w:pPr>
        <w:pStyle w:val="Numbered111"/>
      </w:pPr>
      <w:r w:rsidRPr="00025910">
        <w:t>all necessary consents and authorisations for the giving and implementation of this Deed have been obtained;</w:t>
      </w:r>
    </w:p>
    <w:p w14:paraId="3C829023" w14:textId="77777777" w:rsidR="00F67E9E" w:rsidRPr="00025910" w:rsidRDefault="00F67E9E" w:rsidP="00F67E9E">
      <w:pPr>
        <w:pStyle w:val="Numbered111"/>
      </w:pPr>
      <w:r w:rsidRPr="00025910">
        <w:t>that its entry into and performance of its obligations under this Deed will not constitute any breach of or default under any contractual, government or public obligation binding on it; and</w:t>
      </w:r>
    </w:p>
    <w:p w14:paraId="77E06C26" w14:textId="77777777" w:rsidR="00F67E9E" w:rsidRPr="00025910" w:rsidRDefault="00F67E9E" w:rsidP="00F67E9E">
      <w:pPr>
        <w:pStyle w:val="Numbered111"/>
      </w:pPr>
      <w:r w:rsidRPr="00025910">
        <w:t>that it is not engaged in any litigation or arbitration proceedings that might affect its capacity or ability to perform its obligations under this Deed and to the best of its knowledge no such legal or arbitration proceedings have been threatened or are pending against it.</w:t>
      </w:r>
    </w:p>
    <w:p w14:paraId="77A1DB0C" w14:textId="77777777" w:rsidR="00F67E9E" w:rsidRPr="00025910" w:rsidRDefault="00F67E9E" w:rsidP="00E1349E">
      <w:pPr>
        <w:pStyle w:val="Numbered1"/>
        <w:numPr>
          <w:ilvl w:val="0"/>
          <w:numId w:val="183"/>
        </w:numPr>
      </w:pPr>
      <w:r w:rsidRPr="00025910">
        <w:t>Assignment</w:t>
      </w:r>
    </w:p>
    <w:p w14:paraId="175D5545" w14:textId="77777777" w:rsidR="00F67E9E" w:rsidRPr="00025910" w:rsidRDefault="00F67E9E" w:rsidP="00F67E9E">
      <w:pPr>
        <w:pStyle w:val="Numbered11"/>
      </w:pPr>
      <w:r w:rsidRPr="00025910">
        <w:t>The Authority shall be entitled by notice in writing to the Guarantor to assign the benefit of this Deed at any time to any person without the consent of the Guarantor being required and any such assignment shall not release the Guarantor from liability under this Deed.</w:t>
      </w:r>
    </w:p>
    <w:p w14:paraId="729CFFEB" w14:textId="77777777" w:rsidR="00F67E9E" w:rsidRPr="00025910" w:rsidRDefault="00F67E9E" w:rsidP="00F67E9E">
      <w:pPr>
        <w:pStyle w:val="Numbered11"/>
      </w:pPr>
      <w:r w:rsidRPr="00025910">
        <w:t>The Guarantor may not assign or transfer any of its rights and/or obligations under this Deed without the prior written consent of the Authority.</w:t>
      </w:r>
    </w:p>
    <w:p w14:paraId="0C12E1FF" w14:textId="77777777" w:rsidR="00F67E9E" w:rsidRPr="00025910" w:rsidRDefault="00F67E9E" w:rsidP="00E1349E">
      <w:pPr>
        <w:pStyle w:val="Numbered1"/>
        <w:numPr>
          <w:ilvl w:val="0"/>
          <w:numId w:val="183"/>
        </w:numPr>
      </w:pPr>
      <w:r w:rsidRPr="00025910">
        <w:t>Variation</w:t>
      </w:r>
    </w:p>
    <w:p w14:paraId="4B749E6C" w14:textId="77777777" w:rsidR="00F67E9E" w:rsidRPr="00025910" w:rsidRDefault="00F67E9E" w:rsidP="00F67E9E">
      <w:pPr>
        <w:pStyle w:val="Numbered11"/>
      </w:pPr>
      <w:r w:rsidRPr="00025910">
        <w:t>No variation of this Deed shall be effective unless it is in writing and signed by the parties.</w:t>
      </w:r>
    </w:p>
    <w:p w14:paraId="53EE6435" w14:textId="77777777" w:rsidR="00F67E9E" w:rsidRPr="00C30121" w:rsidRDefault="00F67E9E" w:rsidP="00E1349E">
      <w:pPr>
        <w:pStyle w:val="Numbered1"/>
        <w:numPr>
          <w:ilvl w:val="0"/>
          <w:numId w:val="183"/>
        </w:numPr>
      </w:pPr>
      <w:r w:rsidRPr="00C30121">
        <w:lastRenderedPageBreak/>
        <w:t xml:space="preserve">Demands </w:t>
      </w:r>
      <w:r>
        <w:t>a</w:t>
      </w:r>
      <w:r w:rsidRPr="00C30121">
        <w:t>nd Notices</w:t>
      </w:r>
    </w:p>
    <w:p w14:paraId="7B873053" w14:textId="77777777" w:rsidR="00F67E9E" w:rsidRPr="00C30121" w:rsidRDefault="00F67E9E" w:rsidP="00F67E9E">
      <w:pPr>
        <w:pStyle w:val="Numbered11"/>
      </w:pPr>
      <w:r w:rsidRPr="00C30121">
        <w:t>Any demand or notice served by the Authority on the Guarantor under this Deed shall be in writing, addressed to:</w:t>
      </w:r>
    </w:p>
    <w:p w14:paraId="0C55CFA6" w14:textId="77777777" w:rsidR="00F67E9E" w:rsidRPr="00C30121" w:rsidRDefault="00F67E9E" w:rsidP="00F67E9E">
      <w:pPr>
        <w:pStyle w:val="Numbered111"/>
      </w:pPr>
      <w:r w:rsidRPr="00C30121">
        <w:t xml:space="preserve">For the Attention of </w:t>
      </w:r>
      <w:r w:rsidRPr="00B73DD6">
        <w:rPr>
          <w:b/>
          <w:highlight w:val="yellow"/>
        </w:rPr>
        <w:t>[insert</w:t>
      </w:r>
      <w:r w:rsidRPr="00C30121">
        <w:rPr>
          <w:highlight w:val="yellow"/>
        </w:rPr>
        <w:t xml:space="preserve"> details]</w:t>
      </w:r>
    </w:p>
    <w:p w14:paraId="530BD192" w14:textId="77777777" w:rsidR="00F67E9E" w:rsidRPr="00401120" w:rsidRDefault="00F67E9E" w:rsidP="00F67E9E">
      <w:pPr>
        <w:pStyle w:val="Numbered111"/>
      </w:pPr>
      <w:r w:rsidRPr="00C30121">
        <w:rPr>
          <w:highlight w:val="yellow"/>
        </w:rPr>
        <w:t>[Address of the Guarantor in England and Wales]</w:t>
      </w:r>
    </w:p>
    <w:p w14:paraId="0773A5B5" w14:textId="77777777" w:rsidR="00F67E9E" w:rsidRPr="00C30121" w:rsidRDefault="00F67E9E" w:rsidP="00F67E9E">
      <w:pPr>
        <w:pStyle w:val="Numbered11"/>
      </w:pPr>
      <w:r w:rsidRPr="00C30121">
        <w:t>or such other address in England and Wales as the Guarantor has from time to time notified to the Authority in writing in accordance with the terms of this Deed as being an address or facsimile number for the receipt of such demands or notices.</w:t>
      </w:r>
    </w:p>
    <w:p w14:paraId="7AA8D828" w14:textId="77777777" w:rsidR="00F67E9E" w:rsidRPr="00C30121" w:rsidRDefault="00F67E9E" w:rsidP="00F67E9E">
      <w:pPr>
        <w:pStyle w:val="Numbered11"/>
      </w:pPr>
      <w:r w:rsidRPr="00C30121">
        <w:t>Any notice or demand served on the Guarantor or the Authority under this Deed shall be deemed to have been served:</w:t>
      </w:r>
    </w:p>
    <w:p w14:paraId="3A797AB5" w14:textId="77777777" w:rsidR="00F67E9E" w:rsidRPr="00C30121" w:rsidRDefault="00F67E9E" w:rsidP="00F67E9E">
      <w:pPr>
        <w:pStyle w:val="Numbered111"/>
      </w:pPr>
      <w:r w:rsidRPr="00C30121">
        <w:t>if delivered by hand, at the time of delivery; or</w:t>
      </w:r>
    </w:p>
    <w:p w14:paraId="6165351D" w14:textId="77777777" w:rsidR="00F67E9E" w:rsidRPr="00C30121" w:rsidRDefault="00F67E9E" w:rsidP="00F67E9E">
      <w:pPr>
        <w:pStyle w:val="Numbered111"/>
      </w:pPr>
      <w:r w:rsidRPr="00C30121">
        <w:t>if posted, at 10.00 a.m. on the second Business Day after it was put into the post.</w:t>
      </w:r>
    </w:p>
    <w:p w14:paraId="02B37EB1" w14:textId="77777777" w:rsidR="00F67E9E" w:rsidRPr="00C30121" w:rsidRDefault="00F67E9E" w:rsidP="00F67E9E">
      <w:pPr>
        <w:pStyle w:val="Numbered11"/>
      </w:pPr>
      <w:r w:rsidRPr="00C30121">
        <w:t>In proving service of a notice or demand on the Guarantor it shall be sufficient to prove that delivery was made, or that the envelope containing the notice or demand was properly addressed and posted as a prepaid first class recorded delivery letter.</w:t>
      </w:r>
    </w:p>
    <w:p w14:paraId="3B100805" w14:textId="77777777" w:rsidR="00F67E9E" w:rsidRPr="00C30121" w:rsidRDefault="00F67E9E" w:rsidP="00F67E9E">
      <w:pPr>
        <w:pStyle w:val="Numbered11"/>
      </w:pPr>
      <w:r w:rsidRPr="00C30121">
        <w:t>Any notice purported to be served on the Authority under this Deed shall only be valid when received in writing by the Authority.</w:t>
      </w:r>
    </w:p>
    <w:p w14:paraId="711078BD" w14:textId="77777777" w:rsidR="00F67E9E" w:rsidRPr="00025910" w:rsidRDefault="00F67E9E" w:rsidP="00E1349E">
      <w:pPr>
        <w:pStyle w:val="Numbered1"/>
        <w:numPr>
          <w:ilvl w:val="0"/>
          <w:numId w:val="183"/>
        </w:numPr>
      </w:pPr>
      <w:r w:rsidRPr="00025910">
        <w:t>Entire Agreement</w:t>
      </w:r>
    </w:p>
    <w:p w14:paraId="1FF4E219" w14:textId="77777777" w:rsidR="00F67E9E" w:rsidRPr="00025910" w:rsidRDefault="00F67E9E" w:rsidP="00F67E9E">
      <w:pPr>
        <w:pStyle w:val="Numbered11"/>
      </w:pPr>
      <w:r w:rsidRPr="00025910">
        <w:t>This Deed constitutes the entire agreement between the parties and supersedes and extinguishes all previous agreements, promises, assurances, warranties, representations and understandings between them, whether written or oral, relating to its subject matter.</w:t>
      </w:r>
    </w:p>
    <w:p w14:paraId="1092A13E" w14:textId="77777777" w:rsidR="00F67E9E" w:rsidRPr="00025910" w:rsidRDefault="00F67E9E" w:rsidP="00F67E9E">
      <w:pPr>
        <w:pStyle w:val="Numbered11"/>
      </w:pPr>
      <w:r w:rsidRPr="00025910">
        <w:t>The Guarantor acknowledges that it has not entered into this Deed in reliance upon, nor has it been induced to enter into this Deed by, any representation, warranty or undertaking made by or on behalf of the Authority (whether express or implied and whether pursuant to statute or otherwise) which is not set out in this Deed.</w:t>
      </w:r>
    </w:p>
    <w:p w14:paraId="644077ED" w14:textId="77777777" w:rsidR="00F67E9E" w:rsidRPr="00025910" w:rsidRDefault="00F67E9E" w:rsidP="00E1349E">
      <w:pPr>
        <w:pStyle w:val="Numbered1"/>
        <w:numPr>
          <w:ilvl w:val="0"/>
          <w:numId w:val="183"/>
        </w:numPr>
      </w:pPr>
      <w:r w:rsidRPr="00025910">
        <w:t>Waiver</w:t>
      </w:r>
    </w:p>
    <w:p w14:paraId="1845A5FA" w14:textId="77777777" w:rsidR="00F67E9E" w:rsidRPr="00025910" w:rsidRDefault="00F67E9E" w:rsidP="00F67E9E">
      <w:pPr>
        <w:pStyle w:val="Numbered11"/>
      </w:pPr>
      <w:r w:rsidRPr="00025910">
        <w:t>No failure or delay by the Authority to exercise any right or remedy provided under this Deed or by law shall constitute a waiver of that or any other right or remedy, nor shall it prevent or restrict the further exercise of that or any other right or remedy.</w:t>
      </w:r>
      <w:r>
        <w:t xml:space="preserve"> </w:t>
      </w:r>
      <w:r w:rsidRPr="00025910">
        <w:t>No single or partial exercise of such right or remedy shall prevent or restrict the further exercise of that or any other right or remedy.</w:t>
      </w:r>
    </w:p>
    <w:p w14:paraId="42FD2A5B" w14:textId="77777777" w:rsidR="00F67E9E" w:rsidRPr="00025910" w:rsidRDefault="00F67E9E" w:rsidP="00F67E9E">
      <w:pPr>
        <w:pStyle w:val="Numbered11"/>
      </w:pPr>
      <w:r w:rsidRPr="00025910">
        <w:t>Any waiver by the Authority of any terms of this Deed, or of any Guaranteed Obligations, shall only be effective if given in writing and then only for the purpose and upon the terms and conditions, if any, on which it is given.</w:t>
      </w:r>
    </w:p>
    <w:p w14:paraId="054ECA4A" w14:textId="77777777" w:rsidR="00F67E9E" w:rsidRPr="00025910" w:rsidRDefault="00F67E9E" w:rsidP="00E1349E">
      <w:pPr>
        <w:pStyle w:val="Numbered1"/>
        <w:numPr>
          <w:ilvl w:val="0"/>
          <w:numId w:val="183"/>
        </w:numPr>
      </w:pPr>
      <w:r w:rsidRPr="00025910">
        <w:t>Severance</w:t>
      </w:r>
    </w:p>
    <w:p w14:paraId="3AB33B92" w14:textId="77777777" w:rsidR="00F67E9E" w:rsidRPr="00025910" w:rsidRDefault="00F67E9E" w:rsidP="00F67E9E">
      <w:pPr>
        <w:pStyle w:val="Numbered11"/>
      </w:pPr>
      <w:r w:rsidRPr="00025910">
        <w:t xml:space="preserve">If any provision or part-provision of this Deed is or becomes invalid, illegal or unenforceable for any reason, such provision or part-provision shall be deemed deleted, </w:t>
      </w:r>
      <w:r w:rsidRPr="00025910">
        <w:lastRenderedPageBreak/>
        <w:t>but that shall not affect the validity and enforceability of the rest of this Deed.</w:t>
      </w:r>
    </w:p>
    <w:p w14:paraId="09011CD8" w14:textId="77777777" w:rsidR="00F67E9E" w:rsidRPr="00025910" w:rsidRDefault="00F67E9E" w:rsidP="00E1349E">
      <w:pPr>
        <w:pStyle w:val="Numbered1"/>
        <w:numPr>
          <w:ilvl w:val="0"/>
          <w:numId w:val="183"/>
        </w:numPr>
      </w:pPr>
      <w:r w:rsidRPr="00025910">
        <w:t>Third Party Rights</w:t>
      </w:r>
    </w:p>
    <w:p w14:paraId="0ABC44EB" w14:textId="77777777" w:rsidR="00F67E9E" w:rsidRPr="00025910" w:rsidRDefault="00F67E9E" w:rsidP="00F67E9E">
      <w:pPr>
        <w:pStyle w:val="Numbered11"/>
      </w:pPr>
      <w:r w:rsidRPr="00025910">
        <w:t>A person who is not a Party to this Deed shall have no right under the Contracts (Rights of Third Parties) Act 1999 (as amended, updated or replaced from time to time) to enforce any of its terms but this does not affect any third party right which exists or is available independently of that Act.</w:t>
      </w:r>
    </w:p>
    <w:p w14:paraId="73AC928E" w14:textId="77777777" w:rsidR="00F67E9E" w:rsidRPr="00025910" w:rsidRDefault="00F67E9E" w:rsidP="00E1349E">
      <w:pPr>
        <w:pStyle w:val="Numbered1"/>
        <w:numPr>
          <w:ilvl w:val="0"/>
          <w:numId w:val="183"/>
        </w:numPr>
      </w:pPr>
      <w:bookmarkStart w:id="2545" w:name="_Ref_ContractCompanion_9kb9Us555"/>
      <w:bookmarkStart w:id="2546" w:name="_9kR3WTrAG999BeJfifw5q7HTcPf6MDAKCDCB6IJ"/>
      <w:r w:rsidRPr="00025910">
        <w:t xml:space="preserve">Governing Law </w:t>
      </w:r>
      <w:r>
        <w:t>a</w:t>
      </w:r>
      <w:r w:rsidRPr="00025910">
        <w:t>nd Jurisdiction</w:t>
      </w:r>
      <w:bookmarkEnd w:id="2545"/>
      <w:bookmarkEnd w:id="2546"/>
    </w:p>
    <w:p w14:paraId="3E7F51B7" w14:textId="77777777" w:rsidR="00F67E9E" w:rsidRPr="00025910" w:rsidRDefault="00F67E9E" w:rsidP="00F67E9E">
      <w:pPr>
        <w:pStyle w:val="Numbered11"/>
      </w:pPr>
      <w:r w:rsidRPr="00025910">
        <w:t>This Deed and any issues, disputes or claims (whether contractual or non-contractual) arising out of or in connection with it or its subject matter or formation shall be governed by and construed in accordance with the laws of England and Wales.</w:t>
      </w:r>
    </w:p>
    <w:p w14:paraId="356EA456" w14:textId="77777777" w:rsidR="00F67E9E" w:rsidRPr="00025910" w:rsidRDefault="00F67E9E" w:rsidP="00F67E9E">
      <w:pPr>
        <w:pStyle w:val="Numbered11"/>
      </w:pPr>
      <w:bookmarkStart w:id="2547" w:name="_Ref_ContractCompanion_9kb9Ut39I"/>
      <w:bookmarkStart w:id="2548" w:name="_9kR3WTrAGA7EF9EGfSkKVwuvsCED89J7CN5ss4S"/>
      <w:r w:rsidRPr="00025910">
        <w:t>The Guarantor irrevocably agrees for the benefit of the Authority that the courts of England shall have jurisdiction to settle any dispute or claim (whether contractual or non-contractual) that arises out of or in connection with this Deed or its subject matter or formation.</w:t>
      </w:r>
      <w:bookmarkEnd w:id="2547"/>
      <w:bookmarkEnd w:id="2548"/>
    </w:p>
    <w:p w14:paraId="70A33C53" w14:textId="3A088BF6" w:rsidR="00F67E9E" w:rsidRPr="00025910" w:rsidRDefault="00F67E9E" w:rsidP="00F67E9E">
      <w:pPr>
        <w:pStyle w:val="Numbered11"/>
      </w:pPr>
      <w:r w:rsidRPr="00025910">
        <w:t xml:space="preserve">Nothing contained in </w:t>
      </w:r>
      <w:bookmarkStart w:id="2549" w:name="_9kMHG5YVtCIC9GHBGIhUmMXywxuEGFABL9EP7uu"/>
      <w:r w:rsidRPr="00025910">
        <w:t xml:space="preserve">Clause </w:t>
      </w:r>
      <w:r w:rsidRPr="00025910">
        <w:fldChar w:fldCharType="begin"/>
      </w:r>
      <w:r w:rsidRPr="00025910">
        <w:instrText xml:space="preserve"> REF _Ref_ContractCompanion_9kb9Ut39I \n \h \t \* MERGEFORMAT </w:instrText>
      </w:r>
      <w:r w:rsidRPr="00025910">
        <w:fldChar w:fldCharType="separate"/>
      </w:r>
      <w:r w:rsidR="007A1473">
        <w:t>15.2</w:t>
      </w:r>
      <w:r w:rsidRPr="00025910">
        <w:fldChar w:fldCharType="end"/>
      </w:r>
      <w:bookmarkEnd w:id="2549"/>
      <w:r w:rsidRPr="00025910">
        <w:t xml:space="preserve"> shall limit the rights of the Authority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414E2820" w14:textId="77777777" w:rsidR="00F67E9E" w:rsidRPr="00C30121" w:rsidRDefault="00F67E9E" w:rsidP="00F67E9E">
      <w:pPr>
        <w:pStyle w:val="Numbered11"/>
      </w:pPr>
      <w:r w:rsidRPr="00025910">
        <w:t>The Guarantor irrevocably waives any objection which it may have now or in the future to the courts of England being nominated for the purpose of this Clause on the ground of venue or otherwise and agrees not to claim that any such court is not a convenient</w:t>
      </w:r>
      <w:r w:rsidRPr="00C30121">
        <w:t xml:space="preserve"> or appropriate forum.</w:t>
      </w:r>
    </w:p>
    <w:p w14:paraId="6E6623B9" w14:textId="4C215F48" w:rsidR="00F67E9E" w:rsidRPr="00C30121" w:rsidRDefault="00F67E9E" w:rsidP="00F67E9E">
      <w:pPr>
        <w:pStyle w:val="Numbered11"/>
        <w:rPr>
          <w:highlight w:val="yellow"/>
        </w:rPr>
      </w:pPr>
      <w:bookmarkStart w:id="2550" w:name="_9kR3WTrAG8DHA9EJiSkKVwuvsCED89J7CN5ss4S"/>
      <w:r w:rsidRPr="00C30121">
        <w:rPr>
          <w:highlight w:val="yellow"/>
        </w:rPr>
        <w:t xml:space="preserve">[The Guarantor irrevocably appoints </w:t>
      </w:r>
      <w:r w:rsidRPr="00B73DD6">
        <w:rPr>
          <w:b/>
          <w:highlight w:val="yellow"/>
        </w:rPr>
        <w:t>[insert</w:t>
      </w:r>
      <w:r w:rsidRPr="00C30121">
        <w:rPr>
          <w:highlight w:val="yellow"/>
        </w:rPr>
        <w:t xml:space="preserve"> name of agent]</w:t>
      </w:r>
      <w:bookmarkEnd w:id="2550"/>
      <w:r w:rsidRPr="00C30121">
        <w:rPr>
          <w:highlight w:val="yellow"/>
        </w:rPr>
        <w:t xml:space="preserve"> of </w:t>
      </w:r>
      <w:r w:rsidRPr="00B73DD6">
        <w:rPr>
          <w:b/>
          <w:highlight w:val="yellow"/>
        </w:rPr>
        <w:t>[insert</w:t>
      </w:r>
      <w:r w:rsidRPr="00C30121">
        <w:rPr>
          <w:highlight w:val="yellow"/>
        </w:rPr>
        <w:t xml:space="preserve"> address of agent] as its agent to </w:t>
      </w:r>
      <w:r w:rsidRPr="00025910">
        <w:rPr>
          <w:highlight w:val="yellow"/>
        </w:rPr>
        <w:t xml:space="preserve">receive on its behalf in England or Wales service of any proceedings under this </w:t>
      </w:r>
      <w:bookmarkStart w:id="2551" w:name="_9kMHG5YVtCIBBBDgLhkhy7s9JVeRh8OFCMEFED8"/>
      <w:r w:rsidRPr="00025910">
        <w:rPr>
          <w:highlight w:val="yellow"/>
        </w:rPr>
        <w:t xml:space="preserve">Clause </w:t>
      </w:r>
      <w:r w:rsidRPr="00025910">
        <w:rPr>
          <w:highlight w:val="yellow"/>
        </w:rPr>
        <w:fldChar w:fldCharType="begin"/>
      </w:r>
      <w:r w:rsidRPr="00025910">
        <w:rPr>
          <w:highlight w:val="yellow"/>
        </w:rPr>
        <w:instrText xml:space="preserve"> REF _Ref_ContractCompanion_9kb9Us555 \w \n \h \t \* MERGEFORMAT </w:instrText>
      </w:r>
      <w:r w:rsidRPr="00025910">
        <w:rPr>
          <w:highlight w:val="yellow"/>
        </w:rPr>
      </w:r>
      <w:r w:rsidRPr="00025910">
        <w:rPr>
          <w:highlight w:val="yellow"/>
        </w:rPr>
        <w:fldChar w:fldCharType="separate"/>
      </w:r>
      <w:r w:rsidR="007A1473">
        <w:rPr>
          <w:highlight w:val="yellow"/>
        </w:rPr>
        <w:t>15</w:t>
      </w:r>
      <w:r w:rsidRPr="00025910">
        <w:rPr>
          <w:highlight w:val="yellow"/>
        </w:rPr>
        <w:fldChar w:fldCharType="end"/>
      </w:r>
      <w:bookmarkEnd w:id="2551"/>
      <w:r w:rsidRPr="00025910">
        <w:rPr>
          <w:highlight w:val="yellow"/>
        </w:rPr>
        <w:t xml:space="preserve">. </w:t>
      </w:r>
      <w:r w:rsidRPr="00C30121">
        <w:rPr>
          <w:highlight w:val="yellow"/>
        </w:rPr>
        <w:t>Such service shall be deemed completed on delivery to such agent (whether or not it is forwarded to and received by the Guarantor) and shall be valid until such time as the Authority has received prior written notice that such agent has ceased to act as agent.</w:t>
      </w:r>
      <w:r>
        <w:rPr>
          <w:highlight w:val="yellow"/>
        </w:rPr>
        <w:t xml:space="preserve"> </w:t>
      </w:r>
      <w:r w:rsidRPr="00C30121">
        <w:rPr>
          <w:highlight w:val="yellow"/>
        </w:rPr>
        <w:t>If for any reason such agent ceases to be able to act as agent or no longer has an address in England or Wales, the Guarantor shall appoint a substitute acceptable to the Authority and deliver to the Authority the new agent</w:t>
      </w:r>
      <w:r>
        <w:rPr>
          <w:highlight w:val="yellow"/>
        </w:rPr>
        <w:t>’</w:t>
      </w:r>
      <w:r w:rsidRPr="00C30121">
        <w:rPr>
          <w:highlight w:val="yellow"/>
        </w:rPr>
        <w:t>s name and address within England and Wales.]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4535"/>
      </w:tblGrid>
      <w:tr w:rsidR="00F67E9E" w:rsidRPr="00C30121" w14:paraId="12BCEFE2" w14:textId="77777777" w:rsidTr="0052486C">
        <w:tc>
          <w:tcPr>
            <w:tcW w:w="5669" w:type="dxa"/>
          </w:tcPr>
          <w:p w14:paraId="5F7550B7" w14:textId="77777777" w:rsidR="00F67E9E" w:rsidRPr="00C30121" w:rsidRDefault="00F67E9E" w:rsidP="0052486C">
            <w:pPr>
              <w:pStyle w:val="StdBodyText"/>
              <w:keepNext/>
              <w:rPr>
                <w:rFonts w:cs="Arial"/>
                <w:sz w:val="24"/>
              </w:rPr>
            </w:pPr>
            <w:r w:rsidRPr="00C30121">
              <w:rPr>
                <w:rFonts w:cs="Arial"/>
                <w:sz w:val="24"/>
              </w:rPr>
              <w:lastRenderedPageBreak/>
              <w:t xml:space="preserve">Executed as a deed by </w:t>
            </w:r>
            <w:r w:rsidRPr="00B73DD6">
              <w:rPr>
                <w:rFonts w:cs="Arial"/>
                <w:b/>
                <w:sz w:val="24"/>
                <w:highlight w:val="yellow"/>
              </w:rPr>
              <w:t>[insert</w:t>
            </w:r>
            <w:r w:rsidRPr="00C30121">
              <w:rPr>
                <w:rFonts w:cs="Arial"/>
                <w:sz w:val="24"/>
                <w:highlight w:val="yellow"/>
              </w:rPr>
              <w:t xml:space="preserve"> the name of the Guarantor] </w:t>
            </w:r>
            <w:r w:rsidRPr="00C30121">
              <w:rPr>
                <w:rFonts w:cs="Arial"/>
                <w:sz w:val="24"/>
              </w:rPr>
              <w:t xml:space="preserve">acting by </w:t>
            </w:r>
            <w:r w:rsidRPr="00B73DD6">
              <w:rPr>
                <w:rFonts w:cs="Arial"/>
                <w:b/>
                <w:sz w:val="24"/>
                <w:highlight w:val="yellow"/>
              </w:rPr>
              <w:t>[insert</w:t>
            </w:r>
            <w:r w:rsidRPr="00C30121">
              <w:rPr>
                <w:rFonts w:cs="Arial"/>
                <w:sz w:val="24"/>
                <w:highlight w:val="yellow"/>
              </w:rPr>
              <w:t xml:space="preserve"> name of Director] </w:t>
            </w:r>
            <w:r w:rsidRPr="00C30121">
              <w:rPr>
                <w:rFonts w:cs="Arial"/>
                <w:sz w:val="24"/>
              </w:rPr>
              <w:t>a director, in the presence of a witness:</w:t>
            </w:r>
          </w:p>
          <w:p w14:paraId="32A65486" w14:textId="77777777" w:rsidR="00F67E9E" w:rsidRPr="00C30121" w:rsidRDefault="00F67E9E" w:rsidP="0052486C">
            <w:pPr>
              <w:pStyle w:val="StdBodyText"/>
              <w:keepNext/>
              <w:rPr>
                <w:rFonts w:cs="Arial"/>
                <w:sz w:val="24"/>
              </w:rPr>
            </w:pPr>
          </w:p>
        </w:tc>
        <w:tc>
          <w:tcPr>
            <w:tcW w:w="4535" w:type="dxa"/>
          </w:tcPr>
          <w:p w14:paraId="32055C91" w14:textId="77777777" w:rsidR="00F67E9E" w:rsidRPr="00C30121" w:rsidRDefault="00F67E9E" w:rsidP="0052486C">
            <w:pPr>
              <w:pStyle w:val="StdBodyText"/>
              <w:keepNext/>
              <w:rPr>
                <w:rFonts w:cs="Arial"/>
                <w:sz w:val="24"/>
              </w:rPr>
            </w:pPr>
          </w:p>
        </w:tc>
      </w:tr>
      <w:tr w:rsidR="00F67E9E" w:rsidRPr="00C30121" w14:paraId="0EF4E69F" w14:textId="77777777" w:rsidTr="0052486C">
        <w:tc>
          <w:tcPr>
            <w:tcW w:w="5669" w:type="dxa"/>
          </w:tcPr>
          <w:p w14:paraId="754B7655" w14:textId="77777777" w:rsidR="00F67E9E" w:rsidRPr="00C30121" w:rsidRDefault="00F67E9E" w:rsidP="0052486C">
            <w:pPr>
              <w:pStyle w:val="StdBodyText"/>
              <w:keepNext/>
              <w:rPr>
                <w:rFonts w:cs="Arial"/>
                <w:sz w:val="24"/>
              </w:rPr>
            </w:pPr>
            <w:r w:rsidRPr="00C30121">
              <w:rPr>
                <w:rFonts w:cs="Arial"/>
                <w:sz w:val="24"/>
              </w:rPr>
              <w:t>…………………………………………….</w:t>
            </w:r>
            <w:r w:rsidRPr="00C30121">
              <w:rPr>
                <w:rFonts w:cs="Arial"/>
                <w:sz w:val="24"/>
              </w:rPr>
              <w:br/>
            </w:r>
            <w:r w:rsidRPr="00C30121">
              <w:rPr>
                <w:rFonts w:cs="Arial"/>
                <w:sz w:val="24"/>
                <w:highlight w:val="yellow"/>
              </w:rPr>
              <w:t>[Signature of Witness]</w:t>
            </w:r>
          </w:p>
        </w:tc>
        <w:tc>
          <w:tcPr>
            <w:tcW w:w="4535" w:type="dxa"/>
          </w:tcPr>
          <w:p w14:paraId="6B0794C9" w14:textId="77777777" w:rsidR="00F67E9E" w:rsidRPr="00C30121" w:rsidRDefault="00F67E9E" w:rsidP="0052486C">
            <w:pPr>
              <w:pStyle w:val="StdBodyText"/>
              <w:keepNext/>
              <w:rPr>
                <w:rFonts w:cs="Arial"/>
                <w:sz w:val="24"/>
              </w:rPr>
            </w:pPr>
            <w:r w:rsidRPr="00C30121">
              <w:rPr>
                <w:rFonts w:cs="Arial"/>
                <w:sz w:val="24"/>
              </w:rPr>
              <w:t>…………………………………………….</w:t>
            </w:r>
            <w:r w:rsidRPr="00C30121">
              <w:rPr>
                <w:rFonts w:cs="Arial"/>
                <w:sz w:val="24"/>
              </w:rPr>
              <w:br/>
            </w:r>
            <w:r w:rsidRPr="00C30121">
              <w:rPr>
                <w:rFonts w:cs="Arial"/>
                <w:sz w:val="24"/>
                <w:highlight w:val="yellow"/>
              </w:rPr>
              <w:t>[Signature of Director]</w:t>
            </w:r>
          </w:p>
          <w:p w14:paraId="1CE3D13E" w14:textId="77777777" w:rsidR="00F67E9E" w:rsidRPr="00C30121" w:rsidRDefault="00F67E9E" w:rsidP="0052486C">
            <w:pPr>
              <w:pStyle w:val="StdBodyText"/>
              <w:keepNext/>
              <w:rPr>
                <w:rFonts w:cs="Arial"/>
                <w:sz w:val="24"/>
              </w:rPr>
            </w:pPr>
          </w:p>
          <w:p w14:paraId="6ADEF27D" w14:textId="77777777" w:rsidR="00F67E9E" w:rsidRPr="00C30121" w:rsidRDefault="00F67E9E" w:rsidP="0052486C">
            <w:pPr>
              <w:pStyle w:val="StdBodyText"/>
              <w:keepNext/>
              <w:rPr>
                <w:rFonts w:cs="Arial"/>
                <w:sz w:val="24"/>
              </w:rPr>
            </w:pPr>
            <w:r w:rsidRPr="00C30121">
              <w:rPr>
                <w:rFonts w:cs="Arial"/>
                <w:sz w:val="24"/>
              </w:rPr>
              <w:t>Name of Director:</w:t>
            </w:r>
          </w:p>
          <w:p w14:paraId="0609A3BE" w14:textId="77777777" w:rsidR="00F67E9E" w:rsidRPr="00C30121" w:rsidRDefault="00F67E9E" w:rsidP="0052486C">
            <w:pPr>
              <w:pStyle w:val="StdBodyText"/>
              <w:keepNext/>
              <w:rPr>
                <w:rFonts w:cs="Arial"/>
                <w:sz w:val="24"/>
              </w:rPr>
            </w:pPr>
            <w:r w:rsidRPr="00C30121">
              <w:rPr>
                <w:rFonts w:cs="Arial"/>
                <w:sz w:val="24"/>
              </w:rPr>
              <w:br/>
              <w:t>……………………………………………</w:t>
            </w:r>
          </w:p>
          <w:p w14:paraId="3ADB6D17" w14:textId="77777777" w:rsidR="00F67E9E" w:rsidRPr="00C30121" w:rsidRDefault="00F67E9E" w:rsidP="0052486C">
            <w:pPr>
              <w:pStyle w:val="StdBodyText"/>
              <w:keepNext/>
              <w:rPr>
                <w:rFonts w:cs="Arial"/>
                <w:sz w:val="24"/>
              </w:rPr>
            </w:pPr>
          </w:p>
        </w:tc>
      </w:tr>
      <w:tr w:rsidR="00F67E9E" w:rsidRPr="00C30121" w14:paraId="4BAA8687" w14:textId="77777777" w:rsidTr="0052486C">
        <w:tc>
          <w:tcPr>
            <w:tcW w:w="5669" w:type="dxa"/>
          </w:tcPr>
          <w:p w14:paraId="64401E60" w14:textId="77777777" w:rsidR="00F67E9E" w:rsidRPr="00C30121" w:rsidRDefault="00F67E9E" w:rsidP="0052486C">
            <w:pPr>
              <w:pStyle w:val="StdBodyText"/>
              <w:keepNext/>
              <w:rPr>
                <w:rFonts w:cs="Arial"/>
                <w:sz w:val="24"/>
              </w:rPr>
            </w:pPr>
            <w:r w:rsidRPr="00C30121">
              <w:rPr>
                <w:rFonts w:cs="Arial"/>
                <w:sz w:val="24"/>
              </w:rPr>
              <w:t>Name of Witness:</w:t>
            </w:r>
          </w:p>
          <w:p w14:paraId="0ADA470F" w14:textId="77777777" w:rsidR="00F67E9E" w:rsidRPr="00C30121" w:rsidRDefault="00F67E9E" w:rsidP="0052486C">
            <w:pPr>
              <w:pStyle w:val="StdBodyText"/>
              <w:keepNext/>
              <w:rPr>
                <w:rFonts w:cs="Arial"/>
                <w:sz w:val="24"/>
              </w:rPr>
            </w:pPr>
          </w:p>
        </w:tc>
        <w:tc>
          <w:tcPr>
            <w:tcW w:w="4535" w:type="dxa"/>
          </w:tcPr>
          <w:p w14:paraId="72E4B96D" w14:textId="77777777" w:rsidR="00F67E9E" w:rsidRPr="00C30121" w:rsidRDefault="00F67E9E" w:rsidP="0052486C">
            <w:pPr>
              <w:pStyle w:val="StdBodyText"/>
              <w:keepNext/>
              <w:rPr>
                <w:rFonts w:cs="Arial"/>
                <w:sz w:val="24"/>
              </w:rPr>
            </w:pPr>
            <w:r w:rsidRPr="00C30121">
              <w:rPr>
                <w:rFonts w:cs="Arial"/>
                <w:sz w:val="24"/>
              </w:rPr>
              <w:t>……………………………………………</w:t>
            </w:r>
          </w:p>
        </w:tc>
      </w:tr>
      <w:tr w:rsidR="00F67E9E" w:rsidRPr="00C30121" w14:paraId="2AEED311" w14:textId="77777777" w:rsidTr="0052486C">
        <w:tc>
          <w:tcPr>
            <w:tcW w:w="5669" w:type="dxa"/>
          </w:tcPr>
          <w:p w14:paraId="67F7D3AA" w14:textId="77777777" w:rsidR="00F67E9E" w:rsidRPr="00C30121" w:rsidRDefault="00F67E9E" w:rsidP="0052486C">
            <w:pPr>
              <w:pStyle w:val="StdBodyText"/>
              <w:keepNext/>
              <w:rPr>
                <w:rFonts w:cs="Arial"/>
                <w:sz w:val="24"/>
              </w:rPr>
            </w:pPr>
            <w:r w:rsidRPr="00C30121">
              <w:rPr>
                <w:rFonts w:cs="Arial"/>
                <w:sz w:val="24"/>
              </w:rPr>
              <w:t>Address of Witness:</w:t>
            </w:r>
          </w:p>
          <w:p w14:paraId="29800CCE" w14:textId="77777777" w:rsidR="00F67E9E" w:rsidRPr="00C30121" w:rsidRDefault="00F67E9E" w:rsidP="0052486C">
            <w:pPr>
              <w:pStyle w:val="StdBodyText"/>
              <w:keepNext/>
              <w:rPr>
                <w:rFonts w:cs="Arial"/>
                <w:sz w:val="24"/>
              </w:rPr>
            </w:pPr>
          </w:p>
        </w:tc>
        <w:tc>
          <w:tcPr>
            <w:tcW w:w="4535" w:type="dxa"/>
          </w:tcPr>
          <w:p w14:paraId="307811D4" w14:textId="77777777" w:rsidR="00F67E9E" w:rsidRPr="00C30121" w:rsidRDefault="00F67E9E" w:rsidP="0052486C">
            <w:pPr>
              <w:pStyle w:val="StdBodyText"/>
              <w:keepNext/>
              <w:rPr>
                <w:rFonts w:cs="Arial"/>
                <w:sz w:val="24"/>
              </w:rPr>
            </w:pPr>
            <w:r w:rsidRPr="00C30121">
              <w:rPr>
                <w:rFonts w:cs="Arial"/>
                <w:sz w:val="24"/>
              </w:rPr>
              <w:t>……………………………………………</w:t>
            </w:r>
          </w:p>
          <w:p w14:paraId="0950C770" w14:textId="77777777" w:rsidR="00F67E9E" w:rsidRPr="00C30121" w:rsidRDefault="00F67E9E" w:rsidP="0052486C">
            <w:pPr>
              <w:pStyle w:val="StdBodyText"/>
              <w:keepNext/>
              <w:rPr>
                <w:rFonts w:cs="Arial"/>
                <w:sz w:val="24"/>
              </w:rPr>
            </w:pPr>
          </w:p>
          <w:p w14:paraId="7AFFC9DB" w14:textId="77777777" w:rsidR="00F67E9E" w:rsidRPr="00C30121" w:rsidRDefault="00F67E9E" w:rsidP="0052486C">
            <w:pPr>
              <w:pStyle w:val="StdBodyText"/>
              <w:keepNext/>
              <w:rPr>
                <w:rFonts w:cs="Arial"/>
                <w:sz w:val="24"/>
              </w:rPr>
            </w:pPr>
            <w:r w:rsidRPr="00C30121">
              <w:rPr>
                <w:rFonts w:cs="Arial"/>
                <w:sz w:val="24"/>
              </w:rPr>
              <w:t>……………………………………………</w:t>
            </w:r>
          </w:p>
          <w:p w14:paraId="41EFE346" w14:textId="77777777" w:rsidR="00F67E9E" w:rsidRPr="00C30121" w:rsidRDefault="00F67E9E" w:rsidP="0052486C">
            <w:pPr>
              <w:pStyle w:val="StdBodyText"/>
              <w:keepNext/>
              <w:rPr>
                <w:rFonts w:cs="Arial"/>
                <w:sz w:val="24"/>
              </w:rPr>
            </w:pPr>
          </w:p>
        </w:tc>
      </w:tr>
      <w:tr w:rsidR="00F67E9E" w:rsidRPr="00C30121" w14:paraId="4FF037ED" w14:textId="77777777" w:rsidTr="0052486C">
        <w:tc>
          <w:tcPr>
            <w:tcW w:w="5669" w:type="dxa"/>
          </w:tcPr>
          <w:p w14:paraId="2723F677" w14:textId="77777777" w:rsidR="00F67E9E" w:rsidRPr="00C30121" w:rsidRDefault="00F67E9E" w:rsidP="0052486C">
            <w:pPr>
              <w:pStyle w:val="StdBodyText"/>
              <w:keepNext/>
              <w:rPr>
                <w:rFonts w:cs="Arial"/>
                <w:sz w:val="24"/>
              </w:rPr>
            </w:pPr>
            <w:r w:rsidRPr="00C30121">
              <w:rPr>
                <w:rFonts w:cs="Arial"/>
                <w:sz w:val="24"/>
              </w:rPr>
              <w:t>Occupation of Witness:</w:t>
            </w:r>
          </w:p>
        </w:tc>
        <w:tc>
          <w:tcPr>
            <w:tcW w:w="4535" w:type="dxa"/>
          </w:tcPr>
          <w:p w14:paraId="29B2EB0E" w14:textId="77777777" w:rsidR="00F67E9E" w:rsidRPr="00C30121" w:rsidRDefault="00F67E9E" w:rsidP="0052486C">
            <w:pPr>
              <w:pStyle w:val="StdBodyText"/>
              <w:keepNext/>
              <w:rPr>
                <w:rFonts w:cs="Arial"/>
                <w:sz w:val="24"/>
              </w:rPr>
            </w:pPr>
            <w:r w:rsidRPr="00C30121">
              <w:rPr>
                <w:rFonts w:cs="Arial"/>
                <w:sz w:val="24"/>
              </w:rPr>
              <w:t>……………………………………………</w:t>
            </w:r>
          </w:p>
        </w:tc>
      </w:tr>
    </w:tbl>
    <w:p w14:paraId="4D9E4FA5" w14:textId="77777777" w:rsidR="00F67E9E" w:rsidRDefault="00F67E9E" w:rsidP="00F67E9E"/>
    <w:p w14:paraId="4D6250E5" w14:textId="77777777" w:rsidR="00F67E9E" w:rsidRDefault="00F67E9E" w:rsidP="00F67E9E"/>
    <w:p w14:paraId="4FC646DE" w14:textId="77777777" w:rsidR="00F67E9E" w:rsidRDefault="00F67E9E" w:rsidP="00F67E9E">
      <w:pPr>
        <w:sectPr w:rsidR="00F67E9E" w:rsidSect="00240D26">
          <w:headerReference w:type="default" r:id="rId164"/>
          <w:footerReference w:type="default" r:id="rId165"/>
          <w:pgSz w:w="11900" w:h="16840"/>
          <w:pgMar w:top="1701" w:right="851" w:bottom="1134" w:left="851" w:header="567" w:footer="567" w:gutter="0"/>
          <w:cols w:space="720"/>
          <w:docGrid w:linePitch="360"/>
        </w:sectPr>
      </w:pPr>
    </w:p>
    <w:p w14:paraId="04999F26" w14:textId="77777777" w:rsidR="00F67E9E" w:rsidRPr="00EE4F10" w:rsidRDefault="00F67E9E" w:rsidP="00F67E9E">
      <w:pPr>
        <w:pStyle w:val="Dividername"/>
      </w:pPr>
      <w:r w:rsidRPr="00EE4F10">
        <w:lastRenderedPageBreak/>
        <w:t>Schedule 31</w:t>
      </w:r>
    </w:p>
    <w:p w14:paraId="147B28E2" w14:textId="77777777" w:rsidR="00F67E9E" w:rsidRPr="00EE4F10" w:rsidRDefault="00F67E9E" w:rsidP="00F67E9E">
      <w:pPr>
        <w:pStyle w:val="Dividername"/>
      </w:pPr>
      <w:r w:rsidRPr="00EE4F10">
        <w:t>Processing Personal Data</w:t>
      </w:r>
    </w:p>
    <w:p w14:paraId="53DC22CB" w14:textId="77777777" w:rsidR="00F67E9E" w:rsidRDefault="00F67E9E" w:rsidP="00F67E9E">
      <w:pPr>
        <w:rPr>
          <w:lang w:eastAsia="en-GB"/>
        </w:rPr>
      </w:pPr>
    </w:p>
    <w:p w14:paraId="3F2FA488" w14:textId="77777777" w:rsidR="00F67E9E" w:rsidRDefault="00F67E9E" w:rsidP="00F67E9E">
      <w:pPr>
        <w:rPr>
          <w:lang w:eastAsia="en-GB"/>
        </w:rPr>
      </w:pPr>
      <w:r>
        <w:rPr>
          <w:lang w:eastAsia="en-GB"/>
        </w:rPr>
        <w:br w:type="page"/>
      </w:r>
    </w:p>
    <w:p w14:paraId="21C7C6A1" w14:textId="77777777" w:rsidR="00F67E9E" w:rsidRPr="00DD4CC2" w:rsidRDefault="00F67E9E" w:rsidP="00F67E9E">
      <w:pPr>
        <w:pStyle w:val="Heading1"/>
      </w:pPr>
      <w:bookmarkStart w:id="2552" w:name="Schedule31"/>
      <w:bookmarkStart w:id="2553" w:name="_Ref92200097"/>
      <w:bookmarkStart w:id="2554" w:name="_Toc145412831"/>
      <w:r w:rsidRPr="00016234">
        <w:lastRenderedPageBreak/>
        <w:t>Schedule</w:t>
      </w:r>
      <w:r>
        <w:t> </w:t>
      </w:r>
      <w:r w:rsidRPr="00016234">
        <w:t>31</w:t>
      </w:r>
      <w:bookmarkEnd w:id="2552"/>
      <w:r>
        <w:t xml:space="preserve">: </w:t>
      </w:r>
      <w:bookmarkStart w:id="2555" w:name="Schedule31Heading"/>
      <w:r w:rsidRPr="00DD4CC2">
        <w:t>Processing Personal Data</w:t>
      </w:r>
      <w:bookmarkEnd w:id="2553"/>
      <w:bookmarkEnd w:id="2554"/>
      <w:bookmarkEnd w:id="2555"/>
    </w:p>
    <w:p w14:paraId="081BE46F" w14:textId="77777777" w:rsidR="00F67E9E" w:rsidRPr="002F2E6A" w:rsidRDefault="00F67E9E" w:rsidP="00E1349E">
      <w:pPr>
        <w:pStyle w:val="Numbered1"/>
        <w:numPr>
          <w:ilvl w:val="0"/>
          <w:numId w:val="185"/>
        </w:numPr>
      </w:pPr>
      <w:r w:rsidRPr="002F2E6A">
        <w:t xml:space="preserve">Data </w:t>
      </w:r>
      <w:r w:rsidRPr="00211A99">
        <w:t>Processing</w:t>
      </w:r>
    </w:p>
    <w:p w14:paraId="311736EA" w14:textId="77777777" w:rsidR="00F67E9E" w:rsidRPr="00016234" w:rsidRDefault="00F67E9E" w:rsidP="00F67E9E">
      <w:pPr>
        <w:pStyle w:val="Numbered11"/>
      </w:pPr>
      <w:r w:rsidRPr="00016234">
        <w:t>This Schedule shall be completed by the Controller, who may take account of the view of the Processor, however the final decision as to the content of this Schedule shall be with the Authority at its absolute discretion.</w:t>
      </w:r>
    </w:p>
    <w:p w14:paraId="558A107D" w14:textId="2EC987BF" w:rsidR="00843493" w:rsidRPr="00843493" w:rsidRDefault="00F67E9E" w:rsidP="00843493">
      <w:pPr>
        <w:pStyle w:val="Numbered11"/>
      </w:pPr>
      <w:bookmarkStart w:id="2556" w:name="_Ref141303049"/>
      <w:r w:rsidRPr="00FE5D62">
        <w:t>The contact details of the Authority</w:t>
      </w:r>
      <w:r>
        <w:t>’</w:t>
      </w:r>
      <w:r w:rsidRPr="00FE5D62">
        <w:t xml:space="preserve">s Data Protection Officer are: </w:t>
      </w:r>
      <w:bookmarkEnd w:id="2556"/>
      <w:r w:rsidR="00843493" w:rsidRPr="00843493">
        <w:rPr>
          <w:b/>
          <w:color w:val="FFFF00"/>
          <w:highlight w:val="black"/>
        </w:rPr>
        <w:t>Redacted</w:t>
      </w:r>
      <w:r w:rsidR="00843493" w:rsidRPr="00843493">
        <w:rPr>
          <w:b/>
          <w:highlight w:val="black"/>
        </w:rPr>
        <w:t xml:space="preserve"> </w:t>
      </w:r>
      <w:r w:rsidR="00843493" w:rsidRPr="00843493">
        <w:rPr>
          <w:b/>
          <w:color w:val="FFFFFF" w:themeColor="background1"/>
          <w:highlight w:val="black"/>
        </w:rPr>
        <w:t>Under FOIA Section 40, Personal Information</w:t>
      </w:r>
      <w:r w:rsidR="00843493" w:rsidRPr="001D763B">
        <w:t xml:space="preserve"> </w:t>
      </w:r>
    </w:p>
    <w:p w14:paraId="536912CB" w14:textId="15387320" w:rsidR="00352D1E" w:rsidRPr="00352D1E" w:rsidRDefault="00F67E9E" w:rsidP="00352D1E">
      <w:pPr>
        <w:pStyle w:val="Numbered11"/>
        <w:rPr>
          <w:rStyle w:val="StdBodyTextBoldChar"/>
          <w:rFonts w:eastAsia="Arial" w:cs="Arial"/>
          <w:bCs/>
        </w:rPr>
      </w:pPr>
      <w:r w:rsidRPr="001D763B">
        <w:t>The contact details of the Supplier</w:t>
      </w:r>
      <w:r>
        <w:t>’</w:t>
      </w:r>
      <w:r w:rsidRPr="001D763B">
        <w:t xml:space="preserve">s Data Protection Officer are: </w:t>
      </w:r>
      <w:r w:rsidR="00843493" w:rsidRPr="00F95340">
        <w:rPr>
          <w:b/>
          <w:color w:val="FFFF00"/>
          <w:highlight w:val="black"/>
        </w:rPr>
        <w:t>Redacted</w:t>
      </w:r>
      <w:r w:rsidR="00843493" w:rsidRPr="00F95340">
        <w:rPr>
          <w:b/>
          <w:highlight w:val="black"/>
        </w:rPr>
        <w:t xml:space="preserve"> </w:t>
      </w:r>
      <w:r w:rsidR="00843493" w:rsidRPr="00F95340">
        <w:rPr>
          <w:b/>
          <w:color w:val="FFFFFF" w:themeColor="background1"/>
          <w:highlight w:val="black"/>
        </w:rPr>
        <w:t xml:space="preserve">Under FOIA Section </w:t>
      </w:r>
      <w:r w:rsidR="00843493">
        <w:rPr>
          <w:b/>
          <w:color w:val="FFFFFF" w:themeColor="background1"/>
          <w:highlight w:val="black"/>
        </w:rPr>
        <w:t>40</w:t>
      </w:r>
      <w:r w:rsidR="00843493" w:rsidRPr="00397217">
        <w:rPr>
          <w:b/>
          <w:color w:val="FFFFFF" w:themeColor="background1"/>
          <w:highlight w:val="black"/>
        </w:rPr>
        <w:t>, Personal Information</w:t>
      </w:r>
    </w:p>
    <w:p w14:paraId="356B0817" w14:textId="7630F57D" w:rsidR="00F67E9E" w:rsidRDefault="00F67E9E" w:rsidP="00F67E9E">
      <w:pPr>
        <w:pStyle w:val="Numbered11"/>
      </w:pPr>
      <w:r w:rsidRPr="001D763B">
        <w:t>The Processor shall comply with any further written instructions with respect to processing by the Controller.</w:t>
      </w:r>
    </w:p>
    <w:p w14:paraId="662223A2" w14:textId="63AF2C7D" w:rsidR="00F67E9E" w:rsidRDefault="00F67E9E" w:rsidP="00F67E9E">
      <w:pPr>
        <w:pStyle w:val="Numbered11"/>
      </w:pPr>
      <w:r w:rsidRPr="001D763B">
        <w:t xml:space="preserve">Any such further instructions shall be incorporated into </w:t>
      </w:r>
      <w:r w:rsidRPr="00016234">
        <w:t>this Schedule.</w:t>
      </w:r>
    </w:p>
    <w:p w14:paraId="524AACD2" w14:textId="4FE39D04" w:rsidR="00935DDC" w:rsidRDefault="00935DDC" w:rsidP="00935DDC">
      <w:pPr>
        <w:pStyle w:val="Numbered11"/>
        <w:numPr>
          <w:ilvl w:val="0"/>
          <w:numId w:val="0"/>
        </w:numPr>
      </w:pPr>
    </w:p>
    <w:tbl>
      <w:tblPr>
        <w:tblW w:w="1030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5"/>
        <w:gridCol w:w="7909"/>
      </w:tblGrid>
      <w:tr w:rsidR="009F10CE" w:rsidRPr="009F10CE" w14:paraId="28D1634D" w14:textId="77777777" w:rsidTr="009F10CE">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5DDC1EFF"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b/>
                <w:color w:val="000000"/>
                <w:szCs w:val="24"/>
              </w:rPr>
            </w:pPr>
            <w:r w:rsidRPr="009F10CE">
              <w:rPr>
                <w:rFonts w:asciiTheme="minorHAnsi" w:eastAsia="Arial" w:hAnsiTheme="minorHAnsi" w:cstheme="minorHAnsi"/>
                <w:b/>
                <w:color w:val="000000"/>
                <w:szCs w:val="24"/>
              </w:rPr>
              <w:t>Description</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609E0276"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b/>
                <w:color w:val="000000"/>
                <w:szCs w:val="24"/>
              </w:rPr>
            </w:pPr>
            <w:r w:rsidRPr="009F10CE">
              <w:rPr>
                <w:rFonts w:asciiTheme="minorHAnsi" w:eastAsia="Arial" w:hAnsiTheme="minorHAnsi" w:cstheme="minorHAnsi"/>
                <w:b/>
                <w:color w:val="000000"/>
                <w:szCs w:val="24"/>
              </w:rPr>
              <w:t>Details</w:t>
            </w:r>
          </w:p>
        </w:tc>
      </w:tr>
      <w:tr w:rsidR="009F10CE" w:rsidRPr="009F10CE" w14:paraId="36C11F1C" w14:textId="77777777" w:rsidTr="009F10CE">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03DB532C" w14:textId="6C082C5D" w:rsidR="009F10CE" w:rsidRPr="009F10CE" w:rsidRDefault="00B7471A" w:rsidP="006158F0">
            <w:pPr>
              <w:pBdr>
                <w:top w:val="nil"/>
                <w:left w:val="nil"/>
                <w:bottom w:val="nil"/>
                <w:right w:val="nil"/>
                <w:between w:val="nil"/>
              </w:pBdr>
              <w:spacing w:before="100" w:after="200"/>
              <w:rPr>
                <w:rFonts w:asciiTheme="minorHAnsi" w:eastAsia="Arial" w:hAnsiTheme="minorHAnsi" w:cstheme="minorHAnsi"/>
                <w:color w:val="000000"/>
                <w:szCs w:val="24"/>
              </w:rPr>
            </w:pPr>
            <w:r>
              <w:rPr>
                <w:rFonts w:asciiTheme="minorHAnsi" w:eastAsia="Arial" w:hAnsiTheme="minorHAnsi" w:cstheme="minorHAnsi"/>
                <w:color w:val="000000"/>
                <w:szCs w:val="24"/>
              </w:rPr>
              <w:t xml:space="preserve">1. </w:t>
            </w:r>
            <w:r w:rsidR="009F10CE" w:rsidRPr="009F10CE">
              <w:rPr>
                <w:rFonts w:asciiTheme="minorHAnsi" w:eastAsia="Arial" w:hAnsiTheme="minorHAnsi" w:cstheme="minorHAnsi"/>
                <w:color w:val="000000"/>
                <w:szCs w:val="24"/>
              </w:rPr>
              <w:t>Identity of Controller for each Category of Personal Data</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10127C6E"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b/>
                <w:color w:val="000000"/>
                <w:szCs w:val="24"/>
              </w:rPr>
            </w:pPr>
            <w:r w:rsidRPr="009F10CE">
              <w:rPr>
                <w:rFonts w:asciiTheme="minorHAnsi" w:eastAsia="Arial" w:hAnsiTheme="minorHAnsi" w:cstheme="minorHAnsi"/>
                <w:b/>
                <w:color w:val="000000"/>
                <w:szCs w:val="24"/>
              </w:rPr>
              <w:t>The Authority is Controller and the Supplier is Processor</w:t>
            </w:r>
          </w:p>
          <w:p w14:paraId="303C3957"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color w:val="000000"/>
                <w:szCs w:val="24"/>
              </w:rPr>
            </w:pPr>
            <w:r w:rsidRPr="009F10CE">
              <w:rPr>
                <w:rFonts w:asciiTheme="minorHAnsi" w:eastAsia="Arial" w:hAnsiTheme="minorHAnsi" w:cstheme="minorHAnsi"/>
                <w:color w:val="000000"/>
                <w:szCs w:val="24"/>
              </w:rPr>
              <w:t>The Parties acknowledge that in accordance with Clause 21.2 to 23.15 and for the purposes of the Data Protection Legislation, the Authority is the Controller and the Supplier is the Processor of the following Personal Data:</w:t>
            </w:r>
          </w:p>
          <w:p w14:paraId="11708CFC" w14:textId="2CB7890A" w:rsidR="009F10CE" w:rsidRPr="00935DDC" w:rsidRDefault="009F10CE" w:rsidP="00E1349E">
            <w:pPr>
              <w:numPr>
                <w:ilvl w:val="0"/>
                <w:numId w:val="190"/>
              </w:numPr>
              <w:pBdr>
                <w:top w:val="nil"/>
                <w:left w:val="nil"/>
                <w:bottom w:val="nil"/>
                <w:right w:val="nil"/>
                <w:between w:val="nil"/>
              </w:pBdr>
              <w:spacing w:before="100" w:after="200"/>
              <w:rPr>
                <w:rFonts w:asciiTheme="minorHAnsi" w:hAnsiTheme="minorHAnsi" w:cstheme="minorHAnsi"/>
                <w:szCs w:val="24"/>
              </w:rPr>
            </w:pPr>
            <w:r w:rsidRPr="009F10CE">
              <w:rPr>
                <w:rFonts w:asciiTheme="minorHAnsi" w:eastAsia="Arial" w:hAnsiTheme="minorHAnsi" w:cstheme="minorHAnsi"/>
                <w:color w:val="000000"/>
                <w:szCs w:val="24"/>
              </w:rPr>
              <w:t>All personal data that is used for the creation of accounts for Civil Service Jobs, and for all applications for vacancies. This includes any special category data used for equality monitoring.</w:t>
            </w:r>
          </w:p>
          <w:p w14:paraId="1811219F" w14:textId="3322C1B2" w:rsidR="00935DDC" w:rsidRPr="009F10CE" w:rsidRDefault="00935DDC" w:rsidP="00935DDC">
            <w:pPr>
              <w:pBdr>
                <w:top w:val="nil"/>
                <w:left w:val="nil"/>
                <w:bottom w:val="nil"/>
                <w:right w:val="nil"/>
                <w:between w:val="nil"/>
              </w:pBdr>
              <w:spacing w:before="100" w:after="200"/>
              <w:rPr>
                <w:rFonts w:asciiTheme="minorHAnsi" w:hAnsiTheme="minorHAnsi" w:cstheme="minorHAnsi"/>
                <w:szCs w:val="24"/>
              </w:rPr>
            </w:pPr>
            <w:r>
              <w:rPr>
                <w:rFonts w:asciiTheme="minorHAnsi" w:eastAsia="Arial" w:hAnsiTheme="minorHAnsi" w:cstheme="minorHAnsi"/>
                <w:color w:val="000000"/>
                <w:szCs w:val="24"/>
              </w:rPr>
              <w:t>The details of the Processing set out in section 2 of this table below relate to the Processing where the Authority is the Controller and the Supplier is the Processor.</w:t>
            </w:r>
          </w:p>
          <w:p w14:paraId="58BCA780" w14:textId="77777777" w:rsidR="00935DDC" w:rsidRPr="00A03FEC" w:rsidRDefault="00935DDC" w:rsidP="00935DDC">
            <w:pPr>
              <w:pStyle w:val="StdBodyTextBold"/>
              <w:spacing w:after="0"/>
              <w:rPr>
                <w:rFonts w:cs="Arial"/>
              </w:rPr>
            </w:pPr>
            <w:r w:rsidRPr="00831B1E">
              <w:rPr>
                <w:rFonts w:cs="Arial"/>
              </w:rPr>
              <w:t>The Parties are Independent Controllers of Personal Data</w:t>
            </w:r>
          </w:p>
          <w:p w14:paraId="553DD209" w14:textId="77777777" w:rsidR="00935DDC" w:rsidRDefault="00935DDC" w:rsidP="00935DDC">
            <w:pPr>
              <w:pStyle w:val="StdBodyText"/>
              <w:spacing w:before="0" w:after="120"/>
              <w:rPr>
                <w:rFonts w:cs="Arial"/>
                <w:iCs/>
              </w:rPr>
            </w:pPr>
          </w:p>
          <w:p w14:paraId="5872C16D" w14:textId="4B1A911D" w:rsidR="00935DDC" w:rsidRPr="00DD4CC2" w:rsidRDefault="00935DDC" w:rsidP="00935DDC">
            <w:pPr>
              <w:pStyle w:val="StdBodyText"/>
              <w:spacing w:before="0" w:after="120"/>
              <w:rPr>
                <w:rFonts w:cs="Arial"/>
                <w:iCs/>
              </w:rPr>
            </w:pPr>
            <w:r w:rsidRPr="00DD4CC2">
              <w:rPr>
                <w:rFonts w:cs="Arial"/>
                <w:iCs/>
              </w:rPr>
              <w:t>The Parties acknowledge that they are Independent Controllers for the purposes of the Data Protection Legislation in respect of:</w:t>
            </w:r>
          </w:p>
          <w:p w14:paraId="457349F7" w14:textId="0ECEECB6" w:rsidR="00935DDC" w:rsidRPr="00B7471A" w:rsidRDefault="00935DDC" w:rsidP="00E1349E">
            <w:pPr>
              <w:pStyle w:val="StdBodyText"/>
              <w:numPr>
                <w:ilvl w:val="0"/>
                <w:numId w:val="192"/>
              </w:numPr>
              <w:spacing w:before="0" w:after="120"/>
              <w:rPr>
                <w:rFonts w:cs="Arial"/>
                <w:iCs/>
              </w:rPr>
            </w:pPr>
            <w:r w:rsidRPr="00472C5C">
              <w:rPr>
                <w:rFonts w:cs="Arial"/>
                <w:iCs/>
              </w:rPr>
              <w:t xml:space="preserve">Personally </w:t>
            </w:r>
            <w:r>
              <w:rPr>
                <w:rFonts w:cs="Arial"/>
                <w:iCs/>
              </w:rPr>
              <w:t>identifiable information</w:t>
            </w:r>
            <w:r w:rsidRPr="00B7471A">
              <w:rPr>
                <w:rFonts w:cs="Arial"/>
                <w:iCs/>
              </w:rPr>
              <w:t xml:space="preserve"> of Supplier Personnel,</w:t>
            </w:r>
          </w:p>
          <w:p w14:paraId="5061D007" w14:textId="77777777" w:rsidR="009F10CE" w:rsidRDefault="00935DDC" w:rsidP="00E1349E">
            <w:pPr>
              <w:pStyle w:val="StdBodyText"/>
              <w:numPr>
                <w:ilvl w:val="0"/>
                <w:numId w:val="192"/>
              </w:numPr>
              <w:spacing w:before="0" w:after="120"/>
              <w:rPr>
                <w:rFonts w:cs="Arial"/>
                <w:iCs/>
              </w:rPr>
            </w:pPr>
            <w:r w:rsidRPr="00472C5C">
              <w:rPr>
                <w:rFonts w:cs="Arial"/>
                <w:iCs/>
              </w:rPr>
              <w:t xml:space="preserve">Personally </w:t>
            </w:r>
            <w:r>
              <w:rPr>
                <w:rFonts w:cs="Arial"/>
                <w:iCs/>
              </w:rPr>
              <w:t>identifiable information</w:t>
            </w:r>
            <w:r w:rsidRPr="00472C5C">
              <w:rPr>
                <w:rFonts w:cs="Arial"/>
                <w:iCs/>
              </w:rPr>
              <w:t xml:space="preserve"> </w:t>
            </w:r>
            <w:r w:rsidRPr="00DD4CC2">
              <w:rPr>
                <w:rFonts w:cs="Arial"/>
                <w:iCs/>
              </w:rPr>
              <w:t>of any directors, officers, employees, agents, consultants and contractors of the Authority (excluding the Supplier Personnel) engaged in the performance of the Authority’s duties under this Contract).</w:t>
            </w:r>
          </w:p>
          <w:p w14:paraId="75FF8E70" w14:textId="77777777" w:rsidR="00B7471A" w:rsidRPr="00EC506E" w:rsidRDefault="00B7471A" w:rsidP="00B7471A">
            <w:pPr>
              <w:pStyle w:val="StdBodyText"/>
              <w:spacing w:before="0" w:after="120"/>
              <w:rPr>
                <w:rFonts w:cs="Arial"/>
                <w:iCs/>
              </w:rPr>
            </w:pPr>
            <w:r w:rsidRPr="00EC506E">
              <w:rPr>
                <w:rFonts w:cs="Arial"/>
                <w:iCs/>
              </w:rPr>
              <w:t xml:space="preserve">If any such Personal Data is shared between the Parties, the receiving Party shall only use that information to the extent, and for the period, </w:t>
            </w:r>
            <w:r>
              <w:rPr>
                <w:rFonts w:cs="Arial"/>
                <w:iCs/>
              </w:rPr>
              <w:t xml:space="preserve">that is necessary </w:t>
            </w:r>
            <w:r w:rsidRPr="00EC506E">
              <w:rPr>
                <w:rFonts w:cs="Arial"/>
                <w:iCs/>
              </w:rPr>
              <w:t xml:space="preserve">for the purposes of </w:t>
            </w:r>
            <w:r>
              <w:rPr>
                <w:rFonts w:cs="Arial"/>
                <w:iCs/>
              </w:rPr>
              <w:t xml:space="preserve">the receiving Party </w:t>
            </w:r>
            <w:r w:rsidRPr="00EC506E">
              <w:rPr>
                <w:rFonts w:cs="Arial"/>
                <w:iCs/>
              </w:rPr>
              <w:t xml:space="preserve">providing, </w:t>
            </w:r>
            <w:r w:rsidRPr="00EC506E">
              <w:rPr>
                <w:rFonts w:cs="Arial"/>
                <w:iCs/>
              </w:rPr>
              <w:lastRenderedPageBreak/>
              <w:t xml:space="preserve">administering or receiving (as applicable) the Services and/or </w:t>
            </w:r>
            <w:r>
              <w:rPr>
                <w:rFonts w:cs="Arial"/>
                <w:iCs/>
              </w:rPr>
              <w:t xml:space="preserve">managing </w:t>
            </w:r>
            <w:r w:rsidRPr="00EC506E">
              <w:rPr>
                <w:rFonts w:cs="Arial"/>
                <w:iCs/>
              </w:rPr>
              <w:t xml:space="preserve">the relationship between the Parties </w:t>
            </w:r>
            <w:r>
              <w:rPr>
                <w:rFonts w:cs="Arial"/>
                <w:iCs/>
              </w:rPr>
              <w:t>under and/or</w:t>
            </w:r>
            <w:r w:rsidRPr="00EC506E">
              <w:rPr>
                <w:rFonts w:cs="Arial"/>
                <w:iCs/>
              </w:rPr>
              <w:t xml:space="preserve"> pursuant to this Contract.</w:t>
            </w:r>
          </w:p>
          <w:p w14:paraId="68086615" w14:textId="77777777" w:rsidR="00B7471A" w:rsidRPr="00EC506E" w:rsidRDefault="00B7471A" w:rsidP="00B7471A">
            <w:pPr>
              <w:pStyle w:val="StdBodyText"/>
              <w:spacing w:before="0" w:after="120"/>
              <w:rPr>
                <w:rFonts w:cs="Arial"/>
                <w:iCs/>
              </w:rPr>
            </w:pPr>
            <w:r w:rsidRPr="00EC506E">
              <w:rPr>
                <w:rFonts w:cs="Arial"/>
                <w:iCs/>
              </w:rPr>
              <w:t xml:space="preserve">The Supplier's own </w:t>
            </w:r>
            <w:r>
              <w:rPr>
                <w:rFonts w:cs="Arial"/>
                <w:iCs/>
              </w:rPr>
              <w:t>P</w:t>
            </w:r>
            <w:r w:rsidRPr="00EC506E">
              <w:rPr>
                <w:rFonts w:cs="Arial"/>
                <w:iCs/>
              </w:rPr>
              <w:t>rocessing of the Supplier Personnel's Personal Data remains the responsibility of the Supplier.</w:t>
            </w:r>
          </w:p>
          <w:p w14:paraId="25DD52E0" w14:textId="73956A68" w:rsidR="00B7471A" w:rsidRPr="00935DDC" w:rsidRDefault="00B7471A" w:rsidP="00B7471A">
            <w:pPr>
              <w:pStyle w:val="BulletsBody"/>
              <w:numPr>
                <w:ilvl w:val="0"/>
                <w:numId w:val="0"/>
              </w:numPr>
              <w:rPr>
                <w:rFonts w:cs="Arial"/>
                <w:iCs/>
              </w:rPr>
            </w:pPr>
          </w:p>
        </w:tc>
      </w:tr>
      <w:tr w:rsidR="00B7471A" w:rsidRPr="009F10CE" w14:paraId="769BDA47" w14:textId="77777777" w:rsidTr="009F10CE">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1349E7CC" w14:textId="4B476249" w:rsidR="00B7471A" w:rsidRPr="009F10CE" w:rsidRDefault="00B7471A" w:rsidP="006158F0">
            <w:pPr>
              <w:pBdr>
                <w:top w:val="nil"/>
                <w:left w:val="nil"/>
                <w:bottom w:val="nil"/>
                <w:right w:val="nil"/>
                <w:between w:val="nil"/>
              </w:pBdr>
              <w:spacing w:before="100" w:after="200"/>
              <w:rPr>
                <w:rFonts w:asciiTheme="minorHAnsi" w:eastAsia="Arial" w:hAnsiTheme="minorHAnsi" w:cstheme="minorHAnsi"/>
                <w:color w:val="000000"/>
                <w:szCs w:val="24"/>
              </w:rPr>
            </w:pPr>
            <w:r>
              <w:rPr>
                <w:rFonts w:asciiTheme="minorHAnsi" w:eastAsia="Arial" w:hAnsiTheme="minorHAnsi" w:cstheme="minorHAnsi"/>
                <w:color w:val="000000"/>
                <w:szCs w:val="24"/>
              </w:rPr>
              <w:lastRenderedPageBreak/>
              <w:t>2. Details of Processing where Authority is the Controller and the Supplier is Processor</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154E4438" w14:textId="20215B51" w:rsidR="00B7471A" w:rsidRPr="009F10CE" w:rsidRDefault="00846EF2" w:rsidP="00846EF2">
            <w:pPr>
              <w:pBdr>
                <w:top w:val="nil"/>
                <w:left w:val="nil"/>
                <w:bottom w:val="nil"/>
                <w:right w:val="nil"/>
                <w:between w:val="nil"/>
              </w:pBdr>
              <w:spacing w:before="100" w:after="200"/>
              <w:rPr>
                <w:rFonts w:asciiTheme="minorHAnsi" w:eastAsia="Arial" w:hAnsiTheme="minorHAnsi" w:cstheme="minorHAnsi"/>
                <w:color w:val="000000"/>
                <w:szCs w:val="24"/>
              </w:rPr>
            </w:pPr>
            <w:r w:rsidRPr="00846EF2">
              <w:rPr>
                <w:rFonts w:asciiTheme="minorHAnsi" w:eastAsia="Arial" w:hAnsiTheme="minorHAnsi" w:cstheme="minorHAnsi"/>
                <w:color w:val="000000"/>
                <w:szCs w:val="24"/>
              </w:rPr>
              <w:t xml:space="preserve">Under its responsibility as the lead joint data controller for the CS Jobs platform, the </w:t>
            </w:r>
            <w:r>
              <w:rPr>
                <w:rFonts w:asciiTheme="minorHAnsi" w:eastAsia="Arial" w:hAnsiTheme="minorHAnsi" w:cstheme="minorHAnsi"/>
                <w:color w:val="000000"/>
                <w:szCs w:val="24"/>
              </w:rPr>
              <w:t>Authority</w:t>
            </w:r>
            <w:r w:rsidRPr="00846EF2">
              <w:rPr>
                <w:rFonts w:asciiTheme="minorHAnsi" w:eastAsia="Arial" w:hAnsiTheme="minorHAnsi" w:cstheme="minorHAnsi"/>
                <w:color w:val="000000"/>
                <w:szCs w:val="24"/>
              </w:rPr>
              <w:t xml:space="preserve"> will instruct th</w:t>
            </w:r>
            <w:r>
              <w:rPr>
                <w:rFonts w:asciiTheme="minorHAnsi" w:eastAsia="Arial" w:hAnsiTheme="minorHAnsi" w:cstheme="minorHAnsi"/>
                <w:color w:val="000000"/>
                <w:szCs w:val="24"/>
              </w:rPr>
              <w:t>e S</w:t>
            </w:r>
            <w:r w:rsidRPr="00846EF2">
              <w:rPr>
                <w:rFonts w:asciiTheme="minorHAnsi" w:eastAsia="Arial" w:hAnsiTheme="minorHAnsi" w:cstheme="minorHAnsi"/>
                <w:color w:val="000000"/>
                <w:szCs w:val="24"/>
              </w:rPr>
              <w:t>upplier (the data processor) in how the information provided to and used on the Applicant Tracking System (ATS).</w:t>
            </w:r>
          </w:p>
        </w:tc>
      </w:tr>
      <w:tr w:rsidR="009F10CE" w:rsidRPr="009F10CE" w14:paraId="7CEAD1DB" w14:textId="77777777" w:rsidTr="009F10CE">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29D356CE" w14:textId="55991C96" w:rsidR="009F10CE" w:rsidRPr="009F10CE" w:rsidRDefault="00B7471A" w:rsidP="006158F0">
            <w:pPr>
              <w:pBdr>
                <w:top w:val="nil"/>
                <w:left w:val="nil"/>
                <w:bottom w:val="nil"/>
                <w:right w:val="nil"/>
                <w:between w:val="nil"/>
              </w:pBdr>
              <w:spacing w:before="100" w:after="200"/>
              <w:rPr>
                <w:rFonts w:asciiTheme="minorHAnsi" w:eastAsia="Arial" w:hAnsiTheme="minorHAnsi" w:cstheme="minorHAnsi"/>
                <w:color w:val="000000"/>
                <w:szCs w:val="24"/>
              </w:rPr>
            </w:pPr>
            <w:r>
              <w:rPr>
                <w:rFonts w:asciiTheme="minorHAnsi" w:eastAsia="Arial" w:hAnsiTheme="minorHAnsi" w:cstheme="minorHAnsi"/>
                <w:color w:val="000000"/>
                <w:szCs w:val="24"/>
              </w:rPr>
              <w:t xml:space="preserve">2.1 </w:t>
            </w:r>
            <w:r w:rsidR="009F10CE" w:rsidRPr="009F10CE">
              <w:rPr>
                <w:rFonts w:asciiTheme="minorHAnsi" w:eastAsia="Arial" w:hAnsiTheme="minorHAnsi" w:cstheme="minorHAnsi"/>
                <w:color w:val="000000"/>
                <w:szCs w:val="24"/>
              </w:rPr>
              <w:t>Duration of the processing</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BB5EA50" w14:textId="089FCD9E"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color w:val="000000"/>
                <w:szCs w:val="24"/>
              </w:rPr>
            </w:pPr>
            <w:r w:rsidRPr="009F10CE">
              <w:rPr>
                <w:rFonts w:asciiTheme="minorHAnsi" w:eastAsia="Arial" w:hAnsiTheme="minorHAnsi" w:cstheme="minorHAnsi"/>
                <w:color w:val="000000"/>
                <w:szCs w:val="24"/>
              </w:rPr>
              <w:t>The processor will be expected to process data for the duration of the contract (five years with two one year ext</w:t>
            </w:r>
            <w:r w:rsidRPr="009F10CE">
              <w:rPr>
                <w:rFonts w:asciiTheme="minorHAnsi" w:eastAsia="Arial" w:hAnsiTheme="minorHAnsi" w:cstheme="minorHAnsi"/>
                <w:szCs w:val="24"/>
              </w:rPr>
              <w:t>ensions)</w:t>
            </w:r>
            <w:r w:rsidRPr="009F10CE">
              <w:rPr>
                <w:rFonts w:asciiTheme="minorHAnsi" w:eastAsia="Arial" w:hAnsiTheme="minorHAnsi" w:cstheme="minorHAnsi"/>
                <w:color w:val="000000"/>
                <w:szCs w:val="24"/>
              </w:rPr>
              <w:t xml:space="preserve">. Personal data will be retained in accordance with the </w:t>
            </w:r>
            <w:hyperlink r:id="rId166">
              <w:r w:rsidRPr="009F10CE">
                <w:rPr>
                  <w:rFonts w:asciiTheme="minorHAnsi" w:eastAsia="Arial" w:hAnsiTheme="minorHAnsi" w:cstheme="minorHAnsi"/>
                  <w:color w:val="0563C1"/>
                  <w:szCs w:val="24"/>
                  <w:u w:val="single"/>
                </w:rPr>
                <w:t>Civil Service Jobs privacy notice</w:t>
              </w:r>
            </w:hyperlink>
            <w:r w:rsidRPr="009F10CE">
              <w:rPr>
                <w:rFonts w:asciiTheme="minorHAnsi" w:eastAsia="Arial" w:hAnsiTheme="minorHAnsi" w:cstheme="minorHAnsi"/>
                <w:color w:val="000000"/>
                <w:szCs w:val="24"/>
              </w:rPr>
              <w:t>.</w:t>
            </w:r>
          </w:p>
        </w:tc>
      </w:tr>
      <w:tr w:rsidR="009F10CE" w:rsidRPr="009F10CE" w14:paraId="0D78E7F4" w14:textId="77777777" w:rsidTr="009F10CE">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5781B3BF" w14:textId="44D08442" w:rsidR="009F10CE" w:rsidRPr="009F10CE" w:rsidRDefault="00B7471A" w:rsidP="006158F0">
            <w:pPr>
              <w:pBdr>
                <w:top w:val="nil"/>
                <w:left w:val="nil"/>
                <w:bottom w:val="nil"/>
                <w:right w:val="nil"/>
                <w:between w:val="nil"/>
              </w:pBdr>
              <w:spacing w:before="100" w:after="200"/>
              <w:rPr>
                <w:rFonts w:asciiTheme="minorHAnsi" w:eastAsia="Arial" w:hAnsiTheme="minorHAnsi" w:cstheme="minorHAnsi"/>
                <w:color w:val="000000"/>
                <w:szCs w:val="24"/>
              </w:rPr>
            </w:pPr>
            <w:r>
              <w:rPr>
                <w:rFonts w:asciiTheme="minorHAnsi" w:eastAsia="Arial" w:hAnsiTheme="minorHAnsi" w:cstheme="minorHAnsi"/>
                <w:color w:val="000000"/>
                <w:szCs w:val="24"/>
              </w:rPr>
              <w:t xml:space="preserve">2.2 </w:t>
            </w:r>
            <w:r w:rsidR="009F10CE" w:rsidRPr="009F10CE">
              <w:rPr>
                <w:rFonts w:asciiTheme="minorHAnsi" w:eastAsia="Arial" w:hAnsiTheme="minorHAnsi" w:cstheme="minorHAnsi"/>
                <w:color w:val="000000"/>
                <w:szCs w:val="24"/>
              </w:rPr>
              <w:t>Nature and purposes of the processing</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5D98386"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color w:val="000000"/>
                <w:szCs w:val="24"/>
              </w:rPr>
            </w:pPr>
            <w:r w:rsidRPr="009F10CE">
              <w:rPr>
                <w:rFonts w:asciiTheme="minorHAnsi" w:eastAsia="Arial" w:hAnsiTheme="minorHAnsi" w:cstheme="minorHAnsi"/>
                <w:color w:val="000000"/>
                <w:szCs w:val="24"/>
              </w:rPr>
              <w:t>Personal data will be used to create accounts and then make applications for vacancies on Civil Service Jobs. All data will be retained and shared as set out in the CS Jobs privacy notice (see above). In summary, the processing will cover:</w:t>
            </w:r>
          </w:p>
          <w:p w14:paraId="24977D0E" w14:textId="77777777" w:rsidR="009F10CE" w:rsidRPr="009F10CE" w:rsidRDefault="009F10CE" w:rsidP="00E1349E">
            <w:pPr>
              <w:numPr>
                <w:ilvl w:val="0"/>
                <w:numId w:val="191"/>
              </w:numPr>
              <w:pBdr>
                <w:top w:val="nil"/>
                <w:left w:val="nil"/>
                <w:bottom w:val="nil"/>
                <w:right w:val="nil"/>
                <w:between w:val="nil"/>
              </w:pBdr>
              <w:spacing w:before="100" w:after="200"/>
              <w:rPr>
                <w:rFonts w:asciiTheme="minorHAnsi" w:hAnsiTheme="minorHAnsi" w:cstheme="minorHAnsi"/>
                <w:color w:val="000000"/>
                <w:szCs w:val="24"/>
              </w:rPr>
            </w:pPr>
            <w:r w:rsidRPr="009F10CE">
              <w:rPr>
                <w:rFonts w:asciiTheme="minorHAnsi" w:eastAsia="Arial" w:hAnsiTheme="minorHAnsi" w:cstheme="minorHAnsi"/>
                <w:color w:val="000000"/>
                <w:szCs w:val="24"/>
              </w:rPr>
              <w:t>The creation of accounts on CS Jobs</w:t>
            </w:r>
          </w:p>
          <w:p w14:paraId="62A53F9A" w14:textId="77777777" w:rsidR="009F10CE" w:rsidRPr="009F10CE" w:rsidRDefault="009F10CE" w:rsidP="00E1349E">
            <w:pPr>
              <w:numPr>
                <w:ilvl w:val="0"/>
                <w:numId w:val="191"/>
              </w:numPr>
              <w:pBdr>
                <w:top w:val="nil"/>
                <w:left w:val="nil"/>
                <w:bottom w:val="nil"/>
                <w:right w:val="nil"/>
                <w:between w:val="nil"/>
              </w:pBdr>
              <w:spacing w:before="100" w:after="200"/>
              <w:rPr>
                <w:rFonts w:asciiTheme="minorHAnsi" w:hAnsiTheme="minorHAnsi" w:cstheme="minorHAnsi"/>
                <w:color w:val="000000"/>
                <w:szCs w:val="24"/>
              </w:rPr>
            </w:pPr>
            <w:r w:rsidRPr="009F10CE">
              <w:rPr>
                <w:rFonts w:asciiTheme="minorHAnsi" w:eastAsia="Arial" w:hAnsiTheme="minorHAnsi" w:cstheme="minorHAnsi"/>
                <w:color w:val="000000"/>
                <w:szCs w:val="24"/>
              </w:rPr>
              <w:t>To make applications for vacancies on CS Jobs</w:t>
            </w:r>
          </w:p>
          <w:p w14:paraId="7885D5A7" w14:textId="77777777" w:rsidR="009F10CE" w:rsidRPr="009F10CE" w:rsidRDefault="009F10CE" w:rsidP="00E1349E">
            <w:pPr>
              <w:numPr>
                <w:ilvl w:val="0"/>
                <w:numId w:val="191"/>
              </w:numPr>
              <w:pBdr>
                <w:top w:val="nil"/>
                <w:left w:val="nil"/>
                <w:bottom w:val="nil"/>
                <w:right w:val="nil"/>
                <w:between w:val="nil"/>
              </w:pBdr>
              <w:spacing w:before="100" w:after="200"/>
              <w:rPr>
                <w:rFonts w:asciiTheme="minorHAnsi" w:hAnsiTheme="minorHAnsi" w:cstheme="minorHAnsi"/>
                <w:color w:val="000000"/>
                <w:szCs w:val="24"/>
              </w:rPr>
            </w:pPr>
            <w:r w:rsidRPr="009F10CE">
              <w:rPr>
                <w:rFonts w:asciiTheme="minorHAnsi" w:eastAsia="Arial" w:hAnsiTheme="minorHAnsi" w:cstheme="minorHAnsi"/>
                <w:color w:val="000000"/>
                <w:szCs w:val="24"/>
              </w:rPr>
              <w:t>If successful at interview, candidates will also go through pre-employment checks (which will involve interaction with the Disclosure and Barring Service (DBS) or Disclosure Scotland or AccessNI.</w:t>
            </w:r>
          </w:p>
          <w:p w14:paraId="41625849" w14:textId="77777777" w:rsidR="009F10CE" w:rsidRPr="009F10CE" w:rsidRDefault="009F10CE" w:rsidP="00E1349E">
            <w:pPr>
              <w:numPr>
                <w:ilvl w:val="0"/>
                <w:numId w:val="191"/>
              </w:numPr>
              <w:pBdr>
                <w:top w:val="nil"/>
                <w:left w:val="nil"/>
                <w:bottom w:val="nil"/>
                <w:right w:val="nil"/>
                <w:between w:val="nil"/>
              </w:pBdr>
              <w:spacing w:before="100" w:after="200"/>
              <w:rPr>
                <w:rFonts w:asciiTheme="minorHAnsi" w:hAnsiTheme="minorHAnsi" w:cstheme="minorHAnsi"/>
                <w:color w:val="000000"/>
                <w:szCs w:val="24"/>
              </w:rPr>
            </w:pPr>
            <w:r w:rsidRPr="009F10CE">
              <w:rPr>
                <w:rFonts w:asciiTheme="minorHAnsi" w:eastAsia="Arial" w:hAnsiTheme="minorHAnsi" w:cstheme="minorHAnsi"/>
                <w:color w:val="000000"/>
                <w:szCs w:val="24"/>
              </w:rPr>
              <w:t>There will be some automation of activities within the platform, but no decision will be made that affects an individual that isn’t reviewed by a human beforehand.</w:t>
            </w:r>
          </w:p>
          <w:p w14:paraId="74E1C2A8" w14:textId="77777777" w:rsidR="009F10CE" w:rsidRPr="009F10CE" w:rsidRDefault="009F10CE" w:rsidP="00E1349E">
            <w:pPr>
              <w:numPr>
                <w:ilvl w:val="0"/>
                <w:numId w:val="191"/>
              </w:numPr>
              <w:pBdr>
                <w:top w:val="nil"/>
                <w:left w:val="nil"/>
                <w:bottom w:val="nil"/>
                <w:right w:val="nil"/>
                <w:between w:val="nil"/>
              </w:pBdr>
              <w:spacing w:before="100" w:after="200"/>
              <w:rPr>
                <w:rFonts w:asciiTheme="minorHAnsi" w:hAnsiTheme="minorHAnsi" w:cstheme="minorHAnsi"/>
                <w:color w:val="000000"/>
                <w:szCs w:val="24"/>
              </w:rPr>
            </w:pPr>
            <w:r w:rsidRPr="009F10CE">
              <w:rPr>
                <w:rFonts w:asciiTheme="minorHAnsi" w:eastAsia="Arial" w:hAnsiTheme="minorHAnsi" w:cstheme="minorHAnsi"/>
                <w:color w:val="000000"/>
                <w:szCs w:val="24"/>
              </w:rPr>
              <w:t>There will be an integration with the online tests platform, and candidates may be required to complete these. (Data is pseudonymised between the CS Jobs platform and the online tests platform.)</w:t>
            </w:r>
          </w:p>
          <w:p w14:paraId="13F59494" w14:textId="1467EAC6" w:rsidR="009F10CE" w:rsidRPr="009F10CE" w:rsidRDefault="009F10CE" w:rsidP="00E1349E">
            <w:pPr>
              <w:numPr>
                <w:ilvl w:val="0"/>
                <w:numId w:val="191"/>
              </w:numPr>
              <w:pBdr>
                <w:top w:val="nil"/>
                <w:left w:val="nil"/>
                <w:bottom w:val="nil"/>
                <w:right w:val="nil"/>
                <w:between w:val="nil"/>
              </w:pBdr>
              <w:spacing w:before="100" w:after="200"/>
              <w:rPr>
                <w:rFonts w:asciiTheme="minorHAnsi" w:hAnsiTheme="minorHAnsi" w:cstheme="minorHAnsi"/>
                <w:color w:val="000000"/>
                <w:szCs w:val="24"/>
              </w:rPr>
            </w:pPr>
            <w:r w:rsidRPr="009F10CE">
              <w:rPr>
                <w:rFonts w:asciiTheme="minorHAnsi" w:eastAsia="Arial" w:hAnsiTheme="minorHAnsi" w:cstheme="minorHAnsi"/>
                <w:color w:val="000000"/>
                <w:szCs w:val="24"/>
              </w:rPr>
              <w:t>Applicants</w:t>
            </w:r>
            <w:r w:rsidR="00643086">
              <w:rPr>
                <w:rFonts w:asciiTheme="minorHAnsi" w:eastAsia="Arial" w:hAnsiTheme="minorHAnsi" w:cstheme="minorHAnsi"/>
                <w:color w:val="000000"/>
                <w:szCs w:val="24"/>
              </w:rPr>
              <w:t>/vacancy holders</w:t>
            </w:r>
            <w:r w:rsidRPr="009F10CE">
              <w:rPr>
                <w:rFonts w:asciiTheme="minorHAnsi" w:eastAsia="Arial" w:hAnsiTheme="minorHAnsi" w:cstheme="minorHAnsi"/>
                <w:color w:val="000000"/>
                <w:szCs w:val="24"/>
              </w:rPr>
              <w:t xml:space="preserve"> may also be contacted for surveys on their experience.</w:t>
            </w:r>
          </w:p>
          <w:p w14:paraId="4F51BAD2" w14:textId="77777777" w:rsidR="009F10CE" w:rsidRPr="009F10CE" w:rsidRDefault="009F10CE" w:rsidP="00E1349E">
            <w:pPr>
              <w:numPr>
                <w:ilvl w:val="0"/>
                <w:numId w:val="191"/>
              </w:numPr>
              <w:pBdr>
                <w:top w:val="nil"/>
                <w:left w:val="nil"/>
                <w:bottom w:val="nil"/>
                <w:right w:val="nil"/>
                <w:between w:val="nil"/>
              </w:pBdr>
              <w:spacing w:before="100" w:after="200"/>
              <w:rPr>
                <w:rFonts w:asciiTheme="minorHAnsi" w:hAnsiTheme="minorHAnsi" w:cstheme="minorHAnsi"/>
                <w:color w:val="000000"/>
                <w:szCs w:val="24"/>
              </w:rPr>
            </w:pPr>
            <w:r w:rsidRPr="009F10CE">
              <w:rPr>
                <w:rFonts w:asciiTheme="minorHAnsi" w:eastAsia="Arial" w:hAnsiTheme="minorHAnsi" w:cstheme="minorHAnsi"/>
                <w:color w:val="000000"/>
                <w:szCs w:val="24"/>
              </w:rPr>
              <w:t>Data will also be shared with the Government Resourcing Insights Database (GRID) which is also owned by the Cabinet Office.</w:t>
            </w:r>
          </w:p>
        </w:tc>
      </w:tr>
      <w:tr w:rsidR="009F10CE" w:rsidRPr="009F10CE" w14:paraId="0B919EDC" w14:textId="77777777" w:rsidTr="009F10CE">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72673110" w14:textId="6A1C0FA4" w:rsidR="009F10CE" w:rsidRPr="009F10CE" w:rsidRDefault="00B7471A" w:rsidP="006158F0">
            <w:pPr>
              <w:pBdr>
                <w:top w:val="nil"/>
                <w:left w:val="nil"/>
                <w:bottom w:val="nil"/>
                <w:right w:val="nil"/>
                <w:between w:val="nil"/>
              </w:pBdr>
              <w:spacing w:before="100" w:after="200"/>
              <w:rPr>
                <w:rFonts w:asciiTheme="minorHAnsi" w:eastAsia="Arial" w:hAnsiTheme="minorHAnsi" w:cstheme="minorHAnsi"/>
                <w:color w:val="000000"/>
                <w:szCs w:val="24"/>
              </w:rPr>
            </w:pPr>
            <w:r>
              <w:rPr>
                <w:rFonts w:asciiTheme="minorHAnsi" w:eastAsia="Arial" w:hAnsiTheme="minorHAnsi" w:cstheme="minorHAnsi"/>
                <w:color w:val="000000"/>
                <w:szCs w:val="24"/>
              </w:rPr>
              <w:t xml:space="preserve">2.3 </w:t>
            </w:r>
            <w:r w:rsidR="009F10CE" w:rsidRPr="009F10CE">
              <w:rPr>
                <w:rFonts w:asciiTheme="minorHAnsi" w:eastAsia="Arial" w:hAnsiTheme="minorHAnsi" w:cstheme="minorHAnsi"/>
                <w:color w:val="000000"/>
                <w:szCs w:val="24"/>
              </w:rPr>
              <w:t>Type of Personal Data</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7BD22034"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color w:val="000000"/>
                <w:szCs w:val="24"/>
              </w:rPr>
            </w:pPr>
            <w:r w:rsidRPr="009F10CE">
              <w:rPr>
                <w:rFonts w:asciiTheme="minorHAnsi" w:eastAsia="Arial" w:hAnsiTheme="minorHAnsi" w:cstheme="minorHAnsi"/>
                <w:color w:val="000000"/>
                <w:szCs w:val="24"/>
              </w:rPr>
              <w:t>The exact data fields are subject to change as improvements are made to the site, but will include at the moment:</w:t>
            </w:r>
          </w:p>
          <w:p w14:paraId="472A7296"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lastRenderedPageBreak/>
              <w:t>name</w:t>
            </w:r>
          </w:p>
          <w:p w14:paraId="427ABC88"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email address</w:t>
            </w:r>
          </w:p>
          <w:p w14:paraId="799F97A7"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current employer (civil servants only)</w:t>
            </w:r>
          </w:p>
          <w:p w14:paraId="7A89D13C"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line manager’s email address (optional - for civil servants to verify their employment)</w:t>
            </w:r>
          </w:p>
          <w:p w14:paraId="142CD679"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referral source - the website where you saw the job advert</w:t>
            </w:r>
          </w:p>
          <w:p w14:paraId="172C942F"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 xml:space="preserve">details of the pages viewed </w:t>
            </w:r>
          </w:p>
          <w:p w14:paraId="243D99B4"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information about candidate computer - such as the web browser used and device type</w:t>
            </w:r>
          </w:p>
          <w:p w14:paraId="6A3E64EE"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candidate approximate geographic location based on IP address</w:t>
            </w:r>
          </w:p>
          <w:p w14:paraId="76B2F6CB"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full contact details, including address, and mobile phone number</w:t>
            </w:r>
          </w:p>
          <w:p w14:paraId="4AB2BF02"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eligibility - nationality and immigration status</w:t>
            </w:r>
          </w:p>
          <w:p w14:paraId="465693E8"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employment history</w:t>
            </w:r>
          </w:p>
          <w:p w14:paraId="0274FF81"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qualifications, licences and professional memberships</w:t>
            </w:r>
          </w:p>
          <w:p w14:paraId="5D7AB1A2"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diversity and inclusion information</w:t>
            </w:r>
          </w:p>
          <w:p w14:paraId="46FD6F6B"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CV and personal statement</w:t>
            </w:r>
          </w:p>
          <w:p w14:paraId="03A82501"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Disability Confident Scheme and reasonable adjustment requirements</w:t>
            </w:r>
          </w:p>
          <w:p w14:paraId="64A055A0"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.whether candidates are a veteran of His Majesty's Armed Forces</w:t>
            </w:r>
          </w:p>
          <w:p w14:paraId="7601D927"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job sharing partner's full name</w:t>
            </w:r>
          </w:p>
          <w:p w14:paraId="3FF49AF0"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evidence of candidate identity and right to work in the UK - such as passport, utility bills or other documentation</w:t>
            </w:r>
          </w:p>
          <w:p w14:paraId="25E8C713"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a completed non-taxable travel and expenses form for an HR supported costs interview scheme if offered by a participating organisation. This will require bank details, travel details and a copy of any receipts related to interview travel, to allow verification and reimbursement of appropriate travel costs</w:t>
            </w:r>
          </w:p>
          <w:p w14:paraId="6E29EE3B"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Nationality and right to work information</w:t>
            </w:r>
          </w:p>
          <w:p w14:paraId="59A52E77"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contact details for your referees</w:t>
            </w:r>
          </w:p>
          <w:p w14:paraId="30F46DC3"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National Insurance number</w:t>
            </w:r>
          </w:p>
          <w:p w14:paraId="2C23A636"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date of birth</w:t>
            </w:r>
          </w:p>
          <w:p w14:paraId="6EAC2D52"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public sector pension history</w:t>
            </w:r>
          </w:p>
          <w:p w14:paraId="5E539C79"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health declaration</w:t>
            </w:r>
          </w:p>
          <w:p w14:paraId="48A6A732"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evidence of time spent outside of the UK</w:t>
            </w:r>
          </w:p>
          <w:p w14:paraId="3C690FD1"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details of any self-employment</w:t>
            </w:r>
          </w:p>
          <w:p w14:paraId="259098EC"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lastRenderedPageBreak/>
              <w:t>evidence of current Disclosure and Barring Service (DBS) certificate</w:t>
            </w:r>
          </w:p>
          <w:p w14:paraId="374760F7"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bankruptcy details</w:t>
            </w:r>
          </w:p>
          <w:p w14:paraId="485FA54B"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addresses for the last 10 years</w:t>
            </w:r>
          </w:p>
          <w:p w14:paraId="1855059D"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passport details</w:t>
            </w:r>
          </w:p>
          <w:p w14:paraId="10C529EF"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driving licence details</w:t>
            </w:r>
          </w:p>
          <w:p w14:paraId="76E67DC1"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previous names that candidates have been known by</w:t>
            </w:r>
          </w:p>
          <w:p w14:paraId="03733D58"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workplace discipline information</w:t>
            </w:r>
          </w:p>
          <w:p w14:paraId="7704FF8E"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photographs of candidate face and passport or passport card</w:t>
            </w:r>
          </w:p>
          <w:p w14:paraId="15CCD955"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two most recent consecutive payslips</w:t>
            </w:r>
          </w:p>
          <w:p w14:paraId="6EBA5756"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B0C0C"/>
                <w:szCs w:val="24"/>
              </w:rPr>
            </w:pPr>
            <w:r w:rsidRPr="009F10CE">
              <w:rPr>
                <w:rFonts w:asciiTheme="minorHAnsi" w:eastAsia="Arial" w:hAnsiTheme="minorHAnsi" w:cstheme="minorHAnsi"/>
                <w:color w:val="0B0C0C"/>
                <w:szCs w:val="24"/>
              </w:rPr>
              <w:t>current candidate National Security Vetting clearance</w:t>
            </w:r>
          </w:p>
          <w:p w14:paraId="7DB566B0" w14:textId="77777777" w:rsidR="009F10CE" w:rsidRPr="009F10CE" w:rsidRDefault="009F10CE" w:rsidP="00E1349E">
            <w:pPr>
              <w:numPr>
                <w:ilvl w:val="0"/>
                <w:numId w:val="188"/>
              </w:numPr>
              <w:pBdr>
                <w:top w:val="nil"/>
                <w:left w:val="nil"/>
                <w:bottom w:val="nil"/>
                <w:right w:val="nil"/>
                <w:between w:val="nil"/>
              </w:pBdr>
              <w:shd w:val="clear" w:color="auto" w:fill="FFFFFF"/>
              <w:spacing w:after="150"/>
              <w:rPr>
                <w:rFonts w:asciiTheme="minorHAnsi" w:hAnsiTheme="minorHAnsi" w:cstheme="minorHAnsi"/>
                <w:color w:val="000000"/>
                <w:szCs w:val="24"/>
              </w:rPr>
            </w:pPr>
            <w:r w:rsidRPr="009F10CE">
              <w:rPr>
                <w:rFonts w:asciiTheme="minorHAnsi" w:eastAsia="Arial" w:hAnsiTheme="minorHAnsi" w:cstheme="minorHAnsi"/>
                <w:color w:val="0B0C0C"/>
                <w:szCs w:val="24"/>
              </w:rPr>
              <w:t>current candidate employee number</w:t>
            </w:r>
            <w:r w:rsidRPr="009F10CE">
              <w:rPr>
                <w:rFonts w:asciiTheme="minorHAnsi" w:eastAsia="Arial" w:hAnsiTheme="minorHAnsi" w:cstheme="minorHAnsi"/>
                <w:color w:val="000000"/>
                <w:szCs w:val="24"/>
              </w:rPr>
              <w:t xml:space="preserve"> </w:t>
            </w:r>
          </w:p>
          <w:p w14:paraId="3331763C" w14:textId="77777777" w:rsidR="009F10CE" w:rsidRPr="009F10CE" w:rsidRDefault="009F10CE" w:rsidP="006158F0">
            <w:pPr>
              <w:pBdr>
                <w:top w:val="nil"/>
                <w:left w:val="nil"/>
                <w:bottom w:val="nil"/>
                <w:right w:val="nil"/>
                <w:between w:val="nil"/>
              </w:pBdr>
              <w:shd w:val="clear" w:color="auto" w:fill="FFFFFF"/>
              <w:spacing w:after="150"/>
              <w:rPr>
                <w:rFonts w:asciiTheme="minorHAnsi" w:eastAsia="Arial" w:hAnsiTheme="minorHAnsi" w:cstheme="minorHAnsi"/>
                <w:color w:val="000000"/>
                <w:szCs w:val="24"/>
              </w:rPr>
            </w:pPr>
            <w:r w:rsidRPr="009F10CE">
              <w:rPr>
                <w:rFonts w:asciiTheme="minorHAnsi" w:eastAsia="Arial" w:hAnsiTheme="minorHAnsi" w:cstheme="minorHAnsi"/>
                <w:color w:val="0B0C0C"/>
                <w:szCs w:val="24"/>
              </w:rPr>
              <w:t>Note that not all of this information will be collected at the same time. Data is gathered when it is needed, in line with data minimisation principles.</w:t>
            </w:r>
          </w:p>
        </w:tc>
      </w:tr>
      <w:tr w:rsidR="009F10CE" w:rsidRPr="009F10CE" w14:paraId="54A6E237" w14:textId="77777777" w:rsidTr="009F10CE">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6C882733" w14:textId="7456F19F" w:rsidR="009F10CE" w:rsidRPr="009F10CE" w:rsidRDefault="00B7471A" w:rsidP="006158F0">
            <w:pPr>
              <w:pBdr>
                <w:top w:val="nil"/>
                <w:left w:val="nil"/>
                <w:bottom w:val="nil"/>
                <w:right w:val="nil"/>
                <w:between w:val="nil"/>
              </w:pBdr>
              <w:spacing w:before="100" w:after="200"/>
              <w:rPr>
                <w:rFonts w:asciiTheme="minorHAnsi" w:eastAsia="Arial" w:hAnsiTheme="minorHAnsi" w:cstheme="minorHAnsi"/>
                <w:color w:val="000000"/>
                <w:szCs w:val="24"/>
              </w:rPr>
            </w:pPr>
            <w:r>
              <w:rPr>
                <w:rFonts w:asciiTheme="minorHAnsi" w:eastAsia="Arial" w:hAnsiTheme="minorHAnsi" w:cstheme="minorHAnsi"/>
                <w:color w:val="000000"/>
                <w:szCs w:val="24"/>
              </w:rPr>
              <w:lastRenderedPageBreak/>
              <w:t xml:space="preserve">2.4 </w:t>
            </w:r>
            <w:r w:rsidR="009F10CE" w:rsidRPr="009F10CE">
              <w:rPr>
                <w:rFonts w:asciiTheme="minorHAnsi" w:eastAsia="Arial" w:hAnsiTheme="minorHAnsi" w:cstheme="minorHAnsi"/>
                <w:color w:val="000000"/>
                <w:szCs w:val="24"/>
              </w:rPr>
              <w:t>Categories of Data Subject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3E54C218"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color w:val="000000"/>
                <w:szCs w:val="24"/>
              </w:rPr>
            </w:pPr>
            <w:r w:rsidRPr="009F10CE">
              <w:rPr>
                <w:rFonts w:asciiTheme="minorHAnsi" w:eastAsia="Arial" w:hAnsiTheme="minorHAnsi" w:cstheme="minorHAnsi"/>
                <w:color w:val="000000"/>
                <w:szCs w:val="24"/>
              </w:rPr>
              <w:t>Applicants of the Civil Service Jobs platform (this will include existing civil servants and wider members of the public).</w:t>
            </w:r>
          </w:p>
        </w:tc>
      </w:tr>
      <w:tr w:rsidR="009F10CE" w:rsidRPr="009F10CE" w14:paraId="1474DF87" w14:textId="77777777" w:rsidTr="009F10CE">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21414D78" w14:textId="39407453" w:rsidR="009F10CE" w:rsidRPr="009F10CE" w:rsidRDefault="00B7471A" w:rsidP="006158F0">
            <w:pPr>
              <w:pBdr>
                <w:top w:val="nil"/>
                <w:left w:val="nil"/>
                <w:bottom w:val="nil"/>
                <w:right w:val="nil"/>
                <w:between w:val="nil"/>
              </w:pBdr>
              <w:spacing w:before="100" w:after="200"/>
              <w:rPr>
                <w:rFonts w:asciiTheme="minorHAnsi" w:eastAsia="Arial" w:hAnsiTheme="minorHAnsi" w:cstheme="minorHAnsi"/>
                <w:color w:val="000000"/>
                <w:szCs w:val="24"/>
              </w:rPr>
            </w:pPr>
            <w:r>
              <w:rPr>
                <w:rFonts w:asciiTheme="minorHAnsi" w:eastAsia="Arial" w:hAnsiTheme="minorHAnsi" w:cstheme="minorHAnsi"/>
                <w:color w:val="000000"/>
                <w:szCs w:val="24"/>
              </w:rPr>
              <w:t xml:space="preserve">2.5 </w:t>
            </w:r>
            <w:r w:rsidR="009F10CE" w:rsidRPr="009F10CE">
              <w:rPr>
                <w:rFonts w:asciiTheme="minorHAnsi" w:eastAsia="Arial" w:hAnsiTheme="minorHAnsi" w:cstheme="minorHAnsi"/>
                <w:color w:val="000000"/>
                <w:szCs w:val="24"/>
              </w:rPr>
              <w:t>Plan for return and destruction of the data once the processing is complete</w:t>
            </w:r>
          </w:p>
          <w:p w14:paraId="6145C73D"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color w:val="000000"/>
                <w:szCs w:val="24"/>
              </w:rPr>
            </w:pPr>
            <w:r w:rsidRPr="009F10CE">
              <w:rPr>
                <w:rFonts w:asciiTheme="minorHAnsi" w:eastAsia="Arial" w:hAnsiTheme="minorHAnsi" w:cstheme="minorHAnsi"/>
                <w:color w:val="000000"/>
                <w:szCs w:val="24"/>
              </w:rPr>
              <w:t>UNLESS requirement under law to preserve that type of data</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4CF95669" w14:textId="759FE2B6"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color w:val="000000"/>
                <w:szCs w:val="24"/>
              </w:rPr>
            </w:pPr>
            <w:r w:rsidRPr="009F10CE">
              <w:rPr>
                <w:rFonts w:asciiTheme="minorHAnsi" w:eastAsia="Arial" w:hAnsiTheme="minorHAnsi" w:cstheme="minorHAnsi"/>
                <w:color w:val="000000"/>
                <w:szCs w:val="24"/>
              </w:rPr>
              <w:t xml:space="preserve">The personal data will be retained as set out in the </w:t>
            </w:r>
            <w:hyperlink r:id="rId167">
              <w:r w:rsidRPr="009F10CE">
                <w:rPr>
                  <w:rFonts w:asciiTheme="minorHAnsi" w:eastAsia="Arial" w:hAnsiTheme="minorHAnsi" w:cstheme="minorHAnsi"/>
                  <w:color w:val="0563C1"/>
                  <w:szCs w:val="24"/>
                  <w:u w:val="single"/>
                </w:rPr>
                <w:t>CS Jobs privacy notice</w:t>
              </w:r>
            </w:hyperlink>
            <w:r w:rsidRPr="009F10CE">
              <w:rPr>
                <w:rFonts w:asciiTheme="minorHAnsi" w:eastAsia="Arial" w:hAnsiTheme="minorHAnsi" w:cstheme="minorHAnsi"/>
                <w:color w:val="000000"/>
                <w:szCs w:val="24"/>
              </w:rPr>
              <w:t>.</w:t>
            </w:r>
          </w:p>
        </w:tc>
      </w:tr>
      <w:tr w:rsidR="009F10CE" w:rsidRPr="009F10CE" w14:paraId="06AE7EC0" w14:textId="77777777" w:rsidTr="009F10CE">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62AFE84D"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color w:val="000000"/>
                <w:szCs w:val="24"/>
              </w:rPr>
            </w:pPr>
            <w:r w:rsidRPr="009F10CE">
              <w:rPr>
                <w:rFonts w:asciiTheme="minorHAnsi" w:eastAsia="Arial" w:hAnsiTheme="minorHAnsi" w:cstheme="minorHAnsi"/>
                <w:color w:val="000000"/>
                <w:szCs w:val="24"/>
              </w:rPr>
              <w:t>Locations at which the Supplier and/or its Sub-contractors process Personal Data under this Contract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116FBCE6"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color w:val="000000"/>
                <w:szCs w:val="24"/>
              </w:rPr>
            </w:pPr>
            <w:r w:rsidRPr="009F10CE">
              <w:rPr>
                <w:rFonts w:asciiTheme="minorHAnsi" w:eastAsia="Arial" w:hAnsiTheme="minorHAnsi" w:cstheme="minorHAnsi"/>
                <w:color w:val="000000"/>
                <w:szCs w:val="24"/>
              </w:rPr>
              <w:t>All data will be retained within the UK.</w:t>
            </w:r>
          </w:p>
        </w:tc>
      </w:tr>
      <w:tr w:rsidR="009F10CE" w:rsidRPr="009F10CE" w14:paraId="3C49FC24" w14:textId="77777777" w:rsidTr="009F10CE">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6F415241" w14:textId="06197CC1" w:rsidR="009F10CE" w:rsidRPr="009F10CE" w:rsidRDefault="00B7471A" w:rsidP="006158F0">
            <w:pPr>
              <w:pBdr>
                <w:top w:val="nil"/>
                <w:left w:val="nil"/>
                <w:bottom w:val="nil"/>
                <w:right w:val="nil"/>
                <w:between w:val="nil"/>
              </w:pBdr>
              <w:spacing w:before="100" w:after="200"/>
              <w:rPr>
                <w:rFonts w:asciiTheme="minorHAnsi" w:eastAsia="Arial" w:hAnsiTheme="minorHAnsi" w:cstheme="minorHAnsi"/>
                <w:color w:val="000000"/>
                <w:szCs w:val="24"/>
              </w:rPr>
            </w:pPr>
            <w:r>
              <w:rPr>
                <w:rFonts w:asciiTheme="minorHAnsi" w:eastAsia="Arial" w:hAnsiTheme="minorHAnsi" w:cstheme="minorHAnsi"/>
                <w:color w:val="000000"/>
                <w:szCs w:val="24"/>
              </w:rPr>
              <w:t xml:space="preserve">2.6 </w:t>
            </w:r>
            <w:r w:rsidR="009F10CE" w:rsidRPr="009F10CE">
              <w:rPr>
                <w:rFonts w:asciiTheme="minorHAnsi" w:eastAsia="Arial" w:hAnsiTheme="minorHAnsi" w:cstheme="minorHAnsi"/>
                <w:color w:val="000000"/>
                <w:szCs w:val="24"/>
              </w:rPr>
              <w:t xml:space="preserve">Protective Measures that the Supplier and, where applicable, its Sub-contractors have implemented to protect Personal </w:t>
            </w:r>
            <w:r w:rsidR="009F10CE" w:rsidRPr="009F10CE">
              <w:rPr>
                <w:rFonts w:asciiTheme="minorHAnsi" w:eastAsia="Arial" w:hAnsiTheme="minorHAnsi" w:cstheme="minorHAnsi"/>
                <w:color w:val="000000"/>
                <w:szCs w:val="24"/>
              </w:rPr>
              <w:lastRenderedPageBreak/>
              <w:t>Data processed under this Contract Agreement against a breach of security (insofar as that breach of security relates to data) or a Personal Data Breach</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37FD84E5"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szCs w:val="24"/>
              </w:rPr>
            </w:pPr>
            <w:r w:rsidRPr="009F10CE">
              <w:rPr>
                <w:rFonts w:asciiTheme="minorHAnsi" w:eastAsia="Arial" w:hAnsiTheme="minorHAnsi" w:cstheme="minorHAnsi"/>
                <w:szCs w:val="24"/>
              </w:rPr>
              <w:lastRenderedPageBreak/>
              <w:t>The successful Supplier will hold valid:</w:t>
            </w:r>
            <w:r w:rsidRPr="009F10CE">
              <w:rPr>
                <w:rFonts w:asciiTheme="minorHAnsi" w:eastAsia="Arial" w:hAnsiTheme="minorHAnsi" w:cstheme="minorHAnsi"/>
                <w:szCs w:val="24"/>
              </w:rPr>
              <w:br/>
            </w:r>
          </w:p>
          <w:p w14:paraId="13E013A5" w14:textId="77777777" w:rsidR="009F10CE" w:rsidRPr="009F10CE" w:rsidRDefault="009F10CE" w:rsidP="00E1349E">
            <w:pPr>
              <w:numPr>
                <w:ilvl w:val="0"/>
                <w:numId w:val="189"/>
              </w:numPr>
              <w:pBdr>
                <w:top w:val="nil"/>
                <w:left w:val="nil"/>
                <w:bottom w:val="nil"/>
                <w:right w:val="nil"/>
                <w:between w:val="nil"/>
              </w:pBdr>
              <w:spacing w:before="100"/>
              <w:rPr>
                <w:rFonts w:asciiTheme="minorHAnsi" w:eastAsia="Arial" w:hAnsiTheme="minorHAnsi" w:cstheme="minorHAnsi"/>
                <w:szCs w:val="24"/>
              </w:rPr>
            </w:pPr>
            <w:r w:rsidRPr="009F10CE">
              <w:rPr>
                <w:rFonts w:asciiTheme="minorHAnsi" w:eastAsia="Arial" w:hAnsiTheme="minorHAnsi" w:cstheme="minorHAnsi"/>
                <w:szCs w:val="24"/>
              </w:rPr>
              <w:t>ISO 27001 certificates</w:t>
            </w:r>
          </w:p>
          <w:p w14:paraId="165E5B3D" w14:textId="77777777" w:rsidR="009F10CE" w:rsidRPr="009F10CE" w:rsidRDefault="009F10CE" w:rsidP="00E1349E">
            <w:pPr>
              <w:numPr>
                <w:ilvl w:val="0"/>
                <w:numId w:val="189"/>
              </w:numPr>
              <w:pBdr>
                <w:top w:val="nil"/>
                <w:left w:val="nil"/>
                <w:bottom w:val="nil"/>
                <w:right w:val="nil"/>
                <w:between w:val="nil"/>
              </w:pBdr>
              <w:spacing w:after="200"/>
              <w:rPr>
                <w:rFonts w:asciiTheme="minorHAnsi" w:eastAsia="Arial" w:hAnsiTheme="minorHAnsi" w:cstheme="minorHAnsi"/>
                <w:szCs w:val="24"/>
              </w:rPr>
            </w:pPr>
            <w:r w:rsidRPr="009F10CE">
              <w:rPr>
                <w:rFonts w:asciiTheme="minorHAnsi" w:eastAsia="Arial" w:hAnsiTheme="minorHAnsi" w:cstheme="minorHAnsi"/>
                <w:szCs w:val="24"/>
              </w:rPr>
              <w:t>Cyber Essentials Plus</w:t>
            </w:r>
          </w:p>
          <w:p w14:paraId="3CDEF2C6" w14:textId="19474DCB" w:rsidR="009F10CE" w:rsidRPr="009F10CE" w:rsidRDefault="00846EF2" w:rsidP="006158F0">
            <w:pPr>
              <w:pBdr>
                <w:top w:val="nil"/>
                <w:left w:val="nil"/>
                <w:bottom w:val="nil"/>
                <w:right w:val="nil"/>
                <w:between w:val="nil"/>
              </w:pBdr>
              <w:spacing w:after="200"/>
              <w:rPr>
                <w:rFonts w:asciiTheme="minorHAnsi" w:eastAsia="Arial" w:hAnsiTheme="minorHAnsi" w:cstheme="minorHAnsi"/>
                <w:i/>
                <w:szCs w:val="24"/>
                <w:highlight w:val="yellow"/>
              </w:rPr>
            </w:pPr>
            <w:r>
              <w:rPr>
                <w:rFonts w:cs="Arial"/>
                <w:color w:val="000000"/>
              </w:rPr>
              <w:t xml:space="preserve">The Supplier will also ensure that the Supplier Personnel they use on this Contract hold appropriate security clearances and complete </w:t>
            </w:r>
            <w:r>
              <w:rPr>
                <w:rFonts w:cs="Arial"/>
                <w:color w:val="000000"/>
              </w:rPr>
              <w:lastRenderedPageBreak/>
              <w:t>required mandatory learning, that access to Personal Data is restricted to those who need it, and that there is a clear audit trail of who has been viewing what information.</w:t>
            </w:r>
          </w:p>
          <w:p w14:paraId="501477EF" w14:textId="77777777" w:rsidR="009F10CE" w:rsidRPr="009F10CE" w:rsidRDefault="009F10CE" w:rsidP="006158F0">
            <w:pPr>
              <w:pBdr>
                <w:top w:val="nil"/>
                <w:left w:val="nil"/>
                <w:bottom w:val="nil"/>
                <w:right w:val="nil"/>
                <w:between w:val="nil"/>
              </w:pBdr>
              <w:spacing w:before="100" w:after="200"/>
              <w:rPr>
                <w:rFonts w:asciiTheme="minorHAnsi" w:eastAsia="Arial" w:hAnsiTheme="minorHAnsi" w:cstheme="minorHAnsi"/>
                <w:i/>
                <w:szCs w:val="24"/>
                <w:highlight w:val="yellow"/>
              </w:rPr>
            </w:pPr>
          </w:p>
        </w:tc>
      </w:tr>
    </w:tbl>
    <w:p w14:paraId="19BB900B" w14:textId="77777777" w:rsidR="009F10CE" w:rsidRDefault="009F10CE" w:rsidP="00F67E9E">
      <w:pPr>
        <w:pStyle w:val="Numbered1"/>
        <w:numPr>
          <w:ilvl w:val="0"/>
          <w:numId w:val="0"/>
        </w:numPr>
        <w:rPr>
          <w:i/>
          <w:iCs/>
          <w:highlight w:val="yellow"/>
        </w:rPr>
      </w:pPr>
    </w:p>
    <w:p w14:paraId="48ACA738" w14:textId="77777777" w:rsidR="00F67E9E" w:rsidRDefault="00F67E9E" w:rsidP="00F67E9E">
      <w:r>
        <w:br w:type="page"/>
      </w:r>
    </w:p>
    <w:p w14:paraId="2297EDAE" w14:textId="77777777" w:rsidR="00F67E9E" w:rsidRDefault="00F67E9E" w:rsidP="00F67E9E">
      <w:pPr>
        <w:pStyle w:val="Heading2"/>
      </w:pPr>
      <w:bookmarkStart w:id="2557" w:name="_Ref_ContractCompanion_9kb9Ut333"/>
      <w:bookmarkStart w:id="2558" w:name="_Ref_ContractCompanion_9kb9Ut335"/>
      <w:bookmarkStart w:id="2559" w:name="_Toc145412832"/>
      <w:r w:rsidRPr="00016234">
        <w:lastRenderedPageBreak/>
        <w:t xml:space="preserve">Annex </w:t>
      </w:r>
      <w:bookmarkStart w:id="2560" w:name="ANNEX1_SCHEDULE31"/>
      <w:r w:rsidRPr="00016234">
        <w:t>1</w:t>
      </w:r>
      <w:bookmarkEnd w:id="2560"/>
      <w:r w:rsidRPr="00016234">
        <w:t xml:space="preserve">: </w:t>
      </w:r>
      <w:bookmarkStart w:id="2561" w:name="ANNEX1HEADING_SCHEDULE31"/>
      <w:r w:rsidRPr="00016234">
        <w:t>Joint Controller Agreement</w:t>
      </w:r>
      <w:bookmarkEnd w:id="2557"/>
      <w:bookmarkEnd w:id="2558"/>
      <w:bookmarkEnd w:id="2559"/>
      <w:bookmarkEnd w:id="2561"/>
    </w:p>
    <w:p w14:paraId="77FD7152" w14:textId="27D78F35" w:rsidR="00B7471A" w:rsidRPr="00B7471A" w:rsidRDefault="00B7471A" w:rsidP="00B7471A">
      <w:pPr>
        <w:pStyle w:val="AppendixText1"/>
        <w:numPr>
          <w:ilvl w:val="0"/>
          <w:numId w:val="0"/>
        </w:numPr>
        <w:rPr>
          <w:b w:val="0"/>
        </w:rPr>
      </w:pPr>
      <w:r w:rsidRPr="00B7471A">
        <w:rPr>
          <w:b w:val="0"/>
          <w:highlight w:val="yellow"/>
        </w:rPr>
        <w:t>[</w:t>
      </w:r>
      <w:r w:rsidRPr="00B7471A">
        <w:rPr>
          <w:highlight w:val="yellow"/>
        </w:rPr>
        <w:t>Note:</w:t>
      </w:r>
      <w:r w:rsidRPr="00B7471A">
        <w:rPr>
          <w:b w:val="0"/>
          <w:highlight w:val="yellow"/>
        </w:rPr>
        <w:t xml:space="preserve"> In accordance with Clause 21.16 of the Contract, this Annex is only relevant in the event that the Parties are Joint Controllers in respect of Personal Data under this Contract and the Parties are obliged to implement Clauses that are necessary to comply with Article 26 of the UK GDPR which will be based on the terms set out in this Annex]</w:t>
      </w:r>
    </w:p>
    <w:p w14:paraId="3985F9FD" w14:textId="56F45F6B" w:rsidR="00F67E9E" w:rsidRPr="00016234" w:rsidRDefault="00F67E9E" w:rsidP="00F13933">
      <w:pPr>
        <w:pStyle w:val="AppendixText1"/>
        <w:numPr>
          <w:ilvl w:val="0"/>
          <w:numId w:val="65"/>
        </w:numPr>
      </w:pPr>
      <w:r w:rsidRPr="00016234">
        <w:t xml:space="preserve">Joint Controller Status </w:t>
      </w:r>
      <w:r>
        <w:t>a</w:t>
      </w:r>
      <w:r w:rsidRPr="00016234">
        <w:t xml:space="preserve">nd Allocation </w:t>
      </w:r>
      <w:r>
        <w:t>o</w:t>
      </w:r>
      <w:r w:rsidRPr="00016234">
        <w:t xml:space="preserve">f </w:t>
      </w:r>
      <w:r w:rsidRPr="00211A99">
        <w:t>Responsibilities</w:t>
      </w:r>
      <w:r w:rsidRPr="00016234">
        <w:t xml:space="preserve"> </w:t>
      </w:r>
    </w:p>
    <w:p w14:paraId="63D42737" w14:textId="6EF3434A" w:rsidR="00F67E9E" w:rsidRPr="0082514D" w:rsidRDefault="00F67E9E" w:rsidP="00F67E9E">
      <w:pPr>
        <w:pStyle w:val="AppendixText2"/>
      </w:pPr>
      <w:r w:rsidRPr="00016234">
        <w:t xml:space="preserve">With respect to Personal Data under Joint Control of the Parties, the Parties envisage that they shall each be a Data Controller in respect of that Personal Data in accordance with the terms of this </w:t>
      </w:r>
      <w:bookmarkStart w:id="2562" w:name="_9kR3WTr2BD77BLCwozN"/>
      <w:r w:rsidRPr="00016234">
        <w:t xml:space="preserve">Annex </w:t>
      </w:r>
      <w:r w:rsidRPr="00016234">
        <w:fldChar w:fldCharType="begin"/>
      </w:r>
      <w:r w:rsidRPr="00016234">
        <w:instrText xml:space="preserve"> REF ANNEX1_SCHEDULE31 \h </w:instrText>
      </w:r>
      <w:r>
        <w:instrText xml:space="preserve"> \* MERGEFORMAT </w:instrText>
      </w:r>
      <w:r w:rsidRPr="00016234">
        <w:fldChar w:fldCharType="separate"/>
      </w:r>
      <w:r w:rsidR="007A1473" w:rsidRPr="00016234">
        <w:t>1</w:t>
      </w:r>
      <w:r w:rsidRPr="00016234">
        <w:fldChar w:fldCharType="end"/>
      </w:r>
      <w:bookmarkEnd w:id="2562"/>
      <w:r w:rsidRPr="00016234">
        <w:t xml:space="preserve"> (</w:t>
      </w:r>
      <w:r w:rsidRPr="002E7013">
        <w:rPr>
          <w:i/>
          <w:iCs/>
        </w:rPr>
        <w:fldChar w:fldCharType="begin"/>
      </w:r>
      <w:r w:rsidRPr="002E7013">
        <w:rPr>
          <w:i/>
          <w:iCs/>
        </w:rPr>
        <w:instrText xml:space="preserve"> REF ANNEX1HEADING_SCHEDULE31 \h  \* MERGEFORMAT </w:instrText>
      </w:r>
      <w:r w:rsidRPr="002E7013">
        <w:rPr>
          <w:i/>
          <w:iCs/>
        </w:rPr>
      </w:r>
      <w:r w:rsidRPr="002E7013">
        <w:rPr>
          <w:i/>
          <w:iCs/>
        </w:rPr>
        <w:fldChar w:fldCharType="separate"/>
      </w:r>
      <w:r w:rsidR="007A1473" w:rsidRPr="007A1473">
        <w:rPr>
          <w:i/>
          <w:iCs/>
        </w:rPr>
        <w:t>Joint Controller Agreement</w:t>
      </w:r>
      <w:r w:rsidRPr="002E7013">
        <w:rPr>
          <w:i/>
          <w:iCs/>
        </w:rPr>
        <w:fldChar w:fldCharType="end"/>
      </w:r>
      <w:r w:rsidRPr="00016234">
        <w:t xml:space="preserve">) in replacement of </w:t>
      </w:r>
      <w:bookmarkStart w:id="2563" w:name="_9kR3WTr2CC7FEKChrAv6JKKM"/>
      <w:r w:rsidRPr="00016234">
        <w:t>Clause 21.2-</w:t>
      </w:r>
      <w:bookmarkEnd w:id="2563"/>
      <w:r w:rsidRPr="00016234">
        <w:t>21.15 (</w:t>
      </w:r>
      <w:r w:rsidRPr="002E7013">
        <w:rPr>
          <w:i/>
        </w:rPr>
        <w:t>Where one Party is</w:t>
      </w:r>
      <w:r w:rsidRPr="00016234">
        <w:t xml:space="preserve"> </w:t>
      </w:r>
      <w:r w:rsidRPr="002E7013">
        <w:rPr>
          <w:i/>
        </w:rPr>
        <w:t>Controller and the other Party is Processor</w:t>
      </w:r>
      <w:r w:rsidRPr="00016234">
        <w:t xml:space="preserve">) and </w:t>
      </w:r>
      <w:bookmarkStart w:id="2564" w:name="_9kR3WTr2CC7FGCDDI"/>
      <w:r w:rsidRPr="00016234">
        <w:t>21.17</w:t>
      </w:r>
      <w:bookmarkEnd w:id="2564"/>
      <w:r w:rsidRPr="00016234">
        <w:t>-</w:t>
      </w:r>
      <w:bookmarkStart w:id="2565" w:name="_9kR3WTr2CC7FHDDEJ"/>
      <w:r w:rsidRPr="00016234">
        <w:t>24.28</w:t>
      </w:r>
      <w:bookmarkEnd w:id="2565"/>
      <w:r w:rsidRPr="00016234">
        <w:t xml:space="preserve"> (</w:t>
      </w:r>
      <w:r w:rsidRPr="002E7013">
        <w:rPr>
          <w:i/>
        </w:rPr>
        <w:t>Independent</w:t>
      </w:r>
      <w:r w:rsidRPr="00016234">
        <w:t xml:space="preserve"> </w:t>
      </w:r>
      <w:r w:rsidRPr="002E7013">
        <w:rPr>
          <w:i/>
        </w:rPr>
        <w:t>Controllers of Personal Data</w:t>
      </w:r>
      <w:r w:rsidRPr="00016234">
        <w:t>). Accordingly, the Parties each undertake to comply with the applicable Data</w:t>
      </w:r>
      <w:r w:rsidRPr="0082514D">
        <w:t xml:space="preserve"> Protection Legislation in respect of their Processing of such Personal </w:t>
      </w:r>
      <w:r w:rsidRPr="00211A99">
        <w:t>Data</w:t>
      </w:r>
      <w:r w:rsidRPr="0082514D">
        <w:t xml:space="preserve"> as Data Controllers. </w:t>
      </w:r>
    </w:p>
    <w:p w14:paraId="5CF14DAF" w14:textId="77777777" w:rsidR="00F67E9E" w:rsidRPr="00C96862" w:rsidRDefault="00F67E9E" w:rsidP="00F67E9E">
      <w:pPr>
        <w:pStyle w:val="AppendixText2"/>
      </w:pPr>
      <w:bookmarkStart w:id="2566" w:name="_9kR3WTrAGA7BKHBeRjSJsC4q1yn54s8Cu7RG2oz"/>
      <w:bookmarkStart w:id="2567" w:name="_Ref_ContractCompanion_9kb9Ut37E"/>
      <w:r w:rsidRPr="0082514D">
        <w:t xml:space="preserve">The Parties agree that the </w:t>
      </w:r>
      <w:r w:rsidRPr="002E7013">
        <w:rPr>
          <w:highlight w:val="yellow"/>
        </w:rPr>
        <w:t>[</w:t>
      </w:r>
      <w:r w:rsidRPr="00B1698D">
        <w:rPr>
          <w:highlight w:val="yellow"/>
        </w:rPr>
        <w:t>Supplier/Authority</w:t>
      </w:r>
      <w:r w:rsidRPr="002E7013">
        <w:rPr>
          <w:highlight w:val="yellow"/>
        </w:rPr>
        <w:t>]</w:t>
      </w:r>
      <w:r w:rsidRPr="00C96862">
        <w:t>:</w:t>
      </w:r>
      <w:bookmarkEnd w:id="2566"/>
      <w:r w:rsidRPr="00C96862">
        <w:t xml:space="preserve"> </w:t>
      </w:r>
      <w:bookmarkEnd w:id="2567"/>
    </w:p>
    <w:p w14:paraId="303E1136" w14:textId="77777777" w:rsidR="00F67E9E" w:rsidRPr="00E327ED" w:rsidRDefault="00F67E9E" w:rsidP="00F67E9E">
      <w:pPr>
        <w:pStyle w:val="AppendixText3"/>
        <w:ind w:left="1440"/>
      </w:pPr>
      <w:r w:rsidRPr="006F71AA">
        <w:t xml:space="preserve">is the exclusive point of contact for Data Subjects and is responsible for all steps necessary to comply with the </w:t>
      </w:r>
      <w:r w:rsidRPr="00E737CD">
        <w:t>UK GDPR regarding the exercise by Data Subjects of th</w:t>
      </w:r>
      <w:r w:rsidRPr="00A0011E">
        <w:t>eir rights under the UK</w:t>
      </w:r>
      <w:r w:rsidRPr="00E327ED">
        <w:t xml:space="preserve"> GDPR;</w:t>
      </w:r>
    </w:p>
    <w:p w14:paraId="582707E7" w14:textId="77777777" w:rsidR="00F67E9E" w:rsidRPr="00E327ED" w:rsidRDefault="00F67E9E" w:rsidP="00F67E9E">
      <w:pPr>
        <w:pStyle w:val="AppendixText3"/>
        <w:ind w:left="1440"/>
      </w:pPr>
      <w:r w:rsidRPr="00E327ED">
        <w:t>shall direct Data Subjects to its Data Protection Officer or suitable alternative in connection with the exercise of their rights as Data Subjects and for any enquiries concerning their Personal Data or privacy;</w:t>
      </w:r>
    </w:p>
    <w:p w14:paraId="6C67071A" w14:textId="77777777" w:rsidR="00F67E9E" w:rsidRPr="00A03FEC" w:rsidRDefault="00F67E9E" w:rsidP="00F67E9E">
      <w:pPr>
        <w:pStyle w:val="AppendixText3"/>
        <w:ind w:left="1440"/>
      </w:pPr>
      <w:r w:rsidRPr="00B642F6">
        <w:t>is solely responsible for the Parties</w:t>
      </w:r>
      <w:r>
        <w:t>’</w:t>
      </w:r>
      <w:r w:rsidRPr="00B642F6">
        <w:t xml:space="preserve"> compliance with all duties to provide information to Data Subjects under Articles 13 and 14 of the </w:t>
      </w:r>
      <w:r w:rsidRPr="00B07A20">
        <w:t xml:space="preserve">UK </w:t>
      </w:r>
      <w:r w:rsidRPr="00831B1E">
        <w:t>GDPR;</w:t>
      </w:r>
    </w:p>
    <w:p w14:paraId="478856A6" w14:textId="77777777" w:rsidR="00F67E9E" w:rsidRPr="00037EB7" w:rsidRDefault="00F67E9E" w:rsidP="00F67E9E">
      <w:pPr>
        <w:pStyle w:val="AppendixText3"/>
        <w:ind w:left="1440"/>
      </w:pPr>
      <w:r w:rsidRPr="00A03FEC">
        <w:t>is responsible for obtaining the informed consent of Data Subjects, in accordance with the UK</w:t>
      </w:r>
      <w:r w:rsidRPr="00392B08">
        <w:t xml:space="preserve"> GDPR, for Processing in connection with the Services where consent is the relevant legal basis for that Processing; and</w:t>
      </w:r>
    </w:p>
    <w:p w14:paraId="5470EEDA" w14:textId="77777777" w:rsidR="00F67E9E" w:rsidRPr="008A68F3" w:rsidRDefault="00F67E9E" w:rsidP="00F67E9E">
      <w:pPr>
        <w:pStyle w:val="AppendixText3"/>
        <w:ind w:left="1440"/>
      </w:pPr>
      <w:r w:rsidRPr="00B43D52">
        <w:t xml:space="preserve">shall </w:t>
      </w:r>
      <w:r w:rsidRPr="00016234">
        <w:t>make available to Data Subjects the essence of this Joint Controller Agreement (</w:t>
      </w:r>
      <w:r w:rsidRPr="00772DD5">
        <w:t>and notify them of any c</w:t>
      </w:r>
      <w:r w:rsidRPr="005A63E1">
        <w:t xml:space="preserve">hanges to it) concerning the allocation of responsibilities as Joint Controller and its role as exclusive point of contact, the Parties having used their best endeavours to agree the terms of that essence. This must be outlined in the </w:t>
      </w:r>
      <w:r w:rsidRPr="00E96B47">
        <w:rPr>
          <w:highlight w:val="yellow"/>
        </w:rPr>
        <w:t>[</w:t>
      </w:r>
      <w:r w:rsidRPr="00B1698D">
        <w:rPr>
          <w:highlight w:val="yellow"/>
        </w:rPr>
        <w:t>Supplier’s/Authority’s</w:t>
      </w:r>
      <w:r w:rsidRPr="00805F4C">
        <w:rPr>
          <w:highlight w:val="yellow"/>
        </w:rPr>
        <w:t>]</w:t>
      </w:r>
      <w:r w:rsidRPr="008A68F3">
        <w:t xml:space="preserve"> privacy policy (which must be readily available by hyperlink or otherwise on all of its public facing services and marketing).</w:t>
      </w:r>
    </w:p>
    <w:p w14:paraId="0B880527" w14:textId="38215A35" w:rsidR="00F67E9E" w:rsidRPr="00040FE9" w:rsidRDefault="00F67E9E" w:rsidP="00F67E9E">
      <w:pPr>
        <w:pStyle w:val="AppendixText2"/>
      </w:pPr>
      <w:r w:rsidRPr="008A68F3">
        <w:t xml:space="preserve">Notwithstanding the terms </w:t>
      </w:r>
      <w:r w:rsidRPr="00016234">
        <w:t xml:space="preserve">of </w:t>
      </w:r>
      <w:bookmarkStart w:id="2568" w:name="_9kMHG5YVtCIC9DMJDgTlULuE6s30p76uAEw9TI4"/>
      <w:r w:rsidRPr="00016234">
        <w:t xml:space="preserve">Paragraph </w:t>
      </w:r>
      <w:r w:rsidRPr="00016234">
        <w:fldChar w:fldCharType="begin"/>
      </w:r>
      <w:r w:rsidRPr="00016234">
        <w:instrText xml:space="preserve"> REF _Ref_ContractCompanion_9kb9Ut37E \n \h \t \* MERGEFORMAT </w:instrText>
      </w:r>
      <w:r w:rsidRPr="00016234">
        <w:fldChar w:fldCharType="separate"/>
      </w:r>
      <w:r w:rsidR="007A1473">
        <w:t>1.2</w:t>
      </w:r>
      <w:r w:rsidRPr="00016234">
        <w:fldChar w:fldCharType="end"/>
      </w:r>
      <w:bookmarkEnd w:id="2568"/>
      <w:r w:rsidRPr="00815F66">
        <w:t>, the Parties acknowledge that a Data Subject has the right to exercise their legal rights under the Data Protection Legislation as against the relevant Party as Data Controller.</w:t>
      </w:r>
    </w:p>
    <w:p w14:paraId="7C3A687B" w14:textId="77777777" w:rsidR="00F67E9E" w:rsidRPr="00040FE9" w:rsidRDefault="00F67E9E" w:rsidP="00F67E9E">
      <w:pPr>
        <w:pStyle w:val="AppendixText1"/>
      </w:pPr>
      <w:r w:rsidRPr="00040FE9">
        <w:t xml:space="preserve">Undertakings </w:t>
      </w:r>
      <w:r>
        <w:t>o</w:t>
      </w:r>
      <w:r w:rsidRPr="00040FE9">
        <w:t>f Both Parties</w:t>
      </w:r>
    </w:p>
    <w:p w14:paraId="67C7232D" w14:textId="77777777" w:rsidR="00F67E9E" w:rsidRPr="00FE5D62" w:rsidRDefault="00F67E9E" w:rsidP="00F67E9E">
      <w:pPr>
        <w:pStyle w:val="AppendixText2"/>
      </w:pPr>
      <w:bookmarkStart w:id="2569" w:name="_Ref_ContractCompanion_9kb9Us7EC"/>
      <w:r w:rsidRPr="00FE5D62">
        <w:t>The Supplier and the Authority each undertake that they shall:</w:t>
      </w:r>
      <w:bookmarkEnd w:id="2569"/>
    </w:p>
    <w:p w14:paraId="5D9D7626" w14:textId="77777777" w:rsidR="00F67E9E" w:rsidRPr="001D763B" w:rsidRDefault="00F67E9E" w:rsidP="00F67E9E">
      <w:pPr>
        <w:pStyle w:val="AppendixText3"/>
      </w:pPr>
      <w:bookmarkStart w:id="2570" w:name="_Ref121390977"/>
      <w:r w:rsidRPr="001D763B">
        <w:t xml:space="preserve">report to the other Party every </w:t>
      </w:r>
      <w:r w:rsidRPr="001D763B">
        <w:rPr>
          <w:highlight w:val="yellow"/>
        </w:rPr>
        <w:t>[</w:t>
      </w:r>
      <w:r w:rsidRPr="00B1698D">
        <w:rPr>
          <w:highlight w:val="yellow"/>
        </w:rPr>
        <w:t>x</w:t>
      </w:r>
      <w:r w:rsidRPr="001D763B">
        <w:rPr>
          <w:highlight w:val="yellow"/>
        </w:rPr>
        <w:t>]</w:t>
      </w:r>
      <w:r w:rsidRPr="001D763B">
        <w:t xml:space="preserve"> months on:</w:t>
      </w:r>
      <w:bookmarkEnd w:id="2570"/>
    </w:p>
    <w:p w14:paraId="7CCA72DB" w14:textId="77777777" w:rsidR="00F67E9E" w:rsidRPr="00EA78E1" w:rsidRDefault="00F67E9E" w:rsidP="00F67E9E">
      <w:pPr>
        <w:pStyle w:val="Numbered111a"/>
      </w:pPr>
      <w:bookmarkStart w:id="2571" w:name="_Ref_ContractCompanion_9kb9Ut378"/>
      <w:bookmarkStart w:id="2572" w:name="_9kR3WTrAGA7BECBkfzzl0B29Bwz1RH45fuA04yE"/>
      <w:r w:rsidRPr="00190716">
        <w:t xml:space="preserve">the volume of Data Subject Access Requests (or purported Data </w:t>
      </w:r>
      <w:r w:rsidRPr="00190716">
        <w:lastRenderedPageBreak/>
        <w:t>Subject Access Requests) from Data Subjects (or third parties on their behalf);</w:t>
      </w:r>
      <w:bookmarkEnd w:id="2571"/>
      <w:bookmarkEnd w:id="2572"/>
    </w:p>
    <w:p w14:paraId="7DA540B4" w14:textId="77777777" w:rsidR="00F67E9E" w:rsidRPr="002D6F21" w:rsidRDefault="00F67E9E" w:rsidP="00F67E9E">
      <w:pPr>
        <w:pStyle w:val="Numbered111a"/>
      </w:pPr>
      <w:r w:rsidRPr="00EA78E1">
        <w:t xml:space="preserve">the volume of requests from Data Subjects (or third parties on their behalf) to rectify, block or erase any Personal Data; </w:t>
      </w:r>
    </w:p>
    <w:p w14:paraId="47B0310D" w14:textId="77777777" w:rsidR="00F67E9E" w:rsidRPr="002D6F21" w:rsidRDefault="00F67E9E" w:rsidP="00F67E9E">
      <w:pPr>
        <w:pStyle w:val="Numbered111a"/>
      </w:pPr>
      <w:bookmarkStart w:id="2573" w:name="_Ref_ContractCompanion_9kb9Ut36E"/>
      <w:bookmarkStart w:id="2574" w:name="_9kR3WTrAGA7BB9BkfopioDFB5r2G44LA9PQA7IK"/>
      <w:r w:rsidRPr="002D6F21">
        <w:t>any other requests, complaints or communications from Data Subjects (or third parties on their behalf) relating to the other Party</w:t>
      </w:r>
      <w:r>
        <w:t>’</w:t>
      </w:r>
      <w:r w:rsidRPr="002D6F21">
        <w:t>s obligations under applicable Data Protection Legislation;</w:t>
      </w:r>
      <w:bookmarkEnd w:id="2573"/>
      <w:bookmarkEnd w:id="2574"/>
    </w:p>
    <w:p w14:paraId="4D569CB5" w14:textId="77777777" w:rsidR="00F67E9E" w:rsidRPr="00FF5FB7" w:rsidRDefault="00F67E9E" w:rsidP="00F67E9E">
      <w:pPr>
        <w:pStyle w:val="Numbered111a"/>
      </w:pPr>
      <w:r w:rsidRPr="00FF5FB7">
        <w:t>any communications from the Information Commissioner or any other regulatory authority in connection with Personal Data; and</w:t>
      </w:r>
    </w:p>
    <w:p w14:paraId="0EC6B58E" w14:textId="77777777" w:rsidR="00F67E9E" w:rsidRPr="00FF5FB7" w:rsidRDefault="00F67E9E" w:rsidP="00F67E9E">
      <w:pPr>
        <w:pStyle w:val="Numbered111a"/>
      </w:pPr>
      <w:bookmarkStart w:id="2575" w:name="_Ref41647720"/>
      <w:r w:rsidRPr="00FF5FB7">
        <w:t>any requests from any third party for disclosure of Personal Data where compliance with such request is required or purported to be required by Law;</w:t>
      </w:r>
      <w:bookmarkEnd w:id="2575"/>
    </w:p>
    <w:p w14:paraId="782FCE57" w14:textId="77777777" w:rsidR="00F67E9E" w:rsidRPr="00016234" w:rsidRDefault="00F67E9E" w:rsidP="00F67E9E">
      <w:pPr>
        <w:pStyle w:val="StdBodyText4"/>
        <w:ind w:left="1800"/>
        <w:rPr>
          <w:rFonts w:cs="Arial"/>
        </w:rPr>
      </w:pPr>
      <w:r w:rsidRPr="00016234">
        <w:rPr>
          <w:rFonts w:cs="Arial"/>
        </w:rPr>
        <w:t>that it has received in relation to the subject matter of the Contract</w:t>
      </w:r>
      <w:r w:rsidRPr="00016234" w:rsidDel="00562BBE">
        <w:rPr>
          <w:rFonts w:cs="Arial"/>
        </w:rPr>
        <w:t xml:space="preserve"> </w:t>
      </w:r>
      <w:r w:rsidRPr="00016234">
        <w:rPr>
          <w:rFonts w:cs="Arial"/>
        </w:rPr>
        <w:t>during that period;</w:t>
      </w:r>
    </w:p>
    <w:p w14:paraId="5D0BE3ED" w14:textId="19D5D167" w:rsidR="00F67E9E" w:rsidRPr="00016234" w:rsidRDefault="00F67E9E" w:rsidP="00F67E9E">
      <w:pPr>
        <w:pStyle w:val="AppendixText3"/>
      </w:pPr>
      <w:r w:rsidRPr="00016234">
        <w:t xml:space="preserve">notify each other immediately if it receives any request, complaint or communication made as referred to in </w:t>
      </w:r>
      <w:bookmarkStart w:id="2576" w:name="_9kMHG5YVtCIC9DGEDmh11n2D4BDy13TJ67hwC26"/>
      <w:r w:rsidRPr="00016234">
        <w:t xml:space="preserve">Paragraphs </w:t>
      </w:r>
      <w:r>
        <w:fldChar w:fldCharType="begin"/>
      </w:r>
      <w:r>
        <w:instrText xml:space="preserve"> REF _Ref121390977 \r \h </w:instrText>
      </w:r>
      <w:r>
        <w:fldChar w:fldCharType="separate"/>
      </w:r>
      <w:r w:rsidR="007A1473">
        <w:t>2.1.1</w:t>
      </w:r>
      <w:r>
        <w:fldChar w:fldCharType="end"/>
      </w:r>
      <w:r w:rsidRPr="00016234">
        <w:fldChar w:fldCharType="begin"/>
      </w:r>
      <w:r w:rsidRPr="00016234">
        <w:instrText xml:space="preserve"> REF _Ref_ContractCompanion_9kb9Ut378 \w \h \t \* MERGEFORMAT </w:instrText>
      </w:r>
      <w:r w:rsidRPr="00016234">
        <w:fldChar w:fldCharType="separate"/>
      </w:r>
      <w:r w:rsidR="007A1473">
        <w:t>1.5(a)</w:t>
      </w:r>
      <w:r w:rsidRPr="00016234">
        <w:fldChar w:fldCharType="end"/>
      </w:r>
      <w:bookmarkEnd w:id="2576"/>
      <w:r w:rsidRPr="00016234">
        <w:t xml:space="preserve"> to </w:t>
      </w:r>
      <w:r w:rsidRPr="00016234">
        <w:fldChar w:fldCharType="begin"/>
      </w:r>
      <w:r w:rsidRPr="00016234">
        <w:instrText xml:space="preserve"> REF _Ref41647720 \n \h  \* MERGEFORMAT </w:instrText>
      </w:r>
      <w:r w:rsidRPr="00016234">
        <w:fldChar w:fldCharType="separate"/>
      </w:r>
      <w:bookmarkStart w:id="2577" w:name="_9kR3WTr2CC7FJ8"/>
      <w:r w:rsidR="007A1473">
        <w:t>(e)</w:t>
      </w:r>
      <w:bookmarkEnd w:id="2577"/>
      <w:r w:rsidRPr="00016234">
        <w:fldChar w:fldCharType="end"/>
      </w:r>
      <w:r w:rsidRPr="00016234">
        <w:t>; and</w:t>
      </w:r>
    </w:p>
    <w:p w14:paraId="2C33F2E9" w14:textId="3F6934E3" w:rsidR="00F67E9E" w:rsidRPr="00016234" w:rsidRDefault="00F67E9E" w:rsidP="00F67E9E">
      <w:pPr>
        <w:pStyle w:val="AppendixText3"/>
      </w:pPr>
      <w:r w:rsidRPr="00016234">
        <w:t xml:space="preserve">provide the other Party with full cooperation and assistance in relation to any request, complaint or communication made as referred to in </w:t>
      </w:r>
      <w:bookmarkStart w:id="2578" w:name="_9kMHG5YVtCIC9DDBDmhqrkqFHD7t4I66NCBRSC9"/>
      <w:r w:rsidRPr="00016234">
        <w:t>Paragraphs</w:t>
      </w:r>
      <w:r>
        <w:t> </w:t>
      </w:r>
      <w:r>
        <w:fldChar w:fldCharType="begin"/>
      </w:r>
      <w:r>
        <w:instrText xml:space="preserve"> REF _Ref141303049 \w \h </w:instrText>
      </w:r>
      <w:r>
        <w:fldChar w:fldCharType="separate"/>
      </w:r>
      <w:r w:rsidR="007A1473">
        <w:t>1.2</w:t>
      </w:r>
      <w:r>
        <w:fldChar w:fldCharType="end"/>
      </w:r>
      <w:r w:rsidRPr="00016234">
        <w:t xml:space="preserve"> </w:t>
      </w:r>
      <w:r>
        <w:t xml:space="preserve">and </w:t>
      </w:r>
      <w:r>
        <w:fldChar w:fldCharType="begin"/>
      </w:r>
      <w:r>
        <w:instrText xml:space="preserve"> REF _Ref121390977 \r \h </w:instrText>
      </w:r>
      <w:r>
        <w:fldChar w:fldCharType="separate"/>
      </w:r>
      <w:r w:rsidR="007A1473">
        <w:t>2.1.1</w:t>
      </w:r>
      <w:r>
        <w:fldChar w:fldCharType="end"/>
      </w:r>
      <w:r w:rsidRPr="00016234">
        <w:fldChar w:fldCharType="begin"/>
      </w:r>
      <w:r w:rsidRPr="00016234">
        <w:instrText xml:space="preserve"> REF _Ref_ContractCompanion_9kb9Ut36E \w \h \t \* MERGEFORMAT </w:instrText>
      </w:r>
      <w:r w:rsidRPr="00016234">
        <w:fldChar w:fldCharType="separate"/>
      </w:r>
      <w:r w:rsidR="007A1473">
        <w:t>1.5(c)</w:t>
      </w:r>
      <w:r w:rsidRPr="00016234">
        <w:fldChar w:fldCharType="end"/>
      </w:r>
      <w:bookmarkEnd w:id="2578"/>
      <w:r w:rsidRPr="00016234">
        <w:t xml:space="preserve"> to </w:t>
      </w:r>
      <w:r w:rsidRPr="00016234">
        <w:fldChar w:fldCharType="begin"/>
      </w:r>
      <w:r w:rsidRPr="00016234">
        <w:instrText xml:space="preserve"> REF _Ref41647720 \n \h  \* MERGEFORMAT </w:instrText>
      </w:r>
      <w:r w:rsidRPr="00016234">
        <w:fldChar w:fldCharType="separate"/>
      </w:r>
      <w:r w:rsidR="007A1473">
        <w:t>(e)</w:t>
      </w:r>
      <w:r w:rsidRPr="00016234">
        <w:fldChar w:fldCharType="end"/>
      </w:r>
      <w:r w:rsidRPr="00016234">
        <w:t xml:space="preserve"> to enable the other Party to comply with the relevant timescales set out in the Data Protection Legislation. </w:t>
      </w:r>
    </w:p>
    <w:p w14:paraId="5FFA9921" w14:textId="77777777" w:rsidR="00F67E9E" w:rsidRPr="00016234" w:rsidRDefault="00F67E9E" w:rsidP="00F67E9E">
      <w:pPr>
        <w:pStyle w:val="AppendixText3"/>
      </w:pPr>
      <w:r w:rsidRPr="00016234">
        <w:t>not disclose or transfer the Personal Data to any third party unless necessary for the provision of the Services and, for any disclosure or transfer of Personal Data to any third party, (save where such disclosure or transfer is specifically authorised under this Contract</w:t>
      </w:r>
      <w:r w:rsidRPr="00016234" w:rsidDel="00562BBE">
        <w:t xml:space="preserve"> </w:t>
      </w:r>
      <w:r w:rsidRPr="00016234">
        <w:t xml:space="preserve">or is required by Law) that disclosure or transfer of Personal Data is otherwise considered to be lawful processing of that Personal Data in accordance with Article 6 of the UK GDPR or EU GDPR (as the context requires). For the avoidance of doubt to which Personal Data is transferred must be subject to equivalent obligations which are no less onerous than those set out in this Annex. </w:t>
      </w:r>
    </w:p>
    <w:p w14:paraId="2BD16194" w14:textId="77777777" w:rsidR="00F67E9E" w:rsidRPr="00016234" w:rsidRDefault="00F67E9E" w:rsidP="00F67E9E">
      <w:pPr>
        <w:pStyle w:val="AppendixText3"/>
      </w:pPr>
      <w:r w:rsidRPr="00016234">
        <w:t>request from the Data Subject only the minimum information necessary to provide the Services and treat such extracted information as Confidential Information.</w:t>
      </w:r>
    </w:p>
    <w:p w14:paraId="1A993566" w14:textId="77777777" w:rsidR="00F67E9E" w:rsidRPr="00016234" w:rsidRDefault="00F67E9E" w:rsidP="00F67E9E">
      <w:pPr>
        <w:pStyle w:val="AppendixText3"/>
      </w:pPr>
      <w:r w:rsidRPr="00016234">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2A23A3D" w14:textId="77777777" w:rsidR="00F67E9E" w:rsidRPr="00016234" w:rsidRDefault="00F67E9E" w:rsidP="00F67E9E">
      <w:pPr>
        <w:pStyle w:val="AppendixText3"/>
      </w:pPr>
      <w:r w:rsidRPr="00016234">
        <w:t>take all reasonable steps to ensure the reliability and integrity of any of its Personnel who have access to the Personal Data and ensure that its Personnel:</w:t>
      </w:r>
    </w:p>
    <w:p w14:paraId="24A0E1C5" w14:textId="2EF4D21C" w:rsidR="00F67E9E" w:rsidRPr="00016234" w:rsidRDefault="00F67E9E" w:rsidP="00F67E9E">
      <w:pPr>
        <w:pStyle w:val="AppendixText4"/>
      </w:pPr>
      <w:r w:rsidRPr="00016234">
        <w:t xml:space="preserve">are aware of and comply with their duties under this Annex </w:t>
      </w:r>
      <w:r w:rsidRPr="00016234">
        <w:fldChar w:fldCharType="begin"/>
      </w:r>
      <w:r w:rsidRPr="00016234">
        <w:instrText xml:space="preserve"> REF ANNEX1_SCHEDULE31 \h </w:instrText>
      </w:r>
      <w:r>
        <w:instrText xml:space="preserve"> \* MERGEFORMAT </w:instrText>
      </w:r>
      <w:r w:rsidRPr="00016234">
        <w:fldChar w:fldCharType="separate"/>
      </w:r>
      <w:r w:rsidR="007A1473" w:rsidRPr="00016234">
        <w:t>1</w:t>
      </w:r>
      <w:r w:rsidRPr="00016234">
        <w:fldChar w:fldCharType="end"/>
      </w:r>
      <w:r w:rsidRPr="00016234">
        <w:t xml:space="preserve"> (</w:t>
      </w:r>
      <w:r w:rsidRPr="00820D2E">
        <w:rPr>
          <w:i/>
          <w:iCs/>
        </w:rPr>
        <w:fldChar w:fldCharType="begin"/>
      </w:r>
      <w:r w:rsidRPr="00820D2E">
        <w:rPr>
          <w:i/>
          <w:iCs/>
        </w:rPr>
        <w:instrText xml:space="preserve"> REF ANNEX1HEADING_SCHEDULE31 \h  \* MERGEFORMAT </w:instrText>
      </w:r>
      <w:r w:rsidRPr="00820D2E">
        <w:rPr>
          <w:i/>
          <w:iCs/>
        </w:rPr>
      </w:r>
      <w:r w:rsidRPr="00820D2E">
        <w:rPr>
          <w:i/>
          <w:iCs/>
        </w:rPr>
        <w:fldChar w:fldCharType="separate"/>
      </w:r>
      <w:r w:rsidR="007A1473" w:rsidRPr="007A1473">
        <w:rPr>
          <w:i/>
          <w:iCs/>
        </w:rPr>
        <w:t>Joint Controller Agreement</w:t>
      </w:r>
      <w:r w:rsidRPr="00820D2E">
        <w:rPr>
          <w:i/>
          <w:iCs/>
        </w:rPr>
        <w:fldChar w:fldCharType="end"/>
      </w:r>
      <w:r w:rsidRPr="00016234">
        <w:t>)</w:t>
      </w:r>
      <w:r>
        <w:t xml:space="preserve"> </w:t>
      </w:r>
      <w:r w:rsidRPr="00016234">
        <w:t xml:space="preserve">and those in respect of Confidential Information </w:t>
      </w:r>
    </w:p>
    <w:p w14:paraId="4B021178" w14:textId="77777777" w:rsidR="00F67E9E" w:rsidRPr="00016234" w:rsidRDefault="00F67E9E" w:rsidP="00F67E9E">
      <w:pPr>
        <w:pStyle w:val="AppendixText4"/>
      </w:pPr>
      <w:r w:rsidRPr="00016234">
        <w:lastRenderedPageBreak/>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2964FD57" w14:textId="77777777" w:rsidR="00F67E9E" w:rsidRPr="00016234" w:rsidRDefault="00F67E9E" w:rsidP="00F67E9E">
      <w:pPr>
        <w:pStyle w:val="AppendixText4"/>
      </w:pPr>
      <w:r w:rsidRPr="00016234">
        <w:t>have undergone adequate training in the use, care, protection and handling of personal data as required by the applicable Data Protection Legislation;</w:t>
      </w:r>
    </w:p>
    <w:p w14:paraId="2257B6CB" w14:textId="77777777" w:rsidR="00F67E9E" w:rsidRPr="00016234" w:rsidRDefault="00F67E9E" w:rsidP="00F67E9E">
      <w:pPr>
        <w:pStyle w:val="AppendixText3"/>
      </w:pPr>
      <w:r w:rsidRPr="00016234">
        <w:t>ensure that it has in place Protective Measures as appropriate to protect against a Data Loss Event having taken account of the:</w:t>
      </w:r>
    </w:p>
    <w:p w14:paraId="1A0C4877" w14:textId="77777777" w:rsidR="00F67E9E" w:rsidRPr="00016234" w:rsidRDefault="00F67E9E" w:rsidP="00F67E9E">
      <w:pPr>
        <w:pStyle w:val="AppendixText4"/>
      </w:pPr>
      <w:r w:rsidRPr="00016234">
        <w:t>nature of the data to be protected;</w:t>
      </w:r>
    </w:p>
    <w:p w14:paraId="6444B1FA" w14:textId="77777777" w:rsidR="00F67E9E" w:rsidRPr="00016234" w:rsidRDefault="00F67E9E" w:rsidP="00F67E9E">
      <w:pPr>
        <w:pStyle w:val="AppendixText4"/>
      </w:pPr>
      <w:r w:rsidRPr="00016234">
        <w:t>harm that might result from a Data Loss Event;</w:t>
      </w:r>
    </w:p>
    <w:p w14:paraId="3A6CBF3A" w14:textId="77777777" w:rsidR="00F67E9E" w:rsidRPr="00016234" w:rsidRDefault="00F67E9E" w:rsidP="00F67E9E">
      <w:pPr>
        <w:pStyle w:val="AppendixText4"/>
      </w:pPr>
      <w:r w:rsidRPr="00016234">
        <w:t>state of technological development; and</w:t>
      </w:r>
    </w:p>
    <w:p w14:paraId="78F0F420" w14:textId="77777777" w:rsidR="00F67E9E" w:rsidRPr="00016234" w:rsidRDefault="00F67E9E" w:rsidP="00F67E9E">
      <w:pPr>
        <w:pStyle w:val="AppendixText4"/>
      </w:pPr>
      <w:r w:rsidRPr="00016234">
        <w:t>cost of implementing any measures.</w:t>
      </w:r>
    </w:p>
    <w:p w14:paraId="4ED26A95" w14:textId="77777777" w:rsidR="00F67E9E" w:rsidRPr="00211A99" w:rsidRDefault="00F67E9E" w:rsidP="00F67E9E">
      <w:pPr>
        <w:pStyle w:val="AppendixText3"/>
      </w:pPr>
      <w:r w:rsidRPr="00016234">
        <w:t xml:space="preserve">ensure that it has the capability (whether technological or otherwise), to the extent required by Data Protection Legislation, to provide or correct or delete at the request of a Data Subject all the Personal Data relating to that Data Subject that the </w:t>
      </w:r>
      <w:r w:rsidRPr="00211A99">
        <w:t xml:space="preserve">Supplier holds; </w:t>
      </w:r>
    </w:p>
    <w:p w14:paraId="794FB2D0" w14:textId="77777777" w:rsidR="00F67E9E" w:rsidRPr="00211A99" w:rsidRDefault="00F67E9E" w:rsidP="00F67E9E">
      <w:pPr>
        <w:pStyle w:val="AppendixText3"/>
      </w:pPr>
      <w:r w:rsidRPr="00211A99">
        <w:t>ensure that it notifies the other Party as soon as it becomes aware of a Data Loss Event;</w:t>
      </w:r>
    </w:p>
    <w:p w14:paraId="018BC9DB" w14:textId="77777777" w:rsidR="00F67E9E" w:rsidRPr="00016234" w:rsidRDefault="00F67E9E" w:rsidP="00F67E9E">
      <w:pPr>
        <w:pStyle w:val="AppendixText3"/>
      </w:pPr>
      <w:r w:rsidRPr="00211A99">
        <w:t>not transfer such Personal Data outside of the UK</w:t>
      </w:r>
      <w:r>
        <w:t xml:space="preserve"> and/or the EEA</w:t>
      </w:r>
      <w:r w:rsidRPr="00211A99">
        <w:t xml:space="preserve"> unless the prior written consent of the non-transferring Party has been obtained</w:t>
      </w:r>
      <w:r w:rsidRPr="00016234">
        <w:t xml:space="preserve"> and the following conditions are fulfilled:</w:t>
      </w:r>
    </w:p>
    <w:p w14:paraId="6ACB866F" w14:textId="77777777" w:rsidR="00F67E9E" w:rsidRPr="00016234" w:rsidRDefault="00F67E9E" w:rsidP="00F67E9E">
      <w:pPr>
        <w:pStyle w:val="AppendixText4"/>
      </w:pPr>
      <w:r w:rsidRPr="00014919">
        <w:t xml:space="preserve">the destination country has been recognised as adequate by the UK government </w:t>
      </w:r>
      <w:r w:rsidRPr="00016234">
        <w:t>is in accordance with Article 45 of the UK GDPR or DPA 2018 Section 7</w:t>
      </w:r>
      <w:r>
        <w:t xml:space="preserve">4A </w:t>
      </w:r>
      <w:r w:rsidRPr="00825953">
        <w:t>and/or the transfer is in accordance with Article 45 of the EU GDPR (where applicable)</w:t>
      </w:r>
      <w:r w:rsidRPr="00016234">
        <w:t xml:space="preserve">; </w:t>
      </w:r>
      <w:r>
        <w:t>or</w:t>
      </w:r>
    </w:p>
    <w:p w14:paraId="1CF15327" w14:textId="6B4970CC" w:rsidR="00F67E9E" w:rsidRDefault="00F67E9E" w:rsidP="00F67E9E">
      <w:pPr>
        <w:pStyle w:val="AppendixText4"/>
      </w:pPr>
      <w:r w:rsidRPr="00016234">
        <w:t xml:space="preserve">the transferring Party has provided appropriate safeguards in relation to the transfer (whether in accordance with Article 46 of </w:t>
      </w:r>
      <w:bookmarkStart w:id="2579" w:name="_9kR3WTr2AADLEOis7tKA2mqtDTEDd64iSSb3hyE"/>
      <w:r w:rsidRPr="00016234">
        <w:t xml:space="preserve">the UK GDPR or DPA 2018 </w:t>
      </w:r>
      <w:bookmarkStart w:id="2580" w:name="_9kR3WTr2CC4BLiLcszv1LR"/>
      <w:r w:rsidRPr="00016234">
        <w:t>Section 75</w:t>
      </w:r>
      <w:bookmarkEnd w:id="2579"/>
      <w:bookmarkEnd w:id="2580"/>
      <w:r w:rsidRPr="000F3DB5">
        <w:t xml:space="preserve"> and/or Article 46 of the EU GDPR (where applicable</w:t>
      </w:r>
      <w:r w:rsidRPr="00016234">
        <w:t>) as agreed with the non-transferring Party which could include the International Data Transfer Agreement or International Data Transfer Agreement Addendum to the European Commission</w:t>
      </w:r>
      <w:r>
        <w:t>’</w:t>
      </w:r>
      <w:r w:rsidRPr="00016234">
        <w:t>s SCCs as published by the Information Commissioner</w:t>
      </w:r>
      <w:r>
        <w:t>’</w:t>
      </w:r>
      <w:r w:rsidRPr="00016234">
        <w:t>s Office and as set out in Annex</w:t>
      </w:r>
      <w:r>
        <w:t> </w:t>
      </w:r>
      <w:r w:rsidRPr="00016234">
        <w:fldChar w:fldCharType="begin"/>
      </w:r>
      <w:r w:rsidRPr="00016234">
        <w:instrText xml:space="preserve"> REF ANNEX2_PARTA_SCHEDULE31 \h </w:instrText>
      </w:r>
      <w:r>
        <w:instrText xml:space="preserve"> \* MERGEFORMAT </w:instrText>
      </w:r>
      <w:r w:rsidRPr="00016234">
        <w:fldChar w:fldCharType="separate"/>
      </w:r>
      <w:r w:rsidR="007A1473" w:rsidRPr="00016234">
        <w:t>2</w:t>
      </w:r>
      <w:r w:rsidRPr="00016234">
        <w:fldChar w:fldCharType="end"/>
      </w:r>
      <w:r w:rsidRPr="00016234">
        <w:t xml:space="preserve"> to </w:t>
      </w:r>
      <w:r>
        <w:fldChar w:fldCharType="begin"/>
      </w:r>
      <w:r>
        <w:instrText xml:space="preserve"> REF Schedule31 \h </w:instrText>
      </w:r>
      <w:r>
        <w:fldChar w:fldCharType="separate"/>
      </w:r>
      <w:r w:rsidR="007A1473" w:rsidRPr="00016234">
        <w:t>Schedule</w:t>
      </w:r>
      <w:r w:rsidR="007A1473">
        <w:t> </w:t>
      </w:r>
      <w:r w:rsidR="007A1473" w:rsidRPr="00016234">
        <w:t>31</w:t>
      </w:r>
      <w:r>
        <w:fldChar w:fldCharType="end"/>
      </w:r>
      <w:r>
        <w:t xml:space="preserve"> (</w:t>
      </w:r>
      <w:r w:rsidRPr="006F064F">
        <w:rPr>
          <w:i/>
          <w:iCs/>
        </w:rPr>
        <w:fldChar w:fldCharType="begin"/>
      </w:r>
      <w:r w:rsidRPr="006F064F">
        <w:rPr>
          <w:i/>
          <w:iCs/>
        </w:rPr>
        <w:instrText xml:space="preserve"> REF Schedule31Heading \h </w:instrText>
      </w:r>
      <w:r>
        <w:rPr>
          <w:i/>
          <w:iCs/>
        </w:rPr>
        <w:instrText xml:space="preserve"> \* MERGEFORMAT </w:instrText>
      </w:r>
      <w:r w:rsidRPr="006F064F">
        <w:rPr>
          <w:i/>
          <w:iCs/>
        </w:rPr>
      </w:r>
      <w:r w:rsidRPr="006F064F">
        <w:rPr>
          <w:i/>
          <w:iCs/>
        </w:rPr>
        <w:fldChar w:fldCharType="separate"/>
      </w:r>
      <w:r w:rsidR="007A1473" w:rsidRPr="007A1473">
        <w:rPr>
          <w:i/>
          <w:iCs/>
        </w:rPr>
        <w:t>Processing Personal Data</w:t>
      </w:r>
      <w:r w:rsidRPr="006F064F">
        <w:rPr>
          <w:i/>
          <w:iCs/>
        </w:rPr>
        <w:fldChar w:fldCharType="end"/>
      </w:r>
      <w:r>
        <w:t>)</w:t>
      </w:r>
      <w:r w:rsidRPr="00016234">
        <w:t xml:space="preserve"> (as appropriate), as well as any additional measures;</w:t>
      </w:r>
    </w:p>
    <w:p w14:paraId="710FC3BA" w14:textId="77777777" w:rsidR="00F67E9E" w:rsidRDefault="00F67E9E" w:rsidP="00F13933">
      <w:pPr>
        <w:pStyle w:val="MarginText"/>
        <w:numPr>
          <w:ilvl w:val="3"/>
          <w:numId w:val="78"/>
        </w:numPr>
        <w:ind w:left="3240" w:hanging="720"/>
      </w:pPr>
      <w:r>
        <w:t>where the transfer is subject to UK GDPR:</w:t>
      </w:r>
      <w:bookmarkStart w:id="2581" w:name="_heading=h.oj1vgcddq1g5" w:colFirst="0" w:colLast="0"/>
      <w:bookmarkEnd w:id="2581"/>
    </w:p>
    <w:p w14:paraId="04D49822" w14:textId="7926D123" w:rsidR="00F67E9E" w:rsidRPr="00C95665" w:rsidRDefault="00F67E9E" w:rsidP="00F67E9E">
      <w:pPr>
        <w:pStyle w:val="Numbered111ai"/>
        <w:tabs>
          <w:tab w:val="clear" w:pos="3240"/>
          <w:tab w:val="num" w:pos="3960"/>
        </w:tabs>
        <w:ind w:left="3960"/>
      </w:pPr>
      <w:r w:rsidRPr="00C95665">
        <w:t>the UK International Data Transfer Agreement (the “</w:t>
      </w:r>
      <w:r w:rsidRPr="00C95665">
        <w:rPr>
          <w:b/>
        </w:rPr>
        <w:t>IDTA</w:t>
      </w:r>
      <w:r w:rsidRPr="00C95665">
        <w:t>”) as published by the Information Commissioner’s Office  or such updated version of such IDTA as is published by the Information Commissioner’s Office under section 119A(1) of the DPA 2018 from time to time; or</w:t>
      </w:r>
    </w:p>
    <w:p w14:paraId="6ADCF0A5" w14:textId="1571C37D" w:rsidR="00F67E9E" w:rsidRDefault="00F67E9E" w:rsidP="00F67E9E">
      <w:pPr>
        <w:pStyle w:val="Numbered111ai"/>
        <w:tabs>
          <w:tab w:val="clear" w:pos="3240"/>
          <w:tab w:val="num" w:pos="3960"/>
        </w:tabs>
        <w:ind w:left="3960"/>
        <w:rPr>
          <w:rFonts w:cs="Arial"/>
          <w:color w:val="000000"/>
        </w:rPr>
      </w:pPr>
      <w:r w:rsidRPr="005E6B3B">
        <w:rPr>
          <w:rFonts w:cs="Arial"/>
        </w:rPr>
        <w:lastRenderedPageBreak/>
        <w:t xml:space="preserve">the European Commission’s Standard Contractual Clauses per </w:t>
      </w:r>
      <w:r w:rsidRPr="00C95665">
        <w:rPr>
          <w:rFonts w:cs="Arial"/>
        </w:rPr>
        <w:t xml:space="preserve">decision 2021/914/EU </w:t>
      </w:r>
      <w:bookmarkStart w:id="2582" w:name="_heading=h.mexhb746tohr" w:colFirst="0" w:colLast="0"/>
      <w:bookmarkEnd w:id="2582"/>
      <w:r w:rsidRPr="00C95665">
        <w:rPr>
          <w:rFonts w:cs="Arial"/>
        </w:rPr>
        <w:t>or such updated version of such Standard Contractual Clauses as are published by the European Commission from time to time</w:t>
      </w:r>
      <w:r w:rsidRPr="00C95665">
        <w:rPr>
          <w:rFonts w:cs="Arial"/>
          <w:b/>
          <w:i/>
        </w:rPr>
        <w:t xml:space="preserve"> </w:t>
      </w:r>
      <w:r w:rsidRPr="00C95665">
        <w:rPr>
          <w:rFonts w:cs="Arial"/>
        </w:rPr>
        <w:t>(the “</w:t>
      </w:r>
      <w:r w:rsidRPr="00C95665">
        <w:rPr>
          <w:rFonts w:cs="Arial"/>
          <w:b/>
        </w:rPr>
        <w:t>EU SCCs</w:t>
      </w:r>
      <w:r w:rsidRPr="00C95665">
        <w:rPr>
          <w:rFonts w:cs="Arial"/>
        </w:rPr>
        <w:t>”), together with the UK International Data Transfer Agreement Addendum to the EU SCCs (the “</w:t>
      </w:r>
      <w:r w:rsidRPr="00C95665">
        <w:rPr>
          <w:rFonts w:cs="Arial"/>
          <w:b/>
        </w:rPr>
        <w:t>Addendum</w:t>
      </w:r>
      <w:r w:rsidRPr="00C95665">
        <w:rPr>
          <w:rFonts w:cs="Arial"/>
        </w:rPr>
        <w:t>”) or such updated version of such Addendum as is published by the Information Commissioner’s Office under section 119A(1) of the DPA 2018 from time to time; and/or</w:t>
      </w:r>
    </w:p>
    <w:p w14:paraId="3908CECC" w14:textId="77777777" w:rsidR="00F67E9E" w:rsidRDefault="00F67E9E" w:rsidP="00F13933">
      <w:pPr>
        <w:pStyle w:val="MarginText"/>
        <w:numPr>
          <w:ilvl w:val="3"/>
          <w:numId w:val="78"/>
        </w:numPr>
        <w:ind w:left="3240" w:hanging="720"/>
        <w:rPr>
          <w:rFonts w:eastAsia="Arial"/>
        </w:rPr>
      </w:pPr>
      <w:r w:rsidRPr="00B740A3">
        <w:t>where</w:t>
      </w:r>
      <w:r w:rsidRPr="005E6B3B">
        <w:rPr>
          <w:rFonts w:eastAsia="Arial"/>
        </w:rPr>
        <w:t xml:space="preserve"> the transfer is subject to EU GDPR, the EU SCCs,</w:t>
      </w:r>
      <w:bookmarkStart w:id="2583" w:name="_heading=h.v0a92t91tofb" w:colFirst="0" w:colLast="0"/>
      <w:bookmarkEnd w:id="2583"/>
    </w:p>
    <w:p w14:paraId="21F22E78" w14:textId="77777777" w:rsidR="00F67E9E" w:rsidRDefault="00F67E9E" w:rsidP="00F67E9E">
      <w:pPr>
        <w:pBdr>
          <w:top w:val="nil"/>
          <w:left w:val="nil"/>
          <w:bottom w:val="nil"/>
          <w:right w:val="nil"/>
          <w:between w:val="nil"/>
        </w:pBdr>
        <w:tabs>
          <w:tab w:val="left" w:pos="2523"/>
        </w:tabs>
        <w:spacing w:before="100" w:after="200"/>
        <w:ind w:left="3240"/>
        <w:rPr>
          <w:rFonts w:eastAsia="Arial" w:cs="Arial"/>
          <w:color w:val="000000"/>
          <w:szCs w:val="24"/>
        </w:rPr>
      </w:pPr>
      <w:r>
        <w:rPr>
          <w:rFonts w:eastAsia="Arial" w:cs="Arial"/>
          <w:color w:val="000000"/>
          <w:szCs w:val="24"/>
        </w:rPr>
        <w:t>(as well as any additional measures determined by the Controller being implemented by the importing party;</w:t>
      </w:r>
    </w:p>
    <w:p w14:paraId="62ED7A92" w14:textId="77777777" w:rsidR="00F67E9E" w:rsidRPr="00016234" w:rsidRDefault="00F67E9E" w:rsidP="00F67E9E">
      <w:pPr>
        <w:pStyle w:val="AppendixText4"/>
      </w:pPr>
      <w:r w:rsidRPr="00016234">
        <w:t>the Data Subject has enforceable rights and effective legal remedies;</w:t>
      </w:r>
    </w:p>
    <w:p w14:paraId="4B843018" w14:textId="77777777" w:rsidR="00F67E9E" w:rsidRPr="00016234" w:rsidRDefault="00F67E9E" w:rsidP="00F67E9E">
      <w:pPr>
        <w:pStyle w:val="AppendixText4"/>
      </w:pPr>
      <w:r w:rsidRPr="00016234">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2935E8A1" w14:textId="77777777" w:rsidR="00F67E9E" w:rsidRPr="00016234" w:rsidRDefault="00F67E9E" w:rsidP="00F67E9E">
      <w:pPr>
        <w:pStyle w:val="AppendixText4"/>
      </w:pPr>
      <w:r w:rsidRPr="00016234">
        <w:t>the transferring Party complies with any reasonable instructions notified to it in advance by the non-transferring Party with respect to the processing of the Personal Data; and</w:t>
      </w:r>
    </w:p>
    <w:p w14:paraId="142A2F26" w14:textId="77777777" w:rsidR="00F67E9E" w:rsidRPr="00016234" w:rsidRDefault="00F67E9E" w:rsidP="00F67E9E">
      <w:pPr>
        <w:pStyle w:val="AppendixText2"/>
      </w:pPr>
      <w:r w:rsidRPr="00016234">
        <w:t xml:space="preserve">Each Joint Controller shall use its </w:t>
      </w:r>
      <w:r>
        <w:t>best</w:t>
      </w:r>
      <w:r w:rsidRPr="00016234">
        <w:t xml:space="preserve"> endeavours to assist the other Controller to comply with any obligations under applicable Data Protection Legislation and shall not perform its obligations under this Annex in such a way as to cause the other Joint Controller to breach any of its</w:t>
      </w:r>
      <w:r>
        <w:t>’</w:t>
      </w:r>
      <w:r w:rsidRPr="00016234">
        <w:t xml:space="preserve"> obligations under applicable Data Protection Legislation to the extent it is aware, or ought reasonably to have been aware, that the same would be a breach of such obligations</w:t>
      </w:r>
    </w:p>
    <w:p w14:paraId="315F834C" w14:textId="77777777" w:rsidR="00F67E9E" w:rsidRPr="00016234" w:rsidRDefault="00F67E9E" w:rsidP="00F67E9E">
      <w:pPr>
        <w:pStyle w:val="AppendixText1"/>
      </w:pPr>
      <w:r w:rsidRPr="00016234">
        <w:t>Data Protection Breach</w:t>
      </w:r>
    </w:p>
    <w:p w14:paraId="383CC0D1" w14:textId="7467FA99" w:rsidR="00F67E9E" w:rsidRPr="00016234" w:rsidRDefault="00F67E9E" w:rsidP="00F67E9E">
      <w:pPr>
        <w:pStyle w:val="AppendixText2"/>
      </w:pPr>
      <w:r w:rsidRPr="00016234">
        <w:t xml:space="preserve">Without prejudice to </w:t>
      </w:r>
      <w:bookmarkStart w:id="2584" w:name="_9kMHG5YVtCIC9BDEFR7ckYMvFNN7qv7G6y3u2EM"/>
      <w:r w:rsidRPr="00016234">
        <w:t xml:space="preserve">Paragraph </w:t>
      </w:r>
      <w:r w:rsidRPr="00016234">
        <w:fldChar w:fldCharType="begin"/>
      </w:r>
      <w:r w:rsidRPr="00016234">
        <w:instrText xml:space="preserve"> REF _Ref_ContractCompanion_9kb9Ut355 \n \h \t \* MERGEFORMAT </w:instrText>
      </w:r>
      <w:r w:rsidRPr="00016234">
        <w:fldChar w:fldCharType="separate"/>
      </w:r>
      <w:r w:rsidR="007A1473">
        <w:t>3.2</w:t>
      </w:r>
      <w:r w:rsidRPr="00016234">
        <w:fldChar w:fldCharType="end"/>
      </w:r>
      <w:bookmarkEnd w:id="2584"/>
      <w:r w:rsidRPr="00016234">
        <w:t xml:space="preserve">, each Party shall notify the other Party promptly and without undue delay, and in any event within 48 hours, upon becoming aware of any </w:t>
      </w:r>
      <w:r w:rsidRPr="0016479C">
        <w:t xml:space="preserve">Data Loss Event </w:t>
      </w:r>
      <w:r w:rsidRPr="00016234">
        <w:t xml:space="preserve">or circumstances that are likely to give rise to a </w:t>
      </w:r>
      <w:r w:rsidRPr="0016479C">
        <w:t>Data Loss Event</w:t>
      </w:r>
      <w:r w:rsidRPr="00016234">
        <w:t>, providing the other Party and its advisors with:</w:t>
      </w:r>
    </w:p>
    <w:p w14:paraId="0DBDF356" w14:textId="77777777" w:rsidR="00F67E9E" w:rsidRPr="00016234" w:rsidRDefault="00F67E9E" w:rsidP="00F67E9E">
      <w:pPr>
        <w:pStyle w:val="AppendixText3"/>
      </w:pPr>
      <w:r w:rsidRPr="00016234">
        <w:t xml:space="preserve">sufficient information and in a timescale which allows the other Party to meet any obligations to report a </w:t>
      </w:r>
      <w:r w:rsidRPr="0016479C">
        <w:t xml:space="preserve">Data Loss Event </w:t>
      </w:r>
      <w:r w:rsidRPr="00016234">
        <w:t>under the Data Protection Legislation;</w:t>
      </w:r>
    </w:p>
    <w:p w14:paraId="4B2CE2D0" w14:textId="77777777" w:rsidR="00F67E9E" w:rsidRPr="00016234" w:rsidRDefault="00F67E9E" w:rsidP="00F67E9E">
      <w:pPr>
        <w:pStyle w:val="AppendixText3"/>
      </w:pPr>
      <w:r w:rsidRPr="00016234">
        <w:t>all reasonable assistance, including:</w:t>
      </w:r>
    </w:p>
    <w:p w14:paraId="140624B9" w14:textId="77777777" w:rsidR="00F67E9E" w:rsidRPr="00211A99" w:rsidRDefault="00F67E9E" w:rsidP="00F67E9E">
      <w:pPr>
        <w:pStyle w:val="AppendixText4"/>
      </w:pPr>
      <w:r w:rsidRPr="000B4593">
        <w:t xml:space="preserve">co-operation with the other Party and the Information Commissioner investigating the </w:t>
      </w:r>
      <w:r>
        <w:t>Data Loss Event</w:t>
      </w:r>
      <w:r w:rsidRPr="000B4593">
        <w:t xml:space="preserve"> and its cause, containing and recovering the compromised Personal Data and compliance with the </w:t>
      </w:r>
      <w:r w:rsidRPr="00211A99">
        <w:t>applicable guidance;</w:t>
      </w:r>
    </w:p>
    <w:p w14:paraId="4ABB9AE8" w14:textId="77777777" w:rsidR="00F67E9E" w:rsidRPr="00211A99" w:rsidRDefault="00F67E9E" w:rsidP="00F67E9E">
      <w:pPr>
        <w:pStyle w:val="AppendixText4"/>
      </w:pPr>
      <w:r w:rsidRPr="00211A99">
        <w:lastRenderedPageBreak/>
        <w:t xml:space="preserve">co-operation with the other Party including taking such reasonable steps as are directed by the Authority to assist in the investigation, mitigation and remediation of a </w:t>
      </w:r>
      <w:r w:rsidRPr="0016479C">
        <w:t>Data Loss Event</w:t>
      </w:r>
      <w:r w:rsidRPr="00211A99">
        <w:t>;</w:t>
      </w:r>
    </w:p>
    <w:p w14:paraId="1A329DFC" w14:textId="77777777" w:rsidR="00F67E9E" w:rsidRPr="00211A99" w:rsidRDefault="00F67E9E" w:rsidP="00F67E9E">
      <w:pPr>
        <w:pStyle w:val="AppendixText4"/>
      </w:pPr>
      <w:r w:rsidRPr="00211A99">
        <w:t xml:space="preserve">co-ordination with the other Party regarding the management of public relations and public statements relating to the </w:t>
      </w:r>
      <w:r w:rsidRPr="0016479C">
        <w:t>Data Loss Event</w:t>
      </w:r>
      <w:r w:rsidRPr="00211A99">
        <w:t>;</w:t>
      </w:r>
    </w:p>
    <w:p w14:paraId="22E38F03" w14:textId="00118985" w:rsidR="00F67E9E" w:rsidRPr="00016234" w:rsidRDefault="00F67E9E" w:rsidP="00F67E9E">
      <w:pPr>
        <w:pStyle w:val="AppendixText4"/>
      </w:pPr>
      <w:r w:rsidRPr="00211A99">
        <w:t xml:space="preserve">providing the other Party and to the extent instructed by the other Party to do so, and/or the Information Commissioner investigating the </w:t>
      </w:r>
      <w:r w:rsidRPr="0016479C">
        <w:t>Data Loss Event</w:t>
      </w:r>
      <w:r w:rsidRPr="00016234">
        <w:t xml:space="preserve">, with complete information relating to the </w:t>
      </w:r>
      <w:r w:rsidRPr="0016479C">
        <w:t>Data Loss Event</w:t>
      </w:r>
      <w:r w:rsidRPr="00016234">
        <w:t xml:space="preserve">, including, without limitation, the information set out in </w:t>
      </w:r>
      <w:bookmarkStart w:id="2585" w:name="_9kMIH5YVtCIC9BDEFR7ckYMvFNN7qv7G6y3u2EM"/>
      <w:r w:rsidRPr="00016234">
        <w:t xml:space="preserve">Paragraph </w:t>
      </w:r>
      <w:r w:rsidRPr="00016234">
        <w:fldChar w:fldCharType="begin"/>
      </w:r>
      <w:r w:rsidRPr="00016234">
        <w:instrText xml:space="preserve"> REF _Ref_ContractCompanion_9kb9Ut355 \n \h \t \* MERGEFORMAT </w:instrText>
      </w:r>
      <w:r w:rsidRPr="00016234">
        <w:fldChar w:fldCharType="separate"/>
      </w:r>
      <w:r w:rsidR="007A1473">
        <w:t>3.2</w:t>
      </w:r>
      <w:r w:rsidRPr="00016234">
        <w:fldChar w:fldCharType="end"/>
      </w:r>
      <w:bookmarkEnd w:id="2585"/>
      <w:r w:rsidRPr="00016234">
        <w:t>.</w:t>
      </w:r>
    </w:p>
    <w:p w14:paraId="0EF21DFD" w14:textId="77777777" w:rsidR="00F67E9E" w:rsidRPr="00016234" w:rsidRDefault="00F67E9E" w:rsidP="00F67E9E">
      <w:pPr>
        <w:pStyle w:val="AppendixText2"/>
      </w:pPr>
      <w:bookmarkStart w:id="2586" w:name="_Ref_ContractCompanion_9kb9Ut355"/>
      <w:bookmarkStart w:id="2587" w:name="_9kR3WTrAGA79BCDP5aiWKtDLL5ot5E4w1s0CKTG"/>
      <w:r w:rsidRPr="00016234">
        <w:t xml:space="preserve">Each Party shall take all steps to restore, re-constitute and/or reconstruct any Personal Data where it has lost, damaged, destroyed, altered or corrupted as a result of a </w:t>
      </w:r>
      <w:r w:rsidRPr="009B682F">
        <w:t>Data Loss Event which is the fault of that Party,</w:t>
      </w:r>
      <w:r>
        <w:t xml:space="preserve"> </w:t>
      </w:r>
      <w:r w:rsidRPr="00016234">
        <w:t>as if it was that Party</w:t>
      </w:r>
      <w:r>
        <w:t>’</w:t>
      </w:r>
      <w:r w:rsidRPr="00016234">
        <w:t xml:space="preserve">s own data at its own cost with all possible speed and shall provide the other Party with all reasonable assistance in respect of any such </w:t>
      </w:r>
      <w:r w:rsidRPr="00BD24CD">
        <w:t>Data Loss Event</w:t>
      </w:r>
      <w:r w:rsidRPr="00016234">
        <w:t xml:space="preserve">, including providing the other Party, as soon as possible and within 48 hours of the </w:t>
      </w:r>
      <w:r w:rsidRPr="00BD24CD">
        <w:t>Data Loss Event</w:t>
      </w:r>
      <w:r>
        <w:t xml:space="preserve"> </w:t>
      </w:r>
      <w:r w:rsidRPr="00016234">
        <w:t xml:space="preserve">relating to the </w:t>
      </w:r>
      <w:r w:rsidRPr="00BD24CD">
        <w:t>Data Loss Event</w:t>
      </w:r>
      <w:r w:rsidRPr="00016234">
        <w:t>, in particular:</w:t>
      </w:r>
      <w:bookmarkEnd w:id="2586"/>
      <w:bookmarkEnd w:id="2587"/>
    </w:p>
    <w:p w14:paraId="797539B7" w14:textId="77777777" w:rsidR="00F67E9E" w:rsidRPr="00016234" w:rsidRDefault="00F67E9E" w:rsidP="00F67E9E">
      <w:pPr>
        <w:pStyle w:val="AppendixText3"/>
      </w:pPr>
      <w:r w:rsidRPr="00016234">
        <w:t xml:space="preserve">the nature of the </w:t>
      </w:r>
      <w:r w:rsidRPr="00BD24CD">
        <w:t>Data Loss Event</w:t>
      </w:r>
      <w:r w:rsidRPr="00016234">
        <w:t xml:space="preserve">; </w:t>
      </w:r>
    </w:p>
    <w:p w14:paraId="21341446" w14:textId="77777777" w:rsidR="00F67E9E" w:rsidRPr="00016234" w:rsidRDefault="00F67E9E" w:rsidP="00F67E9E">
      <w:pPr>
        <w:pStyle w:val="AppendixText3"/>
      </w:pPr>
      <w:r w:rsidRPr="00016234">
        <w:t>the nature of Personal Data affected;</w:t>
      </w:r>
    </w:p>
    <w:p w14:paraId="65FA7F65" w14:textId="77777777" w:rsidR="00F67E9E" w:rsidRPr="00016234" w:rsidRDefault="00F67E9E" w:rsidP="00F67E9E">
      <w:pPr>
        <w:pStyle w:val="AppendixText3"/>
      </w:pPr>
      <w:r w:rsidRPr="00016234">
        <w:t>the categories and number of Data Subjects concerned;</w:t>
      </w:r>
    </w:p>
    <w:p w14:paraId="55F627D9" w14:textId="77777777" w:rsidR="00F67E9E" w:rsidRPr="00016234" w:rsidRDefault="00F67E9E" w:rsidP="00F67E9E">
      <w:pPr>
        <w:pStyle w:val="AppendixText3"/>
      </w:pPr>
      <w:r w:rsidRPr="00016234">
        <w:t>the name and contact details of the Supplier</w:t>
      </w:r>
      <w:r>
        <w:t>’</w:t>
      </w:r>
      <w:r w:rsidRPr="00016234">
        <w:t>s Data Protection Officer or other relevant contact from whom more information may be obtained;</w:t>
      </w:r>
    </w:p>
    <w:p w14:paraId="5F6387B9" w14:textId="77777777" w:rsidR="00F67E9E" w:rsidRPr="00016234" w:rsidRDefault="00F67E9E" w:rsidP="00F67E9E">
      <w:pPr>
        <w:pStyle w:val="AppendixText3"/>
      </w:pPr>
      <w:r w:rsidRPr="00016234">
        <w:t xml:space="preserve">measures taken or proposed to be taken to address the </w:t>
      </w:r>
      <w:r w:rsidRPr="00BD24CD">
        <w:t>Data Loss Event</w:t>
      </w:r>
      <w:r w:rsidRPr="00016234">
        <w:t>; and</w:t>
      </w:r>
    </w:p>
    <w:p w14:paraId="085AA086" w14:textId="77777777" w:rsidR="00F67E9E" w:rsidRPr="00016234" w:rsidRDefault="00F67E9E" w:rsidP="00F67E9E">
      <w:pPr>
        <w:pStyle w:val="AppendixText3"/>
      </w:pPr>
      <w:r w:rsidRPr="00016234">
        <w:t xml:space="preserve">describe the likely consequences of the </w:t>
      </w:r>
      <w:r w:rsidRPr="00BD24CD">
        <w:t>Data Loss Event</w:t>
      </w:r>
      <w:r w:rsidRPr="00016234">
        <w:t>.</w:t>
      </w:r>
    </w:p>
    <w:p w14:paraId="17CCDFC4" w14:textId="77777777" w:rsidR="00F67E9E" w:rsidRPr="00016234" w:rsidRDefault="00F67E9E" w:rsidP="00F67E9E">
      <w:pPr>
        <w:pStyle w:val="AppendixText1"/>
      </w:pPr>
      <w:r w:rsidRPr="00016234">
        <w:t>Audit</w:t>
      </w:r>
    </w:p>
    <w:p w14:paraId="29B126B0" w14:textId="77777777" w:rsidR="00F67E9E" w:rsidRPr="00016234" w:rsidRDefault="00F67E9E" w:rsidP="00F67E9E">
      <w:pPr>
        <w:pStyle w:val="AppendixText2"/>
      </w:pPr>
      <w:bookmarkStart w:id="2588" w:name="_Ref_ContractCompanion_9kb9Ut348"/>
      <w:bookmarkStart w:id="2589" w:name="_9kR3WTrAGA78EHDdRjVgA63xr1G7qv7C69IAI"/>
      <w:r w:rsidRPr="00016234">
        <w:t>The Supplier shall permit:</w:t>
      </w:r>
      <w:bookmarkEnd w:id="2588"/>
      <w:bookmarkEnd w:id="2589"/>
    </w:p>
    <w:p w14:paraId="0C260887" w14:textId="68EF7CB5" w:rsidR="00F67E9E" w:rsidRPr="00016234" w:rsidRDefault="00F67E9E" w:rsidP="00F67E9E">
      <w:pPr>
        <w:pStyle w:val="AppendixText3"/>
      </w:pPr>
      <w:r w:rsidRPr="00016234">
        <w:t>the Authority, or a third-party auditor acting under the Authority</w:t>
      </w:r>
      <w:r>
        <w:t>’</w:t>
      </w:r>
      <w:r w:rsidRPr="00016234">
        <w:t>s direction, to conduct, at the Authority</w:t>
      </w:r>
      <w:r>
        <w:t>’</w:t>
      </w:r>
      <w:r w:rsidRPr="00016234">
        <w:t>s cost, data privacy and security audits, assessments and inspections concerning the Supplier</w:t>
      </w:r>
      <w:r>
        <w:t>’</w:t>
      </w:r>
      <w:r w:rsidRPr="00016234">
        <w:t xml:space="preserve">s data security and privacy procedures relating to Personal Data, its compliance with this </w:t>
      </w:r>
      <w:bookmarkStart w:id="2590" w:name="_9kMIH5YVt4DF99DNEyq1P"/>
      <w:r w:rsidRPr="00016234">
        <w:t xml:space="preserve">Annex </w:t>
      </w:r>
      <w:r w:rsidRPr="00016234">
        <w:fldChar w:fldCharType="begin"/>
      </w:r>
      <w:r w:rsidRPr="00016234">
        <w:instrText xml:space="preserve"> REF ANNEX1_SCHEDULE31 \h </w:instrText>
      </w:r>
      <w:r>
        <w:instrText xml:space="preserve"> \* MERGEFORMAT </w:instrText>
      </w:r>
      <w:r w:rsidRPr="00016234">
        <w:fldChar w:fldCharType="separate"/>
      </w:r>
      <w:r w:rsidR="007A1473" w:rsidRPr="00016234">
        <w:t>1</w:t>
      </w:r>
      <w:r w:rsidRPr="00016234">
        <w:fldChar w:fldCharType="end"/>
      </w:r>
      <w:bookmarkEnd w:id="2590"/>
      <w:r w:rsidRPr="00016234">
        <w:t xml:space="preserve"> and the Data Protection Legislation. </w:t>
      </w:r>
    </w:p>
    <w:p w14:paraId="2A21EDAC" w14:textId="77777777" w:rsidR="00F67E9E" w:rsidRPr="00016234" w:rsidRDefault="00F67E9E" w:rsidP="00F67E9E">
      <w:pPr>
        <w:pStyle w:val="AppendixText3"/>
      </w:pPr>
      <w:r w:rsidRPr="00016234">
        <w:t>the Authority, or a third-party auditor acting under the Authority</w:t>
      </w:r>
      <w:r>
        <w:t>’</w:t>
      </w:r>
      <w:r w:rsidRPr="00016234">
        <w:t xml:space="preserve">s direction, access to premises at which the Personal Data is accessible or at which it is able to inspect any relevant records, including the record maintained under Article 30 of the UK GDPR by the Supplier so far as relevant to the Contract, and procedures, including premises under the control of any third party appointed by the Supplier to assist in the provision of the Services. </w:t>
      </w:r>
    </w:p>
    <w:p w14:paraId="72A7B606" w14:textId="09291603" w:rsidR="00F67E9E" w:rsidRPr="00016234" w:rsidRDefault="00F67E9E" w:rsidP="00F67E9E">
      <w:pPr>
        <w:pStyle w:val="AppendixText2"/>
      </w:pPr>
      <w:r w:rsidRPr="00016234">
        <w:t>The Authority may, in its sole discretion, require the Supplier to provide evidence of the Supplier</w:t>
      </w:r>
      <w:r>
        <w:t>’</w:t>
      </w:r>
      <w:r w:rsidRPr="00016234">
        <w:t xml:space="preserve">s compliance with </w:t>
      </w:r>
      <w:bookmarkStart w:id="2591" w:name="_9kMHG5YVtCIC9AGJFfTlXiC85zt3I9sx9E8BKCK"/>
      <w:r w:rsidRPr="00016234">
        <w:t xml:space="preserve">Paragraph </w:t>
      </w:r>
      <w:r w:rsidRPr="00016234">
        <w:fldChar w:fldCharType="begin"/>
      </w:r>
      <w:r w:rsidRPr="00016234">
        <w:instrText xml:space="preserve"> REF _Ref_ContractCompanion_9kb9Ut348 \n \h \t \* MERGEFORMAT </w:instrText>
      </w:r>
      <w:r w:rsidRPr="00016234">
        <w:fldChar w:fldCharType="separate"/>
      </w:r>
      <w:r w:rsidR="007A1473">
        <w:t>4.1</w:t>
      </w:r>
      <w:r w:rsidRPr="00016234">
        <w:fldChar w:fldCharType="end"/>
      </w:r>
      <w:bookmarkEnd w:id="2591"/>
      <w:r w:rsidRPr="00016234">
        <w:t xml:space="preserve"> in lieu of conducting such an audit, assessment or inspection.</w:t>
      </w:r>
    </w:p>
    <w:p w14:paraId="26FEFC84" w14:textId="77777777" w:rsidR="00F67E9E" w:rsidRPr="00016234" w:rsidRDefault="00F67E9E" w:rsidP="00F67E9E">
      <w:pPr>
        <w:pStyle w:val="AppendixText1"/>
      </w:pPr>
      <w:r w:rsidRPr="00016234">
        <w:lastRenderedPageBreak/>
        <w:t>Impact Assessments</w:t>
      </w:r>
    </w:p>
    <w:p w14:paraId="1F2A2301" w14:textId="77777777" w:rsidR="00F67E9E" w:rsidRPr="00211A99" w:rsidRDefault="00F67E9E" w:rsidP="00F67E9E">
      <w:pPr>
        <w:pStyle w:val="AppendixText2"/>
      </w:pPr>
      <w:r w:rsidRPr="00211A99">
        <w:rPr>
          <w:rStyle w:val="StdBodyTextBoldChar"/>
          <w:rFonts w:eastAsia="Verdana" w:cs="Arial"/>
          <w:b w:val="0"/>
          <w:bCs/>
        </w:rPr>
        <w:t>The Parties</w:t>
      </w:r>
      <w:r w:rsidRPr="00211A99">
        <w:t xml:space="preserve"> shall:</w:t>
      </w:r>
    </w:p>
    <w:p w14:paraId="2E8DA90B" w14:textId="77777777" w:rsidR="00F67E9E" w:rsidRPr="00211A99" w:rsidRDefault="00F67E9E" w:rsidP="00F67E9E">
      <w:pPr>
        <w:pStyle w:val="AppendixText3"/>
      </w:pPr>
      <w:r w:rsidRPr="00016234">
        <w:t xml:space="preserve">provide all reasonable assistance to each other to prepare any Data Protection Impact Assessment as may be required (including provision of detailed information and assessments in relation to processing operations, risks and </w:t>
      </w:r>
      <w:r w:rsidRPr="00211A99">
        <w:t>measures);</w:t>
      </w:r>
    </w:p>
    <w:p w14:paraId="0B9AD002" w14:textId="77777777" w:rsidR="00F67E9E" w:rsidRPr="00016234" w:rsidRDefault="00F67E9E" w:rsidP="00F67E9E">
      <w:pPr>
        <w:pStyle w:val="AppendixText3"/>
      </w:pPr>
      <w:r w:rsidRPr="00211A99">
        <w:t>maintain full and complete records of all Processing carried out in respect of the Perso</w:t>
      </w:r>
      <w:r w:rsidRPr="00016234">
        <w:t xml:space="preserve">nal Data in connection with this Contract, in accordance with the terms of </w:t>
      </w:r>
      <w:bookmarkStart w:id="2592" w:name="_9kR3WTr2CC7FKOG6yimp8I"/>
      <w:r w:rsidRPr="00016234">
        <w:t>Article 30</w:t>
      </w:r>
      <w:bookmarkEnd w:id="2592"/>
      <w:r w:rsidRPr="00016234">
        <w:t xml:space="preserve"> of the UK GDPR.</w:t>
      </w:r>
    </w:p>
    <w:p w14:paraId="4D2A9B5E" w14:textId="77777777" w:rsidR="00F67E9E" w:rsidRPr="00016234" w:rsidRDefault="00F67E9E" w:rsidP="00F67E9E">
      <w:pPr>
        <w:pStyle w:val="AppendixText1"/>
      </w:pPr>
      <w:r w:rsidRPr="00016234">
        <w:t>ICO Guidance</w:t>
      </w:r>
    </w:p>
    <w:p w14:paraId="7697394A" w14:textId="02104534" w:rsidR="00F67E9E" w:rsidRPr="00E62DE6" w:rsidRDefault="00F67E9E" w:rsidP="00E62DE6">
      <w:pPr>
        <w:pStyle w:val="AppendixText1"/>
        <w:numPr>
          <w:ilvl w:val="0"/>
          <w:numId w:val="0"/>
        </w:numPr>
        <w:ind w:left="720"/>
        <w:rPr>
          <w:b w:val="0"/>
          <w:bCs/>
        </w:rPr>
      </w:pPr>
      <w:r w:rsidRPr="00E62DE6">
        <w:rPr>
          <w:b w:val="0"/>
          <w:bCs/>
        </w:rPr>
        <w:t>The Parties agree to take account of any non-mandatory guidance issued by the Information Commissioner,  and/or any relevant Central Government Body and/or any other regulatory authority. The Authority may on not less than thirty (30) Working Days’ notice to the Supplier amend this Contract to ensure that it complies with any guidance issued by the Information Commissioner or any other regulatory authority.</w:t>
      </w:r>
    </w:p>
    <w:p w14:paraId="227DCB6A" w14:textId="77777777" w:rsidR="00F67E9E" w:rsidRPr="00E737CD" w:rsidRDefault="00F67E9E" w:rsidP="00F67E9E">
      <w:pPr>
        <w:pStyle w:val="AppendixText1"/>
      </w:pPr>
      <w:r w:rsidRPr="00E737CD">
        <w:t xml:space="preserve">Liabilities </w:t>
      </w:r>
      <w:r>
        <w:t>f</w:t>
      </w:r>
      <w:r w:rsidRPr="00E737CD">
        <w:t>or Data Protection Breach</w:t>
      </w:r>
    </w:p>
    <w:p w14:paraId="4EF15AFA" w14:textId="77777777" w:rsidR="00F67E9E" w:rsidRPr="00266335" w:rsidRDefault="00F67E9E" w:rsidP="00F67E9E">
      <w:pPr>
        <w:pStyle w:val="StdBodyText1"/>
        <w:rPr>
          <w:rFonts w:cs="Arial"/>
          <w:b/>
          <w:bCs/>
          <w:i/>
        </w:rPr>
      </w:pPr>
      <w:r>
        <w:rPr>
          <w:rStyle w:val="StdBodyTextBoldChar"/>
          <w:rFonts w:cs="Arial"/>
          <w:i/>
          <w:highlight w:val="yellow"/>
        </w:rPr>
        <w:t>[Guidance note:</w:t>
      </w:r>
      <w:r w:rsidRPr="00266335">
        <w:rPr>
          <w:rFonts w:cs="Arial"/>
          <w:b/>
          <w:bCs/>
          <w:i/>
          <w:highlight w:val="yellow"/>
        </w:rPr>
        <w:t xml:space="preserve"> This paragraph represents a risk share, you may wish to reconsider the apportionment of liability and whether recoverability of losses are likely to be hindered by the contractual limitation of liability provisions.]</w:t>
      </w:r>
    </w:p>
    <w:p w14:paraId="1C3C0EE0" w14:textId="77777777" w:rsidR="00F67E9E" w:rsidRPr="002D6F21" w:rsidRDefault="00F67E9E" w:rsidP="00F67E9E">
      <w:pPr>
        <w:pStyle w:val="AppendixText2"/>
      </w:pPr>
      <w:bookmarkStart w:id="2593" w:name="_Ref78376844"/>
      <w:r w:rsidRPr="00190716">
        <w:t xml:space="preserve">If financial penalties are imposed by the Information Commissioner on either the Authority or the Supplier for a </w:t>
      </w:r>
      <w:r>
        <w:t>Data Loss Event</w:t>
      </w:r>
      <w:r w:rsidRPr="00190716">
        <w:t xml:space="preserve"> (</w:t>
      </w:r>
      <w:r>
        <w:t>“</w:t>
      </w:r>
      <w:r w:rsidRPr="002E7013">
        <w:rPr>
          <w:rStyle w:val="StdBodyTextBoldChar"/>
          <w:rFonts w:eastAsia="Verdana" w:cs="Arial"/>
        </w:rPr>
        <w:t>Financial</w:t>
      </w:r>
      <w:r w:rsidRPr="00EA78E1">
        <w:t xml:space="preserve"> </w:t>
      </w:r>
      <w:r w:rsidRPr="002E7013">
        <w:rPr>
          <w:rStyle w:val="StdBodyTextBoldChar"/>
          <w:rFonts w:eastAsia="Verdana" w:cs="Arial"/>
        </w:rPr>
        <w:t>Penalties</w:t>
      </w:r>
      <w:r>
        <w:t>”</w:t>
      </w:r>
      <w:r w:rsidRPr="002D6F21">
        <w:t>) then the following shall occur:</w:t>
      </w:r>
      <w:bookmarkEnd w:id="2593"/>
    </w:p>
    <w:p w14:paraId="471369FC" w14:textId="77777777" w:rsidR="00F67E9E" w:rsidRPr="00016234" w:rsidRDefault="00F67E9E" w:rsidP="00F67E9E">
      <w:pPr>
        <w:pStyle w:val="AppendixText3"/>
      </w:pPr>
      <w:r w:rsidRPr="00FF5FB7">
        <w:t xml:space="preserve">If in the view of the Information Commissioner, the Authority is </w:t>
      </w:r>
      <w:r w:rsidRPr="00016234">
        <w:t xml:space="preserve">responsible for the </w:t>
      </w:r>
      <w:r>
        <w:t>Data Loss Event</w:t>
      </w:r>
      <w:r w:rsidRPr="00016234">
        <w:t>, in that it is caused as a result of the actions or inaction of the Authority, its employees, agents, contractors (other than the Supplier) or systems and procedures controlled by the Authority, then the Authority shall be responsible for the payment of such Financial Penalties. In this case, the Authority will conduct an internal audit and engage at its reasonable cost when necessary, an independent third party to conduct an audit of any such data incident. The Supplier shall provide to the Authority and its third party investigators and auditors, on request and at the Supplier</w:t>
      </w:r>
      <w:r>
        <w:t>’</w:t>
      </w:r>
      <w:r w:rsidRPr="00016234">
        <w:t xml:space="preserve">s reasonable cost, full cooperation and access to conduct a thorough audit of such data incident; </w:t>
      </w:r>
    </w:p>
    <w:p w14:paraId="4ED5D4BE" w14:textId="77777777" w:rsidR="00F67E9E" w:rsidRPr="00016234" w:rsidRDefault="00F67E9E" w:rsidP="00F67E9E">
      <w:pPr>
        <w:pStyle w:val="AppendixText3"/>
      </w:pPr>
      <w:r w:rsidRPr="00016234">
        <w:t xml:space="preserve">If in the view of the Information Commissioner, the Supplier is responsible for the </w:t>
      </w:r>
      <w:r>
        <w:t>Data Loss Event</w:t>
      </w:r>
      <w:r w:rsidRPr="00016234">
        <w:t>, in that it is not a breach that the Authority is responsible for, then the Supplier shall be responsible for the payment of these Financial Penalties. The Supplier will provide to the Authority and its auditors, on request and at the Supplier</w:t>
      </w:r>
      <w:r>
        <w:t>’</w:t>
      </w:r>
      <w:r w:rsidRPr="00016234">
        <w:t>s sole cost, full cooperation and access to conduct a thorough audit of such data incident; or</w:t>
      </w:r>
    </w:p>
    <w:p w14:paraId="7C4F61F3" w14:textId="6FE9D5C9" w:rsidR="00F67E9E" w:rsidRPr="00016234" w:rsidRDefault="00F67E9E" w:rsidP="00F67E9E">
      <w:pPr>
        <w:pStyle w:val="AppendixText3"/>
      </w:pPr>
      <w:r w:rsidRPr="00016234">
        <w:t xml:space="preserve">If no view as to responsibility is expressed by the Information Commissioner, then the Authority and the Supplier shall work together to investigate the relevant data incident and allocate responsibility for any Financial Penalties as outlined above, or by agreement to split any Financial Penalties equally if no </w:t>
      </w:r>
      <w:r w:rsidRPr="00016234">
        <w:lastRenderedPageBreak/>
        <w:t xml:space="preserve">responsibility for the </w:t>
      </w:r>
      <w:r>
        <w:t>Data Loss Event</w:t>
      </w:r>
      <w:r w:rsidRPr="00016234">
        <w:t xml:space="preserve"> can be apportioned. In the event that the Parties do not agree such apportionment then such Dispute shall be referred to the Dispute Resolution Procedure set out in </w:t>
      </w:r>
      <w:r>
        <w:rPr>
          <w:rFonts w:cs="Arial"/>
        </w:rPr>
        <w:fldChar w:fldCharType="begin"/>
      </w:r>
      <w:r>
        <w:rPr>
          <w:rFonts w:cs="Arial"/>
        </w:rPr>
        <w:instrText xml:space="preserve"> REF Schedule23 \h </w:instrText>
      </w:r>
      <w:r>
        <w:rPr>
          <w:rFonts w:cs="Arial"/>
        </w:rPr>
      </w:r>
      <w:r>
        <w:rPr>
          <w:rFonts w:cs="Arial"/>
        </w:rPr>
        <w:fldChar w:fldCharType="separate"/>
      </w:r>
      <w:r w:rsidR="007A1473" w:rsidRPr="005D0525">
        <w:t>Schedule</w:t>
      </w:r>
      <w:r w:rsidR="007A1473">
        <w:t> </w:t>
      </w:r>
      <w:r w:rsidR="007A1473" w:rsidRPr="005D0525">
        <w:t>23</w:t>
      </w:r>
      <w:r>
        <w:rPr>
          <w:rFonts w:cs="Arial"/>
        </w:rPr>
        <w:fldChar w:fldCharType="end"/>
      </w:r>
      <w:r>
        <w:rPr>
          <w:rFonts w:cs="Arial"/>
        </w:rPr>
        <w:t xml:space="preserve"> (</w:t>
      </w:r>
      <w:r w:rsidRPr="002F30DB">
        <w:rPr>
          <w:rFonts w:cs="Arial"/>
          <w:i/>
          <w:iCs/>
        </w:rPr>
        <w:fldChar w:fldCharType="begin"/>
      </w:r>
      <w:r w:rsidRPr="002F30DB">
        <w:rPr>
          <w:rFonts w:cs="Arial"/>
          <w:i/>
          <w:iCs/>
        </w:rPr>
        <w:instrText xml:space="preserve"> REF Schedule23Heading \h </w:instrText>
      </w:r>
      <w:r>
        <w:rPr>
          <w:rFonts w:cs="Arial"/>
          <w:i/>
          <w:iCs/>
        </w:rPr>
        <w:instrText xml:space="preserve"> \* MERGEFORMAT </w:instrText>
      </w:r>
      <w:r w:rsidRPr="002F30DB">
        <w:rPr>
          <w:rFonts w:cs="Arial"/>
          <w:i/>
          <w:iCs/>
        </w:rPr>
      </w:r>
      <w:r w:rsidRPr="002F30DB">
        <w:rPr>
          <w:rFonts w:cs="Arial"/>
          <w:i/>
          <w:iCs/>
        </w:rPr>
        <w:fldChar w:fldCharType="separate"/>
      </w:r>
      <w:r w:rsidR="007A1473" w:rsidRPr="007A1473">
        <w:rPr>
          <w:i/>
          <w:iCs/>
        </w:rPr>
        <w:t>Dispute Resolution Procedure</w:t>
      </w:r>
      <w:r w:rsidRPr="002F30DB">
        <w:rPr>
          <w:rFonts w:cs="Arial"/>
          <w:i/>
          <w:iCs/>
        </w:rPr>
        <w:fldChar w:fldCharType="end"/>
      </w:r>
      <w:r>
        <w:rPr>
          <w:rFonts w:cs="Arial"/>
        </w:rPr>
        <w:t>)</w:t>
      </w:r>
      <w:r w:rsidRPr="00016234">
        <w:t>.</w:t>
      </w:r>
    </w:p>
    <w:p w14:paraId="0C6D9AD2" w14:textId="77777777" w:rsidR="00F67E9E" w:rsidRPr="00016234" w:rsidRDefault="00F67E9E" w:rsidP="00F67E9E">
      <w:pPr>
        <w:pStyle w:val="AppendixText2"/>
      </w:pPr>
      <w:bookmarkStart w:id="2594" w:name="_9kR3WTrAGA788EHTEhl11nyE5rLWMA6HCFWSMSJ"/>
      <w:bookmarkStart w:id="2595" w:name="_Ref_ContractCompanion_9kb9Ut33B"/>
      <w:r w:rsidRPr="00016234">
        <w:t>If either the Authority or the Supplier is the defendant in a legal claim brought before a court of competent jurisdiction (</w:t>
      </w:r>
      <w:r>
        <w:t>“</w:t>
      </w:r>
      <w:r w:rsidRPr="002E7013">
        <w:rPr>
          <w:rStyle w:val="StdBodyTextBoldChar"/>
          <w:rFonts w:eastAsia="Verdana" w:cs="Arial"/>
        </w:rPr>
        <w:t>Court</w:t>
      </w:r>
      <w:r>
        <w:t>”</w:t>
      </w:r>
      <w:r w:rsidRPr="00016234">
        <w:t xml:space="preserve">) by a third party in respect of a </w:t>
      </w:r>
      <w:r>
        <w:t>Data Loss Event</w:t>
      </w:r>
      <w:r w:rsidRPr="00016234">
        <w:t xml:space="preserve">, then unless the Parties otherwise agree, the Party that is determined by the final decision of the court to be responsible for the </w:t>
      </w:r>
      <w:r>
        <w:t>Data Loss Event</w:t>
      </w:r>
      <w:r w:rsidRPr="00016234">
        <w:t xml:space="preserve"> shall be liable for the losses arising from such breach.</w:t>
      </w:r>
      <w:bookmarkEnd w:id="2594"/>
      <w:r w:rsidRPr="00016234">
        <w:t xml:space="preserve"> Where both Parties are liable, the liability will be apportioned between the Parties in accordance with the decision of the Court.</w:t>
      </w:r>
      <w:bookmarkEnd w:id="2595"/>
    </w:p>
    <w:p w14:paraId="63D9215C" w14:textId="77777777" w:rsidR="00F67E9E" w:rsidRPr="00016234" w:rsidRDefault="00F67E9E" w:rsidP="00F67E9E">
      <w:pPr>
        <w:pStyle w:val="AppendixText2"/>
      </w:pPr>
      <w:bookmarkStart w:id="2596" w:name="_Ref_ContractCompanion_9kb9Ut338"/>
      <w:bookmarkStart w:id="2597" w:name="_9kR3WTrAGA77ELIUM2uw8vjzCzmvKJAINABA7OU"/>
      <w:r w:rsidRPr="00016234">
        <w:t xml:space="preserve">In respect of any losses, cost claims or expenses incurred by either Party as a result of a </w:t>
      </w:r>
      <w:r>
        <w:t>Data Loss Event</w:t>
      </w:r>
      <w:r w:rsidRPr="00016234">
        <w:t xml:space="preserve"> (the </w:t>
      </w:r>
      <w:r>
        <w:t>“</w:t>
      </w:r>
      <w:r w:rsidRPr="002E7013">
        <w:rPr>
          <w:rStyle w:val="StdBodyTextBoldChar"/>
          <w:rFonts w:eastAsia="Verdana" w:cs="Arial"/>
        </w:rPr>
        <w:t>Claim Losses</w:t>
      </w:r>
      <w:r>
        <w:t>”</w:t>
      </w:r>
      <w:r w:rsidRPr="00016234">
        <w:t>):</w:t>
      </w:r>
      <w:bookmarkEnd w:id="2596"/>
      <w:bookmarkEnd w:id="2597"/>
    </w:p>
    <w:p w14:paraId="1BE1B3AB" w14:textId="77777777" w:rsidR="00F67E9E" w:rsidRPr="00016234" w:rsidRDefault="00F67E9E" w:rsidP="00F67E9E">
      <w:pPr>
        <w:pStyle w:val="AppendixText3"/>
      </w:pPr>
      <w:r w:rsidRPr="00016234">
        <w:t>if the Authority is responsible for the relevant breach, then the Authority shall be responsible for the Claim Losses;</w:t>
      </w:r>
    </w:p>
    <w:p w14:paraId="3CB67A84" w14:textId="77777777" w:rsidR="00F67E9E" w:rsidRPr="00016234" w:rsidRDefault="00F67E9E" w:rsidP="00F67E9E">
      <w:pPr>
        <w:pStyle w:val="AppendixText3"/>
      </w:pPr>
      <w:r w:rsidRPr="00016234">
        <w:t>if the Supplier is responsible for the relevant breach, then the Supplier shall be responsible for the Claim Losses; and</w:t>
      </w:r>
    </w:p>
    <w:p w14:paraId="3F86FA29" w14:textId="77777777" w:rsidR="00F67E9E" w:rsidRPr="00016234" w:rsidRDefault="00F67E9E" w:rsidP="00F67E9E">
      <w:pPr>
        <w:pStyle w:val="AppendixText3"/>
      </w:pPr>
      <w:r w:rsidRPr="00016234">
        <w:t xml:space="preserve">if responsibility is unclear, then the Authority and the Supplier shall be responsible for the Claim Losses equally. </w:t>
      </w:r>
    </w:p>
    <w:p w14:paraId="3837D96D" w14:textId="0F2D9B30" w:rsidR="00F67E9E" w:rsidRPr="00016234" w:rsidRDefault="00F67E9E" w:rsidP="00F67E9E">
      <w:pPr>
        <w:pStyle w:val="AppendixText2"/>
      </w:pPr>
      <w:bookmarkStart w:id="2598" w:name="_Ref78376848"/>
      <w:r w:rsidRPr="00016234">
        <w:t xml:space="preserve">Nothing in </w:t>
      </w:r>
      <w:bookmarkStart w:id="2599" w:name="_9kMHG5YVtCIC9AAGJVGjn33p0G7tNYOC8JEHYUO"/>
      <w:r w:rsidRPr="00016234">
        <w:t xml:space="preserve">Paragraphs </w:t>
      </w:r>
      <w:r w:rsidRPr="00016234">
        <w:fldChar w:fldCharType="begin"/>
      </w:r>
      <w:r w:rsidRPr="00016234">
        <w:instrText xml:space="preserve"> REF _Ref_ContractCompanion_9kb9Ut33B \n \h \t \* MERGEFORMAT </w:instrText>
      </w:r>
      <w:r w:rsidRPr="00016234">
        <w:fldChar w:fldCharType="separate"/>
      </w:r>
      <w:r w:rsidR="007A1473">
        <w:t>7.2</w:t>
      </w:r>
      <w:r w:rsidRPr="00016234">
        <w:fldChar w:fldCharType="end"/>
      </w:r>
      <w:bookmarkEnd w:id="2599"/>
      <w:r w:rsidRPr="00016234">
        <w:t>-</w:t>
      </w:r>
      <w:bookmarkStart w:id="2600" w:name="_9kMHG5YVtCIC99GNKWO4wyAxl1E1oxMLCKPCDC9"/>
      <w:r w:rsidRPr="00016234">
        <w:fldChar w:fldCharType="begin"/>
      </w:r>
      <w:r w:rsidRPr="00016234">
        <w:instrText xml:space="preserve"> REF _Ref_ContractCompanion_9kb9Ut338 \n \h \t \* MERGEFORMAT </w:instrText>
      </w:r>
      <w:r w:rsidRPr="00016234">
        <w:fldChar w:fldCharType="separate"/>
      </w:r>
      <w:r w:rsidR="007A1473">
        <w:t>7.3</w:t>
      </w:r>
      <w:r w:rsidRPr="00016234">
        <w:fldChar w:fldCharType="end"/>
      </w:r>
      <w:bookmarkEnd w:id="2600"/>
      <w:r w:rsidRPr="00016234">
        <w:t xml:space="preserve"> shall preclude the Authority and the Supplier reaching any other agreement, including by way of compromise with a third party complainant or claimant, as to the apportionment of financial responsibility for any Claim Losses as a result of a </w:t>
      </w:r>
      <w:r>
        <w:t>Data Loss Event</w:t>
      </w:r>
      <w:r w:rsidRPr="00016234">
        <w:t>, having regard to all the circumstances of the breach and the legal and financial obligations of the Authority.</w:t>
      </w:r>
      <w:bookmarkEnd w:id="2598"/>
    </w:p>
    <w:p w14:paraId="519CFEF7" w14:textId="77777777" w:rsidR="00F67E9E" w:rsidRPr="00016234" w:rsidRDefault="00F67E9E" w:rsidP="00F67E9E">
      <w:pPr>
        <w:pStyle w:val="AppendixText1"/>
      </w:pPr>
      <w:r w:rsidRPr="00016234">
        <w:t>Termination</w:t>
      </w:r>
    </w:p>
    <w:p w14:paraId="0EEE37CE" w14:textId="3D72D63A" w:rsidR="00F67E9E" w:rsidRPr="00016234" w:rsidRDefault="00F67E9E" w:rsidP="00F67E9E">
      <w:pPr>
        <w:pStyle w:val="AppendixText2"/>
      </w:pPr>
      <w:r w:rsidRPr="00016234">
        <w:t xml:space="preserve">If the Supplier is in material Default under any of its obligations under this Annex </w:t>
      </w:r>
      <w:r w:rsidRPr="00016234">
        <w:fldChar w:fldCharType="begin"/>
      </w:r>
      <w:r w:rsidRPr="00016234">
        <w:instrText xml:space="preserve"> REF ANNEX1_SCHEDULE31 \h </w:instrText>
      </w:r>
      <w:r>
        <w:instrText xml:space="preserve"> \* MERGEFORMAT </w:instrText>
      </w:r>
      <w:r w:rsidRPr="00016234">
        <w:fldChar w:fldCharType="separate"/>
      </w:r>
      <w:r w:rsidR="007A1473" w:rsidRPr="00016234">
        <w:t>1</w:t>
      </w:r>
      <w:r w:rsidRPr="00016234">
        <w:fldChar w:fldCharType="end"/>
      </w:r>
      <w:r w:rsidRPr="00016234">
        <w:t xml:space="preserve"> (</w:t>
      </w:r>
      <w:r w:rsidRPr="002E7013">
        <w:rPr>
          <w:i/>
          <w:iCs/>
        </w:rPr>
        <w:fldChar w:fldCharType="begin"/>
      </w:r>
      <w:r w:rsidRPr="002E7013">
        <w:rPr>
          <w:i/>
          <w:iCs/>
        </w:rPr>
        <w:instrText xml:space="preserve"> REF ANNEX1HEADING_SCHEDULE31 \h  \* MERGEFORMAT </w:instrText>
      </w:r>
      <w:r w:rsidRPr="002E7013">
        <w:rPr>
          <w:i/>
          <w:iCs/>
        </w:rPr>
      </w:r>
      <w:r w:rsidRPr="002E7013">
        <w:rPr>
          <w:i/>
          <w:iCs/>
        </w:rPr>
        <w:fldChar w:fldCharType="separate"/>
      </w:r>
      <w:r w:rsidR="007A1473" w:rsidRPr="007A1473">
        <w:rPr>
          <w:i/>
          <w:iCs/>
        </w:rPr>
        <w:t>Joint Controller Agreement</w:t>
      </w:r>
      <w:r w:rsidRPr="002E7013">
        <w:rPr>
          <w:i/>
          <w:iCs/>
        </w:rPr>
        <w:fldChar w:fldCharType="end"/>
      </w:r>
      <w:r w:rsidRPr="00016234">
        <w:t>), the Authority shall be entitled to terminate this Contract</w:t>
      </w:r>
      <w:r w:rsidRPr="00016234" w:rsidDel="00562BBE">
        <w:t xml:space="preserve"> </w:t>
      </w:r>
      <w:r w:rsidRPr="00016234">
        <w:t xml:space="preserve">by issuing a </w:t>
      </w:r>
      <w:bookmarkStart w:id="2601" w:name="_9kMHzG6ZWu5DFAFMkPu3vxqx628ieHCwt"/>
      <w:r w:rsidRPr="00016234">
        <w:t>Termination Notice</w:t>
      </w:r>
      <w:bookmarkEnd w:id="2601"/>
      <w:r w:rsidRPr="00016234">
        <w:t xml:space="preserve"> to the Supplier in accordance with </w:t>
      </w:r>
      <w:bookmarkStart w:id="2602" w:name="_9kMJI5YVt4EE8FELEjtCx9M"/>
      <w:r w:rsidRPr="00016234">
        <w:t>Clause 31</w:t>
      </w:r>
      <w:bookmarkEnd w:id="2602"/>
      <w:r w:rsidRPr="00016234">
        <w:t xml:space="preserve"> (</w:t>
      </w:r>
      <w:r w:rsidRPr="002E7013">
        <w:rPr>
          <w:i/>
        </w:rPr>
        <w:t>Termination Rights</w:t>
      </w:r>
      <w:r w:rsidRPr="00016234">
        <w:t>).</w:t>
      </w:r>
    </w:p>
    <w:p w14:paraId="63DF86CB" w14:textId="77777777" w:rsidR="00F67E9E" w:rsidRPr="00016234" w:rsidRDefault="00F67E9E" w:rsidP="00F67E9E">
      <w:pPr>
        <w:pStyle w:val="AppendixText1"/>
      </w:pPr>
      <w:r w:rsidRPr="00016234">
        <w:t>Sub-Processing</w:t>
      </w:r>
    </w:p>
    <w:p w14:paraId="1142F2FD" w14:textId="77777777" w:rsidR="00F67E9E" w:rsidRPr="00016234" w:rsidRDefault="00F67E9E" w:rsidP="00F67E9E">
      <w:pPr>
        <w:pStyle w:val="AppendixText2"/>
      </w:pPr>
      <w:r w:rsidRPr="00016234">
        <w:t>In respect of any Processing of Personal performed by a third party on behalf of a Party, that Party shall:</w:t>
      </w:r>
    </w:p>
    <w:p w14:paraId="50709433" w14:textId="77777777" w:rsidR="00F67E9E" w:rsidRPr="00211A99" w:rsidRDefault="00F67E9E" w:rsidP="00F67E9E">
      <w:pPr>
        <w:pStyle w:val="AppendixText3"/>
      </w:pPr>
      <w:r w:rsidRPr="00016234">
        <w:t xml:space="preserve">carry out adequate due diligence on such third party to ensure that it is capable of providing the level of protection for the Personal Data as is required by this Contract, and provide evidence of such due diligence to the other Party where </w:t>
      </w:r>
      <w:r w:rsidRPr="00211A99">
        <w:t>reasonably requested; and</w:t>
      </w:r>
    </w:p>
    <w:p w14:paraId="09F23C87" w14:textId="77777777" w:rsidR="00F67E9E" w:rsidRPr="00016234" w:rsidRDefault="00F67E9E" w:rsidP="00F67E9E">
      <w:pPr>
        <w:pStyle w:val="AppendixText3"/>
      </w:pPr>
      <w:r w:rsidRPr="00211A99">
        <w:t>ensure that a suitable agreement is in place with the third party as required under appl</w:t>
      </w:r>
      <w:r w:rsidRPr="00016234">
        <w:t>icable Data Protection Legislation.</w:t>
      </w:r>
    </w:p>
    <w:p w14:paraId="2D08ABE9" w14:textId="77777777" w:rsidR="00F67E9E" w:rsidRPr="00016234" w:rsidRDefault="00F67E9E" w:rsidP="00F67E9E">
      <w:pPr>
        <w:pStyle w:val="AppendixText1"/>
      </w:pPr>
      <w:r w:rsidRPr="00016234">
        <w:t>Data Retention</w:t>
      </w:r>
    </w:p>
    <w:p w14:paraId="40B7CB35" w14:textId="77777777" w:rsidR="00F67E9E" w:rsidRPr="000B4593" w:rsidRDefault="00F67E9E" w:rsidP="00F67E9E">
      <w:pPr>
        <w:pStyle w:val="AppendixText2"/>
        <w:rPr>
          <w:rFonts w:eastAsiaTheme="majorEastAsia"/>
        </w:rPr>
      </w:pPr>
      <w:r w:rsidRPr="00016234">
        <w:t xml:space="preserve">The Parties agree to erase Personal Data from any computers, storage devices and storage media that are to be retained as soon as practicable after it has ceased to be necessary for them to retain such Personal Data under applicable Data Protection </w:t>
      </w:r>
      <w:r w:rsidRPr="00016234">
        <w:lastRenderedPageBreak/>
        <w:t>Legislation and their privacy policy (save to the extent (and for the limited period) that such information needs to be retained by a Party for statutory compliance purposes or as otherwise required by this Contract), and taking all further actions as may be necessary to ensure its compliance with Data Protection Legislation and its privacy policy.</w:t>
      </w:r>
      <w:bookmarkStart w:id="2603" w:name="_Ref92706629"/>
    </w:p>
    <w:p w14:paraId="65FB879E" w14:textId="2D5A1404" w:rsidR="00F67E9E" w:rsidRDefault="00F67E9E" w:rsidP="00F67E9E">
      <w:pPr>
        <w:pStyle w:val="Heading2"/>
        <w:pageBreakBefore/>
      </w:pPr>
      <w:bookmarkStart w:id="2604" w:name="_Ref99088368"/>
      <w:bookmarkStart w:id="2605" w:name="_Toc145412833"/>
      <w:r w:rsidRPr="00016234">
        <w:lastRenderedPageBreak/>
        <w:t xml:space="preserve">Annex </w:t>
      </w:r>
      <w:bookmarkStart w:id="2606" w:name="ANNEX2_PARTA_SCHEDULE31"/>
      <w:r w:rsidRPr="00016234">
        <w:t>2</w:t>
      </w:r>
      <w:bookmarkEnd w:id="2606"/>
      <w:r w:rsidRPr="00016234">
        <w:t>:</w:t>
      </w:r>
      <w:bookmarkEnd w:id="2603"/>
      <w:bookmarkEnd w:id="2604"/>
      <w:r>
        <w:t xml:space="preserve"> </w:t>
      </w:r>
      <w:r w:rsidR="00C95665">
        <w:t>Not Used</w:t>
      </w:r>
      <w:bookmarkEnd w:id="2605"/>
    </w:p>
    <w:p w14:paraId="084B83FD" w14:textId="77777777" w:rsidR="00F67E9E" w:rsidRPr="00AE092F" w:rsidRDefault="00F67E9E" w:rsidP="00F67E9E">
      <w:bookmarkStart w:id="2607" w:name="Section_1"/>
      <w:bookmarkStart w:id="2608" w:name="Section_2"/>
      <w:bookmarkStart w:id="2609" w:name="Section_3"/>
      <w:bookmarkStart w:id="2610" w:name="Section_4"/>
      <w:bookmarkStart w:id="2611" w:name="Section_5"/>
      <w:bookmarkStart w:id="2612" w:name="Section_6"/>
      <w:bookmarkStart w:id="2613" w:name="Section_7"/>
      <w:bookmarkStart w:id="2614" w:name="Section_8"/>
      <w:bookmarkStart w:id="2615" w:name="Section_9"/>
      <w:bookmarkStart w:id="2616" w:name="Section_10"/>
      <w:bookmarkStart w:id="2617" w:name="Section_11"/>
      <w:bookmarkStart w:id="2618" w:name="Section_12"/>
      <w:bookmarkStart w:id="2619" w:name="Section_13"/>
      <w:bookmarkStart w:id="2620" w:name="Section_14"/>
      <w:bookmarkStart w:id="2621" w:name="Section_15"/>
      <w:bookmarkStart w:id="2622" w:name="Section_16"/>
      <w:bookmarkStart w:id="2623" w:name="Section_17"/>
      <w:bookmarkStart w:id="2624" w:name="Section_18"/>
      <w:bookmarkStart w:id="2625" w:name="Section_19"/>
      <w:bookmarkStart w:id="2626" w:name="Section_20"/>
      <w:bookmarkStart w:id="2627" w:name="Section_21"/>
      <w:bookmarkStart w:id="2628" w:name="Section_22"/>
      <w:bookmarkStart w:id="2629" w:name="Section_23"/>
      <w:bookmarkStart w:id="2630" w:name="Section_24"/>
      <w:bookmarkStart w:id="2631" w:name="Section_25"/>
      <w:bookmarkStart w:id="2632" w:name="Section_26"/>
      <w:bookmarkStart w:id="2633" w:name="Section_27"/>
      <w:bookmarkStart w:id="2634" w:name="Section_28"/>
      <w:bookmarkStart w:id="2635" w:name="Section_29"/>
      <w:bookmarkStart w:id="2636" w:name="Section_29_2"/>
      <w:bookmarkStart w:id="2637" w:name="Section_30"/>
      <w:bookmarkStart w:id="2638" w:name="Section_31"/>
      <w:bookmarkStart w:id="2639" w:name="Section_32"/>
      <w:bookmarkStart w:id="2640" w:name="Section_33"/>
      <w:bookmarkStart w:id="2641" w:name="Section_34"/>
      <w:bookmarkStart w:id="2642" w:name="Section_35"/>
      <w:bookmarkStart w:id="2643" w:name="Section_36"/>
      <w:bookmarkStart w:id="2644" w:name="_Hlk92885712"/>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p>
    <w:p w14:paraId="54133715" w14:textId="18D9F0EE" w:rsidR="00F67E9E" w:rsidRPr="00F6471A" w:rsidRDefault="00F67E9E" w:rsidP="00F67E9E">
      <w:pPr>
        <w:pStyle w:val="Heading2"/>
        <w:pageBreakBefore/>
      </w:pPr>
      <w:bookmarkStart w:id="2645" w:name="_Ref99088417"/>
      <w:bookmarkStart w:id="2646" w:name="_Toc145412834"/>
      <w:bookmarkEnd w:id="2644"/>
      <w:r w:rsidRPr="00016234">
        <w:lastRenderedPageBreak/>
        <w:t xml:space="preserve">Annex </w:t>
      </w:r>
      <w:bookmarkStart w:id="2647" w:name="ANNEX3HEADING_SCHEDULE31"/>
      <w:bookmarkStart w:id="2648" w:name="ANNEX3SCHEDULE31"/>
      <w:r w:rsidRPr="00016234">
        <w:t>3</w:t>
      </w:r>
      <w:bookmarkEnd w:id="2647"/>
      <w:bookmarkEnd w:id="2648"/>
      <w:r w:rsidRPr="00016234">
        <w:t xml:space="preserve">: </w:t>
      </w:r>
      <w:r w:rsidR="00C95665">
        <w:t>Not Used</w:t>
      </w:r>
      <w:bookmarkEnd w:id="2645"/>
      <w:bookmarkEnd w:id="2646"/>
    </w:p>
    <w:p w14:paraId="6B56F00A" w14:textId="77777777" w:rsidR="00F67E9E" w:rsidRPr="00102034" w:rsidRDefault="00F67E9E" w:rsidP="00F67E9E">
      <w:pPr>
        <w:spacing w:after="200" w:line="276" w:lineRule="auto"/>
        <w:rPr>
          <w:rFonts w:eastAsia="Arial" w:cs="Arial"/>
          <w:sz w:val="22"/>
          <w:szCs w:val="22"/>
          <w:lang w:eastAsia="en-GB"/>
        </w:rPr>
      </w:pPr>
      <w:bookmarkStart w:id="2649" w:name="bookmark=id.35xuupr" w:colFirst="0" w:colLast="0"/>
      <w:bookmarkStart w:id="2650" w:name="bookmark=id.1l354xk" w:colFirst="0" w:colLast="0"/>
      <w:bookmarkStart w:id="2651" w:name="bookmark=id.452snld" w:colFirst="0" w:colLast="0"/>
      <w:bookmarkStart w:id="2652" w:name="bookmark=id.2k82xt6" w:colFirst="0" w:colLast="0"/>
      <w:bookmarkStart w:id="2653" w:name="bookmark=id.zdd80z" w:colFirst="0" w:colLast="0"/>
      <w:bookmarkStart w:id="2654" w:name="bookmark=id.3jd0qos" w:colFirst="0" w:colLast="0"/>
      <w:bookmarkStart w:id="2655" w:name="bookmark=id.1yib0wl" w:colFirst="0" w:colLast="0"/>
      <w:bookmarkStart w:id="2656" w:name="bookmark=id.4ihyjke" w:colFirst="0" w:colLast="0"/>
      <w:bookmarkStart w:id="2657" w:name="bookmark=id.2xn8ts7" w:colFirst="0" w:colLast="0"/>
      <w:bookmarkStart w:id="2658" w:name="bookmark=id.1csj400" w:colFirst="0" w:colLast="0"/>
      <w:bookmarkStart w:id="2659" w:name="bookmark=id.3ws6mnt" w:colFirst="0" w:colLast="0"/>
      <w:bookmarkStart w:id="2660" w:name="bookmark=id.2bxgwvm" w:colFirst="0" w:colLast="0"/>
      <w:bookmarkStart w:id="2661" w:name="bookmark=id.r2r73f" w:colFirst="0" w:colLast="0"/>
      <w:bookmarkStart w:id="2662" w:name="bookmark=id.3b2epr8" w:colFirst="0" w:colLast="0"/>
      <w:bookmarkStart w:id="2663" w:name="bookmark=id.1q7ozz1" w:colFirst="0" w:colLast="0"/>
      <w:bookmarkStart w:id="2664" w:name="bookmark=id.4a7cimu" w:colFirst="0" w:colLast="0"/>
      <w:bookmarkStart w:id="2665" w:name="bookmark=id.2pcmsun" w:colFirst="0" w:colLast="0"/>
      <w:bookmarkStart w:id="2666" w:name="bookmark=id.14hx32g" w:colFirst="0" w:colLast="0"/>
      <w:bookmarkStart w:id="2667" w:name="bookmark=id.3ohklq9" w:colFirst="0" w:colLast="0"/>
      <w:bookmarkStart w:id="2668" w:name="bookmark=id.23muvy2" w:colFirst="0" w:colLast="0"/>
      <w:bookmarkStart w:id="2669" w:name="bookmark=id.is565v" w:colFirst="0" w:colLast="0"/>
      <w:bookmarkStart w:id="2670" w:name="bookmark=id.32rsoto" w:colFirst="0" w:colLast="0"/>
      <w:bookmarkStart w:id="2671" w:name="bookmark=id.1hx2z1h" w:colFirst="0" w:colLast="0"/>
      <w:bookmarkStart w:id="2672" w:name="bookmark=id.41wqhpa" w:colFirst="0" w:colLast="0"/>
      <w:bookmarkStart w:id="2673" w:name="bookmark=id.2h20rx3" w:colFirst="0" w:colLast="0"/>
      <w:bookmarkStart w:id="2674" w:name="bookmark=id.w7b24w" w:colFirst="0" w:colLast="0"/>
      <w:bookmarkStart w:id="2675" w:name="bookmark=id.3g6yksp" w:colFirst="0" w:colLast="0"/>
      <w:bookmarkStart w:id="2676" w:name="bookmark=id.1vc8v0i" w:colFirst="0" w:colLast="0"/>
      <w:bookmarkStart w:id="2677" w:name="bookmark=id.4fbwdob" w:colFirst="0" w:colLast="0"/>
      <w:bookmarkStart w:id="2678" w:name="bookmark=id.2uh6nw4" w:colFirst="0" w:colLast="0"/>
      <w:bookmarkStart w:id="2679" w:name="bookmark=id.19mgy3x" w:colFirst="0" w:colLast="0"/>
      <w:bookmarkStart w:id="2680" w:name="bookmark=id.3tm4grq" w:colFirst="0" w:colLast="0"/>
      <w:bookmarkStart w:id="2681" w:name="bookmark=id.28reqzj" w:colFirst="0" w:colLast="0"/>
      <w:bookmarkStart w:id="2682" w:name="bookmark=id.nwp17c" w:colFirst="0" w:colLast="0"/>
      <w:bookmarkStart w:id="2683" w:name="bookmark=id.37wcjv5" w:colFirst="0" w:colLast="0"/>
      <w:bookmarkStart w:id="2684" w:name="bookmark=id.1n1mu2y" w:colFirst="0" w:colLast="0"/>
      <w:bookmarkStart w:id="2685" w:name="bookmark=id.471acqr" w:colFirst="0" w:colLast="0"/>
      <w:bookmarkStart w:id="2686" w:name="bookmark=id.2m6kmyk" w:colFirst="0" w:colLast="0"/>
      <w:bookmarkStart w:id="2687" w:name="bookmark=id.11bux6d" w:colFirst="0" w:colLast="0"/>
      <w:bookmarkStart w:id="2688" w:name="bookmark=id.3lbifu6" w:colFirst="0" w:colLast="0"/>
      <w:bookmarkStart w:id="2689" w:name="bookmark=id.20gsq1z" w:colFirst="0" w:colLast="0"/>
      <w:bookmarkStart w:id="2690" w:name="bookmark=id.4kgg8ps" w:colFirst="0" w:colLast="0"/>
      <w:bookmarkStart w:id="2691" w:name="bookmark=id.2zlqixl" w:colFirst="0" w:colLast="0"/>
      <w:bookmarkStart w:id="2692" w:name="bookmark=id.1er0t5e" w:colFirst="0" w:colLast="0"/>
      <w:bookmarkStart w:id="2693" w:name="bookmark=id.3yqobt7" w:colFirst="0" w:colLast="0"/>
      <w:bookmarkStart w:id="2694" w:name="bookmark=id.2dvym10" w:colFirst="0" w:colLast="0"/>
      <w:bookmarkStart w:id="2695" w:name="bookmark=id.t18w8t" w:colFirst="0" w:colLast="0"/>
      <w:bookmarkStart w:id="2696" w:name="bookmark=id.3d0wewm" w:colFirst="0" w:colLast="0"/>
      <w:bookmarkStart w:id="2697" w:name="bookmark=id.1s66p4f" w:colFirst="0" w:colLast="0"/>
      <w:bookmarkStart w:id="2698" w:name="bookmark=id.4c5u7s8" w:colFirst="0" w:colLast="0"/>
      <w:bookmarkStart w:id="2699" w:name="bookmark=id.2rb4i01" w:colFirst="0" w:colLast="0"/>
      <w:bookmarkStart w:id="2700" w:name="bookmark=id.16ges7u" w:colFirst="0" w:colLast="0"/>
      <w:bookmarkStart w:id="2701" w:name="bookmark=id.3qg2avn" w:colFirst="0" w:colLast="0"/>
      <w:bookmarkStart w:id="2702" w:name="bookmark=id.25lcl3g" w:colFirst="0" w:colLast="0"/>
      <w:bookmarkStart w:id="2703" w:name="bookmark=id.kqmvb9" w:colFirst="0" w:colLast="0"/>
      <w:bookmarkStart w:id="2704" w:name="bookmark=id.34qadz2" w:colFirst="0" w:colLast="0"/>
      <w:bookmarkStart w:id="2705" w:name="bookmark=id.1jvko6v" w:colFirst="0" w:colLast="0"/>
      <w:bookmarkStart w:id="2706" w:name="bookmark=id.43v86uo" w:colFirst="0" w:colLast="0"/>
      <w:bookmarkStart w:id="2707" w:name="bookmark=id.2j0ih2h" w:colFirst="0" w:colLast="0"/>
      <w:bookmarkStart w:id="2708" w:name="bookmark=id.y5sraa" w:colFirst="0" w:colLast="0"/>
      <w:bookmarkStart w:id="2709" w:name="bookmark=id.3i5g9y3" w:colFirst="0" w:colLast="0"/>
      <w:bookmarkStart w:id="2710" w:name="bookmark=id.1xaqk5w" w:colFirst="0" w:colLast="0"/>
      <w:bookmarkStart w:id="2711" w:name="bookmark=id.4hae2tp" w:colFirst="0" w:colLast="0"/>
      <w:bookmarkStart w:id="2712" w:name="bookmark=id.2wfod1i" w:colFirst="0" w:colLast="0"/>
      <w:bookmarkStart w:id="2713" w:name="bookmark=id.1bkyn9b" w:colFirst="0" w:colLast="0"/>
      <w:bookmarkStart w:id="2714" w:name="bookmark=id.3vkm5x4" w:colFirst="0" w:colLast="0"/>
      <w:bookmarkStart w:id="2715" w:name="bookmark=id.2apwg4x" w:colFirst="0" w:colLast="0"/>
      <w:bookmarkStart w:id="2716" w:name="bookmark=id.pv6qcq" w:colFirst="0" w:colLast="0"/>
      <w:bookmarkStart w:id="2717" w:name="bookmark=id.39uu90j" w:colFirst="0" w:colLast="0"/>
      <w:bookmarkStart w:id="2718" w:name="bookmark=id.48zs1w5" w:colFirst="0" w:colLast="0"/>
      <w:bookmarkStart w:id="2719" w:name="_heading=h.1p04j8c" w:colFirst="0" w:colLast="0"/>
      <w:bookmarkStart w:id="2720" w:name="bookmark=id.2o52c3y" w:colFirst="0" w:colLast="0"/>
      <w:bookmarkStart w:id="2721" w:name="bookmark=id.13acmbr" w:colFirst="0" w:colLast="0"/>
      <w:bookmarkStart w:id="2722" w:name="bookmark=id.3na04zk" w:colFirst="0" w:colLast="0"/>
      <w:bookmarkStart w:id="2723" w:name="bookmark=id.22faf7d" w:colFirst="0" w:colLast="0"/>
      <w:bookmarkStart w:id="2724" w:name="bookmark=id.hkkpf6" w:colFirst="0" w:colLast="0"/>
      <w:bookmarkStart w:id="2725" w:name="bookmark=id.31k882z" w:colFirst="0" w:colLast="0"/>
      <w:bookmarkStart w:id="2726" w:name="bookmark=id.1gpiias" w:colFirst="0" w:colLast="0"/>
      <w:bookmarkStart w:id="2727" w:name="bookmark=id.2fugb6e" w:colFirst="0" w:colLast="0"/>
      <w:bookmarkStart w:id="2728" w:name="_heading=h.40p60yl" w:colFirst="0" w:colLast="0"/>
      <w:bookmarkStart w:id="2729" w:name="bookmark=id.uzqle7" w:colFirst="0" w:colLast="0"/>
      <w:bookmarkStart w:id="2730" w:name="bookmark=id.3eze420" w:colFirst="0" w:colLast="0"/>
      <w:bookmarkStart w:id="2731" w:name="bookmark=id.1u4oe9t" w:colFirst="0" w:colLast="0"/>
      <w:bookmarkStart w:id="2732" w:name="bookmark=id.4e4bwxm" w:colFirst="0" w:colLast="0"/>
      <w:bookmarkStart w:id="2733" w:name="bookmark=id.2t9m75f" w:colFirst="0" w:colLast="0"/>
      <w:bookmarkStart w:id="2734" w:name="bookmark=id.18ewhd8" w:colFirst="0" w:colLast="0"/>
      <w:bookmarkStart w:id="2735" w:name="bookmark=id.3sek011" w:colFirst="0" w:colLast="0"/>
      <w:bookmarkStart w:id="2736" w:name="bookmark=id.27jua8u" w:colFirst="0" w:colLast="0"/>
      <w:bookmarkStart w:id="2737" w:name="bookmark=id.mp4kgn" w:colFirst="0" w:colLast="0"/>
      <w:bookmarkStart w:id="2738" w:name="bookmark=id.36os34g" w:colFirst="0" w:colLast="0"/>
      <w:bookmarkStart w:id="2739" w:name="bookmark=id.1lu2dc9" w:colFirst="0" w:colLast="0"/>
      <w:bookmarkStart w:id="2740" w:name="bookmark=id.45tpw02" w:colFirst="0" w:colLast="0"/>
      <w:bookmarkStart w:id="2741" w:name="bookmark=id.2kz067v" w:colFirst="0" w:colLast="0"/>
      <w:bookmarkStart w:id="2742" w:name="bookmark=id.104agfo" w:colFirst="0" w:colLast="0"/>
      <w:bookmarkStart w:id="2743" w:name="bookmark=id.3k3xz3h" w:colFirst="0" w:colLast="0"/>
      <w:bookmarkStart w:id="2744" w:name="bookmark=id.1z989ba" w:colFirst="0" w:colLast="0"/>
      <w:bookmarkStart w:id="2745" w:name="bookmark=id.4j8vrz3" w:colFirst="0" w:colLast="0"/>
      <w:bookmarkStart w:id="2746" w:name="bookmark=id.2ye626w" w:colFirst="0" w:colLast="0"/>
      <w:bookmarkStart w:id="2747" w:name="bookmark=id.1djgcep" w:colFirst="0" w:colLast="0"/>
      <w:bookmarkStart w:id="2748" w:name="bookmark=id.3xj3v2i" w:colFirst="0" w:colLast="0"/>
      <w:bookmarkStart w:id="2749" w:name="bookmark=id.2coe5ab" w:colFirst="0" w:colLast="0"/>
      <w:bookmarkStart w:id="2750" w:name="bookmark=id.rtofi4" w:colFirst="0" w:colLast="0"/>
      <w:bookmarkStart w:id="2751" w:name="bookmark=id.3btby5x" w:colFirst="0" w:colLast="0"/>
      <w:bookmarkStart w:id="2752" w:name="bookmark=id.1qym8dq" w:colFirst="0" w:colLast="0"/>
      <w:bookmarkStart w:id="2753" w:name="bookmark=id.158ubh5" w:colFirst="0" w:colLast="0"/>
      <w:bookmarkStart w:id="2754" w:name="bookmark=id.2q3k19c" w:colFirst="0" w:colLast="0"/>
      <w:bookmarkStart w:id="2755" w:name="bookmark=id.3p8hu4y" w:colFirst="0" w:colLast="0"/>
      <w:bookmarkStart w:id="2756" w:name="bookmark=id.24ds4cr" w:colFirst="0" w:colLast="0"/>
      <w:bookmarkStart w:id="2757" w:name="bookmark=id.jj2ekk" w:colFirst="0" w:colLast="0"/>
      <w:bookmarkStart w:id="2758" w:name="bookmark=id.33ipx8d" w:colFirst="0" w:colLast="0"/>
      <w:bookmarkStart w:id="2759" w:name="bookmark=id.1io07g6" w:colFirst="0" w:colLast="0"/>
      <w:bookmarkStart w:id="2760" w:name="bookmark=id.42nnq3z" w:colFirst="0" w:colLast="0"/>
      <w:bookmarkStart w:id="2761" w:name="bookmark=id.2hsy0bs" w:colFirst="0" w:colLast="0"/>
      <w:bookmarkStart w:id="2762" w:name="bookmark=id.wy8ajl" w:colFirst="0" w:colLast="0"/>
      <w:bookmarkStart w:id="2763" w:name="bookmark=id.3gxvt7e" w:colFirst="0" w:colLast="0"/>
      <w:bookmarkStart w:id="2764" w:name="bookmark=id.1w363f7" w:colFirst="0" w:colLast="0"/>
      <w:bookmarkStart w:id="2765" w:name="bookmark=id.38n9s9u" w:colFirst="0" w:colLast="0"/>
      <w:bookmarkStart w:id="2766" w:name="bookmark=id.1nsk2hn" w:colFirst="0" w:colLast="0"/>
      <w:bookmarkStart w:id="2767" w:name="bookmark=id.47s7l5g" w:colFirst="0" w:colLast="0"/>
      <w:bookmarkStart w:id="2768" w:name="bookmark=id.2mxhvd9" w:colFirst="0" w:colLast="0"/>
      <w:bookmarkStart w:id="2769" w:name="bookmark=id.122s5l2" w:colFirst="0" w:colLast="0"/>
      <w:bookmarkStart w:id="2770" w:name="bookmark=id.3m2fo8v" w:colFirst="0" w:colLast="0"/>
      <w:bookmarkStart w:id="2771" w:name="bookmark=id.217pygo" w:colFirst="0" w:colLast="0"/>
      <w:bookmarkStart w:id="2772" w:name="bookmark=id.4l7dh4h" w:colFirst="0" w:colLast="0"/>
      <w:bookmarkStart w:id="2773" w:name="bookmark=id.30cnrca" w:colFirst="0" w:colLast="0"/>
      <w:bookmarkStart w:id="2774" w:name="bookmark=id.1fhy1k3" w:colFirst="0" w:colLast="0"/>
      <w:bookmarkStart w:id="2775" w:name="bookmark=id.3zhlk7w" w:colFirst="0" w:colLast="0"/>
      <w:bookmarkStart w:id="2776" w:name="bookmark=id.2emvufp" w:colFirst="0" w:colLast="0"/>
      <w:bookmarkStart w:id="2777" w:name="bookmark=id.ts64ni" w:colFirst="0" w:colLast="0"/>
      <w:bookmarkStart w:id="2778" w:name="bookmark=id.3drtnbb" w:colFirst="0" w:colLast="0"/>
      <w:bookmarkStart w:id="2779" w:name="bookmark=id.1sx3xj4" w:colFirst="0" w:colLast="0"/>
      <w:bookmarkStart w:id="2780" w:name="bookmark=id.4cwrg6x" w:colFirst="0" w:colLast="0"/>
      <w:bookmarkStart w:id="2781" w:name="bookmark=id.2s21qeq" w:colFirst="0" w:colLast="0"/>
      <w:bookmarkStart w:id="2782" w:name="bookmark=id.177c0mj" w:colFirst="0" w:colLast="0"/>
      <w:bookmarkStart w:id="2783" w:name="bookmark=id.3r6zjac" w:colFirst="0" w:colLast="0"/>
      <w:bookmarkStart w:id="2784" w:name="_heading=h.26c9ti5" w:colFirst="0" w:colLast="0"/>
      <w:bookmarkStart w:id="2785" w:name="bookmark=id.lhk3py" w:colFirst="0" w:colLast="0"/>
      <w:bookmarkStart w:id="2786" w:name="bookmark=id.35h7mdr" w:colFirst="0" w:colLast="0"/>
      <w:bookmarkStart w:id="2787" w:name="bookmark=id.1kmhwlk" w:colFirst="0" w:colLast="0"/>
      <w:bookmarkStart w:id="2788" w:name="bookmark=id.44m5f9d" w:colFirst="0" w:colLast="0"/>
      <w:bookmarkStart w:id="2789" w:name="bookmark=id.2jrfph6" w:colFirst="0" w:colLast="0"/>
      <w:bookmarkStart w:id="2790" w:name="bookmark=id.ywpzoz" w:colFirst="0" w:colLast="0"/>
      <w:bookmarkStart w:id="2791" w:name="bookmark=id.3iwdics" w:colFirst="0" w:colLast="0"/>
      <w:bookmarkStart w:id="2792" w:name="bookmark=id.1y1nskl" w:colFirst="0" w:colLast="0"/>
      <w:bookmarkStart w:id="2793" w:name="bookmark=id.4i1bb8e" w:colFirst="0" w:colLast="0"/>
      <w:bookmarkStart w:id="2794" w:name="bookmark=id.2x6llg7" w:colFirst="0" w:colLast="0"/>
      <w:bookmarkStart w:id="2795" w:name="bookmark=id.1cbvvo0" w:colFirst="0" w:colLast="0"/>
      <w:bookmarkStart w:id="2796" w:name="bookmark=id.3wbjebt" w:colFirst="0" w:colLast="0"/>
      <w:bookmarkStart w:id="2797" w:name="bookmark=id.2bgtojm" w:colFirst="0" w:colLast="0"/>
      <w:bookmarkStart w:id="2798" w:name="bookmark=id.qm3yrf" w:colFirst="0" w:colLast="0"/>
      <w:bookmarkStart w:id="2799" w:name="bookmark=id.3alrhf8" w:colFirst="0" w:colLast="0"/>
      <w:bookmarkStart w:id="2800" w:name="bookmark=id.1pr1rn1" w:colFirst="0" w:colLast="0"/>
      <w:bookmarkStart w:id="2801" w:name="bookmark=id.49qpaau" w:colFirst="0" w:colLast="0"/>
      <w:bookmarkStart w:id="2802" w:name="bookmark=id.2ovzkin" w:colFirst="0" w:colLast="0"/>
      <w:bookmarkStart w:id="2803" w:name="bookmark=id.1419uqg" w:colFirst="0" w:colLast="0"/>
      <w:bookmarkStart w:id="2804" w:name="bookmark=id.3o0xde9" w:colFirst="0" w:colLast="0"/>
      <w:bookmarkStart w:id="2805" w:name="bookmark=id.2367nm2" w:colFirst="0" w:colLast="0"/>
      <w:bookmarkStart w:id="2806" w:name="bookmark=id.ibhxtv" w:colFirst="0" w:colLast="0"/>
      <w:bookmarkStart w:id="2807" w:name="bookmark=id.32b5gho" w:colFirst="0" w:colLast="0"/>
      <w:bookmarkStart w:id="2808" w:name="bookmark=id.1hgfqph" w:colFirst="0" w:colLast="0"/>
      <w:bookmarkStart w:id="2809" w:name="bookmark=id.41g39da" w:colFirst="0" w:colLast="0"/>
      <w:bookmarkStart w:id="2810" w:name="bookmark=id.2gldjl3" w:colFirst="0" w:colLast="0"/>
      <w:bookmarkStart w:id="2811" w:name="bookmark=id.vqntsw" w:colFirst="0" w:colLast="0"/>
      <w:bookmarkStart w:id="2812" w:name="bookmark=id.3fqbcgp" w:colFirst="0" w:colLast="0"/>
      <w:bookmarkStart w:id="2813" w:name="bookmark=id.1uvlmoi" w:colFirst="0" w:colLast="0"/>
      <w:bookmarkStart w:id="2814" w:name="bookmark=id.4ev95cb" w:colFirst="0" w:colLast="0"/>
      <w:bookmarkStart w:id="2815" w:name="bookmark=id.2u0jfk4" w:colFirst="0" w:colLast="0"/>
      <w:bookmarkStart w:id="2816" w:name="bookmark=id.195tprx" w:colFirst="0" w:colLast="0"/>
      <w:bookmarkStart w:id="2817" w:name="bookmark=id.3t5h8fq" w:colFirst="0" w:colLast="0"/>
      <w:bookmarkStart w:id="2818" w:name="bookmark=id.28arinj" w:colFirst="0" w:colLast="0"/>
      <w:bookmarkStart w:id="2819" w:name="bookmark=id.ng1svc" w:colFirst="0" w:colLast="0"/>
      <w:bookmarkStart w:id="2820" w:name="bookmark=id.37fpbj5" w:colFirst="0" w:colLast="0"/>
      <w:bookmarkStart w:id="2821" w:name="bookmark=id.1mkzlqy" w:colFirst="0" w:colLast="0"/>
      <w:bookmarkStart w:id="2822" w:name="bookmark=id.46kn4er" w:colFirst="0" w:colLast="0"/>
      <w:bookmarkStart w:id="2823" w:name="bookmark=id.2lpxemk" w:colFirst="0" w:colLast="0"/>
      <w:bookmarkStart w:id="2824" w:name="bookmark=id.10v7oud" w:colFirst="0" w:colLast="0"/>
      <w:bookmarkStart w:id="2825" w:name="bookmark=id.3kuv7i6" w:colFirst="0" w:colLast="0"/>
      <w:bookmarkStart w:id="2826" w:name="_heading=h.2005hpz" w:colFirst="0" w:colLast="0"/>
      <w:bookmarkStart w:id="2827" w:name="bookmark=id.4jzt0ds" w:colFirst="0" w:colLast="0"/>
      <w:bookmarkStart w:id="2828" w:name="bookmark=id.2z53all" w:colFirst="0" w:colLast="0"/>
      <w:bookmarkStart w:id="2829" w:name="bookmark=id.1eadkte" w:colFirst="0" w:colLast="0"/>
      <w:bookmarkStart w:id="2830" w:name="bookmark=id.3ya13h7" w:colFirst="0" w:colLast="0"/>
      <w:bookmarkStart w:id="2831" w:name="bookmark=id.2dfbdp0" w:colFirst="0" w:colLast="0"/>
      <w:bookmarkStart w:id="2832" w:name="bookmark=id.sklnwt" w:colFirst="0" w:colLast="0"/>
      <w:bookmarkStart w:id="2833" w:name="bookmark=id.3ck96km" w:colFirst="0" w:colLast="0"/>
      <w:bookmarkStart w:id="2834" w:name="bookmark=id.1rpjgsf" w:colFirst="0" w:colLast="0"/>
      <w:bookmarkStart w:id="2835" w:name="bookmark=id.4bp6zg8" w:colFirst="0" w:colLast="0"/>
      <w:bookmarkStart w:id="2836" w:name="bookmark=id.2quh9o1" w:colFirst="0" w:colLast="0"/>
      <w:bookmarkStart w:id="2837" w:name="bookmark=id.15zrjvu" w:colFirst="0" w:colLast="0"/>
      <w:bookmarkStart w:id="2838" w:name="bookmark=id.3pzf2jn" w:colFirst="0" w:colLast="0"/>
      <w:bookmarkStart w:id="2839" w:name="bookmark=id.254pcrg" w:colFirst="0" w:colLast="0"/>
      <w:bookmarkStart w:id="2840" w:name="bookmark=id.k9zmz9" w:colFirst="0" w:colLast="0"/>
      <w:bookmarkStart w:id="2841" w:name="bookmark=id.349n5n2" w:colFirst="0" w:colLast="0"/>
      <w:bookmarkStart w:id="2842" w:name="bookmark=id.1jexfuv" w:colFirst="0" w:colLast="0"/>
      <w:bookmarkStart w:id="2843" w:name="bookmark=id.43ekyio" w:colFirst="0" w:colLast="0"/>
      <w:bookmarkStart w:id="2844" w:name="bookmark=id.2ijv8qh" w:colFirst="0" w:colLast="0"/>
      <w:bookmarkStart w:id="2845" w:name="bookmark=id.xp5iya" w:colFirst="0" w:colLast="0"/>
      <w:bookmarkStart w:id="2846" w:name="bookmark=id.3hot1m3" w:colFirst="0" w:colLast="0"/>
      <w:bookmarkStart w:id="2847" w:name="bookmark=id.1wu3btw" w:colFirst="0" w:colLast="0"/>
      <w:bookmarkStart w:id="2848" w:name="bookmark=id.4gtquhp" w:colFirst="0" w:colLast="0"/>
      <w:bookmarkStart w:id="2849" w:name="bookmark=id.2vz14pi" w:colFirst="0" w:colLast="0"/>
      <w:bookmarkStart w:id="2850" w:name="bookmark=id.1b4bexb" w:colFirst="0" w:colLast="0"/>
      <w:bookmarkStart w:id="2851" w:name="bookmark=id.3v3yxl4" w:colFirst="0" w:colLast="0"/>
      <w:bookmarkStart w:id="2852" w:name="bookmark=id.2a997sx" w:colFirst="0" w:colLast="0"/>
      <w:bookmarkStart w:id="2853" w:name="bookmark=id.peji0q" w:colFirst="0" w:colLast="0"/>
      <w:bookmarkStart w:id="2854" w:name="bookmark=id.39e70oj" w:colFirst="0" w:colLast="0"/>
      <w:bookmarkStart w:id="2855" w:name="bookmark=id.48j4tk5" w:colFirst="0" w:colLast="0"/>
      <w:bookmarkStart w:id="2856" w:name="_heading=h.1ojhawc" w:colFirst="0" w:colLast="0"/>
      <w:bookmarkStart w:id="2857" w:name="bookmark=id.2nof3ry" w:colFirst="0" w:colLast="0"/>
      <w:bookmarkStart w:id="2858" w:name="bookmark=id.12tpdzr" w:colFirst="0" w:colLast="0"/>
      <w:bookmarkStart w:id="2859" w:name="bookmark=id.3mtcwnk" w:colFirst="0" w:colLast="0"/>
      <w:bookmarkStart w:id="2860" w:name="bookmark=id.21yn6vd" w:colFirst="0" w:colLast="0"/>
      <w:bookmarkStart w:id="2861" w:name="bookmark=id.h3xh36" w:colFirst="0" w:colLast="0"/>
      <w:bookmarkStart w:id="2862" w:name="bookmark=id.313kzqz" w:colFirst="0" w:colLast="0"/>
      <w:bookmarkStart w:id="2863" w:name="bookmark=id.1g8v9ys" w:colFirst="0" w:colLast="0"/>
      <w:bookmarkStart w:id="2864" w:name="bookmark=id.2fdt2ue" w:colFirst="0" w:colLast="0"/>
      <w:bookmarkStart w:id="2865" w:name="_heading=h.408isml" w:colFirst="0" w:colLast="0"/>
      <w:bookmarkStart w:id="2866" w:name="bookmark=id.uj3d27" w:colFirst="0" w:colLast="0"/>
      <w:bookmarkStart w:id="2867" w:name="bookmark=id.3eiqvq0" w:colFirst="0" w:colLast="0"/>
      <w:bookmarkStart w:id="2868" w:name="bookmark=id.1to15xt" w:colFirst="0" w:colLast="0"/>
      <w:bookmarkStart w:id="2869" w:name="bookmark=id.4dnoolm" w:colFirst="0" w:colLast="0"/>
      <w:bookmarkStart w:id="2870" w:name="bookmark=id.2ssyytf" w:colFirst="0" w:colLast="0"/>
      <w:bookmarkStart w:id="2871" w:name="bookmark=id.17y9918" w:colFirst="0" w:colLast="0"/>
      <w:bookmarkStart w:id="2872" w:name="bookmark=id.3rxwrp1" w:colFirst="0" w:colLast="0"/>
      <w:bookmarkStart w:id="2873" w:name="bookmark=id.27371wu" w:colFirst="0" w:colLast="0"/>
      <w:bookmarkStart w:id="2874" w:name="bookmark=id.m8hc4n" w:colFirst="0" w:colLast="0"/>
      <w:bookmarkStart w:id="2875" w:name="bookmark=id.3684usg" w:colFirst="0" w:colLast="0"/>
      <w:bookmarkStart w:id="2876" w:name="bookmark=id.1ldf509" w:colFirst="0" w:colLast="0"/>
      <w:bookmarkStart w:id="2877" w:name="bookmark=id.45d2no2" w:colFirst="0" w:colLast="0"/>
      <w:bookmarkStart w:id="2878" w:name="bookmark=id.2kicxvv" w:colFirst="0" w:colLast="0"/>
      <w:bookmarkStart w:id="2879" w:name="bookmark=id.znn83o" w:colFirst="0" w:colLast="0"/>
      <w:bookmarkStart w:id="2880" w:name="bookmark=id.3jnaqrh" w:colFirst="0" w:colLast="0"/>
      <w:bookmarkStart w:id="2881" w:name="bookmark=id.1ysl0za" w:colFirst="0" w:colLast="0"/>
      <w:bookmarkStart w:id="2882" w:name="bookmark=id.4is8jn3" w:colFirst="0" w:colLast="0"/>
      <w:bookmarkStart w:id="2883" w:name="bookmark=id.2xxituw" w:colFirst="0" w:colLast="0"/>
      <w:bookmarkStart w:id="2884" w:name="bookmark=id.1d2t42p" w:colFirst="0" w:colLast="0"/>
      <w:bookmarkStart w:id="2885" w:name="bookmark=id.3x2gmqi" w:colFirst="0" w:colLast="0"/>
      <w:bookmarkStart w:id="2886" w:name="bookmark=id.2c7qwyb" w:colFirst="0" w:colLast="0"/>
      <w:bookmarkStart w:id="2887" w:name="bookmark=id.rd1764" w:colFirst="0" w:colLast="0"/>
      <w:bookmarkStart w:id="2888" w:name="bookmark=id.3bcoptx" w:colFirst="0" w:colLast="0"/>
      <w:bookmarkStart w:id="2889" w:name="bookmark=id.1qhz01q" w:colFirst="0" w:colLast="0"/>
      <w:bookmarkStart w:id="2890" w:name="bookmark=id.4ahmipj" w:colFirst="0" w:colLast="0"/>
      <w:bookmarkStart w:id="2891" w:name="bookmark=id.2pmwsxc" w:colFirst="0" w:colLast="0"/>
      <w:bookmarkStart w:id="2892" w:name="bookmark=id.14s7355" w:colFirst="0" w:colLast="0"/>
      <w:bookmarkStart w:id="2893" w:name="bookmark=id.3orulsy" w:colFirst="0" w:colLast="0"/>
      <w:bookmarkStart w:id="2894" w:name="bookmark=id.j2f68k" w:colFirst="0" w:colLast="0"/>
      <w:bookmarkStart w:id="2895" w:name="bookmark=id.1i7cz46" w:colFirst="0" w:colLast="0"/>
      <w:bookmarkStart w:id="2896" w:name="bookmark=id.2hcarzs" w:colFirst="0" w:colLast="0"/>
      <w:bookmarkStart w:id="2897" w:name="bookmark=id.3gh8kve" w:colFirst="0" w:colLast="0"/>
      <w:bookmarkStart w:id="2898" w:name="bookmark=id.whl27l" w:colFirst="0" w:colLast="0"/>
      <w:bookmarkStart w:id="2899" w:name="bookmark=id.1vmiv37" w:colFirst="0" w:colLast="0"/>
      <w:bookmarkStart w:id="2900" w:name="bookmark=id.2urgnyt" w:colFirst="0" w:colLast="0"/>
      <w:bookmarkStart w:id="2901" w:name="bookmark=id.19wqy6m" w:colFirst="0" w:colLast="0"/>
      <w:bookmarkStart w:id="2902" w:name="bookmark=id.3tweguf" w:colFirst="0" w:colLast="0"/>
      <w:bookmarkStart w:id="2903" w:name="bookmark=id.291or28" w:colFirst="0" w:colLast="0"/>
      <w:bookmarkStart w:id="2904" w:name="bookmark=id.o6z1a1" w:colFirst="0" w:colLast="0"/>
      <w:bookmarkStart w:id="2905" w:name="bookmark=id.386mjxu" w:colFirst="0" w:colLast="0"/>
      <w:bookmarkStart w:id="2906" w:name="bookmark=id.1nbwu5n" w:colFirst="0" w:colLast="0"/>
      <w:bookmarkStart w:id="2907" w:name="bookmark=id.47bkctg" w:colFirst="0" w:colLast="0"/>
      <w:bookmarkStart w:id="2908" w:name="bookmark=id.2mgun19" w:colFirst="0" w:colLast="0"/>
      <w:bookmarkStart w:id="2909" w:name="bookmark=id.11m4x92" w:colFirst="0" w:colLast="0"/>
      <w:bookmarkStart w:id="2910" w:name="bookmark=id.3llsfwv" w:colFirst="0" w:colLast="0"/>
      <w:bookmarkStart w:id="2911" w:name="bookmark=id.20r2q4o" w:colFirst="0" w:colLast="0"/>
      <w:bookmarkStart w:id="2912" w:name="bookmark=id.4kqq8sh" w:colFirst="0" w:colLast="0"/>
      <w:bookmarkStart w:id="2913" w:name="bookmark=id.2zw0j0a" w:colFirst="0" w:colLast="0"/>
      <w:bookmarkStart w:id="2914" w:name="bookmark=id.1f1at83" w:colFirst="0" w:colLast="0"/>
      <w:bookmarkStart w:id="2915" w:name="bookmark=id.3z0ybvw" w:colFirst="0" w:colLast="0"/>
      <w:bookmarkStart w:id="2916" w:name="bookmark=id.2e68m3p" w:colFirst="0" w:colLast="0"/>
      <w:bookmarkStart w:id="2917" w:name="bookmark=id.tbiwbi" w:colFirst="0" w:colLast="0"/>
      <w:bookmarkStart w:id="2918" w:name="bookmark=id.3db6ezb" w:colFirst="0" w:colLast="0"/>
      <w:bookmarkStart w:id="2919" w:name="bookmark=id.1sggp74" w:colFirst="0" w:colLast="0"/>
      <w:bookmarkStart w:id="2920" w:name="bookmark=id.4cg47ux" w:colFirst="0" w:colLast="0"/>
      <w:bookmarkStart w:id="2921" w:name="bookmark=id.16qosaj" w:colFirst="0" w:colLast="0"/>
      <w:bookmarkStart w:id="2922" w:name="bookmark=id.3qqcayc" w:colFirst="0" w:colLast="0"/>
      <w:bookmarkStart w:id="2923" w:name="bookmark=id.25vml65" w:colFirst="0" w:colLast="0"/>
      <w:bookmarkStart w:id="2924" w:name="bookmark=id.l0wvdy" w:colFirst="0" w:colLast="0"/>
      <w:bookmarkStart w:id="2925" w:name="bookmark=id.350ke1r" w:colFirst="0" w:colLast="0"/>
      <w:bookmarkStart w:id="2926" w:name="bookmark=id.1k5uo9k" w:colFirst="0" w:colLast="0"/>
      <w:bookmarkStart w:id="2927" w:name="bookmark=id.445i6xd" w:colFirst="0" w:colLast="0"/>
      <w:bookmarkStart w:id="2928" w:name="bookmark=id.yg2rcz" w:colFirst="0" w:colLast="0"/>
      <w:bookmarkStart w:id="2929" w:name="_heading=h.3ifqa0s" w:colFirst="0" w:colLast="0"/>
      <w:bookmarkStart w:id="2930" w:name="bookmark=id.1xl0k8l" w:colFirst="0" w:colLast="0"/>
      <w:bookmarkStart w:id="2931" w:name="bookmark=id.4hko2we" w:colFirst="0" w:colLast="0"/>
      <w:bookmarkStart w:id="2932" w:name="bookmark=id.2wpyd47" w:colFirst="0" w:colLast="0"/>
      <w:bookmarkStart w:id="2933" w:name="bookmark=id.1bv8nc0" w:colFirst="0" w:colLast="0"/>
      <w:bookmarkStart w:id="2934" w:name="bookmark=id.3vuw5zt" w:colFirst="0" w:colLast="0"/>
      <w:bookmarkStart w:id="2935" w:name="bookmark=id.2b06g7m" w:colFirst="0" w:colLast="0"/>
      <w:bookmarkStart w:id="2936" w:name="bookmark=id.q5gqff" w:colFirst="0" w:colLast="0"/>
      <w:bookmarkStart w:id="2937" w:name="bookmark=id.3a54938" w:colFirst="0" w:colLast="0"/>
      <w:bookmarkStart w:id="2938" w:name="bookmark=id.1paejb1" w:colFirst="0" w:colLast="0"/>
      <w:bookmarkStart w:id="2939" w:name="bookmark=id.49a21yu" w:colFirst="0" w:colLast="0"/>
      <w:bookmarkStart w:id="2940" w:name="bookmark=id.2ofcc6n" w:colFirst="0" w:colLast="0"/>
      <w:bookmarkStart w:id="2941" w:name="bookmark=id.13kmmeg" w:colFirst="0" w:colLast="0"/>
      <w:bookmarkStart w:id="2942" w:name="bookmark=id.3nka529" w:colFirst="0" w:colLast="0"/>
      <w:bookmarkStart w:id="2943" w:name="bookmark=id.22pkfa2" w:colFirst="0" w:colLast="0"/>
      <w:bookmarkStart w:id="2944" w:name="bookmark=id.huuphv" w:colFirst="0" w:colLast="0"/>
      <w:bookmarkStart w:id="2945" w:name="bookmark=id.31ui85o" w:colFirst="0" w:colLast="0"/>
      <w:bookmarkStart w:id="2946" w:name="bookmark=id.1gzsidh" w:colFirst="0" w:colLast="0"/>
      <w:bookmarkStart w:id="2947" w:name="bookmark=id.40zg11a" w:colFirst="0" w:colLast="0"/>
      <w:bookmarkStart w:id="2948" w:name="bookmark=id.2g4qb93" w:colFirst="0" w:colLast="0"/>
      <w:bookmarkStart w:id="2949" w:name="bookmark=id.va0lgw" w:colFirst="0" w:colLast="0"/>
      <w:bookmarkStart w:id="2950" w:name="bookmark=id.3f9o44p" w:colFirst="0" w:colLast="0"/>
      <w:bookmarkStart w:id="2951" w:name="bookmark=id.1ueyeci" w:colFirst="0" w:colLast="0"/>
      <w:bookmarkStart w:id="2952" w:name="bookmark=id.4eelx0b" w:colFirst="0" w:colLast="0"/>
      <w:bookmarkStart w:id="2953" w:name="bookmark=id.2tjw784" w:colFirst="0" w:colLast="0"/>
      <w:bookmarkStart w:id="2954" w:name="bookmark=id.18p6hfx" w:colFirst="0" w:colLast="0"/>
      <w:bookmarkStart w:id="2955" w:name="bookmark=id.3sou03q" w:colFirst="0" w:colLast="0"/>
      <w:bookmarkStart w:id="2956" w:name="bookmark=id.27u4abj" w:colFirst="0" w:colLast="0"/>
      <w:bookmarkStart w:id="2957" w:name="bookmark=id.mzekjc" w:colFirst="0" w:colLast="0"/>
      <w:bookmarkStart w:id="2958" w:name="bookmark=id.36z2375" w:colFirst="0" w:colLast="0"/>
      <w:bookmarkStart w:id="2959" w:name="bookmark=id.1m4cdey" w:colFirst="0" w:colLast="0"/>
      <w:bookmarkStart w:id="2960" w:name="bookmark=id.463zw2r" w:colFirst="0" w:colLast="0"/>
      <w:bookmarkStart w:id="2961" w:name="bookmark=id.2l9a6ak" w:colFirst="0" w:colLast="0"/>
      <w:bookmarkStart w:id="2962" w:name="bookmark=id.10ekgid" w:colFirst="0" w:colLast="0"/>
      <w:bookmarkStart w:id="2963" w:name="bookmark=id.3ke7z66" w:colFirst="0" w:colLast="0"/>
      <w:bookmarkStart w:id="2964" w:name="bookmark=id.1zji9dz" w:colFirst="0" w:colLast="0"/>
      <w:bookmarkStart w:id="2965" w:name="bookmark=id.4jj5s1s" w:colFirst="0" w:colLast="0"/>
      <w:bookmarkStart w:id="2966" w:name="bookmark=id.2yog29l" w:colFirst="0" w:colLast="0"/>
      <w:bookmarkStart w:id="2967" w:name="bookmark=id.1dtqche" w:colFirst="0" w:colLast="0"/>
      <w:bookmarkStart w:id="2968" w:name="bookmark=id.3xtdv57" w:colFirst="0" w:colLast="0"/>
      <w:bookmarkStart w:id="2969" w:name="bookmark=id.2cyo5d0" w:colFirst="0" w:colLast="0"/>
      <w:bookmarkStart w:id="2970" w:name="bookmark=id.s3yfkt" w:colFirst="0" w:colLast="0"/>
      <w:bookmarkStart w:id="2971" w:name="bookmark=id.3c3ly8m" w:colFirst="0" w:colLast="0"/>
      <w:bookmarkStart w:id="2972" w:name="bookmark=id.1r8w8gf" w:colFirst="0" w:colLast="0"/>
      <w:bookmarkStart w:id="2973" w:name="bookmark=id.4b8jr48" w:colFirst="0" w:colLast="0"/>
      <w:bookmarkStart w:id="2974" w:name="bookmark=id.2qdu1c1" w:colFirst="0" w:colLast="0"/>
      <w:bookmarkStart w:id="2975" w:name="bookmark=id.15j4bju" w:colFirst="0" w:colLast="0"/>
      <w:bookmarkStart w:id="2976" w:name="bookmark=id.3piru7n" w:colFirst="0" w:colLast="0"/>
      <w:bookmarkStart w:id="2977" w:name="bookmark=id.24o24fg" w:colFirst="0" w:colLast="0"/>
      <w:bookmarkStart w:id="2978" w:name="bookmark=id.jtcen9" w:colFirst="0" w:colLast="0"/>
      <w:bookmarkStart w:id="2979" w:name="bookmark=id.33szxb2" w:colFirst="0" w:colLast="0"/>
      <w:bookmarkStart w:id="2980" w:name="bookmark=id.1iya7iv" w:colFirst="0" w:colLast="0"/>
      <w:bookmarkStart w:id="2981" w:name="bookmark=id.42xxq6o" w:colFirst="0" w:colLast="0"/>
      <w:bookmarkStart w:id="2982" w:name="bookmark=id.2i380eh" w:colFirst="0" w:colLast="0"/>
      <w:bookmarkStart w:id="2983" w:name="bookmark=id.x8iama" w:colFirst="0" w:colLast="0"/>
      <w:bookmarkStart w:id="2984" w:name="bookmark=id.3h85ta3" w:colFirst="0" w:colLast="0"/>
      <w:bookmarkStart w:id="2985" w:name="bookmark=id.1wdg3hw" w:colFirst="0" w:colLast="0"/>
      <w:bookmarkStart w:id="2986" w:name="bookmark=id.4gd3m5p" w:colFirst="0" w:colLast="0"/>
      <w:bookmarkStart w:id="2987" w:name="bookmark=id.2vidwdi" w:colFirst="0" w:colLast="0"/>
      <w:bookmarkStart w:id="2988" w:name="bookmark=id.1ano6lb" w:colFirst="0" w:colLast="0"/>
      <w:bookmarkStart w:id="2989" w:name="bookmark=id.3unbp94" w:colFirst="0" w:colLast="0"/>
      <w:bookmarkStart w:id="2990" w:name="bookmark=id.29slzgx" w:colFirst="0" w:colLast="0"/>
      <w:bookmarkStart w:id="2991" w:name="bookmark=id.oxw9oq" w:colFirst="0" w:colLast="0"/>
      <w:bookmarkStart w:id="2992" w:name="bookmark=id.38xjscj" w:colFirst="0" w:colLast="0"/>
      <w:bookmarkStart w:id="2993" w:name="bookmark=id.1o2u2kc" w:colFirst="0" w:colLast="0"/>
      <w:bookmarkStart w:id="2994" w:name="bookmark=id.482hl85" w:colFirst="0" w:colLast="0"/>
      <w:bookmarkStart w:id="2995" w:name="bookmark=id.2n7rvfy" w:colFirst="0" w:colLast="0"/>
      <w:bookmarkStart w:id="2996" w:name="bookmark=id.12d25nr" w:colFirst="0" w:colLast="0"/>
      <w:bookmarkStart w:id="2997" w:name="bookmark=id.3mcpobk" w:colFirst="0" w:colLast="0"/>
      <w:bookmarkStart w:id="2998" w:name="bookmark=id.21hzyjd" w:colFirst="0" w:colLast="0"/>
      <w:bookmarkStart w:id="2999" w:name="bookmark=id.gna8r6" w:colFirst="0" w:colLast="0"/>
      <w:bookmarkStart w:id="3000" w:name="bookmark=id.30mxrez" w:colFirst="0" w:colLast="0"/>
      <w:bookmarkStart w:id="3001" w:name="bookmark=id.1fs81ms" w:colFirst="0" w:colLast="0"/>
      <w:bookmarkStart w:id="3002" w:name="bookmark=id.3zrvkal" w:colFirst="0" w:colLast="0"/>
      <w:bookmarkStart w:id="3003" w:name="bookmark=id.2ex5uie" w:colFirst="0" w:colLast="0"/>
      <w:bookmarkStart w:id="3004" w:name="bookmark=id.u2g4q7" w:colFirst="0" w:colLast="0"/>
      <w:bookmarkStart w:id="3005" w:name="bookmark=id.3e23ne0" w:colFirst="0" w:colLast="0"/>
      <w:bookmarkStart w:id="3006" w:name="bookmark=id.1t7dxlt" w:colFirst="0" w:colLast="0"/>
      <w:bookmarkStart w:id="3007" w:name="bookmark=id.4d71g9m" w:colFirst="0" w:colLast="0"/>
      <w:bookmarkStart w:id="3008" w:name="bookmark=id.2scbqhf" w:colFirst="0" w:colLast="0"/>
      <w:bookmarkStart w:id="3009" w:name="bookmark=id.17hm0p8" w:colFirst="0" w:colLast="0"/>
      <w:bookmarkStart w:id="3010" w:name="bookmark=id.3rh9jd1" w:colFirst="0" w:colLast="0"/>
      <w:bookmarkStart w:id="3011" w:name="bookmark=id.26mjtku" w:colFirst="0" w:colLast="0"/>
      <w:bookmarkStart w:id="3012" w:name="bookmark=id.lru3sn" w:colFirst="0" w:colLast="0"/>
      <w:bookmarkStart w:id="3013" w:name="bookmark=id.35rhmgg" w:colFirst="0" w:colLast="0"/>
      <w:bookmarkStart w:id="3014" w:name="bookmark=id.1kwrwo9" w:colFirst="0" w:colLast="0"/>
      <w:bookmarkStart w:id="3015" w:name="bookmark=id.44wffc2" w:colFirst="0" w:colLast="0"/>
      <w:bookmarkStart w:id="3016" w:name="bookmark=id.2k1ppjv" w:colFirst="0" w:colLast="0"/>
      <w:bookmarkStart w:id="3017" w:name="bookmark=id.z6zzro" w:colFirst="0" w:colLast="0"/>
      <w:bookmarkStart w:id="3018" w:name="bookmark=id.3j6nifh" w:colFirst="0" w:colLast="0"/>
      <w:bookmarkStart w:id="3019" w:name="bookmark=id.1ybxsna" w:colFirst="0" w:colLast="0"/>
      <w:bookmarkStart w:id="3020" w:name="bookmark=id.4iblbb3" w:colFirst="0" w:colLast="0"/>
      <w:bookmarkStart w:id="3021" w:name="bookmark=id.2xgvliw" w:colFirst="0" w:colLast="0"/>
      <w:bookmarkStart w:id="3022" w:name="bookmark=id.1cm5vqp" w:colFirst="0" w:colLast="0"/>
      <w:bookmarkStart w:id="3023" w:name="bookmark=id.3wlteei" w:colFirst="0" w:colLast="0"/>
      <w:bookmarkStart w:id="3024" w:name="bookmark=id.2br3omb" w:colFirst="0" w:colLast="0"/>
      <w:bookmarkStart w:id="3025" w:name="bookmark=id.qwdyu4" w:colFirst="0" w:colLast="0"/>
      <w:bookmarkStart w:id="3026" w:name="bookmark=id.3aw1hhx" w:colFirst="0" w:colLast="0"/>
      <w:bookmarkStart w:id="3027" w:name="bookmark=id.1q1brpq" w:colFirst="0" w:colLast="0"/>
      <w:bookmarkStart w:id="3028" w:name="bookmark=id.4a0zadj" w:colFirst="0" w:colLast="0"/>
      <w:bookmarkStart w:id="3029" w:name="bookmark=id.2p69klc" w:colFirst="0" w:colLast="0"/>
      <w:bookmarkStart w:id="3030" w:name="bookmark=id.14bjut5" w:colFirst="0" w:colLast="0"/>
      <w:bookmarkStart w:id="3031" w:name="bookmark=id.3ob7dgy" w:colFirst="0" w:colLast="0"/>
      <w:bookmarkStart w:id="3032" w:name="bookmark=id.23ghnor" w:colFirst="0" w:colLast="0"/>
      <w:bookmarkStart w:id="3033" w:name="bookmark=id.ilrxwk" w:colFirst="0" w:colLast="0"/>
      <w:bookmarkStart w:id="3034" w:name="bookmark=id.32lfgkd" w:colFirst="0" w:colLast="0"/>
      <w:bookmarkStart w:id="3035" w:name="bookmark=id.1hqpqs6" w:colFirst="0" w:colLast="0"/>
      <w:bookmarkStart w:id="3036" w:name="bookmark=id.41qd9fz" w:colFirst="0" w:colLast="0"/>
      <w:bookmarkStart w:id="3037" w:name="bookmark=id.2gvnjns" w:colFirst="0" w:colLast="0"/>
      <w:bookmarkStart w:id="3038" w:name="bookmark=id.w0xtvl" w:colFirst="0" w:colLast="0"/>
      <w:bookmarkStart w:id="3039" w:name="bookmark=id.3g0lcje" w:colFirst="0" w:colLast="0"/>
      <w:bookmarkStart w:id="3040" w:name="bookmark=id.4f5j5f0" w:colFirst="0" w:colLast="0"/>
      <w:bookmarkStart w:id="3041" w:name="bookmark=id.19g3pum" w:colFirst="0" w:colLast="0"/>
      <w:bookmarkStart w:id="3042" w:name="bookmark=id.28l1iq8" w:colFirst="0" w:colLast="0"/>
      <w:bookmarkStart w:id="3043" w:name="bookmark=id.nqbsy1" w:colFirst="0" w:colLast="0"/>
      <w:bookmarkStart w:id="3044" w:name="bookmark=id.46ux4hg" w:colFirst="0" w:colLast="0"/>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p>
    <w:p w14:paraId="0143ACB1" w14:textId="77777777" w:rsidR="00F67E9E" w:rsidRDefault="00F67E9E" w:rsidP="00F67E9E"/>
    <w:p w14:paraId="1C44BBEC" w14:textId="77777777" w:rsidR="00F67E9E" w:rsidRDefault="00F67E9E" w:rsidP="00F67E9E">
      <w:pPr>
        <w:sectPr w:rsidR="00F67E9E" w:rsidSect="00240D26">
          <w:headerReference w:type="default" r:id="rId168"/>
          <w:footerReference w:type="default" r:id="rId169"/>
          <w:pgSz w:w="11900" w:h="16840"/>
          <w:pgMar w:top="1701" w:right="851" w:bottom="1134" w:left="851" w:header="567" w:footer="567" w:gutter="0"/>
          <w:cols w:space="720"/>
          <w:docGrid w:linePitch="360"/>
        </w:sectPr>
      </w:pPr>
    </w:p>
    <w:p w14:paraId="13EA1A5D" w14:textId="77777777" w:rsidR="00F67E9E" w:rsidRPr="00EE4F10" w:rsidRDefault="00F67E9E" w:rsidP="00F67E9E">
      <w:pPr>
        <w:pStyle w:val="Dividername"/>
      </w:pPr>
      <w:r w:rsidRPr="00EE4F10">
        <w:lastRenderedPageBreak/>
        <w:t>Schedule 32</w:t>
      </w:r>
    </w:p>
    <w:p w14:paraId="170227A9" w14:textId="77777777" w:rsidR="00F67E9E" w:rsidRPr="00EE4F10" w:rsidRDefault="00F67E9E" w:rsidP="00F67E9E">
      <w:pPr>
        <w:pStyle w:val="Dividername"/>
      </w:pPr>
      <w:r w:rsidRPr="00EE4F10">
        <w:t xml:space="preserve">Intellectual </w:t>
      </w:r>
      <w:r>
        <w:t>P</w:t>
      </w:r>
      <w:r w:rsidRPr="00EE4F10">
        <w:t xml:space="preserve">roperty </w:t>
      </w:r>
      <w:r>
        <w:t>R</w:t>
      </w:r>
      <w:r w:rsidRPr="00EE4F10">
        <w:t>ights</w:t>
      </w:r>
    </w:p>
    <w:p w14:paraId="48B82D43" w14:textId="77777777" w:rsidR="00F67E9E" w:rsidRDefault="00F67E9E" w:rsidP="00F67E9E"/>
    <w:p w14:paraId="5CAD41A3" w14:textId="77777777" w:rsidR="00F67E9E" w:rsidRPr="00016234" w:rsidRDefault="00F67E9E" w:rsidP="00F67E9E">
      <w:r w:rsidRPr="00016234">
        <w:br w:type="page"/>
      </w:r>
    </w:p>
    <w:p w14:paraId="7DBBE7B9" w14:textId="77777777" w:rsidR="00F67E9E" w:rsidRPr="00477926" w:rsidRDefault="00F67E9E" w:rsidP="00F67E9E">
      <w:pPr>
        <w:pStyle w:val="Heading1"/>
      </w:pPr>
      <w:bookmarkStart w:id="3045" w:name="Schedule32"/>
      <w:bookmarkStart w:id="3046" w:name="_Ref92200326"/>
      <w:bookmarkStart w:id="3047" w:name="_Toc118293561"/>
      <w:bookmarkStart w:id="3048" w:name="_Toc145412835"/>
      <w:bookmarkStart w:id="3049" w:name="_9kR3WTrAG8687aQx1n7JHMe3F7082uATB3JQQPG"/>
      <w:bookmarkStart w:id="3050" w:name="_9kR3WTr299DEDhQx1n7JHMe3F7082uATB3JQQPG"/>
      <w:bookmarkStart w:id="3051" w:name="_Toc44585081"/>
      <w:r w:rsidRPr="00477926">
        <w:lastRenderedPageBreak/>
        <w:t>Schedule</w:t>
      </w:r>
      <w:r>
        <w:t> </w:t>
      </w:r>
      <w:bookmarkStart w:id="3052" w:name="Sch32"/>
      <w:r w:rsidRPr="00477926">
        <w:t>32</w:t>
      </w:r>
      <w:bookmarkEnd w:id="3045"/>
      <w:bookmarkEnd w:id="3052"/>
      <w:r>
        <w:t xml:space="preserve">: </w:t>
      </w:r>
      <w:bookmarkStart w:id="3053" w:name="Schedule32Heading"/>
      <w:r w:rsidRPr="002223EA">
        <w:t>Intellectual Property Rights</w:t>
      </w:r>
      <w:bookmarkEnd w:id="3046"/>
      <w:bookmarkEnd w:id="3047"/>
      <w:bookmarkEnd w:id="3048"/>
      <w:bookmarkEnd w:id="3053"/>
    </w:p>
    <w:p w14:paraId="302AFBC1" w14:textId="77777777" w:rsidR="00F67E9E" w:rsidRPr="002223EA" w:rsidRDefault="00F67E9E" w:rsidP="00F67E9E">
      <w:pPr>
        <w:rPr>
          <w:iCs/>
          <w:highlight w:val="yellow"/>
        </w:rPr>
      </w:pPr>
    </w:p>
    <w:p w14:paraId="7C08F71F" w14:textId="77777777" w:rsidR="00F67E9E" w:rsidRPr="009E452F" w:rsidRDefault="00F67E9E" w:rsidP="00F67E9E">
      <w:r w:rsidRPr="002223EA">
        <w:rPr>
          <w:iCs/>
        </w:rPr>
        <w:br w:type="page"/>
      </w:r>
    </w:p>
    <w:bookmarkEnd w:id="3049"/>
    <w:bookmarkEnd w:id="3050"/>
    <w:bookmarkEnd w:id="3051"/>
    <w:p w14:paraId="7EFD628F" w14:textId="77777777" w:rsidR="00F67E9E" w:rsidRDefault="00F67E9E" w:rsidP="00E1349E">
      <w:pPr>
        <w:pStyle w:val="Numbered1"/>
        <w:numPr>
          <w:ilvl w:val="0"/>
          <w:numId w:val="174"/>
        </w:numPr>
      </w:pPr>
      <w:r w:rsidRPr="00F67802">
        <w:lastRenderedPageBreak/>
        <w:t>Intellectual Property Rights – General Provisions</w:t>
      </w:r>
    </w:p>
    <w:p w14:paraId="59BB035B" w14:textId="77777777" w:rsidR="00F67E9E" w:rsidRPr="00016234" w:rsidRDefault="00F67E9E" w:rsidP="00E1349E">
      <w:pPr>
        <w:pStyle w:val="Numbered11"/>
        <w:numPr>
          <w:ilvl w:val="1"/>
          <w:numId w:val="174"/>
        </w:numPr>
      </w:pPr>
      <w:r w:rsidRPr="00F67802">
        <w:t>Except as expressly provided for in this Contract or otherwise agreed in writing:</w:t>
      </w:r>
    </w:p>
    <w:p w14:paraId="767C9A30" w14:textId="77777777" w:rsidR="00F67E9E" w:rsidRPr="00016234" w:rsidRDefault="00F67E9E" w:rsidP="00E1349E">
      <w:pPr>
        <w:pStyle w:val="Numbered111"/>
        <w:numPr>
          <w:ilvl w:val="2"/>
          <w:numId w:val="174"/>
        </w:numPr>
      </w:pPr>
      <w:bookmarkStart w:id="3054" w:name="_Ref141105848"/>
      <w:r w:rsidRPr="00F67802">
        <w:t>the Authority does not acquire any right, title or interest in or to the Intellectual Property Rights of the Supplier or its licensors, namely:</w:t>
      </w:r>
      <w:bookmarkEnd w:id="3054"/>
    </w:p>
    <w:p w14:paraId="2534255D" w14:textId="77777777" w:rsidR="00F67E9E" w:rsidRPr="00CE3D3D" w:rsidRDefault="00F67E9E" w:rsidP="00E1349E">
      <w:pPr>
        <w:pStyle w:val="Numbered111a"/>
        <w:numPr>
          <w:ilvl w:val="3"/>
          <w:numId w:val="174"/>
        </w:numPr>
      </w:pPr>
      <w:r w:rsidRPr="00CE3D3D">
        <w:t>the Supplier Software;</w:t>
      </w:r>
    </w:p>
    <w:p w14:paraId="5C8A396D" w14:textId="77777777" w:rsidR="00F67E9E" w:rsidRPr="00CE3D3D" w:rsidRDefault="00F67E9E" w:rsidP="00E1349E">
      <w:pPr>
        <w:pStyle w:val="Numbered111a"/>
        <w:numPr>
          <w:ilvl w:val="3"/>
          <w:numId w:val="174"/>
        </w:numPr>
      </w:pPr>
      <w:r w:rsidRPr="00CE3D3D">
        <w:t xml:space="preserve">the Third Party Software; </w:t>
      </w:r>
    </w:p>
    <w:p w14:paraId="3DC9DFDE" w14:textId="77777777" w:rsidR="00F67E9E" w:rsidRPr="00CE3D3D" w:rsidRDefault="00F67E9E" w:rsidP="00E1349E">
      <w:pPr>
        <w:pStyle w:val="Numbered111a"/>
        <w:numPr>
          <w:ilvl w:val="3"/>
          <w:numId w:val="174"/>
        </w:numPr>
      </w:pPr>
      <w:r w:rsidRPr="00CE3D3D">
        <w:t>the Third Party IPRs;</w:t>
      </w:r>
    </w:p>
    <w:p w14:paraId="049E1641" w14:textId="77777777" w:rsidR="00F67E9E" w:rsidRPr="00CE3D3D" w:rsidRDefault="00F67E9E" w:rsidP="00E1349E">
      <w:pPr>
        <w:pStyle w:val="Numbered111a"/>
        <w:numPr>
          <w:ilvl w:val="3"/>
          <w:numId w:val="174"/>
        </w:numPr>
      </w:pPr>
      <w:r w:rsidRPr="00CE3D3D">
        <w:t>the Supplier Background IPRs; and</w:t>
      </w:r>
    </w:p>
    <w:p w14:paraId="3FC85D7B" w14:textId="77777777" w:rsidR="00F67E9E" w:rsidRPr="00CE3D3D" w:rsidRDefault="00F67E9E" w:rsidP="00E1349E">
      <w:pPr>
        <w:pStyle w:val="Numbered111a"/>
        <w:numPr>
          <w:ilvl w:val="3"/>
          <w:numId w:val="174"/>
        </w:numPr>
      </w:pPr>
      <w:r w:rsidRPr="00CE3D3D">
        <w:t>any Know-How, trade secrets or Confidential Information of the Supplier contained in any Specially Written Software or Project Specific IPR; and</w:t>
      </w:r>
    </w:p>
    <w:p w14:paraId="04B7156C" w14:textId="077ADF2F" w:rsidR="00F67E9E" w:rsidRPr="00016234" w:rsidRDefault="00F67E9E" w:rsidP="00E1349E">
      <w:pPr>
        <w:pStyle w:val="Numbered111"/>
        <w:numPr>
          <w:ilvl w:val="2"/>
          <w:numId w:val="174"/>
        </w:numPr>
      </w:pPr>
      <w:r w:rsidRPr="0028223C">
        <w:t xml:space="preserve">the Supplier does not acquire any right, title or interest in or to the Intellectual Property Rights of the </w:t>
      </w:r>
      <w:r w:rsidR="009B1634">
        <w:t>Authority</w:t>
      </w:r>
      <w:r w:rsidRPr="0028223C">
        <w:t xml:space="preserve"> or its licensors, including:</w:t>
      </w:r>
    </w:p>
    <w:p w14:paraId="7EBD8CA0" w14:textId="77777777" w:rsidR="00F67E9E" w:rsidRDefault="00F67E9E" w:rsidP="00E1349E">
      <w:pPr>
        <w:pStyle w:val="Numbered111a"/>
        <w:numPr>
          <w:ilvl w:val="0"/>
          <w:numId w:val="175"/>
        </w:numPr>
      </w:pPr>
      <w:r>
        <w:t>the Authority Software;</w:t>
      </w:r>
    </w:p>
    <w:p w14:paraId="48C8BF66" w14:textId="77777777" w:rsidR="00F67E9E" w:rsidRDefault="00F67E9E" w:rsidP="00E1349E">
      <w:pPr>
        <w:pStyle w:val="Numbered111a"/>
        <w:numPr>
          <w:ilvl w:val="3"/>
          <w:numId w:val="174"/>
        </w:numPr>
      </w:pPr>
      <w:r>
        <w:t>the Authority Data; and</w:t>
      </w:r>
    </w:p>
    <w:p w14:paraId="58638DD6" w14:textId="77777777" w:rsidR="00F67E9E" w:rsidRPr="00016234" w:rsidRDefault="00F67E9E" w:rsidP="00E1349E">
      <w:pPr>
        <w:pStyle w:val="Numbered111a"/>
        <w:numPr>
          <w:ilvl w:val="3"/>
          <w:numId w:val="174"/>
        </w:numPr>
      </w:pPr>
      <w:r>
        <w:t>the Authority Background IPRs; and</w:t>
      </w:r>
    </w:p>
    <w:p w14:paraId="7E452627" w14:textId="77777777" w:rsidR="00F67E9E" w:rsidRPr="00016234" w:rsidRDefault="00F67E9E" w:rsidP="00E1349E">
      <w:pPr>
        <w:pStyle w:val="Numbered111"/>
        <w:numPr>
          <w:ilvl w:val="2"/>
          <w:numId w:val="174"/>
        </w:numPr>
      </w:pPr>
      <w:r w:rsidRPr="0028223C">
        <w:t>neither Party has the right to use the other Party’s IPRs, including any use of the other Party’s names, logos or trademarks</w:t>
      </w:r>
      <w:r w:rsidRPr="00016234">
        <w:t xml:space="preserve">. </w:t>
      </w:r>
    </w:p>
    <w:p w14:paraId="3DD59716" w14:textId="34D1691A" w:rsidR="00F67E9E" w:rsidRDefault="00F67E9E" w:rsidP="00E1349E">
      <w:pPr>
        <w:pStyle w:val="Numbered11"/>
        <w:numPr>
          <w:ilvl w:val="1"/>
          <w:numId w:val="174"/>
        </w:numPr>
      </w:pPr>
      <w:r w:rsidRPr="0028223C">
        <w:t xml:space="preserve">Where either Party acquires, by operation of law, ownership of Intellectual Property Rights that is inconsistent with the requirements of this </w:t>
      </w:r>
      <w:r>
        <w:fldChar w:fldCharType="begin"/>
      </w:r>
      <w:r>
        <w:instrText xml:space="preserve"> REF Schedule32 \h </w:instrText>
      </w:r>
      <w:r>
        <w:fldChar w:fldCharType="separate"/>
      </w:r>
      <w:r w:rsidR="007A1473" w:rsidRPr="00477926">
        <w:t>Schedule</w:t>
      </w:r>
      <w:r w:rsidR="007A1473">
        <w:t> </w:t>
      </w:r>
      <w:r w:rsidR="007A1473" w:rsidRPr="00477926">
        <w:t>32</w:t>
      </w:r>
      <w:r>
        <w:fldChar w:fldCharType="end"/>
      </w:r>
      <w:r w:rsidRPr="0028223C">
        <w:t xml:space="preserve"> (</w:t>
      </w:r>
      <w:r w:rsidRPr="00473E03">
        <w:rPr>
          <w:i/>
          <w:iCs/>
        </w:rPr>
        <w:fldChar w:fldCharType="begin"/>
      </w:r>
      <w:r w:rsidRPr="00473E03">
        <w:rPr>
          <w:i/>
          <w:iCs/>
        </w:rPr>
        <w:instrText xml:space="preserve"> REF Schedule32Heading \h  \* MERGEFORMAT </w:instrText>
      </w:r>
      <w:r w:rsidRPr="00473E03">
        <w:rPr>
          <w:i/>
          <w:iCs/>
        </w:rPr>
      </w:r>
      <w:r w:rsidRPr="00473E03">
        <w:rPr>
          <w:i/>
          <w:iCs/>
        </w:rPr>
        <w:fldChar w:fldCharType="separate"/>
      </w:r>
      <w:r w:rsidR="007A1473" w:rsidRPr="007A1473">
        <w:rPr>
          <w:i/>
          <w:iCs/>
        </w:rPr>
        <w:t>Intellectual Property Rights</w:t>
      </w:r>
      <w:r w:rsidRPr="00473E03">
        <w:rPr>
          <w:i/>
          <w:iCs/>
        </w:rPr>
        <w:fldChar w:fldCharType="end"/>
      </w:r>
      <w:r w:rsidRPr="0028223C">
        <w:t>), it must assign in writing the Intellectual Property Rights concerned to the other Party on the other Party’s request (whenever made).</w:t>
      </w:r>
    </w:p>
    <w:p w14:paraId="3A2FCEA4" w14:textId="6BBFEAFB" w:rsidR="00F67E9E" w:rsidRDefault="00F67E9E" w:rsidP="00E1349E">
      <w:pPr>
        <w:pStyle w:val="Numbered11"/>
        <w:numPr>
          <w:ilvl w:val="1"/>
          <w:numId w:val="174"/>
        </w:numPr>
      </w:pPr>
      <w:bookmarkStart w:id="3055" w:name="_Ref141111937"/>
      <w:r w:rsidRPr="0028223C">
        <w:t xml:space="preserve">If the Supplier becomes aware at any time, including after the Term, that, in respect of any Deliverable, the Authority has not received the licences to the Supplier Software, the Third Party Software, the Third Party IPRs and the Supplier Background IPRs required by Paragraphs </w:t>
      </w:r>
      <w:r w:rsidR="00081B63">
        <w:t>3</w:t>
      </w:r>
      <w:r w:rsidRPr="0028223C">
        <w:t xml:space="preserve">, </w:t>
      </w:r>
      <w:r w:rsidR="00081B63">
        <w:t xml:space="preserve">4 </w:t>
      </w:r>
      <w:r w:rsidRPr="0028223C">
        <w:t>and</w:t>
      </w:r>
      <w:r w:rsidR="00081B63">
        <w:t xml:space="preserve"> 6</w:t>
      </w:r>
      <w:r w:rsidRPr="0028223C">
        <w:t>, the Supplier must, within 10 Working Days notify the Authority:</w:t>
      </w:r>
      <w:bookmarkEnd w:id="3055"/>
    </w:p>
    <w:p w14:paraId="571733FB" w14:textId="77777777" w:rsidR="00F67E9E" w:rsidRDefault="00F67E9E" w:rsidP="00E1349E">
      <w:pPr>
        <w:pStyle w:val="Numbered111"/>
        <w:numPr>
          <w:ilvl w:val="2"/>
          <w:numId w:val="174"/>
        </w:numPr>
      </w:pPr>
      <w:r>
        <w:t>the specific Intellectual Property Rights the Authority has not received licences to; and</w:t>
      </w:r>
    </w:p>
    <w:p w14:paraId="30320C2F" w14:textId="77777777" w:rsidR="00F67E9E" w:rsidRPr="00016234" w:rsidRDefault="00F67E9E" w:rsidP="00E1349E">
      <w:pPr>
        <w:pStyle w:val="Numbered111"/>
        <w:numPr>
          <w:ilvl w:val="2"/>
          <w:numId w:val="174"/>
        </w:numPr>
      </w:pPr>
      <w:r>
        <w:t>the Deliverables affected.</w:t>
      </w:r>
    </w:p>
    <w:p w14:paraId="0B0A456A" w14:textId="77777777" w:rsidR="00F67E9E" w:rsidRPr="00016234" w:rsidRDefault="00F67E9E" w:rsidP="00E1349E">
      <w:pPr>
        <w:pStyle w:val="Numbered11"/>
        <w:numPr>
          <w:ilvl w:val="1"/>
          <w:numId w:val="174"/>
        </w:numPr>
      </w:pPr>
      <w:r w:rsidRPr="0028223C">
        <w:t>Where a patent owned by the Supplier is infringed by the use of the Specially Written Software or Project Specific IPR by the Authority or any Replacement Supplier, the Supplier hereby grants to the Authority and the Replacement Supplier a non-exclusive, irrevocable, royalty-free, worldwide patent licence to use the infringing methods, materials or software.</w:t>
      </w:r>
    </w:p>
    <w:p w14:paraId="24159AEC" w14:textId="51D846B8" w:rsidR="00F67E9E" w:rsidRDefault="00F67E9E" w:rsidP="00E1349E">
      <w:pPr>
        <w:pStyle w:val="Numbered11"/>
        <w:numPr>
          <w:ilvl w:val="1"/>
          <w:numId w:val="174"/>
        </w:numPr>
      </w:pPr>
      <w:r w:rsidRPr="0028223C">
        <w:t xml:space="preserve">Unless otherwise agreed in writing, the Supplier will record in the table at Annex </w:t>
      </w:r>
      <w:r>
        <w:fldChar w:fldCharType="begin"/>
      </w:r>
      <w:r>
        <w:instrText xml:space="preserve"> REF ANNEX1_SCHEDULE32 \h </w:instrText>
      </w:r>
      <w:r>
        <w:fldChar w:fldCharType="separate"/>
      </w:r>
      <w:r w:rsidR="007A1473" w:rsidRPr="001B4E17">
        <w:t>1</w:t>
      </w:r>
      <w:r>
        <w:fldChar w:fldCharType="end"/>
      </w:r>
      <w:r w:rsidRPr="0028223C">
        <w:t xml:space="preserve"> to this Schedule and keep updated throughout the Term:</w:t>
      </w:r>
    </w:p>
    <w:p w14:paraId="6BE5180A" w14:textId="77777777" w:rsidR="00F67E9E" w:rsidRDefault="00F67E9E" w:rsidP="00E1349E">
      <w:pPr>
        <w:pStyle w:val="Numbered111"/>
        <w:numPr>
          <w:ilvl w:val="2"/>
          <w:numId w:val="174"/>
        </w:numPr>
      </w:pPr>
      <w:r>
        <w:t>any Specially Written Software and Project Specific IPR; and</w:t>
      </w:r>
    </w:p>
    <w:p w14:paraId="4ED81C56" w14:textId="77777777" w:rsidR="00F67E9E" w:rsidRDefault="00F67E9E" w:rsidP="00E1349E">
      <w:pPr>
        <w:pStyle w:val="Numbered111"/>
        <w:numPr>
          <w:ilvl w:val="2"/>
          <w:numId w:val="174"/>
        </w:numPr>
      </w:pPr>
      <w:r>
        <w:lastRenderedPageBreak/>
        <w:t>where:</w:t>
      </w:r>
    </w:p>
    <w:p w14:paraId="53C3EDE0" w14:textId="77777777" w:rsidR="00F67E9E" w:rsidRDefault="00F67E9E" w:rsidP="00E1349E">
      <w:pPr>
        <w:pStyle w:val="Numbered111a"/>
        <w:numPr>
          <w:ilvl w:val="3"/>
          <w:numId w:val="174"/>
        </w:numPr>
      </w:pPr>
      <w:r>
        <w:t>the Specially Written Software or Project Specific IPR adapts Supplier Software, Third Party Software, Third Party IPRs, or Supplier Background IPRs; or</w:t>
      </w:r>
    </w:p>
    <w:p w14:paraId="1E899407" w14:textId="77777777" w:rsidR="00F67E9E" w:rsidRPr="00016234" w:rsidRDefault="00F67E9E" w:rsidP="00E1349E">
      <w:pPr>
        <w:pStyle w:val="Numbered111a"/>
        <w:numPr>
          <w:ilvl w:val="3"/>
          <w:numId w:val="174"/>
        </w:numPr>
      </w:pPr>
      <w:r>
        <w:t>Supplier Software, Third Party Software, Third Party IPRs, or Supplier Background IPRs is embedded in, or forms an integral part of, the Specially Written Software or Project Specific IPR;</w:t>
      </w:r>
    </w:p>
    <w:p w14:paraId="1F00885E" w14:textId="77777777" w:rsidR="00F67E9E" w:rsidRDefault="00F67E9E" w:rsidP="00F67E9E">
      <w:pPr>
        <w:pStyle w:val="StdBodyText3"/>
      </w:pPr>
      <w:bookmarkStart w:id="3056" w:name="_Ref_ContractCompanion_9kb9Ur08G"/>
      <w:bookmarkStart w:id="3057" w:name="_Ref_ContractCompanion_9kb9Ur237"/>
      <w:bookmarkStart w:id="3058" w:name="_9kR3WTrAG867DhQx1n7JHNqI0xG9w96376C41DC"/>
      <w:bookmarkStart w:id="3059" w:name="_9kR3WTr299DECgQx1n7JHNqI0xG9w96376C41DC"/>
      <w:bookmarkStart w:id="3060" w:name="_Toc44585082"/>
      <w:r w:rsidRPr="0028223C">
        <w:t>full details of the Supplier Software, Third Party Software, Third Party IPRs, or Supplier Background IPRs.</w:t>
      </w:r>
    </w:p>
    <w:p w14:paraId="727C3DFC" w14:textId="77777777" w:rsidR="00F67E9E" w:rsidRDefault="00F67E9E" w:rsidP="00E1349E">
      <w:pPr>
        <w:pStyle w:val="Numbered11"/>
        <w:numPr>
          <w:ilvl w:val="1"/>
          <w:numId w:val="174"/>
        </w:numPr>
      </w:pPr>
      <w:r>
        <w:t>For the avoidance of doubt:</w:t>
      </w:r>
    </w:p>
    <w:p w14:paraId="2362E376" w14:textId="3A7F7B55" w:rsidR="00F67E9E" w:rsidRDefault="00F67E9E" w:rsidP="00E1349E">
      <w:pPr>
        <w:pStyle w:val="Numbered111"/>
        <w:numPr>
          <w:ilvl w:val="2"/>
          <w:numId w:val="174"/>
        </w:numPr>
      </w:pPr>
      <w:r>
        <w:t>except as provided for in Paragraph </w:t>
      </w:r>
      <w:r w:rsidR="00081B63">
        <w:t>3.2.3(c)(ii)</w:t>
      </w:r>
      <w:r>
        <w:t>, the expiry or termination of this Contract does not of itself terminate the licences granted to the Authority under Paragraph </w:t>
      </w:r>
      <w:r w:rsidR="00081B63">
        <w:t>3</w:t>
      </w:r>
      <w:r>
        <w:t>;</w:t>
      </w:r>
    </w:p>
    <w:p w14:paraId="23BCE389" w14:textId="77777777" w:rsidR="00F67E9E" w:rsidRDefault="00F67E9E" w:rsidP="00E1349E">
      <w:pPr>
        <w:pStyle w:val="Numbered111"/>
        <w:numPr>
          <w:ilvl w:val="2"/>
          <w:numId w:val="174"/>
        </w:numPr>
      </w:pPr>
      <w:r>
        <w:t>the award of this Contract or the ordering of any Deliverables does not constitute an authorisation by the Crown under:</w:t>
      </w:r>
    </w:p>
    <w:p w14:paraId="2071C50E" w14:textId="77777777" w:rsidR="00F67E9E" w:rsidRDefault="00F67E9E" w:rsidP="00E1349E">
      <w:pPr>
        <w:pStyle w:val="Numbered111a"/>
        <w:numPr>
          <w:ilvl w:val="3"/>
          <w:numId w:val="174"/>
        </w:numPr>
      </w:pPr>
      <w:r>
        <w:t>Sections 55 and 56 of the Patents Act 1977;</w:t>
      </w:r>
    </w:p>
    <w:p w14:paraId="47A16C19" w14:textId="77777777" w:rsidR="00F67E9E" w:rsidRDefault="00F67E9E" w:rsidP="00E1349E">
      <w:pPr>
        <w:pStyle w:val="Numbered111a"/>
        <w:numPr>
          <w:ilvl w:val="3"/>
          <w:numId w:val="174"/>
        </w:numPr>
      </w:pPr>
      <w:r>
        <w:t>section 12 of the Registered Designs Act 1949; or</w:t>
      </w:r>
    </w:p>
    <w:p w14:paraId="16BCD5E6" w14:textId="77777777" w:rsidR="00F67E9E" w:rsidRDefault="00F67E9E" w:rsidP="00E1349E">
      <w:pPr>
        <w:pStyle w:val="Numbered111a"/>
        <w:numPr>
          <w:ilvl w:val="3"/>
          <w:numId w:val="174"/>
        </w:numPr>
      </w:pPr>
      <w:r>
        <w:t>sections 240 to 243 of the Copyright, Designs and Patents Act 1988.</w:t>
      </w:r>
    </w:p>
    <w:p w14:paraId="5BAB51A3" w14:textId="77777777" w:rsidR="00F67E9E" w:rsidRDefault="00F67E9E" w:rsidP="00E1349E">
      <w:pPr>
        <w:pStyle w:val="Numbered1"/>
        <w:numPr>
          <w:ilvl w:val="0"/>
          <w:numId w:val="174"/>
        </w:numPr>
      </w:pPr>
      <w:bookmarkStart w:id="3061" w:name="_Toc136451186"/>
      <w:bookmarkEnd w:id="3056"/>
      <w:bookmarkEnd w:id="3057"/>
      <w:bookmarkEnd w:id="3058"/>
      <w:bookmarkEnd w:id="3059"/>
      <w:bookmarkEnd w:id="3060"/>
      <w:r>
        <w:t>Ownership and delivery of IPR created under the Contract</w:t>
      </w:r>
      <w:bookmarkEnd w:id="3061"/>
    </w:p>
    <w:p w14:paraId="5667BDB8" w14:textId="2518722F" w:rsidR="00F67E9E" w:rsidRDefault="00F67E9E" w:rsidP="00E1349E">
      <w:pPr>
        <w:pStyle w:val="Numbered11"/>
        <w:keepNext/>
        <w:numPr>
          <w:ilvl w:val="1"/>
          <w:numId w:val="174"/>
        </w:numPr>
      </w:pPr>
      <w:r>
        <w:t>Subject to Paragraph </w:t>
      </w:r>
      <w:r>
        <w:fldChar w:fldCharType="begin"/>
      </w:r>
      <w:r>
        <w:instrText xml:space="preserve"> REF _Ref141105848 \w \h </w:instrText>
      </w:r>
      <w:r>
        <w:fldChar w:fldCharType="separate"/>
      </w:r>
      <w:r w:rsidR="007A1473">
        <w:t>1.1.1</w:t>
      </w:r>
      <w:r>
        <w:fldChar w:fldCharType="end"/>
      </w:r>
      <w:r>
        <w:t>, the Supplier agrees to</w:t>
      </w:r>
    </w:p>
    <w:p w14:paraId="64E61E13" w14:textId="77777777" w:rsidR="00F67E9E" w:rsidRDefault="00F67E9E" w:rsidP="00E1349E">
      <w:pPr>
        <w:pStyle w:val="Numbered111"/>
        <w:keepNext/>
        <w:numPr>
          <w:ilvl w:val="2"/>
          <w:numId w:val="174"/>
        </w:numPr>
      </w:pPr>
      <w:r>
        <w:t>transfer to the Authority, or procure the transfer to the Authority of all Intellectual Property Rights in the Specially Written Software and Project Specific IPRs, including:</w:t>
      </w:r>
    </w:p>
    <w:p w14:paraId="6B1C9DC2" w14:textId="77777777" w:rsidR="00F67E9E" w:rsidRDefault="00F67E9E" w:rsidP="00E1349E">
      <w:pPr>
        <w:pStyle w:val="Numbered111a"/>
        <w:numPr>
          <w:ilvl w:val="3"/>
          <w:numId w:val="174"/>
        </w:numPr>
      </w:pPr>
      <w:r>
        <w:t>the Documentation, Source Code and the Object Code of the Specially Written Software; and</w:t>
      </w:r>
    </w:p>
    <w:p w14:paraId="43DD1A08" w14:textId="77777777" w:rsidR="00F67E9E" w:rsidRDefault="00F67E9E" w:rsidP="00E1349E">
      <w:pPr>
        <w:pStyle w:val="Numbered111a"/>
        <w:numPr>
          <w:ilvl w:val="3"/>
          <w:numId w:val="174"/>
        </w:numPr>
      </w:pPr>
      <w:r>
        <w:t>all build instructions, test instructions, test scripts, test data, operating instructions and other documents and tools necessary for maintaining and supporting the Specially Written Software,</w:t>
      </w:r>
    </w:p>
    <w:p w14:paraId="143C76CE" w14:textId="77777777" w:rsidR="00F67E9E" w:rsidRDefault="00F67E9E" w:rsidP="00F67E9E">
      <w:pPr>
        <w:pStyle w:val="StdBodyText3"/>
      </w:pPr>
      <w:r>
        <w:t xml:space="preserve">(together the </w:t>
      </w:r>
      <w:r w:rsidRPr="00F90E7F">
        <w:rPr>
          <w:b/>
          <w:bCs/>
        </w:rPr>
        <w:t>"</w:t>
      </w:r>
      <w:r w:rsidRPr="0043795B">
        <w:rPr>
          <w:b/>
          <w:bCs/>
        </w:rPr>
        <w:t>Software Supporting Materials</w:t>
      </w:r>
      <w:r w:rsidRPr="00F90E7F">
        <w:rPr>
          <w:b/>
          <w:bCs/>
        </w:rPr>
        <w:t>"</w:t>
      </w:r>
      <w:r>
        <w:t>); and</w:t>
      </w:r>
    </w:p>
    <w:p w14:paraId="6EA684C4" w14:textId="77777777" w:rsidR="00F67E9E" w:rsidRDefault="00F67E9E" w:rsidP="00E1349E">
      <w:pPr>
        <w:pStyle w:val="Numbered111"/>
        <w:numPr>
          <w:ilvl w:val="2"/>
          <w:numId w:val="174"/>
        </w:numPr>
      </w:pPr>
      <w:r w:rsidRPr="00016234">
        <w:t xml:space="preserve">execute all such assignments required to </w:t>
      </w:r>
      <w:r>
        <w:t xml:space="preserve">transfer properly any </w:t>
      </w:r>
      <w:r w:rsidRPr="00016234">
        <w:t>rights in the Specially Written Software and Project Specific IPRs to the Authority</w:t>
      </w:r>
      <w:r>
        <w:t>.</w:t>
      </w:r>
    </w:p>
    <w:p w14:paraId="05403B6F" w14:textId="77777777" w:rsidR="00F67E9E" w:rsidRDefault="00F67E9E" w:rsidP="00E1349E">
      <w:pPr>
        <w:pStyle w:val="Numbered11"/>
        <w:keepNext/>
        <w:numPr>
          <w:ilvl w:val="1"/>
          <w:numId w:val="174"/>
        </w:numPr>
      </w:pPr>
      <w:bookmarkStart w:id="3062" w:name="_Ref140100191"/>
      <w:r>
        <w:t>The Supplier must deliver to the Authority:</w:t>
      </w:r>
      <w:bookmarkEnd w:id="3062"/>
    </w:p>
    <w:p w14:paraId="0C34B7EA" w14:textId="77777777" w:rsidR="00F67E9E" w:rsidRDefault="00F67E9E" w:rsidP="00E1349E">
      <w:pPr>
        <w:pStyle w:val="Numbered111"/>
        <w:numPr>
          <w:ilvl w:val="2"/>
          <w:numId w:val="174"/>
        </w:numPr>
      </w:pPr>
      <w:r w:rsidRPr="008C3BB0">
        <w:t>the Specially Written Software</w:t>
      </w:r>
      <w:r>
        <w:t xml:space="preserve">; </w:t>
      </w:r>
    </w:p>
    <w:p w14:paraId="5D805463" w14:textId="77777777" w:rsidR="00F67E9E" w:rsidRDefault="00F67E9E" w:rsidP="00E1349E">
      <w:pPr>
        <w:pStyle w:val="Numbered111"/>
        <w:numPr>
          <w:ilvl w:val="2"/>
          <w:numId w:val="174"/>
        </w:numPr>
      </w:pPr>
      <w:r w:rsidRPr="008C3BB0">
        <w:t xml:space="preserve">any </w:t>
      </w:r>
      <w:r>
        <w:t>software</w:t>
      </w:r>
      <w:r w:rsidRPr="008C3BB0">
        <w:t xml:space="preserve"> elements of the </w:t>
      </w:r>
      <w:r>
        <w:t>Project Specific IPR;</w:t>
      </w:r>
    </w:p>
    <w:p w14:paraId="1F3245A4" w14:textId="77777777" w:rsidR="00F67E9E" w:rsidRDefault="00F67E9E" w:rsidP="00E1349E">
      <w:pPr>
        <w:pStyle w:val="Numbered111"/>
        <w:numPr>
          <w:ilvl w:val="2"/>
          <w:numId w:val="174"/>
        </w:numPr>
      </w:pPr>
      <w:r w:rsidRPr="008C3BB0">
        <w:t>relevant Documentation</w:t>
      </w:r>
      <w:r>
        <w:t>; and</w:t>
      </w:r>
    </w:p>
    <w:p w14:paraId="66A658BA" w14:textId="77777777" w:rsidR="00F67E9E" w:rsidRDefault="00F67E9E" w:rsidP="00E1349E">
      <w:pPr>
        <w:pStyle w:val="Numbered111"/>
        <w:numPr>
          <w:ilvl w:val="2"/>
          <w:numId w:val="174"/>
        </w:numPr>
      </w:pPr>
      <w:r w:rsidRPr="008C3BB0">
        <w:lastRenderedPageBreak/>
        <w:t>all related Software Supporting Materials</w:t>
      </w:r>
      <w:r>
        <w:t>,</w:t>
      </w:r>
    </w:p>
    <w:p w14:paraId="16A6C199" w14:textId="77777777" w:rsidR="00F67E9E" w:rsidRDefault="00F67E9E" w:rsidP="00F67E9E">
      <w:pPr>
        <w:pStyle w:val="StdBodyText2"/>
        <w:keepNext/>
      </w:pPr>
      <w:r w:rsidRPr="008C3BB0">
        <w:t>within</w:t>
      </w:r>
      <w:r>
        <w:t xml:space="preserve"> </w:t>
      </w:r>
      <w:r w:rsidRPr="008C3BB0">
        <w:t>seven days of</w:t>
      </w:r>
      <w:r>
        <w:t>:</w:t>
      </w:r>
    </w:p>
    <w:p w14:paraId="165DBEE3" w14:textId="77777777" w:rsidR="00F67E9E" w:rsidRDefault="00F67E9E" w:rsidP="00E1349E">
      <w:pPr>
        <w:pStyle w:val="Numbered111"/>
        <w:keepNext/>
        <w:numPr>
          <w:ilvl w:val="2"/>
          <w:numId w:val="174"/>
        </w:numPr>
      </w:pPr>
      <w:r>
        <w:t>either:</w:t>
      </w:r>
    </w:p>
    <w:p w14:paraId="2570B5B3" w14:textId="77777777" w:rsidR="00F67E9E" w:rsidRDefault="00F67E9E" w:rsidP="00E1349E">
      <w:pPr>
        <w:pStyle w:val="Numbered111a"/>
        <w:numPr>
          <w:ilvl w:val="3"/>
          <w:numId w:val="174"/>
        </w:numPr>
      </w:pPr>
      <w:r>
        <w:t>initial release or deployment;</w:t>
      </w:r>
      <w:r w:rsidRPr="008C3BB0">
        <w:t xml:space="preserve"> or</w:t>
      </w:r>
    </w:p>
    <w:p w14:paraId="6FF76672" w14:textId="77777777" w:rsidR="00F67E9E" w:rsidRDefault="00F67E9E" w:rsidP="00E1349E">
      <w:pPr>
        <w:pStyle w:val="Numbered111a"/>
        <w:numPr>
          <w:ilvl w:val="3"/>
          <w:numId w:val="174"/>
        </w:numPr>
      </w:pPr>
      <w:r w:rsidRPr="008C3BB0">
        <w:t>if a relevant Milestone has been identified in an Implementation Plan, Achievement of that Milestone</w:t>
      </w:r>
      <w:r>
        <w:t>; and</w:t>
      </w:r>
    </w:p>
    <w:p w14:paraId="01221C21" w14:textId="77777777" w:rsidR="00F67E9E" w:rsidRDefault="00F67E9E" w:rsidP="00E1349E">
      <w:pPr>
        <w:pStyle w:val="Numbered111"/>
        <w:numPr>
          <w:ilvl w:val="2"/>
          <w:numId w:val="174"/>
        </w:numPr>
      </w:pPr>
      <w:r>
        <w:t>each subsequent release or deployment of the Specially Written Software and any software elements of the Project Specific IPR.</w:t>
      </w:r>
    </w:p>
    <w:p w14:paraId="149DC315" w14:textId="7ED45287" w:rsidR="00F67E9E" w:rsidRDefault="00F67E9E" w:rsidP="00E1349E">
      <w:pPr>
        <w:pStyle w:val="Numbered11"/>
        <w:numPr>
          <w:ilvl w:val="1"/>
          <w:numId w:val="174"/>
        </w:numPr>
      </w:pPr>
      <w:r>
        <w:t>Where the Supplier delivers materials to the Authority under Paragraph </w:t>
      </w:r>
      <w:r w:rsidR="00081B63">
        <w:t>2.2</w:t>
      </w:r>
      <w:r>
        <w:t>, it must do so in a format specified by the Authority. Where the Authority specifies the material is to be delivered on media, the Authority becomes the owner of the media containing the material on delivery.</w:t>
      </w:r>
    </w:p>
    <w:p w14:paraId="0351ACBD" w14:textId="77777777" w:rsidR="00F67E9E" w:rsidRDefault="00F67E9E" w:rsidP="00E1349E">
      <w:pPr>
        <w:pStyle w:val="Numbered1"/>
        <w:numPr>
          <w:ilvl w:val="0"/>
          <w:numId w:val="174"/>
        </w:numPr>
      </w:pPr>
      <w:bookmarkStart w:id="3063" w:name="_Ref140100775"/>
      <w:r>
        <w:t>Use of Supplier or Third Party Non-COTS Software or Non-COTS Background IPR</w:t>
      </w:r>
      <w:bookmarkEnd w:id="3063"/>
    </w:p>
    <w:p w14:paraId="6F5C7ECD" w14:textId="77777777" w:rsidR="00F67E9E" w:rsidRDefault="00F67E9E" w:rsidP="00E1349E">
      <w:pPr>
        <w:pStyle w:val="Numbered11"/>
        <w:keepNext/>
        <w:numPr>
          <w:ilvl w:val="1"/>
          <w:numId w:val="174"/>
        </w:numPr>
      </w:pPr>
      <w:r w:rsidRPr="00A550B3">
        <w:t xml:space="preserve">The Supplier </w:t>
      </w:r>
      <w:r>
        <w:t xml:space="preserve">must </w:t>
      </w:r>
      <w:r w:rsidRPr="00A550B3">
        <w:t>not use any</w:t>
      </w:r>
      <w:r>
        <w:t>:</w:t>
      </w:r>
    </w:p>
    <w:p w14:paraId="4A796025" w14:textId="77777777" w:rsidR="00F67E9E" w:rsidRDefault="00F67E9E" w:rsidP="00E1349E">
      <w:pPr>
        <w:pStyle w:val="Numbered111"/>
        <w:numPr>
          <w:ilvl w:val="2"/>
          <w:numId w:val="174"/>
        </w:numPr>
      </w:pPr>
      <w:r w:rsidRPr="00A550B3">
        <w:t>Supplier Non-COTS Software</w:t>
      </w:r>
      <w:r>
        <w:t>; or</w:t>
      </w:r>
    </w:p>
    <w:p w14:paraId="2D6A4056" w14:textId="77777777" w:rsidR="00F67E9E" w:rsidRDefault="00F67E9E" w:rsidP="00E1349E">
      <w:pPr>
        <w:pStyle w:val="Numbered111"/>
        <w:numPr>
          <w:ilvl w:val="2"/>
          <w:numId w:val="174"/>
        </w:numPr>
      </w:pPr>
      <w:r>
        <w:t xml:space="preserve">any </w:t>
      </w:r>
      <w:r w:rsidRPr="00A550B3">
        <w:t>Supplier Non-COTS Background IPR</w:t>
      </w:r>
      <w:r>
        <w:t>;</w:t>
      </w:r>
    </w:p>
    <w:p w14:paraId="6032F55D" w14:textId="77777777" w:rsidR="00F67E9E" w:rsidRDefault="00F67E9E" w:rsidP="00F67E9E">
      <w:pPr>
        <w:pStyle w:val="StdBodyText1"/>
      </w:pPr>
      <w:r w:rsidRPr="00A550B3">
        <w:t>in the provision of the Services</w:t>
      </w:r>
      <w:r>
        <w:t xml:space="preserve"> or any Deliverables </w:t>
      </w:r>
      <w:r w:rsidRPr="00016234">
        <w:t>(including in any Specially Written Software or in the software element of Project Specific IPRs)</w:t>
      </w:r>
      <w:r w:rsidRPr="00A550B3">
        <w:t xml:space="preserve"> unless</w:t>
      </w:r>
      <w:r>
        <w:t>:</w:t>
      </w:r>
    </w:p>
    <w:p w14:paraId="1DFBCDA0" w14:textId="77777777" w:rsidR="00F67E9E" w:rsidRDefault="00F67E9E" w:rsidP="00E1349E">
      <w:pPr>
        <w:pStyle w:val="Numbered111"/>
        <w:keepNext/>
        <w:numPr>
          <w:ilvl w:val="2"/>
          <w:numId w:val="174"/>
        </w:numPr>
      </w:pPr>
      <w:r>
        <w:t>in the case of Supplier Non-COTS Software and the software elements of Supplier</w:t>
      </w:r>
      <w:r w:rsidRPr="00A550B3">
        <w:t xml:space="preserve"> Non-COTS Background IPR</w:t>
      </w:r>
      <w:r>
        <w:t>, it is either:</w:t>
      </w:r>
    </w:p>
    <w:p w14:paraId="600C289F" w14:textId="7347AB5B" w:rsidR="00F67E9E" w:rsidRDefault="00F67E9E" w:rsidP="00E1349E">
      <w:pPr>
        <w:pStyle w:val="Numbered111a"/>
        <w:numPr>
          <w:ilvl w:val="3"/>
          <w:numId w:val="174"/>
        </w:numPr>
      </w:pPr>
      <w:r w:rsidRPr="00A550B3">
        <w:t xml:space="preserve">detailed in </w:t>
      </w:r>
      <w:r>
        <w:fldChar w:fldCharType="begin"/>
      </w:r>
      <w:r>
        <w:instrText xml:space="preserve"> REF Schedule12 \h </w:instrText>
      </w:r>
      <w:r>
        <w:fldChar w:fldCharType="separate"/>
      </w:r>
      <w:r w:rsidR="007A1473" w:rsidRPr="005D0525">
        <w:t>Schedule</w:t>
      </w:r>
      <w:r w:rsidR="007A1473">
        <w:t> </w:t>
      </w:r>
      <w:r w:rsidR="007A1473" w:rsidRPr="005D0525">
        <w:t>12</w:t>
      </w:r>
      <w:r>
        <w:fldChar w:fldCharType="end"/>
      </w:r>
      <w:r w:rsidRPr="00A550B3">
        <w:t xml:space="preserve"> (</w:t>
      </w:r>
      <w:r w:rsidRPr="00212E6C">
        <w:rPr>
          <w:i/>
          <w:iCs/>
        </w:rPr>
        <w:fldChar w:fldCharType="begin"/>
      </w:r>
      <w:r w:rsidRPr="00212E6C">
        <w:rPr>
          <w:i/>
          <w:iCs/>
        </w:rPr>
        <w:instrText xml:space="preserve"> REF Schedule12Heading \h  \* MERGEFORMAT </w:instrText>
      </w:r>
      <w:r w:rsidRPr="00212E6C">
        <w:rPr>
          <w:i/>
          <w:iCs/>
        </w:rPr>
      </w:r>
      <w:r w:rsidRPr="00212E6C">
        <w:rPr>
          <w:i/>
          <w:iCs/>
        </w:rPr>
        <w:fldChar w:fldCharType="separate"/>
      </w:r>
      <w:r w:rsidR="007A1473" w:rsidRPr="007A1473">
        <w:rPr>
          <w:i/>
          <w:iCs/>
        </w:rPr>
        <w:t>Software</w:t>
      </w:r>
      <w:r w:rsidRPr="00212E6C">
        <w:rPr>
          <w:i/>
          <w:iCs/>
        </w:rPr>
        <w:fldChar w:fldCharType="end"/>
      </w:r>
      <w:r w:rsidRPr="00A550B3">
        <w:t>)</w:t>
      </w:r>
      <w:r>
        <w:t>;</w:t>
      </w:r>
      <w:r w:rsidRPr="00A550B3">
        <w:t xml:space="preserve"> or</w:t>
      </w:r>
    </w:p>
    <w:p w14:paraId="4D7F5020" w14:textId="77777777" w:rsidR="00F67E9E" w:rsidRDefault="00F67E9E" w:rsidP="00E1349E">
      <w:pPr>
        <w:pStyle w:val="Numbered111a"/>
        <w:keepNext/>
        <w:numPr>
          <w:ilvl w:val="3"/>
          <w:numId w:val="174"/>
        </w:numPr>
      </w:pPr>
      <w:r>
        <w:t>both:</w:t>
      </w:r>
    </w:p>
    <w:p w14:paraId="2831B8D6" w14:textId="77777777" w:rsidR="00F67E9E" w:rsidRDefault="00F67E9E" w:rsidP="00E1349E">
      <w:pPr>
        <w:pStyle w:val="Numbered111ai"/>
        <w:numPr>
          <w:ilvl w:val="4"/>
          <w:numId w:val="174"/>
        </w:numPr>
      </w:pPr>
      <w:r>
        <w:t xml:space="preserve">submitted </w:t>
      </w:r>
      <w:r w:rsidRPr="00A550B3">
        <w:t>to the Technical Board for review</w:t>
      </w:r>
      <w:r>
        <w:t>; and</w:t>
      </w:r>
    </w:p>
    <w:p w14:paraId="168CC216" w14:textId="77777777" w:rsidR="00F67E9E" w:rsidRDefault="00F67E9E" w:rsidP="00E1349E">
      <w:pPr>
        <w:pStyle w:val="Numbered111ai"/>
        <w:numPr>
          <w:ilvl w:val="4"/>
          <w:numId w:val="174"/>
        </w:numPr>
      </w:pPr>
      <w:r>
        <w:t xml:space="preserve">approved </w:t>
      </w:r>
      <w:r w:rsidRPr="00A550B3">
        <w:t>by the Authority</w:t>
      </w:r>
      <w:r>
        <w:t>; or</w:t>
      </w:r>
    </w:p>
    <w:p w14:paraId="30FE7F63" w14:textId="77777777" w:rsidR="00F67E9E" w:rsidRDefault="00F67E9E" w:rsidP="00E1349E">
      <w:pPr>
        <w:pStyle w:val="Numbered111"/>
        <w:numPr>
          <w:ilvl w:val="2"/>
          <w:numId w:val="174"/>
        </w:numPr>
      </w:pPr>
      <w:r>
        <w:t>in the case of non-software elements of Supplier</w:t>
      </w:r>
      <w:r w:rsidRPr="00A550B3">
        <w:t xml:space="preserve"> Non-COTS Background IPR</w:t>
      </w:r>
      <w:r>
        <w:t>, it is approved by the Authority in writing.</w:t>
      </w:r>
    </w:p>
    <w:p w14:paraId="2E69D80D" w14:textId="77777777" w:rsidR="00F67E9E" w:rsidRDefault="00F67E9E" w:rsidP="00E1349E">
      <w:pPr>
        <w:pStyle w:val="Numbered11"/>
        <w:keepNext/>
        <w:numPr>
          <w:ilvl w:val="1"/>
          <w:numId w:val="174"/>
        </w:numPr>
      </w:pPr>
      <w:r w:rsidRPr="00A550B3">
        <w:t xml:space="preserve">The Supplier </w:t>
      </w:r>
      <w:r>
        <w:t xml:space="preserve">must </w:t>
      </w:r>
      <w:r w:rsidRPr="00A550B3">
        <w:t>not use any</w:t>
      </w:r>
      <w:r>
        <w:t>:</w:t>
      </w:r>
    </w:p>
    <w:p w14:paraId="2D923175" w14:textId="77777777" w:rsidR="00F67E9E" w:rsidRDefault="00F67E9E" w:rsidP="00E1349E">
      <w:pPr>
        <w:pStyle w:val="Numbered111"/>
        <w:numPr>
          <w:ilvl w:val="2"/>
          <w:numId w:val="174"/>
        </w:numPr>
      </w:pPr>
      <w:r>
        <w:t>Third Party Non-COTS Software; or</w:t>
      </w:r>
    </w:p>
    <w:p w14:paraId="5C801AF6" w14:textId="77777777" w:rsidR="00F67E9E" w:rsidRDefault="00F67E9E" w:rsidP="00E1349E">
      <w:pPr>
        <w:pStyle w:val="Numbered111"/>
        <w:numPr>
          <w:ilvl w:val="2"/>
          <w:numId w:val="174"/>
        </w:numPr>
      </w:pPr>
      <w:r>
        <w:t>Third Party</w:t>
      </w:r>
      <w:r w:rsidRPr="00A550B3">
        <w:t xml:space="preserve"> Non-COTS Background IPR</w:t>
      </w:r>
      <w:r>
        <w:t>,</w:t>
      </w:r>
    </w:p>
    <w:p w14:paraId="399737D1" w14:textId="77777777" w:rsidR="00F67E9E" w:rsidRDefault="00F67E9E" w:rsidP="00F67E9E">
      <w:pPr>
        <w:pStyle w:val="StdBodyText1"/>
      </w:pPr>
      <w:r w:rsidRPr="00A550B3">
        <w:t>in the provision of the Services</w:t>
      </w:r>
      <w:r>
        <w:t xml:space="preserve"> or in any Deliverable </w:t>
      </w:r>
      <w:r w:rsidRPr="00016234">
        <w:t>(including in any Specially Written Software or in the software element of Project Specific IPRs)</w:t>
      </w:r>
      <w:r w:rsidRPr="00A550B3">
        <w:t xml:space="preserve"> unless</w:t>
      </w:r>
      <w:r>
        <w:t>:</w:t>
      </w:r>
    </w:p>
    <w:p w14:paraId="79452EB4" w14:textId="77777777" w:rsidR="00F67E9E" w:rsidRDefault="00F67E9E" w:rsidP="00E1349E">
      <w:pPr>
        <w:pStyle w:val="Numbered111"/>
        <w:keepNext/>
        <w:numPr>
          <w:ilvl w:val="2"/>
          <w:numId w:val="174"/>
        </w:numPr>
      </w:pPr>
      <w:r>
        <w:t>in the case of Third Party Non-COTS Software and the software elements of Third Party</w:t>
      </w:r>
      <w:r w:rsidRPr="00A550B3">
        <w:t xml:space="preserve"> Non-COTS Background IPR</w:t>
      </w:r>
      <w:r>
        <w:t>, it is either:</w:t>
      </w:r>
    </w:p>
    <w:p w14:paraId="6E1DB12A" w14:textId="79DE5DBF" w:rsidR="00F67E9E" w:rsidRDefault="00F67E9E" w:rsidP="00E1349E">
      <w:pPr>
        <w:pStyle w:val="Numbered111a"/>
        <w:numPr>
          <w:ilvl w:val="3"/>
          <w:numId w:val="174"/>
        </w:numPr>
      </w:pPr>
      <w:r w:rsidRPr="00A550B3">
        <w:t xml:space="preserve">detailed in </w:t>
      </w:r>
      <w:r>
        <w:fldChar w:fldCharType="begin"/>
      </w:r>
      <w:r>
        <w:instrText xml:space="preserve"> REF Schedule12 \h </w:instrText>
      </w:r>
      <w:r>
        <w:fldChar w:fldCharType="separate"/>
      </w:r>
      <w:r w:rsidR="007A1473" w:rsidRPr="005D0525">
        <w:t>Schedule</w:t>
      </w:r>
      <w:r w:rsidR="007A1473">
        <w:t> </w:t>
      </w:r>
      <w:r w:rsidR="007A1473" w:rsidRPr="005D0525">
        <w:t>12</w:t>
      </w:r>
      <w:r>
        <w:fldChar w:fldCharType="end"/>
      </w:r>
      <w:r w:rsidRPr="00A550B3">
        <w:t xml:space="preserve"> (</w:t>
      </w:r>
      <w:r w:rsidRPr="00212E6C">
        <w:rPr>
          <w:i/>
          <w:iCs/>
        </w:rPr>
        <w:fldChar w:fldCharType="begin"/>
      </w:r>
      <w:r w:rsidRPr="00212E6C">
        <w:rPr>
          <w:i/>
          <w:iCs/>
        </w:rPr>
        <w:instrText xml:space="preserve"> REF Schedule12Heading \h  \* MERGEFORMAT </w:instrText>
      </w:r>
      <w:r w:rsidRPr="00212E6C">
        <w:rPr>
          <w:i/>
          <w:iCs/>
        </w:rPr>
      </w:r>
      <w:r w:rsidRPr="00212E6C">
        <w:rPr>
          <w:i/>
          <w:iCs/>
        </w:rPr>
        <w:fldChar w:fldCharType="separate"/>
      </w:r>
      <w:r w:rsidR="007A1473" w:rsidRPr="007A1473">
        <w:rPr>
          <w:i/>
          <w:iCs/>
        </w:rPr>
        <w:t>Software</w:t>
      </w:r>
      <w:r w:rsidRPr="00212E6C">
        <w:rPr>
          <w:i/>
          <w:iCs/>
        </w:rPr>
        <w:fldChar w:fldCharType="end"/>
      </w:r>
      <w:r w:rsidRPr="00A550B3">
        <w:t>)</w:t>
      </w:r>
      <w:r>
        <w:t>;</w:t>
      </w:r>
      <w:r w:rsidRPr="00A550B3">
        <w:t xml:space="preserve"> or</w:t>
      </w:r>
    </w:p>
    <w:p w14:paraId="0422892E" w14:textId="77777777" w:rsidR="00F67E9E" w:rsidRDefault="00F67E9E" w:rsidP="00E1349E">
      <w:pPr>
        <w:pStyle w:val="Numbered111a"/>
        <w:keepNext/>
        <w:numPr>
          <w:ilvl w:val="3"/>
          <w:numId w:val="174"/>
        </w:numPr>
      </w:pPr>
      <w:r>
        <w:lastRenderedPageBreak/>
        <w:t>both:</w:t>
      </w:r>
    </w:p>
    <w:p w14:paraId="3BF552FF" w14:textId="77777777" w:rsidR="00F67E9E" w:rsidRDefault="00F67E9E" w:rsidP="00E1349E">
      <w:pPr>
        <w:pStyle w:val="Numbered111ai"/>
        <w:numPr>
          <w:ilvl w:val="4"/>
          <w:numId w:val="174"/>
        </w:numPr>
      </w:pPr>
      <w:r>
        <w:t xml:space="preserve">submitted </w:t>
      </w:r>
      <w:r w:rsidRPr="00A550B3">
        <w:t>to the Technical Board for review</w:t>
      </w:r>
      <w:r>
        <w:t>; and</w:t>
      </w:r>
    </w:p>
    <w:p w14:paraId="4D7DDDB2" w14:textId="77777777" w:rsidR="00F67E9E" w:rsidRDefault="00F67E9E" w:rsidP="00E1349E">
      <w:pPr>
        <w:pStyle w:val="Numbered111ai"/>
        <w:numPr>
          <w:ilvl w:val="4"/>
          <w:numId w:val="174"/>
        </w:numPr>
      </w:pPr>
      <w:r>
        <w:t xml:space="preserve">approved </w:t>
      </w:r>
      <w:r w:rsidRPr="00A550B3">
        <w:t>by the Authority</w:t>
      </w:r>
      <w:r>
        <w:t>; and</w:t>
      </w:r>
    </w:p>
    <w:p w14:paraId="70AEE66E" w14:textId="77777777" w:rsidR="00F67E9E" w:rsidRDefault="00F67E9E" w:rsidP="00E1349E">
      <w:pPr>
        <w:pStyle w:val="Numbered111a"/>
        <w:keepNext/>
        <w:numPr>
          <w:ilvl w:val="3"/>
          <w:numId w:val="174"/>
        </w:numPr>
      </w:pPr>
      <w:r>
        <w:t>one of the following conditions is met:</w:t>
      </w:r>
    </w:p>
    <w:p w14:paraId="00CAF1F7" w14:textId="645B77C1" w:rsidR="00F67E9E" w:rsidRDefault="00F67E9E" w:rsidP="00E1349E">
      <w:pPr>
        <w:pStyle w:val="Numbered111ai"/>
        <w:numPr>
          <w:ilvl w:val="4"/>
          <w:numId w:val="174"/>
        </w:numPr>
      </w:pPr>
      <w:bookmarkStart w:id="3064" w:name="_Ref140100286"/>
      <w:r>
        <w:t>the owner or an authorised licensor of the relevant IPR has granted the Authority a direct licence on the terms equivalent to those set out in Paragraph </w:t>
      </w:r>
      <w:r>
        <w:fldChar w:fldCharType="begin"/>
      </w:r>
      <w:r>
        <w:instrText xml:space="preserve"> REF _Ref140100250 \w \h  \* MERGEFORMAT </w:instrText>
      </w:r>
      <w:r>
        <w:fldChar w:fldCharType="separate"/>
      </w:r>
      <w:r w:rsidR="007A1473">
        <w:t>8</w:t>
      </w:r>
      <w:r>
        <w:fldChar w:fldCharType="end"/>
      </w:r>
      <w:r>
        <w:t>; or</w:t>
      </w:r>
      <w:bookmarkEnd w:id="3064"/>
    </w:p>
    <w:p w14:paraId="04B148B5" w14:textId="4366D51E" w:rsidR="00F67E9E" w:rsidRDefault="00F67E9E" w:rsidP="00E1349E">
      <w:pPr>
        <w:pStyle w:val="Numbered111ai"/>
        <w:keepNext/>
        <w:numPr>
          <w:ilvl w:val="4"/>
          <w:numId w:val="174"/>
        </w:numPr>
      </w:pPr>
      <w:bookmarkStart w:id="3065" w:name="_Ref140100316"/>
      <w:r>
        <w:t>if the Supplier cannot, after commercially reasonable endeavours, meet the condition in Paragraph </w:t>
      </w:r>
      <w:r w:rsidR="00081B63">
        <w:t>3.2.3(c)(i)</w:t>
      </w:r>
      <w:r>
        <w:t>, all the following conditions are met:</w:t>
      </w:r>
      <w:bookmarkEnd w:id="3065"/>
    </w:p>
    <w:p w14:paraId="203EEF2B" w14:textId="77777777" w:rsidR="00F67E9E" w:rsidRDefault="00F67E9E" w:rsidP="00E1349E">
      <w:pPr>
        <w:pStyle w:val="Numbered111aiA"/>
        <w:keepNext/>
        <w:numPr>
          <w:ilvl w:val="5"/>
          <w:numId w:val="174"/>
        </w:numPr>
      </w:pPr>
      <w:r>
        <w:t>the Supplier has notified the Authority in writing giving details of:</w:t>
      </w:r>
    </w:p>
    <w:p w14:paraId="296A186D" w14:textId="77777777" w:rsidR="00F67E9E" w:rsidRDefault="00F67E9E" w:rsidP="00E1349E">
      <w:pPr>
        <w:pStyle w:val="Numbered111aiA1"/>
        <w:numPr>
          <w:ilvl w:val="6"/>
          <w:numId w:val="174"/>
        </w:numPr>
      </w:pPr>
      <w:r>
        <w:t>what licence terms can be obtained from the relevant third party; and</w:t>
      </w:r>
    </w:p>
    <w:p w14:paraId="6637D2F1" w14:textId="77777777" w:rsidR="00F67E9E" w:rsidRDefault="00F67E9E" w:rsidP="00E1349E">
      <w:pPr>
        <w:pStyle w:val="Numbered111aiA1"/>
        <w:numPr>
          <w:ilvl w:val="6"/>
          <w:numId w:val="174"/>
        </w:numPr>
      </w:pPr>
      <w:r>
        <w:t xml:space="preserve">whether there are providers which the Supplier could seek to use and the licence terms obtainable from those third parties; </w:t>
      </w:r>
    </w:p>
    <w:p w14:paraId="06A458BC" w14:textId="77777777" w:rsidR="00F67E9E" w:rsidRDefault="00F67E9E" w:rsidP="00E1349E">
      <w:pPr>
        <w:pStyle w:val="Numbered111aiA"/>
        <w:numPr>
          <w:ilvl w:val="5"/>
          <w:numId w:val="174"/>
        </w:numPr>
      </w:pPr>
      <w:r>
        <w:t>the Authority approves the licence terms of one of those third parties; and</w:t>
      </w:r>
    </w:p>
    <w:p w14:paraId="69ECD2C0" w14:textId="77777777" w:rsidR="00F67E9E" w:rsidRDefault="00F67E9E" w:rsidP="00E1349E">
      <w:pPr>
        <w:pStyle w:val="Numbered111aiA"/>
        <w:numPr>
          <w:ilvl w:val="5"/>
          <w:numId w:val="174"/>
        </w:numPr>
      </w:pPr>
      <w:r>
        <w:t>the owner and authorised licensor of the Third Party IPR has granted a direct licence of the Third Party IPR to the Authority on those terms; or</w:t>
      </w:r>
    </w:p>
    <w:p w14:paraId="3D5E0144" w14:textId="78279271" w:rsidR="00F67E9E" w:rsidRDefault="00F67E9E" w:rsidP="00E1349E">
      <w:pPr>
        <w:pStyle w:val="Numbered111ai"/>
        <w:numPr>
          <w:ilvl w:val="4"/>
          <w:numId w:val="174"/>
        </w:numPr>
      </w:pPr>
      <w:r>
        <w:t>if the Supplier cannot meet the conditions in Paragraphs </w:t>
      </w:r>
      <w:r w:rsidR="00081B63">
        <w:t>3.2.3(c)(i)</w:t>
      </w:r>
      <w:r>
        <w:t xml:space="preserve"> and </w:t>
      </w:r>
      <w:r w:rsidR="00081B63">
        <w:t>3.2.3(c)(ii)</w:t>
      </w:r>
      <w:r>
        <w:t xml:space="preserve">, the Authority has provided written approval to </w:t>
      </w:r>
      <w:r w:rsidRPr="00CE3BEC">
        <w:t xml:space="preserve">use </w:t>
      </w:r>
      <w:r>
        <w:t xml:space="preserve">the relevant IPR </w:t>
      </w:r>
      <w:r w:rsidRPr="00CE3BEC">
        <w:t>without a licence, with reference to the acts authorised and the specific IPR involved</w:t>
      </w:r>
      <w:r>
        <w:t>; or</w:t>
      </w:r>
    </w:p>
    <w:p w14:paraId="5A636EA9" w14:textId="77777777" w:rsidR="00F67E9E" w:rsidRDefault="00F67E9E" w:rsidP="00E1349E">
      <w:pPr>
        <w:pStyle w:val="Numbered111"/>
        <w:numPr>
          <w:ilvl w:val="2"/>
          <w:numId w:val="174"/>
        </w:numPr>
      </w:pPr>
      <w:r>
        <w:t xml:space="preserve">in the case of non-software elements of Third-Party </w:t>
      </w:r>
      <w:r w:rsidRPr="00A550B3">
        <w:t>Non-COTS Background IPR</w:t>
      </w:r>
      <w:r>
        <w:t>, it is approved by the Authority in writing.</w:t>
      </w:r>
    </w:p>
    <w:p w14:paraId="339924E2" w14:textId="77777777" w:rsidR="00F67E9E" w:rsidRDefault="00F67E9E" w:rsidP="00E1349E">
      <w:pPr>
        <w:pStyle w:val="Numbered1"/>
        <w:numPr>
          <w:ilvl w:val="0"/>
          <w:numId w:val="174"/>
        </w:numPr>
      </w:pPr>
      <w:bookmarkStart w:id="3066" w:name="_Ref140767399"/>
      <w:r>
        <w:t>Use of Supplier or Third Party COTS Software or COTS Background IPR</w:t>
      </w:r>
      <w:bookmarkEnd w:id="3066"/>
    </w:p>
    <w:p w14:paraId="1528C3A0" w14:textId="77777777" w:rsidR="00F67E9E" w:rsidRDefault="00F67E9E" w:rsidP="00E1349E">
      <w:pPr>
        <w:pStyle w:val="Numbered11"/>
        <w:keepNext/>
        <w:numPr>
          <w:ilvl w:val="1"/>
          <w:numId w:val="174"/>
        </w:numPr>
      </w:pPr>
      <w:r w:rsidRPr="00A550B3">
        <w:t xml:space="preserve">The Supplier </w:t>
      </w:r>
      <w:r>
        <w:t xml:space="preserve">must </w:t>
      </w:r>
      <w:r w:rsidRPr="00A550B3">
        <w:t>not use any</w:t>
      </w:r>
      <w:r>
        <w:t>:</w:t>
      </w:r>
    </w:p>
    <w:p w14:paraId="57E59C94" w14:textId="77777777" w:rsidR="00F67E9E" w:rsidRDefault="00F67E9E" w:rsidP="00E1349E">
      <w:pPr>
        <w:pStyle w:val="Numbered111"/>
        <w:numPr>
          <w:ilvl w:val="2"/>
          <w:numId w:val="174"/>
        </w:numPr>
      </w:pPr>
      <w:r w:rsidRPr="00A550B3">
        <w:t>Supplier COTS Software</w:t>
      </w:r>
      <w:r>
        <w:t>;</w:t>
      </w:r>
    </w:p>
    <w:p w14:paraId="1EB4B03C" w14:textId="77777777" w:rsidR="00F67E9E" w:rsidRDefault="00F67E9E" w:rsidP="00E1349E">
      <w:pPr>
        <w:pStyle w:val="Numbered111"/>
        <w:numPr>
          <w:ilvl w:val="2"/>
          <w:numId w:val="174"/>
        </w:numPr>
      </w:pPr>
      <w:r w:rsidRPr="00A550B3">
        <w:t>Supplier COTS Background IPR</w:t>
      </w:r>
      <w:r>
        <w:t>;</w:t>
      </w:r>
    </w:p>
    <w:p w14:paraId="14D9B8CE" w14:textId="77777777" w:rsidR="00F67E9E" w:rsidRDefault="00F67E9E" w:rsidP="00E1349E">
      <w:pPr>
        <w:pStyle w:val="Numbered111"/>
        <w:numPr>
          <w:ilvl w:val="2"/>
          <w:numId w:val="174"/>
        </w:numPr>
      </w:pPr>
      <w:r>
        <w:t>Third Party COTS Software; or</w:t>
      </w:r>
    </w:p>
    <w:p w14:paraId="7F93637D" w14:textId="77777777" w:rsidR="00F67E9E" w:rsidRDefault="00F67E9E" w:rsidP="00E1349E">
      <w:pPr>
        <w:pStyle w:val="Numbered111"/>
        <w:numPr>
          <w:ilvl w:val="2"/>
          <w:numId w:val="174"/>
        </w:numPr>
      </w:pPr>
      <w:r>
        <w:t>Third Party</w:t>
      </w:r>
      <w:r w:rsidRPr="00A550B3">
        <w:t xml:space="preserve"> COTS Background IPR</w:t>
      </w:r>
      <w:r>
        <w:t>,</w:t>
      </w:r>
    </w:p>
    <w:p w14:paraId="545CBC81" w14:textId="77777777" w:rsidR="00F67E9E" w:rsidRDefault="00F67E9E" w:rsidP="00F67E9E">
      <w:pPr>
        <w:pStyle w:val="StdBodyText1"/>
        <w:keepNext/>
      </w:pPr>
      <w:r w:rsidRPr="00A550B3">
        <w:t>in the provision of the Services</w:t>
      </w:r>
      <w:r>
        <w:t xml:space="preserve"> </w:t>
      </w:r>
      <w:r w:rsidRPr="00016234">
        <w:t>(including in any Specially Written Software or in the software element of Project Specific IPRs)</w:t>
      </w:r>
      <w:r w:rsidRPr="00A550B3">
        <w:t xml:space="preserve"> unless</w:t>
      </w:r>
      <w:r>
        <w:t>:</w:t>
      </w:r>
    </w:p>
    <w:p w14:paraId="04B871B7" w14:textId="77777777" w:rsidR="00F67E9E" w:rsidRDefault="00F67E9E" w:rsidP="00E1349E">
      <w:pPr>
        <w:pStyle w:val="Numbered111"/>
        <w:numPr>
          <w:ilvl w:val="2"/>
          <w:numId w:val="174"/>
        </w:numPr>
      </w:pPr>
      <w:r>
        <w:t xml:space="preserve">in the case of Supplier COTS Software, Third Party COTS Software and the </w:t>
      </w:r>
      <w:r>
        <w:lastRenderedPageBreak/>
        <w:t xml:space="preserve">software elements of Supplier </w:t>
      </w:r>
      <w:r w:rsidRPr="00A550B3">
        <w:t>COTS Background IPR</w:t>
      </w:r>
      <w:r>
        <w:t xml:space="preserve"> and Supplier </w:t>
      </w:r>
      <w:r w:rsidRPr="00A550B3">
        <w:t>COTS Background IPR</w:t>
      </w:r>
      <w:r>
        <w:t>, it is either:</w:t>
      </w:r>
    </w:p>
    <w:p w14:paraId="32EF2C95" w14:textId="005431A6" w:rsidR="00F67E9E" w:rsidRDefault="00F67E9E" w:rsidP="00E1349E">
      <w:pPr>
        <w:pStyle w:val="Numbered111a"/>
        <w:numPr>
          <w:ilvl w:val="3"/>
          <w:numId w:val="174"/>
        </w:numPr>
      </w:pPr>
      <w:r w:rsidRPr="00A550B3">
        <w:t xml:space="preserve">detailed in </w:t>
      </w:r>
      <w:r>
        <w:fldChar w:fldCharType="begin"/>
      </w:r>
      <w:r>
        <w:instrText xml:space="preserve"> REF Schedule12 \h </w:instrText>
      </w:r>
      <w:r>
        <w:fldChar w:fldCharType="separate"/>
      </w:r>
      <w:r w:rsidR="007A1473" w:rsidRPr="005D0525">
        <w:t>Schedule</w:t>
      </w:r>
      <w:r w:rsidR="007A1473">
        <w:t> </w:t>
      </w:r>
      <w:r w:rsidR="007A1473" w:rsidRPr="005D0525">
        <w:t>12</w:t>
      </w:r>
      <w:r>
        <w:fldChar w:fldCharType="end"/>
      </w:r>
      <w:r w:rsidRPr="00A550B3">
        <w:t xml:space="preserve"> (</w:t>
      </w:r>
      <w:r w:rsidRPr="00212E6C">
        <w:rPr>
          <w:i/>
          <w:iCs/>
        </w:rPr>
        <w:fldChar w:fldCharType="begin"/>
      </w:r>
      <w:r w:rsidRPr="00212E6C">
        <w:rPr>
          <w:i/>
          <w:iCs/>
        </w:rPr>
        <w:instrText xml:space="preserve"> REF Schedule12Heading \h  \* MERGEFORMAT </w:instrText>
      </w:r>
      <w:r w:rsidRPr="00212E6C">
        <w:rPr>
          <w:i/>
          <w:iCs/>
        </w:rPr>
      </w:r>
      <w:r w:rsidRPr="00212E6C">
        <w:rPr>
          <w:i/>
          <w:iCs/>
        </w:rPr>
        <w:fldChar w:fldCharType="separate"/>
      </w:r>
      <w:r w:rsidR="007A1473" w:rsidRPr="007A1473">
        <w:rPr>
          <w:i/>
          <w:iCs/>
        </w:rPr>
        <w:t>Software</w:t>
      </w:r>
      <w:r w:rsidRPr="00212E6C">
        <w:rPr>
          <w:i/>
          <w:iCs/>
        </w:rPr>
        <w:fldChar w:fldCharType="end"/>
      </w:r>
      <w:r w:rsidRPr="00A550B3">
        <w:t>)</w:t>
      </w:r>
      <w:r>
        <w:t>;</w:t>
      </w:r>
      <w:r w:rsidRPr="00A550B3">
        <w:t xml:space="preserve"> or</w:t>
      </w:r>
    </w:p>
    <w:p w14:paraId="1C8E2553" w14:textId="77777777" w:rsidR="00F67E9E" w:rsidRDefault="00F67E9E" w:rsidP="00E1349E">
      <w:pPr>
        <w:pStyle w:val="Numbered111a"/>
        <w:keepNext/>
        <w:numPr>
          <w:ilvl w:val="3"/>
          <w:numId w:val="174"/>
        </w:numPr>
      </w:pPr>
      <w:r>
        <w:t>both:</w:t>
      </w:r>
    </w:p>
    <w:p w14:paraId="143AA8C9" w14:textId="77777777" w:rsidR="00F67E9E" w:rsidRDefault="00F67E9E" w:rsidP="00E1349E">
      <w:pPr>
        <w:pStyle w:val="Numbered111ai"/>
        <w:numPr>
          <w:ilvl w:val="4"/>
          <w:numId w:val="174"/>
        </w:numPr>
      </w:pPr>
      <w:r>
        <w:t xml:space="preserve">submitted </w:t>
      </w:r>
      <w:r w:rsidRPr="00A550B3">
        <w:t>to the Technical Board for review</w:t>
      </w:r>
      <w:r>
        <w:t>; and</w:t>
      </w:r>
    </w:p>
    <w:p w14:paraId="2969F360" w14:textId="77777777" w:rsidR="00F67E9E" w:rsidRDefault="00F67E9E" w:rsidP="00E1349E">
      <w:pPr>
        <w:pStyle w:val="Numbered111ai"/>
        <w:numPr>
          <w:ilvl w:val="4"/>
          <w:numId w:val="174"/>
        </w:numPr>
      </w:pPr>
      <w:r>
        <w:t xml:space="preserve">approved </w:t>
      </w:r>
      <w:r w:rsidRPr="00A550B3">
        <w:t>by the Authority</w:t>
      </w:r>
      <w:r>
        <w:t>; and</w:t>
      </w:r>
    </w:p>
    <w:p w14:paraId="60AA60DF" w14:textId="77777777" w:rsidR="00F67E9E" w:rsidRDefault="00F67E9E" w:rsidP="00E1349E">
      <w:pPr>
        <w:pStyle w:val="Numbered111"/>
        <w:keepNext/>
        <w:numPr>
          <w:ilvl w:val="2"/>
          <w:numId w:val="174"/>
        </w:numPr>
      </w:pPr>
      <w:r>
        <w:t>all the following conditions are met:</w:t>
      </w:r>
    </w:p>
    <w:p w14:paraId="0353314B" w14:textId="77777777" w:rsidR="00F67E9E" w:rsidRDefault="00F67E9E" w:rsidP="00E1349E">
      <w:pPr>
        <w:pStyle w:val="Numbered111a"/>
        <w:numPr>
          <w:ilvl w:val="3"/>
          <w:numId w:val="174"/>
        </w:numPr>
      </w:pPr>
      <w:r>
        <w:t xml:space="preserve">the Supplier has provided the Authority with the applicable terms for the IPRs (which must be </w:t>
      </w:r>
      <w:r w:rsidRPr="007306D4">
        <w:t>at a price and on terms no less favourable than those standard commercial terms on which such software is usually made commercially available</w:t>
      </w:r>
      <w:r>
        <w:t>); and</w:t>
      </w:r>
    </w:p>
    <w:p w14:paraId="2996BB67" w14:textId="77777777" w:rsidR="00F67E9E" w:rsidRDefault="00F67E9E" w:rsidP="00E1349E">
      <w:pPr>
        <w:pStyle w:val="Numbered111a"/>
        <w:numPr>
          <w:ilvl w:val="3"/>
          <w:numId w:val="174"/>
        </w:numPr>
      </w:pPr>
      <w:r>
        <w:t>the Authority has not (in its absolute discretion) rejected those licence terms within 10 Working Days of the date on which they were provided to the Authority.</w:t>
      </w:r>
    </w:p>
    <w:p w14:paraId="16A017E5" w14:textId="77777777" w:rsidR="00F67E9E" w:rsidRDefault="00F67E9E" w:rsidP="00E1349E">
      <w:pPr>
        <w:pStyle w:val="Numbered1"/>
        <w:numPr>
          <w:ilvl w:val="0"/>
          <w:numId w:val="174"/>
        </w:numPr>
      </w:pPr>
      <w:r>
        <w:t>Licences granted by the Authority</w:t>
      </w:r>
    </w:p>
    <w:p w14:paraId="16C15C86" w14:textId="0527079E" w:rsidR="00F67E9E" w:rsidRDefault="00F67E9E" w:rsidP="00E1349E">
      <w:pPr>
        <w:pStyle w:val="Numbered11"/>
        <w:keepNext/>
        <w:numPr>
          <w:ilvl w:val="1"/>
          <w:numId w:val="174"/>
        </w:numPr>
      </w:pPr>
      <w:bookmarkStart w:id="3067" w:name="_Ref140823882"/>
      <w:r>
        <w:t>Subject to Paragraph </w:t>
      </w:r>
      <w:r>
        <w:fldChar w:fldCharType="begin"/>
      </w:r>
      <w:r>
        <w:instrText xml:space="preserve"> REF _Ref140098796 \w \h  \* MERGEFORMAT </w:instrText>
      </w:r>
      <w:r>
        <w:fldChar w:fldCharType="separate"/>
      </w:r>
      <w:r w:rsidR="007A1473">
        <w:t>6</w:t>
      </w:r>
      <w:r>
        <w:fldChar w:fldCharType="end"/>
      </w:r>
      <w:r>
        <w:t>, the Authority grants the Supplier a licence to the</w:t>
      </w:r>
      <w:bookmarkEnd w:id="3067"/>
      <w:r>
        <w:t xml:space="preserve"> </w:t>
      </w:r>
    </w:p>
    <w:p w14:paraId="13073A3A" w14:textId="77777777" w:rsidR="00F67E9E" w:rsidRDefault="00F67E9E" w:rsidP="00E1349E">
      <w:pPr>
        <w:pStyle w:val="Numbered111"/>
        <w:numPr>
          <w:ilvl w:val="2"/>
          <w:numId w:val="174"/>
        </w:numPr>
      </w:pPr>
      <w:r>
        <w:t>the Project-Specific IPR;</w:t>
      </w:r>
    </w:p>
    <w:p w14:paraId="175189BB" w14:textId="77777777" w:rsidR="00F67E9E" w:rsidRDefault="00F67E9E" w:rsidP="00E1349E">
      <w:pPr>
        <w:pStyle w:val="Numbered111"/>
        <w:numPr>
          <w:ilvl w:val="2"/>
          <w:numId w:val="174"/>
        </w:numPr>
      </w:pPr>
      <w:r>
        <w:t>the Specially Written Software;</w:t>
      </w:r>
    </w:p>
    <w:p w14:paraId="2E1D896D" w14:textId="77777777" w:rsidR="00F67E9E" w:rsidRDefault="00F67E9E" w:rsidP="00E1349E">
      <w:pPr>
        <w:pStyle w:val="Numbered111"/>
        <w:numPr>
          <w:ilvl w:val="2"/>
          <w:numId w:val="174"/>
        </w:numPr>
      </w:pPr>
      <w:r>
        <w:t>the Authority Software;</w:t>
      </w:r>
    </w:p>
    <w:p w14:paraId="3E2DE0CE" w14:textId="77777777" w:rsidR="00F67E9E" w:rsidRDefault="00F67E9E" w:rsidP="00E1349E">
      <w:pPr>
        <w:pStyle w:val="Numbered111"/>
        <w:numPr>
          <w:ilvl w:val="2"/>
          <w:numId w:val="174"/>
        </w:numPr>
      </w:pPr>
      <w:r>
        <w:t>the Authority Data; and</w:t>
      </w:r>
    </w:p>
    <w:p w14:paraId="0116203F" w14:textId="77777777" w:rsidR="00F67E9E" w:rsidRDefault="00F67E9E" w:rsidP="00E1349E">
      <w:pPr>
        <w:pStyle w:val="Numbered111"/>
        <w:numPr>
          <w:ilvl w:val="2"/>
          <w:numId w:val="174"/>
        </w:numPr>
      </w:pPr>
      <w:r>
        <w:t>the Authority Background IPRs;</w:t>
      </w:r>
    </w:p>
    <w:p w14:paraId="48DFC975" w14:textId="77777777" w:rsidR="00F67E9E" w:rsidRDefault="00F67E9E" w:rsidP="00F67E9E">
      <w:pPr>
        <w:pStyle w:val="StdBodyText1"/>
        <w:keepNext/>
      </w:pPr>
      <w:r>
        <w:t>that:</w:t>
      </w:r>
    </w:p>
    <w:p w14:paraId="4C406CAA" w14:textId="77777777" w:rsidR="00F67E9E" w:rsidRDefault="00F67E9E" w:rsidP="00E1349E">
      <w:pPr>
        <w:pStyle w:val="Numbered111"/>
        <w:numPr>
          <w:ilvl w:val="2"/>
          <w:numId w:val="174"/>
        </w:numPr>
      </w:pPr>
      <w:r>
        <w:t>is non-exclusive, royalty-free and non-transferable;</w:t>
      </w:r>
    </w:p>
    <w:p w14:paraId="5E958EEC" w14:textId="40E23555" w:rsidR="00F67E9E" w:rsidRDefault="00F67E9E" w:rsidP="00E1349E">
      <w:pPr>
        <w:pStyle w:val="Numbered111"/>
        <w:keepNext/>
        <w:numPr>
          <w:ilvl w:val="2"/>
          <w:numId w:val="174"/>
        </w:numPr>
      </w:pPr>
      <w:bookmarkStart w:id="3068" w:name="_Ref140823895"/>
      <w:r>
        <w:t>is sub-licensable to any Sub-contractor where</w:t>
      </w:r>
      <w:bookmarkEnd w:id="3068"/>
      <w:r w:rsidR="00694991">
        <w:t>;</w:t>
      </w:r>
    </w:p>
    <w:p w14:paraId="2A98D36B" w14:textId="32CFACD2" w:rsidR="00F67E9E" w:rsidRDefault="00F67E9E" w:rsidP="00E1349E">
      <w:pPr>
        <w:pStyle w:val="Numbered111a"/>
        <w:numPr>
          <w:ilvl w:val="3"/>
          <w:numId w:val="174"/>
        </w:numPr>
      </w:pPr>
      <w:r>
        <w:t>the Sub-contractor enters into a confidentiality undertaking</w:t>
      </w:r>
      <w:r w:rsidRPr="00E36B93">
        <w:t xml:space="preserve"> with the Supplier on the same terms as set out </w:t>
      </w:r>
      <w:r>
        <w:t xml:space="preserve">in </w:t>
      </w:r>
      <w:r>
        <w:fldChar w:fldCharType="begin"/>
      </w:r>
      <w:r>
        <w:instrText xml:space="preserve"> REF Annex1toschedule12 \h </w:instrText>
      </w:r>
      <w:r>
        <w:fldChar w:fldCharType="separate"/>
      </w:r>
      <w:r w:rsidR="007A1473" w:rsidRPr="00477926">
        <w:t xml:space="preserve">Annex </w:t>
      </w:r>
      <w:r w:rsidR="007A1473">
        <w:t>1</w:t>
      </w:r>
      <w:r>
        <w:fldChar w:fldCharType="end"/>
      </w:r>
      <w:r>
        <w:t xml:space="preserve"> to </w:t>
      </w:r>
      <w:r>
        <w:fldChar w:fldCharType="begin"/>
      </w:r>
      <w:r>
        <w:instrText xml:space="preserve"> REF Schedule12 \h </w:instrText>
      </w:r>
      <w:r>
        <w:fldChar w:fldCharType="separate"/>
      </w:r>
      <w:r w:rsidR="007A1473" w:rsidRPr="005D0525">
        <w:t>Schedule</w:t>
      </w:r>
      <w:r w:rsidR="007A1473">
        <w:t> </w:t>
      </w:r>
      <w:r w:rsidR="007A1473" w:rsidRPr="005D0525">
        <w:t>12</w:t>
      </w:r>
      <w:r>
        <w:fldChar w:fldCharType="end"/>
      </w:r>
      <w:r w:rsidRPr="00A550B3">
        <w:t xml:space="preserve"> (</w:t>
      </w:r>
      <w:r w:rsidRPr="00212E6C">
        <w:rPr>
          <w:i/>
          <w:iCs/>
        </w:rPr>
        <w:fldChar w:fldCharType="begin"/>
      </w:r>
      <w:r w:rsidRPr="00212E6C">
        <w:rPr>
          <w:i/>
          <w:iCs/>
        </w:rPr>
        <w:instrText xml:space="preserve"> REF Schedule12Heading \h  \* MERGEFORMAT </w:instrText>
      </w:r>
      <w:r w:rsidRPr="00212E6C">
        <w:rPr>
          <w:i/>
          <w:iCs/>
        </w:rPr>
      </w:r>
      <w:r w:rsidRPr="00212E6C">
        <w:rPr>
          <w:i/>
          <w:iCs/>
        </w:rPr>
        <w:fldChar w:fldCharType="separate"/>
      </w:r>
      <w:r w:rsidR="007A1473" w:rsidRPr="007A1473">
        <w:rPr>
          <w:i/>
          <w:iCs/>
        </w:rPr>
        <w:t>Software</w:t>
      </w:r>
      <w:r w:rsidRPr="00212E6C">
        <w:rPr>
          <w:i/>
          <w:iCs/>
        </w:rPr>
        <w:fldChar w:fldCharType="end"/>
      </w:r>
      <w:r w:rsidRPr="00A550B3">
        <w:t>)</w:t>
      </w:r>
      <w:r>
        <w:t>; and</w:t>
      </w:r>
    </w:p>
    <w:p w14:paraId="43F387FD" w14:textId="77777777" w:rsidR="00F67E9E" w:rsidRDefault="00F67E9E" w:rsidP="00E1349E">
      <w:pPr>
        <w:pStyle w:val="Numbered111a"/>
        <w:numPr>
          <w:ilvl w:val="3"/>
          <w:numId w:val="174"/>
        </w:numPr>
      </w:pPr>
      <w:r>
        <w:t>the sub-licence does not purport to provide the sub-licensee with any wider rights than those granted to the Supplier under this Paragraph;</w:t>
      </w:r>
    </w:p>
    <w:p w14:paraId="70B4BFC3" w14:textId="77777777" w:rsidR="00F67E9E" w:rsidRDefault="00F67E9E" w:rsidP="00E1349E">
      <w:pPr>
        <w:pStyle w:val="Numbered111"/>
        <w:keepNext/>
        <w:numPr>
          <w:ilvl w:val="2"/>
          <w:numId w:val="174"/>
        </w:numPr>
      </w:pPr>
      <w:r>
        <w:t>allows the Supplier and any sub-licensee to use, copy and adapt any licensed IPRs for the purpose of:</w:t>
      </w:r>
    </w:p>
    <w:p w14:paraId="612D8749" w14:textId="77777777" w:rsidR="00F67E9E" w:rsidRDefault="00F67E9E" w:rsidP="00E1349E">
      <w:pPr>
        <w:pStyle w:val="Numbered111a"/>
        <w:numPr>
          <w:ilvl w:val="3"/>
          <w:numId w:val="174"/>
        </w:numPr>
      </w:pPr>
      <w:r>
        <w:t>fulfilling its obligations under this Contract; and</w:t>
      </w:r>
    </w:p>
    <w:p w14:paraId="2AABE7A5" w14:textId="5407924D" w:rsidR="00F67E9E" w:rsidRDefault="00081B63" w:rsidP="00E1349E">
      <w:pPr>
        <w:pStyle w:val="Numbered111a"/>
        <w:numPr>
          <w:ilvl w:val="3"/>
          <w:numId w:val="174"/>
        </w:numPr>
      </w:pPr>
      <w:r>
        <w:t xml:space="preserve">solely if, and to the extent, permitted by the Authority in accordance with Paragraph 6, </w:t>
      </w:r>
      <w:r w:rsidR="00F67E9E">
        <w:t xml:space="preserve">commercially exploiting the Project Specific IPR and </w:t>
      </w:r>
      <w:r w:rsidR="00F67E9E">
        <w:lastRenderedPageBreak/>
        <w:t>Specially Written Software; and</w:t>
      </w:r>
    </w:p>
    <w:p w14:paraId="1FE25C8A" w14:textId="77777777" w:rsidR="00F67E9E" w:rsidRDefault="00F67E9E" w:rsidP="00E1349E">
      <w:pPr>
        <w:pStyle w:val="Numbered111"/>
        <w:keepNext/>
        <w:numPr>
          <w:ilvl w:val="2"/>
          <w:numId w:val="174"/>
        </w:numPr>
      </w:pPr>
      <w:r>
        <w:t>continues in effect following the expiry or earlier termination of this Contract.</w:t>
      </w:r>
    </w:p>
    <w:p w14:paraId="4A04EB6E" w14:textId="3994C117" w:rsidR="00F67E9E" w:rsidRDefault="00F67E9E" w:rsidP="00E1349E">
      <w:pPr>
        <w:pStyle w:val="Numbered11"/>
        <w:keepNext/>
        <w:numPr>
          <w:ilvl w:val="1"/>
          <w:numId w:val="174"/>
        </w:numPr>
      </w:pPr>
      <w:r>
        <w:t>When the licence granted under Paragraph </w:t>
      </w:r>
      <w:r w:rsidR="00081B63">
        <w:t>5.1</w:t>
      </w:r>
      <w:r>
        <w:t>:</w:t>
      </w:r>
    </w:p>
    <w:p w14:paraId="39C8B7DF" w14:textId="5E6EC4DE" w:rsidR="00F67E9E" w:rsidRDefault="00F67E9E" w:rsidP="00E1349E">
      <w:pPr>
        <w:pStyle w:val="Numbered111"/>
        <w:numPr>
          <w:ilvl w:val="2"/>
          <w:numId w:val="174"/>
        </w:numPr>
      </w:pPr>
      <w:r>
        <w:t>terminates in accordance with Paragraph </w:t>
      </w:r>
      <w:r w:rsidR="00081B63">
        <w:t>6</w:t>
      </w:r>
      <w:r>
        <w:t>; or</w:t>
      </w:r>
    </w:p>
    <w:p w14:paraId="6442C8D7" w14:textId="77777777" w:rsidR="00F67E9E" w:rsidRDefault="00F67E9E" w:rsidP="00E1349E">
      <w:pPr>
        <w:pStyle w:val="Numbered111"/>
        <w:numPr>
          <w:ilvl w:val="2"/>
          <w:numId w:val="174"/>
        </w:numPr>
      </w:pPr>
      <w:r>
        <w:t>no longer has effect at the end of the Term or the expiry of any Termination Assistance Period (whichever is the later),</w:t>
      </w:r>
    </w:p>
    <w:p w14:paraId="711FD058" w14:textId="41BC2435" w:rsidR="00F67E9E" w:rsidRDefault="00F67E9E" w:rsidP="00F67E9E">
      <w:pPr>
        <w:pStyle w:val="StdBodyText1"/>
        <w:keepNext/>
      </w:pPr>
      <w:r>
        <w:t>the Supplier must, and must ensure that each Sub-contractor granted a sub-licence under Paragraph </w:t>
      </w:r>
      <w:r w:rsidR="00081B63">
        <w:t>5.1.7</w:t>
      </w:r>
      <w:r>
        <w:t>:</w:t>
      </w:r>
    </w:p>
    <w:p w14:paraId="6C88C3EA" w14:textId="77777777" w:rsidR="00F67E9E" w:rsidRDefault="00F67E9E" w:rsidP="00E1349E">
      <w:pPr>
        <w:pStyle w:val="Numbered111"/>
        <w:numPr>
          <w:ilvl w:val="2"/>
          <w:numId w:val="174"/>
        </w:numPr>
      </w:pPr>
      <w:r>
        <w:t>immediately cease all use of the licensed IPR;</w:t>
      </w:r>
    </w:p>
    <w:p w14:paraId="55D0E344" w14:textId="77777777" w:rsidR="00F67E9E" w:rsidRDefault="00F67E9E" w:rsidP="00E1349E">
      <w:pPr>
        <w:pStyle w:val="Numbered111"/>
        <w:keepNext/>
        <w:numPr>
          <w:ilvl w:val="2"/>
          <w:numId w:val="174"/>
        </w:numPr>
      </w:pPr>
      <w:r>
        <w:t>either:</w:t>
      </w:r>
    </w:p>
    <w:p w14:paraId="49AB79E6" w14:textId="77777777" w:rsidR="00F67E9E" w:rsidRDefault="00F67E9E" w:rsidP="00E1349E">
      <w:pPr>
        <w:pStyle w:val="Numbered111a"/>
        <w:numPr>
          <w:ilvl w:val="3"/>
          <w:numId w:val="174"/>
        </w:numPr>
      </w:pPr>
      <w:r>
        <w:t xml:space="preserve">at the discretion of the Authority, return or destroy documents and other tangible materials that contain any of the licensed IPR; or </w:t>
      </w:r>
    </w:p>
    <w:p w14:paraId="5270505C" w14:textId="77777777" w:rsidR="00F67E9E" w:rsidRDefault="00F67E9E" w:rsidP="00E1349E">
      <w:pPr>
        <w:pStyle w:val="Numbered111a"/>
        <w:numPr>
          <w:ilvl w:val="3"/>
          <w:numId w:val="174"/>
        </w:numPr>
      </w:pPr>
      <w:r>
        <w:t>if the Authority has not made an election within six months of the termination of the licence, destroy the documents and other tangible materials that contain any of the licensed IPR; and</w:t>
      </w:r>
    </w:p>
    <w:p w14:paraId="39C7B12A" w14:textId="77777777" w:rsidR="00F67E9E" w:rsidRDefault="00F67E9E" w:rsidP="00E1349E">
      <w:pPr>
        <w:pStyle w:val="Numbered111"/>
        <w:numPr>
          <w:ilvl w:val="2"/>
          <w:numId w:val="174"/>
        </w:numPr>
      </w:pPr>
      <w:r>
        <w:t>ensure, so far as reasonably practicable, that any licensed IPR held in electronic, digital or other machine-readable form ceases to be readily accessible from any computer, word processor, voicemail system or any other device of the Supplier.</w:t>
      </w:r>
    </w:p>
    <w:p w14:paraId="3CE466A2" w14:textId="77777777" w:rsidR="00F67E9E" w:rsidRDefault="00F67E9E" w:rsidP="00E1349E">
      <w:pPr>
        <w:pStyle w:val="Numbered1"/>
        <w:numPr>
          <w:ilvl w:val="0"/>
          <w:numId w:val="174"/>
        </w:numPr>
      </w:pPr>
      <w:bookmarkStart w:id="3069" w:name="_Ref140098796"/>
      <w:bookmarkStart w:id="3070" w:name="_Ref140824054"/>
      <w:r>
        <w:t>Authority approval for Supplier to exploit IPR</w:t>
      </w:r>
      <w:bookmarkEnd w:id="3069"/>
      <w:r>
        <w:t xml:space="preserve"> created under Contract</w:t>
      </w:r>
      <w:bookmarkEnd w:id="3070"/>
    </w:p>
    <w:p w14:paraId="21422E8B" w14:textId="77777777" w:rsidR="00F67E9E" w:rsidRDefault="00F67E9E" w:rsidP="00E1349E">
      <w:pPr>
        <w:pStyle w:val="Numbered11"/>
        <w:keepNext/>
        <w:numPr>
          <w:ilvl w:val="1"/>
          <w:numId w:val="174"/>
        </w:numPr>
      </w:pPr>
      <w:r>
        <w:t>Before using, copying or adapting any:</w:t>
      </w:r>
    </w:p>
    <w:p w14:paraId="03004E3C" w14:textId="0210D7F7" w:rsidR="00F67E9E" w:rsidRDefault="00F67E9E" w:rsidP="00E1349E">
      <w:pPr>
        <w:pStyle w:val="Numbered111"/>
        <w:numPr>
          <w:ilvl w:val="2"/>
          <w:numId w:val="174"/>
        </w:numPr>
      </w:pPr>
      <w:r>
        <w:t>Project-Specific IPR;</w:t>
      </w:r>
      <w:r w:rsidR="00081B63">
        <w:t xml:space="preserve"> and/or</w:t>
      </w:r>
    </w:p>
    <w:p w14:paraId="3DC60F11" w14:textId="77777777" w:rsidR="00F67E9E" w:rsidRDefault="00F67E9E" w:rsidP="00E1349E">
      <w:pPr>
        <w:pStyle w:val="Numbered111"/>
        <w:numPr>
          <w:ilvl w:val="2"/>
          <w:numId w:val="174"/>
        </w:numPr>
      </w:pPr>
      <w:r>
        <w:t>Specially Written Software;</w:t>
      </w:r>
    </w:p>
    <w:p w14:paraId="4775E3A8" w14:textId="77777777" w:rsidR="00F67E9E" w:rsidRDefault="00F67E9E" w:rsidP="00F67E9E">
      <w:pPr>
        <w:pStyle w:val="StdBodyText1"/>
      </w:pPr>
      <w:r>
        <w:t>for any purpose other than fulfilling its obligations under this Contract, the Supplier must seek the approval of the Authority in accordance with the provisions of this Paragraph.</w:t>
      </w:r>
    </w:p>
    <w:p w14:paraId="10AB7555" w14:textId="77777777" w:rsidR="00F67E9E" w:rsidRDefault="00F67E9E" w:rsidP="00E1349E">
      <w:pPr>
        <w:pStyle w:val="Numbered11"/>
        <w:numPr>
          <w:ilvl w:val="1"/>
          <w:numId w:val="174"/>
        </w:numPr>
      </w:pPr>
      <w:r>
        <w:t>The Authority may terminate any licence it grants under this Paragraph by notice in writing with immediate effect where the Supplier breaches any condition in that licence.</w:t>
      </w:r>
    </w:p>
    <w:p w14:paraId="316DDC6E" w14:textId="77777777" w:rsidR="00F67E9E" w:rsidRDefault="00F67E9E" w:rsidP="00E1349E">
      <w:pPr>
        <w:pStyle w:val="Numbered11"/>
        <w:keepNext/>
        <w:numPr>
          <w:ilvl w:val="1"/>
          <w:numId w:val="174"/>
        </w:numPr>
      </w:pPr>
      <w:bookmarkStart w:id="3071" w:name="_Ref140819692"/>
      <w:r>
        <w:t>The Supplier must provide a proposal setting out:</w:t>
      </w:r>
      <w:bookmarkEnd w:id="3071"/>
    </w:p>
    <w:p w14:paraId="5EAE31D7" w14:textId="77777777" w:rsidR="00F67E9E" w:rsidRDefault="00F67E9E" w:rsidP="00E1349E">
      <w:pPr>
        <w:pStyle w:val="Numbered111"/>
        <w:numPr>
          <w:ilvl w:val="2"/>
          <w:numId w:val="174"/>
        </w:numPr>
      </w:pPr>
      <w:r>
        <w:t>the purpose for which it proposes to use the IPR;</w:t>
      </w:r>
    </w:p>
    <w:p w14:paraId="5BBAE2B1" w14:textId="77777777" w:rsidR="00F67E9E" w:rsidRDefault="00F67E9E" w:rsidP="00E1349E">
      <w:pPr>
        <w:pStyle w:val="Numbered111"/>
        <w:numPr>
          <w:ilvl w:val="2"/>
          <w:numId w:val="174"/>
        </w:numPr>
      </w:pPr>
      <w:r>
        <w:t>the activities the Supplier proposes to undertake with or in respect of the IPR;</w:t>
      </w:r>
    </w:p>
    <w:p w14:paraId="2B97751F" w14:textId="77777777" w:rsidR="00F67E9E" w:rsidRDefault="00F67E9E" w:rsidP="00E1349E">
      <w:pPr>
        <w:pStyle w:val="Numbered111"/>
        <w:numPr>
          <w:ilvl w:val="2"/>
          <w:numId w:val="174"/>
        </w:numPr>
      </w:pPr>
      <w:r>
        <w:t>such further information as the Authority may reasonably require to properly consider the proposal.</w:t>
      </w:r>
    </w:p>
    <w:p w14:paraId="6C74F16A" w14:textId="77777777" w:rsidR="00F67E9E" w:rsidRDefault="00F67E9E" w:rsidP="00E1349E">
      <w:pPr>
        <w:pStyle w:val="Numbered11"/>
        <w:keepNext/>
        <w:numPr>
          <w:ilvl w:val="1"/>
          <w:numId w:val="174"/>
        </w:numPr>
      </w:pPr>
      <w:bookmarkStart w:id="3072" w:name="_Ref140819694"/>
      <w:r>
        <w:t xml:space="preserve">The Authority may only refuse the Supplier’s proposal where it considers that if the </w:t>
      </w:r>
      <w:r>
        <w:lastRenderedPageBreak/>
        <w:t>Supplier were to implement the proposal it would harm:</w:t>
      </w:r>
      <w:bookmarkEnd w:id="3072"/>
    </w:p>
    <w:p w14:paraId="5D5E5077" w14:textId="77777777" w:rsidR="00F67E9E" w:rsidRDefault="00F67E9E" w:rsidP="00E1349E">
      <w:pPr>
        <w:pStyle w:val="Numbered111"/>
        <w:numPr>
          <w:ilvl w:val="2"/>
          <w:numId w:val="174"/>
        </w:numPr>
      </w:pPr>
      <w:r>
        <w:t>the Authority’s reputation; or</w:t>
      </w:r>
    </w:p>
    <w:p w14:paraId="0641C0DF" w14:textId="77777777" w:rsidR="00F67E9E" w:rsidRDefault="00F67E9E" w:rsidP="00E1349E">
      <w:pPr>
        <w:pStyle w:val="Numbered111"/>
        <w:numPr>
          <w:ilvl w:val="2"/>
          <w:numId w:val="174"/>
        </w:numPr>
      </w:pPr>
      <w:r>
        <w:t>the Authority’s interests.</w:t>
      </w:r>
    </w:p>
    <w:p w14:paraId="2390E41C" w14:textId="688BA717" w:rsidR="00F67E9E" w:rsidRDefault="006159E1" w:rsidP="00E1349E">
      <w:pPr>
        <w:pStyle w:val="Numbered11"/>
        <w:keepNext/>
        <w:numPr>
          <w:ilvl w:val="1"/>
          <w:numId w:val="174"/>
        </w:numPr>
      </w:pPr>
      <w:bookmarkStart w:id="3073" w:name="_Ref140819698"/>
      <w:r>
        <w:t xml:space="preserve">The Authority will use reasonable endeavours to approve or decline a proposal under this Paragraph 6 within </w:t>
      </w:r>
      <w:r w:rsidR="00A46E4C">
        <w:t>20 Working Days of the later of</w:t>
      </w:r>
      <w:r w:rsidR="00F67E9E">
        <w:t>:</w:t>
      </w:r>
      <w:bookmarkEnd w:id="3073"/>
    </w:p>
    <w:p w14:paraId="2A5D5680" w14:textId="77777777" w:rsidR="00F67E9E" w:rsidRDefault="00F67E9E" w:rsidP="00E1349E">
      <w:pPr>
        <w:pStyle w:val="Numbered111"/>
        <w:numPr>
          <w:ilvl w:val="2"/>
          <w:numId w:val="174"/>
        </w:numPr>
      </w:pPr>
      <w:r>
        <w:t>the date the proposal was first provided to the Authority; or</w:t>
      </w:r>
    </w:p>
    <w:p w14:paraId="59CC3494" w14:textId="2BAE49FF" w:rsidR="00F67E9E" w:rsidRDefault="00F67E9E" w:rsidP="00E1349E">
      <w:pPr>
        <w:pStyle w:val="Numbered111"/>
        <w:numPr>
          <w:ilvl w:val="2"/>
          <w:numId w:val="174"/>
        </w:numPr>
      </w:pPr>
      <w:r>
        <w:t xml:space="preserve">the date on which </w:t>
      </w:r>
      <w:r w:rsidR="00A46E4C">
        <w:t xml:space="preserve">any </w:t>
      </w:r>
      <w:r>
        <w:t xml:space="preserve">further information </w:t>
      </w:r>
      <w:r w:rsidR="00A46E4C">
        <w:t xml:space="preserve">requested by the Authority </w:t>
      </w:r>
      <w:r>
        <w:t>was provided to the Authority,</w:t>
      </w:r>
    </w:p>
    <w:p w14:paraId="0A0A07EE" w14:textId="1CF23047" w:rsidR="00F67E9E" w:rsidRDefault="00A46E4C" w:rsidP="00F67E9E">
      <w:pPr>
        <w:pStyle w:val="StdBodyText1"/>
      </w:pPr>
      <w:r>
        <w:t xml:space="preserve">however any proposal under this Paragraph 6 will not be deemed to be approved </w:t>
      </w:r>
      <w:r w:rsidR="00F67E9E">
        <w:t>for the purposes of this Contract</w:t>
      </w:r>
      <w:r>
        <w:t xml:space="preserve"> unless and until it is expressly approved in writing by an authorised representative of the Authority</w:t>
      </w:r>
      <w:r w:rsidR="00F67E9E">
        <w:t>.</w:t>
      </w:r>
    </w:p>
    <w:p w14:paraId="78327ABB" w14:textId="77777777" w:rsidR="00F67E9E" w:rsidRDefault="00F67E9E" w:rsidP="00E1349E">
      <w:pPr>
        <w:pStyle w:val="Numbered1"/>
        <w:numPr>
          <w:ilvl w:val="0"/>
          <w:numId w:val="174"/>
        </w:numPr>
      </w:pPr>
      <w:r>
        <w:t>Provision of information on Project Specific IPR and Specially Written Software</w:t>
      </w:r>
    </w:p>
    <w:p w14:paraId="439B43AE" w14:textId="77777777" w:rsidR="00F67E9E" w:rsidRDefault="00F67E9E" w:rsidP="00E1349E">
      <w:pPr>
        <w:pStyle w:val="Numbered11"/>
        <w:keepNext/>
        <w:numPr>
          <w:ilvl w:val="1"/>
          <w:numId w:val="174"/>
        </w:numPr>
      </w:pPr>
      <w:r>
        <w:t>The Authority may, at any time, require the Supplier to provide information on:</w:t>
      </w:r>
    </w:p>
    <w:p w14:paraId="36804BD8" w14:textId="77777777" w:rsidR="00F67E9E" w:rsidRDefault="00F67E9E" w:rsidP="00E1349E">
      <w:pPr>
        <w:pStyle w:val="Numbered111"/>
        <w:numPr>
          <w:ilvl w:val="2"/>
          <w:numId w:val="174"/>
        </w:numPr>
      </w:pPr>
      <w:r>
        <w:t>the purposes, other than for the purposes of this Contract, for which the Supplier uses Project Specific IPR and Specially Written Software; and</w:t>
      </w:r>
    </w:p>
    <w:p w14:paraId="72EA6AF1" w14:textId="77777777" w:rsidR="00F67E9E" w:rsidRDefault="00F67E9E" w:rsidP="00E1349E">
      <w:pPr>
        <w:pStyle w:val="Numbered111"/>
        <w:numPr>
          <w:ilvl w:val="2"/>
          <w:numId w:val="174"/>
        </w:numPr>
      </w:pPr>
      <w:r>
        <w:t>the activities the Supplier undertakes, other than under this Contract, with or in respect of the Project Specific IPR and Specially Written Software.</w:t>
      </w:r>
    </w:p>
    <w:p w14:paraId="261598B6" w14:textId="77777777" w:rsidR="00F67E9E" w:rsidRDefault="00F67E9E" w:rsidP="00E1349E">
      <w:pPr>
        <w:pStyle w:val="Numbered11"/>
        <w:keepNext/>
        <w:numPr>
          <w:ilvl w:val="1"/>
          <w:numId w:val="174"/>
        </w:numPr>
      </w:pPr>
      <w:r>
        <w:t>The Supplier must provide the information required by the Authority:</w:t>
      </w:r>
    </w:p>
    <w:p w14:paraId="25904D05" w14:textId="77777777" w:rsidR="00F67E9E" w:rsidRDefault="00F67E9E" w:rsidP="00E1349E">
      <w:pPr>
        <w:pStyle w:val="Numbered111"/>
        <w:numPr>
          <w:ilvl w:val="2"/>
          <w:numId w:val="174"/>
        </w:numPr>
      </w:pPr>
      <w:r>
        <w:t>within 20 Working Days of the date of the requirement; and</w:t>
      </w:r>
    </w:p>
    <w:p w14:paraId="2BE7768F" w14:textId="77777777" w:rsidR="00F67E9E" w:rsidRDefault="00F67E9E" w:rsidP="00E1349E">
      <w:pPr>
        <w:pStyle w:val="Numbered111"/>
        <w:numPr>
          <w:ilvl w:val="2"/>
          <w:numId w:val="174"/>
        </w:numPr>
      </w:pPr>
      <w:r>
        <w:t>in the form and with the content specified by the Authority.</w:t>
      </w:r>
    </w:p>
    <w:p w14:paraId="69BC1933" w14:textId="77777777" w:rsidR="00F67E9E" w:rsidRDefault="00F67E9E" w:rsidP="00E1349E">
      <w:pPr>
        <w:pStyle w:val="Numbered1"/>
        <w:numPr>
          <w:ilvl w:val="0"/>
          <w:numId w:val="174"/>
        </w:numPr>
      </w:pPr>
      <w:bookmarkStart w:id="3074" w:name="_Ref140100250"/>
      <w:r w:rsidRPr="007E15D7">
        <w:t xml:space="preserve">Licences </w:t>
      </w:r>
      <w:r>
        <w:t>in respect of</w:t>
      </w:r>
      <w:r w:rsidRPr="007E15D7">
        <w:t xml:space="preserve"> </w:t>
      </w:r>
      <w:r w:rsidRPr="00A550B3">
        <w:t>Supplier Non-COTS Software</w:t>
      </w:r>
      <w:r>
        <w:t xml:space="preserve"> and </w:t>
      </w:r>
      <w:r w:rsidRPr="00A550B3">
        <w:t>Supplier Non-COTS Background IPR</w:t>
      </w:r>
      <w:bookmarkEnd w:id="3074"/>
    </w:p>
    <w:p w14:paraId="701F9DC7" w14:textId="1864A50B" w:rsidR="00F67E9E" w:rsidRDefault="00F67E9E" w:rsidP="00E1349E">
      <w:pPr>
        <w:pStyle w:val="Numbered11"/>
        <w:numPr>
          <w:ilvl w:val="1"/>
          <w:numId w:val="174"/>
        </w:numPr>
      </w:pPr>
      <w:bookmarkStart w:id="3075" w:name="_Ref140100837"/>
      <w:r>
        <w:t xml:space="preserve">Subject to the Authority approving the use of </w:t>
      </w:r>
      <w:r w:rsidRPr="00A550B3">
        <w:t>Supplier Non-COTS Software</w:t>
      </w:r>
      <w:r>
        <w:t xml:space="preserve"> and </w:t>
      </w:r>
      <w:r w:rsidRPr="00A550B3">
        <w:t>Supplier Non-COTS Background IPR</w:t>
      </w:r>
      <w:r>
        <w:t xml:space="preserve"> under Paragraph </w:t>
      </w:r>
      <w:r>
        <w:fldChar w:fldCharType="begin"/>
      </w:r>
      <w:r>
        <w:instrText xml:space="preserve"> REF _Ref140100775 \w \h  \* MERGEFORMAT </w:instrText>
      </w:r>
      <w:r>
        <w:fldChar w:fldCharType="separate"/>
      </w:r>
      <w:r w:rsidR="007A1473">
        <w:t>3</w:t>
      </w:r>
      <w:r>
        <w:fldChar w:fldCharType="end"/>
      </w:r>
      <w:r>
        <w:t>, the Supplier grants the Authority a Supplier Existing IPR Licence on the terms set out in Paragraph </w:t>
      </w:r>
      <w:r w:rsidR="00081B63">
        <w:t>8.3</w:t>
      </w:r>
      <w:r>
        <w:t xml:space="preserve"> in respect of each Deliverable where:</w:t>
      </w:r>
      <w:bookmarkEnd w:id="3075"/>
    </w:p>
    <w:p w14:paraId="07F4DCD9" w14:textId="77777777" w:rsidR="00F67E9E" w:rsidRDefault="00F67E9E" w:rsidP="00E1349E">
      <w:pPr>
        <w:pStyle w:val="Numbered111"/>
        <w:numPr>
          <w:ilvl w:val="2"/>
          <w:numId w:val="174"/>
        </w:numPr>
      </w:pPr>
      <w:r>
        <w:t xml:space="preserve">the </w:t>
      </w:r>
      <w:r w:rsidRPr="00A550B3">
        <w:t>Supplier Non-COTS Software</w:t>
      </w:r>
      <w:r>
        <w:t xml:space="preserve"> and </w:t>
      </w:r>
      <w:r w:rsidRPr="00A550B3">
        <w:t>Supplier Non-COTS Background IPR</w:t>
      </w:r>
      <w:r>
        <w:t xml:space="preserve"> is embedded in the Deliverable;</w:t>
      </w:r>
    </w:p>
    <w:p w14:paraId="57C9268E" w14:textId="4F087FC9" w:rsidR="00F67E9E" w:rsidRDefault="00F67E9E" w:rsidP="00E1349E">
      <w:pPr>
        <w:pStyle w:val="Numbered111"/>
        <w:numPr>
          <w:ilvl w:val="2"/>
          <w:numId w:val="174"/>
        </w:numPr>
      </w:pPr>
      <w:r>
        <w:t xml:space="preserve">the </w:t>
      </w:r>
      <w:r w:rsidRPr="00A550B3">
        <w:t>Supplier Non-COTS Software</w:t>
      </w:r>
      <w:r>
        <w:t xml:space="preserve"> and </w:t>
      </w:r>
      <w:r w:rsidRPr="00A550B3">
        <w:t>Supplier Non-COTS Background IPR</w:t>
      </w:r>
      <w:r>
        <w:t xml:space="preserve"> is necessary for the Authority to use the Deliverable for any of the purposes set out in Paragraph </w:t>
      </w:r>
      <w:r w:rsidR="00081B63">
        <w:t>8.4</w:t>
      </w:r>
      <w:r>
        <w:t>; or</w:t>
      </w:r>
    </w:p>
    <w:p w14:paraId="5AD8F87D" w14:textId="77777777" w:rsidR="00F67E9E" w:rsidRDefault="00F67E9E" w:rsidP="00E1349E">
      <w:pPr>
        <w:pStyle w:val="Numbered111"/>
        <w:numPr>
          <w:ilvl w:val="2"/>
          <w:numId w:val="174"/>
        </w:numPr>
      </w:pPr>
      <w:r>
        <w:t xml:space="preserve">the Deliverable is a customisation or adaptation of </w:t>
      </w:r>
      <w:r w:rsidRPr="00A550B3">
        <w:t>Supplier Non-COTS Software</w:t>
      </w:r>
      <w:r>
        <w:t xml:space="preserve"> and </w:t>
      </w:r>
      <w:r w:rsidRPr="00A550B3">
        <w:t>Supplier Non-COTS Background IPR</w:t>
      </w:r>
      <w:r>
        <w:t>.</w:t>
      </w:r>
    </w:p>
    <w:p w14:paraId="50C1CA9F" w14:textId="06960954" w:rsidR="00F67E9E" w:rsidRDefault="00F67E9E" w:rsidP="00E1349E">
      <w:pPr>
        <w:pStyle w:val="Numbered11"/>
        <w:numPr>
          <w:ilvl w:val="1"/>
          <w:numId w:val="174"/>
        </w:numPr>
      </w:pPr>
      <w:r>
        <w:t xml:space="preserve">The categories of </w:t>
      </w:r>
      <w:r w:rsidRPr="00A550B3">
        <w:t>Supplier Non-COTS Software</w:t>
      </w:r>
      <w:r>
        <w:t xml:space="preserve"> and </w:t>
      </w:r>
      <w:r w:rsidRPr="00A550B3">
        <w:t>Supplier Non-COTS Background IPR</w:t>
      </w:r>
      <w:r>
        <w:t xml:space="preserve"> set out in Paragraph </w:t>
      </w:r>
      <w:r w:rsidR="00081B63">
        <w:t>8.1</w:t>
      </w:r>
      <w:r>
        <w:t xml:space="preserve"> are mutually exclusive.</w:t>
      </w:r>
    </w:p>
    <w:p w14:paraId="35870F3A" w14:textId="77777777" w:rsidR="00F67E9E" w:rsidRDefault="00F67E9E" w:rsidP="00E1349E">
      <w:pPr>
        <w:pStyle w:val="Numbered11"/>
        <w:keepNext/>
        <w:numPr>
          <w:ilvl w:val="1"/>
          <w:numId w:val="174"/>
        </w:numPr>
      </w:pPr>
      <w:bookmarkStart w:id="3076" w:name="_Ref140819998"/>
      <w:r>
        <w:t>The Supplier Existing IPR Licence granted by the Supplier to the Authority is a non-</w:t>
      </w:r>
      <w:r>
        <w:lastRenderedPageBreak/>
        <w:t>exclusive, perpetual, royalty-free, irrevocable, transferable, sub-licensable, worldwide licence that:</w:t>
      </w:r>
      <w:bookmarkEnd w:id="3076"/>
    </w:p>
    <w:p w14:paraId="195FF944" w14:textId="77777777" w:rsidR="00F67E9E" w:rsidRDefault="00F67E9E" w:rsidP="00E1349E">
      <w:pPr>
        <w:pStyle w:val="Numbered111"/>
        <w:keepNext/>
        <w:numPr>
          <w:ilvl w:val="2"/>
          <w:numId w:val="174"/>
        </w:numPr>
      </w:pPr>
      <w:r>
        <w:t xml:space="preserve">in the case of </w:t>
      </w:r>
      <w:r w:rsidRPr="00A550B3">
        <w:t>Supplier Non-COTS Software</w:t>
      </w:r>
      <w:r>
        <w:t xml:space="preserve"> and </w:t>
      </w:r>
      <w:r w:rsidRPr="00A550B3">
        <w:t>Supplier Non-COTS Background IPR</w:t>
      </w:r>
      <w:r>
        <w:t xml:space="preserve"> embedded in a Deliverable:</w:t>
      </w:r>
    </w:p>
    <w:p w14:paraId="11EA6D56" w14:textId="77777777" w:rsidR="00F67E9E" w:rsidRDefault="00F67E9E" w:rsidP="00E1349E">
      <w:pPr>
        <w:pStyle w:val="Numbered111a"/>
        <w:numPr>
          <w:ilvl w:val="3"/>
          <w:numId w:val="174"/>
        </w:numPr>
      </w:pPr>
      <w:bookmarkStart w:id="3077" w:name="_Ref140100920"/>
      <w:r>
        <w:t>has no restriction on the identity of any transferee or sub-licensee;</w:t>
      </w:r>
      <w:bookmarkEnd w:id="3077"/>
    </w:p>
    <w:p w14:paraId="69714898" w14:textId="05A3CDBC" w:rsidR="00F67E9E" w:rsidRDefault="00F67E9E" w:rsidP="00E1349E">
      <w:pPr>
        <w:pStyle w:val="Numbered111a"/>
        <w:numPr>
          <w:ilvl w:val="3"/>
          <w:numId w:val="174"/>
        </w:numPr>
      </w:pPr>
      <w:r>
        <w:t>is sub-licensable for any of the purposes set out in Paragraph </w:t>
      </w:r>
      <w:r w:rsidR="00081B63">
        <w:t>8.4</w:t>
      </w:r>
      <w:r>
        <w:t>;</w:t>
      </w:r>
    </w:p>
    <w:p w14:paraId="39FACC95" w14:textId="43BA1ADE" w:rsidR="00F67E9E" w:rsidRDefault="00F67E9E" w:rsidP="00E1349E">
      <w:pPr>
        <w:pStyle w:val="Numbered111a"/>
        <w:numPr>
          <w:ilvl w:val="3"/>
          <w:numId w:val="174"/>
        </w:numPr>
      </w:pPr>
      <w:r>
        <w:t xml:space="preserve">allows the Authority and any transferee or sub-licensee to use, copy and adapt the </w:t>
      </w:r>
      <w:r w:rsidRPr="00A550B3">
        <w:t>Supplier Non-COTS Software</w:t>
      </w:r>
      <w:r>
        <w:t xml:space="preserve"> and </w:t>
      </w:r>
      <w:r w:rsidRPr="00A550B3">
        <w:t>Supplier Non-COTS Background IPR</w:t>
      </w:r>
      <w:r>
        <w:t xml:space="preserve"> for any of the purposes set out in Paragraph </w:t>
      </w:r>
      <w:r w:rsidR="00081B63">
        <w:t>8.4</w:t>
      </w:r>
      <w:r>
        <w:t>; and</w:t>
      </w:r>
    </w:p>
    <w:p w14:paraId="6587300A" w14:textId="77777777" w:rsidR="00F67E9E" w:rsidRPr="007E15D7" w:rsidRDefault="00F67E9E" w:rsidP="00E1349E">
      <w:pPr>
        <w:pStyle w:val="Numbered111"/>
        <w:keepNext/>
        <w:numPr>
          <w:ilvl w:val="2"/>
          <w:numId w:val="174"/>
        </w:numPr>
      </w:pPr>
      <w:r w:rsidRPr="007E15D7">
        <w:t xml:space="preserve">in the case of </w:t>
      </w:r>
      <w:r w:rsidRPr="00A550B3">
        <w:t>Supplier Non-COTS Software</w:t>
      </w:r>
      <w:r>
        <w:t xml:space="preserve"> and </w:t>
      </w:r>
      <w:r w:rsidRPr="00A550B3">
        <w:t>Supplier Non-COTS Background IPR</w:t>
      </w:r>
      <w:r w:rsidRPr="007E15D7">
        <w:t xml:space="preserve"> that is necessary for the </w:t>
      </w:r>
      <w:r>
        <w:t>Authority</w:t>
      </w:r>
      <w:r w:rsidRPr="007E15D7">
        <w:t xml:space="preserve"> to use the Deliverable for its intended purpose or has been customised or adapted to provide the Deliverable:</w:t>
      </w:r>
    </w:p>
    <w:p w14:paraId="0E4AED84" w14:textId="488B086A" w:rsidR="00F67E9E" w:rsidRDefault="00F67E9E" w:rsidP="00E1349E">
      <w:pPr>
        <w:pStyle w:val="Numbered111a"/>
        <w:numPr>
          <w:ilvl w:val="3"/>
          <w:numId w:val="174"/>
        </w:numPr>
      </w:pPr>
      <w:r>
        <w:t xml:space="preserve">allows the Authority and any transferee or sublicensee to use and copy, but not adapt, disassemble or reverse engineer the relevant </w:t>
      </w:r>
      <w:r w:rsidRPr="00A550B3">
        <w:t>Supplier Non-COTS Software</w:t>
      </w:r>
      <w:r>
        <w:t xml:space="preserve"> and </w:t>
      </w:r>
      <w:r w:rsidRPr="00A550B3">
        <w:t>Supplier Non-COTS Background IPR</w:t>
      </w:r>
      <w:r>
        <w:t xml:space="preserve"> for any of the purposes set out in Paragraph </w:t>
      </w:r>
      <w:r w:rsidR="00081B63">
        <w:t>8.4</w:t>
      </w:r>
      <w:r>
        <w:t>;</w:t>
      </w:r>
    </w:p>
    <w:p w14:paraId="6B869A6C" w14:textId="77777777" w:rsidR="00F67E9E" w:rsidRDefault="00F67E9E" w:rsidP="00E1349E">
      <w:pPr>
        <w:pStyle w:val="Numbered111a"/>
        <w:keepNext/>
        <w:numPr>
          <w:ilvl w:val="3"/>
          <w:numId w:val="174"/>
        </w:numPr>
      </w:pPr>
      <w:bookmarkStart w:id="3078" w:name="_Ref140100946"/>
      <w:r>
        <w:t>is transferrable to only:</w:t>
      </w:r>
      <w:bookmarkEnd w:id="3078"/>
    </w:p>
    <w:p w14:paraId="25DF074A" w14:textId="77777777" w:rsidR="00F67E9E" w:rsidRDefault="00F67E9E" w:rsidP="00E1349E">
      <w:pPr>
        <w:pStyle w:val="Numbered111ai"/>
        <w:numPr>
          <w:ilvl w:val="4"/>
          <w:numId w:val="174"/>
        </w:numPr>
      </w:pPr>
      <w:r>
        <w:t>a Crown Body;</w:t>
      </w:r>
    </w:p>
    <w:p w14:paraId="782764A4" w14:textId="77777777" w:rsidR="00F67E9E" w:rsidRDefault="00F67E9E" w:rsidP="00E1349E">
      <w:pPr>
        <w:pStyle w:val="Numbered111ai"/>
        <w:numPr>
          <w:ilvl w:val="4"/>
          <w:numId w:val="174"/>
        </w:numPr>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Authority </w:t>
      </w:r>
      <w:r w:rsidRPr="00E36B93">
        <w:t xml:space="preserve">had </w:t>
      </w:r>
      <w:r>
        <w:t xml:space="preserve">previously </w:t>
      </w:r>
      <w:r w:rsidRPr="00E36B93">
        <w:t xml:space="preserve">performed </w:t>
      </w:r>
      <w:r>
        <w:t xml:space="preserve">or </w:t>
      </w:r>
      <w:r w:rsidRPr="00E36B93">
        <w:t xml:space="preserve">carried </w:t>
      </w:r>
      <w:r>
        <w:t>out; or</w:t>
      </w:r>
    </w:p>
    <w:p w14:paraId="5214F2E8" w14:textId="27F725F1" w:rsidR="00694991" w:rsidRDefault="00F67E9E" w:rsidP="00E1349E">
      <w:pPr>
        <w:pStyle w:val="Numbered111ai"/>
        <w:numPr>
          <w:ilvl w:val="4"/>
          <w:numId w:val="174"/>
        </w:numPr>
      </w:pPr>
      <w:r>
        <w:t>a person or organisation that is not a direct competitor of the Supplier</w:t>
      </w:r>
      <w:r w:rsidR="00694991">
        <w:t>; where that transferee:</w:t>
      </w:r>
    </w:p>
    <w:p w14:paraId="08B78BB8" w14:textId="77249595" w:rsidR="00694991" w:rsidRDefault="00694991" w:rsidP="00E1349E">
      <w:pPr>
        <w:pStyle w:val="Numbered111ai"/>
        <w:numPr>
          <w:ilvl w:val="5"/>
          <w:numId w:val="174"/>
        </w:numPr>
      </w:pPr>
      <w:r>
        <w:t xml:space="preserve">enters into a direct arrangement with the Supplier in the form set out in </w:t>
      </w:r>
      <w:r>
        <w:fldChar w:fldCharType="begin"/>
      </w:r>
      <w:r>
        <w:instrText xml:space="preserve"> REF Annex1toschedule12 \h </w:instrText>
      </w:r>
      <w:r>
        <w:fldChar w:fldCharType="separate"/>
      </w:r>
      <w:r w:rsidR="007A1473" w:rsidRPr="00477926">
        <w:t xml:space="preserve">Annex </w:t>
      </w:r>
      <w:r w:rsidR="007A1473">
        <w:t>1</w:t>
      </w:r>
      <w:r>
        <w:fldChar w:fldCharType="end"/>
      </w:r>
      <w:r>
        <w:t xml:space="preserve"> of </w:t>
      </w:r>
      <w:r>
        <w:fldChar w:fldCharType="begin"/>
      </w:r>
      <w:r>
        <w:instrText xml:space="preserve"> REF Schedule12 \h </w:instrText>
      </w:r>
      <w:r>
        <w:fldChar w:fldCharType="separate"/>
      </w:r>
      <w:r w:rsidR="007A1473" w:rsidRPr="005D0525">
        <w:t>Schedule</w:t>
      </w:r>
      <w:r w:rsidR="007A1473">
        <w:t> </w:t>
      </w:r>
      <w:r w:rsidR="007A1473" w:rsidRPr="005D0525">
        <w:t>12</w:t>
      </w:r>
      <w:r>
        <w:fldChar w:fldCharType="end"/>
      </w:r>
      <w:r w:rsidRPr="00A550B3">
        <w:t xml:space="preserve"> (</w:t>
      </w:r>
      <w:r w:rsidRPr="00212E6C">
        <w:rPr>
          <w:i/>
          <w:iCs/>
        </w:rPr>
        <w:fldChar w:fldCharType="begin"/>
      </w:r>
      <w:r w:rsidRPr="00212E6C">
        <w:rPr>
          <w:i/>
          <w:iCs/>
        </w:rPr>
        <w:instrText xml:space="preserve"> REF Schedule12Heading \h  \* MERGEFORMAT </w:instrText>
      </w:r>
      <w:r w:rsidRPr="00212E6C">
        <w:rPr>
          <w:i/>
          <w:iCs/>
        </w:rPr>
      </w:r>
      <w:r w:rsidRPr="00212E6C">
        <w:rPr>
          <w:i/>
          <w:iCs/>
        </w:rPr>
        <w:fldChar w:fldCharType="separate"/>
      </w:r>
      <w:r w:rsidR="007A1473" w:rsidRPr="007A1473">
        <w:rPr>
          <w:i/>
          <w:iCs/>
        </w:rPr>
        <w:t>Software</w:t>
      </w:r>
      <w:r w:rsidRPr="00212E6C">
        <w:rPr>
          <w:i/>
          <w:iCs/>
        </w:rPr>
        <w:fldChar w:fldCharType="end"/>
      </w:r>
      <w:r w:rsidRPr="00A550B3">
        <w:t>)</w:t>
      </w:r>
      <w:r>
        <w:t>; or</w:t>
      </w:r>
    </w:p>
    <w:p w14:paraId="0477D8BB" w14:textId="77777777" w:rsidR="00694991" w:rsidRDefault="00694991" w:rsidP="00E1349E">
      <w:pPr>
        <w:pStyle w:val="Numbered111ai"/>
        <w:numPr>
          <w:ilvl w:val="5"/>
          <w:numId w:val="174"/>
        </w:numPr>
      </w:pPr>
      <w:r>
        <w:t>enters into a confidentiality arrangement with the Authority in terms equivalent to those set out in set out in Clause 19 (</w:t>
      </w:r>
      <w:r w:rsidRPr="00694991">
        <w:rPr>
          <w:i/>
          <w:iCs/>
        </w:rPr>
        <w:t>Confidentiality</w:t>
      </w:r>
      <w:r>
        <w:t>);</w:t>
      </w:r>
    </w:p>
    <w:p w14:paraId="7E39C727" w14:textId="1DA71D63" w:rsidR="00694991" w:rsidRDefault="00F67E9E" w:rsidP="00E1349E">
      <w:pPr>
        <w:pStyle w:val="Numbered111a"/>
        <w:numPr>
          <w:ilvl w:val="3"/>
          <w:numId w:val="174"/>
        </w:numPr>
      </w:pPr>
      <w:r w:rsidRPr="007E15D7">
        <w:t>is sub-licensable to the Replacement Supplier (including where the Replacement Supplier is a competitor of the Supplier)</w:t>
      </w:r>
      <w:r w:rsidR="00694991" w:rsidRPr="00694991">
        <w:t xml:space="preserve"> </w:t>
      </w:r>
      <w:r w:rsidR="00694991">
        <w:t>where the Replacement Supplier:</w:t>
      </w:r>
    </w:p>
    <w:p w14:paraId="099A228D" w14:textId="354A7678" w:rsidR="00694991" w:rsidRDefault="00694991" w:rsidP="00E1349E">
      <w:pPr>
        <w:pStyle w:val="Numbered111a"/>
        <w:numPr>
          <w:ilvl w:val="4"/>
          <w:numId w:val="174"/>
        </w:numPr>
      </w:pPr>
      <w:r>
        <w:t xml:space="preserve">enters into a direct arrangement with the Supplier in the form set out in </w:t>
      </w:r>
      <w:r>
        <w:fldChar w:fldCharType="begin"/>
      </w:r>
      <w:r>
        <w:instrText xml:space="preserve"> REF Annex1toschedule12 \h </w:instrText>
      </w:r>
      <w:r>
        <w:fldChar w:fldCharType="separate"/>
      </w:r>
      <w:r w:rsidR="007A1473" w:rsidRPr="00477926">
        <w:t xml:space="preserve">Annex </w:t>
      </w:r>
      <w:r w:rsidR="007A1473">
        <w:t>1</w:t>
      </w:r>
      <w:r>
        <w:fldChar w:fldCharType="end"/>
      </w:r>
      <w:r>
        <w:t xml:space="preserve"> of </w:t>
      </w:r>
      <w:r>
        <w:fldChar w:fldCharType="begin"/>
      </w:r>
      <w:r>
        <w:instrText xml:space="preserve"> REF Schedule12 \h </w:instrText>
      </w:r>
      <w:r>
        <w:fldChar w:fldCharType="separate"/>
      </w:r>
      <w:r w:rsidR="007A1473" w:rsidRPr="005D0525">
        <w:t>Schedule</w:t>
      </w:r>
      <w:r w:rsidR="007A1473">
        <w:t> </w:t>
      </w:r>
      <w:r w:rsidR="007A1473" w:rsidRPr="005D0525">
        <w:t>12</w:t>
      </w:r>
      <w:r>
        <w:fldChar w:fldCharType="end"/>
      </w:r>
      <w:r w:rsidRPr="00A550B3">
        <w:t xml:space="preserve"> (</w:t>
      </w:r>
      <w:r w:rsidRPr="00212E6C">
        <w:rPr>
          <w:i/>
          <w:iCs/>
        </w:rPr>
        <w:fldChar w:fldCharType="begin"/>
      </w:r>
      <w:r w:rsidRPr="00212E6C">
        <w:rPr>
          <w:i/>
          <w:iCs/>
        </w:rPr>
        <w:instrText xml:space="preserve"> REF Schedule12Heading \h  \* MERGEFORMAT </w:instrText>
      </w:r>
      <w:r w:rsidRPr="00212E6C">
        <w:rPr>
          <w:i/>
          <w:iCs/>
        </w:rPr>
      </w:r>
      <w:r w:rsidRPr="00212E6C">
        <w:rPr>
          <w:i/>
          <w:iCs/>
        </w:rPr>
        <w:fldChar w:fldCharType="separate"/>
      </w:r>
      <w:r w:rsidR="007A1473" w:rsidRPr="007A1473">
        <w:rPr>
          <w:i/>
          <w:iCs/>
        </w:rPr>
        <w:t>Software</w:t>
      </w:r>
      <w:r w:rsidRPr="00212E6C">
        <w:rPr>
          <w:i/>
          <w:iCs/>
        </w:rPr>
        <w:fldChar w:fldCharType="end"/>
      </w:r>
      <w:r w:rsidRPr="00A550B3">
        <w:t>)</w:t>
      </w:r>
      <w:r>
        <w:t>; or</w:t>
      </w:r>
    </w:p>
    <w:p w14:paraId="792C34FD" w14:textId="77777777" w:rsidR="00694991" w:rsidRDefault="00694991" w:rsidP="00E1349E">
      <w:pPr>
        <w:pStyle w:val="Numbered111a"/>
        <w:numPr>
          <w:ilvl w:val="4"/>
          <w:numId w:val="174"/>
        </w:numPr>
      </w:pPr>
      <w:r>
        <w:t>enters into a confidentiality arrangement with the Authority in terms equivalent to those set out in set out in Clause 19 (</w:t>
      </w:r>
      <w:r w:rsidRPr="00694991">
        <w:rPr>
          <w:i/>
          <w:iCs/>
        </w:rPr>
        <w:t>Confidentiality</w:t>
      </w:r>
      <w:r>
        <w:t>);</w:t>
      </w:r>
    </w:p>
    <w:p w14:paraId="354B6F81" w14:textId="77777777" w:rsidR="00F67E9E" w:rsidRDefault="00F67E9E" w:rsidP="00E1349E">
      <w:pPr>
        <w:pStyle w:val="Numbered111"/>
        <w:numPr>
          <w:ilvl w:val="2"/>
          <w:numId w:val="174"/>
        </w:numPr>
      </w:pPr>
      <w:r>
        <w:t xml:space="preserve">includes a perpetual, royalty-free, non-exclusive licence to use, copy and adapt any Know-How, trade secrets or Confidential Information of the Supplier </w:t>
      </w:r>
      <w:r>
        <w:lastRenderedPageBreak/>
        <w:t xml:space="preserve">contained within any </w:t>
      </w:r>
      <w:r w:rsidRPr="00A550B3">
        <w:t>Supplier Non-COTS Software</w:t>
      </w:r>
      <w:r>
        <w:t xml:space="preserve"> and </w:t>
      </w:r>
      <w:r w:rsidRPr="00A550B3">
        <w:t>Supplier Non-COTS Background IPR</w:t>
      </w:r>
      <w:r>
        <w:t>;</w:t>
      </w:r>
    </w:p>
    <w:p w14:paraId="2A0175DE" w14:textId="77777777" w:rsidR="00F67E9E" w:rsidRDefault="00F67E9E" w:rsidP="00E1349E">
      <w:pPr>
        <w:pStyle w:val="Numbered111"/>
        <w:numPr>
          <w:ilvl w:val="2"/>
          <w:numId w:val="174"/>
        </w:numPr>
      </w:pPr>
      <w:r>
        <w:t>continues in effect following the expiry or earlier termination of this Contract; and</w:t>
      </w:r>
    </w:p>
    <w:p w14:paraId="15137C80" w14:textId="77777777" w:rsidR="00F67E9E" w:rsidRDefault="00F67E9E" w:rsidP="00E1349E">
      <w:pPr>
        <w:pStyle w:val="Numbered111"/>
        <w:keepNext/>
        <w:numPr>
          <w:ilvl w:val="2"/>
          <w:numId w:val="174"/>
        </w:numPr>
      </w:pPr>
      <w:r>
        <w:t>is subject to the restrictions that:</w:t>
      </w:r>
    </w:p>
    <w:p w14:paraId="279BEC7B" w14:textId="77777777" w:rsidR="00F67E9E" w:rsidRDefault="00F67E9E" w:rsidP="00E1349E">
      <w:pPr>
        <w:pStyle w:val="Numbered111a"/>
        <w:numPr>
          <w:ilvl w:val="3"/>
          <w:numId w:val="174"/>
        </w:numPr>
      </w:pPr>
      <w:r>
        <w:t xml:space="preserve">no sub-licence granted to the </w:t>
      </w:r>
      <w:r w:rsidRPr="00A550B3">
        <w:t>Supplier Non-COTS Software</w:t>
      </w:r>
      <w:r>
        <w:t xml:space="preserve"> and </w:t>
      </w:r>
      <w:r w:rsidRPr="00A550B3">
        <w:t>Supplier Non-COTS Background IPR</w:t>
      </w:r>
      <w:r>
        <w:t xml:space="preserve"> shall purport to provide the sub-licensee with any wider rights than those granted to the Authority under this Paragraph;</w:t>
      </w:r>
    </w:p>
    <w:p w14:paraId="23CBE415" w14:textId="77777777" w:rsidR="00F67E9E" w:rsidRDefault="00F67E9E" w:rsidP="00E1349E">
      <w:pPr>
        <w:pStyle w:val="Numbered111a"/>
        <w:keepNext/>
        <w:numPr>
          <w:ilvl w:val="3"/>
          <w:numId w:val="174"/>
        </w:numPr>
      </w:pPr>
      <w:r>
        <w:t xml:space="preserve">any transferee or sublicensee of the </w:t>
      </w:r>
      <w:r w:rsidRPr="00A550B3">
        <w:t>Supplier Non-COTS Software</w:t>
      </w:r>
      <w:r>
        <w:t xml:space="preserve"> and </w:t>
      </w:r>
      <w:r w:rsidRPr="00A550B3">
        <w:t>Supplier Non-COTS Background IPR</w:t>
      </w:r>
      <w:r>
        <w:t xml:space="preserve"> must either:</w:t>
      </w:r>
    </w:p>
    <w:p w14:paraId="5FF9B259" w14:textId="1308A07C" w:rsidR="00F67E9E" w:rsidRDefault="00F67E9E" w:rsidP="00E1349E">
      <w:pPr>
        <w:pStyle w:val="Numbered111ai"/>
        <w:numPr>
          <w:ilvl w:val="4"/>
          <w:numId w:val="174"/>
        </w:numPr>
      </w:pPr>
      <w:r>
        <w:t xml:space="preserve">enter into a direct arrangement with the Supplier in the form set out in </w:t>
      </w:r>
      <w:r>
        <w:fldChar w:fldCharType="begin"/>
      </w:r>
      <w:r>
        <w:instrText xml:space="preserve"> REF Annex1toschedule12 \h </w:instrText>
      </w:r>
      <w:r>
        <w:fldChar w:fldCharType="separate"/>
      </w:r>
      <w:r w:rsidR="007A1473" w:rsidRPr="00477926">
        <w:t xml:space="preserve">Annex </w:t>
      </w:r>
      <w:r w:rsidR="007A1473">
        <w:t>1</w:t>
      </w:r>
      <w:r>
        <w:fldChar w:fldCharType="end"/>
      </w:r>
      <w:r>
        <w:t xml:space="preserve"> of </w:t>
      </w:r>
      <w:r>
        <w:fldChar w:fldCharType="begin"/>
      </w:r>
      <w:r>
        <w:instrText xml:space="preserve"> REF Schedule12 \h </w:instrText>
      </w:r>
      <w:r>
        <w:fldChar w:fldCharType="separate"/>
      </w:r>
      <w:r w:rsidR="007A1473" w:rsidRPr="005D0525">
        <w:t>Schedule</w:t>
      </w:r>
      <w:r w:rsidR="007A1473">
        <w:t> </w:t>
      </w:r>
      <w:r w:rsidR="007A1473" w:rsidRPr="005D0525">
        <w:t>12</w:t>
      </w:r>
      <w:r>
        <w:fldChar w:fldCharType="end"/>
      </w:r>
      <w:r w:rsidRPr="00A550B3">
        <w:t xml:space="preserve"> (</w:t>
      </w:r>
      <w:r w:rsidRPr="00212E6C">
        <w:rPr>
          <w:i/>
          <w:iCs/>
        </w:rPr>
        <w:fldChar w:fldCharType="begin"/>
      </w:r>
      <w:r w:rsidRPr="00212E6C">
        <w:rPr>
          <w:i/>
          <w:iCs/>
        </w:rPr>
        <w:instrText xml:space="preserve"> REF Schedule12Heading \h  \* MERGEFORMAT </w:instrText>
      </w:r>
      <w:r w:rsidRPr="00212E6C">
        <w:rPr>
          <w:i/>
          <w:iCs/>
        </w:rPr>
      </w:r>
      <w:r w:rsidRPr="00212E6C">
        <w:rPr>
          <w:i/>
          <w:iCs/>
        </w:rPr>
        <w:fldChar w:fldCharType="separate"/>
      </w:r>
      <w:r w:rsidR="007A1473" w:rsidRPr="007A1473">
        <w:rPr>
          <w:i/>
          <w:iCs/>
        </w:rPr>
        <w:t>Software</w:t>
      </w:r>
      <w:r w:rsidRPr="00212E6C">
        <w:rPr>
          <w:i/>
          <w:iCs/>
        </w:rPr>
        <w:fldChar w:fldCharType="end"/>
      </w:r>
      <w:r w:rsidRPr="00A550B3">
        <w:t>)</w:t>
      </w:r>
      <w:r>
        <w:t>; or</w:t>
      </w:r>
    </w:p>
    <w:p w14:paraId="093BED6E" w14:textId="77777777" w:rsidR="00F67E9E" w:rsidRDefault="00F67E9E" w:rsidP="00E1349E">
      <w:pPr>
        <w:pStyle w:val="Numbered111ai"/>
        <w:numPr>
          <w:ilvl w:val="4"/>
          <w:numId w:val="174"/>
        </w:numPr>
      </w:pPr>
      <w:r>
        <w:t>enter into a confidentiality arrangement with the Authority in terms equivalent to those set out in set out in Clause 19 (</w:t>
      </w:r>
      <w:r>
        <w:rPr>
          <w:i/>
          <w:iCs/>
        </w:rPr>
        <w:t>Confidentiality</w:t>
      </w:r>
      <w:r>
        <w:t xml:space="preserve">). </w:t>
      </w:r>
    </w:p>
    <w:p w14:paraId="5B105A6B" w14:textId="244CF73F" w:rsidR="00F67E9E" w:rsidRDefault="00F67E9E" w:rsidP="00E1349E">
      <w:pPr>
        <w:pStyle w:val="Numbered11"/>
        <w:keepNext/>
        <w:numPr>
          <w:ilvl w:val="1"/>
          <w:numId w:val="174"/>
        </w:numPr>
      </w:pPr>
      <w:bookmarkStart w:id="3079" w:name="_Ref140100819"/>
      <w:r>
        <w:t>For the purposes of Paragraphs </w:t>
      </w:r>
      <w:r w:rsidR="00081B63">
        <w:t>8.1</w:t>
      </w:r>
      <w:r>
        <w:t xml:space="preserve"> and </w:t>
      </w:r>
      <w:r w:rsidR="00081B63">
        <w:t>8.3</w:t>
      </w:r>
      <w:r>
        <w:t>, the relevant purposes are:</w:t>
      </w:r>
      <w:bookmarkEnd w:id="3079"/>
    </w:p>
    <w:p w14:paraId="1D69A353" w14:textId="77777777" w:rsidR="00F67E9E" w:rsidRDefault="00F67E9E" w:rsidP="00E1349E">
      <w:pPr>
        <w:pStyle w:val="Numbered111"/>
        <w:numPr>
          <w:ilvl w:val="2"/>
          <w:numId w:val="174"/>
        </w:numPr>
      </w:pPr>
      <w:r>
        <w:t>to allow the Authority or any End User to receive and use the Deliverables;</w:t>
      </w:r>
    </w:p>
    <w:p w14:paraId="78AB6291" w14:textId="77777777" w:rsidR="00F67E9E" w:rsidRDefault="00F67E9E" w:rsidP="00E1349E">
      <w:pPr>
        <w:pStyle w:val="Numbered111"/>
        <w:numPr>
          <w:ilvl w:val="2"/>
          <w:numId w:val="174"/>
        </w:numPr>
      </w:pPr>
      <w:r>
        <w:t>to commercially exploit the Project Specific IPR, Specially Written Software and Software Supporting Materials; and</w:t>
      </w:r>
    </w:p>
    <w:p w14:paraId="61F15673" w14:textId="77777777" w:rsidR="00F67E9E" w:rsidRDefault="00F67E9E" w:rsidP="00E1349E">
      <w:pPr>
        <w:pStyle w:val="Numbered111"/>
        <w:numPr>
          <w:ilvl w:val="2"/>
          <w:numId w:val="174"/>
        </w:numPr>
      </w:pPr>
      <w:r>
        <w:t>for any purpose relating to the exercise of the Authority’s (or, if the Authority is a Public Sector Body, any other Public Sector Body’s) business or function.</w:t>
      </w:r>
    </w:p>
    <w:p w14:paraId="028E6AB3" w14:textId="77777777" w:rsidR="00F67E9E" w:rsidRDefault="00F67E9E" w:rsidP="00E1349E">
      <w:pPr>
        <w:pStyle w:val="Numbered11"/>
        <w:numPr>
          <w:ilvl w:val="1"/>
          <w:numId w:val="174"/>
        </w:numPr>
      </w:pPr>
      <w:bookmarkStart w:id="3080" w:name="_Ref140100893"/>
      <w:r>
        <w:t>Where the legal status of the Authority changes, such that it ceases to be a Crown Body:</w:t>
      </w:r>
      <w:bookmarkEnd w:id="3080"/>
    </w:p>
    <w:p w14:paraId="2C9FFE3D" w14:textId="77777777" w:rsidR="00F67E9E" w:rsidRDefault="00F67E9E" w:rsidP="00E1349E">
      <w:pPr>
        <w:pStyle w:val="Numbered111"/>
        <w:numPr>
          <w:ilvl w:val="2"/>
          <w:numId w:val="174"/>
        </w:numPr>
      </w:pPr>
      <w:r>
        <w:t>the Supplier Existing IPR Licence is unaffected; and</w:t>
      </w:r>
    </w:p>
    <w:p w14:paraId="10E94042" w14:textId="77777777" w:rsidR="00F67E9E" w:rsidRDefault="00F67E9E" w:rsidP="00E1349E">
      <w:pPr>
        <w:pStyle w:val="Numbered111"/>
        <w:numPr>
          <w:ilvl w:val="2"/>
          <w:numId w:val="174"/>
        </w:numPr>
      </w:pPr>
      <w:r>
        <w:t>any successor body of the Authority that is a Crown Body shall have the benefit of the Supplier Existing IPR Licence.</w:t>
      </w:r>
    </w:p>
    <w:p w14:paraId="5F52E324" w14:textId="62B835C2" w:rsidR="00F67E9E" w:rsidRPr="00FB3CC1" w:rsidRDefault="00F67E9E" w:rsidP="00E1349E">
      <w:pPr>
        <w:pStyle w:val="Numbered11"/>
        <w:numPr>
          <w:ilvl w:val="1"/>
          <w:numId w:val="174"/>
        </w:numPr>
      </w:pPr>
      <w:r>
        <w:t>Where the Supplier Existing IPR Licence is transferred under Paragraph </w:t>
      </w:r>
      <w:r w:rsidR="00081B63">
        <w:t>8.3.1(a)</w:t>
      </w:r>
      <w:r>
        <w:t xml:space="preserve"> or </w:t>
      </w:r>
      <w:r w:rsidR="00081B63">
        <w:t>8.3.2(b)</w:t>
      </w:r>
      <w:r>
        <w:t xml:space="preserve"> or there is a change in the Authority’s legal status to which Paragraph </w:t>
      </w:r>
      <w:r w:rsidR="00081B63">
        <w:t>8.5</w:t>
      </w:r>
      <w:r>
        <w:t xml:space="preserve"> applies, the transferee or successor body do not acquire any wider rights than those granted to the Authority under this Paragraph.</w:t>
      </w:r>
    </w:p>
    <w:p w14:paraId="09E0BAA4" w14:textId="77777777" w:rsidR="00F67E9E" w:rsidRDefault="00F67E9E" w:rsidP="00F67E9E">
      <w:r>
        <w:br w:type="page"/>
      </w:r>
    </w:p>
    <w:p w14:paraId="0F417D81" w14:textId="77777777" w:rsidR="00694991" w:rsidRPr="00694991" w:rsidRDefault="00694991" w:rsidP="00694991">
      <w:pPr>
        <w:pStyle w:val="Numbered1"/>
        <w:numPr>
          <w:ilvl w:val="0"/>
          <w:numId w:val="0"/>
        </w:numPr>
        <w:ind w:left="720"/>
      </w:pPr>
    </w:p>
    <w:p w14:paraId="79AE329C" w14:textId="77777777" w:rsidR="00F67E9E" w:rsidRPr="000038E2" w:rsidRDefault="00F67E9E" w:rsidP="00F67E9E">
      <w:pPr>
        <w:pStyle w:val="Heading2"/>
        <w:pageBreakBefore/>
      </w:pPr>
      <w:bookmarkStart w:id="3081" w:name="_Ref92450772"/>
      <w:bookmarkStart w:id="3082" w:name="_Toc118293567"/>
      <w:bookmarkStart w:id="3083" w:name="_Toc145412836"/>
      <w:r w:rsidRPr="001B4E17">
        <w:lastRenderedPageBreak/>
        <w:t xml:space="preserve">Annex </w:t>
      </w:r>
      <w:bookmarkStart w:id="3084" w:name="ANNEX1_SCHEDULE32"/>
      <w:r w:rsidRPr="001B4E17">
        <w:t>1</w:t>
      </w:r>
      <w:bookmarkEnd w:id="3084"/>
      <w:r w:rsidRPr="001B4E17">
        <w:t>: Project Specific IPR</w:t>
      </w:r>
      <w:bookmarkEnd w:id="3081"/>
      <w:bookmarkEnd w:id="3082"/>
      <w:r>
        <w:t xml:space="preserve"> a</w:t>
      </w:r>
      <w:r w:rsidRPr="001B4E17">
        <w:t>nd Specially Written Software</w:t>
      </w:r>
      <w:bookmarkEnd w:id="3083"/>
      <w:r w:rsidRPr="001B4E17">
        <w:t xml:space="preserve"> </w:t>
      </w:r>
    </w:p>
    <w:tbl>
      <w:tblPr>
        <w:tblStyle w:val="MSATable-header"/>
        <w:tblW w:w="10204" w:type="dxa"/>
        <w:tblLook w:val="0620" w:firstRow="1" w:lastRow="0" w:firstColumn="0" w:lastColumn="0" w:noHBand="1" w:noVBand="1"/>
      </w:tblPr>
      <w:tblGrid>
        <w:gridCol w:w="4535"/>
        <w:gridCol w:w="5669"/>
      </w:tblGrid>
      <w:tr w:rsidR="00F67E9E" w:rsidRPr="002E463E" w14:paraId="7CE10833"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4535" w:type="dxa"/>
            <w:vAlign w:val="bottom"/>
          </w:tcPr>
          <w:p w14:paraId="2AD88B40" w14:textId="77777777" w:rsidR="00F67E9E" w:rsidRPr="002E463E" w:rsidRDefault="00F67E9E" w:rsidP="0052486C">
            <w:pPr>
              <w:tabs>
                <w:tab w:val="left" w:pos="709"/>
              </w:tabs>
              <w:rPr>
                <w:rFonts w:eastAsia="Arial" w:cs="Arial"/>
                <w:bCs/>
                <w:color w:val="000000"/>
                <w:szCs w:val="24"/>
              </w:rPr>
            </w:pPr>
            <w:r w:rsidRPr="00DA566F">
              <w:rPr>
                <w:rFonts w:eastAsia="Arial" w:cs="Arial"/>
                <w:bCs/>
                <w:szCs w:val="24"/>
              </w:rPr>
              <w:t>Name of Project Specific IPR</w:t>
            </w:r>
          </w:p>
        </w:tc>
        <w:tc>
          <w:tcPr>
            <w:tcW w:w="5669" w:type="dxa"/>
            <w:vAlign w:val="bottom"/>
          </w:tcPr>
          <w:p w14:paraId="5062E466" w14:textId="77777777" w:rsidR="00F67E9E" w:rsidRPr="002E463E" w:rsidRDefault="00F67E9E" w:rsidP="0052486C">
            <w:pPr>
              <w:tabs>
                <w:tab w:val="left" w:pos="709"/>
              </w:tabs>
              <w:rPr>
                <w:rFonts w:eastAsia="Arial" w:cs="Arial"/>
                <w:bCs/>
                <w:color w:val="000000"/>
                <w:szCs w:val="24"/>
              </w:rPr>
            </w:pPr>
            <w:r w:rsidRPr="007C382B">
              <w:rPr>
                <w:rFonts w:eastAsia="Arial" w:cs="Arial"/>
                <w:bCs/>
                <w:szCs w:val="24"/>
              </w:rPr>
              <w:t>Details</w:t>
            </w:r>
          </w:p>
        </w:tc>
      </w:tr>
      <w:tr w:rsidR="00F67E9E" w14:paraId="3C1334C8" w14:textId="77777777" w:rsidTr="0052486C">
        <w:tc>
          <w:tcPr>
            <w:tcW w:w="4535" w:type="dxa"/>
          </w:tcPr>
          <w:p w14:paraId="600482FD" w14:textId="77777777" w:rsidR="00F67E9E" w:rsidRDefault="00F67E9E" w:rsidP="0052486C">
            <w:pPr>
              <w:tabs>
                <w:tab w:val="left" w:pos="709"/>
              </w:tabs>
              <w:rPr>
                <w:rFonts w:eastAsia="Arial" w:cs="Arial"/>
                <w:color w:val="000000"/>
                <w:szCs w:val="24"/>
              </w:rPr>
            </w:pPr>
          </w:p>
        </w:tc>
        <w:tc>
          <w:tcPr>
            <w:tcW w:w="5669" w:type="dxa"/>
          </w:tcPr>
          <w:p w14:paraId="2822047F" w14:textId="77777777" w:rsidR="00F67E9E" w:rsidRDefault="00F67E9E" w:rsidP="0052486C">
            <w:pPr>
              <w:tabs>
                <w:tab w:val="left" w:pos="709"/>
              </w:tabs>
              <w:rPr>
                <w:rFonts w:eastAsia="Arial" w:cs="Arial"/>
                <w:color w:val="000000"/>
                <w:szCs w:val="24"/>
              </w:rPr>
            </w:pPr>
          </w:p>
        </w:tc>
      </w:tr>
      <w:tr w:rsidR="00F67E9E" w14:paraId="7DB86FA7" w14:textId="77777777" w:rsidTr="0052486C">
        <w:tc>
          <w:tcPr>
            <w:tcW w:w="4535" w:type="dxa"/>
          </w:tcPr>
          <w:p w14:paraId="47DCC2C9" w14:textId="77777777" w:rsidR="00F67E9E" w:rsidRDefault="00F67E9E" w:rsidP="0052486C">
            <w:pPr>
              <w:tabs>
                <w:tab w:val="left" w:pos="709"/>
              </w:tabs>
              <w:rPr>
                <w:rFonts w:eastAsia="Arial" w:cs="Arial"/>
                <w:color w:val="000000"/>
                <w:szCs w:val="24"/>
              </w:rPr>
            </w:pPr>
          </w:p>
        </w:tc>
        <w:tc>
          <w:tcPr>
            <w:tcW w:w="5669" w:type="dxa"/>
          </w:tcPr>
          <w:p w14:paraId="7B296299" w14:textId="77777777" w:rsidR="00F67E9E" w:rsidRDefault="00F67E9E" w:rsidP="0052486C">
            <w:pPr>
              <w:tabs>
                <w:tab w:val="left" w:pos="709"/>
              </w:tabs>
              <w:rPr>
                <w:rFonts w:eastAsia="Arial" w:cs="Arial"/>
                <w:color w:val="000000"/>
                <w:szCs w:val="24"/>
              </w:rPr>
            </w:pPr>
          </w:p>
        </w:tc>
      </w:tr>
    </w:tbl>
    <w:p w14:paraId="27A06569" w14:textId="77777777" w:rsidR="00F67E9E" w:rsidRDefault="00F67E9E" w:rsidP="00F67E9E">
      <w:pPr>
        <w:rPr>
          <w:highlight w:val="yellow"/>
        </w:rPr>
      </w:pPr>
    </w:p>
    <w:tbl>
      <w:tblPr>
        <w:tblStyle w:val="MSATable-header"/>
        <w:tblW w:w="10204" w:type="dxa"/>
        <w:tblLook w:val="0620" w:firstRow="1" w:lastRow="0" w:firstColumn="0" w:lastColumn="0" w:noHBand="1" w:noVBand="1"/>
      </w:tblPr>
      <w:tblGrid>
        <w:gridCol w:w="4535"/>
        <w:gridCol w:w="5669"/>
      </w:tblGrid>
      <w:tr w:rsidR="00F67E9E" w:rsidRPr="002E463E" w14:paraId="5380DE12"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4535" w:type="dxa"/>
            <w:vAlign w:val="bottom"/>
          </w:tcPr>
          <w:p w14:paraId="4F5F3DD7" w14:textId="77777777" w:rsidR="00F67E9E" w:rsidRPr="002E463E" w:rsidRDefault="00F67E9E" w:rsidP="0052486C">
            <w:pPr>
              <w:tabs>
                <w:tab w:val="left" w:pos="709"/>
              </w:tabs>
              <w:rPr>
                <w:rFonts w:eastAsia="Arial" w:cs="Arial"/>
                <w:bCs/>
                <w:color w:val="000000"/>
                <w:szCs w:val="24"/>
              </w:rPr>
            </w:pPr>
            <w:r w:rsidRPr="00DA566F">
              <w:rPr>
                <w:rFonts w:eastAsia="Arial" w:cs="Arial"/>
                <w:bCs/>
                <w:szCs w:val="24"/>
              </w:rPr>
              <w:t>Name of Specially Written Software</w:t>
            </w:r>
          </w:p>
        </w:tc>
        <w:tc>
          <w:tcPr>
            <w:tcW w:w="5669" w:type="dxa"/>
            <w:vAlign w:val="bottom"/>
          </w:tcPr>
          <w:p w14:paraId="13D45300" w14:textId="77777777" w:rsidR="00F67E9E" w:rsidRPr="002E463E" w:rsidRDefault="00F67E9E" w:rsidP="0052486C">
            <w:pPr>
              <w:tabs>
                <w:tab w:val="left" w:pos="709"/>
              </w:tabs>
              <w:rPr>
                <w:rFonts w:eastAsia="Arial" w:cs="Arial"/>
                <w:bCs/>
                <w:color w:val="000000"/>
                <w:szCs w:val="24"/>
              </w:rPr>
            </w:pPr>
            <w:r w:rsidRPr="007C382B">
              <w:rPr>
                <w:rFonts w:eastAsia="Arial" w:cs="Arial"/>
                <w:bCs/>
                <w:szCs w:val="24"/>
              </w:rPr>
              <w:t>Details</w:t>
            </w:r>
          </w:p>
        </w:tc>
      </w:tr>
      <w:tr w:rsidR="00F67E9E" w14:paraId="0B3DD9B8" w14:textId="77777777" w:rsidTr="0052486C">
        <w:tc>
          <w:tcPr>
            <w:tcW w:w="4535" w:type="dxa"/>
          </w:tcPr>
          <w:p w14:paraId="11D445CA" w14:textId="77777777" w:rsidR="00F67E9E" w:rsidRDefault="00F67E9E" w:rsidP="0052486C">
            <w:pPr>
              <w:tabs>
                <w:tab w:val="left" w:pos="709"/>
              </w:tabs>
              <w:rPr>
                <w:rFonts w:eastAsia="Arial" w:cs="Arial"/>
                <w:color w:val="000000"/>
                <w:szCs w:val="24"/>
              </w:rPr>
            </w:pPr>
          </w:p>
        </w:tc>
        <w:tc>
          <w:tcPr>
            <w:tcW w:w="5669" w:type="dxa"/>
          </w:tcPr>
          <w:p w14:paraId="1786036B" w14:textId="77777777" w:rsidR="00F67E9E" w:rsidRDefault="00F67E9E" w:rsidP="0052486C">
            <w:pPr>
              <w:tabs>
                <w:tab w:val="left" w:pos="709"/>
              </w:tabs>
              <w:rPr>
                <w:rFonts w:eastAsia="Arial" w:cs="Arial"/>
                <w:color w:val="000000"/>
                <w:szCs w:val="24"/>
              </w:rPr>
            </w:pPr>
          </w:p>
        </w:tc>
      </w:tr>
      <w:tr w:rsidR="00F67E9E" w14:paraId="52318593" w14:textId="77777777" w:rsidTr="0052486C">
        <w:tc>
          <w:tcPr>
            <w:tcW w:w="4535" w:type="dxa"/>
          </w:tcPr>
          <w:p w14:paraId="5ED62402" w14:textId="77777777" w:rsidR="00F67E9E" w:rsidRDefault="00F67E9E" w:rsidP="0052486C">
            <w:pPr>
              <w:tabs>
                <w:tab w:val="left" w:pos="709"/>
              </w:tabs>
              <w:rPr>
                <w:rFonts w:eastAsia="Arial" w:cs="Arial"/>
                <w:color w:val="000000"/>
                <w:szCs w:val="24"/>
              </w:rPr>
            </w:pPr>
          </w:p>
        </w:tc>
        <w:tc>
          <w:tcPr>
            <w:tcW w:w="5669" w:type="dxa"/>
          </w:tcPr>
          <w:p w14:paraId="58305B75" w14:textId="77777777" w:rsidR="00F67E9E" w:rsidRDefault="00F67E9E" w:rsidP="0052486C">
            <w:pPr>
              <w:tabs>
                <w:tab w:val="left" w:pos="709"/>
              </w:tabs>
              <w:rPr>
                <w:rFonts w:eastAsia="Arial" w:cs="Arial"/>
                <w:color w:val="000000"/>
                <w:szCs w:val="24"/>
              </w:rPr>
            </w:pPr>
          </w:p>
        </w:tc>
      </w:tr>
    </w:tbl>
    <w:p w14:paraId="50DE2BB9" w14:textId="77777777" w:rsidR="00F67E9E" w:rsidRPr="00D44C96" w:rsidRDefault="00F67E9E" w:rsidP="00F67E9E">
      <w:pPr>
        <w:rPr>
          <w:highlight w:val="yellow"/>
        </w:rPr>
      </w:pPr>
    </w:p>
    <w:tbl>
      <w:tblPr>
        <w:tblStyle w:val="MSATable-header"/>
        <w:tblW w:w="10204" w:type="dxa"/>
        <w:tblLook w:val="0620" w:firstRow="1" w:lastRow="0" w:firstColumn="0" w:lastColumn="0" w:noHBand="1" w:noVBand="1"/>
      </w:tblPr>
      <w:tblGrid>
        <w:gridCol w:w="4535"/>
        <w:gridCol w:w="5669"/>
      </w:tblGrid>
      <w:tr w:rsidR="00F67E9E" w:rsidRPr="002E463E" w14:paraId="33EF6552" w14:textId="77777777" w:rsidTr="0052486C">
        <w:trPr>
          <w:cnfStyle w:val="100000000000" w:firstRow="1" w:lastRow="0" w:firstColumn="0" w:lastColumn="0" w:oddVBand="0" w:evenVBand="0" w:oddHBand="0" w:evenHBand="0" w:firstRowFirstColumn="0" w:firstRowLastColumn="0" w:lastRowFirstColumn="0" w:lastRowLastColumn="0"/>
          <w:tblHeader/>
        </w:trPr>
        <w:tc>
          <w:tcPr>
            <w:tcW w:w="4535" w:type="dxa"/>
            <w:vAlign w:val="bottom"/>
          </w:tcPr>
          <w:p w14:paraId="76403172" w14:textId="77777777" w:rsidR="00F67E9E" w:rsidRPr="002E463E" w:rsidRDefault="00F67E9E" w:rsidP="0052486C">
            <w:pPr>
              <w:tabs>
                <w:tab w:val="left" w:pos="709"/>
              </w:tabs>
              <w:rPr>
                <w:rFonts w:eastAsia="Arial" w:cs="Arial"/>
                <w:bCs/>
                <w:color w:val="000000"/>
                <w:szCs w:val="24"/>
              </w:rPr>
            </w:pPr>
            <w:r w:rsidRPr="00DA566F">
              <w:rPr>
                <w:rFonts w:eastAsia="Arial" w:cs="Arial"/>
                <w:bCs/>
                <w:szCs w:val="24"/>
              </w:rPr>
              <w:t>Name of adapted or embedded Supplier Software, Third Party Software, Third Party IPRs, or Supplier Background IPRs</w:t>
            </w:r>
          </w:p>
        </w:tc>
        <w:tc>
          <w:tcPr>
            <w:tcW w:w="5669" w:type="dxa"/>
            <w:vAlign w:val="bottom"/>
          </w:tcPr>
          <w:p w14:paraId="17B5C912" w14:textId="77777777" w:rsidR="00F67E9E" w:rsidRPr="002E463E" w:rsidRDefault="00F67E9E" w:rsidP="0052486C">
            <w:pPr>
              <w:tabs>
                <w:tab w:val="left" w:pos="709"/>
              </w:tabs>
              <w:rPr>
                <w:rFonts w:eastAsia="Arial" w:cs="Arial"/>
                <w:bCs/>
                <w:color w:val="000000"/>
                <w:szCs w:val="24"/>
              </w:rPr>
            </w:pPr>
            <w:r w:rsidRPr="007C382B">
              <w:rPr>
                <w:rFonts w:eastAsia="Arial" w:cs="Arial"/>
                <w:bCs/>
                <w:szCs w:val="24"/>
              </w:rPr>
              <w:t>Details</w:t>
            </w:r>
          </w:p>
        </w:tc>
      </w:tr>
      <w:tr w:rsidR="00F67E9E" w14:paraId="4F19A345" w14:textId="77777777" w:rsidTr="0052486C">
        <w:tc>
          <w:tcPr>
            <w:tcW w:w="4535" w:type="dxa"/>
          </w:tcPr>
          <w:p w14:paraId="020ED3F5" w14:textId="77777777" w:rsidR="00F67E9E" w:rsidRDefault="00F67E9E" w:rsidP="0052486C">
            <w:pPr>
              <w:tabs>
                <w:tab w:val="left" w:pos="709"/>
              </w:tabs>
              <w:rPr>
                <w:rFonts w:eastAsia="Arial" w:cs="Arial"/>
                <w:color w:val="000000"/>
                <w:szCs w:val="24"/>
              </w:rPr>
            </w:pPr>
          </w:p>
        </w:tc>
        <w:tc>
          <w:tcPr>
            <w:tcW w:w="5669" w:type="dxa"/>
          </w:tcPr>
          <w:p w14:paraId="0DE61754" w14:textId="77777777" w:rsidR="00F67E9E" w:rsidRDefault="00F67E9E" w:rsidP="0052486C">
            <w:pPr>
              <w:tabs>
                <w:tab w:val="left" w:pos="709"/>
              </w:tabs>
              <w:rPr>
                <w:rFonts w:eastAsia="Arial" w:cs="Arial"/>
                <w:color w:val="000000"/>
                <w:szCs w:val="24"/>
              </w:rPr>
            </w:pPr>
          </w:p>
        </w:tc>
      </w:tr>
      <w:tr w:rsidR="00F67E9E" w14:paraId="4283AC55" w14:textId="77777777" w:rsidTr="0052486C">
        <w:tc>
          <w:tcPr>
            <w:tcW w:w="4535" w:type="dxa"/>
          </w:tcPr>
          <w:p w14:paraId="25996FED" w14:textId="77777777" w:rsidR="00F67E9E" w:rsidRDefault="00F67E9E" w:rsidP="0052486C">
            <w:pPr>
              <w:tabs>
                <w:tab w:val="left" w:pos="709"/>
              </w:tabs>
              <w:rPr>
                <w:rFonts w:eastAsia="Arial" w:cs="Arial"/>
                <w:color w:val="000000"/>
                <w:szCs w:val="24"/>
              </w:rPr>
            </w:pPr>
          </w:p>
        </w:tc>
        <w:tc>
          <w:tcPr>
            <w:tcW w:w="5669" w:type="dxa"/>
          </w:tcPr>
          <w:p w14:paraId="0A67931E" w14:textId="77777777" w:rsidR="00F67E9E" w:rsidRDefault="00F67E9E" w:rsidP="0052486C">
            <w:pPr>
              <w:tabs>
                <w:tab w:val="left" w:pos="709"/>
              </w:tabs>
              <w:rPr>
                <w:rFonts w:eastAsia="Arial" w:cs="Arial"/>
                <w:color w:val="000000"/>
                <w:szCs w:val="24"/>
              </w:rPr>
            </w:pPr>
          </w:p>
        </w:tc>
      </w:tr>
    </w:tbl>
    <w:p w14:paraId="507708D4" w14:textId="77777777" w:rsidR="00F67E9E" w:rsidRPr="00D44C96" w:rsidRDefault="00F67E9E" w:rsidP="00F67E9E">
      <w:pPr>
        <w:rPr>
          <w:highlight w:val="yellow"/>
        </w:rPr>
      </w:pPr>
    </w:p>
    <w:p w14:paraId="019A7F97" w14:textId="70C57C37" w:rsidR="00F67E9E" w:rsidRDefault="00F67E9E" w:rsidP="00F67E9E">
      <w:pPr>
        <w:rPr>
          <w:rFonts w:cs="Arial"/>
        </w:rPr>
      </w:pPr>
      <w:r w:rsidRPr="00846EF2">
        <w:rPr>
          <w:rFonts w:cs="Arial"/>
        </w:rPr>
        <w:t>[</w:t>
      </w:r>
      <w:r w:rsidR="005B5630" w:rsidRPr="00846EF2">
        <w:rPr>
          <w:rFonts w:cs="Arial"/>
        </w:rPr>
        <w:t>N</w:t>
      </w:r>
      <w:r w:rsidRPr="00846EF2">
        <w:rPr>
          <w:rFonts w:cs="Arial"/>
        </w:rPr>
        <w:t xml:space="preserve">ote: This </w:t>
      </w:r>
      <w:r w:rsidR="005B5630" w:rsidRPr="00846EF2">
        <w:rPr>
          <w:rFonts w:cs="Arial"/>
        </w:rPr>
        <w:t xml:space="preserve">table will </w:t>
      </w:r>
      <w:r w:rsidRPr="00846EF2">
        <w:rPr>
          <w:rFonts w:cs="Arial"/>
        </w:rPr>
        <w:t xml:space="preserve">be updated throughout the life of the Contract. </w:t>
      </w:r>
      <w:r w:rsidR="00081B63" w:rsidRPr="00846EF2">
        <w:rPr>
          <w:rFonts w:cs="Arial"/>
        </w:rPr>
        <w:t>T</w:t>
      </w:r>
      <w:r w:rsidRPr="00846EF2">
        <w:rPr>
          <w:rFonts w:cs="Arial"/>
        </w:rPr>
        <w:t xml:space="preserve">he Project Specific IPR and Specially Written Software which must be recorded in this Annex does not include all forms of IPR which may be created by the Supplier and the Supplier Staff during the completion of their obligations under the Contract. Only Project Specific IPR and Specially Written Software which is part of a Deliverable, or is necessary for the use of a Deliverable by the </w:t>
      </w:r>
      <w:r w:rsidR="005B5630" w:rsidRPr="00846EF2">
        <w:rPr>
          <w:rFonts w:cs="Arial"/>
        </w:rPr>
        <w:t xml:space="preserve">Authority </w:t>
      </w:r>
      <w:r w:rsidRPr="00846EF2">
        <w:rPr>
          <w:rFonts w:cs="Arial"/>
        </w:rPr>
        <w:t>will need to be recorded here. IPR such as email communications or documents which do not form part of the Deliverables need not be recorded in this Annex.]</w:t>
      </w:r>
    </w:p>
    <w:p w14:paraId="633B4BD4" w14:textId="01478748" w:rsidR="00440D44" w:rsidRDefault="00440D44" w:rsidP="00F67E9E">
      <w:pPr>
        <w:rPr>
          <w:rFonts w:cs="Arial"/>
        </w:rPr>
      </w:pPr>
    </w:p>
    <w:p w14:paraId="301D760D" w14:textId="77777777" w:rsidR="00440D44" w:rsidRPr="00846EF2" w:rsidRDefault="00440D44" w:rsidP="00F67E9E">
      <w:pPr>
        <w:rPr>
          <w:rFonts w:cs="Arial"/>
          <w:bCs/>
        </w:rPr>
      </w:pPr>
    </w:p>
    <w:p w14:paraId="56B0229C" w14:textId="77777777" w:rsidR="002B4645" w:rsidRDefault="002B4645" w:rsidP="00F67E9E">
      <w:pPr>
        <w:sectPr w:rsidR="002B4645" w:rsidSect="00240D26">
          <w:headerReference w:type="even" r:id="rId170"/>
          <w:headerReference w:type="default" r:id="rId171"/>
          <w:footerReference w:type="even" r:id="rId172"/>
          <w:footerReference w:type="default" r:id="rId173"/>
          <w:headerReference w:type="first" r:id="rId174"/>
          <w:footerReference w:type="first" r:id="rId175"/>
          <w:pgSz w:w="11900" w:h="16840"/>
          <w:pgMar w:top="1701" w:right="851" w:bottom="1134" w:left="851" w:header="567" w:footer="567" w:gutter="0"/>
          <w:cols w:space="720"/>
          <w:docGrid w:linePitch="360"/>
        </w:sectPr>
      </w:pPr>
    </w:p>
    <w:p w14:paraId="19E7D7E5" w14:textId="77777777" w:rsidR="002B4645" w:rsidRPr="00206068" w:rsidRDefault="002B4645" w:rsidP="002B4645">
      <w:pPr>
        <w:rPr>
          <w:b/>
          <w:sz w:val="28"/>
          <w:szCs w:val="28"/>
        </w:rPr>
      </w:pPr>
      <w:r w:rsidRPr="00206068">
        <w:rPr>
          <w:b/>
          <w:sz w:val="28"/>
          <w:szCs w:val="28"/>
        </w:rPr>
        <w:lastRenderedPageBreak/>
        <w:t>Signature page</w:t>
      </w:r>
    </w:p>
    <w:p w14:paraId="6E522F79" w14:textId="77777777" w:rsidR="002B4645" w:rsidRDefault="002B4645" w:rsidP="002B4645"/>
    <w:p w14:paraId="61F43981" w14:textId="77777777" w:rsidR="002B4645" w:rsidRPr="002B4645" w:rsidRDefault="002B4645" w:rsidP="002B4645">
      <w:pPr>
        <w:pStyle w:val="StdBodyText"/>
        <w:keepNext/>
      </w:pPr>
      <w:r>
        <w:t xml:space="preserve">This </w:t>
      </w:r>
      <w:r w:rsidRPr="002B4645">
        <w:t xml:space="preserve">Contract has been duly entered into by the Parties on the date which appears at the head of its page </w:t>
      </w:r>
      <w:bookmarkStart w:id="3085" w:name="_9kR3WTr2BBCJEA"/>
      <w:r w:rsidRPr="002B4645">
        <w:t>1</w:t>
      </w:r>
      <w:bookmarkEnd w:id="3085"/>
      <w:r w:rsidRPr="002B4645">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2B4645" w:rsidRPr="002B4645" w14:paraId="5C2827D9" w14:textId="77777777" w:rsidTr="00BD68CA">
        <w:trPr>
          <w:cantSplit/>
        </w:trPr>
        <w:tc>
          <w:tcPr>
            <w:tcW w:w="4549" w:type="dxa"/>
          </w:tcPr>
          <w:p w14:paraId="714EF023" w14:textId="77777777" w:rsidR="002B4645" w:rsidRPr="002B4645" w:rsidRDefault="002B4645" w:rsidP="00BD68CA">
            <w:pPr>
              <w:pStyle w:val="StdBodyText"/>
              <w:tabs>
                <w:tab w:val="left" w:pos="4253"/>
              </w:tabs>
              <w:rPr>
                <w:sz w:val="24"/>
              </w:rPr>
            </w:pPr>
            <w:r w:rsidRPr="002B4645">
              <w:rPr>
                <w:rStyle w:val="StdBodyTextBoldChar"/>
                <w:sz w:val="24"/>
              </w:rPr>
              <w:t>SIGNED</w:t>
            </w:r>
            <w:r w:rsidRPr="002B4645">
              <w:rPr>
                <w:sz w:val="24"/>
              </w:rPr>
              <w:t xml:space="preserve"> for and on behalf of</w:t>
            </w:r>
            <w:r w:rsidRPr="002B4645">
              <w:rPr>
                <w:sz w:val="24"/>
              </w:rPr>
              <w:tab/>
              <w:t>)</w:t>
            </w:r>
            <w:r w:rsidRPr="002B4645">
              <w:rPr>
                <w:sz w:val="24"/>
              </w:rPr>
              <w:br/>
            </w:r>
            <w:r w:rsidRPr="002B4645">
              <w:rPr>
                <w:b/>
                <w:sz w:val="24"/>
              </w:rPr>
              <w:t>ERNST &amp; YOUNG LLP</w:t>
            </w:r>
            <w:r w:rsidRPr="002B4645">
              <w:rPr>
                <w:sz w:val="24"/>
              </w:rPr>
              <w:t xml:space="preserve"> by two members or a member in the presence of a witness:</w:t>
            </w:r>
            <w:r w:rsidRPr="002B4645">
              <w:rPr>
                <w:sz w:val="24"/>
              </w:rPr>
              <w:tab/>
              <w:t>)</w:t>
            </w:r>
            <w:r w:rsidRPr="002B4645">
              <w:rPr>
                <w:sz w:val="24"/>
              </w:rPr>
              <w:br/>
            </w:r>
            <w:r w:rsidRPr="002B4645">
              <w:rPr>
                <w:sz w:val="24"/>
              </w:rPr>
              <w:tab/>
              <w:t>)</w:t>
            </w:r>
            <w:r w:rsidRPr="002B4645">
              <w:rPr>
                <w:sz w:val="24"/>
              </w:rPr>
              <w:br/>
            </w:r>
            <w:r w:rsidRPr="002B4645">
              <w:rPr>
                <w:sz w:val="24"/>
              </w:rPr>
              <w:tab/>
              <w:t>)</w:t>
            </w:r>
          </w:p>
        </w:tc>
        <w:tc>
          <w:tcPr>
            <w:tcW w:w="4516" w:type="dxa"/>
          </w:tcPr>
          <w:p w14:paraId="7C5F6C97" w14:textId="77777777" w:rsidR="002B4645" w:rsidRPr="002B4645" w:rsidRDefault="002B4645" w:rsidP="00BD68CA">
            <w:pPr>
              <w:pStyle w:val="StdBodyText"/>
              <w:rPr>
                <w:sz w:val="24"/>
              </w:rPr>
            </w:pPr>
            <w:r w:rsidRPr="002B4645">
              <w:rPr>
                <w:sz w:val="24"/>
              </w:rPr>
              <w:br/>
            </w:r>
            <w:r w:rsidRPr="002B4645">
              <w:rPr>
                <w:sz w:val="24"/>
              </w:rPr>
              <w:br/>
            </w:r>
            <w:r w:rsidRPr="002B4645">
              <w:rPr>
                <w:sz w:val="24"/>
              </w:rPr>
              <w:br/>
              <w:t>Signature:</w:t>
            </w:r>
          </w:p>
          <w:p w14:paraId="73D5E30D" w14:textId="77777777" w:rsidR="002B4645" w:rsidRPr="002B4645" w:rsidRDefault="002B4645" w:rsidP="00BD68CA">
            <w:pPr>
              <w:pStyle w:val="StdBodyText"/>
              <w:rPr>
                <w:sz w:val="24"/>
              </w:rPr>
            </w:pPr>
            <w:r w:rsidRPr="002B4645">
              <w:rPr>
                <w:sz w:val="24"/>
              </w:rPr>
              <w:t>Name (block</w:t>
            </w:r>
            <w:r w:rsidRPr="002B4645">
              <w:rPr>
                <w:sz w:val="24"/>
              </w:rPr>
              <w:br/>
              <w:t>capitals):</w:t>
            </w:r>
            <w:r w:rsidRPr="002B4645">
              <w:rPr>
                <w:sz w:val="24"/>
              </w:rPr>
              <w:tab/>
            </w:r>
          </w:p>
          <w:p w14:paraId="6F744FD9" w14:textId="77777777" w:rsidR="002B4645" w:rsidRPr="002B4645" w:rsidRDefault="002B4645" w:rsidP="00BD68CA">
            <w:pPr>
              <w:pStyle w:val="StdBodyTextBold"/>
              <w:tabs>
                <w:tab w:val="left" w:pos="1687"/>
              </w:tabs>
              <w:rPr>
                <w:sz w:val="24"/>
              </w:rPr>
            </w:pPr>
            <w:r w:rsidRPr="002B4645">
              <w:rPr>
                <w:sz w:val="24"/>
              </w:rPr>
              <w:tab/>
              <w:t>Member</w:t>
            </w:r>
          </w:p>
        </w:tc>
      </w:tr>
      <w:tr w:rsidR="002B4645" w:rsidRPr="002B4645" w14:paraId="0734D4EB" w14:textId="77777777" w:rsidTr="00BD68CA">
        <w:trPr>
          <w:cantSplit/>
        </w:trPr>
        <w:tc>
          <w:tcPr>
            <w:tcW w:w="4549" w:type="dxa"/>
          </w:tcPr>
          <w:p w14:paraId="0B8D9EF4" w14:textId="77777777" w:rsidR="002B4645" w:rsidRPr="002B4645" w:rsidRDefault="002B4645" w:rsidP="00BD68CA">
            <w:pPr>
              <w:pStyle w:val="StdBodyText"/>
              <w:tabs>
                <w:tab w:val="left" w:pos="4253"/>
              </w:tabs>
              <w:rPr>
                <w:rStyle w:val="StdBodyTextBoldChar"/>
                <w:sz w:val="24"/>
              </w:rPr>
            </w:pPr>
          </w:p>
        </w:tc>
        <w:tc>
          <w:tcPr>
            <w:tcW w:w="4516" w:type="dxa"/>
          </w:tcPr>
          <w:p w14:paraId="5317B86D" w14:textId="77777777" w:rsidR="002B4645" w:rsidRPr="002B4645" w:rsidRDefault="002B4645" w:rsidP="00BD68CA">
            <w:pPr>
              <w:pStyle w:val="StdBodyText"/>
              <w:rPr>
                <w:sz w:val="24"/>
              </w:rPr>
            </w:pPr>
            <w:r w:rsidRPr="002B4645">
              <w:rPr>
                <w:sz w:val="24"/>
              </w:rPr>
              <w:br/>
              <w:t>Signature:</w:t>
            </w:r>
          </w:p>
          <w:p w14:paraId="500B19DE" w14:textId="77777777" w:rsidR="002B4645" w:rsidRPr="002B4645" w:rsidRDefault="002B4645" w:rsidP="00BD68CA">
            <w:pPr>
              <w:pStyle w:val="StdBodyText"/>
              <w:rPr>
                <w:sz w:val="24"/>
              </w:rPr>
            </w:pPr>
            <w:r w:rsidRPr="002B4645">
              <w:rPr>
                <w:sz w:val="24"/>
              </w:rPr>
              <w:t>Name (block</w:t>
            </w:r>
            <w:r w:rsidRPr="002B4645">
              <w:rPr>
                <w:sz w:val="24"/>
              </w:rPr>
              <w:br/>
              <w:t>capitals):</w:t>
            </w:r>
            <w:r w:rsidRPr="002B4645">
              <w:rPr>
                <w:sz w:val="24"/>
              </w:rPr>
              <w:tab/>
            </w:r>
          </w:p>
          <w:p w14:paraId="54EC458B" w14:textId="77777777" w:rsidR="002B4645" w:rsidRPr="002B4645" w:rsidRDefault="002B4645" w:rsidP="00BD68CA">
            <w:pPr>
              <w:pStyle w:val="StdBodyText"/>
              <w:ind w:left="1826"/>
              <w:rPr>
                <w:b/>
                <w:sz w:val="24"/>
              </w:rPr>
            </w:pPr>
            <w:r w:rsidRPr="002B4645">
              <w:rPr>
                <w:b/>
                <w:sz w:val="24"/>
              </w:rPr>
              <w:t>Member/Witness (delete as applicable)</w:t>
            </w:r>
          </w:p>
        </w:tc>
      </w:tr>
    </w:tbl>
    <w:p w14:paraId="10D8F2AC" w14:textId="77777777" w:rsidR="002B4645" w:rsidRPr="002B4645" w:rsidRDefault="002B4645" w:rsidP="002B4645">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2B4645" w:rsidRPr="002B4645" w14:paraId="2275C421" w14:textId="77777777" w:rsidTr="00BD68CA">
        <w:trPr>
          <w:cantSplit/>
        </w:trPr>
        <w:tc>
          <w:tcPr>
            <w:tcW w:w="4547" w:type="dxa"/>
          </w:tcPr>
          <w:p w14:paraId="6DE265E8" w14:textId="77777777" w:rsidR="002B4645" w:rsidRPr="002B4645" w:rsidRDefault="002B4645" w:rsidP="00BD68CA">
            <w:pPr>
              <w:pStyle w:val="StdBodyText"/>
              <w:tabs>
                <w:tab w:val="left" w:pos="4253"/>
              </w:tabs>
              <w:rPr>
                <w:sz w:val="24"/>
              </w:rPr>
            </w:pPr>
            <w:r w:rsidRPr="002B4645">
              <w:rPr>
                <w:rStyle w:val="StdBodyTextBoldChar"/>
                <w:sz w:val="24"/>
              </w:rPr>
              <w:t>SIGNED</w:t>
            </w:r>
            <w:r w:rsidRPr="002B4645">
              <w:rPr>
                <w:sz w:val="24"/>
              </w:rPr>
              <w:t xml:space="preserve"> for and on behalf of</w:t>
            </w:r>
            <w:r w:rsidRPr="002B4645">
              <w:rPr>
                <w:sz w:val="24"/>
              </w:rPr>
              <w:tab/>
              <w:t>)</w:t>
            </w:r>
            <w:r w:rsidRPr="002B4645">
              <w:rPr>
                <w:sz w:val="24"/>
              </w:rPr>
              <w:br/>
            </w:r>
            <w:r w:rsidRPr="002B4645">
              <w:rPr>
                <w:b/>
                <w:sz w:val="24"/>
              </w:rPr>
              <w:t>THE</w:t>
            </w:r>
            <w:r w:rsidRPr="002B4645">
              <w:rPr>
                <w:sz w:val="24"/>
              </w:rPr>
              <w:t xml:space="preserve"> </w:t>
            </w:r>
            <w:r w:rsidRPr="002B4645">
              <w:rPr>
                <w:b/>
                <w:sz w:val="24"/>
              </w:rPr>
              <w:t>MINISTER FOR THE CABINET OFFICE</w:t>
            </w:r>
            <w:r w:rsidRPr="002B4645">
              <w:rPr>
                <w:sz w:val="24"/>
              </w:rPr>
              <w:tab/>
              <w:t>)</w:t>
            </w:r>
            <w:r w:rsidRPr="002B4645">
              <w:rPr>
                <w:sz w:val="24"/>
              </w:rPr>
              <w:br/>
            </w:r>
            <w:r w:rsidRPr="002B4645">
              <w:rPr>
                <w:sz w:val="24"/>
              </w:rPr>
              <w:tab/>
              <w:t>)</w:t>
            </w:r>
            <w:r w:rsidRPr="002B4645">
              <w:rPr>
                <w:sz w:val="24"/>
              </w:rPr>
              <w:br/>
            </w:r>
            <w:r w:rsidRPr="002B4645">
              <w:rPr>
                <w:sz w:val="24"/>
              </w:rPr>
              <w:tab/>
              <w:t>)</w:t>
            </w:r>
          </w:p>
        </w:tc>
        <w:tc>
          <w:tcPr>
            <w:tcW w:w="4516" w:type="dxa"/>
          </w:tcPr>
          <w:p w14:paraId="216C62AE" w14:textId="77777777" w:rsidR="002B4645" w:rsidRPr="002B4645" w:rsidRDefault="002B4645" w:rsidP="00BD68CA">
            <w:pPr>
              <w:pStyle w:val="StdBodyText"/>
              <w:rPr>
                <w:sz w:val="24"/>
              </w:rPr>
            </w:pPr>
            <w:r w:rsidRPr="002B4645">
              <w:rPr>
                <w:sz w:val="24"/>
              </w:rPr>
              <w:br/>
            </w:r>
            <w:r w:rsidRPr="002B4645">
              <w:rPr>
                <w:sz w:val="24"/>
              </w:rPr>
              <w:br/>
            </w:r>
            <w:r w:rsidRPr="002B4645">
              <w:rPr>
                <w:sz w:val="24"/>
              </w:rPr>
              <w:br/>
              <w:t>Signature:</w:t>
            </w:r>
          </w:p>
          <w:p w14:paraId="5612682E" w14:textId="77777777" w:rsidR="002B4645" w:rsidRPr="002B4645" w:rsidRDefault="002B4645" w:rsidP="00BD68CA">
            <w:pPr>
              <w:pStyle w:val="StdBodyText"/>
              <w:rPr>
                <w:sz w:val="24"/>
              </w:rPr>
            </w:pPr>
            <w:r w:rsidRPr="002B4645">
              <w:rPr>
                <w:sz w:val="24"/>
              </w:rPr>
              <w:t>Name (block</w:t>
            </w:r>
            <w:r w:rsidRPr="002B4645">
              <w:rPr>
                <w:sz w:val="24"/>
              </w:rPr>
              <w:br/>
              <w:t>capitals):</w:t>
            </w:r>
            <w:r w:rsidRPr="002B4645">
              <w:rPr>
                <w:sz w:val="24"/>
              </w:rPr>
              <w:tab/>
            </w:r>
          </w:p>
          <w:p w14:paraId="1B3384AE" w14:textId="77777777" w:rsidR="002B4645" w:rsidRPr="002B4645" w:rsidRDefault="002B4645" w:rsidP="00BD68CA">
            <w:pPr>
              <w:pStyle w:val="StdBodyText"/>
              <w:rPr>
                <w:sz w:val="24"/>
              </w:rPr>
            </w:pPr>
            <w:r w:rsidRPr="002B4645">
              <w:rPr>
                <w:sz w:val="24"/>
              </w:rPr>
              <w:t>Position:</w:t>
            </w:r>
          </w:p>
        </w:tc>
      </w:tr>
    </w:tbl>
    <w:p w14:paraId="76E02A24" w14:textId="66E768E6" w:rsidR="002B4645" w:rsidRPr="002B4645" w:rsidRDefault="002B4645" w:rsidP="00F67E9E"/>
    <w:p w14:paraId="496EFE6E" w14:textId="77777777" w:rsidR="00F67E9E" w:rsidRPr="002B4645" w:rsidRDefault="00F67E9E" w:rsidP="00F67E9E">
      <w:pPr>
        <w:rPr>
          <w:szCs w:val="24"/>
        </w:rPr>
      </w:pPr>
    </w:p>
    <w:p w14:paraId="11949B48" w14:textId="77777777" w:rsidR="00102034" w:rsidRPr="002B4645" w:rsidRDefault="00102034" w:rsidP="00F67E9E">
      <w:pPr>
        <w:rPr>
          <w:szCs w:val="24"/>
        </w:rPr>
      </w:pPr>
    </w:p>
    <w:sectPr w:rsidR="00102034" w:rsidRPr="002B4645" w:rsidSect="00240D26">
      <w:headerReference w:type="default" r:id="rId176"/>
      <w:footerReference w:type="default" r:id="rId177"/>
      <w:pgSz w:w="11900" w:h="16840"/>
      <w:pgMar w:top="1701" w:right="851" w:bottom="1134" w:left="851" w:header="567" w:footer="56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A9F112" w16cid:durableId="183F5425"/>
  <w16cid:commentId w16cid:paraId="08BD8F01" w16cid:durableId="6F5BAC50"/>
  <w16cid:commentId w16cid:paraId="52FBAD64" w16cid:durableId="54F77D48"/>
  <w16cid:commentId w16cid:paraId="55F4537A" w16cid:durableId="3C7C63D9"/>
  <w16cid:commentId w16cid:paraId="679AEF76" w16cid:durableId="517E104F"/>
  <w16cid:commentId w16cid:paraId="7214D974" w16cid:durableId="017DB606"/>
  <w16cid:commentId w16cid:paraId="1ABF8CFB" w16cid:durableId="617209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E8480" w14:textId="77777777" w:rsidR="001A4585" w:rsidRDefault="001A4585" w:rsidP="004A7C2C">
      <w:r>
        <w:separator/>
      </w:r>
    </w:p>
    <w:p w14:paraId="0B3DDC20" w14:textId="77777777" w:rsidR="001A4585" w:rsidRDefault="001A4585"/>
  </w:endnote>
  <w:endnote w:type="continuationSeparator" w:id="0">
    <w:p w14:paraId="2A6F0B33" w14:textId="77777777" w:rsidR="001A4585" w:rsidRDefault="001A4585" w:rsidP="004A7C2C">
      <w:r>
        <w:continuationSeparator/>
      </w:r>
    </w:p>
    <w:p w14:paraId="010D6A1D" w14:textId="77777777" w:rsidR="001A4585" w:rsidRDefault="001A4585"/>
  </w:endnote>
  <w:endnote w:type="continuationNotice" w:id="1">
    <w:p w14:paraId="496C13C7" w14:textId="77777777" w:rsidR="001A4585" w:rsidRDefault="001A4585"/>
    <w:p w14:paraId="523FA5DD" w14:textId="77777777" w:rsidR="001A4585" w:rsidRDefault="001A4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6EC" w14:textId="77777777" w:rsidR="00C23949" w:rsidRDefault="00C2394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556476"/>
      <w:docPartObj>
        <w:docPartGallery w:val="Page Numbers (Bottom of Page)"/>
        <w:docPartUnique/>
      </w:docPartObj>
    </w:sdtPr>
    <w:sdtEndPr>
      <w:rPr>
        <w:noProof/>
      </w:rPr>
    </w:sdtEndPr>
    <w:sdtContent>
      <w:p w14:paraId="706B18BB" w14:textId="6EB22B16" w:rsidR="001A4585" w:rsidRPr="00C23949" w:rsidRDefault="001A4585" w:rsidP="006A5EAC">
        <w:pPr>
          <w:pStyle w:val="Footer"/>
          <w:tabs>
            <w:tab w:val="clear" w:pos="4513"/>
            <w:tab w:val="clear" w:pos="9026"/>
            <w:tab w:val="right" w:pos="10206"/>
          </w:tabs>
          <w:rPr>
            <w:rFonts w:cs="Arial"/>
            <w:color w:val="000000"/>
            <w:sz w:val="14"/>
          </w:rPr>
        </w:pPr>
        <w:r>
          <w:t>Schedule 3 (Performance Levels), Model Services Contract, v2.1</w:t>
        </w:r>
        <w:r>
          <w:tab/>
        </w:r>
        <w:r>
          <w:fldChar w:fldCharType="begin"/>
        </w:r>
        <w:r>
          <w:instrText xml:space="preserve"> PAGE   \* MERGEFORMAT </w:instrText>
        </w:r>
        <w:r>
          <w:fldChar w:fldCharType="separate"/>
        </w:r>
        <w:r w:rsidR="00236244">
          <w:rPr>
            <w:noProof/>
          </w:rPr>
          <w:t>84</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79F41" w14:textId="77777777" w:rsidR="001A4585" w:rsidRPr="00EE0196" w:rsidRDefault="001A4585" w:rsidP="0060661C">
    <w:pPr>
      <w:pBdr>
        <w:top w:val="single" w:sz="4" w:space="10" w:color="auto"/>
      </w:pBdr>
      <w:jc w:val="center"/>
      <w:rPr>
        <w:sz w:val="16"/>
      </w:rPr>
    </w:pPr>
    <w:r w:rsidRPr="00EE0196">
      <w:rPr>
        <w:sz w:val="16"/>
      </w:rPr>
      <w:t xml:space="preserve">Model Services </w:t>
    </w:r>
    <w:r w:rsidRPr="00AE6AFD">
      <w:rPr>
        <w:sz w:val="16"/>
        <w:highlight w:val="green"/>
      </w:rPr>
      <w:t>Contract</w:t>
    </w:r>
    <w:r w:rsidRPr="00EE0196">
      <w:rPr>
        <w:sz w:val="16"/>
      </w:rPr>
      <w:t xml:space="preserve"> Combined </w:t>
    </w:r>
    <w:r w:rsidRPr="00E9603F">
      <w:rPr>
        <w:sz w:val="16"/>
        <w:highlight w:val="magenta"/>
      </w:rPr>
      <w:t>Schedule</w:t>
    </w:r>
    <w:r w:rsidRPr="00EE0196">
      <w:rPr>
        <w:sz w:val="16"/>
      </w:rPr>
      <w:t xml:space="preserve">s v1.09 – </w:t>
    </w:r>
    <w:r w:rsidRPr="00E9603F">
      <w:rPr>
        <w:sz w:val="16"/>
        <w:highlight w:val="magenta"/>
      </w:rPr>
      <w:t>Schedule</w:t>
    </w:r>
    <w:r w:rsidRPr="00EE0196">
      <w:rPr>
        <w:sz w:val="16"/>
      </w:rPr>
      <w:t xml:space="preserve"> 2.3</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926864"/>
      <w:docPartObj>
        <w:docPartGallery w:val="Page Numbers (Bottom of Page)"/>
        <w:docPartUnique/>
      </w:docPartObj>
    </w:sdtPr>
    <w:sdtEndPr>
      <w:rPr>
        <w:noProof/>
      </w:rPr>
    </w:sdtEndPr>
    <w:sdtContent>
      <w:p w14:paraId="5C3764CF" w14:textId="4FF14FDD" w:rsidR="001A4585" w:rsidRPr="00C23949" w:rsidRDefault="001A4585" w:rsidP="006A5EAC">
        <w:pPr>
          <w:pStyle w:val="Footer"/>
          <w:tabs>
            <w:tab w:val="clear" w:pos="4513"/>
            <w:tab w:val="clear" w:pos="9026"/>
            <w:tab w:val="right" w:pos="10206"/>
          </w:tabs>
          <w:rPr>
            <w:rFonts w:cs="Arial"/>
            <w:color w:val="000000"/>
            <w:sz w:val="14"/>
          </w:rPr>
        </w:pPr>
        <w:r>
          <w:t>Schedule 4 (Standards), Model Services Contract, v2.1</w:t>
        </w:r>
        <w:r>
          <w:tab/>
        </w:r>
        <w:r>
          <w:fldChar w:fldCharType="begin"/>
        </w:r>
        <w:r>
          <w:instrText xml:space="preserve"> PAGE   \* MERGEFORMAT </w:instrText>
        </w:r>
        <w:r>
          <w:fldChar w:fldCharType="separate"/>
        </w:r>
        <w:r w:rsidR="00236244">
          <w:rPr>
            <w:noProof/>
          </w:rPr>
          <w:t>93</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B287" w14:textId="77777777" w:rsidR="001A4585" w:rsidRPr="00EE0196" w:rsidRDefault="001A4585" w:rsidP="00C96862">
    <w:pPr>
      <w:pBdr>
        <w:top w:val="single" w:sz="4" w:space="10" w:color="auto"/>
      </w:pBdr>
      <w:jc w:val="center"/>
      <w:rPr>
        <w:sz w:val="16"/>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28B8" w14:textId="77777777" w:rsidR="001A4585" w:rsidRDefault="001A4585">
    <w:pPr>
      <w:widowControl w:val="0"/>
      <w:pBdr>
        <w:top w:val="nil"/>
        <w:left w:val="nil"/>
        <w:bottom w:val="nil"/>
        <w:right w:val="nil"/>
        <w:between w:val="nil"/>
      </w:pBdr>
      <w:spacing w:line="276" w:lineRule="auto"/>
      <w:rPr>
        <w:color w:val="000000"/>
        <w:sz w:val="16"/>
        <w:szCs w:val="16"/>
      </w:rPr>
    </w:pPr>
  </w:p>
  <w:tbl>
    <w:tblPr>
      <w:tblW w:w="9026" w:type="dxa"/>
      <w:tblBorders>
        <w:top w:val="single" w:sz="4" w:space="0" w:color="7D7D7D"/>
      </w:tblBorders>
      <w:tblLayout w:type="fixed"/>
      <w:tblLook w:val="0400" w:firstRow="0" w:lastRow="0" w:firstColumn="0" w:lastColumn="0" w:noHBand="0" w:noVBand="1"/>
    </w:tblPr>
    <w:tblGrid>
      <w:gridCol w:w="7510"/>
      <w:gridCol w:w="1516"/>
    </w:tblGrid>
    <w:tr w:rsidR="001A4585" w14:paraId="4DA9AA24" w14:textId="77777777">
      <w:trPr>
        <w:trHeight w:val="80"/>
      </w:trPr>
      <w:tc>
        <w:tcPr>
          <w:tcW w:w="7510" w:type="dxa"/>
          <w:tcBorders>
            <w:top w:val="single" w:sz="4" w:space="0" w:color="7D7D7D"/>
          </w:tcBorders>
        </w:tcPr>
        <w:p w14:paraId="039CE0E8" w14:textId="77777777" w:rsidR="001A4585" w:rsidRDefault="001A4585">
          <w:pPr>
            <w:pBdr>
              <w:top w:val="nil"/>
              <w:left w:val="nil"/>
              <w:bottom w:val="nil"/>
              <w:right w:val="nil"/>
              <w:between w:val="nil"/>
            </w:pBdr>
            <w:tabs>
              <w:tab w:val="center" w:pos="4153"/>
              <w:tab w:val="right" w:pos="8306"/>
            </w:tabs>
            <w:spacing w:before="60"/>
            <w:ind w:left="-105"/>
            <w:jc w:val="both"/>
            <w:rPr>
              <w:rFonts w:eastAsia="Arial" w:cs="Arial"/>
              <w:b/>
              <w:color w:val="000000"/>
              <w:sz w:val="16"/>
              <w:szCs w:val="16"/>
            </w:rPr>
          </w:pPr>
          <w:r>
            <w:rPr>
              <w:rFonts w:eastAsia="Arial" w:cs="Arial"/>
              <w:color w:val="000000"/>
              <w:sz w:val="16"/>
              <w:szCs w:val="16"/>
            </w:rPr>
            <w:t>Security Management Schedule for MSC (Authority-led Assurance)</w:t>
          </w:r>
        </w:p>
      </w:tc>
      <w:tc>
        <w:tcPr>
          <w:tcW w:w="1516" w:type="dxa"/>
          <w:tcBorders>
            <w:top w:val="single" w:sz="4" w:space="0" w:color="7D7D7D"/>
          </w:tcBorders>
        </w:tcPr>
        <w:p w14:paraId="346CD164" w14:textId="7AFC1DA3" w:rsidR="001A4585" w:rsidRDefault="001A4585">
          <w:pPr>
            <w:pBdr>
              <w:top w:val="nil"/>
              <w:left w:val="nil"/>
              <w:bottom w:val="nil"/>
              <w:right w:val="nil"/>
              <w:between w:val="nil"/>
            </w:pBdr>
            <w:tabs>
              <w:tab w:val="center" w:pos="4153"/>
              <w:tab w:val="right" w:pos="8306"/>
            </w:tabs>
            <w:spacing w:before="60"/>
            <w:jc w:val="right"/>
            <w:rPr>
              <w:rFonts w:eastAsia="Arial" w:cs="Arial"/>
              <w:b/>
              <w:color w:val="000000"/>
              <w:sz w:val="16"/>
              <w:szCs w:val="16"/>
            </w:rPr>
          </w:pPr>
          <w:r>
            <w:rPr>
              <w:rFonts w:eastAsia="Arial" w:cs="Arial"/>
              <w:color w:val="000000"/>
              <w:sz w:val="16"/>
              <w:szCs w:val="16"/>
            </w:rPr>
            <w:t xml:space="preserve"> | </w:t>
          </w:r>
          <w:r>
            <w:rPr>
              <w:color w:val="000000"/>
              <w:sz w:val="16"/>
              <w:szCs w:val="16"/>
            </w:rPr>
            <w:fldChar w:fldCharType="begin"/>
          </w:r>
          <w:r>
            <w:rPr>
              <w:rFonts w:eastAsia="Arial" w:cs="Arial"/>
              <w:color w:val="000000"/>
              <w:sz w:val="16"/>
              <w:szCs w:val="16"/>
            </w:rPr>
            <w:instrText>PAGE</w:instrText>
          </w:r>
          <w:r>
            <w:rPr>
              <w:color w:val="000000"/>
              <w:sz w:val="16"/>
              <w:szCs w:val="16"/>
            </w:rPr>
            <w:fldChar w:fldCharType="separate"/>
          </w:r>
          <w:r w:rsidR="00236244">
            <w:rPr>
              <w:rFonts w:eastAsia="Arial" w:cs="Arial"/>
              <w:noProof/>
              <w:color w:val="000000"/>
              <w:sz w:val="16"/>
              <w:szCs w:val="16"/>
            </w:rPr>
            <w:t>186</w:t>
          </w:r>
          <w:r>
            <w:rPr>
              <w:color w:val="000000"/>
              <w:sz w:val="16"/>
              <w:szCs w:val="16"/>
            </w:rPr>
            <w:fldChar w:fldCharType="end"/>
          </w:r>
        </w:p>
      </w:tc>
    </w:tr>
  </w:tbl>
  <w:p w14:paraId="00F1057E" w14:textId="78693303" w:rsidR="001A4585" w:rsidRPr="001937F8" w:rsidRDefault="001A4585" w:rsidP="0029093D">
    <w:pPr>
      <w:widowControl w:val="0"/>
      <w:pBdr>
        <w:top w:val="nil"/>
        <w:left w:val="nil"/>
        <w:bottom w:val="nil"/>
        <w:right w:val="nil"/>
        <w:between w:val="nil"/>
      </w:pBdr>
      <w:spacing w:line="276" w:lineRule="auto"/>
      <w:rPr>
        <w:rFonts w:cs="Arial"/>
        <w:color w:val="000000"/>
        <w:sz w:val="14"/>
        <w:szCs w:val="16"/>
      </w:rPr>
    </w:pPr>
    <w:r>
      <w:rPr>
        <w:rFonts w:cs="Arial"/>
        <w:color w:val="000000"/>
        <w:sz w:val="14"/>
        <w:szCs w:val="16"/>
      </w:rPr>
      <w:fldChar w:fldCharType="begin"/>
    </w:r>
    <w:r>
      <w:rPr>
        <w:rFonts w:cs="Arial"/>
        <w:color w:val="000000"/>
        <w:sz w:val="14"/>
        <w:szCs w:val="16"/>
      </w:rPr>
      <w:instrText xml:space="preserve"> DOCPROPERTY "DWFFooter"  \* MERGEFORMAT </w:instrText>
    </w:r>
    <w:r>
      <w:rPr>
        <w:rFonts w:cs="Arial"/>
        <w:color w:val="000000"/>
        <w:sz w:val="14"/>
        <w:szCs w:val="16"/>
      </w:rPr>
      <w:fldChar w:fldCharType="separate"/>
    </w:r>
    <w:r w:rsidR="00C23949">
      <w:rPr>
        <w:rFonts w:cs="Arial"/>
        <w:color w:val="000000"/>
        <w:sz w:val="14"/>
        <w:szCs w:val="16"/>
      </w:rPr>
      <w:t>91617000-1</w:t>
    </w:r>
    <w:r>
      <w:rPr>
        <w:rFonts w:cs="Arial"/>
        <w:color w:val="000000"/>
        <w:sz w:val="14"/>
        <w:szCs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4CF5" w14:textId="000E27E3" w:rsidR="001A4585" w:rsidRDefault="001A4585">
    <w:pPr>
      <w:pBdr>
        <w:top w:val="nil"/>
        <w:left w:val="nil"/>
        <w:bottom w:val="nil"/>
        <w:right w:val="nil"/>
        <w:between w:val="nil"/>
      </w:pBdr>
      <w:tabs>
        <w:tab w:val="center" w:pos="4153"/>
        <w:tab w:val="right" w:pos="8306"/>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C23949">
      <w:rPr>
        <w:noProof/>
        <w:color w:val="000000"/>
        <w:sz w:val="16"/>
        <w:szCs w:val="16"/>
      </w:rPr>
      <w:t>98</w:t>
    </w:r>
    <w:r>
      <w:rPr>
        <w:color w:val="000000"/>
        <w:sz w:val="16"/>
        <w:szCs w:val="16"/>
      </w:rPr>
      <w:fldChar w:fldCharType="end"/>
    </w:r>
  </w:p>
  <w:p w14:paraId="4DBD0A3A" w14:textId="77777777" w:rsidR="001A4585" w:rsidRDefault="001A4585">
    <w:pPr>
      <w:pBdr>
        <w:top w:val="nil"/>
        <w:left w:val="nil"/>
        <w:bottom w:val="nil"/>
        <w:right w:val="nil"/>
        <w:between w:val="nil"/>
      </w:pBdr>
      <w:tabs>
        <w:tab w:val="center" w:pos="4153"/>
        <w:tab w:val="right" w:pos="8306"/>
      </w:tabs>
      <w:ind w:right="360"/>
      <w:jc w:val="both"/>
      <w:rPr>
        <w:color w:val="000000"/>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1D983" w14:textId="77777777" w:rsidR="001A4585" w:rsidRDefault="001A4585">
    <w:pPr>
      <w:pBdr>
        <w:top w:val="single" w:sz="6" w:space="1" w:color="000000"/>
        <w:left w:val="nil"/>
        <w:bottom w:val="nil"/>
        <w:right w:val="nil"/>
        <w:between w:val="nil"/>
      </w:pBdr>
      <w:tabs>
        <w:tab w:val="center" w:pos="4153"/>
        <w:tab w:val="right" w:pos="8306"/>
      </w:tabs>
      <w:jc w:val="both"/>
      <w:rPr>
        <w:color w:val="000000"/>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C436" w14:textId="77777777" w:rsidR="001A4585" w:rsidRDefault="001A4585">
    <w:pPr>
      <w:pBdr>
        <w:top w:val="nil"/>
        <w:left w:val="nil"/>
        <w:bottom w:val="nil"/>
        <w:right w:val="nil"/>
        <w:between w:val="nil"/>
      </w:pBdr>
      <w:tabs>
        <w:tab w:val="center" w:pos="4153"/>
        <w:tab w:val="right" w:pos="8306"/>
      </w:tabs>
      <w:jc w:val="both"/>
      <w:rPr>
        <w:color w:val="000000"/>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7CA4" w14:textId="77777777" w:rsidR="001A4585" w:rsidRDefault="001A4585">
    <w:pPr>
      <w:pBdr>
        <w:top w:val="nil"/>
        <w:left w:val="nil"/>
        <w:bottom w:val="nil"/>
        <w:right w:val="nil"/>
        <w:between w:val="nil"/>
      </w:pBdr>
      <w:tabs>
        <w:tab w:val="center" w:pos="4153"/>
        <w:tab w:val="right" w:pos="8306"/>
      </w:tabs>
      <w:jc w:val="both"/>
      <w:rPr>
        <w:color w:val="000000"/>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92B7" w14:textId="77777777" w:rsidR="001A4585" w:rsidRDefault="001A4585">
    <w:pPr>
      <w:pBdr>
        <w:top w:val="nil"/>
        <w:left w:val="nil"/>
        <w:bottom w:val="nil"/>
        <w:right w:val="nil"/>
        <w:between w:val="nil"/>
      </w:pBdr>
      <w:tabs>
        <w:tab w:val="center" w:pos="4153"/>
        <w:tab w:val="right" w:pos="8306"/>
      </w:tabs>
      <w:jc w:val="both"/>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397181"/>
      <w:docPartObj>
        <w:docPartGallery w:val="Page Numbers (Bottom of Page)"/>
        <w:docPartUnique/>
      </w:docPartObj>
    </w:sdtPr>
    <w:sdtEndPr>
      <w:rPr>
        <w:noProof/>
      </w:rPr>
    </w:sdtEndPr>
    <w:sdtContent>
      <w:p w14:paraId="3B5C9E40" w14:textId="62A70BC2" w:rsidR="001A4585" w:rsidRPr="00C23949" w:rsidRDefault="001A4585" w:rsidP="00CD26AF">
        <w:pPr>
          <w:pStyle w:val="Footer"/>
          <w:tabs>
            <w:tab w:val="clear" w:pos="4513"/>
            <w:tab w:val="clear" w:pos="9026"/>
            <w:tab w:val="right" w:pos="10206"/>
          </w:tabs>
          <w:rPr>
            <w:rFonts w:cs="Arial"/>
            <w:color w:val="000000"/>
            <w:sz w:val="14"/>
          </w:rPr>
        </w:pPr>
        <w:r>
          <w:t>(Combined Schedules) Model Services Contract, (Version 2.0A)</w:t>
        </w:r>
        <w:r>
          <w:tab/>
        </w:r>
        <w:r>
          <w:fldChar w:fldCharType="begin"/>
        </w:r>
        <w:r>
          <w:instrText xml:space="preserve"> PAGE   \* MERGEFORMAT </w:instrText>
        </w:r>
        <w:r>
          <w:fldChar w:fldCharType="separate"/>
        </w:r>
        <w:r w:rsidR="00236244">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BC8B3" w14:textId="77777777" w:rsidR="001A4585" w:rsidRDefault="001A4585">
    <w:pPr>
      <w:pBdr>
        <w:top w:val="nil"/>
        <w:left w:val="nil"/>
        <w:bottom w:val="nil"/>
        <w:right w:val="nil"/>
        <w:between w:val="nil"/>
      </w:pBdr>
      <w:tabs>
        <w:tab w:val="center" w:pos="4153"/>
        <w:tab w:val="right" w:pos="8306"/>
      </w:tabs>
      <w:jc w:val="both"/>
      <w:rPr>
        <w:color w:val="000000"/>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F0326" w14:textId="77777777" w:rsidR="001A4585" w:rsidRDefault="001A4585">
    <w:pPr>
      <w:pBdr>
        <w:top w:val="nil"/>
        <w:left w:val="nil"/>
        <w:bottom w:val="nil"/>
        <w:right w:val="nil"/>
        <w:between w:val="nil"/>
      </w:pBdr>
      <w:tabs>
        <w:tab w:val="center" w:pos="4153"/>
        <w:tab w:val="right" w:pos="8306"/>
      </w:tabs>
      <w:jc w:val="both"/>
      <w:rPr>
        <w:color w:val="000000"/>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ED7FC" w14:textId="77777777" w:rsidR="001A4585" w:rsidRDefault="001A4585">
    <w:pPr>
      <w:pBdr>
        <w:top w:val="nil"/>
        <w:left w:val="nil"/>
        <w:bottom w:val="nil"/>
        <w:right w:val="nil"/>
        <w:between w:val="nil"/>
      </w:pBdr>
      <w:tabs>
        <w:tab w:val="center" w:pos="4153"/>
        <w:tab w:val="right" w:pos="8306"/>
      </w:tabs>
      <w:jc w:val="both"/>
      <w:rPr>
        <w:color w:val="000000"/>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BB61" w14:textId="77777777" w:rsidR="001A4585" w:rsidRDefault="001A4585">
    <w:pPr>
      <w:pBdr>
        <w:top w:val="nil"/>
        <w:left w:val="nil"/>
        <w:bottom w:val="nil"/>
        <w:right w:val="nil"/>
        <w:between w:val="nil"/>
      </w:pBdr>
      <w:tabs>
        <w:tab w:val="center" w:pos="4153"/>
        <w:tab w:val="right" w:pos="8306"/>
      </w:tabs>
      <w:jc w:val="both"/>
      <w:rPr>
        <w:color w:val="000000"/>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7363" w14:textId="77777777" w:rsidR="001A4585" w:rsidRDefault="001A4585">
    <w:pPr>
      <w:pBdr>
        <w:top w:val="nil"/>
        <w:left w:val="nil"/>
        <w:bottom w:val="nil"/>
        <w:right w:val="nil"/>
        <w:between w:val="nil"/>
      </w:pBdr>
      <w:tabs>
        <w:tab w:val="center" w:pos="4153"/>
        <w:tab w:val="right" w:pos="8306"/>
      </w:tabs>
      <w:jc w:val="both"/>
      <w:rPr>
        <w:color w:val="000000"/>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366194"/>
      <w:docPartObj>
        <w:docPartGallery w:val="Page Numbers (Bottom of Page)"/>
        <w:docPartUnique/>
      </w:docPartObj>
    </w:sdtPr>
    <w:sdtEndPr>
      <w:rPr>
        <w:noProof/>
      </w:rPr>
    </w:sdtEndPr>
    <w:sdtContent>
      <w:p w14:paraId="0A414611" w14:textId="5AEE90A7" w:rsidR="001A4585" w:rsidRPr="00C23949" w:rsidRDefault="001A4585" w:rsidP="006A5EAC">
        <w:pPr>
          <w:pStyle w:val="Footer"/>
          <w:tabs>
            <w:tab w:val="clear" w:pos="4513"/>
            <w:tab w:val="clear" w:pos="9026"/>
            <w:tab w:val="right" w:pos="10206"/>
          </w:tabs>
          <w:rPr>
            <w:rFonts w:cs="Arial"/>
            <w:color w:val="000000"/>
            <w:sz w:val="14"/>
          </w:rPr>
        </w:pPr>
        <w:r>
          <w:t>Schedule 5 (Security Management), Model Services Contract, v2.1</w:t>
        </w:r>
        <w:r>
          <w:tab/>
        </w:r>
        <w:r>
          <w:fldChar w:fldCharType="begin"/>
        </w:r>
        <w:r>
          <w:instrText xml:space="preserve"> PAGE   \* MERGEFORMAT </w:instrText>
        </w:r>
        <w:r>
          <w:fldChar w:fldCharType="separate"/>
        </w:r>
        <w:r w:rsidR="00236244">
          <w:rPr>
            <w:noProof/>
          </w:rPr>
          <w:t>187</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193D" w14:textId="77777777" w:rsidR="001A4585" w:rsidRPr="00200027" w:rsidRDefault="001A4585" w:rsidP="0060661C">
    <w:pPr>
      <w:pStyle w:val="Footer"/>
      <w:rPr>
        <w:sz w:val="20"/>
        <w:lang w:val="fr-FR"/>
      </w:rPr>
    </w:pPr>
    <w:r w:rsidRPr="00200027">
      <w:rPr>
        <w:sz w:val="20"/>
        <w:lang w:val="fr-FR"/>
      </w:rPr>
      <w:t xml:space="preserve">Model Services </w:t>
    </w:r>
    <w:r w:rsidRPr="00200027">
      <w:rPr>
        <w:sz w:val="20"/>
        <w:highlight w:val="green"/>
        <w:lang w:val="fr-FR"/>
      </w:rPr>
      <w:t>Contract</w:t>
    </w:r>
    <w:r w:rsidRPr="00200027">
      <w:rPr>
        <w:sz w:val="20"/>
        <w:lang w:val="fr-FR"/>
      </w:rPr>
      <w:t xml:space="preserve"> Version 2.0</w:t>
    </w:r>
  </w:p>
  <w:p w14:paraId="78EF0895" w14:textId="77777777" w:rsidR="001A4585" w:rsidRPr="00200027" w:rsidRDefault="001A4585" w:rsidP="0060661C">
    <w:pPr>
      <w:pStyle w:val="Footer"/>
      <w:rPr>
        <w:sz w:val="20"/>
        <w:lang w:val="fr-FR"/>
      </w:rPr>
    </w:pPr>
  </w:p>
  <w:p w14:paraId="05292AA7" w14:textId="77777777" w:rsidR="001A4585" w:rsidRPr="00200027" w:rsidRDefault="001A4585" w:rsidP="0060661C">
    <w:pPr>
      <w:pStyle w:val="Footer"/>
      <w:rPr>
        <w:sz w:val="20"/>
        <w:lang w:val="fr-FR"/>
      </w:rPr>
    </w:pPr>
    <w:r w:rsidRPr="00200027">
      <w:rPr>
        <w:sz w:val="20"/>
        <w:lang w:val="fr-FR"/>
      </w:rPr>
      <w:t>Project version 1.0</w:t>
    </w:r>
  </w:p>
  <w:p w14:paraId="1755F926" w14:textId="77777777" w:rsidR="001A4585" w:rsidRPr="00200027" w:rsidRDefault="001A4585" w:rsidP="0060661C">
    <w:pPr>
      <w:pBdr>
        <w:top w:val="single" w:sz="4" w:space="10" w:color="auto"/>
      </w:pBdr>
      <w:jc w:val="center"/>
      <w:rPr>
        <w:sz w:val="16"/>
        <w:lang w:val="fr-FR"/>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769503"/>
      <w:docPartObj>
        <w:docPartGallery w:val="Page Numbers (Bottom of Page)"/>
        <w:docPartUnique/>
      </w:docPartObj>
    </w:sdtPr>
    <w:sdtEndPr>
      <w:rPr>
        <w:noProof/>
      </w:rPr>
    </w:sdtEndPr>
    <w:sdtContent>
      <w:p w14:paraId="1011C8B0" w14:textId="7DC1331B" w:rsidR="001A4585" w:rsidRPr="00C23949" w:rsidRDefault="001A4585" w:rsidP="006A5EAC">
        <w:pPr>
          <w:pStyle w:val="Footer"/>
          <w:tabs>
            <w:tab w:val="clear" w:pos="4513"/>
            <w:tab w:val="clear" w:pos="9026"/>
            <w:tab w:val="right" w:pos="10206"/>
          </w:tabs>
          <w:rPr>
            <w:rFonts w:cs="Arial"/>
            <w:color w:val="000000"/>
            <w:sz w:val="14"/>
          </w:rPr>
        </w:pPr>
        <w:r>
          <w:t>Schedule 6 (Insurance Requirements), Model Services Contract, v2.1</w:t>
        </w:r>
        <w:r>
          <w:tab/>
        </w:r>
        <w:r>
          <w:fldChar w:fldCharType="begin"/>
        </w:r>
        <w:r>
          <w:instrText xml:space="preserve"> PAGE   \* MERGEFORMAT </w:instrText>
        </w:r>
        <w:r>
          <w:fldChar w:fldCharType="separate"/>
        </w:r>
        <w:r w:rsidR="00236244">
          <w:rPr>
            <w:noProof/>
          </w:rPr>
          <w:t>197</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36E2" w14:textId="77777777" w:rsidR="001A4585" w:rsidRPr="00EE0196" w:rsidRDefault="001A4585" w:rsidP="0060661C">
    <w:pPr>
      <w:pBdr>
        <w:top w:val="single" w:sz="4" w:space="10" w:color="auto"/>
      </w:pBdr>
      <w:jc w:val="center"/>
      <w:rPr>
        <w:sz w:val="16"/>
      </w:rPr>
    </w:pPr>
    <w:r w:rsidRPr="00EE0196">
      <w:rPr>
        <w:sz w:val="16"/>
      </w:rPr>
      <w:t xml:space="preserve">Model Services </w:t>
    </w:r>
    <w:r w:rsidRPr="00AE6AFD">
      <w:rPr>
        <w:sz w:val="16"/>
        <w:highlight w:val="green"/>
      </w:rPr>
      <w:t>Contract</w:t>
    </w:r>
    <w:r w:rsidRPr="00EE0196">
      <w:rPr>
        <w:sz w:val="16"/>
      </w:rPr>
      <w:t xml:space="preserve"> Combined </w:t>
    </w:r>
    <w:r w:rsidRPr="00E9603F">
      <w:rPr>
        <w:sz w:val="16"/>
        <w:highlight w:val="magenta"/>
      </w:rPr>
      <w:t>Schedule</w:t>
    </w:r>
    <w:r w:rsidRPr="00EE0196">
      <w:rPr>
        <w:sz w:val="16"/>
      </w:rPr>
      <w:t xml:space="preserve">s v1.09 – </w:t>
    </w:r>
    <w:r w:rsidRPr="00E9603F">
      <w:rPr>
        <w:sz w:val="16"/>
        <w:highlight w:val="magenta"/>
      </w:rPr>
      <w:t>Schedule</w:t>
    </w:r>
    <w:r w:rsidRPr="00EE0196">
      <w:rPr>
        <w:sz w:val="16"/>
      </w:rPr>
      <w:t xml:space="preserve"> 5</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321279"/>
      <w:docPartObj>
        <w:docPartGallery w:val="Page Numbers (Bottom of Page)"/>
        <w:docPartUnique/>
      </w:docPartObj>
    </w:sdtPr>
    <w:sdtEndPr>
      <w:rPr>
        <w:noProof/>
      </w:rPr>
    </w:sdtEndPr>
    <w:sdtContent>
      <w:p w14:paraId="252C7481" w14:textId="58097EB3" w:rsidR="001A4585" w:rsidRPr="00C23949" w:rsidRDefault="001A4585" w:rsidP="006A5EAC">
        <w:pPr>
          <w:pStyle w:val="Footer"/>
          <w:tabs>
            <w:tab w:val="clear" w:pos="4513"/>
            <w:tab w:val="clear" w:pos="9026"/>
            <w:tab w:val="right" w:pos="10206"/>
          </w:tabs>
          <w:rPr>
            <w:rFonts w:cs="Arial"/>
            <w:color w:val="000000"/>
            <w:sz w:val="14"/>
          </w:rPr>
        </w:pPr>
        <w:r>
          <w:t>Schedule 7 (Authority Respnsibilities), Model Services Contract, v2.1</w:t>
        </w:r>
        <w:r>
          <w:tab/>
        </w:r>
        <w:r>
          <w:fldChar w:fldCharType="begin"/>
        </w:r>
        <w:r>
          <w:instrText xml:space="preserve"> PAGE   \* MERGEFORMAT </w:instrText>
        </w:r>
        <w:r>
          <w:fldChar w:fldCharType="separate"/>
        </w:r>
        <w:r w:rsidR="00236244">
          <w:rPr>
            <w:noProof/>
          </w:rPr>
          <w:t>200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C870" w14:textId="77777777" w:rsidR="001A4585" w:rsidRDefault="001A4585">
    <w:pPr>
      <w:pBdr>
        <w:top w:val="nil"/>
        <w:left w:val="nil"/>
        <w:bottom w:val="nil"/>
        <w:right w:val="nil"/>
        <w:between w:val="nil"/>
      </w:pBdr>
      <w:tabs>
        <w:tab w:val="center" w:pos="4513"/>
        <w:tab w:val="right" w:pos="9026"/>
      </w:tabs>
      <w:rPr>
        <w:color w:val="000000"/>
        <w:szCs w:val="24"/>
      </w:rPr>
    </w:pPr>
    <w:r>
      <w:rPr>
        <w:color w:val="000000"/>
        <w:szCs w:val="24"/>
      </w:rPr>
      <w:t>[Type here]</w:t>
    </w:r>
  </w:p>
  <w:p w14:paraId="04A05D1D" w14:textId="77777777" w:rsidR="001A4585" w:rsidRDefault="001A4585">
    <w:pPr>
      <w:pBdr>
        <w:top w:val="single" w:sz="4" w:space="18" w:color="000000"/>
      </w:pBdr>
      <w:rPr>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050406"/>
      <w:docPartObj>
        <w:docPartGallery w:val="Page Numbers (Bottom of Page)"/>
        <w:docPartUnique/>
      </w:docPartObj>
    </w:sdtPr>
    <w:sdtEndPr>
      <w:rPr>
        <w:noProof/>
      </w:rPr>
    </w:sdtEndPr>
    <w:sdtContent>
      <w:p w14:paraId="6E21E1FF" w14:textId="775575D8" w:rsidR="001A4585" w:rsidRPr="00C23949" w:rsidRDefault="001A4585" w:rsidP="006A5EAC">
        <w:pPr>
          <w:pStyle w:val="Footer"/>
          <w:tabs>
            <w:tab w:val="clear" w:pos="4513"/>
            <w:tab w:val="clear" w:pos="9026"/>
            <w:tab w:val="right" w:pos="10206"/>
          </w:tabs>
          <w:rPr>
            <w:rFonts w:cs="Arial"/>
            <w:color w:val="000000"/>
            <w:sz w:val="14"/>
          </w:rPr>
        </w:pPr>
        <w:r>
          <w:t>Schedule 8 (Supplier Solution), Model Services Contract, v2.1</w:t>
        </w:r>
        <w:r>
          <w:tab/>
        </w:r>
        <w:r>
          <w:fldChar w:fldCharType="begin"/>
        </w:r>
        <w:r>
          <w:instrText xml:space="preserve"> PAGE   \* MERGEFORMAT </w:instrText>
        </w:r>
        <w:r>
          <w:fldChar w:fldCharType="separate"/>
        </w:r>
        <w:r w:rsidR="00236244">
          <w:rPr>
            <w:noProof/>
          </w:rPr>
          <w:t>202</w:t>
        </w:r>
        <w:r>
          <w:rPr>
            <w:noProof/>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297333"/>
      <w:docPartObj>
        <w:docPartGallery w:val="Page Numbers (Bottom of Page)"/>
        <w:docPartUnique/>
      </w:docPartObj>
    </w:sdtPr>
    <w:sdtEndPr>
      <w:rPr>
        <w:noProof/>
      </w:rPr>
    </w:sdtEndPr>
    <w:sdtContent>
      <w:p w14:paraId="0A1E90E9" w14:textId="1A45D62C" w:rsidR="001A4585" w:rsidRPr="00C23949" w:rsidRDefault="001A4585" w:rsidP="006A5EAC">
        <w:pPr>
          <w:pStyle w:val="Footer"/>
          <w:tabs>
            <w:tab w:val="clear" w:pos="4513"/>
            <w:tab w:val="clear" w:pos="9026"/>
            <w:tab w:val="right" w:pos="10206"/>
          </w:tabs>
          <w:rPr>
            <w:rFonts w:cs="Arial"/>
            <w:color w:val="000000"/>
            <w:sz w:val="14"/>
          </w:rPr>
        </w:pPr>
        <w:r>
          <w:t>Schedule 9 (Commercial Sensitive Information), Model Services Contract, v2.1</w:t>
        </w:r>
        <w:r>
          <w:tab/>
        </w:r>
        <w:r>
          <w:fldChar w:fldCharType="begin"/>
        </w:r>
        <w:r>
          <w:instrText xml:space="preserve"> PAGE   \* MERGEFORMAT </w:instrText>
        </w:r>
        <w:r>
          <w:fldChar w:fldCharType="separate"/>
        </w:r>
        <w:r w:rsidR="00236244">
          <w:rPr>
            <w:noProof/>
          </w:rPr>
          <w:t>204</w:t>
        </w:r>
        <w:r>
          <w:rPr>
            <w:noProof/>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026301"/>
      <w:docPartObj>
        <w:docPartGallery w:val="Page Numbers (Bottom of Page)"/>
        <w:docPartUnique/>
      </w:docPartObj>
    </w:sdtPr>
    <w:sdtEndPr>
      <w:rPr>
        <w:noProof/>
      </w:rPr>
    </w:sdtEndPr>
    <w:sdtContent>
      <w:p w14:paraId="0C6796C2" w14:textId="2A3AF5AC" w:rsidR="001A4585" w:rsidRPr="00C23949" w:rsidRDefault="001A4585" w:rsidP="006A5EAC">
        <w:pPr>
          <w:pStyle w:val="Footer"/>
          <w:tabs>
            <w:tab w:val="clear" w:pos="4513"/>
            <w:tab w:val="clear" w:pos="9026"/>
            <w:tab w:val="right" w:pos="10206"/>
          </w:tabs>
          <w:rPr>
            <w:rFonts w:cs="Arial"/>
            <w:color w:val="000000"/>
            <w:sz w:val="14"/>
          </w:rPr>
        </w:pPr>
        <w:r>
          <w:t>Schedule 10 (Notified Key Sub-Contractors), Model Services Contract), v2.1</w:t>
        </w:r>
        <w:r>
          <w:tab/>
        </w:r>
        <w:r>
          <w:fldChar w:fldCharType="begin"/>
        </w:r>
        <w:r>
          <w:instrText xml:space="preserve"> PAGE   \* MERGEFORMAT </w:instrText>
        </w:r>
        <w:r>
          <w:fldChar w:fldCharType="separate"/>
        </w:r>
        <w:r w:rsidR="00236244">
          <w:rPr>
            <w:noProof/>
          </w:rPr>
          <w:t>206</w:t>
        </w:r>
        <w:r>
          <w:rPr>
            <w:noProof/>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460037"/>
      <w:docPartObj>
        <w:docPartGallery w:val="Page Numbers (Bottom of Page)"/>
        <w:docPartUnique/>
      </w:docPartObj>
    </w:sdtPr>
    <w:sdtEndPr>
      <w:rPr>
        <w:noProof/>
      </w:rPr>
    </w:sdtEndPr>
    <w:sdtContent>
      <w:p w14:paraId="257E6571" w14:textId="345F87F0" w:rsidR="001A4585" w:rsidRPr="00C23949" w:rsidRDefault="001A4585" w:rsidP="006A5EAC">
        <w:pPr>
          <w:pStyle w:val="Footer"/>
          <w:tabs>
            <w:tab w:val="clear" w:pos="4513"/>
            <w:tab w:val="clear" w:pos="9026"/>
            <w:tab w:val="right" w:pos="10206"/>
          </w:tabs>
          <w:rPr>
            <w:rFonts w:cs="Arial"/>
            <w:color w:val="000000"/>
            <w:sz w:val="14"/>
          </w:rPr>
        </w:pPr>
        <w:r w:rsidRPr="001F774E">
          <w:t xml:space="preserve">Schedule 11 </w:t>
        </w:r>
        <w:r>
          <w:t>(</w:t>
        </w:r>
        <w:r w:rsidRPr="001F774E">
          <w:t>Third Party Contracts</w:t>
        </w:r>
        <w:r>
          <w:t>), Model Services Contract, v2.1</w:t>
        </w:r>
        <w:r>
          <w:tab/>
        </w:r>
        <w:r>
          <w:fldChar w:fldCharType="begin"/>
        </w:r>
        <w:r>
          <w:instrText xml:space="preserve"> PAGE   \* MERGEFORMAT </w:instrText>
        </w:r>
        <w:r>
          <w:fldChar w:fldCharType="separate"/>
        </w:r>
        <w:r w:rsidR="00236244">
          <w:rPr>
            <w:noProof/>
          </w:rPr>
          <w:t>208</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856C" w14:textId="1606720D" w:rsidR="001A4585" w:rsidRPr="00084968" w:rsidRDefault="001A4585" w:rsidP="006A5EAC">
    <w:pPr>
      <w:pStyle w:val="Footer"/>
      <w:tabs>
        <w:tab w:val="clear" w:pos="4513"/>
        <w:tab w:val="clear" w:pos="9026"/>
        <w:tab w:val="right" w:pos="10206"/>
      </w:tabs>
      <w:rPr>
        <w:rFonts w:cs="Arial"/>
        <w:color w:val="000000"/>
        <w:sz w:val="14"/>
      </w:rPr>
    </w:pPr>
    <w:r>
      <w:t>Schedule 12 (</w:t>
    </w:r>
    <w:sdt>
      <w:sdtPr>
        <w:id w:val="829493847"/>
        <w:docPartObj>
          <w:docPartGallery w:val="Page Numbers (Bottom of Page)"/>
          <w:docPartUnique/>
        </w:docPartObj>
      </w:sdtPr>
      <w:sdtEndPr>
        <w:rPr>
          <w:noProof/>
        </w:rPr>
      </w:sdtEndPr>
      <w:sdtContent>
        <w:r>
          <w:t>Software), Model Services Contract, v2.1</w:t>
        </w:r>
        <w:r>
          <w:tab/>
        </w:r>
        <w:r>
          <w:fldChar w:fldCharType="begin"/>
        </w:r>
        <w:r>
          <w:instrText xml:space="preserve"> PAGE   \* MERGEFORMAT </w:instrText>
        </w:r>
        <w:r>
          <w:fldChar w:fldCharType="separate"/>
        </w:r>
        <w:r w:rsidR="00236244">
          <w:rPr>
            <w:noProof/>
          </w:rPr>
          <w:t>209</w:t>
        </w:r>
        <w:r>
          <w:rPr>
            <w:noProof/>
          </w:rPr>
          <w:fldChar w:fldCharType="end"/>
        </w:r>
      </w:sdtContent>
    </w:sdt>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sidR="00C23949">
      <w:rPr>
        <w:rFonts w:cs="Arial"/>
        <w:color w:val="000000"/>
        <w:sz w:val="14"/>
      </w:rPr>
      <w:t>91617000-1</w:t>
    </w:r>
    <w:r>
      <w:rPr>
        <w:rFonts w:cs="Arial"/>
        <w:color w:val="000000"/>
        <w:sz w:val="14"/>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973879"/>
      <w:docPartObj>
        <w:docPartGallery w:val="Page Numbers (Bottom of Page)"/>
        <w:docPartUnique/>
      </w:docPartObj>
    </w:sdtPr>
    <w:sdtEndPr>
      <w:rPr>
        <w:noProof/>
      </w:rPr>
    </w:sdtEndPr>
    <w:sdtContent>
      <w:p w14:paraId="0AD39DDF" w14:textId="37B18149" w:rsidR="001A4585" w:rsidRPr="00C23949" w:rsidRDefault="001A4585" w:rsidP="00DE49F4">
        <w:pPr>
          <w:pStyle w:val="Footer"/>
          <w:tabs>
            <w:tab w:val="clear" w:pos="4513"/>
            <w:tab w:val="clear" w:pos="9026"/>
            <w:tab w:val="right" w:pos="15139"/>
          </w:tabs>
          <w:rPr>
            <w:rFonts w:cs="Arial"/>
            <w:color w:val="000000"/>
            <w:sz w:val="14"/>
          </w:rPr>
        </w:pPr>
        <w:r>
          <w:t>Schedule 12: (Software), Model Services Contract, v2.1</w:t>
        </w:r>
        <w:r>
          <w:tab/>
        </w:r>
        <w:r>
          <w:fldChar w:fldCharType="begin"/>
        </w:r>
        <w:r>
          <w:instrText xml:space="preserve"> PAGE   \* MERGEFORMAT </w:instrText>
        </w:r>
        <w:r>
          <w:fldChar w:fldCharType="separate"/>
        </w:r>
        <w:r w:rsidR="00236244">
          <w:rPr>
            <w:noProof/>
          </w:rPr>
          <w:t>210</w:t>
        </w:r>
        <w:r>
          <w:rPr>
            <w:noProof/>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FB3F2" w14:textId="77777777" w:rsidR="001A4585" w:rsidRDefault="001A4585" w:rsidP="0060661C">
    <w:pPr>
      <w:pBdr>
        <w:top w:val="single" w:sz="4" w:space="10" w:color="auto"/>
      </w:pBdr>
    </w:pPr>
    <w:r w:rsidRPr="008A5D31">
      <w:t xml:space="preserve">Model Services </w:t>
    </w:r>
    <w:r w:rsidRPr="00AE6AFD">
      <w:rPr>
        <w:highlight w:val="green"/>
      </w:rPr>
      <w:t>Contract</w:t>
    </w:r>
    <w:r w:rsidRPr="008A5D31">
      <w:t xml:space="preserve"> Combined </w:t>
    </w:r>
    <w:r w:rsidRPr="00E9603F">
      <w:rPr>
        <w:highlight w:val="magenta"/>
      </w:rPr>
      <w:t>Schedule</w:t>
    </w:r>
    <w:r w:rsidRPr="008A5D31">
      <w:t>s v1.09</w:t>
    </w:r>
    <w:r>
      <w:t xml:space="preserve"> – </w:t>
    </w:r>
    <w:r w:rsidRPr="00E9603F">
      <w:rPr>
        <w:highlight w:val="magenta"/>
      </w:rPr>
      <w:t>Schedule</w:t>
    </w:r>
    <w:r>
      <w:t xml:space="preserve"> 5</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097161"/>
      <w:docPartObj>
        <w:docPartGallery w:val="Page Numbers (Bottom of Page)"/>
        <w:docPartUnique/>
      </w:docPartObj>
    </w:sdtPr>
    <w:sdtEndPr>
      <w:rPr>
        <w:noProof/>
      </w:rPr>
    </w:sdtEndPr>
    <w:sdtContent>
      <w:p w14:paraId="676A6F45" w14:textId="3744DCB4" w:rsidR="001A4585" w:rsidRPr="00C23949" w:rsidRDefault="001A4585" w:rsidP="000C5350">
        <w:pPr>
          <w:pStyle w:val="Footer"/>
          <w:tabs>
            <w:tab w:val="clear" w:pos="4513"/>
            <w:tab w:val="clear" w:pos="9026"/>
            <w:tab w:val="right" w:pos="10206"/>
          </w:tabs>
          <w:rPr>
            <w:rFonts w:cs="Arial"/>
            <w:color w:val="000000"/>
            <w:sz w:val="14"/>
          </w:rPr>
        </w:pPr>
        <w:r>
          <w:t>Schedule 12 (Software), Model Services Contract, v2.1</w:t>
        </w:r>
        <w:r>
          <w:tab/>
        </w:r>
        <w:r>
          <w:fldChar w:fldCharType="begin"/>
        </w:r>
        <w:r>
          <w:instrText xml:space="preserve"> PAGE   \* MERGEFORMAT </w:instrText>
        </w:r>
        <w:r>
          <w:fldChar w:fldCharType="separate"/>
        </w:r>
        <w:r w:rsidR="00236244">
          <w:rPr>
            <w:noProof/>
          </w:rPr>
          <w:t>218</w:t>
        </w:r>
        <w:r>
          <w:rPr>
            <w:noProof/>
          </w:rPr>
          <w:fldChar w:fldCharType="end"/>
        </w:r>
      </w:p>
    </w:sdtContent>
  </w:sdt>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4D23" w14:textId="77777777" w:rsidR="001A4585" w:rsidRPr="00EE0196" w:rsidRDefault="001A4585" w:rsidP="0060661C">
    <w:pPr>
      <w:pBdr>
        <w:top w:val="single" w:sz="4" w:space="10" w:color="auto"/>
      </w:pBdr>
      <w:jc w:val="center"/>
      <w:rPr>
        <w:sz w:val="16"/>
      </w:rPr>
    </w:pPr>
    <w:r w:rsidRPr="00EE0196">
      <w:rPr>
        <w:sz w:val="16"/>
      </w:rPr>
      <w:t xml:space="preserve">Model Services </w:t>
    </w:r>
    <w:r w:rsidRPr="00AE6AFD">
      <w:rPr>
        <w:sz w:val="16"/>
        <w:highlight w:val="green"/>
      </w:rPr>
      <w:t>Contract</w:t>
    </w:r>
    <w:r w:rsidRPr="00EE0196">
      <w:rPr>
        <w:sz w:val="16"/>
      </w:rPr>
      <w:t xml:space="preserve"> Combined </w:t>
    </w:r>
    <w:r w:rsidRPr="00E9603F">
      <w:rPr>
        <w:sz w:val="16"/>
        <w:highlight w:val="magenta"/>
      </w:rPr>
      <w:t>Schedule</w:t>
    </w:r>
    <w:r w:rsidRPr="00EE0196">
      <w:rPr>
        <w:sz w:val="16"/>
      </w:rPr>
      <w:t xml:space="preserve">s v1.09 – </w:t>
    </w:r>
    <w:r w:rsidRPr="00E9603F">
      <w:rPr>
        <w:sz w:val="16"/>
        <w:highlight w:val="magenta"/>
      </w:rPr>
      <w:t>Schedule</w:t>
    </w:r>
    <w:r w:rsidRPr="00EE0196">
      <w:rPr>
        <w:sz w:val="16"/>
      </w:rPr>
      <w:t xml:space="preserve"> 6.1</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35676"/>
      <w:docPartObj>
        <w:docPartGallery w:val="Page Numbers (Bottom of Page)"/>
        <w:docPartUnique/>
      </w:docPartObj>
    </w:sdtPr>
    <w:sdtEndPr>
      <w:rPr>
        <w:noProof/>
      </w:rPr>
    </w:sdtEndPr>
    <w:sdtContent>
      <w:p w14:paraId="49C46DAC" w14:textId="0432DE9E" w:rsidR="001A4585" w:rsidRPr="00C23949" w:rsidRDefault="001A4585" w:rsidP="000C5350">
        <w:pPr>
          <w:pStyle w:val="Footer"/>
          <w:tabs>
            <w:tab w:val="clear" w:pos="4513"/>
            <w:tab w:val="clear" w:pos="9026"/>
            <w:tab w:val="right" w:pos="10206"/>
          </w:tabs>
          <w:rPr>
            <w:rFonts w:cs="Arial"/>
            <w:color w:val="000000"/>
            <w:sz w:val="14"/>
          </w:rPr>
        </w:pPr>
        <w:r>
          <w:t>Schedule 13 (Implementation Plan), Model Services Contract, v2.1</w:t>
        </w:r>
        <w:r>
          <w:tab/>
        </w:r>
        <w:r>
          <w:fldChar w:fldCharType="begin"/>
        </w:r>
        <w:r>
          <w:instrText xml:space="preserve"> PAGE   \* MERGEFORMAT </w:instrText>
        </w:r>
        <w:r>
          <w:fldChar w:fldCharType="separate"/>
        </w:r>
        <w:r w:rsidR="00236244">
          <w:rPr>
            <w:noProof/>
          </w:rPr>
          <w:t>231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39364"/>
      <w:docPartObj>
        <w:docPartGallery w:val="Page Numbers (Bottom of Page)"/>
        <w:docPartUnique/>
      </w:docPartObj>
    </w:sdtPr>
    <w:sdtEndPr>
      <w:rPr>
        <w:noProof/>
      </w:rPr>
    </w:sdtEndPr>
    <w:sdtContent>
      <w:p w14:paraId="2CAB68A4" w14:textId="597E0446" w:rsidR="001A4585" w:rsidRPr="00C23949" w:rsidRDefault="001A4585" w:rsidP="00CD26AF">
        <w:pPr>
          <w:pStyle w:val="Footer"/>
          <w:tabs>
            <w:tab w:val="clear" w:pos="4513"/>
            <w:tab w:val="clear" w:pos="9026"/>
            <w:tab w:val="right" w:pos="10206"/>
          </w:tabs>
          <w:rPr>
            <w:rFonts w:cs="Arial"/>
            <w:color w:val="000000"/>
            <w:sz w:val="14"/>
          </w:rPr>
        </w:pPr>
        <w:r>
          <w:t>Schedule 1 (Definitions), Model Services Contract, v2.1</w:t>
        </w:r>
        <w:r>
          <w:tab/>
        </w:r>
        <w:r>
          <w:fldChar w:fldCharType="begin"/>
        </w:r>
        <w:r>
          <w:instrText xml:space="preserve"> PAGE   \* MERGEFORMAT </w:instrText>
        </w:r>
        <w:r>
          <w:fldChar w:fldCharType="separate"/>
        </w:r>
        <w:r w:rsidR="00236244">
          <w:rPr>
            <w:noProof/>
          </w:rPr>
          <w:t>54</w:t>
        </w:r>
        <w:r>
          <w:rPr>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68CC" w14:textId="77777777" w:rsidR="001A4585" w:rsidRPr="00EE0196" w:rsidRDefault="001A4585" w:rsidP="002C0A0D">
    <w:pPr>
      <w:pBdr>
        <w:top w:val="single" w:sz="4" w:space="10" w:color="auto"/>
      </w:pBdr>
      <w:jc w:val="center"/>
      <w:rPr>
        <w:sz w:val="16"/>
      </w:rPr>
    </w:pPr>
    <w:r w:rsidRPr="00EE0196">
      <w:rPr>
        <w:sz w:val="16"/>
      </w:rPr>
      <w:t xml:space="preserve">Model Services </w:t>
    </w:r>
    <w:r w:rsidRPr="00AE6AFD">
      <w:rPr>
        <w:sz w:val="16"/>
        <w:highlight w:val="green"/>
      </w:rPr>
      <w:t>Contract</w:t>
    </w:r>
    <w:r w:rsidRPr="00EE0196">
      <w:rPr>
        <w:sz w:val="16"/>
      </w:rPr>
      <w:t xml:space="preserve"> Combined </w:t>
    </w:r>
    <w:r w:rsidRPr="00E9603F">
      <w:rPr>
        <w:sz w:val="16"/>
        <w:highlight w:val="magenta"/>
      </w:rPr>
      <w:t>Schedule</w:t>
    </w:r>
    <w:r w:rsidRPr="00EE0196">
      <w:rPr>
        <w:sz w:val="16"/>
      </w:rPr>
      <w:t xml:space="preserve">s v1.09 – </w:t>
    </w:r>
    <w:r w:rsidRPr="00E9603F">
      <w:rPr>
        <w:sz w:val="16"/>
        <w:highlight w:val="magenta"/>
      </w:rPr>
      <w:t>Schedule</w:t>
    </w:r>
    <w:r w:rsidRPr="00EE0196">
      <w:rPr>
        <w:sz w:val="16"/>
      </w:rPr>
      <w:t xml:space="preserve"> 6.2</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421293"/>
      <w:docPartObj>
        <w:docPartGallery w:val="Page Numbers (Bottom of Page)"/>
        <w:docPartUnique/>
      </w:docPartObj>
    </w:sdtPr>
    <w:sdtEndPr>
      <w:rPr>
        <w:noProof/>
      </w:rPr>
    </w:sdtEndPr>
    <w:sdtContent>
      <w:p w14:paraId="455448A4" w14:textId="34F8B0B9" w:rsidR="001A4585" w:rsidRPr="00C23949" w:rsidRDefault="001A4585" w:rsidP="000C5350">
        <w:pPr>
          <w:pStyle w:val="Footer"/>
          <w:tabs>
            <w:tab w:val="clear" w:pos="4513"/>
            <w:tab w:val="clear" w:pos="9026"/>
            <w:tab w:val="right" w:pos="10206"/>
          </w:tabs>
          <w:rPr>
            <w:rFonts w:cs="Arial"/>
            <w:color w:val="000000"/>
            <w:sz w:val="14"/>
          </w:rPr>
        </w:pPr>
        <w:r>
          <w:t>Schedule 14 (Testing Procedures), Model Services Contract, v2.1</w:t>
        </w:r>
        <w:r>
          <w:tab/>
        </w:r>
        <w:r>
          <w:fldChar w:fldCharType="begin"/>
        </w:r>
        <w:r>
          <w:instrText xml:space="preserve"> PAGE   \* MERGEFORMAT </w:instrText>
        </w:r>
        <w:r>
          <w:fldChar w:fldCharType="separate"/>
        </w:r>
        <w:r w:rsidR="00236244">
          <w:rPr>
            <w:noProof/>
          </w:rPr>
          <w:t>246</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61FE4" w14:textId="77777777" w:rsidR="001A4585" w:rsidRPr="00EE0196" w:rsidRDefault="001A4585" w:rsidP="002C0A0D">
    <w:pPr>
      <w:pBdr>
        <w:top w:val="single" w:sz="4" w:space="10" w:color="auto"/>
      </w:pBdr>
      <w:jc w:val="center"/>
      <w:rPr>
        <w:sz w:val="16"/>
      </w:rPr>
    </w:pPr>
    <w:r w:rsidRPr="00EE0196">
      <w:rPr>
        <w:sz w:val="16"/>
      </w:rPr>
      <w:t xml:space="preserve">Model Services </w:t>
    </w:r>
    <w:r w:rsidRPr="00AE6AFD">
      <w:rPr>
        <w:sz w:val="16"/>
        <w:highlight w:val="green"/>
      </w:rPr>
      <w:t>Contract</w:t>
    </w:r>
    <w:r w:rsidRPr="00EE0196">
      <w:rPr>
        <w:sz w:val="16"/>
      </w:rPr>
      <w:t xml:space="preserve"> Combined </w:t>
    </w:r>
    <w:r w:rsidRPr="00E9603F">
      <w:rPr>
        <w:sz w:val="16"/>
        <w:highlight w:val="magenta"/>
      </w:rPr>
      <w:t>Schedule</w:t>
    </w:r>
    <w:r w:rsidRPr="00EE0196">
      <w:rPr>
        <w:sz w:val="16"/>
      </w:rPr>
      <w:t xml:space="preserve">s v1.09 – </w:t>
    </w:r>
    <w:r w:rsidRPr="00E9603F">
      <w:rPr>
        <w:sz w:val="16"/>
        <w:highlight w:val="magenta"/>
      </w:rPr>
      <w:t>Schedule</w:t>
    </w:r>
    <w:r w:rsidRPr="00EE0196">
      <w:rPr>
        <w:sz w:val="16"/>
      </w:rPr>
      <w:t xml:space="preserve"> 7.1</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438843"/>
      <w:docPartObj>
        <w:docPartGallery w:val="Page Numbers (Bottom of Page)"/>
        <w:docPartUnique/>
      </w:docPartObj>
    </w:sdtPr>
    <w:sdtEndPr>
      <w:rPr>
        <w:noProof/>
      </w:rPr>
    </w:sdtEndPr>
    <w:sdtContent>
      <w:p w14:paraId="5612DC7A" w14:textId="5E2CCCAB" w:rsidR="001A4585" w:rsidRPr="00C23949" w:rsidRDefault="001A4585" w:rsidP="000C5350">
        <w:pPr>
          <w:pStyle w:val="Footer"/>
          <w:tabs>
            <w:tab w:val="clear" w:pos="4513"/>
            <w:tab w:val="clear" w:pos="9026"/>
            <w:tab w:val="right" w:pos="10206"/>
          </w:tabs>
          <w:rPr>
            <w:rFonts w:cs="Arial"/>
            <w:color w:val="000000"/>
            <w:sz w:val="14"/>
          </w:rPr>
        </w:pPr>
        <w:r w:rsidRPr="00C53AE0">
          <w:t xml:space="preserve">Schedule 15: </w:t>
        </w:r>
        <w:r>
          <w:t>(</w:t>
        </w:r>
        <w:r w:rsidRPr="00C53AE0">
          <w:t>Charges and Invoicing</w:t>
        </w:r>
        <w:r>
          <w:t>), Model Services Contract, v2.1</w:t>
        </w:r>
        <w:r>
          <w:tab/>
        </w:r>
        <w:r>
          <w:fldChar w:fldCharType="begin"/>
        </w:r>
        <w:r>
          <w:instrText xml:space="preserve"> PAGE   \* MERGEFORMAT </w:instrText>
        </w:r>
        <w:r>
          <w:fldChar w:fldCharType="separate"/>
        </w:r>
        <w:r w:rsidR="00236244">
          <w:rPr>
            <w:noProof/>
          </w:rPr>
          <w:t>271</w:t>
        </w:r>
        <w:r>
          <w:rPr>
            <w:noProof/>
          </w:rPr>
          <w:fldChar w:fldCharType="end"/>
        </w:r>
      </w:p>
    </w:sdtContent>
  </w:sdt>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752303"/>
      <w:docPartObj>
        <w:docPartGallery w:val="Page Numbers (Bottom of Page)"/>
        <w:docPartUnique/>
      </w:docPartObj>
    </w:sdtPr>
    <w:sdtEndPr>
      <w:rPr>
        <w:noProof/>
      </w:rPr>
    </w:sdtEndPr>
    <w:sdtContent>
      <w:p w14:paraId="397DEE82" w14:textId="2778250E" w:rsidR="001A4585" w:rsidRPr="00C23949" w:rsidRDefault="001A4585" w:rsidP="00240D26">
        <w:pPr>
          <w:pStyle w:val="Footer"/>
          <w:tabs>
            <w:tab w:val="clear" w:pos="4513"/>
            <w:tab w:val="clear" w:pos="9026"/>
            <w:tab w:val="right" w:pos="15139"/>
          </w:tabs>
          <w:rPr>
            <w:rFonts w:cs="Arial"/>
            <w:color w:val="000000"/>
            <w:sz w:val="14"/>
          </w:rPr>
        </w:pPr>
        <w:r w:rsidRPr="00C53AE0">
          <w:t xml:space="preserve">Schedule 15: </w:t>
        </w:r>
        <w:r>
          <w:t>(</w:t>
        </w:r>
        <w:r w:rsidRPr="00C53AE0">
          <w:t>Charges and Invoicing</w:t>
        </w:r>
        <w:r>
          <w:t>), Model Services Contract, v2.1</w:t>
        </w:r>
        <w:r>
          <w:tab/>
        </w:r>
        <w:r>
          <w:fldChar w:fldCharType="begin"/>
        </w:r>
        <w:r>
          <w:instrText xml:space="preserve"> PAGE   \* MERGEFORMAT </w:instrText>
        </w:r>
        <w:r>
          <w:fldChar w:fldCharType="separate"/>
        </w:r>
        <w:r w:rsidR="00236244">
          <w:rPr>
            <w:noProof/>
          </w:rPr>
          <w:t>273</w:t>
        </w:r>
        <w:r>
          <w:rPr>
            <w:noProof/>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83019"/>
      <w:docPartObj>
        <w:docPartGallery w:val="Page Numbers (Bottom of Page)"/>
        <w:docPartUnique/>
      </w:docPartObj>
    </w:sdtPr>
    <w:sdtEndPr>
      <w:rPr>
        <w:noProof/>
      </w:rPr>
    </w:sdtEndPr>
    <w:sdtContent>
      <w:p w14:paraId="205542D3" w14:textId="4849B01C" w:rsidR="001A4585" w:rsidRPr="00C23949" w:rsidRDefault="001A4585" w:rsidP="00240D26">
        <w:pPr>
          <w:pStyle w:val="Footer"/>
          <w:tabs>
            <w:tab w:val="clear" w:pos="4513"/>
            <w:tab w:val="clear" w:pos="9026"/>
            <w:tab w:val="right" w:pos="15139"/>
          </w:tabs>
          <w:rPr>
            <w:rFonts w:cs="Arial"/>
            <w:color w:val="000000"/>
            <w:sz w:val="14"/>
          </w:rPr>
        </w:pPr>
        <w:r w:rsidRPr="00E5161E">
          <w:t xml:space="preserve">Schedule 17: </w:t>
        </w:r>
        <w:r>
          <w:t>(</w:t>
        </w:r>
        <w:r w:rsidRPr="00E5161E">
          <w:t>Benchmarking</w:t>
        </w:r>
        <w:r>
          <w:t>), Model Services Contract, v2.1</w:t>
        </w:r>
        <w:r>
          <w:tab/>
        </w:r>
        <w:r>
          <w:fldChar w:fldCharType="begin"/>
        </w:r>
        <w:r>
          <w:instrText xml:space="preserve"> PAGE   \* MERGEFORMAT </w:instrText>
        </w:r>
        <w:r>
          <w:fldChar w:fldCharType="separate"/>
        </w:r>
        <w:r w:rsidR="00236244">
          <w:rPr>
            <w:noProof/>
          </w:rPr>
          <w:t>296</w:t>
        </w:r>
        <w:r>
          <w:rPr>
            <w:noProof/>
          </w:rPr>
          <w:fldChar w:fldCharType="end"/>
        </w:r>
      </w:p>
    </w:sdtContent>
  </w:sdt>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5EBAC" w14:textId="77777777" w:rsidR="001A4585" w:rsidRPr="00EE0196" w:rsidRDefault="001A4585" w:rsidP="002C0A0D">
    <w:pPr>
      <w:pBdr>
        <w:top w:val="single" w:sz="4" w:space="10" w:color="auto"/>
      </w:pBdr>
      <w:jc w:val="center"/>
      <w:rPr>
        <w:sz w:val="16"/>
      </w:rPr>
    </w:pPr>
    <w:r w:rsidRPr="00EE0196">
      <w:rPr>
        <w:sz w:val="16"/>
      </w:rPr>
      <w:t xml:space="preserve">Model Services </w:t>
    </w:r>
    <w:r w:rsidRPr="00AE6AFD">
      <w:rPr>
        <w:sz w:val="16"/>
        <w:highlight w:val="green"/>
      </w:rPr>
      <w:t>Contract</w:t>
    </w:r>
    <w:r w:rsidRPr="00EE0196">
      <w:rPr>
        <w:sz w:val="16"/>
      </w:rPr>
      <w:t xml:space="preserve"> Combined </w:t>
    </w:r>
    <w:r w:rsidRPr="00E9603F">
      <w:rPr>
        <w:sz w:val="16"/>
        <w:highlight w:val="magenta"/>
      </w:rPr>
      <w:t>Schedule</w:t>
    </w:r>
    <w:r w:rsidRPr="00EE0196">
      <w:rPr>
        <w:sz w:val="16"/>
      </w:rPr>
      <w:t xml:space="preserve">s v1.09 – </w:t>
    </w:r>
    <w:r w:rsidRPr="00E9603F">
      <w:rPr>
        <w:sz w:val="16"/>
        <w:highlight w:val="magenta"/>
      </w:rPr>
      <w:t>Schedule</w:t>
    </w:r>
    <w:r w:rsidRPr="00EE0196">
      <w:rPr>
        <w:sz w:val="16"/>
      </w:rPr>
      <w:t xml:space="preserve"> 7.4</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814948"/>
      <w:docPartObj>
        <w:docPartGallery w:val="Page Numbers (Bottom of Page)"/>
        <w:docPartUnique/>
      </w:docPartObj>
    </w:sdtPr>
    <w:sdtEndPr>
      <w:rPr>
        <w:noProof/>
      </w:rPr>
    </w:sdtEndPr>
    <w:sdtContent>
      <w:p w14:paraId="24396CA2" w14:textId="4D060624" w:rsidR="001A4585" w:rsidRPr="00C23949" w:rsidRDefault="001A4585" w:rsidP="00240D26">
        <w:pPr>
          <w:pStyle w:val="Footer"/>
          <w:tabs>
            <w:tab w:val="clear" w:pos="4513"/>
            <w:tab w:val="clear" w:pos="9026"/>
            <w:tab w:val="right" w:pos="15139"/>
          </w:tabs>
          <w:rPr>
            <w:rFonts w:cs="Arial"/>
            <w:color w:val="000000"/>
            <w:sz w:val="14"/>
          </w:rPr>
        </w:pPr>
        <w:r w:rsidRPr="0076274E">
          <w:t>Schedule</w:t>
        </w:r>
        <w:r>
          <w:t> </w:t>
        </w:r>
        <w:r w:rsidRPr="0076274E">
          <w:t xml:space="preserve">18: </w:t>
        </w:r>
        <w:r>
          <w:t>(</w:t>
        </w:r>
        <w:r w:rsidRPr="0076274E">
          <w:t>Financial Distress</w:t>
        </w:r>
        <w:r>
          <w:t>), Model Services Contract, v2.1</w:t>
        </w:r>
        <w:r>
          <w:tab/>
        </w:r>
        <w:r>
          <w:fldChar w:fldCharType="begin"/>
        </w:r>
        <w:r>
          <w:instrText xml:space="preserve"> PAGE   \* MERGEFORMAT </w:instrText>
        </w:r>
        <w:r>
          <w:fldChar w:fldCharType="separate"/>
        </w:r>
        <w:r w:rsidR="00236244">
          <w:rPr>
            <w:noProof/>
          </w:rPr>
          <w:t>311</w:t>
        </w:r>
        <w:r>
          <w:rPr>
            <w:noProof/>
          </w:rP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6FB8" w14:textId="77777777" w:rsidR="001A4585" w:rsidRPr="00EE0196" w:rsidRDefault="001A4585" w:rsidP="002C0A0D">
    <w:pPr>
      <w:pBdr>
        <w:top w:val="single" w:sz="4" w:space="10" w:color="auto"/>
      </w:pBdr>
      <w:jc w:val="center"/>
      <w:rPr>
        <w:sz w:val="16"/>
      </w:rPr>
    </w:pPr>
    <w:r w:rsidRPr="00EE0196">
      <w:rPr>
        <w:sz w:val="16"/>
      </w:rPr>
      <w:t xml:space="preserve">Model Services </w:t>
    </w:r>
    <w:r w:rsidRPr="00AE6AFD">
      <w:rPr>
        <w:sz w:val="16"/>
        <w:highlight w:val="green"/>
      </w:rPr>
      <w:t>Contract</w:t>
    </w:r>
    <w:r w:rsidRPr="00EE0196">
      <w:rPr>
        <w:sz w:val="16"/>
      </w:rPr>
      <w:t xml:space="preserve"> Combined </w:t>
    </w:r>
    <w:r w:rsidRPr="00E9603F">
      <w:rPr>
        <w:sz w:val="16"/>
        <w:highlight w:val="magenta"/>
      </w:rPr>
      <w:t>Schedule</w:t>
    </w:r>
    <w:r w:rsidRPr="00EE0196">
      <w:rPr>
        <w:sz w:val="16"/>
      </w:rPr>
      <w:t xml:space="preserve">s v1.09 – </w:t>
    </w:r>
    <w:r w:rsidRPr="00E9603F">
      <w:rPr>
        <w:sz w:val="16"/>
        <w:highlight w:val="magenta"/>
      </w:rPr>
      <w:t>Schedule</w:t>
    </w:r>
    <w:r w:rsidRPr="00EE0196">
      <w:rPr>
        <w:sz w:val="16"/>
      </w:rPr>
      <w:t xml:space="preserve"> 7.5</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079423"/>
      <w:docPartObj>
        <w:docPartGallery w:val="Page Numbers (Bottom of Page)"/>
        <w:docPartUnique/>
      </w:docPartObj>
    </w:sdtPr>
    <w:sdtEndPr>
      <w:rPr>
        <w:noProof/>
      </w:rPr>
    </w:sdtEndPr>
    <w:sdtContent>
      <w:p w14:paraId="2BCB1BAC" w14:textId="22C5FBAD" w:rsidR="001A4585" w:rsidRPr="00C23949" w:rsidRDefault="001A4585" w:rsidP="00240D26">
        <w:pPr>
          <w:pStyle w:val="Footer"/>
          <w:tabs>
            <w:tab w:val="clear" w:pos="4513"/>
            <w:tab w:val="clear" w:pos="9026"/>
            <w:tab w:val="right" w:pos="15139"/>
          </w:tabs>
          <w:rPr>
            <w:rFonts w:cs="Arial"/>
            <w:color w:val="000000"/>
            <w:sz w:val="14"/>
          </w:rPr>
        </w:pPr>
        <w:r w:rsidRPr="00043A03">
          <w:t>Schedule</w:t>
        </w:r>
        <w:r>
          <w:t> </w:t>
        </w:r>
        <w:r w:rsidRPr="00043A03">
          <w:t xml:space="preserve">19: </w:t>
        </w:r>
        <w:r>
          <w:t>(</w:t>
        </w:r>
        <w:r w:rsidRPr="00043A03">
          <w:t>Financial Reports and Audit Rights</w:t>
        </w:r>
        <w:r>
          <w:t>), Model Services Contract, v2.1</w:t>
        </w:r>
        <w:r>
          <w:tab/>
        </w:r>
        <w:r>
          <w:fldChar w:fldCharType="begin"/>
        </w:r>
        <w:r>
          <w:instrText xml:space="preserve"> PAGE   \* MERGEFORMAT </w:instrText>
        </w:r>
        <w:r>
          <w:fldChar w:fldCharType="separate"/>
        </w:r>
        <w:r w:rsidR="00236244">
          <w:rPr>
            <w:noProof/>
          </w:rPr>
          <w:t>323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436823"/>
      <w:docPartObj>
        <w:docPartGallery w:val="Page Numbers (Bottom of Page)"/>
        <w:docPartUnique/>
      </w:docPartObj>
    </w:sdtPr>
    <w:sdtEndPr>
      <w:rPr>
        <w:noProof/>
      </w:rPr>
    </w:sdtEndPr>
    <w:sdtContent>
      <w:p w14:paraId="1FE77CF3" w14:textId="5C17FC05" w:rsidR="001A4585" w:rsidRPr="00C23949" w:rsidRDefault="001A4585" w:rsidP="00CD26AF">
        <w:pPr>
          <w:pStyle w:val="Footer"/>
          <w:tabs>
            <w:tab w:val="clear" w:pos="4513"/>
            <w:tab w:val="clear" w:pos="9026"/>
            <w:tab w:val="right" w:pos="10206"/>
          </w:tabs>
          <w:rPr>
            <w:rFonts w:cs="Arial"/>
            <w:color w:val="000000"/>
            <w:sz w:val="14"/>
          </w:rPr>
        </w:pPr>
        <w:r>
          <w:t>Schedule 2 (Services Description), Model Services Contract, v2.1</w:t>
        </w:r>
        <w:r>
          <w:tab/>
        </w:r>
        <w:r>
          <w:fldChar w:fldCharType="begin"/>
        </w:r>
        <w:r>
          <w:instrText xml:space="preserve"> PAGE   \* MERGEFORMAT </w:instrText>
        </w:r>
        <w:r>
          <w:fldChar w:fldCharType="separate"/>
        </w:r>
        <w:r w:rsidR="00236244">
          <w:rPr>
            <w:noProof/>
          </w:rPr>
          <w:t>60</w:t>
        </w:r>
        <w:r>
          <w:rPr>
            <w:noProof/>
          </w:rP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4ADC3" w14:textId="77777777" w:rsidR="001A4585" w:rsidRPr="00EE0196" w:rsidRDefault="001A4585" w:rsidP="002C0A0D">
    <w:pPr>
      <w:pBdr>
        <w:top w:val="single" w:sz="4" w:space="10" w:color="auto"/>
      </w:pBdr>
      <w:jc w:val="center"/>
      <w:rPr>
        <w:sz w:val="16"/>
      </w:rPr>
    </w:pPr>
    <w:r w:rsidRPr="00EE0196">
      <w:rPr>
        <w:sz w:val="16"/>
      </w:rPr>
      <w:t xml:space="preserve">Model Services </w:t>
    </w:r>
    <w:r w:rsidRPr="00AE6AFD">
      <w:rPr>
        <w:sz w:val="16"/>
        <w:highlight w:val="green"/>
      </w:rPr>
      <w:t>Contract</w:t>
    </w:r>
    <w:r w:rsidRPr="00EE0196">
      <w:rPr>
        <w:sz w:val="16"/>
      </w:rPr>
      <w:t xml:space="preserve"> Combined </w:t>
    </w:r>
    <w:r w:rsidRPr="00E9603F">
      <w:rPr>
        <w:sz w:val="16"/>
        <w:highlight w:val="magenta"/>
      </w:rPr>
      <w:t>Schedule</w:t>
    </w:r>
    <w:r w:rsidRPr="00EE0196">
      <w:rPr>
        <w:sz w:val="16"/>
      </w:rPr>
      <w:t xml:space="preserve">s v1.09 – </w:t>
    </w:r>
    <w:r w:rsidRPr="00E9603F">
      <w:rPr>
        <w:sz w:val="16"/>
        <w:highlight w:val="magenta"/>
      </w:rPr>
      <w:t>Schedule</w:t>
    </w:r>
    <w:r w:rsidRPr="00EE0196">
      <w:rPr>
        <w:sz w:val="16"/>
      </w:rPr>
      <w:t xml:space="preserve"> 8.1</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676911"/>
      <w:docPartObj>
        <w:docPartGallery w:val="Page Numbers (Bottom of Page)"/>
        <w:docPartUnique/>
      </w:docPartObj>
    </w:sdtPr>
    <w:sdtEndPr>
      <w:rPr>
        <w:noProof/>
      </w:rPr>
    </w:sdtEndPr>
    <w:sdtContent>
      <w:p w14:paraId="6E04ADBB" w14:textId="06E4F7DC" w:rsidR="001A4585" w:rsidRPr="00C23949" w:rsidRDefault="001A4585" w:rsidP="00240D26">
        <w:pPr>
          <w:pStyle w:val="Footer"/>
          <w:tabs>
            <w:tab w:val="clear" w:pos="4513"/>
            <w:tab w:val="clear" w:pos="9026"/>
            <w:tab w:val="right" w:pos="15139"/>
          </w:tabs>
          <w:rPr>
            <w:rFonts w:cs="Arial"/>
            <w:color w:val="000000"/>
            <w:sz w:val="14"/>
          </w:rPr>
        </w:pPr>
        <w:r w:rsidRPr="00043A03">
          <w:t xml:space="preserve">Schedule 20: </w:t>
        </w:r>
        <w:r>
          <w:t>(</w:t>
        </w:r>
        <w:r w:rsidRPr="00043A03">
          <w:t>Anticipated Savings</w:t>
        </w:r>
        <w:r>
          <w:t>), Model Services Contract, v2.1</w:t>
        </w:r>
        <w:r>
          <w:tab/>
        </w:r>
        <w:r>
          <w:fldChar w:fldCharType="begin"/>
        </w:r>
        <w:r>
          <w:instrText xml:space="preserve"> PAGE   \* MERGEFORMAT </w:instrText>
        </w:r>
        <w:r>
          <w:fldChar w:fldCharType="separate"/>
        </w:r>
        <w:r w:rsidR="00236244">
          <w:rPr>
            <w:noProof/>
          </w:rPr>
          <w:t>325</w:t>
        </w:r>
        <w:r>
          <w:rPr>
            <w:noProof/>
          </w:rPr>
          <w:fldChar w:fldCharType="end"/>
        </w:r>
      </w:p>
    </w:sdtContent>
  </w:sdt>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292858"/>
      <w:docPartObj>
        <w:docPartGallery w:val="Page Numbers (Bottom of Page)"/>
        <w:docPartUnique/>
      </w:docPartObj>
    </w:sdtPr>
    <w:sdtEndPr>
      <w:rPr>
        <w:noProof/>
      </w:rPr>
    </w:sdtEndPr>
    <w:sdtContent>
      <w:p w14:paraId="5F6839DE" w14:textId="42D2AA6B" w:rsidR="001A4585" w:rsidRPr="00C23949" w:rsidRDefault="001A4585" w:rsidP="00240D26">
        <w:pPr>
          <w:pStyle w:val="Footer"/>
          <w:tabs>
            <w:tab w:val="clear" w:pos="4513"/>
            <w:tab w:val="clear" w:pos="9026"/>
            <w:tab w:val="right" w:pos="15139"/>
          </w:tabs>
          <w:rPr>
            <w:rFonts w:cs="Arial"/>
            <w:color w:val="000000"/>
            <w:sz w:val="14"/>
          </w:rPr>
        </w:pPr>
        <w:r w:rsidRPr="00043A03">
          <w:t xml:space="preserve">Schedule 21: </w:t>
        </w:r>
        <w:r>
          <w:t>(</w:t>
        </w:r>
        <w:r w:rsidRPr="00043A03">
          <w:t>Governance</w:t>
        </w:r>
        <w:r>
          <w:t>), Model Services Contract, v2.1</w:t>
        </w:r>
        <w:r>
          <w:tab/>
        </w:r>
        <w:r>
          <w:fldChar w:fldCharType="begin"/>
        </w:r>
        <w:r>
          <w:instrText xml:space="preserve"> PAGE   \* MERGEFORMAT </w:instrText>
        </w:r>
        <w:r>
          <w:fldChar w:fldCharType="separate"/>
        </w:r>
        <w:r w:rsidR="00236244">
          <w:rPr>
            <w:noProof/>
          </w:rPr>
          <w:t>335</w:t>
        </w:r>
        <w:r>
          <w:rPr>
            <w:noProof/>
          </w:rPr>
          <w:fldChar w:fldCharType="end"/>
        </w:r>
      </w:p>
    </w:sdtContent>
  </w:sdt>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BBF5" w14:textId="77777777" w:rsidR="001A4585" w:rsidRPr="00AE11D4" w:rsidRDefault="001A4585" w:rsidP="002C0A0D">
    <w:pPr>
      <w:pBdr>
        <w:top w:val="single" w:sz="4" w:space="10" w:color="auto"/>
      </w:pBdr>
      <w:jc w:val="center"/>
      <w:rPr>
        <w:sz w:val="16"/>
      </w:rPr>
    </w:pPr>
    <w:r w:rsidRPr="00AE11D4">
      <w:rPr>
        <w:sz w:val="16"/>
      </w:rPr>
      <w:t xml:space="preserve">Model Services </w:t>
    </w:r>
    <w:r w:rsidRPr="00AE6AFD">
      <w:rPr>
        <w:sz w:val="16"/>
        <w:highlight w:val="green"/>
      </w:rPr>
      <w:t>Contract</w:t>
    </w:r>
    <w:r w:rsidRPr="00AE11D4">
      <w:rPr>
        <w:sz w:val="16"/>
      </w:rPr>
      <w:t xml:space="preserve"> Combined </w:t>
    </w:r>
    <w:r w:rsidRPr="00E9603F">
      <w:rPr>
        <w:sz w:val="16"/>
        <w:highlight w:val="magenta"/>
      </w:rPr>
      <w:t>Schedule</w:t>
    </w:r>
    <w:r w:rsidRPr="00AE11D4">
      <w:rPr>
        <w:sz w:val="16"/>
      </w:rPr>
      <w:t xml:space="preserve">s v1.09 – </w:t>
    </w:r>
    <w:r w:rsidRPr="00E9603F">
      <w:rPr>
        <w:sz w:val="16"/>
        <w:highlight w:val="magenta"/>
      </w:rPr>
      <w:t>Schedule</w:t>
    </w:r>
    <w:r w:rsidRPr="00AE11D4">
      <w:rPr>
        <w:sz w:val="16"/>
      </w:rPr>
      <w:t xml:space="preserve"> 8.2</w:t>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108723"/>
      <w:docPartObj>
        <w:docPartGallery w:val="Page Numbers (Bottom of Page)"/>
        <w:docPartUnique/>
      </w:docPartObj>
    </w:sdtPr>
    <w:sdtEndPr>
      <w:rPr>
        <w:noProof/>
      </w:rPr>
    </w:sdtEndPr>
    <w:sdtContent>
      <w:p w14:paraId="04218C0D" w14:textId="4436E19B" w:rsidR="001A4585" w:rsidRPr="00C23949" w:rsidRDefault="001A4585" w:rsidP="00240D26">
        <w:pPr>
          <w:pStyle w:val="Footer"/>
          <w:tabs>
            <w:tab w:val="clear" w:pos="4513"/>
            <w:tab w:val="clear" w:pos="9026"/>
            <w:tab w:val="right" w:pos="15139"/>
          </w:tabs>
          <w:rPr>
            <w:rFonts w:cs="Arial"/>
            <w:color w:val="000000"/>
            <w:sz w:val="14"/>
          </w:rPr>
        </w:pPr>
        <w:r w:rsidRPr="00043A03">
          <w:t xml:space="preserve">Schedule 22: </w:t>
        </w:r>
        <w:r>
          <w:t>(</w:t>
        </w:r>
        <w:r w:rsidRPr="00043A03">
          <w:t>Change Control Procedure</w:t>
        </w:r>
        <w:r>
          <w:t>), Model Services Contract, v2.1</w:t>
        </w:r>
        <w:r>
          <w:tab/>
        </w:r>
        <w:r>
          <w:fldChar w:fldCharType="begin"/>
        </w:r>
        <w:r>
          <w:instrText xml:space="preserve"> PAGE   \* MERGEFORMAT </w:instrText>
        </w:r>
        <w:r>
          <w:fldChar w:fldCharType="separate"/>
        </w:r>
        <w:r w:rsidR="00236244">
          <w:rPr>
            <w:noProof/>
          </w:rPr>
          <w:t>345</w:t>
        </w:r>
        <w:r>
          <w:rPr>
            <w:noProof/>
          </w:rPr>
          <w:fldChar w:fldCharType="end"/>
        </w:r>
      </w:p>
    </w:sdtContent>
  </w:sdt>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7635" w14:textId="77777777" w:rsidR="001A4585" w:rsidRDefault="001A4585">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20501"/>
      <w:docPartObj>
        <w:docPartGallery w:val="Page Numbers (Bottom of Page)"/>
        <w:docPartUnique/>
      </w:docPartObj>
    </w:sdtPr>
    <w:sdtEndPr>
      <w:rPr>
        <w:noProof/>
      </w:rPr>
    </w:sdtEndPr>
    <w:sdtContent>
      <w:p w14:paraId="61163A1F" w14:textId="5A4FF23B" w:rsidR="001A4585" w:rsidRPr="00C23949" w:rsidRDefault="001A4585" w:rsidP="00240D26">
        <w:pPr>
          <w:pStyle w:val="Footer"/>
          <w:tabs>
            <w:tab w:val="clear" w:pos="4513"/>
            <w:tab w:val="clear" w:pos="9026"/>
            <w:tab w:val="right" w:pos="15139"/>
          </w:tabs>
          <w:rPr>
            <w:rFonts w:cs="Arial"/>
            <w:color w:val="000000"/>
            <w:sz w:val="14"/>
          </w:rPr>
        </w:pPr>
        <w:r w:rsidRPr="00660448">
          <w:t xml:space="preserve">Schedule 23: </w:t>
        </w:r>
        <w:r>
          <w:t>(</w:t>
        </w:r>
        <w:r w:rsidRPr="00660448">
          <w:t>Dispute Resolution Procedure</w:t>
        </w:r>
        <w:r>
          <w:t>), Model Services Contract, v2.1</w:t>
        </w:r>
        <w:r>
          <w:tab/>
        </w:r>
        <w:r>
          <w:fldChar w:fldCharType="begin"/>
        </w:r>
        <w:r>
          <w:instrText xml:space="preserve"> PAGE   \* MERGEFORMAT </w:instrText>
        </w:r>
        <w:r>
          <w:fldChar w:fldCharType="separate"/>
        </w:r>
        <w:r w:rsidR="00236244">
          <w:rPr>
            <w:noProof/>
          </w:rPr>
          <w:t>354</w:t>
        </w:r>
        <w:r>
          <w:rPr>
            <w:noProof/>
          </w:rP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63E8" w14:textId="77777777" w:rsidR="001A4585" w:rsidRPr="00AE11D4" w:rsidRDefault="001A4585" w:rsidP="0009218F">
    <w:pPr>
      <w:pBdr>
        <w:top w:val="single" w:sz="4" w:space="10" w:color="auto"/>
      </w:pBdr>
      <w:jc w:val="center"/>
      <w:rPr>
        <w:sz w:val="16"/>
      </w:rPr>
    </w:pPr>
    <w:r w:rsidRPr="00AE11D4">
      <w:rPr>
        <w:sz w:val="16"/>
      </w:rPr>
      <w:t xml:space="preserve">Model Services </w:t>
    </w:r>
    <w:r w:rsidRPr="00AE6AFD">
      <w:rPr>
        <w:sz w:val="16"/>
        <w:highlight w:val="green"/>
      </w:rPr>
      <w:t>Contract</w:t>
    </w:r>
    <w:r w:rsidRPr="00AE11D4">
      <w:rPr>
        <w:sz w:val="16"/>
      </w:rPr>
      <w:t xml:space="preserve"> Combined </w:t>
    </w:r>
    <w:r w:rsidRPr="00E9603F">
      <w:rPr>
        <w:sz w:val="16"/>
        <w:highlight w:val="magenta"/>
      </w:rPr>
      <w:t>Schedule</w:t>
    </w:r>
    <w:r w:rsidRPr="00AE11D4">
      <w:rPr>
        <w:sz w:val="16"/>
      </w:rPr>
      <w:t xml:space="preserve">s v1.09 – </w:t>
    </w:r>
    <w:r w:rsidRPr="00E9603F">
      <w:rPr>
        <w:sz w:val="16"/>
        <w:highlight w:val="magenta"/>
      </w:rPr>
      <w:t>Schedule</w:t>
    </w:r>
    <w:r w:rsidRPr="00AE11D4">
      <w:rPr>
        <w:sz w:val="16"/>
      </w:rPr>
      <w:t xml:space="preserve"> 8.4</w:t>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414524"/>
      <w:docPartObj>
        <w:docPartGallery w:val="Page Numbers (Bottom of Page)"/>
        <w:docPartUnique/>
      </w:docPartObj>
    </w:sdtPr>
    <w:sdtEndPr>
      <w:rPr>
        <w:noProof/>
      </w:rPr>
    </w:sdtEndPr>
    <w:sdtContent>
      <w:p w14:paraId="63FA6C50" w14:textId="77CAC03F" w:rsidR="001A4585" w:rsidRPr="00C23949" w:rsidRDefault="001A4585" w:rsidP="00240D26">
        <w:pPr>
          <w:pStyle w:val="Footer"/>
          <w:tabs>
            <w:tab w:val="clear" w:pos="4513"/>
            <w:tab w:val="clear" w:pos="9026"/>
            <w:tab w:val="right" w:pos="15139"/>
          </w:tabs>
          <w:rPr>
            <w:rFonts w:cs="Arial"/>
            <w:color w:val="000000"/>
            <w:sz w:val="14"/>
          </w:rPr>
        </w:pPr>
        <w:r w:rsidRPr="00660448">
          <w:t xml:space="preserve">Schedule 24: </w:t>
        </w:r>
        <w:r>
          <w:t>(</w:t>
        </w:r>
        <w:r w:rsidRPr="00660448">
          <w:t>Reports and Records Provisions</w:t>
        </w:r>
        <w:r>
          <w:t>), Model Services Contract, v2.1</w:t>
        </w:r>
        <w:r>
          <w:tab/>
        </w:r>
        <w:r>
          <w:fldChar w:fldCharType="begin"/>
        </w:r>
        <w:r>
          <w:instrText xml:space="preserve"> PAGE   \* MERGEFORMAT </w:instrText>
        </w:r>
        <w:r>
          <w:fldChar w:fldCharType="separate"/>
        </w:r>
        <w:r w:rsidR="00236244">
          <w:rPr>
            <w:noProof/>
          </w:rPr>
          <w:t>361</w:t>
        </w:r>
        <w:r>
          <w:rPr>
            <w:noProof/>
          </w:rPr>
          <w:fldChar w:fldCharType="end"/>
        </w:r>
      </w:p>
    </w:sdtContent>
  </w:sdt>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704707"/>
      <w:docPartObj>
        <w:docPartGallery w:val="Page Numbers (Bottom of Page)"/>
        <w:docPartUnique/>
      </w:docPartObj>
    </w:sdtPr>
    <w:sdtEndPr>
      <w:rPr>
        <w:noProof/>
      </w:rPr>
    </w:sdtEndPr>
    <w:sdtContent>
      <w:p w14:paraId="189056E0" w14:textId="6281DA2A" w:rsidR="001A4585" w:rsidRPr="00C23949" w:rsidRDefault="001A4585" w:rsidP="005E6F6F">
        <w:pPr>
          <w:pStyle w:val="Footer"/>
          <w:tabs>
            <w:tab w:val="clear" w:pos="4513"/>
            <w:tab w:val="clear" w:pos="9026"/>
            <w:tab w:val="right" w:pos="15139"/>
          </w:tabs>
          <w:rPr>
            <w:rFonts w:cs="Arial"/>
            <w:color w:val="000000"/>
            <w:sz w:val="14"/>
          </w:rPr>
        </w:pPr>
        <w:r w:rsidRPr="00660448">
          <w:t xml:space="preserve">Schedule 24: </w:t>
        </w:r>
        <w:r>
          <w:t>(</w:t>
        </w:r>
        <w:r w:rsidRPr="00660448">
          <w:t>Reports and Records Provisions</w:t>
        </w:r>
        <w:r>
          <w:t>), Model Services Contract, v2.1</w:t>
        </w:r>
        <w:r>
          <w:tab/>
        </w:r>
        <w:r>
          <w:fldChar w:fldCharType="begin"/>
        </w:r>
        <w:r>
          <w:instrText xml:space="preserve"> PAGE   \* MERGEFORMAT </w:instrText>
        </w:r>
        <w:r>
          <w:fldChar w:fldCharType="separate"/>
        </w:r>
        <w:r w:rsidR="00236244">
          <w:rPr>
            <w:noProof/>
          </w:rPr>
          <w:t>363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E3641" w14:textId="77777777" w:rsidR="001A4585" w:rsidRDefault="001A4585">
    <w:pPr>
      <w:pBdr>
        <w:top w:val="single" w:sz="4" w:space="4" w:color="000000"/>
        <w:left w:val="nil"/>
        <w:bottom w:val="nil"/>
        <w:right w:val="nil"/>
        <w:between w:val="nil"/>
      </w:pBdr>
      <w:tabs>
        <w:tab w:val="center" w:pos="4513"/>
        <w:tab w:val="right" w:pos="9026"/>
      </w:tabs>
      <w:rPr>
        <w:color w:val="000000"/>
        <w:sz w:val="22"/>
        <w:szCs w:val="22"/>
      </w:rP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027359"/>
      <w:docPartObj>
        <w:docPartGallery w:val="Page Numbers (Bottom of Page)"/>
        <w:docPartUnique/>
      </w:docPartObj>
    </w:sdtPr>
    <w:sdtEndPr>
      <w:rPr>
        <w:noProof/>
      </w:rPr>
    </w:sdtEndPr>
    <w:sdtContent>
      <w:p w14:paraId="12FE82F2" w14:textId="14AEFFD2" w:rsidR="001A4585" w:rsidRPr="00C23949" w:rsidRDefault="001A4585" w:rsidP="00240D26">
        <w:pPr>
          <w:pStyle w:val="Footer"/>
          <w:tabs>
            <w:tab w:val="clear" w:pos="4513"/>
            <w:tab w:val="clear" w:pos="9026"/>
            <w:tab w:val="right" w:pos="10206"/>
          </w:tabs>
          <w:rPr>
            <w:rFonts w:cs="Arial"/>
            <w:color w:val="000000"/>
            <w:sz w:val="14"/>
          </w:rPr>
        </w:pPr>
        <w:r w:rsidRPr="00E155D8">
          <w:t xml:space="preserve">Schedule 25: </w:t>
        </w:r>
        <w:r>
          <w:t>(</w:t>
        </w:r>
        <w:r w:rsidRPr="00E155D8">
          <w:t>Exit Management</w:t>
        </w:r>
        <w:r>
          <w:t>), Model Services Contract, v2.1</w:t>
        </w:r>
        <w:r>
          <w:tab/>
        </w:r>
        <w:r>
          <w:fldChar w:fldCharType="begin"/>
        </w:r>
        <w:r>
          <w:instrText xml:space="preserve"> PAGE   \* MERGEFORMAT </w:instrText>
        </w:r>
        <w:r>
          <w:fldChar w:fldCharType="separate"/>
        </w:r>
        <w:r w:rsidR="00236244">
          <w:rPr>
            <w:noProof/>
          </w:rPr>
          <w:t>390</w:t>
        </w:r>
        <w:r>
          <w:rPr>
            <w:noProof/>
          </w:rPr>
          <w:fldChar w:fldCharType="end"/>
        </w:r>
      </w:p>
    </w:sdtContent>
  </w:sdt>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B50C" w14:textId="77777777" w:rsidR="001A4585" w:rsidRPr="00AE11D4" w:rsidRDefault="001A4585" w:rsidP="0009218F">
    <w:pPr>
      <w:pBdr>
        <w:top w:val="single" w:sz="4" w:space="10" w:color="auto"/>
      </w:pBdr>
      <w:jc w:val="center"/>
      <w:rPr>
        <w:sz w:val="16"/>
      </w:rPr>
    </w:pPr>
    <w:r w:rsidRPr="00AE11D4">
      <w:rPr>
        <w:sz w:val="16"/>
      </w:rPr>
      <w:t xml:space="preserve">Model Services </w:t>
    </w:r>
    <w:r w:rsidRPr="00AE6AFD">
      <w:rPr>
        <w:sz w:val="16"/>
        <w:highlight w:val="green"/>
      </w:rPr>
      <w:t>Contract</w:t>
    </w:r>
    <w:r w:rsidRPr="00AE11D4">
      <w:rPr>
        <w:sz w:val="16"/>
      </w:rPr>
      <w:t xml:space="preserve"> Combined </w:t>
    </w:r>
    <w:r w:rsidRPr="00E9603F">
      <w:rPr>
        <w:sz w:val="16"/>
        <w:highlight w:val="magenta"/>
      </w:rPr>
      <w:t>Schedule</w:t>
    </w:r>
    <w:r w:rsidRPr="00AE11D4">
      <w:rPr>
        <w:sz w:val="16"/>
      </w:rPr>
      <w:t xml:space="preserve">s v1.09 – </w:t>
    </w:r>
    <w:r w:rsidRPr="00E9603F">
      <w:rPr>
        <w:sz w:val="16"/>
        <w:highlight w:val="magenta"/>
      </w:rPr>
      <w:t>Schedule</w:t>
    </w:r>
    <w:r w:rsidRPr="00AE11D4">
      <w:rPr>
        <w:sz w:val="16"/>
      </w:rPr>
      <w:t xml:space="preserve"> 8.6</w: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856547"/>
      <w:docPartObj>
        <w:docPartGallery w:val="Page Numbers (Bottom of Page)"/>
        <w:docPartUnique/>
      </w:docPartObj>
    </w:sdtPr>
    <w:sdtEndPr>
      <w:rPr>
        <w:noProof/>
      </w:rPr>
    </w:sdtEndPr>
    <w:sdtContent>
      <w:p w14:paraId="67A34360" w14:textId="1B8FDAD6" w:rsidR="001A4585" w:rsidRPr="00C23949" w:rsidRDefault="001A4585" w:rsidP="00240D26">
        <w:pPr>
          <w:pStyle w:val="Footer"/>
          <w:tabs>
            <w:tab w:val="clear" w:pos="4513"/>
            <w:tab w:val="clear" w:pos="9026"/>
            <w:tab w:val="right" w:pos="10206"/>
          </w:tabs>
          <w:rPr>
            <w:rFonts w:cs="Arial"/>
            <w:color w:val="000000"/>
            <w:sz w:val="14"/>
          </w:rPr>
        </w:pPr>
        <w:r w:rsidRPr="003D1189">
          <w:t xml:space="preserve">Schedule 26: </w:t>
        </w:r>
        <w:r>
          <w:t>(</w:t>
        </w:r>
        <w:r w:rsidRPr="003D1189">
          <w:t>Service Continuity Plan and Corporate Resolution</w:t>
        </w:r>
        <w:r>
          <w:br/>
        </w:r>
        <w:r w:rsidRPr="003D1189">
          <w:t>Planning</w:t>
        </w:r>
        <w:r>
          <w:t>), Model Services Contract, v2.1</w:t>
        </w:r>
        <w:r>
          <w:tab/>
        </w:r>
        <w:r>
          <w:fldChar w:fldCharType="begin"/>
        </w:r>
        <w:r>
          <w:instrText xml:space="preserve"> PAGE   \* MERGEFORMAT </w:instrText>
        </w:r>
        <w:r>
          <w:fldChar w:fldCharType="separate"/>
        </w:r>
        <w:r w:rsidR="00236244">
          <w:rPr>
            <w:noProof/>
          </w:rPr>
          <w:t>409</w:t>
        </w:r>
        <w:r>
          <w:rPr>
            <w:noProof/>
          </w:rPr>
          <w:fldChar w:fldCharType="end"/>
        </w:r>
      </w:p>
    </w:sdtContent>
  </w:sdt>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17AC2" w14:textId="77777777" w:rsidR="001A4585" w:rsidRPr="00025910" w:rsidRDefault="001A4585" w:rsidP="00986047">
    <w:pPr>
      <w:pBdr>
        <w:top w:val="single" w:sz="4" w:space="10" w:color="auto"/>
      </w:pBdr>
      <w:jc w:val="center"/>
      <w:rPr>
        <w:sz w:val="16"/>
      </w:rPr>
    </w:pPr>
    <w:r w:rsidRPr="00025910">
      <w:rPr>
        <w:sz w:val="16"/>
      </w:rPr>
      <w:t>Model Services Contract Combined Schedules v1.09 – Schedule 9.1</w:t>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496824"/>
      <w:docPartObj>
        <w:docPartGallery w:val="Page Numbers (Bottom of Page)"/>
        <w:docPartUnique/>
      </w:docPartObj>
    </w:sdtPr>
    <w:sdtEndPr>
      <w:rPr>
        <w:noProof/>
      </w:rPr>
    </w:sdtEndPr>
    <w:sdtContent>
      <w:p w14:paraId="7B5DC40D" w14:textId="2CD14633" w:rsidR="001A4585" w:rsidRPr="00C23949" w:rsidRDefault="001A4585" w:rsidP="00240D26">
        <w:pPr>
          <w:pStyle w:val="Footer"/>
          <w:tabs>
            <w:tab w:val="clear" w:pos="4513"/>
            <w:tab w:val="clear" w:pos="9026"/>
            <w:tab w:val="right" w:pos="10206"/>
          </w:tabs>
          <w:rPr>
            <w:rFonts w:cs="Arial"/>
            <w:color w:val="000000"/>
            <w:sz w:val="14"/>
          </w:rPr>
        </w:pPr>
        <w:r w:rsidRPr="003D1189">
          <w:t>Schedule 2</w:t>
        </w:r>
        <w:r>
          <w:t>7</w:t>
        </w:r>
        <w:r w:rsidRPr="003D1189">
          <w:t xml:space="preserve">: </w:t>
        </w:r>
        <w:r>
          <w:t>(Conduct of Claims), Model Services Contract, v2.1</w:t>
        </w:r>
        <w:r>
          <w:tab/>
        </w:r>
        <w:r>
          <w:fldChar w:fldCharType="begin"/>
        </w:r>
        <w:r>
          <w:instrText xml:space="preserve"> PAGE   \* MERGEFORMAT </w:instrText>
        </w:r>
        <w:r>
          <w:fldChar w:fldCharType="separate"/>
        </w:r>
        <w:r w:rsidR="00236244">
          <w:rPr>
            <w:noProof/>
          </w:rPr>
          <w:t>412</w:t>
        </w:r>
        <w:r>
          <w:rPr>
            <w:noProof/>
          </w:rPr>
          <w:fldChar w:fldCharType="end"/>
        </w:r>
      </w:p>
    </w:sdtContent>
  </w:sdt>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04856"/>
      <w:docPartObj>
        <w:docPartGallery w:val="Page Numbers (Bottom of Page)"/>
        <w:docPartUnique/>
      </w:docPartObj>
    </w:sdtPr>
    <w:sdtEndPr>
      <w:rPr>
        <w:noProof/>
      </w:rPr>
    </w:sdtEndPr>
    <w:sdtContent>
      <w:p w14:paraId="0D9524E7" w14:textId="1F66162D" w:rsidR="001A4585" w:rsidRPr="00C23949" w:rsidRDefault="001A4585" w:rsidP="00240D26">
        <w:pPr>
          <w:pStyle w:val="Footer"/>
          <w:tabs>
            <w:tab w:val="clear" w:pos="4513"/>
            <w:tab w:val="clear" w:pos="9026"/>
            <w:tab w:val="right" w:pos="10206"/>
          </w:tabs>
          <w:rPr>
            <w:rFonts w:cs="Arial"/>
            <w:color w:val="000000"/>
            <w:sz w:val="14"/>
          </w:rPr>
        </w:pPr>
        <w:r w:rsidRPr="003D1189">
          <w:t>Schedule 2</w:t>
        </w:r>
        <w:r>
          <w:t>8</w:t>
        </w:r>
        <w:r w:rsidRPr="003D1189">
          <w:t xml:space="preserve">: </w:t>
        </w:r>
        <w:r>
          <w:t>(Staff Transfer), Model Services Contract, v2.1</w:t>
        </w:r>
        <w:r>
          <w:tab/>
        </w:r>
        <w:r>
          <w:fldChar w:fldCharType="begin"/>
        </w:r>
        <w:r>
          <w:instrText xml:space="preserve"> PAGE   \* MERGEFORMAT </w:instrText>
        </w:r>
        <w:r>
          <w:fldChar w:fldCharType="separate"/>
        </w:r>
        <w:r w:rsidR="00236244">
          <w:rPr>
            <w:noProof/>
          </w:rPr>
          <w:t>465</w:t>
        </w:r>
        <w:r>
          <w:rPr>
            <w:noProof/>
          </w:rPr>
          <w:fldChar w:fldCharType="end"/>
        </w:r>
      </w:p>
    </w:sdtContent>
  </w:sdt>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941607"/>
      <w:docPartObj>
        <w:docPartGallery w:val="Page Numbers (Bottom of Page)"/>
        <w:docPartUnique/>
      </w:docPartObj>
    </w:sdtPr>
    <w:sdtEndPr>
      <w:rPr>
        <w:noProof/>
      </w:rPr>
    </w:sdtEndPr>
    <w:sdtContent>
      <w:p w14:paraId="22A0C9A2" w14:textId="736D3532" w:rsidR="001A4585" w:rsidRPr="00C23949" w:rsidRDefault="001A4585" w:rsidP="002E463E">
        <w:pPr>
          <w:pStyle w:val="Footer"/>
          <w:tabs>
            <w:tab w:val="clear" w:pos="4513"/>
            <w:tab w:val="clear" w:pos="9026"/>
            <w:tab w:val="right" w:pos="15139"/>
          </w:tabs>
          <w:rPr>
            <w:rFonts w:cs="Arial"/>
            <w:color w:val="000000"/>
            <w:sz w:val="14"/>
          </w:rPr>
        </w:pPr>
        <w:r>
          <w:t>Schedule 28: (Staff Transfer), Model Services Contract, v2.1</w:t>
        </w:r>
        <w:r>
          <w:tab/>
        </w:r>
        <w:r>
          <w:fldChar w:fldCharType="begin"/>
        </w:r>
        <w:r>
          <w:instrText xml:space="preserve"> PAGE   \* MERGEFORMAT </w:instrText>
        </w:r>
        <w:r>
          <w:fldChar w:fldCharType="separate"/>
        </w:r>
        <w:r w:rsidR="00236244">
          <w:rPr>
            <w:noProof/>
          </w:rPr>
          <w:t>474</w:t>
        </w:r>
        <w:r>
          <w:rPr>
            <w:noProof/>
          </w:rPr>
          <w:fldChar w:fldCharType="end"/>
        </w:r>
      </w:p>
    </w:sdtContent>
  </w:sdt>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354838"/>
      <w:docPartObj>
        <w:docPartGallery w:val="Page Numbers (Bottom of Page)"/>
        <w:docPartUnique/>
      </w:docPartObj>
    </w:sdtPr>
    <w:sdtEndPr>
      <w:rPr>
        <w:noProof/>
      </w:rPr>
    </w:sdtEndPr>
    <w:sdtContent>
      <w:p w14:paraId="46965F3A" w14:textId="7317B6C9" w:rsidR="001A4585" w:rsidRPr="00C23949" w:rsidRDefault="001A4585" w:rsidP="002E463E">
        <w:pPr>
          <w:pStyle w:val="Footer"/>
          <w:tabs>
            <w:tab w:val="clear" w:pos="4513"/>
            <w:tab w:val="clear" w:pos="9026"/>
            <w:tab w:val="right" w:pos="15139"/>
          </w:tabs>
          <w:rPr>
            <w:rFonts w:cs="Arial"/>
            <w:color w:val="000000"/>
            <w:sz w:val="14"/>
          </w:rPr>
        </w:pPr>
        <w:r>
          <w:t>Schedule 29: (Key Personnel), Model Services Contract, v2.1</w:t>
        </w:r>
        <w:r>
          <w:tab/>
        </w:r>
        <w:r>
          <w:fldChar w:fldCharType="begin"/>
        </w:r>
        <w:r>
          <w:instrText xml:space="preserve"> PAGE   \* MERGEFORMAT </w:instrText>
        </w:r>
        <w:r>
          <w:fldChar w:fldCharType="separate"/>
        </w:r>
        <w:r w:rsidR="00236244">
          <w:rPr>
            <w:noProof/>
          </w:rPr>
          <w:t>476</w:t>
        </w:r>
        <w:r>
          <w:rPr>
            <w:noProof/>
          </w:rPr>
          <w:fldChar w:fldCharType="end"/>
        </w:r>
      </w:p>
    </w:sdtContent>
  </w:sdt>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734D" w14:textId="77777777" w:rsidR="001A4585" w:rsidRPr="00AE11D4" w:rsidRDefault="001A4585" w:rsidP="001D763B">
    <w:pPr>
      <w:pBdr>
        <w:top w:val="single" w:sz="4" w:space="10" w:color="auto"/>
      </w:pBdr>
      <w:jc w:val="center"/>
      <w:rPr>
        <w:sz w:val="16"/>
      </w:rPr>
    </w:pPr>
    <w:r w:rsidRPr="00AE11D4">
      <w:rPr>
        <w:sz w:val="16"/>
      </w:rPr>
      <w:t xml:space="preserve">Model Services </w:t>
    </w:r>
    <w:r w:rsidRPr="00AE6AFD">
      <w:rPr>
        <w:sz w:val="16"/>
        <w:highlight w:val="green"/>
      </w:rPr>
      <w:t>Contract</w:t>
    </w:r>
    <w:r w:rsidRPr="00AE11D4">
      <w:rPr>
        <w:sz w:val="16"/>
      </w:rPr>
      <w:t xml:space="preserve"> Combined </w:t>
    </w:r>
    <w:r w:rsidRPr="00E9603F">
      <w:rPr>
        <w:sz w:val="16"/>
        <w:highlight w:val="magenta"/>
      </w:rPr>
      <w:t>Schedule</w:t>
    </w:r>
    <w:r w:rsidRPr="00AE11D4">
      <w:rPr>
        <w:sz w:val="16"/>
      </w:rPr>
      <w:t xml:space="preserve">s v1.09 – </w:t>
    </w:r>
    <w:r w:rsidRPr="00E9603F">
      <w:rPr>
        <w:sz w:val="16"/>
        <w:highlight w:val="magenta"/>
      </w:rPr>
      <w:t>Schedule</w:t>
    </w:r>
    <w:r w:rsidRPr="00AE11D4">
      <w:rPr>
        <w:sz w:val="16"/>
      </w:rPr>
      <w:t xml:space="preserve"> 10</w:t>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626163"/>
      <w:docPartObj>
        <w:docPartGallery w:val="Page Numbers (Bottom of Page)"/>
        <w:docPartUnique/>
      </w:docPartObj>
    </w:sdtPr>
    <w:sdtEndPr>
      <w:rPr>
        <w:noProof/>
      </w:rPr>
    </w:sdtEndPr>
    <w:sdtContent>
      <w:p w14:paraId="689EAB82" w14:textId="45F9A031" w:rsidR="001A4585" w:rsidRPr="00C23949" w:rsidRDefault="001A4585" w:rsidP="002E463E">
        <w:pPr>
          <w:pStyle w:val="Footer"/>
          <w:tabs>
            <w:tab w:val="clear" w:pos="4513"/>
            <w:tab w:val="clear" w:pos="9026"/>
            <w:tab w:val="right" w:pos="15139"/>
          </w:tabs>
          <w:rPr>
            <w:rFonts w:cs="Arial"/>
            <w:color w:val="000000"/>
            <w:sz w:val="14"/>
          </w:rPr>
        </w:pPr>
        <w:r>
          <w:t>Schedule 30: (Deed of Guarantee), Model Services Contract, v2.1</w:t>
        </w:r>
        <w:r>
          <w:tab/>
        </w:r>
        <w:r>
          <w:fldChar w:fldCharType="begin"/>
        </w:r>
        <w:r>
          <w:instrText xml:space="preserve"> PAGE   \* MERGEFORMAT </w:instrText>
        </w:r>
        <w:r>
          <w:fldChar w:fldCharType="separate"/>
        </w:r>
        <w:r w:rsidR="00236244">
          <w:rPr>
            <w:noProof/>
          </w:rPr>
          <w:t>486</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4D93" w14:textId="71C9D4E4" w:rsidR="001A4585" w:rsidRPr="006051CD" w:rsidRDefault="001A4585">
    <w:pPr>
      <w:pBdr>
        <w:top w:val="single" w:sz="4" w:space="4" w:color="000000"/>
        <w:left w:val="nil"/>
        <w:bottom w:val="nil"/>
        <w:right w:val="nil"/>
        <w:between w:val="nil"/>
      </w:pBdr>
      <w:tabs>
        <w:tab w:val="center" w:pos="4513"/>
        <w:tab w:val="right" w:pos="9026"/>
        <w:tab w:val="right" w:pos="10206"/>
      </w:tabs>
      <w:rPr>
        <w:rFonts w:cs="Arial"/>
        <w:color w:val="000000"/>
        <w:sz w:val="14"/>
        <w:szCs w:val="14"/>
      </w:rPr>
    </w:pPr>
    <w:r>
      <w:rPr>
        <w:color w:val="000000"/>
        <w:sz w:val="22"/>
        <w:szCs w:val="22"/>
      </w:rPr>
      <w:t>Schedule 3 (Performance Levels), Model Services Contract, v2.1</w:t>
    </w: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sidR="00236244">
      <w:rPr>
        <w:noProof/>
        <w:color w:val="000000"/>
        <w:sz w:val="22"/>
        <w:szCs w:val="22"/>
      </w:rPr>
      <w:t>68</w:t>
    </w:r>
    <w:r>
      <w:rPr>
        <w:color w:val="000000"/>
        <w:sz w:val="22"/>
        <w:szCs w:val="22"/>
      </w:rPr>
      <w:fldChar w:fldCharType="end"/>
    </w:r>
    <w:r>
      <w:rPr>
        <w:rFonts w:cs="Arial"/>
        <w:color w:val="000000"/>
        <w:sz w:val="14"/>
        <w:szCs w:val="14"/>
      </w:rPr>
      <w:fldChar w:fldCharType="begin"/>
    </w:r>
    <w:r>
      <w:rPr>
        <w:rFonts w:cs="Arial"/>
        <w:color w:val="000000"/>
        <w:sz w:val="14"/>
        <w:szCs w:val="14"/>
      </w:rPr>
      <w:instrText xml:space="preserve"> DOCPROPERTY "DWFFooter"  \* MERGEFORMAT </w:instrText>
    </w:r>
    <w:r>
      <w:rPr>
        <w:rFonts w:cs="Arial"/>
        <w:color w:val="000000"/>
        <w:sz w:val="14"/>
        <w:szCs w:val="14"/>
      </w:rPr>
      <w:fldChar w:fldCharType="separate"/>
    </w:r>
    <w:r w:rsidR="00C23949">
      <w:rPr>
        <w:rFonts w:cs="Arial"/>
        <w:color w:val="000000"/>
        <w:sz w:val="14"/>
        <w:szCs w:val="14"/>
      </w:rPr>
      <w:t>91617000-1</w:t>
    </w:r>
    <w:r>
      <w:rPr>
        <w:rFonts w:cs="Arial"/>
        <w:color w:val="000000"/>
        <w:sz w:val="14"/>
        <w:szCs w:val="14"/>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611601"/>
      <w:docPartObj>
        <w:docPartGallery w:val="Page Numbers (Bottom of Page)"/>
        <w:docPartUnique/>
      </w:docPartObj>
    </w:sdtPr>
    <w:sdtEndPr>
      <w:rPr>
        <w:noProof/>
      </w:rPr>
    </w:sdtEndPr>
    <w:sdtContent>
      <w:p w14:paraId="74B4CD41" w14:textId="4EC434C6" w:rsidR="001A4585" w:rsidRPr="00C23949" w:rsidRDefault="001A4585" w:rsidP="002E463E">
        <w:pPr>
          <w:pStyle w:val="Footer"/>
          <w:tabs>
            <w:tab w:val="clear" w:pos="4513"/>
            <w:tab w:val="clear" w:pos="9026"/>
            <w:tab w:val="right" w:pos="15139"/>
          </w:tabs>
          <w:rPr>
            <w:rFonts w:cs="Arial"/>
            <w:color w:val="000000"/>
            <w:sz w:val="14"/>
          </w:rPr>
        </w:pPr>
        <w:r>
          <w:t>Schedule 31: (Processing Personal Data), Model Services Contract, v2.1</w:t>
        </w:r>
        <w:r>
          <w:tab/>
        </w:r>
        <w:r>
          <w:fldChar w:fldCharType="begin"/>
        </w:r>
        <w:r>
          <w:instrText xml:space="preserve"> PAGE   \* MERGEFORMAT </w:instrText>
        </w:r>
        <w:r>
          <w:fldChar w:fldCharType="separate"/>
        </w:r>
        <w:r w:rsidR="00236244">
          <w:rPr>
            <w:noProof/>
          </w:rPr>
          <w:t>502</w:t>
        </w:r>
        <w:r>
          <w:rPr>
            <w:noProof/>
          </w:rPr>
          <w:fldChar w:fldCharType="end"/>
        </w:r>
      </w:p>
    </w:sdtContent>
  </w:sdt>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4C19E" w14:textId="77777777" w:rsidR="001A4585" w:rsidRDefault="001A4585">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537992"/>
      <w:docPartObj>
        <w:docPartGallery w:val="Page Numbers (Bottom of Page)"/>
        <w:docPartUnique/>
      </w:docPartObj>
    </w:sdtPr>
    <w:sdtEndPr>
      <w:rPr>
        <w:noProof/>
      </w:rPr>
    </w:sdtEndPr>
    <w:sdtContent>
      <w:p w14:paraId="631A52F1" w14:textId="76329191" w:rsidR="001A4585" w:rsidRPr="00C23949" w:rsidRDefault="001A4585" w:rsidP="0052486C">
        <w:pPr>
          <w:pStyle w:val="Footer"/>
          <w:tabs>
            <w:tab w:val="clear" w:pos="4513"/>
            <w:tab w:val="clear" w:pos="9026"/>
            <w:tab w:val="right" w:pos="15139"/>
          </w:tabs>
          <w:rPr>
            <w:rFonts w:cs="Arial"/>
            <w:color w:val="000000"/>
            <w:sz w:val="14"/>
          </w:rPr>
        </w:pPr>
        <w:r w:rsidRPr="00F624D8">
          <w:t xml:space="preserve">Schedule 32: </w:t>
        </w:r>
        <w:r>
          <w:t>(</w:t>
        </w:r>
        <w:r w:rsidRPr="00F624D8">
          <w:t>Intellectual Property Rights</w:t>
        </w:r>
        <w:r>
          <w:t>), Model Services Contract, v2.1</w:t>
        </w:r>
        <w:r>
          <w:tab/>
        </w:r>
        <w:r>
          <w:fldChar w:fldCharType="begin"/>
        </w:r>
        <w:r>
          <w:instrText xml:space="preserve"> PAGE   \* MERGEFORMAT </w:instrText>
        </w:r>
        <w:r>
          <w:fldChar w:fldCharType="separate"/>
        </w:r>
        <w:r w:rsidR="00236244">
          <w:rPr>
            <w:noProof/>
          </w:rPr>
          <w:t>515</w:t>
        </w:r>
        <w:r>
          <w:rPr>
            <w:noProof/>
          </w:rPr>
          <w:fldChar w:fldCharType="end"/>
        </w:r>
      </w:p>
    </w:sdtContent>
  </w:sdt>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0FEB" w14:textId="77777777" w:rsidR="001A4585" w:rsidRDefault="001A4585">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13561"/>
      <w:docPartObj>
        <w:docPartGallery w:val="Page Numbers (Bottom of Page)"/>
        <w:docPartUnique/>
      </w:docPartObj>
    </w:sdtPr>
    <w:sdtEndPr>
      <w:rPr>
        <w:noProof/>
      </w:rPr>
    </w:sdtEndPr>
    <w:sdtContent>
      <w:p w14:paraId="6B0A8E80" w14:textId="6E20C2E5" w:rsidR="001A4585" w:rsidRPr="00C23949" w:rsidRDefault="001A4585" w:rsidP="0052486C">
        <w:pPr>
          <w:pStyle w:val="Footer"/>
          <w:tabs>
            <w:tab w:val="clear" w:pos="4513"/>
            <w:tab w:val="clear" w:pos="9026"/>
            <w:tab w:val="right" w:pos="15139"/>
          </w:tabs>
          <w:rPr>
            <w:rFonts w:cs="Arial"/>
            <w:color w:val="000000"/>
            <w:sz w:val="14"/>
          </w:rPr>
        </w:pPr>
        <w:r>
          <w:tab/>
        </w:r>
        <w:r>
          <w:fldChar w:fldCharType="begin"/>
        </w:r>
        <w:r>
          <w:instrText xml:space="preserve"> PAGE   \* MERGEFORMAT </w:instrText>
        </w:r>
        <w:r>
          <w:fldChar w:fldCharType="separate"/>
        </w:r>
        <w:r w:rsidR="00236244">
          <w:rPr>
            <w:noProof/>
          </w:rPr>
          <w:t>516</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EC52" w14:textId="77777777" w:rsidR="001A4585" w:rsidRDefault="001A4585">
    <w:pPr>
      <w:pBdr>
        <w:top w:val="single" w:sz="4" w:space="4" w:color="000000"/>
        <w:left w:val="nil"/>
        <w:bottom w:val="nil"/>
        <w:right w:val="nil"/>
        <w:between w:val="nil"/>
      </w:pBdr>
      <w:tabs>
        <w:tab w:val="center" w:pos="4513"/>
        <w:tab w:val="right" w:pos="9026"/>
      </w:tabs>
      <w:rPr>
        <w:color w:val="000000"/>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C5492" w14:textId="136108D9" w:rsidR="001A4585" w:rsidRPr="00CA70ED" w:rsidRDefault="001A4585">
    <w:pPr>
      <w:pBdr>
        <w:top w:val="single" w:sz="4" w:space="4" w:color="000000"/>
        <w:left w:val="nil"/>
        <w:bottom w:val="nil"/>
        <w:right w:val="nil"/>
        <w:between w:val="nil"/>
      </w:pBdr>
      <w:tabs>
        <w:tab w:val="center" w:pos="4513"/>
        <w:tab w:val="right" w:pos="9026"/>
        <w:tab w:val="right" w:pos="15139"/>
      </w:tabs>
      <w:rPr>
        <w:color w:val="000000"/>
        <w:sz w:val="14"/>
        <w:szCs w:val="14"/>
      </w:rPr>
    </w:pPr>
    <w:r>
      <w:rPr>
        <w:color w:val="000000"/>
        <w:sz w:val="22"/>
        <w:szCs w:val="22"/>
      </w:rPr>
      <w:t>Schedule 3 (Performance Levels), Model Services Contract, v2.1</w:t>
    </w: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sidR="00236244">
      <w:rPr>
        <w:noProof/>
        <w:color w:val="000000"/>
        <w:sz w:val="22"/>
        <w:szCs w:val="22"/>
      </w:rPr>
      <w:t>80</w:t>
    </w:r>
    <w:r>
      <w:rPr>
        <w:color w:val="000000"/>
        <w:sz w:val="22"/>
        <w:szCs w:val="22"/>
      </w:rPr>
      <w:fldChar w:fldCharType="end"/>
    </w:r>
    <w:r>
      <w:rPr>
        <w:color w:val="000000"/>
        <w:sz w:val="14"/>
        <w:szCs w:val="14"/>
      </w:rPr>
      <w:t>86439801-1</w:t>
    </w:r>
    <w:r>
      <w:rPr>
        <w:color w:val="000000"/>
        <w:sz w:val="14"/>
        <w:szCs w:val="14"/>
      </w:rPr>
      <w:fldChar w:fldCharType="begin"/>
    </w:r>
    <w:r>
      <w:rPr>
        <w:color w:val="000000"/>
        <w:sz w:val="14"/>
        <w:szCs w:val="14"/>
      </w:rPr>
      <w:instrText xml:space="preserve"> DOCPROPERTY "DWFFooter"  \* MERGEFORMAT </w:instrText>
    </w:r>
    <w:r>
      <w:rPr>
        <w:color w:val="000000"/>
        <w:sz w:val="14"/>
        <w:szCs w:val="14"/>
      </w:rPr>
      <w:fldChar w:fldCharType="separate"/>
    </w:r>
    <w:r w:rsidR="00C23949">
      <w:rPr>
        <w:color w:val="000000"/>
        <w:sz w:val="14"/>
        <w:szCs w:val="14"/>
      </w:rPr>
      <w:t>91617000-1</w:t>
    </w:r>
    <w:r>
      <w:rPr>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74F63" w14:textId="77777777" w:rsidR="001A4585" w:rsidRDefault="001A4585" w:rsidP="004A7C2C">
      <w:r>
        <w:separator/>
      </w:r>
    </w:p>
    <w:p w14:paraId="0B9D837A" w14:textId="77777777" w:rsidR="001A4585" w:rsidRDefault="001A4585"/>
  </w:footnote>
  <w:footnote w:type="continuationSeparator" w:id="0">
    <w:p w14:paraId="33FA6ED1" w14:textId="77777777" w:rsidR="001A4585" w:rsidRDefault="001A4585" w:rsidP="004A7C2C">
      <w:r>
        <w:continuationSeparator/>
      </w:r>
    </w:p>
    <w:p w14:paraId="297A1BEC" w14:textId="77777777" w:rsidR="001A4585" w:rsidRDefault="001A4585"/>
  </w:footnote>
  <w:footnote w:type="continuationNotice" w:id="1">
    <w:p w14:paraId="7D6E804A" w14:textId="77777777" w:rsidR="001A4585" w:rsidRDefault="001A4585"/>
    <w:p w14:paraId="133C949E" w14:textId="77777777" w:rsidR="001A4585" w:rsidRDefault="001A45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6F22" w14:textId="77777777" w:rsidR="00C23949" w:rsidRDefault="00C239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5D04" w14:textId="77777777" w:rsidR="001A4585" w:rsidRPr="004A7C2C" w:rsidRDefault="001A4585" w:rsidP="00534BE5">
    <w:pPr>
      <w:pStyle w:val="Header"/>
    </w:pPr>
    <w:r w:rsidRPr="00E9603F">
      <w:rPr>
        <w:highlight w:val="magenta"/>
      </w:rPr>
      <w:t>Schedule</w:t>
    </w:r>
    <w:r w:rsidRPr="004A7C2C">
      <w:t xml:space="preserve"> </w:t>
    </w:r>
    <w:r>
      <w:t>5</w:t>
    </w:r>
    <w:r w:rsidRPr="004A7C2C">
      <w:t xml:space="preserve"> (</w:t>
    </w:r>
    <w:r>
      <w:t>Security Management</w:t>
    </w:r>
    <w:r w:rsidRPr="004A7C2C">
      <w:t>)</w:t>
    </w:r>
  </w:p>
  <w:p w14:paraId="0CA548A9" w14:textId="77777777" w:rsidR="001A4585" w:rsidRPr="004A7C2C" w:rsidRDefault="001A4585" w:rsidP="00534BE5">
    <w:pPr>
      <w:pStyle w:val="Header"/>
    </w:pPr>
    <w:r w:rsidRPr="004A7C2C">
      <w:t>Crown copyright 2021</w:t>
    </w:r>
  </w:p>
  <w:p w14:paraId="3BE12594" w14:textId="77777777" w:rsidR="001A4585" w:rsidRDefault="001A4585" w:rsidP="00534BE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C150D" w14:textId="77777777" w:rsidR="001A4585" w:rsidRPr="00534BE5" w:rsidRDefault="001A4585" w:rsidP="0029093D">
    <w:pPr>
      <w:rPr>
        <w:b/>
        <w:bCs/>
      </w:rPr>
    </w:pPr>
    <w:r w:rsidRPr="00534BE5">
      <w:rPr>
        <w:b/>
        <w:bCs/>
      </w:rPr>
      <w:t>Schedule 5</w:t>
    </w:r>
    <w:r>
      <w:rPr>
        <w:b/>
        <w:bCs/>
      </w:rPr>
      <w:t xml:space="preserve"> (</w:t>
    </w:r>
    <w:r w:rsidRPr="00534BE5">
      <w:rPr>
        <w:b/>
        <w:bCs/>
      </w:rPr>
      <w:t>Security Management</w:t>
    </w:r>
    <w:r>
      <w:rPr>
        <w:b/>
        <w:bCs/>
      </w:rPr>
      <w:t>)</w:t>
    </w:r>
  </w:p>
  <w:p w14:paraId="43F515CF" w14:textId="77777777" w:rsidR="001A4585" w:rsidRPr="00534BE5" w:rsidRDefault="001A4585" w:rsidP="0029093D">
    <w:pPr>
      <w:pStyle w:val="Header"/>
    </w:pPr>
    <w:r w:rsidRPr="00534BE5">
      <w:t xml:space="preserve">Crown </w:t>
    </w:r>
    <w:r>
      <w:t>C</w:t>
    </w:r>
    <w:r w:rsidRPr="00534BE5">
      <w:t>opyright 202</w:t>
    </w:r>
    <w:r>
      <w:t>3</w:t>
    </w:r>
  </w:p>
  <w:p w14:paraId="2C528DC0" w14:textId="77777777" w:rsidR="001A4585" w:rsidRPr="00A32034" w:rsidRDefault="001A4585" w:rsidP="002909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5E4C" w14:textId="77777777" w:rsidR="001A4585" w:rsidRDefault="001A4585">
    <w:pPr>
      <w:pBdr>
        <w:top w:val="nil"/>
        <w:left w:val="nil"/>
        <w:bottom w:val="nil"/>
        <w:right w:val="nil"/>
        <w:between w:val="nil"/>
      </w:pBdr>
      <w:tabs>
        <w:tab w:val="center" w:pos="4513"/>
        <w:tab w:val="right" w:pos="9026"/>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25F8E" w14:textId="77777777" w:rsidR="001A4585" w:rsidRDefault="001A4585">
    <w:pPr>
      <w:pBdr>
        <w:top w:val="nil"/>
        <w:left w:val="nil"/>
        <w:bottom w:val="nil"/>
        <w:right w:val="nil"/>
        <w:between w:val="nil"/>
      </w:pBdr>
      <w:tabs>
        <w:tab w:val="center" w:pos="4513"/>
        <w:tab w:val="right" w:pos="9026"/>
      </w:tabs>
      <w:jc w:val="right"/>
      <w:rPr>
        <w:color w:val="000000"/>
      </w:rPr>
    </w:pPr>
    <w:bookmarkStart w:id="495" w:name="bookmark=id.18vjpp8" w:colFirst="0" w:colLast="0"/>
    <w:bookmarkEnd w:id="495"/>
  </w:p>
  <w:p w14:paraId="54888122" w14:textId="77777777" w:rsidR="001A4585" w:rsidRDefault="001A4585">
    <w:pPr>
      <w:pBdr>
        <w:top w:val="nil"/>
        <w:left w:val="nil"/>
        <w:bottom w:val="nil"/>
        <w:right w:val="nil"/>
        <w:between w:val="nil"/>
      </w:pBdr>
      <w:tabs>
        <w:tab w:val="center" w:pos="4513"/>
        <w:tab w:val="right" w:pos="9026"/>
      </w:tabs>
      <w:jc w:val="right"/>
      <w:rPr>
        <w:color w:val="000000"/>
      </w:rPr>
    </w:pPr>
    <w:bookmarkStart w:id="496" w:name="bookmark=id.3sv78d1" w:colFirst="0" w:colLast="0"/>
    <w:bookmarkEnd w:id="496"/>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16FD6" w14:textId="77777777" w:rsidR="001A4585" w:rsidRDefault="001A4585">
    <w:pPr>
      <w:pBdr>
        <w:top w:val="nil"/>
        <w:left w:val="nil"/>
        <w:bottom w:val="nil"/>
        <w:right w:val="nil"/>
        <w:between w:val="nil"/>
      </w:pBdr>
      <w:tabs>
        <w:tab w:val="center" w:pos="4513"/>
        <w:tab w:val="right" w:pos="9026"/>
      </w:tabs>
      <w:rPr>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38C5" w14:textId="77777777" w:rsidR="001A4585" w:rsidRDefault="001A4585">
    <w:pPr>
      <w:pBdr>
        <w:top w:val="nil"/>
        <w:left w:val="nil"/>
        <w:bottom w:val="nil"/>
        <w:right w:val="nil"/>
        <w:between w:val="nil"/>
      </w:pBdr>
      <w:tabs>
        <w:tab w:val="center" w:pos="4513"/>
        <w:tab w:val="right" w:pos="9026"/>
      </w:tabs>
      <w:rPr>
        <w:color w:val="000000"/>
      </w:rPr>
    </w:pPr>
    <w:r>
      <w:rPr>
        <w:noProof/>
        <w:color w:val="000000"/>
        <w:lang w:eastAsia="en-GB"/>
      </w:rPr>
      <mc:AlternateContent>
        <mc:Choice Requires="wpg">
          <w:drawing>
            <wp:anchor distT="0" distB="0" distL="114300" distR="114300" simplePos="0" relativeHeight="251659264" behindDoc="0" locked="0" layoutInCell="1" hidden="0" allowOverlap="1" wp14:anchorId="63E38B64" wp14:editId="2B676F78">
              <wp:simplePos x="0" y="0"/>
              <wp:positionH relativeFrom="page">
                <wp:posOffset>6291618</wp:posOffset>
              </wp:positionH>
              <wp:positionV relativeFrom="page">
                <wp:posOffset>-59284</wp:posOffset>
              </wp:positionV>
              <wp:extent cx="1259840" cy="1325479"/>
              <wp:effectExtent l="0" t="0" r="0" b="0"/>
              <wp:wrapNone/>
              <wp:docPr id="19" name="Group 19"/>
              <wp:cNvGraphicFramePr/>
              <a:graphic xmlns:a="http://schemas.openxmlformats.org/drawingml/2006/main">
                <a:graphicData uri="http://schemas.microsoft.com/office/word/2010/wordprocessingGroup">
                  <wpg:wgp>
                    <wpg:cNvGrpSpPr/>
                    <wpg:grpSpPr>
                      <a:xfrm>
                        <a:off x="0" y="0"/>
                        <a:ext cx="1259840" cy="1325479"/>
                        <a:chOff x="4716075" y="3117250"/>
                        <a:chExt cx="1259850" cy="1325500"/>
                      </a:xfrm>
                    </wpg:grpSpPr>
                    <wpg:grpSp>
                      <wpg:cNvPr id="7" name="Group 7"/>
                      <wpg:cNvGrpSpPr/>
                      <wpg:grpSpPr>
                        <a:xfrm>
                          <a:off x="4716080" y="3117261"/>
                          <a:ext cx="1259840" cy="1325479"/>
                          <a:chOff x="4716075" y="3117250"/>
                          <a:chExt cx="1259850" cy="1325500"/>
                        </a:xfrm>
                      </wpg:grpSpPr>
                      <wps:wsp>
                        <wps:cNvPr id="8" name="Rectangle 8"/>
                        <wps:cNvSpPr/>
                        <wps:spPr>
                          <a:xfrm>
                            <a:off x="4716075" y="3117250"/>
                            <a:ext cx="1259850" cy="1325500"/>
                          </a:xfrm>
                          <a:prstGeom prst="rect">
                            <a:avLst/>
                          </a:prstGeom>
                          <a:noFill/>
                          <a:ln>
                            <a:noFill/>
                          </a:ln>
                        </wps:spPr>
                        <wps:txbx>
                          <w:txbxContent>
                            <w:p w14:paraId="6D5E435B" w14:textId="77777777" w:rsidR="001A4585" w:rsidRDefault="001A4585">
                              <w:pPr>
                                <w:textDirection w:val="btLr"/>
                              </w:pPr>
                            </w:p>
                          </w:txbxContent>
                        </wps:txbx>
                        <wps:bodyPr spcFirstLastPara="1" wrap="square" lIns="91425" tIns="91425" rIns="91425" bIns="91425" anchor="ctr" anchorCtr="0">
                          <a:noAutofit/>
                        </wps:bodyPr>
                      </wps:wsp>
                      <wpg:grpSp>
                        <wpg:cNvPr id="9" name="Group 9"/>
                        <wpg:cNvGrpSpPr/>
                        <wpg:grpSpPr>
                          <a:xfrm>
                            <a:off x="4716080" y="3117261"/>
                            <a:ext cx="1259840" cy="1325479"/>
                            <a:chOff x="-122521" y="-617069"/>
                            <a:chExt cx="1259651" cy="1325280"/>
                          </a:xfrm>
                        </wpg:grpSpPr>
                        <wps:wsp>
                          <wps:cNvPr id="10" name="Rectangle 10"/>
                          <wps:cNvSpPr/>
                          <wps:spPr>
                            <a:xfrm>
                              <a:off x="-122521" y="-617069"/>
                              <a:ext cx="1259650" cy="1325275"/>
                            </a:xfrm>
                            <a:prstGeom prst="rect">
                              <a:avLst/>
                            </a:prstGeom>
                            <a:noFill/>
                            <a:ln>
                              <a:noFill/>
                            </a:ln>
                          </wps:spPr>
                          <wps:txbx>
                            <w:txbxContent>
                              <w:p w14:paraId="59F15F5C" w14:textId="77777777" w:rsidR="001A4585" w:rsidRDefault="001A4585">
                                <w:pPr>
                                  <w:textDirection w:val="btLr"/>
                                </w:pPr>
                              </w:p>
                            </w:txbxContent>
                          </wps:txbx>
                          <wps:bodyPr spcFirstLastPara="1" wrap="square" lIns="91425" tIns="91425" rIns="91425" bIns="91425" anchor="ctr" anchorCtr="0">
                            <a:noAutofit/>
                          </wps:bodyPr>
                        </wps:wsp>
                        <wps:wsp>
                          <wps:cNvPr id="11" name="Isosceles Triangle 11"/>
                          <wps:cNvSpPr/>
                          <wps:spPr>
                            <a:xfrm rot="-5400000" flipH="1">
                              <a:off x="-122521" y="-551440"/>
                              <a:ext cx="1259651" cy="1259651"/>
                            </a:xfrm>
                            <a:prstGeom prst="triangle">
                              <a:avLst>
                                <a:gd name="adj" fmla="val 0"/>
                              </a:avLst>
                            </a:prstGeom>
                            <a:solidFill>
                              <a:srgbClr val="E62A4F">
                                <a:alpha val="0"/>
                              </a:srgbClr>
                            </a:solidFill>
                            <a:ln>
                              <a:noFill/>
                            </a:ln>
                          </wps:spPr>
                          <wps:txbx>
                            <w:txbxContent>
                              <w:p w14:paraId="1E489FB9" w14:textId="77777777" w:rsidR="001A4585" w:rsidRDefault="001A4585">
                                <w:pPr>
                                  <w:textDirection w:val="btLr"/>
                                </w:pPr>
                              </w:p>
                            </w:txbxContent>
                          </wps:txbx>
                          <wps:bodyPr spcFirstLastPara="1" wrap="square" lIns="91425" tIns="91425" rIns="91425" bIns="91425" anchor="ctr" anchorCtr="0">
                            <a:noAutofit/>
                          </wps:bodyPr>
                        </wps:wsp>
                        <wps:wsp>
                          <wps:cNvPr id="12" name="Rectangle 12"/>
                          <wps:cNvSpPr/>
                          <wps:spPr>
                            <a:xfrm rot="2703337">
                              <a:off x="185834" y="-231200"/>
                              <a:ext cx="1001184" cy="229445"/>
                            </a:xfrm>
                            <a:prstGeom prst="rect">
                              <a:avLst/>
                            </a:prstGeom>
                            <a:solidFill>
                              <a:srgbClr val="E62A4F">
                                <a:alpha val="0"/>
                              </a:srgbClr>
                            </a:solidFill>
                            <a:ln>
                              <a:noFill/>
                            </a:ln>
                          </wps:spPr>
                          <wps:txbx>
                            <w:txbxContent>
                              <w:p w14:paraId="0339C538" w14:textId="77777777" w:rsidR="001A4585" w:rsidRDefault="001A4585">
                                <w:pPr>
                                  <w:jc w:val="center"/>
                                  <w:textDirection w:val="btLr"/>
                                </w:pPr>
                                <w:r>
                                  <w:rPr>
                                    <w:b/>
                                    <w:color w:val="FFFFFF"/>
                                  </w:rPr>
                                  <w:t>DRAFT</w:t>
                                </w:r>
                              </w:p>
                            </w:txbxContent>
                          </wps:txbx>
                          <wps:bodyPr spcFirstLastPara="1" wrap="square" lIns="91425" tIns="45700" rIns="91425" bIns="45700" anchor="t" anchorCtr="0">
                            <a:noAutofit/>
                          </wps:bodyPr>
                        </wps:wsp>
                      </wpg:grpSp>
                    </wpg:grpSp>
                  </wpg:wgp>
                </a:graphicData>
              </a:graphic>
            </wp:anchor>
          </w:drawing>
        </mc:Choice>
        <mc:Fallback>
          <w:pict>
            <v:group w14:anchorId="63E38B64" id="Group 19" o:spid="_x0000_s1026" style="position:absolute;margin-left:495.4pt;margin-top:-4.65pt;width:99.2pt;height:104.35pt;z-index:251659264;mso-position-horizontal-relative:page;mso-position-vertical-relative:page" coordorigin="47160,31172" coordsize="12598,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">
              <v:group id="Group 7" o:spid="_x0000_s1027" style="position:absolute;left:47160;top:31172;width:12599;height:13255" coordorigin="47160,31172" coordsize="12598,1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28" style="position:absolute;left:47160;top:31172;width:12599;height:1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6D5E435B" w14:textId="77777777" w:rsidR="001A4585" w:rsidRDefault="001A4585">
                        <w:pPr>
                          <w:textDirection w:val="btLr"/>
                        </w:pPr>
                      </w:p>
                    </w:txbxContent>
                  </v:textbox>
                </v:rect>
                <v:group id="Group 9" o:spid="_x0000_s1029" style="position:absolute;left:47160;top:31172;width:12599;height:13255" coordorigin="-1225,-6170" coordsize="12596,1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0" style="position:absolute;left:-1225;top:-6170;width:12596;height:1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59F15F5C" w14:textId="77777777" w:rsidR="001A4585" w:rsidRDefault="001A4585">
                          <w:pPr>
                            <w:textDirection w:val="btL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31"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" adj="0" fillcolor="#e62a4f" stroked="f">
                    <v:fill opacity="0"/>
                    <v:textbox inset="2.53958mm,2.53958mm,2.53958mm,2.53958mm">
                      <w:txbxContent>
                        <w:p w14:paraId="1E489FB9" w14:textId="77777777" w:rsidR="001A4585" w:rsidRDefault="001A4585">
                          <w:pPr>
                            <w:textDirection w:val="btLr"/>
                          </w:pPr>
                        </w:p>
                      </w:txbxContent>
                    </v:textbox>
                  </v:shape>
                  <v:rect id="Rectangle 12" o:spid="_x0000_s103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" fillcolor="#e62a4f" stroked="f">
                    <v:fill opacity="0"/>
                    <v:textbox inset="2.53958mm,1.2694mm,2.53958mm,1.2694mm">
                      <w:txbxContent>
                        <w:p w14:paraId="0339C538" w14:textId="77777777" w:rsidR="001A4585" w:rsidRDefault="001A4585">
                          <w:pPr>
                            <w:jc w:val="center"/>
                            <w:textDirection w:val="btLr"/>
                          </w:pPr>
                          <w:r>
                            <w:rPr>
                              <w:b/>
                              <w:color w:val="FFFFFF"/>
                            </w:rPr>
                            <w:t>DRAFT</w:t>
                          </w:r>
                        </w:p>
                      </w:txbxContent>
                    </v:textbox>
                  </v:rect>
                </v:group>
              </v:group>
              <w10:wrap anchorx="page" anchory="page"/>
            </v:group>
          </w:pict>
        </mc:Fallback>
      </mc:AlternateContent>
    </w:r>
    <w:r>
      <w:rPr>
        <w:noProof/>
        <w:lang w:eastAsia="en-GB"/>
      </w:rPr>
      <mc:AlternateContent>
        <mc:Choice Requires="wps">
          <w:drawing>
            <wp:anchor distT="0" distB="0" distL="114300" distR="114300" simplePos="0" relativeHeight="251660288" behindDoc="0" locked="0" layoutInCell="1" hidden="0" allowOverlap="1" wp14:anchorId="3A2C248A" wp14:editId="4A8282B8">
              <wp:simplePos x="0" y="0"/>
              <wp:positionH relativeFrom="column">
                <wp:posOffset>-63499</wp:posOffset>
              </wp:positionH>
              <wp:positionV relativeFrom="paragraph">
                <wp:posOffset>-368299</wp:posOffset>
              </wp:positionV>
              <wp:extent cx="654050" cy="31750"/>
              <wp:effectExtent l="0" t="0" r="0" b="0"/>
              <wp:wrapNone/>
              <wp:docPr id="18" name="Rectangle 18"/>
              <wp:cNvGraphicFramePr/>
              <a:graphic xmlns:a="http://schemas.openxmlformats.org/drawingml/2006/main">
                <a:graphicData uri="http://schemas.microsoft.com/office/word/2010/wordprocessingShape">
                  <wps:wsp>
                    <wps:cNvSpPr/>
                    <wps:spPr>
                      <a:xfrm flipH="1">
                        <a:off x="5028500" y="3773650"/>
                        <a:ext cx="635000" cy="12700"/>
                      </a:xfrm>
                      <a:prstGeom prst="rect">
                        <a:avLst/>
                      </a:prstGeom>
                      <a:solidFill>
                        <a:srgbClr val="FFFFFF"/>
                      </a:solidFill>
                      <a:ln>
                        <a:noFill/>
                      </a:ln>
                    </wps:spPr>
                    <wps:txbx>
                      <w:txbxContent>
                        <w:p w14:paraId="3AD60B71" w14:textId="77777777" w:rsidR="001A4585" w:rsidRDefault="001A4585">
                          <w:pPr>
                            <w:textDirection w:val="btLr"/>
                          </w:pPr>
                          <w:r>
                            <w:rPr>
                              <w:color w:val="000000"/>
                              <w:sz w:val="16"/>
                            </w:rPr>
                            <w:t>Doc Info</w:t>
                          </w:r>
                        </w:p>
                        <w:p w14:paraId="4081BE4D" w14:textId="77777777" w:rsidR="001A4585" w:rsidRDefault="001A4585">
                          <w:pPr>
                            <w:textDirection w:val="btLr"/>
                          </w:pPr>
                          <w:r>
                            <w:rPr>
                              <w:color w:val="000000"/>
                              <w:sz w:val="16"/>
                            </w:rPr>
                            <w:t>Branding: true</w:t>
                          </w:r>
                        </w:p>
                        <w:p w14:paraId="4C6E580E" w14:textId="77777777" w:rsidR="001A4585" w:rsidRDefault="001A4585">
                          <w:pPr>
                            <w:textDirection w:val="btLr"/>
                          </w:pPr>
                          <w:r>
                            <w:rPr>
                              <w:color w:val="000000"/>
                              <w:sz w:val="16"/>
                            </w:rPr>
                            <w:t>FirmNameShort: DLA Piper</w:t>
                          </w:r>
                        </w:p>
                        <w:p w14:paraId="4034E0E3" w14:textId="77777777" w:rsidR="001A4585" w:rsidRDefault="001A4585">
                          <w:pPr>
                            <w:textDirection w:val="btLr"/>
                          </w:pPr>
                          <w:r>
                            <w:rPr>
                              <w:color w:val="000000"/>
                              <w:sz w:val="16"/>
                            </w:rPr>
                            <w:t>IncludeAppendix:</w:t>
                          </w:r>
                          <w:r>
                            <w:rPr>
                              <w:color w:val="000000"/>
                            </w:rPr>
                            <w:t xml:space="preserve"> false</w:t>
                          </w:r>
                        </w:p>
                        <w:p w14:paraId="47A42919" w14:textId="77777777" w:rsidR="001A4585" w:rsidRDefault="001A4585">
                          <w:pPr>
                            <w:textDirection w:val="btLr"/>
                          </w:pPr>
                          <w:r>
                            <w:rPr>
                              <w:color w:val="000000"/>
                              <w:sz w:val="16"/>
                            </w:rPr>
                            <w:t>IncludeSchedules: false</w:t>
                          </w:r>
                        </w:p>
                        <w:p w14:paraId="7FC98C9A" w14:textId="77777777" w:rsidR="001A4585" w:rsidRDefault="001A4585">
                          <w:pPr>
                            <w:textDirection w:val="btLr"/>
                          </w:pPr>
                        </w:p>
                        <w:p w14:paraId="7223FF0E" w14:textId="77777777" w:rsidR="001A4585" w:rsidRDefault="001A4585">
                          <w:pPr>
                            <w:textDirection w:val="btLr"/>
                          </w:pPr>
                        </w:p>
                      </w:txbxContent>
                    </wps:txbx>
                    <wps:bodyPr spcFirstLastPara="1" wrap="square" lIns="91425" tIns="45700" rIns="91425" bIns="45700" anchor="t" anchorCtr="0">
                      <a:noAutofit/>
                    </wps:bodyPr>
                  </wps:wsp>
                </a:graphicData>
              </a:graphic>
            </wp:anchor>
          </w:drawing>
        </mc:Choice>
        <mc:Fallback>
          <w:pict>
            <v:rect w14:anchorId="3A2C248A" id="Rectangle 18" o:spid="_x0000_s1033" style="position:absolute;margin-left:-5pt;margin-top:-29pt;width:51.5pt;height:2.5pt;flip:x;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" stroked="f">
              <v:textbox inset="2.53958mm,1.2694mm,2.53958mm,1.2694mm">
                <w:txbxContent>
                  <w:p w14:paraId="3AD60B71" w14:textId="77777777" w:rsidR="001A4585" w:rsidRDefault="001A4585">
                    <w:pPr>
                      <w:textDirection w:val="btLr"/>
                    </w:pPr>
                    <w:r>
                      <w:rPr>
                        <w:color w:val="000000"/>
                        <w:sz w:val="16"/>
                      </w:rPr>
                      <w:t>Doc Info</w:t>
                    </w:r>
                  </w:p>
                  <w:p w14:paraId="4081BE4D" w14:textId="77777777" w:rsidR="001A4585" w:rsidRDefault="001A4585">
                    <w:pPr>
                      <w:textDirection w:val="btLr"/>
                    </w:pPr>
                    <w:r>
                      <w:rPr>
                        <w:color w:val="000000"/>
                        <w:sz w:val="16"/>
                      </w:rPr>
                      <w:t>Branding: true</w:t>
                    </w:r>
                  </w:p>
                  <w:p w14:paraId="4C6E580E" w14:textId="77777777" w:rsidR="001A4585" w:rsidRDefault="001A4585">
                    <w:pPr>
                      <w:textDirection w:val="btLr"/>
                    </w:pPr>
                    <w:proofErr w:type="spellStart"/>
                    <w:r>
                      <w:rPr>
                        <w:color w:val="000000"/>
                        <w:sz w:val="16"/>
                      </w:rPr>
                      <w:t>FirmNameShort</w:t>
                    </w:r>
                    <w:proofErr w:type="spellEnd"/>
                    <w:r>
                      <w:rPr>
                        <w:color w:val="000000"/>
                        <w:sz w:val="16"/>
                      </w:rPr>
                      <w:t>: DLA Piper</w:t>
                    </w:r>
                  </w:p>
                  <w:p w14:paraId="4034E0E3" w14:textId="77777777" w:rsidR="001A4585" w:rsidRDefault="001A4585">
                    <w:pPr>
                      <w:textDirection w:val="btLr"/>
                    </w:pPr>
                    <w:proofErr w:type="spellStart"/>
                    <w:r>
                      <w:rPr>
                        <w:color w:val="000000"/>
                        <w:sz w:val="16"/>
                      </w:rPr>
                      <w:t>IncludeAppendix</w:t>
                    </w:r>
                    <w:proofErr w:type="spellEnd"/>
                    <w:r>
                      <w:rPr>
                        <w:color w:val="000000"/>
                        <w:sz w:val="16"/>
                      </w:rPr>
                      <w:t>:</w:t>
                    </w:r>
                    <w:r>
                      <w:rPr>
                        <w:color w:val="000000"/>
                      </w:rPr>
                      <w:t xml:space="preserve"> false</w:t>
                    </w:r>
                  </w:p>
                  <w:p w14:paraId="47A42919" w14:textId="77777777" w:rsidR="001A4585" w:rsidRDefault="001A4585">
                    <w:pPr>
                      <w:textDirection w:val="btLr"/>
                    </w:pPr>
                    <w:proofErr w:type="spellStart"/>
                    <w:r>
                      <w:rPr>
                        <w:color w:val="000000"/>
                        <w:sz w:val="16"/>
                      </w:rPr>
                      <w:t>IncludeSchedules</w:t>
                    </w:r>
                    <w:proofErr w:type="spellEnd"/>
                    <w:r>
                      <w:rPr>
                        <w:color w:val="000000"/>
                        <w:sz w:val="16"/>
                      </w:rPr>
                      <w:t>: false</w:t>
                    </w:r>
                  </w:p>
                  <w:p w14:paraId="7FC98C9A" w14:textId="77777777" w:rsidR="001A4585" w:rsidRDefault="001A4585">
                    <w:pPr>
                      <w:textDirection w:val="btLr"/>
                    </w:pPr>
                  </w:p>
                  <w:p w14:paraId="7223FF0E" w14:textId="77777777" w:rsidR="001A4585" w:rsidRDefault="001A4585">
                    <w:pPr>
                      <w:textDirection w:val="btLr"/>
                    </w:pPr>
                  </w:p>
                </w:txbxContent>
              </v:textbox>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7F43" w14:textId="77777777" w:rsidR="001A4585" w:rsidRDefault="001A4585">
    <w:pPr>
      <w:pBdr>
        <w:top w:val="nil"/>
        <w:left w:val="nil"/>
        <w:bottom w:val="nil"/>
        <w:right w:val="nil"/>
        <w:between w:val="nil"/>
      </w:pBdr>
      <w:tabs>
        <w:tab w:val="center" w:pos="4513"/>
        <w:tab w:val="right" w:pos="9026"/>
      </w:tabs>
      <w:rPr>
        <w:color w:val="000000"/>
      </w:rPr>
    </w:pPr>
    <w:r>
      <w:rPr>
        <w:noProof/>
        <w:color w:val="000000"/>
        <w:lang w:eastAsia="en-GB"/>
      </w:rPr>
      <mc:AlternateContent>
        <mc:Choice Requires="wpg">
          <w:drawing>
            <wp:anchor distT="0" distB="0" distL="114300" distR="114300" simplePos="0" relativeHeight="251662336" behindDoc="0" locked="0" layoutInCell="1" hidden="0" allowOverlap="1" wp14:anchorId="49DBBAFF" wp14:editId="0DA1A03B">
              <wp:simplePos x="0" y="0"/>
              <wp:positionH relativeFrom="page">
                <wp:posOffset>6291618</wp:posOffset>
              </wp:positionH>
              <wp:positionV relativeFrom="page">
                <wp:posOffset>-59284</wp:posOffset>
              </wp:positionV>
              <wp:extent cx="1259840" cy="1325479"/>
              <wp:effectExtent l="0" t="0" r="0" b="0"/>
              <wp:wrapNone/>
              <wp:docPr id="25" name="Group 25"/>
              <wp:cNvGraphicFramePr/>
              <a:graphic xmlns:a="http://schemas.openxmlformats.org/drawingml/2006/main">
                <a:graphicData uri="http://schemas.microsoft.com/office/word/2010/wordprocessingGroup">
                  <wpg:wgp>
                    <wpg:cNvGrpSpPr/>
                    <wpg:grpSpPr>
                      <a:xfrm>
                        <a:off x="0" y="0"/>
                        <a:ext cx="1259840" cy="1325479"/>
                        <a:chOff x="4716075" y="3117250"/>
                        <a:chExt cx="1259850" cy="1325500"/>
                      </a:xfrm>
                    </wpg:grpSpPr>
                    <wpg:grpSp>
                      <wpg:cNvPr id="13" name="Group 13"/>
                      <wpg:cNvGrpSpPr/>
                      <wpg:grpSpPr>
                        <a:xfrm>
                          <a:off x="4716080" y="3117261"/>
                          <a:ext cx="1259840" cy="1325479"/>
                          <a:chOff x="4716075" y="3117250"/>
                          <a:chExt cx="1259850" cy="1325500"/>
                        </a:xfrm>
                      </wpg:grpSpPr>
                      <wps:wsp>
                        <wps:cNvPr id="14" name="Rectangle 14"/>
                        <wps:cNvSpPr/>
                        <wps:spPr>
                          <a:xfrm>
                            <a:off x="4716075" y="3117250"/>
                            <a:ext cx="1259850" cy="1325500"/>
                          </a:xfrm>
                          <a:prstGeom prst="rect">
                            <a:avLst/>
                          </a:prstGeom>
                          <a:noFill/>
                          <a:ln>
                            <a:noFill/>
                          </a:ln>
                        </wps:spPr>
                        <wps:txbx>
                          <w:txbxContent>
                            <w:p w14:paraId="24D171EE" w14:textId="77777777" w:rsidR="001A4585" w:rsidRDefault="001A4585">
                              <w:pPr>
                                <w:textDirection w:val="btLr"/>
                              </w:pPr>
                            </w:p>
                          </w:txbxContent>
                        </wps:txbx>
                        <wps:bodyPr spcFirstLastPara="1" wrap="square" lIns="91425" tIns="91425" rIns="91425" bIns="91425" anchor="ctr" anchorCtr="0">
                          <a:noAutofit/>
                        </wps:bodyPr>
                      </wps:wsp>
                      <wpg:grpSp>
                        <wpg:cNvPr id="15" name="Group 15"/>
                        <wpg:cNvGrpSpPr/>
                        <wpg:grpSpPr>
                          <a:xfrm>
                            <a:off x="4716080" y="3117261"/>
                            <a:ext cx="1259840" cy="1325479"/>
                            <a:chOff x="-122521" y="-617069"/>
                            <a:chExt cx="1259651" cy="1325280"/>
                          </a:xfrm>
                        </wpg:grpSpPr>
                        <wps:wsp>
                          <wps:cNvPr id="16" name="Rectangle 16"/>
                          <wps:cNvSpPr/>
                          <wps:spPr>
                            <a:xfrm>
                              <a:off x="-122521" y="-617069"/>
                              <a:ext cx="1259650" cy="1325275"/>
                            </a:xfrm>
                            <a:prstGeom prst="rect">
                              <a:avLst/>
                            </a:prstGeom>
                            <a:noFill/>
                            <a:ln>
                              <a:noFill/>
                            </a:ln>
                          </wps:spPr>
                          <wps:txbx>
                            <w:txbxContent>
                              <w:p w14:paraId="0338564D" w14:textId="77777777" w:rsidR="001A4585" w:rsidRDefault="001A4585">
                                <w:pPr>
                                  <w:textDirection w:val="btLr"/>
                                </w:pPr>
                              </w:p>
                            </w:txbxContent>
                          </wps:txbx>
                          <wps:bodyPr spcFirstLastPara="1" wrap="square" lIns="91425" tIns="91425" rIns="91425" bIns="91425" anchor="ctr" anchorCtr="0">
                            <a:noAutofit/>
                          </wps:bodyPr>
                        </wps:wsp>
                        <wps:wsp>
                          <wps:cNvPr id="17" name="Isosceles Triangle 17"/>
                          <wps:cNvSpPr/>
                          <wps:spPr>
                            <a:xfrm rot="-5400000" flipH="1">
                              <a:off x="-122521" y="-551440"/>
                              <a:ext cx="1259651" cy="1259651"/>
                            </a:xfrm>
                            <a:prstGeom prst="triangle">
                              <a:avLst>
                                <a:gd name="adj" fmla="val 0"/>
                              </a:avLst>
                            </a:prstGeom>
                            <a:solidFill>
                              <a:srgbClr val="E62A4F">
                                <a:alpha val="0"/>
                              </a:srgbClr>
                            </a:solidFill>
                            <a:ln>
                              <a:noFill/>
                            </a:ln>
                          </wps:spPr>
                          <wps:txbx>
                            <w:txbxContent>
                              <w:p w14:paraId="542CA287" w14:textId="77777777" w:rsidR="001A4585" w:rsidRDefault="001A4585">
                                <w:pPr>
                                  <w:textDirection w:val="btLr"/>
                                </w:pPr>
                              </w:p>
                            </w:txbxContent>
                          </wps:txbx>
                          <wps:bodyPr spcFirstLastPara="1" wrap="square" lIns="91425" tIns="91425" rIns="91425" bIns="91425" anchor="ctr" anchorCtr="0">
                            <a:noAutofit/>
                          </wps:bodyPr>
                        </wps:wsp>
                        <wps:wsp>
                          <wps:cNvPr id="21" name="Rectangle 21"/>
                          <wps:cNvSpPr/>
                          <wps:spPr>
                            <a:xfrm rot="2703337">
                              <a:off x="185834" y="-231200"/>
                              <a:ext cx="1001184" cy="229445"/>
                            </a:xfrm>
                            <a:prstGeom prst="rect">
                              <a:avLst/>
                            </a:prstGeom>
                            <a:solidFill>
                              <a:srgbClr val="E62A4F">
                                <a:alpha val="0"/>
                              </a:srgbClr>
                            </a:solidFill>
                            <a:ln>
                              <a:noFill/>
                            </a:ln>
                          </wps:spPr>
                          <wps:txbx>
                            <w:txbxContent>
                              <w:p w14:paraId="4B793B9D" w14:textId="77777777" w:rsidR="001A4585" w:rsidRDefault="001A4585">
                                <w:pPr>
                                  <w:jc w:val="center"/>
                                  <w:textDirection w:val="btLr"/>
                                </w:pPr>
                                <w:r>
                                  <w:rPr>
                                    <w:b/>
                                    <w:color w:val="FFFFFF"/>
                                  </w:rPr>
                                  <w:t>DRAFT</w:t>
                                </w:r>
                              </w:p>
                            </w:txbxContent>
                          </wps:txbx>
                          <wps:bodyPr spcFirstLastPara="1" wrap="square" lIns="91425" tIns="45700" rIns="91425" bIns="45700" anchor="t" anchorCtr="0">
                            <a:noAutofit/>
                          </wps:bodyPr>
                        </wps:wsp>
                      </wpg:grpSp>
                    </wpg:grpSp>
                  </wpg:wgp>
                </a:graphicData>
              </a:graphic>
            </wp:anchor>
          </w:drawing>
        </mc:Choice>
        <mc:Fallback>
          <w:pict>
            <v:group w14:anchorId="49DBBAFF" id="Group 25" o:spid="_x0000_s1034" style="position:absolute;margin-left:495.4pt;margin-top:-4.65pt;width:99.2pt;height:104.35pt;z-index:251662336;mso-position-horizontal-relative:page;mso-position-vertical-relative:page" coordorigin="47160,31172" coordsize="12598,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">
              <v:group id="Group 13" o:spid="_x0000_s1035" style="position:absolute;left:47160;top:31172;width:12599;height:13255" coordorigin="47160,31172" coordsize="12598,1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36" style="position:absolute;left:47160;top:31172;width:12599;height:1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24D171EE" w14:textId="77777777" w:rsidR="001A4585" w:rsidRDefault="001A4585">
                        <w:pPr>
                          <w:textDirection w:val="btLr"/>
                        </w:pPr>
                      </w:p>
                    </w:txbxContent>
                  </v:textbox>
                </v:rect>
                <v:group id="Group 15" o:spid="_x0000_s1037" style="position:absolute;left:47160;top:31172;width:12599;height:13255" coordorigin="-1225,-6170" coordsize="12596,1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38" style="position:absolute;left:-1225;top:-6170;width:12596;height:1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0338564D" w14:textId="77777777" w:rsidR="001A4585" w:rsidRDefault="001A4585">
                          <w:pPr>
                            <w:textDirection w:val="btL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39"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" adj="0" fillcolor="#e62a4f" stroked="f">
                    <v:fill opacity="0"/>
                    <v:textbox inset="2.53958mm,2.53958mm,2.53958mm,2.53958mm">
                      <w:txbxContent>
                        <w:p w14:paraId="542CA287" w14:textId="77777777" w:rsidR="001A4585" w:rsidRDefault="001A4585">
                          <w:pPr>
                            <w:textDirection w:val="btLr"/>
                          </w:pPr>
                        </w:p>
                      </w:txbxContent>
                    </v:textbox>
                  </v:shape>
                  <v:rect id="Rectangle 21" o:spid="_x0000_s1040"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" fillcolor="#e62a4f" stroked="f">
                    <v:fill opacity="0"/>
                    <v:textbox inset="2.53958mm,1.2694mm,2.53958mm,1.2694mm">
                      <w:txbxContent>
                        <w:p w14:paraId="4B793B9D" w14:textId="77777777" w:rsidR="001A4585" w:rsidRDefault="001A4585">
                          <w:pPr>
                            <w:jc w:val="center"/>
                            <w:textDirection w:val="btLr"/>
                          </w:pPr>
                          <w:r>
                            <w:rPr>
                              <w:b/>
                              <w:color w:val="FFFFFF"/>
                            </w:rPr>
                            <w:t>DRAFT</w:t>
                          </w:r>
                        </w:p>
                      </w:txbxContent>
                    </v:textbox>
                  </v:rect>
                </v:group>
              </v:group>
              <w10:wrap anchorx="page" anchory="page"/>
            </v:group>
          </w:pict>
        </mc:Fallback>
      </mc:AlternateContent>
    </w:r>
    <w:r>
      <w:rPr>
        <w:noProof/>
        <w:lang w:eastAsia="en-GB"/>
      </w:rPr>
      <mc:AlternateContent>
        <mc:Choice Requires="wps">
          <w:drawing>
            <wp:anchor distT="0" distB="0" distL="114300" distR="114300" simplePos="0" relativeHeight="251663360" behindDoc="0" locked="0" layoutInCell="1" hidden="0" allowOverlap="1" wp14:anchorId="0C8CB7E0" wp14:editId="0D76C7F2">
              <wp:simplePos x="0" y="0"/>
              <wp:positionH relativeFrom="column">
                <wp:posOffset>-63499</wp:posOffset>
              </wp:positionH>
              <wp:positionV relativeFrom="paragraph">
                <wp:posOffset>-368299</wp:posOffset>
              </wp:positionV>
              <wp:extent cx="654050" cy="31750"/>
              <wp:effectExtent l="0" t="0" r="0" b="0"/>
              <wp:wrapNone/>
              <wp:docPr id="1" name="Rectangle 1"/>
              <wp:cNvGraphicFramePr/>
              <a:graphic xmlns:a="http://schemas.openxmlformats.org/drawingml/2006/main">
                <a:graphicData uri="http://schemas.microsoft.com/office/word/2010/wordprocessingShape">
                  <wps:wsp>
                    <wps:cNvSpPr/>
                    <wps:spPr>
                      <a:xfrm flipH="1">
                        <a:off x="5028500" y="3773650"/>
                        <a:ext cx="635000" cy="12700"/>
                      </a:xfrm>
                      <a:prstGeom prst="rect">
                        <a:avLst/>
                      </a:prstGeom>
                      <a:solidFill>
                        <a:srgbClr val="FFFFFF"/>
                      </a:solidFill>
                      <a:ln>
                        <a:noFill/>
                      </a:ln>
                    </wps:spPr>
                    <wps:txbx>
                      <w:txbxContent>
                        <w:p w14:paraId="2535981E" w14:textId="77777777" w:rsidR="001A4585" w:rsidRDefault="001A4585">
                          <w:pPr>
                            <w:textDirection w:val="btLr"/>
                          </w:pPr>
                          <w:r>
                            <w:rPr>
                              <w:color w:val="000000"/>
                              <w:sz w:val="16"/>
                            </w:rPr>
                            <w:t>Doc Info</w:t>
                          </w:r>
                        </w:p>
                        <w:p w14:paraId="14198580" w14:textId="77777777" w:rsidR="001A4585" w:rsidRDefault="001A4585">
                          <w:pPr>
                            <w:textDirection w:val="btLr"/>
                          </w:pPr>
                          <w:r>
                            <w:rPr>
                              <w:color w:val="000000"/>
                              <w:sz w:val="16"/>
                            </w:rPr>
                            <w:t>Branding: true</w:t>
                          </w:r>
                        </w:p>
                        <w:p w14:paraId="322347BB" w14:textId="77777777" w:rsidR="001A4585" w:rsidRDefault="001A4585">
                          <w:pPr>
                            <w:textDirection w:val="btLr"/>
                          </w:pPr>
                          <w:r>
                            <w:rPr>
                              <w:color w:val="000000"/>
                              <w:sz w:val="16"/>
                            </w:rPr>
                            <w:t>FirmNameShort: DLA Piper</w:t>
                          </w:r>
                        </w:p>
                        <w:p w14:paraId="0E83AEAC" w14:textId="77777777" w:rsidR="001A4585" w:rsidRDefault="001A4585">
                          <w:pPr>
                            <w:textDirection w:val="btLr"/>
                          </w:pPr>
                          <w:r>
                            <w:rPr>
                              <w:color w:val="000000"/>
                              <w:sz w:val="16"/>
                            </w:rPr>
                            <w:t>IncludeAppendix:</w:t>
                          </w:r>
                          <w:r>
                            <w:rPr>
                              <w:color w:val="000000"/>
                            </w:rPr>
                            <w:t xml:space="preserve"> false</w:t>
                          </w:r>
                        </w:p>
                        <w:p w14:paraId="6CD0B8E0" w14:textId="77777777" w:rsidR="001A4585" w:rsidRDefault="001A4585">
                          <w:pPr>
                            <w:textDirection w:val="btLr"/>
                          </w:pPr>
                          <w:r>
                            <w:rPr>
                              <w:color w:val="000000"/>
                              <w:sz w:val="16"/>
                            </w:rPr>
                            <w:t>IncludeSchedules: false</w:t>
                          </w:r>
                        </w:p>
                        <w:p w14:paraId="1E5152A7" w14:textId="77777777" w:rsidR="001A4585" w:rsidRDefault="001A4585">
                          <w:pPr>
                            <w:textDirection w:val="btLr"/>
                          </w:pPr>
                        </w:p>
                        <w:p w14:paraId="30DC8C16" w14:textId="77777777" w:rsidR="001A4585" w:rsidRDefault="001A4585">
                          <w:pPr>
                            <w:textDirection w:val="btLr"/>
                          </w:pPr>
                        </w:p>
                      </w:txbxContent>
                    </wps:txbx>
                    <wps:bodyPr spcFirstLastPara="1" wrap="square" lIns="91425" tIns="45700" rIns="91425" bIns="45700" anchor="t" anchorCtr="0">
                      <a:noAutofit/>
                    </wps:bodyPr>
                  </wps:wsp>
                </a:graphicData>
              </a:graphic>
            </wp:anchor>
          </w:drawing>
        </mc:Choice>
        <mc:Fallback>
          <w:pict>
            <v:rect w14:anchorId="0C8CB7E0" id="Rectangle 1" o:spid="_x0000_s1041" style="position:absolute;margin-left:-5pt;margin-top:-29pt;width:51.5pt;height:2.5pt;flip:x;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" stroked="f">
              <v:textbox inset="2.53958mm,1.2694mm,2.53958mm,1.2694mm">
                <w:txbxContent>
                  <w:p w14:paraId="2535981E" w14:textId="77777777" w:rsidR="001A4585" w:rsidRDefault="001A4585">
                    <w:pPr>
                      <w:textDirection w:val="btLr"/>
                    </w:pPr>
                    <w:r>
                      <w:rPr>
                        <w:color w:val="000000"/>
                        <w:sz w:val="16"/>
                      </w:rPr>
                      <w:t>Doc Info</w:t>
                    </w:r>
                  </w:p>
                  <w:p w14:paraId="14198580" w14:textId="77777777" w:rsidR="001A4585" w:rsidRDefault="001A4585">
                    <w:pPr>
                      <w:textDirection w:val="btLr"/>
                    </w:pPr>
                    <w:r>
                      <w:rPr>
                        <w:color w:val="000000"/>
                        <w:sz w:val="16"/>
                      </w:rPr>
                      <w:t>Branding: true</w:t>
                    </w:r>
                  </w:p>
                  <w:p w14:paraId="322347BB" w14:textId="77777777" w:rsidR="001A4585" w:rsidRDefault="001A4585">
                    <w:pPr>
                      <w:textDirection w:val="btLr"/>
                    </w:pPr>
                    <w:proofErr w:type="spellStart"/>
                    <w:r>
                      <w:rPr>
                        <w:color w:val="000000"/>
                        <w:sz w:val="16"/>
                      </w:rPr>
                      <w:t>FirmNameShort</w:t>
                    </w:r>
                    <w:proofErr w:type="spellEnd"/>
                    <w:r>
                      <w:rPr>
                        <w:color w:val="000000"/>
                        <w:sz w:val="16"/>
                      </w:rPr>
                      <w:t>: DLA Piper</w:t>
                    </w:r>
                  </w:p>
                  <w:p w14:paraId="0E83AEAC" w14:textId="77777777" w:rsidR="001A4585" w:rsidRDefault="001A4585">
                    <w:pPr>
                      <w:textDirection w:val="btLr"/>
                    </w:pPr>
                    <w:proofErr w:type="spellStart"/>
                    <w:r>
                      <w:rPr>
                        <w:color w:val="000000"/>
                        <w:sz w:val="16"/>
                      </w:rPr>
                      <w:t>IncludeAppendix</w:t>
                    </w:r>
                    <w:proofErr w:type="spellEnd"/>
                    <w:r>
                      <w:rPr>
                        <w:color w:val="000000"/>
                        <w:sz w:val="16"/>
                      </w:rPr>
                      <w:t>:</w:t>
                    </w:r>
                    <w:r>
                      <w:rPr>
                        <w:color w:val="000000"/>
                      </w:rPr>
                      <w:t xml:space="preserve"> false</w:t>
                    </w:r>
                  </w:p>
                  <w:p w14:paraId="6CD0B8E0" w14:textId="77777777" w:rsidR="001A4585" w:rsidRDefault="001A4585">
                    <w:pPr>
                      <w:textDirection w:val="btLr"/>
                    </w:pPr>
                    <w:proofErr w:type="spellStart"/>
                    <w:r>
                      <w:rPr>
                        <w:color w:val="000000"/>
                        <w:sz w:val="16"/>
                      </w:rPr>
                      <w:t>IncludeSchedules</w:t>
                    </w:r>
                    <w:proofErr w:type="spellEnd"/>
                    <w:r>
                      <w:rPr>
                        <w:color w:val="000000"/>
                        <w:sz w:val="16"/>
                      </w:rPr>
                      <w:t>: false</w:t>
                    </w:r>
                  </w:p>
                  <w:p w14:paraId="1E5152A7" w14:textId="77777777" w:rsidR="001A4585" w:rsidRDefault="001A4585">
                    <w:pPr>
                      <w:textDirection w:val="btLr"/>
                    </w:pPr>
                  </w:p>
                  <w:p w14:paraId="30DC8C16" w14:textId="77777777" w:rsidR="001A4585" w:rsidRDefault="001A4585">
                    <w:pPr>
                      <w:textDirection w:val="btLr"/>
                    </w:pPr>
                  </w:p>
                </w:txbxContent>
              </v:textbox>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E22F" w14:textId="77777777" w:rsidR="001A4585" w:rsidRDefault="001A4585">
    <w:pPr>
      <w:pBdr>
        <w:top w:val="nil"/>
        <w:left w:val="nil"/>
        <w:bottom w:val="nil"/>
        <w:right w:val="nil"/>
        <w:between w:val="nil"/>
      </w:pBdr>
      <w:tabs>
        <w:tab w:val="center" w:pos="4513"/>
        <w:tab w:val="right" w:pos="9026"/>
      </w:tabs>
      <w:rPr>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FB01" w14:textId="77777777" w:rsidR="001A4585" w:rsidRDefault="001A4585">
    <w:pPr>
      <w:pBdr>
        <w:top w:val="nil"/>
        <w:left w:val="nil"/>
        <w:bottom w:val="nil"/>
        <w:right w:val="nil"/>
        <w:between w:val="nil"/>
      </w:pBdr>
      <w:tabs>
        <w:tab w:val="center" w:pos="4513"/>
        <w:tab w:val="right" w:pos="9026"/>
      </w:tabs>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8710" w14:textId="77777777" w:rsidR="001A4585" w:rsidRDefault="001A458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3616" w14:textId="77777777" w:rsidR="001A4585" w:rsidRPr="006A2450" w:rsidRDefault="001A4585" w:rsidP="00534BE5">
    <w:pPr>
      <w:pStyle w:val="Header"/>
      <w:rPr>
        <w:b/>
        <w:bCs/>
      </w:rPr>
    </w:pPr>
    <w:r w:rsidRPr="006A2450">
      <w:rPr>
        <w:b/>
        <w:bCs/>
      </w:rPr>
      <w:t>Schedules</w:t>
    </w:r>
  </w:p>
  <w:p w14:paraId="4EAE5F2C" w14:textId="77777777" w:rsidR="001A4585" w:rsidRPr="00534BE5" w:rsidRDefault="001A4585" w:rsidP="00534BE5">
    <w:pPr>
      <w:pStyle w:val="Header"/>
    </w:pPr>
    <w:r w:rsidRPr="00534BE5">
      <w:t xml:space="preserve">Crown </w:t>
    </w:r>
    <w:r>
      <w:t>C</w:t>
    </w:r>
    <w:r w:rsidRPr="00534BE5">
      <w:t>opyright 202</w:t>
    </w:r>
    <w:r>
      <w:t>3</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D424E" w14:textId="77777777" w:rsidR="001A4585" w:rsidRDefault="001A4585">
    <w:pPr>
      <w:pBdr>
        <w:top w:val="nil"/>
        <w:left w:val="nil"/>
        <w:bottom w:val="nil"/>
        <w:right w:val="nil"/>
        <w:between w:val="nil"/>
      </w:pBdr>
      <w:tabs>
        <w:tab w:val="center" w:pos="4513"/>
        <w:tab w:val="right" w:pos="9026"/>
      </w:tabs>
      <w:rPr>
        <w:color w:val="000000"/>
      </w:rPr>
    </w:pPr>
    <w:r>
      <w:rPr>
        <w:noProof/>
        <w:color w:val="000000"/>
        <w:lang w:eastAsia="en-GB"/>
      </w:rPr>
      <mc:AlternateContent>
        <mc:Choice Requires="wpg">
          <w:drawing>
            <wp:anchor distT="0" distB="0" distL="114300" distR="114300" simplePos="0" relativeHeight="251664384" behindDoc="0" locked="0" layoutInCell="1" hidden="0" allowOverlap="1" wp14:anchorId="20E151E7" wp14:editId="7F0FCD3A">
              <wp:simplePos x="0" y="0"/>
              <wp:positionH relativeFrom="page">
                <wp:posOffset>6291618</wp:posOffset>
              </wp:positionH>
              <wp:positionV relativeFrom="page">
                <wp:posOffset>-59284</wp:posOffset>
              </wp:positionV>
              <wp:extent cx="1259840" cy="1325479"/>
              <wp:effectExtent l="0" t="0" r="0" b="0"/>
              <wp:wrapNone/>
              <wp:docPr id="24" name="Group 24"/>
              <wp:cNvGraphicFramePr/>
              <a:graphic xmlns:a="http://schemas.openxmlformats.org/drawingml/2006/main">
                <a:graphicData uri="http://schemas.microsoft.com/office/word/2010/wordprocessingGroup">
                  <wpg:wgp>
                    <wpg:cNvGrpSpPr/>
                    <wpg:grpSpPr>
                      <a:xfrm>
                        <a:off x="0" y="0"/>
                        <a:ext cx="1259840" cy="1325479"/>
                        <a:chOff x="4716075" y="3117250"/>
                        <a:chExt cx="1259850" cy="1325500"/>
                      </a:xfrm>
                    </wpg:grpSpPr>
                    <wpg:grpSp>
                      <wpg:cNvPr id="27" name="Group 27"/>
                      <wpg:cNvGrpSpPr/>
                      <wpg:grpSpPr>
                        <a:xfrm>
                          <a:off x="4716080" y="3117261"/>
                          <a:ext cx="1259840" cy="1325479"/>
                          <a:chOff x="4716075" y="3117250"/>
                          <a:chExt cx="1259850" cy="1325500"/>
                        </a:xfrm>
                      </wpg:grpSpPr>
                      <wps:wsp>
                        <wps:cNvPr id="28" name="Rectangle 28"/>
                        <wps:cNvSpPr/>
                        <wps:spPr>
                          <a:xfrm>
                            <a:off x="4716075" y="3117250"/>
                            <a:ext cx="1259850" cy="1325500"/>
                          </a:xfrm>
                          <a:prstGeom prst="rect">
                            <a:avLst/>
                          </a:prstGeom>
                          <a:noFill/>
                          <a:ln>
                            <a:noFill/>
                          </a:ln>
                        </wps:spPr>
                        <wps:txbx>
                          <w:txbxContent>
                            <w:p w14:paraId="7A4A7755" w14:textId="77777777" w:rsidR="001A4585" w:rsidRDefault="001A4585">
                              <w:pPr>
                                <w:textDirection w:val="btLr"/>
                              </w:pPr>
                            </w:p>
                          </w:txbxContent>
                        </wps:txbx>
                        <wps:bodyPr spcFirstLastPara="1" wrap="square" lIns="91425" tIns="91425" rIns="91425" bIns="91425" anchor="ctr" anchorCtr="0">
                          <a:noAutofit/>
                        </wps:bodyPr>
                      </wps:wsp>
                      <wpg:grpSp>
                        <wpg:cNvPr id="29" name="Group 29"/>
                        <wpg:cNvGrpSpPr/>
                        <wpg:grpSpPr>
                          <a:xfrm>
                            <a:off x="4716080" y="3117261"/>
                            <a:ext cx="1259840" cy="1325479"/>
                            <a:chOff x="-122521" y="-617069"/>
                            <a:chExt cx="1259651" cy="1325280"/>
                          </a:xfrm>
                        </wpg:grpSpPr>
                        <wps:wsp>
                          <wps:cNvPr id="30" name="Rectangle 30"/>
                          <wps:cNvSpPr/>
                          <wps:spPr>
                            <a:xfrm>
                              <a:off x="-122521" y="-617069"/>
                              <a:ext cx="1259650" cy="1325275"/>
                            </a:xfrm>
                            <a:prstGeom prst="rect">
                              <a:avLst/>
                            </a:prstGeom>
                            <a:noFill/>
                            <a:ln>
                              <a:noFill/>
                            </a:ln>
                          </wps:spPr>
                          <wps:txbx>
                            <w:txbxContent>
                              <w:p w14:paraId="0B40412C" w14:textId="77777777" w:rsidR="001A4585" w:rsidRDefault="001A4585">
                                <w:pPr>
                                  <w:textDirection w:val="btLr"/>
                                </w:pPr>
                              </w:p>
                            </w:txbxContent>
                          </wps:txbx>
                          <wps:bodyPr spcFirstLastPara="1" wrap="square" lIns="91425" tIns="91425" rIns="91425" bIns="91425" anchor="ctr" anchorCtr="0">
                            <a:noAutofit/>
                          </wps:bodyPr>
                        </wps:wsp>
                        <wps:wsp>
                          <wps:cNvPr id="31" name="Isosceles Triangle 31"/>
                          <wps:cNvSpPr/>
                          <wps:spPr>
                            <a:xfrm rot="-5400000" flipH="1">
                              <a:off x="-122521" y="-551440"/>
                              <a:ext cx="1259651" cy="1259651"/>
                            </a:xfrm>
                            <a:prstGeom prst="triangle">
                              <a:avLst>
                                <a:gd name="adj" fmla="val 0"/>
                              </a:avLst>
                            </a:prstGeom>
                            <a:solidFill>
                              <a:srgbClr val="E62A4F">
                                <a:alpha val="0"/>
                              </a:srgbClr>
                            </a:solidFill>
                            <a:ln>
                              <a:noFill/>
                            </a:ln>
                          </wps:spPr>
                          <wps:txbx>
                            <w:txbxContent>
                              <w:p w14:paraId="13176404" w14:textId="77777777" w:rsidR="001A4585" w:rsidRDefault="001A4585">
                                <w:pPr>
                                  <w:textDirection w:val="btLr"/>
                                </w:pPr>
                              </w:p>
                            </w:txbxContent>
                          </wps:txbx>
                          <wps:bodyPr spcFirstLastPara="1" wrap="square" lIns="91425" tIns="91425" rIns="91425" bIns="91425" anchor="ctr" anchorCtr="0">
                            <a:noAutofit/>
                          </wps:bodyPr>
                        </wps:wsp>
                        <wps:wsp>
                          <wps:cNvPr id="32" name="Rectangle 32"/>
                          <wps:cNvSpPr/>
                          <wps:spPr>
                            <a:xfrm rot="2703337">
                              <a:off x="185834" y="-231200"/>
                              <a:ext cx="1001184" cy="229445"/>
                            </a:xfrm>
                            <a:prstGeom prst="rect">
                              <a:avLst/>
                            </a:prstGeom>
                            <a:solidFill>
                              <a:srgbClr val="E62A4F">
                                <a:alpha val="0"/>
                              </a:srgbClr>
                            </a:solidFill>
                            <a:ln>
                              <a:noFill/>
                            </a:ln>
                          </wps:spPr>
                          <wps:txbx>
                            <w:txbxContent>
                              <w:p w14:paraId="47CEED00" w14:textId="77777777" w:rsidR="001A4585" w:rsidRDefault="001A4585">
                                <w:pPr>
                                  <w:jc w:val="center"/>
                                  <w:textDirection w:val="btLr"/>
                                </w:pPr>
                                <w:r>
                                  <w:rPr>
                                    <w:b/>
                                    <w:color w:val="FFFFFF"/>
                                  </w:rPr>
                                  <w:t>DRAFT</w:t>
                                </w:r>
                              </w:p>
                            </w:txbxContent>
                          </wps:txbx>
                          <wps:bodyPr spcFirstLastPara="1" wrap="square" lIns="91425" tIns="45700" rIns="91425" bIns="45700" anchor="t" anchorCtr="0">
                            <a:noAutofit/>
                          </wps:bodyPr>
                        </wps:wsp>
                      </wpg:grpSp>
                    </wpg:grpSp>
                  </wpg:wgp>
                </a:graphicData>
              </a:graphic>
            </wp:anchor>
          </w:drawing>
        </mc:Choice>
        <mc:Fallback>
          <w:pict>
            <v:group w14:anchorId="20E151E7" id="Group 24" o:spid="_x0000_s1042" style="position:absolute;margin-left:495.4pt;margin-top:-4.65pt;width:99.2pt;height:104.35pt;z-index:251664384;mso-position-horizontal-relative:page;mso-position-vertical-relative:page" coordorigin="47160,31172" coordsize="12598,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">
              <v:group id="Group 27" o:spid="_x0000_s1043" style="position:absolute;left:47160;top:31172;width:12599;height:13255" coordorigin="47160,31172" coordsize="12598,1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44" style="position:absolute;left:47160;top:31172;width:12599;height:1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7A4A7755" w14:textId="77777777" w:rsidR="001A4585" w:rsidRDefault="001A4585">
                        <w:pPr>
                          <w:textDirection w:val="btLr"/>
                        </w:pPr>
                      </w:p>
                    </w:txbxContent>
                  </v:textbox>
                </v:rect>
                <v:group id="Group 29" o:spid="_x0000_s1045" style="position:absolute;left:47160;top:31172;width:12599;height:13255" coordorigin="-1225,-6170" coordsize="12596,1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0" o:spid="_x0000_s1046" style="position:absolute;left:-1225;top:-6170;width:12596;height:1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0B40412C" w14:textId="77777777" w:rsidR="001A4585" w:rsidRDefault="001A4585">
                          <w:pPr>
                            <w:textDirection w:val="btL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1" o:spid="_x0000_s1047"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" adj="0" fillcolor="#e62a4f" stroked="f">
                    <v:fill opacity="0"/>
                    <v:textbox inset="2.53958mm,2.53958mm,2.53958mm,2.53958mm">
                      <w:txbxContent>
                        <w:p w14:paraId="13176404" w14:textId="77777777" w:rsidR="001A4585" w:rsidRDefault="001A4585">
                          <w:pPr>
                            <w:textDirection w:val="btLr"/>
                          </w:pPr>
                        </w:p>
                      </w:txbxContent>
                    </v:textbox>
                  </v:shape>
                  <v:rect id="Rectangle 32" o:spid="_x0000_s1048"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" fillcolor="#e62a4f" stroked="f">
                    <v:fill opacity="0"/>
                    <v:textbox inset="2.53958mm,1.2694mm,2.53958mm,1.2694mm">
                      <w:txbxContent>
                        <w:p w14:paraId="47CEED00" w14:textId="77777777" w:rsidR="001A4585" w:rsidRDefault="001A4585">
                          <w:pPr>
                            <w:jc w:val="center"/>
                            <w:textDirection w:val="btLr"/>
                          </w:pPr>
                          <w:r>
                            <w:rPr>
                              <w:b/>
                              <w:color w:val="FFFFFF"/>
                            </w:rPr>
                            <w:t>DRAFT</w:t>
                          </w:r>
                        </w:p>
                      </w:txbxContent>
                    </v:textbox>
                  </v:rect>
                </v:group>
              </v:group>
              <w10:wrap anchorx="page" anchory="page"/>
            </v:group>
          </w:pict>
        </mc:Fallback>
      </mc:AlternateContent>
    </w:r>
    <w:r>
      <w:rPr>
        <w:noProof/>
        <w:lang w:eastAsia="en-GB"/>
      </w:rPr>
      <mc:AlternateContent>
        <mc:Choice Requires="wps">
          <w:drawing>
            <wp:anchor distT="0" distB="0" distL="114300" distR="114300" simplePos="0" relativeHeight="251665408" behindDoc="0" locked="0" layoutInCell="1" hidden="0" allowOverlap="1" wp14:anchorId="1C4120C2" wp14:editId="09928188">
              <wp:simplePos x="0" y="0"/>
              <wp:positionH relativeFrom="column">
                <wp:posOffset>-63499</wp:posOffset>
              </wp:positionH>
              <wp:positionV relativeFrom="paragraph">
                <wp:posOffset>-368299</wp:posOffset>
              </wp:positionV>
              <wp:extent cx="654050" cy="31750"/>
              <wp:effectExtent l="0" t="0" r="0" b="0"/>
              <wp:wrapNone/>
              <wp:docPr id="23" name="Rectangle 23"/>
              <wp:cNvGraphicFramePr/>
              <a:graphic xmlns:a="http://schemas.openxmlformats.org/drawingml/2006/main">
                <a:graphicData uri="http://schemas.microsoft.com/office/word/2010/wordprocessingShape">
                  <wps:wsp>
                    <wps:cNvSpPr/>
                    <wps:spPr>
                      <a:xfrm flipH="1">
                        <a:off x="5028500" y="3773650"/>
                        <a:ext cx="635000" cy="12700"/>
                      </a:xfrm>
                      <a:prstGeom prst="rect">
                        <a:avLst/>
                      </a:prstGeom>
                      <a:solidFill>
                        <a:srgbClr val="FFFFFF"/>
                      </a:solidFill>
                      <a:ln>
                        <a:noFill/>
                      </a:ln>
                    </wps:spPr>
                    <wps:txbx>
                      <w:txbxContent>
                        <w:p w14:paraId="52E8F7F9" w14:textId="77777777" w:rsidR="001A4585" w:rsidRDefault="001A4585">
                          <w:pPr>
                            <w:textDirection w:val="btLr"/>
                          </w:pPr>
                          <w:r>
                            <w:rPr>
                              <w:color w:val="000000"/>
                              <w:sz w:val="16"/>
                            </w:rPr>
                            <w:t>Doc Info</w:t>
                          </w:r>
                        </w:p>
                        <w:p w14:paraId="4E7DE12D" w14:textId="77777777" w:rsidR="001A4585" w:rsidRDefault="001A4585">
                          <w:pPr>
                            <w:textDirection w:val="btLr"/>
                          </w:pPr>
                          <w:r>
                            <w:rPr>
                              <w:color w:val="000000"/>
                              <w:sz w:val="16"/>
                            </w:rPr>
                            <w:t>Branding: true</w:t>
                          </w:r>
                        </w:p>
                        <w:p w14:paraId="4E344D65" w14:textId="77777777" w:rsidR="001A4585" w:rsidRDefault="001A4585">
                          <w:pPr>
                            <w:textDirection w:val="btLr"/>
                          </w:pPr>
                          <w:r>
                            <w:rPr>
                              <w:color w:val="000000"/>
                              <w:sz w:val="16"/>
                            </w:rPr>
                            <w:t>FirmNameShort: DLA Piper</w:t>
                          </w:r>
                        </w:p>
                        <w:p w14:paraId="4789F18F" w14:textId="77777777" w:rsidR="001A4585" w:rsidRDefault="001A4585">
                          <w:pPr>
                            <w:textDirection w:val="btLr"/>
                          </w:pPr>
                          <w:r>
                            <w:rPr>
                              <w:color w:val="000000"/>
                              <w:sz w:val="16"/>
                            </w:rPr>
                            <w:t>IncludeAppendix:</w:t>
                          </w:r>
                          <w:r>
                            <w:rPr>
                              <w:color w:val="000000"/>
                            </w:rPr>
                            <w:t xml:space="preserve"> false</w:t>
                          </w:r>
                        </w:p>
                        <w:p w14:paraId="1204DAEF" w14:textId="77777777" w:rsidR="001A4585" w:rsidRDefault="001A4585">
                          <w:pPr>
                            <w:textDirection w:val="btLr"/>
                          </w:pPr>
                          <w:r>
                            <w:rPr>
                              <w:color w:val="000000"/>
                              <w:sz w:val="16"/>
                            </w:rPr>
                            <w:t>IncludeSchedules: false</w:t>
                          </w:r>
                        </w:p>
                        <w:p w14:paraId="5F4FD073" w14:textId="77777777" w:rsidR="001A4585" w:rsidRDefault="001A4585">
                          <w:pPr>
                            <w:textDirection w:val="btLr"/>
                          </w:pPr>
                        </w:p>
                        <w:p w14:paraId="13FCAC83" w14:textId="77777777" w:rsidR="001A4585" w:rsidRDefault="001A4585">
                          <w:pPr>
                            <w:textDirection w:val="btLr"/>
                          </w:pPr>
                        </w:p>
                      </w:txbxContent>
                    </wps:txbx>
                    <wps:bodyPr spcFirstLastPara="1" wrap="square" lIns="91425" tIns="45700" rIns="91425" bIns="45700" anchor="t" anchorCtr="0">
                      <a:noAutofit/>
                    </wps:bodyPr>
                  </wps:wsp>
                </a:graphicData>
              </a:graphic>
            </wp:anchor>
          </w:drawing>
        </mc:Choice>
        <mc:Fallback>
          <w:pict>
            <v:rect w14:anchorId="1C4120C2" id="Rectangle 23" o:spid="_x0000_s1049" style="position:absolute;margin-left:-5pt;margin-top:-29pt;width:51.5pt;height:2.5pt;flip:x;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" stroked="f">
              <v:textbox inset="2.53958mm,1.2694mm,2.53958mm,1.2694mm">
                <w:txbxContent>
                  <w:p w14:paraId="52E8F7F9" w14:textId="77777777" w:rsidR="001A4585" w:rsidRDefault="001A4585">
                    <w:pPr>
                      <w:textDirection w:val="btLr"/>
                    </w:pPr>
                    <w:r>
                      <w:rPr>
                        <w:color w:val="000000"/>
                        <w:sz w:val="16"/>
                      </w:rPr>
                      <w:t>Doc Info</w:t>
                    </w:r>
                  </w:p>
                  <w:p w14:paraId="4E7DE12D" w14:textId="77777777" w:rsidR="001A4585" w:rsidRDefault="001A4585">
                    <w:pPr>
                      <w:textDirection w:val="btLr"/>
                    </w:pPr>
                    <w:r>
                      <w:rPr>
                        <w:color w:val="000000"/>
                        <w:sz w:val="16"/>
                      </w:rPr>
                      <w:t>Branding: true</w:t>
                    </w:r>
                  </w:p>
                  <w:p w14:paraId="4E344D65" w14:textId="77777777" w:rsidR="001A4585" w:rsidRDefault="001A4585">
                    <w:pPr>
                      <w:textDirection w:val="btLr"/>
                    </w:pPr>
                    <w:proofErr w:type="spellStart"/>
                    <w:r>
                      <w:rPr>
                        <w:color w:val="000000"/>
                        <w:sz w:val="16"/>
                      </w:rPr>
                      <w:t>FirmNameShort</w:t>
                    </w:r>
                    <w:proofErr w:type="spellEnd"/>
                    <w:r>
                      <w:rPr>
                        <w:color w:val="000000"/>
                        <w:sz w:val="16"/>
                      </w:rPr>
                      <w:t>: DLA Piper</w:t>
                    </w:r>
                  </w:p>
                  <w:p w14:paraId="4789F18F" w14:textId="77777777" w:rsidR="001A4585" w:rsidRDefault="001A4585">
                    <w:pPr>
                      <w:textDirection w:val="btLr"/>
                    </w:pPr>
                    <w:proofErr w:type="spellStart"/>
                    <w:r>
                      <w:rPr>
                        <w:color w:val="000000"/>
                        <w:sz w:val="16"/>
                      </w:rPr>
                      <w:t>IncludeAppendix</w:t>
                    </w:r>
                    <w:proofErr w:type="spellEnd"/>
                    <w:r>
                      <w:rPr>
                        <w:color w:val="000000"/>
                        <w:sz w:val="16"/>
                      </w:rPr>
                      <w:t>:</w:t>
                    </w:r>
                    <w:r>
                      <w:rPr>
                        <w:color w:val="000000"/>
                      </w:rPr>
                      <w:t xml:space="preserve"> false</w:t>
                    </w:r>
                  </w:p>
                  <w:p w14:paraId="1204DAEF" w14:textId="77777777" w:rsidR="001A4585" w:rsidRDefault="001A4585">
                    <w:pPr>
                      <w:textDirection w:val="btLr"/>
                    </w:pPr>
                    <w:proofErr w:type="spellStart"/>
                    <w:r>
                      <w:rPr>
                        <w:color w:val="000000"/>
                        <w:sz w:val="16"/>
                      </w:rPr>
                      <w:t>IncludeSchedules</w:t>
                    </w:r>
                    <w:proofErr w:type="spellEnd"/>
                    <w:r>
                      <w:rPr>
                        <w:color w:val="000000"/>
                        <w:sz w:val="16"/>
                      </w:rPr>
                      <w:t>: false</w:t>
                    </w:r>
                  </w:p>
                  <w:p w14:paraId="5F4FD073" w14:textId="77777777" w:rsidR="001A4585" w:rsidRDefault="001A4585">
                    <w:pPr>
                      <w:textDirection w:val="btLr"/>
                    </w:pPr>
                  </w:p>
                  <w:p w14:paraId="13FCAC83" w14:textId="77777777" w:rsidR="001A4585" w:rsidRDefault="001A4585">
                    <w:pPr>
                      <w:textDirection w:val="btLr"/>
                    </w:pPr>
                  </w:p>
                </w:txbxContent>
              </v:textbox>
            </v:rect>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C366C" w14:textId="77777777" w:rsidR="001A4585" w:rsidRDefault="001A4585">
    <w:pPr>
      <w:pBdr>
        <w:top w:val="nil"/>
        <w:left w:val="nil"/>
        <w:bottom w:val="nil"/>
        <w:right w:val="nil"/>
        <w:between w:val="nil"/>
      </w:pBdr>
      <w:tabs>
        <w:tab w:val="center" w:pos="4513"/>
        <w:tab w:val="right" w:pos="9026"/>
      </w:tabs>
      <w:rPr>
        <w:color w:val="000000"/>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10D55" w14:textId="77777777" w:rsidR="001A4585" w:rsidRDefault="001A4585">
    <w:pPr>
      <w:pBdr>
        <w:top w:val="nil"/>
        <w:left w:val="nil"/>
        <w:bottom w:val="nil"/>
        <w:right w:val="nil"/>
        <w:between w:val="nil"/>
      </w:pBdr>
      <w:tabs>
        <w:tab w:val="center" w:pos="4513"/>
        <w:tab w:val="right" w:pos="9026"/>
      </w:tabs>
      <w:rPr>
        <w:color w:val="000000"/>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4621" w14:textId="77777777" w:rsidR="001A4585" w:rsidRDefault="001A4585">
    <w:pPr>
      <w:pBdr>
        <w:top w:val="nil"/>
        <w:left w:val="nil"/>
        <w:bottom w:val="nil"/>
        <w:right w:val="nil"/>
        <w:between w:val="nil"/>
      </w:pBdr>
      <w:tabs>
        <w:tab w:val="center" w:pos="4513"/>
        <w:tab w:val="right" w:pos="9026"/>
      </w:tabs>
      <w:rPr>
        <w:color w:val="000000"/>
      </w:rPr>
    </w:pPr>
    <w:r>
      <w:rPr>
        <w:noProof/>
        <w:color w:val="000000"/>
        <w:lang w:eastAsia="en-GB"/>
      </w:rPr>
      <mc:AlternateContent>
        <mc:Choice Requires="wpg">
          <w:drawing>
            <wp:anchor distT="0" distB="0" distL="114300" distR="114300" simplePos="0" relativeHeight="251666432" behindDoc="0" locked="0" layoutInCell="1" hidden="0" allowOverlap="1" wp14:anchorId="547FE3B8" wp14:editId="494FF537">
              <wp:simplePos x="0" y="0"/>
              <wp:positionH relativeFrom="page">
                <wp:posOffset>6291618</wp:posOffset>
              </wp:positionH>
              <wp:positionV relativeFrom="page">
                <wp:posOffset>-59284</wp:posOffset>
              </wp:positionV>
              <wp:extent cx="1259840" cy="1325479"/>
              <wp:effectExtent l="0" t="0" r="0" b="0"/>
              <wp:wrapNone/>
              <wp:docPr id="2" name="Group 2"/>
              <wp:cNvGraphicFramePr/>
              <a:graphic xmlns:a="http://schemas.openxmlformats.org/drawingml/2006/main">
                <a:graphicData uri="http://schemas.microsoft.com/office/word/2010/wordprocessingGroup">
                  <wpg:wgp>
                    <wpg:cNvGrpSpPr/>
                    <wpg:grpSpPr>
                      <a:xfrm>
                        <a:off x="0" y="0"/>
                        <a:ext cx="1259840" cy="1325479"/>
                        <a:chOff x="4716075" y="3117250"/>
                        <a:chExt cx="1259850" cy="1325500"/>
                      </a:xfrm>
                    </wpg:grpSpPr>
                    <wpg:grpSp>
                      <wpg:cNvPr id="3" name="Group 3"/>
                      <wpg:cNvGrpSpPr/>
                      <wpg:grpSpPr>
                        <a:xfrm>
                          <a:off x="4716080" y="3117261"/>
                          <a:ext cx="1259840" cy="1325479"/>
                          <a:chOff x="4716075" y="3117250"/>
                          <a:chExt cx="1259850" cy="1325500"/>
                        </a:xfrm>
                      </wpg:grpSpPr>
                      <wps:wsp>
                        <wps:cNvPr id="4" name="Rectangle 4"/>
                        <wps:cNvSpPr/>
                        <wps:spPr>
                          <a:xfrm>
                            <a:off x="4716075" y="3117250"/>
                            <a:ext cx="1259850" cy="1325500"/>
                          </a:xfrm>
                          <a:prstGeom prst="rect">
                            <a:avLst/>
                          </a:prstGeom>
                          <a:noFill/>
                          <a:ln>
                            <a:noFill/>
                          </a:ln>
                        </wps:spPr>
                        <wps:txbx>
                          <w:txbxContent>
                            <w:p w14:paraId="55A849DE" w14:textId="77777777" w:rsidR="001A4585" w:rsidRDefault="001A4585">
                              <w:pPr>
                                <w:textDirection w:val="btLr"/>
                              </w:pPr>
                            </w:p>
                          </w:txbxContent>
                        </wps:txbx>
                        <wps:bodyPr spcFirstLastPara="1" wrap="square" lIns="91425" tIns="91425" rIns="91425" bIns="91425" anchor="ctr" anchorCtr="0">
                          <a:noAutofit/>
                        </wps:bodyPr>
                      </wps:wsp>
                      <wpg:grpSp>
                        <wpg:cNvPr id="20" name="Group 20"/>
                        <wpg:cNvGrpSpPr/>
                        <wpg:grpSpPr>
                          <a:xfrm>
                            <a:off x="4716080" y="3117261"/>
                            <a:ext cx="1259840" cy="1325479"/>
                            <a:chOff x="-122521" y="-617069"/>
                            <a:chExt cx="1259651" cy="1325280"/>
                          </a:xfrm>
                        </wpg:grpSpPr>
                        <wps:wsp>
                          <wps:cNvPr id="22" name="Rectangle 22"/>
                          <wps:cNvSpPr/>
                          <wps:spPr>
                            <a:xfrm>
                              <a:off x="-122521" y="-617069"/>
                              <a:ext cx="1259650" cy="1325275"/>
                            </a:xfrm>
                            <a:prstGeom prst="rect">
                              <a:avLst/>
                            </a:prstGeom>
                            <a:noFill/>
                            <a:ln>
                              <a:noFill/>
                            </a:ln>
                          </wps:spPr>
                          <wps:txbx>
                            <w:txbxContent>
                              <w:p w14:paraId="4CC77CA3" w14:textId="77777777" w:rsidR="001A4585" w:rsidRDefault="001A4585">
                                <w:pPr>
                                  <w:textDirection w:val="btLr"/>
                                </w:pPr>
                              </w:p>
                            </w:txbxContent>
                          </wps:txbx>
                          <wps:bodyPr spcFirstLastPara="1" wrap="square" lIns="91425" tIns="91425" rIns="91425" bIns="91425" anchor="ctr" anchorCtr="0">
                            <a:noAutofit/>
                          </wps:bodyPr>
                        </wps:wsp>
                        <wps:wsp>
                          <wps:cNvPr id="33" name="Isosceles Triangle 33"/>
                          <wps:cNvSpPr/>
                          <wps:spPr>
                            <a:xfrm rot="-5400000" flipH="1">
                              <a:off x="-122521" y="-551440"/>
                              <a:ext cx="1259651" cy="1259651"/>
                            </a:xfrm>
                            <a:prstGeom prst="triangle">
                              <a:avLst>
                                <a:gd name="adj" fmla="val 0"/>
                              </a:avLst>
                            </a:prstGeom>
                            <a:solidFill>
                              <a:srgbClr val="E62A4F">
                                <a:alpha val="0"/>
                              </a:srgbClr>
                            </a:solidFill>
                            <a:ln>
                              <a:noFill/>
                            </a:ln>
                          </wps:spPr>
                          <wps:txbx>
                            <w:txbxContent>
                              <w:p w14:paraId="149AA2E3" w14:textId="77777777" w:rsidR="001A4585" w:rsidRDefault="001A4585">
                                <w:pPr>
                                  <w:textDirection w:val="btLr"/>
                                </w:pPr>
                              </w:p>
                            </w:txbxContent>
                          </wps:txbx>
                          <wps:bodyPr spcFirstLastPara="1" wrap="square" lIns="91425" tIns="91425" rIns="91425" bIns="91425" anchor="ctr" anchorCtr="0">
                            <a:noAutofit/>
                          </wps:bodyPr>
                        </wps:wsp>
                        <wps:wsp>
                          <wps:cNvPr id="34" name="Rectangle 34"/>
                          <wps:cNvSpPr/>
                          <wps:spPr>
                            <a:xfrm rot="2703337">
                              <a:off x="185834" y="-231200"/>
                              <a:ext cx="1001184" cy="229445"/>
                            </a:xfrm>
                            <a:prstGeom prst="rect">
                              <a:avLst/>
                            </a:prstGeom>
                            <a:solidFill>
                              <a:srgbClr val="E62A4F">
                                <a:alpha val="0"/>
                              </a:srgbClr>
                            </a:solidFill>
                            <a:ln>
                              <a:noFill/>
                            </a:ln>
                          </wps:spPr>
                          <wps:txbx>
                            <w:txbxContent>
                              <w:p w14:paraId="22FCD232" w14:textId="77777777" w:rsidR="001A4585" w:rsidRDefault="001A4585">
                                <w:pPr>
                                  <w:jc w:val="center"/>
                                  <w:textDirection w:val="btLr"/>
                                </w:pPr>
                                <w:r>
                                  <w:rPr>
                                    <w:b/>
                                    <w:color w:val="FFFFFF"/>
                                  </w:rPr>
                                  <w:t>DRAFT</w:t>
                                </w:r>
                              </w:p>
                            </w:txbxContent>
                          </wps:txbx>
                          <wps:bodyPr spcFirstLastPara="1" wrap="square" lIns="91425" tIns="45700" rIns="91425" bIns="45700" anchor="t" anchorCtr="0">
                            <a:noAutofit/>
                          </wps:bodyPr>
                        </wps:wsp>
                      </wpg:grpSp>
                    </wpg:grpSp>
                  </wpg:wgp>
                </a:graphicData>
              </a:graphic>
            </wp:anchor>
          </w:drawing>
        </mc:Choice>
        <mc:Fallback>
          <w:pict>
            <v:group w14:anchorId="547FE3B8" id="Group 2" o:spid="_x0000_s1050" style="position:absolute;margin-left:495.4pt;margin-top:-4.65pt;width:99.2pt;height:104.35pt;z-index:251666432;mso-position-horizontal-relative:page;mso-position-vertical-relative:page" coordorigin="47160,31172" coordsize="12598,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">
              <v:group id="Group 3" o:spid="_x0000_s1051" style="position:absolute;left:47160;top:31172;width:12599;height:13255" coordorigin="47160,31172" coordsize="12598,1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52" style="position:absolute;left:47160;top:31172;width:12599;height:1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5A849DE" w14:textId="77777777" w:rsidR="001A4585" w:rsidRDefault="001A4585">
                        <w:pPr>
                          <w:textDirection w:val="btLr"/>
                        </w:pPr>
                      </w:p>
                    </w:txbxContent>
                  </v:textbox>
                </v:rect>
                <v:group id="Group 20" o:spid="_x0000_s1053" style="position:absolute;left:47160;top:31172;width:12599;height:13255" coordorigin="-1225,-6170" coordsize="12596,1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2" o:spid="_x0000_s1054" style="position:absolute;left:-1225;top:-6170;width:12596;height:1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4CC77CA3" w14:textId="77777777" w:rsidR="001A4585" w:rsidRDefault="001A4585">
                          <w:pPr>
                            <w:textDirection w:val="btL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55"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" adj="0" fillcolor="#e62a4f" stroked="f">
                    <v:fill opacity="0"/>
                    <v:textbox inset="2.53958mm,2.53958mm,2.53958mm,2.53958mm">
                      <w:txbxContent>
                        <w:p w14:paraId="149AA2E3" w14:textId="77777777" w:rsidR="001A4585" w:rsidRDefault="001A4585">
                          <w:pPr>
                            <w:textDirection w:val="btLr"/>
                          </w:pPr>
                        </w:p>
                      </w:txbxContent>
                    </v:textbox>
                  </v:shape>
                  <v:rect id="Rectangle 34" o:spid="_x0000_s1056"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" fillcolor="#e62a4f" stroked="f">
                    <v:fill opacity="0"/>
                    <v:textbox inset="2.53958mm,1.2694mm,2.53958mm,1.2694mm">
                      <w:txbxContent>
                        <w:p w14:paraId="22FCD232" w14:textId="77777777" w:rsidR="001A4585" w:rsidRDefault="001A4585">
                          <w:pPr>
                            <w:jc w:val="center"/>
                            <w:textDirection w:val="btLr"/>
                          </w:pPr>
                          <w:r>
                            <w:rPr>
                              <w:b/>
                              <w:color w:val="FFFFFF"/>
                            </w:rPr>
                            <w:t>DRAFT</w:t>
                          </w:r>
                        </w:p>
                      </w:txbxContent>
                    </v:textbox>
                  </v:rect>
                </v:group>
              </v:group>
              <w10:wrap anchorx="page" anchory="page"/>
            </v:group>
          </w:pict>
        </mc:Fallback>
      </mc:AlternateContent>
    </w:r>
    <w:r>
      <w:rPr>
        <w:noProof/>
        <w:lang w:eastAsia="en-GB"/>
      </w:rPr>
      <mc:AlternateContent>
        <mc:Choice Requires="wps">
          <w:drawing>
            <wp:anchor distT="0" distB="0" distL="114300" distR="114300" simplePos="0" relativeHeight="251667456" behindDoc="0" locked="0" layoutInCell="1" hidden="0" allowOverlap="1" wp14:anchorId="1B7F23FD" wp14:editId="77944EB0">
              <wp:simplePos x="0" y="0"/>
              <wp:positionH relativeFrom="column">
                <wp:posOffset>-63499</wp:posOffset>
              </wp:positionH>
              <wp:positionV relativeFrom="paragraph">
                <wp:posOffset>-368299</wp:posOffset>
              </wp:positionV>
              <wp:extent cx="654050" cy="31750"/>
              <wp:effectExtent l="0" t="0" r="0" b="0"/>
              <wp:wrapNone/>
              <wp:docPr id="35" name="Rectangle 35"/>
              <wp:cNvGraphicFramePr/>
              <a:graphic xmlns:a="http://schemas.openxmlformats.org/drawingml/2006/main">
                <a:graphicData uri="http://schemas.microsoft.com/office/word/2010/wordprocessingShape">
                  <wps:wsp>
                    <wps:cNvSpPr/>
                    <wps:spPr>
                      <a:xfrm flipH="1">
                        <a:off x="5028500" y="3773650"/>
                        <a:ext cx="635000" cy="12700"/>
                      </a:xfrm>
                      <a:prstGeom prst="rect">
                        <a:avLst/>
                      </a:prstGeom>
                      <a:solidFill>
                        <a:srgbClr val="FFFFFF"/>
                      </a:solidFill>
                      <a:ln>
                        <a:noFill/>
                      </a:ln>
                    </wps:spPr>
                    <wps:txbx>
                      <w:txbxContent>
                        <w:p w14:paraId="3EBC2F35" w14:textId="77777777" w:rsidR="001A4585" w:rsidRDefault="001A4585">
                          <w:pPr>
                            <w:textDirection w:val="btLr"/>
                          </w:pPr>
                          <w:r>
                            <w:rPr>
                              <w:color w:val="000000"/>
                              <w:sz w:val="16"/>
                            </w:rPr>
                            <w:t>Doc Info</w:t>
                          </w:r>
                        </w:p>
                        <w:p w14:paraId="546BD660" w14:textId="77777777" w:rsidR="001A4585" w:rsidRDefault="001A4585">
                          <w:pPr>
                            <w:textDirection w:val="btLr"/>
                          </w:pPr>
                          <w:r>
                            <w:rPr>
                              <w:color w:val="000000"/>
                              <w:sz w:val="16"/>
                            </w:rPr>
                            <w:t>Branding: true</w:t>
                          </w:r>
                        </w:p>
                        <w:p w14:paraId="480BFDB6" w14:textId="77777777" w:rsidR="001A4585" w:rsidRDefault="001A4585">
                          <w:pPr>
                            <w:textDirection w:val="btLr"/>
                          </w:pPr>
                          <w:r>
                            <w:rPr>
                              <w:color w:val="000000"/>
                              <w:sz w:val="16"/>
                            </w:rPr>
                            <w:t>FirmNameShort: DLA Piper</w:t>
                          </w:r>
                        </w:p>
                        <w:p w14:paraId="0F110AFC" w14:textId="77777777" w:rsidR="001A4585" w:rsidRDefault="001A4585">
                          <w:pPr>
                            <w:textDirection w:val="btLr"/>
                          </w:pPr>
                          <w:r>
                            <w:rPr>
                              <w:color w:val="000000"/>
                              <w:sz w:val="16"/>
                            </w:rPr>
                            <w:t>IncludeAppendix:</w:t>
                          </w:r>
                          <w:r>
                            <w:rPr>
                              <w:color w:val="000000"/>
                            </w:rPr>
                            <w:t xml:space="preserve"> false</w:t>
                          </w:r>
                        </w:p>
                        <w:p w14:paraId="1BDF0D30" w14:textId="77777777" w:rsidR="001A4585" w:rsidRDefault="001A4585">
                          <w:pPr>
                            <w:textDirection w:val="btLr"/>
                          </w:pPr>
                          <w:r>
                            <w:rPr>
                              <w:color w:val="000000"/>
                              <w:sz w:val="16"/>
                            </w:rPr>
                            <w:t>IncludeSchedules: false</w:t>
                          </w:r>
                        </w:p>
                        <w:p w14:paraId="5709A149" w14:textId="77777777" w:rsidR="001A4585" w:rsidRDefault="001A4585">
                          <w:pPr>
                            <w:textDirection w:val="btLr"/>
                          </w:pPr>
                        </w:p>
                        <w:p w14:paraId="277D45DD" w14:textId="77777777" w:rsidR="001A4585" w:rsidRDefault="001A4585">
                          <w:pPr>
                            <w:textDirection w:val="btLr"/>
                          </w:pPr>
                        </w:p>
                      </w:txbxContent>
                    </wps:txbx>
                    <wps:bodyPr spcFirstLastPara="1" wrap="square" lIns="91425" tIns="45700" rIns="91425" bIns="45700" anchor="t" anchorCtr="0">
                      <a:noAutofit/>
                    </wps:bodyPr>
                  </wps:wsp>
                </a:graphicData>
              </a:graphic>
            </wp:anchor>
          </w:drawing>
        </mc:Choice>
        <mc:Fallback>
          <w:pict>
            <v:rect w14:anchorId="1B7F23FD" id="Rectangle 35" o:spid="_x0000_s1057" style="position:absolute;margin-left:-5pt;margin-top:-29pt;width:51.5pt;height:2.5pt;flip:x;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" stroked="f">
              <v:textbox inset="2.53958mm,1.2694mm,2.53958mm,1.2694mm">
                <w:txbxContent>
                  <w:p w14:paraId="3EBC2F35" w14:textId="77777777" w:rsidR="001A4585" w:rsidRDefault="001A4585">
                    <w:pPr>
                      <w:textDirection w:val="btLr"/>
                    </w:pPr>
                    <w:r>
                      <w:rPr>
                        <w:color w:val="000000"/>
                        <w:sz w:val="16"/>
                      </w:rPr>
                      <w:t>Doc Info</w:t>
                    </w:r>
                  </w:p>
                  <w:p w14:paraId="546BD660" w14:textId="77777777" w:rsidR="001A4585" w:rsidRDefault="001A4585">
                    <w:pPr>
                      <w:textDirection w:val="btLr"/>
                    </w:pPr>
                    <w:r>
                      <w:rPr>
                        <w:color w:val="000000"/>
                        <w:sz w:val="16"/>
                      </w:rPr>
                      <w:t>Branding: true</w:t>
                    </w:r>
                  </w:p>
                  <w:p w14:paraId="480BFDB6" w14:textId="77777777" w:rsidR="001A4585" w:rsidRDefault="001A4585">
                    <w:pPr>
                      <w:textDirection w:val="btLr"/>
                    </w:pPr>
                    <w:proofErr w:type="spellStart"/>
                    <w:r>
                      <w:rPr>
                        <w:color w:val="000000"/>
                        <w:sz w:val="16"/>
                      </w:rPr>
                      <w:t>FirmNameShort</w:t>
                    </w:r>
                    <w:proofErr w:type="spellEnd"/>
                    <w:r>
                      <w:rPr>
                        <w:color w:val="000000"/>
                        <w:sz w:val="16"/>
                      </w:rPr>
                      <w:t>: DLA Piper</w:t>
                    </w:r>
                  </w:p>
                  <w:p w14:paraId="0F110AFC" w14:textId="77777777" w:rsidR="001A4585" w:rsidRDefault="001A4585">
                    <w:pPr>
                      <w:textDirection w:val="btLr"/>
                    </w:pPr>
                    <w:proofErr w:type="spellStart"/>
                    <w:r>
                      <w:rPr>
                        <w:color w:val="000000"/>
                        <w:sz w:val="16"/>
                      </w:rPr>
                      <w:t>IncludeAppendix</w:t>
                    </w:r>
                    <w:proofErr w:type="spellEnd"/>
                    <w:r>
                      <w:rPr>
                        <w:color w:val="000000"/>
                        <w:sz w:val="16"/>
                      </w:rPr>
                      <w:t>:</w:t>
                    </w:r>
                    <w:r>
                      <w:rPr>
                        <w:color w:val="000000"/>
                      </w:rPr>
                      <w:t xml:space="preserve"> false</w:t>
                    </w:r>
                  </w:p>
                  <w:p w14:paraId="1BDF0D30" w14:textId="77777777" w:rsidR="001A4585" w:rsidRDefault="001A4585">
                    <w:pPr>
                      <w:textDirection w:val="btLr"/>
                    </w:pPr>
                    <w:proofErr w:type="spellStart"/>
                    <w:r>
                      <w:rPr>
                        <w:color w:val="000000"/>
                        <w:sz w:val="16"/>
                      </w:rPr>
                      <w:t>IncludeSchedules</w:t>
                    </w:r>
                    <w:proofErr w:type="spellEnd"/>
                    <w:r>
                      <w:rPr>
                        <w:color w:val="000000"/>
                        <w:sz w:val="16"/>
                      </w:rPr>
                      <w:t>: false</w:t>
                    </w:r>
                  </w:p>
                  <w:p w14:paraId="5709A149" w14:textId="77777777" w:rsidR="001A4585" w:rsidRDefault="001A4585">
                    <w:pPr>
                      <w:textDirection w:val="btLr"/>
                    </w:pPr>
                  </w:p>
                  <w:p w14:paraId="277D45DD" w14:textId="77777777" w:rsidR="001A4585" w:rsidRDefault="001A4585">
                    <w:pPr>
                      <w:textDirection w:val="btLr"/>
                    </w:pPr>
                  </w:p>
                </w:txbxContent>
              </v:textbox>
            </v:rect>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EAA32" w14:textId="77777777" w:rsidR="001A4585" w:rsidRDefault="001A4585">
    <w:pPr>
      <w:pBdr>
        <w:top w:val="nil"/>
        <w:left w:val="nil"/>
        <w:bottom w:val="nil"/>
        <w:right w:val="nil"/>
        <w:between w:val="nil"/>
      </w:pBdr>
      <w:tabs>
        <w:tab w:val="center" w:pos="4513"/>
        <w:tab w:val="right" w:pos="9026"/>
      </w:tabs>
      <w:rPr>
        <w:color w:val="000000"/>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C416" w14:textId="77777777" w:rsidR="001A4585" w:rsidRDefault="001A4585">
    <w:pPr>
      <w:pBdr>
        <w:top w:val="nil"/>
        <w:left w:val="nil"/>
        <w:bottom w:val="nil"/>
        <w:right w:val="nil"/>
        <w:between w:val="nil"/>
      </w:pBdr>
      <w:tabs>
        <w:tab w:val="center" w:pos="4513"/>
        <w:tab w:val="right" w:pos="9026"/>
      </w:tabs>
      <w:rPr>
        <w:color w:val="000000"/>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E8E0" w14:textId="77777777" w:rsidR="001A4585" w:rsidRDefault="001A4585">
    <w:pPr>
      <w:pBdr>
        <w:top w:val="nil"/>
        <w:left w:val="nil"/>
        <w:bottom w:val="nil"/>
        <w:right w:val="nil"/>
        <w:between w:val="nil"/>
      </w:pBdr>
      <w:tabs>
        <w:tab w:val="center" w:pos="4513"/>
        <w:tab w:val="right" w:pos="9026"/>
      </w:tabs>
      <w:rPr>
        <w:color w:val="000000"/>
      </w:rPr>
    </w:pPr>
    <w:r>
      <w:rPr>
        <w:noProof/>
        <w:color w:val="000000"/>
        <w:lang w:eastAsia="en-GB"/>
      </w:rPr>
      <mc:AlternateContent>
        <mc:Choice Requires="wpg">
          <w:drawing>
            <wp:anchor distT="0" distB="0" distL="114300" distR="114300" simplePos="0" relativeHeight="251668480" behindDoc="0" locked="0" layoutInCell="1" hidden="0" allowOverlap="1" wp14:anchorId="0F9BB578" wp14:editId="638D7610">
              <wp:simplePos x="0" y="0"/>
              <wp:positionH relativeFrom="page">
                <wp:posOffset>6291618</wp:posOffset>
              </wp:positionH>
              <wp:positionV relativeFrom="page">
                <wp:posOffset>-59284</wp:posOffset>
              </wp:positionV>
              <wp:extent cx="1259840" cy="1325479"/>
              <wp:effectExtent l="0" t="0" r="0" b="0"/>
              <wp:wrapNone/>
              <wp:docPr id="36" name="Group 36"/>
              <wp:cNvGraphicFramePr/>
              <a:graphic xmlns:a="http://schemas.openxmlformats.org/drawingml/2006/main">
                <a:graphicData uri="http://schemas.microsoft.com/office/word/2010/wordprocessingGroup">
                  <wpg:wgp>
                    <wpg:cNvGrpSpPr/>
                    <wpg:grpSpPr>
                      <a:xfrm>
                        <a:off x="0" y="0"/>
                        <a:ext cx="1259840" cy="1325479"/>
                        <a:chOff x="4716075" y="3117250"/>
                        <a:chExt cx="1259850" cy="1325500"/>
                      </a:xfrm>
                    </wpg:grpSpPr>
                    <wpg:grpSp>
                      <wpg:cNvPr id="37" name="Group 37"/>
                      <wpg:cNvGrpSpPr/>
                      <wpg:grpSpPr>
                        <a:xfrm>
                          <a:off x="4716080" y="3117261"/>
                          <a:ext cx="1259840" cy="1325479"/>
                          <a:chOff x="4716075" y="3117250"/>
                          <a:chExt cx="1259850" cy="1325500"/>
                        </a:xfrm>
                      </wpg:grpSpPr>
                      <wps:wsp>
                        <wps:cNvPr id="38" name="Rectangle 38"/>
                        <wps:cNvSpPr/>
                        <wps:spPr>
                          <a:xfrm>
                            <a:off x="4716075" y="3117250"/>
                            <a:ext cx="1259850" cy="1325500"/>
                          </a:xfrm>
                          <a:prstGeom prst="rect">
                            <a:avLst/>
                          </a:prstGeom>
                          <a:noFill/>
                          <a:ln>
                            <a:noFill/>
                          </a:ln>
                        </wps:spPr>
                        <wps:txbx>
                          <w:txbxContent>
                            <w:p w14:paraId="41043A4C" w14:textId="77777777" w:rsidR="001A4585" w:rsidRDefault="001A4585">
                              <w:pPr>
                                <w:textDirection w:val="btLr"/>
                              </w:pPr>
                            </w:p>
                          </w:txbxContent>
                        </wps:txbx>
                        <wps:bodyPr spcFirstLastPara="1" wrap="square" lIns="91425" tIns="91425" rIns="91425" bIns="91425" anchor="ctr" anchorCtr="0">
                          <a:noAutofit/>
                        </wps:bodyPr>
                      </wps:wsp>
                      <wpg:grpSp>
                        <wpg:cNvPr id="39" name="Group 39"/>
                        <wpg:cNvGrpSpPr/>
                        <wpg:grpSpPr>
                          <a:xfrm>
                            <a:off x="4716080" y="3117261"/>
                            <a:ext cx="1259840" cy="1325479"/>
                            <a:chOff x="-122521" y="-617069"/>
                            <a:chExt cx="1259651" cy="1325280"/>
                          </a:xfrm>
                        </wpg:grpSpPr>
                        <wps:wsp>
                          <wps:cNvPr id="40" name="Rectangle 40"/>
                          <wps:cNvSpPr/>
                          <wps:spPr>
                            <a:xfrm>
                              <a:off x="-122521" y="-617069"/>
                              <a:ext cx="1259650" cy="1325275"/>
                            </a:xfrm>
                            <a:prstGeom prst="rect">
                              <a:avLst/>
                            </a:prstGeom>
                            <a:noFill/>
                            <a:ln>
                              <a:noFill/>
                            </a:ln>
                          </wps:spPr>
                          <wps:txbx>
                            <w:txbxContent>
                              <w:p w14:paraId="7A40C16D" w14:textId="77777777" w:rsidR="001A4585" w:rsidRDefault="001A4585">
                                <w:pPr>
                                  <w:textDirection w:val="btLr"/>
                                </w:pPr>
                              </w:p>
                            </w:txbxContent>
                          </wps:txbx>
                          <wps:bodyPr spcFirstLastPara="1" wrap="square" lIns="91425" tIns="91425" rIns="91425" bIns="91425" anchor="ctr" anchorCtr="0">
                            <a:noAutofit/>
                          </wps:bodyPr>
                        </wps:wsp>
                        <wps:wsp>
                          <wps:cNvPr id="41" name="Isosceles Triangle 41"/>
                          <wps:cNvSpPr/>
                          <wps:spPr>
                            <a:xfrm rot="-5400000" flipH="1">
                              <a:off x="-122521" y="-551440"/>
                              <a:ext cx="1259651" cy="1259651"/>
                            </a:xfrm>
                            <a:prstGeom prst="triangle">
                              <a:avLst>
                                <a:gd name="adj" fmla="val 0"/>
                              </a:avLst>
                            </a:prstGeom>
                            <a:solidFill>
                              <a:srgbClr val="E62A4F">
                                <a:alpha val="0"/>
                              </a:srgbClr>
                            </a:solidFill>
                            <a:ln>
                              <a:noFill/>
                            </a:ln>
                          </wps:spPr>
                          <wps:txbx>
                            <w:txbxContent>
                              <w:p w14:paraId="1636BD4B" w14:textId="77777777" w:rsidR="001A4585" w:rsidRDefault="001A4585">
                                <w:pPr>
                                  <w:textDirection w:val="btLr"/>
                                </w:pPr>
                              </w:p>
                            </w:txbxContent>
                          </wps:txbx>
                          <wps:bodyPr spcFirstLastPara="1" wrap="square" lIns="91425" tIns="91425" rIns="91425" bIns="91425" anchor="ctr" anchorCtr="0">
                            <a:noAutofit/>
                          </wps:bodyPr>
                        </wps:wsp>
                        <wps:wsp>
                          <wps:cNvPr id="42" name="Rectangle 42"/>
                          <wps:cNvSpPr/>
                          <wps:spPr>
                            <a:xfrm rot="2703337">
                              <a:off x="185834" y="-231200"/>
                              <a:ext cx="1001184" cy="229445"/>
                            </a:xfrm>
                            <a:prstGeom prst="rect">
                              <a:avLst/>
                            </a:prstGeom>
                            <a:solidFill>
                              <a:srgbClr val="E62A4F">
                                <a:alpha val="0"/>
                              </a:srgbClr>
                            </a:solidFill>
                            <a:ln>
                              <a:noFill/>
                            </a:ln>
                          </wps:spPr>
                          <wps:txbx>
                            <w:txbxContent>
                              <w:p w14:paraId="6051251B" w14:textId="77777777" w:rsidR="001A4585" w:rsidRDefault="001A4585">
                                <w:pPr>
                                  <w:jc w:val="center"/>
                                  <w:textDirection w:val="btLr"/>
                                </w:pPr>
                                <w:r>
                                  <w:rPr>
                                    <w:b/>
                                    <w:color w:val="FFFFFF"/>
                                  </w:rPr>
                                  <w:t>DRAFT</w:t>
                                </w:r>
                              </w:p>
                            </w:txbxContent>
                          </wps:txbx>
                          <wps:bodyPr spcFirstLastPara="1" wrap="square" lIns="91425" tIns="45700" rIns="91425" bIns="45700" anchor="t" anchorCtr="0">
                            <a:noAutofit/>
                          </wps:bodyPr>
                        </wps:wsp>
                      </wpg:grpSp>
                    </wpg:grpSp>
                  </wpg:wgp>
                </a:graphicData>
              </a:graphic>
            </wp:anchor>
          </w:drawing>
        </mc:Choice>
        <mc:Fallback>
          <w:pict>
            <v:group w14:anchorId="0F9BB578" id="Group 36" o:spid="_x0000_s1058" style="position:absolute;margin-left:495.4pt;margin-top:-4.65pt;width:99.2pt;height:104.35pt;z-index:251668480;mso-position-horizontal-relative:page;mso-position-vertical-relative:page" coordorigin="47160,31172" coordsize="12598,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">
              <v:group id="Group 37" o:spid="_x0000_s1059" style="position:absolute;left:47160;top:31172;width:12599;height:13255" coordorigin="47160,31172" coordsize="12598,1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60" style="position:absolute;left:47160;top:31172;width:12599;height:1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41043A4C" w14:textId="77777777" w:rsidR="001A4585" w:rsidRDefault="001A4585">
                        <w:pPr>
                          <w:textDirection w:val="btLr"/>
                        </w:pPr>
                      </w:p>
                    </w:txbxContent>
                  </v:textbox>
                </v:rect>
                <v:group id="Group 39" o:spid="_x0000_s1061" style="position:absolute;left:47160;top:31172;width:12599;height:13255" coordorigin="-1225,-6170" coordsize="12596,1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40" o:spid="_x0000_s1062" style="position:absolute;left:-1225;top:-6170;width:12596;height:1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" filled="f" stroked="f">
                    <v:textbox inset="2.53958mm,2.53958mm,2.53958mm,2.53958mm">
                      <w:txbxContent>
                        <w:p w14:paraId="7A40C16D" w14:textId="77777777" w:rsidR="001A4585" w:rsidRDefault="001A4585">
                          <w:pPr>
                            <w:textDirection w:val="btL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1" o:spid="_x0000_s1063"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" adj="0" fillcolor="#e62a4f" stroked="f">
                    <v:fill opacity="0"/>
                    <v:textbox inset="2.53958mm,2.53958mm,2.53958mm,2.53958mm">
                      <w:txbxContent>
                        <w:p w14:paraId="1636BD4B" w14:textId="77777777" w:rsidR="001A4585" w:rsidRDefault="001A4585">
                          <w:pPr>
                            <w:textDirection w:val="btLr"/>
                          </w:pPr>
                        </w:p>
                      </w:txbxContent>
                    </v:textbox>
                  </v:shape>
                  <v:rect id="Rectangle 42" o:spid="_x0000_s1064"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" fillcolor="#e62a4f" stroked="f">
                    <v:fill opacity="0"/>
                    <v:textbox inset="2.53958mm,1.2694mm,2.53958mm,1.2694mm">
                      <w:txbxContent>
                        <w:p w14:paraId="6051251B" w14:textId="77777777" w:rsidR="001A4585" w:rsidRDefault="001A4585">
                          <w:pPr>
                            <w:jc w:val="center"/>
                            <w:textDirection w:val="btLr"/>
                          </w:pPr>
                          <w:r>
                            <w:rPr>
                              <w:b/>
                              <w:color w:val="FFFFFF"/>
                            </w:rPr>
                            <w:t>DRAFT</w:t>
                          </w:r>
                        </w:p>
                      </w:txbxContent>
                    </v:textbox>
                  </v:rect>
                </v:group>
              </v:group>
              <w10:wrap anchorx="page" anchory="page"/>
            </v:group>
          </w:pict>
        </mc:Fallback>
      </mc:AlternateContent>
    </w:r>
    <w:r>
      <w:rPr>
        <w:noProof/>
        <w:lang w:eastAsia="en-GB"/>
      </w:rPr>
      <mc:AlternateContent>
        <mc:Choice Requires="wps">
          <w:drawing>
            <wp:anchor distT="0" distB="0" distL="114300" distR="114300" simplePos="0" relativeHeight="251669504" behindDoc="0" locked="0" layoutInCell="1" hidden="0" allowOverlap="1" wp14:anchorId="44F729DD" wp14:editId="590DEC42">
              <wp:simplePos x="0" y="0"/>
              <wp:positionH relativeFrom="column">
                <wp:posOffset>-63499</wp:posOffset>
              </wp:positionH>
              <wp:positionV relativeFrom="paragraph">
                <wp:posOffset>-368299</wp:posOffset>
              </wp:positionV>
              <wp:extent cx="654050" cy="31750"/>
              <wp:effectExtent l="0" t="0" r="0" b="0"/>
              <wp:wrapNone/>
              <wp:docPr id="43" name="Rectangle 43"/>
              <wp:cNvGraphicFramePr/>
              <a:graphic xmlns:a="http://schemas.openxmlformats.org/drawingml/2006/main">
                <a:graphicData uri="http://schemas.microsoft.com/office/word/2010/wordprocessingShape">
                  <wps:wsp>
                    <wps:cNvSpPr/>
                    <wps:spPr>
                      <a:xfrm flipH="1">
                        <a:off x="5028500" y="3773650"/>
                        <a:ext cx="635000" cy="12700"/>
                      </a:xfrm>
                      <a:prstGeom prst="rect">
                        <a:avLst/>
                      </a:prstGeom>
                      <a:solidFill>
                        <a:srgbClr val="FFFFFF"/>
                      </a:solidFill>
                      <a:ln>
                        <a:noFill/>
                      </a:ln>
                    </wps:spPr>
                    <wps:txbx>
                      <w:txbxContent>
                        <w:p w14:paraId="19A09E30" w14:textId="77777777" w:rsidR="001A4585" w:rsidRDefault="001A4585">
                          <w:pPr>
                            <w:textDirection w:val="btLr"/>
                          </w:pPr>
                          <w:r>
                            <w:rPr>
                              <w:color w:val="000000"/>
                              <w:sz w:val="16"/>
                            </w:rPr>
                            <w:t>Doc Info</w:t>
                          </w:r>
                        </w:p>
                        <w:p w14:paraId="41E1631E" w14:textId="77777777" w:rsidR="001A4585" w:rsidRDefault="001A4585">
                          <w:pPr>
                            <w:textDirection w:val="btLr"/>
                          </w:pPr>
                          <w:r>
                            <w:rPr>
                              <w:color w:val="000000"/>
                              <w:sz w:val="16"/>
                            </w:rPr>
                            <w:t>Branding: true</w:t>
                          </w:r>
                        </w:p>
                        <w:p w14:paraId="7EA43AE7" w14:textId="77777777" w:rsidR="001A4585" w:rsidRDefault="001A4585">
                          <w:pPr>
                            <w:textDirection w:val="btLr"/>
                          </w:pPr>
                          <w:r>
                            <w:rPr>
                              <w:color w:val="000000"/>
                              <w:sz w:val="16"/>
                            </w:rPr>
                            <w:t>FirmNameShort: DLA Piper</w:t>
                          </w:r>
                        </w:p>
                        <w:p w14:paraId="7D74BB48" w14:textId="77777777" w:rsidR="001A4585" w:rsidRDefault="001A4585">
                          <w:pPr>
                            <w:textDirection w:val="btLr"/>
                          </w:pPr>
                          <w:r>
                            <w:rPr>
                              <w:color w:val="000000"/>
                              <w:sz w:val="16"/>
                            </w:rPr>
                            <w:t>IncludeAppendix:</w:t>
                          </w:r>
                          <w:r>
                            <w:rPr>
                              <w:color w:val="000000"/>
                            </w:rPr>
                            <w:t xml:space="preserve"> false</w:t>
                          </w:r>
                        </w:p>
                        <w:p w14:paraId="0241B3AB" w14:textId="77777777" w:rsidR="001A4585" w:rsidRDefault="001A4585">
                          <w:pPr>
                            <w:textDirection w:val="btLr"/>
                          </w:pPr>
                          <w:r>
                            <w:rPr>
                              <w:color w:val="000000"/>
                              <w:sz w:val="16"/>
                            </w:rPr>
                            <w:t>IncludeSchedules: false</w:t>
                          </w:r>
                        </w:p>
                        <w:p w14:paraId="2D965A00" w14:textId="77777777" w:rsidR="001A4585" w:rsidRDefault="001A4585">
                          <w:pPr>
                            <w:textDirection w:val="btLr"/>
                          </w:pPr>
                        </w:p>
                        <w:p w14:paraId="7C07724A" w14:textId="77777777" w:rsidR="001A4585" w:rsidRDefault="001A4585">
                          <w:pPr>
                            <w:textDirection w:val="btLr"/>
                          </w:pPr>
                        </w:p>
                      </w:txbxContent>
                    </wps:txbx>
                    <wps:bodyPr spcFirstLastPara="1" wrap="square" lIns="91425" tIns="45700" rIns="91425" bIns="45700" anchor="t" anchorCtr="0">
                      <a:noAutofit/>
                    </wps:bodyPr>
                  </wps:wsp>
                </a:graphicData>
              </a:graphic>
            </wp:anchor>
          </w:drawing>
        </mc:Choice>
        <mc:Fallback>
          <w:pict>
            <v:rect w14:anchorId="44F729DD" id="Rectangle 43" o:spid="_x0000_s1065" style="position:absolute;margin-left:-5pt;margin-top:-29pt;width:51.5pt;height:2.5pt;flip:x;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" stroked="f">
              <v:textbox inset="2.53958mm,1.2694mm,2.53958mm,1.2694mm">
                <w:txbxContent>
                  <w:p w14:paraId="19A09E30" w14:textId="77777777" w:rsidR="001A4585" w:rsidRDefault="001A4585">
                    <w:pPr>
                      <w:textDirection w:val="btLr"/>
                    </w:pPr>
                    <w:r>
                      <w:rPr>
                        <w:color w:val="000000"/>
                        <w:sz w:val="16"/>
                      </w:rPr>
                      <w:t>Doc Info</w:t>
                    </w:r>
                  </w:p>
                  <w:p w14:paraId="41E1631E" w14:textId="77777777" w:rsidR="001A4585" w:rsidRDefault="001A4585">
                    <w:pPr>
                      <w:textDirection w:val="btLr"/>
                    </w:pPr>
                    <w:r>
                      <w:rPr>
                        <w:color w:val="000000"/>
                        <w:sz w:val="16"/>
                      </w:rPr>
                      <w:t>Branding: true</w:t>
                    </w:r>
                  </w:p>
                  <w:p w14:paraId="7EA43AE7" w14:textId="77777777" w:rsidR="001A4585" w:rsidRDefault="001A4585">
                    <w:pPr>
                      <w:textDirection w:val="btLr"/>
                    </w:pPr>
                    <w:proofErr w:type="spellStart"/>
                    <w:r>
                      <w:rPr>
                        <w:color w:val="000000"/>
                        <w:sz w:val="16"/>
                      </w:rPr>
                      <w:t>FirmNameShort</w:t>
                    </w:r>
                    <w:proofErr w:type="spellEnd"/>
                    <w:r>
                      <w:rPr>
                        <w:color w:val="000000"/>
                        <w:sz w:val="16"/>
                      </w:rPr>
                      <w:t>: DLA Piper</w:t>
                    </w:r>
                  </w:p>
                  <w:p w14:paraId="7D74BB48" w14:textId="77777777" w:rsidR="001A4585" w:rsidRDefault="001A4585">
                    <w:pPr>
                      <w:textDirection w:val="btLr"/>
                    </w:pPr>
                    <w:proofErr w:type="spellStart"/>
                    <w:r>
                      <w:rPr>
                        <w:color w:val="000000"/>
                        <w:sz w:val="16"/>
                      </w:rPr>
                      <w:t>IncludeAppendix</w:t>
                    </w:r>
                    <w:proofErr w:type="spellEnd"/>
                    <w:r>
                      <w:rPr>
                        <w:color w:val="000000"/>
                        <w:sz w:val="16"/>
                      </w:rPr>
                      <w:t>:</w:t>
                    </w:r>
                    <w:r>
                      <w:rPr>
                        <w:color w:val="000000"/>
                      </w:rPr>
                      <w:t xml:space="preserve"> false</w:t>
                    </w:r>
                  </w:p>
                  <w:p w14:paraId="0241B3AB" w14:textId="77777777" w:rsidR="001A4585" w:rsidRDefault="001A4585">
                    <w:pPr>
                      <w:textDirection w:val="btLr"/>
                    </w:pPr>
                    <w:proofErr w:type="spellStart"/>
                    <w:r>
                      <w:rPr>
                        <w:color w:val="000000"/>
                        <w:sz w:val="16"/>
                      </w:rPr>
                      <w:t>IncludeSchedules</w:t>
                    </w:r>
                    <w:proofErr w:type="spellEnd"/>
                    <w:r>
                      <w:rPr>
                        <w:color w:val="000000"/>
                        <w:sz w:val="16"/>
                      </w:rPr>
                      <w:t>: false</w:t>
                    </w:r>
                  </w:p>
                  <w:p w14:paraId="2D965A00" w14:textId="77777777" w:rsidR="001A4585" w:rsidRDefault="001A4585">
                    <w:pPr>
                      <w:textDirection w:val="btLr"/>
                    </w:pPr>
                  </w:p>
                  <w:p w14:paraId="7C07724A" w14:textId="77777777" w:rsidR="001A4585" w:rsidRDefault="001A4585">
                    <w:pPr>
                      <w:textDirection w:val="btLr"/>
                    </w:pPr>
                  </w:p>
                </w:txbxContent>
              </v:textbox>
            </v:rect>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EBA29" w14:textId="77777777" w:rsidR="001A4585" w:rsidRDefault="001A4585">
    <w:pPr>
      <w:pBdr>
        <w:top w:val="nil"/>
        <w:left w:val="nil"/>
        <w:bottom w:val="nil"/>
        <w:right w:val="nil"/>
        <w:between w:val="nil"/>
      </w:pBdr>
      <w:tabs>
        <w:tab w:val="center" w:pos="4513"/>
        <w:tab w:val="right" w:pos="9026"/>
      </w:tabs>
      <w:rPr>
        <w:color w:val="000000"/>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FA02" w14:textId="4A1725FB" w:rsidR="001A4585" w:rsidRPr="00534BE5" w:rsidRDefault="001A4585" w:rsidP="00534BE5">
    <w:pPr>
      <w:rPr>
        <w:b/>
        <w:bCs/>
      </w:rPr>
    </w:pPr>
    <w:r w:rsidRPr="00534BE5">
      <w:rPr>
        <w:b/>
        <w:bCs/>
      </w:rPr>
      <w:t>Schedule 5</w:t>
    </w:r>
    <w:r>
      <w:rPr>
        <w:b/>
        <w:bCs/>
      </w:rPr>
      <w:t xml:space="preserve"> (</w:t>
    </w:r>
    <w:r w:rsidRPr="00534BE5">
      <w:rPr>
        <w:b/>
        <w:bCs/>
      </w:rPr>
      <w:t>Security Management</w:t>
    </w:r>
    <w:r>
      <w:rPr>
        <w:b/>
        <w:bCs/>
      </w:rPr>
      <w:t>)</w:t>
    </w:r>
  </w:p>
  <w:p w14:paraId="6E26312A" w14:textId="77777777" w:rsidR="001A4585" w:rsidRPr="00534BE5" w:rsidRDefault="001A4585" w:rsidP="006A2450">
    <w:pPr>
      <w:pStyle w:val="Header"/>
    </w:pPr>
    <w:r w:rsidRPr="00534BE5">
      <w:t xml:space="preserve">Crown </w:t>
    </w:r>
    <w:r>
      <w:t>C</w:t>
    </w:r>
    <w:r w:rsidRPr="00534BE5">
      <w:t>opyright 202</w:t>
    </w:r>
    <w:r>
      <w:t>3</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BAB6" w14:textId="77777777" w:rsidR="001A4585" w:rsidRPr="004A7C2C" w:rsidRDefault="001A4585" w:rsidP="00534BE5">
    <w:pPr>
      <w:pStyle w:val="Header"/>
    </w:pPr>
    <w:r w:rsidRPr="00E9603F">
      <w:rPr>
        <w:highlight w:val="magenta"/>
      </w:rPr>
      <w:t>Schedule</w:t>
    </w:r>
    <w:r w:rsidRPr="004A7C2C">
      <w:t xml:space="preserve"> </w:t>
    </w:r>
    <w:r>
      <w:t>6</w:t>
    </w:r>
    <w:r w:rsidRPr="004A7C2C">
      <w:t xml:space="preserve"> (</w:t>
    </w:r>
    <w:r>
      <w:t>Insurance Requirements</w:t>
    </w:r>
    <w:r w:rsidRPr="004A7C2C">
      <w:t>)</w:t>
    </w:r>
  </w:p>
  <w:p w14:paraId="5D7D92DC" w14:textId="77777777" w:rsidR="001A4585" w:rsidRPr="004A7C2C" w:rsidRDefault="001A4585" w:rsidP="00534BE5">
    <w:pPr>
      <w:pStyle w:val="Header"/>
    </w:pPr>
    <w:r w:rsidRPr="004A7C2C">
      <w:t>Crown copyright 2021</w:t>
    </w:r>
  </w:p>
  <w:p w14:paraId="3577EB59" w14:textId="77777777" w:rsidR="001A4585" w:rsidRDefault="001A4585" w:rsidP="00534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C6857" w14:textId="77777777" w:rsidR="001A4585" w:rsidRDefault="001A4585">
    <w:pPr>
      <w:pBdr>
        <w:top w:val="nil"/>
        <w:left w:val="nil"/>
        <w:bottom w:val="nil"/>
        <w:right w:val="nil"/>
        <w:between w:val="nil"/>
      </w:pBdr>
      <w:tabs>
        <w:tab w:val="center" w:pos="4513"/>
        <w:tab w:val="right" w:pos="9026"/>
      </w:tabs>
      <w:rPr>
        <w:b/>
        <w:color w:val="000000"/>
        <w:sz w:val="22"/>
        <w:szCs w:val="22"/>
      </w:rPr>
    </w:pPr>
    <w:r w:rsidRPr="00E9603F">
      <w:rPr>
        <w:b/>
        <w:color w:val="000000"/>
        <w:sz w:val="22"/>
        <w:szCs w:val="22"/>
        <w:highlight w:val="magenta"/>
      </w:rPr>
      <w:t>Schedule</w:t>
    </w:r>
    <w:r>
      <w:rPr>
        <w:b/>
        <w:color w:val="000000"/>
        <w:sz w:val="22"/>
        <w:szCs w:val="22"/>
      </w:rPr>
      <w:t xml:space="preserve"> 3 (Performance Levels)</w:t>
    </w:r>
  </w:p>
  <w:p w14:paraId="398BA0F5" w14:textId="77777777" w:rsidR="001A4585" w:rsidRDefault="001A4585">
    <w:pPr>
      <w:pBdr>
        <w:top w:val="nil"/>
        <w:left w:val="nil"/>
        <w:bottom w:val="nil"/>
        <w:right w:val="nil"/>
        <w:between w:val="nil"/>
      </w:pBdr>
      <w:tabs>
        <w:tab w:val="center" w:pos="4513"/>
        <w:tab w:val="right" w:pos="9026"/>
      </w:tabs>
      <w:rPr>
        <w:color w:val="000000"/>
        <w:sz w:val="22"/>
        <w:szCs w:val="22"/>
      </w:rPr>
    </w:pPr>
    <w:r>
      <w:rPr>
        <w:color w:val="000000"/>
        <w:sz w:val="22"/>
        <w:szCs w:val="22"/>
      </w:rPr>
      <w:t>Crown copyright 2021</w:t>
    </w:r>
  </w:p>
  <w:p w14:paraId="3CAA9831" w14:textId="77777777" w:rsidR="001A4585" w:rsidRDefault="001A4585">
    <w:pPr>
      <w:pBdr>
        <w:top w:val="nil"/>
        <w:left w:val="nil"/>
        <w:bottom w:val="nil"/>
        <w:right w:val="nil"/>
        <w:between w:val="nil"/>
      </w:pBdr>
      <w:tabs>
        <w:tab w:val="center" w:pos="4513"/>
        <w:tab w:val="right" w:pos="9026"/>
      </w:tabs>
      <w:rPr>
        <w:color w:val="000000"/>
        <w:szCs w:val="24"/>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94B4C" w14:textId="7A0F417B" w:rsidR="001A4585" w:rsidRPr="0077466E" w:rsidRDefault="001A4585" w:rsidP="005B59F3">
    <w:pPr>
      <w:pBdr>
        <w:top w:val="nil"/>
        <w:left w:val="nil"/>
        <w:bottom w:val="nil"/>
        <w:right w:val="nil"/>
        <w:between w:val="nil"/>
      </w:pBdr>
      <w:tabs>
        <w:tab w:val="center" w:pos="4513"/>
        <w:tab w:val="right" w:pos="9026"/>
      </w:tabs>
      <w:rPr>
        <w:b/>
        <w:color w:val="000000"/>
        <w:sz w:val="22"/>
        <w:szCs w:val="22"/>
      </w:rPr>
    </w:pPr>
    <w:r w:rsidRPr="0077466E">
      <w:rPr>
        <w:b/>
        <w:color w:val="000000"/>
        <w:sz w:val="22"/>
        <w:szCs w:val="22"/>
      </w:rPr>
      <w:t>Schedule 6</w:t>
    </w:r>
    <w:r>
      <w:rPr>
        <w:b/>
        <w:color w:val="000000"/>
        <w:sz w:val="22"/>
        <w:szCs w:val="22"/>
      </w:rPr>
      <w:t xml:space="preserve"> (</w:t>
    </w:r>
    <w:r w:rsidRPr="0077466E">
      <w:rPr>
        <w:b/>
        <w:color w:val="000000"/>
        <w:sz w:val="22"/>
        <w:szCs w:val="22"/>
      </w:rPr>
      <w:t>Insurance Requirements</w:t>
    </w:r>
    <w:r>
      <w:rPr>
        <w:b/>
        <w:color w:val="000000"/>
        <w:sz w:val="22"/>
        <w:szCs w:val="22"/>
      </w:rPr>
      <w:t>)</w:t>
    </w:r>
  </w:p>
  <w:p w14:paraId="4BF86525" w14:textId="77777777" w:rsidR="001A4585" w:rsidRPr="00534BE5" w:rsidRDefault="001A4585" w:rsidP="006A2450">
    <w:pPr>
      <w:pStyle w:val="Header"/>
    </w:pPr>
    <w:r w:rsidRPr="00534BE5">
      <w:t xml:space="preserve">Crown </w:t>
    </w:r>
    <w:r>
      <w:t>C</w:t>
    </w:r>
    <w:r w:rsidRPr="00534BE5">
      <w:t>opyright 202</w:t>
    </w:r>
    <w:r>
      <w:t>3</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A437" w14:textId="77777777" w:rsidR="001A4585" w:rsidRPr="004A7C2C" w:rsidRDefault="001A4585" w:rsidP="00534BE5">
    <w:pPr>
      <w:pStyle w:val="Header"/>
    </w:pPr>
    <w:r w:rsidRPr="00E9603F">
      <w:rPr>
        <w:highlight w:val="magenta"/>
      </w:rPr>
      <w:t>Schedule</w:t>
    </w:r>
    <w:r w:rsidRPr="004A7C2C">
      <w:t xml:space="preserve"> 1 (Definitions)</w:t>
    </w:r>
  </w:p>
  <w:p w14:paraId="2953A5FA" w14:textId="77777777" w:rsidR="001A4585" w:rsidRPr="004A7C2C" w:rsidRDefault="001A4585" w:rsidP="00534BE5">
    <w:pPr>
      <w:pStyle w:val="Header"/>
    </w:pPr>
    <w:r w:rsidRPr="004A7C2C">
      <w:t>Crown copyright 2021</w:t>
    </w:r>
  </w:p>
  <w:p w14:paraId="0913330D" w14:textId="77777777" w:rsidR="001A4585" w:rsidRDefault="001A4585" w:rsidP="00534BE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3DBCB" w14:textId="783231C7" w:rsidR="001A4585" w:rsidRPr="0080013D" w:rsidRDefault="001A4585" w:rsidP="00534BE5">
    <w:pPr>
      <w:pStyle w:val="Header"/>
      <w:rPr>
        <w:b/>
        <w:bCs/>
      </w:rPr>
    </w:pPr>
    <w:r w:rsidRPr="0080013D">
      <w:rPr>
        <w:b/>
        <w:bCs/>
      </w:rPr>
      <w:t>Schedule 7</w:t>
    </w:r>
    <w:r>
      <w:rPr>
        <w:b/>
        <w:bCs/>
      </w:rPr>
      <w:t xml:space="preserve"> (</w:t>
    </w:r>
    <w:r w:rsidRPr="0080013D">
      <w:rPr>
        <w:b/>
        <w:bCs/>
      </w:rPr>
      <w:t>Authority Responsibilities</w:t>
    </w:r>
    <w:r>
      <w:rPr>
        <w:b/>
        <w:bCs/>
      </w:rPr>
      <w:t>)</w:t>
    </w:r>
  </w:p>
  <w:p w14:paraId="2A52CD86" w14:textId="77777777" w:rsidR="001A4585" w:rsidRPr="00534BE5" w:rsidRDefault="001A4585" w:rsidP="006A2450">
    <w:pPr>
      <w:pStyle w:val="Header"/>
    </w:pPr>
    <w:r w:rsidRPr="00534BE5">
      <w:t xml:space="preserve">Crown </w:t>
    </w:r>
    <w:r>
      <w:t>C</w:t>
    </w:r>
    <w:r w:rsidRPr="00534BE5">
      <w:t>opyright 202</w:t>
    </w:r>
    <w:r>
      <w:t>3</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C981C" w14:textId="11C4049A" w:rsidR="001A4585" w:rsidRPr="0080013D" w:rsidRDefault="001A4585" w:rsidP="00534BE5">
    <w:pPr>
      <w:pStyle w:val="Header"/>
      <w:rPr>
        <w:b/>
        <w:bCs/>
      </w:rPr>
    </w:pPr>
    <w:r w:rsidRPr="0080013D">
      <w:rPr>
        <w:b/>
        <w:bCs/>
      </w:rPr>
      <w:t>Schedule 8</w:t>
    </w:r>
    <w:r>
      <w:rPr>
        <w:b/>
        <w:bCs/>
      </w:rPr>
      <w:t xml:space="preserve"> (</w:t>
    </w:r>
    <w:r w:rsidRPr="0080013D">
      <w:rPr>
        <w:b/>
        <w:bCs/>
      </w:rPr>
      <w:t>Supplier Solution</w:t>
    </w:r>
    <w:r>
      <w:rPr>
        <w:b/>
        <w:bCs/>
      </w:rPr>
      <w:t>)</w:t>
    </w:r>
  </w:p>
  <w:p w14:paraId="2ED4922B" w14:textId="77777777" w:rsidR="001A4585" w:rsidRPr="00534BE5" w:rsidRDefault="001A4585" w:rsidP="006A2450">
    <w:pPr>
      <w:pStyle w:val="Header"/>
    </w:pPr>
    <w:r w:rsidRPr="00534BE5">
      <w:t xml:space="preserve">Crown </w:t>
    </w:r>
    <w:r>
      <w:t>C</w:t>
    </w:r>
    <w:r w:rsidRPr="00534BE5">
      <w:t>opyright 202</w:t>
    </w:r>
    <w:r>
      <w:t>3</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7428" w14:textId="477F95A3" w:rsidR="001A4585" w:rsidRPr="0080013D" w:rsidRDefault="001A4585" w:rsidP="00534BE5">
    <w:pPr>
      <w:pStyle w:val="Header"/>
      <w:rPr>
        <w:b/>
        <w:bCs/>
      </w:rPr>
    </w:pPr>
    <w:r w:rsidRPr="0080013D">
      <w:rPr>
        <w:b/>
        <w:bCs/>
      </w:rPr>
      <w:t>Schedule 9</w:t>
    </w:r>
    <w:r>
      <w:rPr>
        <w:b/>
        <w:bCs/>
      </w:rPr>
      <w:t xml:space="preserve"> (</w:t>
    </w:r>
    <w:r w:rsidRPr="0080013D">
      <w:rPr>
        <w:b/>
        <w:bCs/>
      </w:rPr>
      <w:t>Commercially Sensitive Information</w:t>
    </w:r>
    <w:r>
      <w:rPr>
        <w:b/>
        <w:bCs/>
      </w:rPr>
      <w:t>)</w:t>
    </w:r>
  </w:p>
  <w:p w14:paraId="5D82F5A9" w14:textId="77777777" w:rsidR="001A4585" w:rsidRPr="00534BE5" w:rsidRDefault="001A4585" w:rsidP="006A2450">
    <w:pPr>
      <w:pStyle w:val="Header"/>
    </w:pPr>
    <w:r w:rsidRPr="00534BE5">
      <w:t xml:space="preserve">Crown </w:t>
    </w:r>
    <w:r>
      <w:t>C</w:t>
    </w:r>
    <w:r w:rsidRPr="00534BE5">
      <w:t>opyright 202</w:t>
    </w:r>
    <w:r>
      <w:t>3</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9D302" w14:textId="63229D14" w:rsidR="001A4585" w:rsidRPr="0080013D" w:rsidRDefault="001A4585" w:rsidP="00534BE5">
    <w:pPr>
      <w:pStyle w:val="Header"/>
      <w:rPr>
        <w:b/>
        <w:bCs/>
      </w:rPr>
    </w:pPr>
    <w:r w:rsidRPr="0080013D">
      <w:rPr>
        <w:b/>
        <w:bCs/>
      </w:rPr>
      <w:t>Schedule 10</w:t>
    </w:r>
    <w:r>
      <w:rPr>
        <w:b/>
        <w:bCs/>
      </w:rPr>
      <w:t xml:space="preserve"> (</w:t>
    </w:r>
    <w:r w:rsidRPr="0080013D">
      <w:rPr>
        <w:b/>
        <w:bCs/>
      </w:rPr>
      <w:t>Notified Key Sub-</w:t>
    </w:r>
    <w:r>
      <w:rPr>
        <w:b/>
        <w:bCs/>
      </w:rPr>
      <w:t>c</w:t>
    </w:r>
    <w:r w:rsidRPr="0080013D">
      <w:rPr>
        <w:b/>
        <w:bCs/>
      </w:rPr>
      <w:t>ontractors</w:t>
    </w:r>
    <w:r>
      <w:rPr>
        <w:b/>
        <w:bCs/>
      </w:rPr>
      <w:t>)</w:t>
    </w:r>
  </w:p>
  <w:p w14:paraId="4D1160D3" w14:textId="77777777" w:rsidR="001A4585" w:rsidRPr="00534BE5" w:rsidRDefault="001A4585" w:rsidP="006A2450">
    <w:pPr>
      <w:pStyle w:val="Header"/>
    </w:pPr>
    <w:r w:rsidRPr="00534BE5">
      <w:t xml:space="preserve">Crown </w:t>
    </w:r>
    <w:r>
      <w:t>C</w:t>
    </w:r>
    <w:r w:rsidRPr="00534BE5">
      <w:t>opyright 202</w:t>
    </w:r>
    <w:r>
      <w:t>3</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98681" w14:textId="5E751596" w:rsidR="001A4585" w:rsidRPr="0080013D" w:rsidRDefault="001A4585" w:rsidP="00534BE5">
    <w:pPr>
      <w:pStyle w:val="Header"/>
      <w:rPr>
        <w:b/>
        <w:bCs/>
      </w:rPr>
    </w:pPr>
    <w:r w:rsidRPr="0080013D">
      <w:rPr>
        <w:b/>
        <w:bCs/>
      </w:rPr>
      <w:t>Schedule 11</w:t>
    </w:r>
    <w:r>
      <w:rPr>
        <w:b/>
        <w:bCs/>
      </w:rPr>
      <w:t xml:space="preserve"> (</w:t>
    </w:r>
    <w:r w:rsidRPr="0080013D">
      <w:rPr>
        <w:b/>
        <w:bCs/>
      </w:rPr>
      <w:t>Third Party Contracts</w:t>
    </w:r>
    <w:r>
      <w:rPr>
        <w:b/>
        <w:bCs/>
      </w:rPr>
      <w:t>)</w:t>
    </w:r>
  </w:p>
  <w:p w14:paraId="56443AAF" w14:textId="77777777" w:rsidR="001A4585" w:rsidRPr="00534BE5" w:rsidRDefault="001A4585" w:rsidP="006A2450">
    <w:pPr>
      <w:pStyle w:val="Header"/>
    </w:pPr>
    <w:r w:rsidRPr="00534BE5">
      <w:t xml:space="preserve">Crown </w:t>
    </w:r>
    <w:r>
      <w:t>C</w:t>
    </w:r>
    <w:r w:rsidRPr="00534BE5">
      <w:t>opyright 202</w:t>
    </w:r>
    <w:r>
      <w:t>3</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A2643" w14:textId="1345C72B" w:rsidR="001A4585" w:rsidRPr="0080013D" w:rsidRDefault="001A4585" w:rsidP="00534BE5">
    <w:pPr>
      <w:pStyle w:val="Header"/>
      <w:rPr>
        <w:b/>
        <w:bCs/>
      </w:rPr>
    </w:pPr>
    <w:r w:rsidRPr="0080013D">
      <w:rPr>
        <w:b/>
        <w:bCs/>
      </w:rPr>
      <w:t>Schedule 12</w:t>
    </w:r>
    <w:r>
      <w:rPr>
        <w:b/>
        <w:bCs/>
      </w:rPr>
      <w:t xml:space="preserve"> (</w:t>
    </w:r>
    <w:r w:rsidRPr="0080013D">
      <w:rPr>
        <w:b/>
        <w:bCs/>
      </w:rPr>
      <w:t>Software</w:t>
    </w:r>
    <w:r>
      <w:rPr>
        <w:b/>
        <w:bCs/>
      </w:rPr>
      <w:t>)</w:t>
    </w:r>
  </w:p>
  <w:p w14:paraId="3BD9AA24" w14:textId="77777777" w:rsidR="001A4585" w:rsidRPr="00534BE5" w:rsidRDefault="001A4585" w:rsidP="006A2450">
    <w:pPr>
      <w:pStyle w:val="Header"/>
    </w:pPr>
    <w:r w:rsidRPr="00534BE5">
      <w:t xml:space="preserve">Crown </w:t>
    </w:r>
    <w:r>
      <w:t>C</w:t>
    </w:r>
    <w:r w:rsidRPr="00534BE5">
      <w:t>opyright 202</w:t>
    </w:r>
    <w:r>
      <w:t>3</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2115" w14:textId="6C012C1F" w:rsidR="001A4585" w:rsidRPr="0080013D" w:rsidRDefault="001A4585" w:rsidP="00534BE5">
    <w:pPr>
      <w:pStyle w:val="Header"/>
      <w:rPr>
        <w:b/>
        <w:bCs/>
      </w:rPr>
    </w:pPr>
    <w:r w:rsidRPr="0080013D">
      <w:rPr>
        <w:b/>
        <w:bCs/>
      </w:rPr>
      <w:t>Schedule 13</w:t>
    </w:r>
    <w:r>
      <w:rPr>
        <w:b/>
        <w:bCs/>
      </w:rPr>
      <w:t xml:space="preserve"> (</w:t>
    </w:r>
    <w:r w:rsidRPr="0080013D">
      <w:rPr>
        <w:b/>
        <w:bCs/>
      </w:rPr>
      <w:t>Implementation Plan</w:t>
    </w:r>
    <w:r>
      <w:rPr>
        <w:b/>
        <w:bCs/>
      </w:rPr>
      <w:t>)</w:t>
    </w:r>
  </w:p>
  <w:p w14:paraId="5E8E27CF" w14:textId="77777777" w:rsidR="001A4585" w:rsidRPr="00534BE5" w:rsidRDefault="001A4585" w:rsidP="006A2450">
    <w:pPr>
      <w:pStyle w:val="Header"/>
    </w:pPr>
    <w:r w:rsidRPr="00534BE5">
      <w:t xml:space="preserve">Crown </w:t>
    </w:r>
    <w:r>
      <w:t>C</w:t>
    </w:r>
    <w:r w:rsidRPr="00534BE5">
      <w:t>opyright 202</w:t>
    </w:r>
    <w:r>
      <w:t>3</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0A630" w14:textId="0DDEA8AB" w:rsidR="001A4585" w:rsidRPr="0080013D" w:rsidRDefault="001A4585" w:rsidP="00534BE5">
    <w:pPr>
      <w:pStyle w:val="Header"/>
      <w:rPr>
        <w:b/>
        <w:bCs/>
      </w:rPr>
    </w:pPr>
    <w:r w:rsidRPr="0080013D">
      <w:rPr>
        <w:b/>
        <w:bCs/>
      </w:rPr>
      <w:t>Schedule 14</w:t>
    </w:r>
    <w:r>
      <w:rPr>
        <w:b/>
        <w:bCs/>
      </w:rPr>
      <w:t xml:space="preserve"> (</w:t>
    </w:r>
    <w:r w:rsidRPr="0080013D">
      <w:rPr>
        <w:b/>
        <w:bCs/>
      </w:rPr>
      <w:t>Testing Procedures</w:t>
    </w:r>
    <w:r>
      <w:rPr>
        <w:b/>
        <w:bCs/>
      </w:rPr>
      <w:t>)</w:t>
    </w:r>
  </w:p>
  <w:p w14:paraId="640A7AA1" w14:textId="77777777" w:rsidR="001A4585" w:rsidRPr="00534BE5" w:rsidRDefault="001A4585" w:rsidP="006A2450">
    <w:pPr>
      <w:pStyle w:val="Header"/>
    </w:pPr>
    <w:r w:rsidRPr="00534BE5">
      <w:t xml:space="preserve">Crown </w:t>
    </w:r>
    <w:r>
      <w:t>C</w:t>
    </w:r>
    <w:r w:rsidRPr="00534BE5">
      <w:t>opyright 202</w:t>
    </w:r>
    <w:r>
      <w:t>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730A0" w14:textId="1A4FF9B9" w:rsidR="001A4585" w:rsidRPr="00534BE5" w:rsidRDefault="001A4585" w:rsidP="00534BE5">
    <w:pPr>
      <w:pStyle w:val="Header"/>
      <w:rPr>
        <w:b/>
        <w:bCs/>
      </w:rPr>
    </w:pPr>
    <w:r w:rsidRPr="00534BE5">
      <w:rPr>
        <w:b/>
        <w:bCs/>
      </w:rPr>
      <w:t>Schedule 1</w:t>
    </w:r>
    <w:r>
      <w:rPr>
        <w:b/>
        <w:bCs/>
      </w:rPr>
      <w:t xml:space="preserve"> (</w:t>
    </w:r>
    <w:r w:rsidRPr="00534BE5">
      <w:rPr>
        <w:b/>
        <w:bCs/>
      </w:rPr>
      <w:t>Definitions</w:t>
    </w:r>
    <w:r>
      <w:rPr>
        <w:b/>
        <w:bCs/>
      </w:rPr>
      <w:t>)</w:t>
    </w:r>
  </w:p>
  <w:p w14:paraId="10AA6BA1" w14:textId="77777777" w:rsidR="001A4585" w:rsidRPr="00534BE5" w:rsidRDefault="001A4585" w:rsidP="00534BE5">
    <w:pPr>
      <w:pStyle w:val="Header"/>
    </w:pPr>
    <w:r w:rsidRPr="00534BE5">
      <w:t xml:space="preserve">Crown </w:t>
    </w:r>
    <w:r>
      <w:t>C</w:t>
    </w:r>
    <w:r w:rsidRPr="00534BE5">
      <w:t>opyright 202</w:t>
    </w:r>
    <w:r>
      <w:t>3</w: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6431C" w14:textId="7C3F634B" w:rsidR="001A4585" w:rsidRPr="00EC3902" w:rsidRDefault="001A4585" w:rsidP="00534BE5">
    <w:pPr>
      <w:pStyle w:val="Header"/>
      <w:rPr>
        <w:b/>
        <w:bCs/>
      </w:rPr>
    </w:pPr>
    <w:r w:rsidRPr="00EC3902">
      <w:rPr>
        <w:b/>
        <w:bCs/>
      </w:rPr>
      <w:t>Schedule 15</w:t>
    </w:r>
    <w:r>
      <w:rPr>
        <w:b/>
        <w:bCs/>
      </w:rPr>
      <w:t xml:space="preserve"> (</w:t>
    </w:r>
    <w:r w:rsidRPr="00EC3902">
      <w:rPr>
        <w:b/>
        <w:bCs/>
      </w:rPr>
      <w:t xml:space="preserve">Charges </w:t>
    </w:r>
    <w:r>
      <w:rPr>
        <w:b/>
        <w:bCs/>
      </w:rPr>
      <w:t>a</w:t>
    </w:r>
    <w:r w:rsidRPr="00EC3902">
      <w:rPr>
        <w:b/>
        <w:bCs/>
      </w:rPr>
      <w:t>nd Invoicing</w:t>
    </w:r>
    <w:r>
      <w:rPr>
        <w:b/>
        <w:bCs/>
      </w:rPr>
      <w:t>)</w:t>
    </w:r>
  </w:p>
  <w:p w14:paraId="30EAF473" w14:textId="77777777" w:rsidR="001A4585" w:rsidRPr="00534BE5" w:rsidRDefault="001A4585" w:rsidP="006A2450">
    <w:pPr>
      <w:pStyle w:val="Header"/>
    </w:pPr>
    <w:r w:rsidRPr="00534BE5">
      <w:t xml:space="preserve">Crown </w:t>
    </w:r>
    <w:r>
      <w:t>C</w:t>
    </w:r>
    <w:r w:rsidRPr="00534BE5">
      <w:t>opyright 202</w:t>
    </w:r>
    <w:r>
      <w:t>3</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C71A0" w14:textId="7023D16B" w:rsidR="001A4585" w:rsidRPr="00532E54" w:rsidRDefault="001A4585" w:rsidP="006A2450">
    <w:pPr>
      <w:pStyle w:val="Header"/>
      <w:rPr>
        <w:b/>
        <w:bCs/>
      </w:rPr>
    </w:pPr>
    <w:r w:rsidRPr="00EC3902">
      <w:rPr>
        <w:b/>
        <w:bCs/>
      </w:rPr>
      <w:t>Schedule 17</w:t>
    </w:r>
    <w:r>
      <w:rPr>
        <w:b/>
        <w:bCs/>
      </w:rPr>
      <w:t>: (</w:t>
    </w:r>
    <w:r w:rsidRPr="00EC3902">
      <w:rPr>
        <w:b/>
        <w:bCs/>
      </w:rPr>
      <w:t>Benchmarking</w:t>
    </w:r>
    <w:r>
      <w:rPr>
        <w:b/>
        <w:bCs/>
      </w:rPr>
      <w:t>)</w:t>
    </w:r>
  </w:p>
  <w:p w14:paraId="07BFE1A4" w14:textId="77777777" w:rsidR="001A4585" w:rsidRPr="00534BE5" w:rsidRDefault="001A4585" w:rsidP="006A2450">
    <w:pPr>
      <w:pStyle w:val="Header"/>
    </w:pPr>
    <w:r w:rsidRPr="00534BE5">
      <w:t xml:space="preserve">Crown </w:t>
    </w:r>
    <w:r>
      <w:t>C</w:t>
    </w:r>
    <w:r w:rsidRPr="00534BE5">
      <w:t>opyright 202</w:t>
    </w:r>
    <w:r>
      <w:t>3</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96745" w14:textId="38B8513E" w:rsidR="001A4585" w:rsidRPr="00532E54" w:rsidRDefault="001A4585" w:rsidP="006A2450">
    <w:pPr>
      <w:pStyle w:val="Header"/>
      <w:rPr>
        <w:b/>
        <w:bCs/>
      </w:rPr>
    </w:pPr>
    <w:r w:rsidRPr="00EC3902">
      <w:rPr>
        <w:b/>
        <w:bCs/>
      </w:rPr>
      <w:t>Schedule 18</w:t>
    </w:r>
    <w:r>
      <w:rPr>
        <w:b/>
        <w:bCs/>
      </w:rPr>
      <w:t>: (</w:t>
    </w:r>
    <w:r w:rsidRPr="00EC3902">
      <w:rPr>
        <w:b/>
        <w:bCs/>
      </w:rPr>
      <w:t>Financial Distress</w:t>
    </w:r>
    <w:r>
      <w:rPr>
        <w:b/>
        <w:bCs/>
      </w:rPr>
      <w:t>)</w:t>
    </w:r>
  </w:p>
  <w:p w14:paraId="6C1BB860" w14:textId="77777777" w:rsidR="001A4585" w:rsidRPr="00534BE5" w:rsidRDefault="001A4585" w:rsidP="006A2450">
    <w:pPr>
      <w:pStyle w:val="Header"/>
    </w:pPr>
    <w:r w:rsidRPr="00534BE5">
      <w:t xml:space="preserve">Crown </w:t>
    </w:r>
    <w:r>
      <w:t>C</w:t>
    </w:r>
    <w:r w:rsidRPr="00534BE5">
      <w:t>opyright 202</w:t>
    </w:r>
    <w:r>
      <w:t>3</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852F9" w14:textId="77777777" w:rsidR="001A4585" w:rsidRPr="004A7C2C" w:rsidRDefault="001A4585" w:rsidP="00534BE5">
    <w:pPr>
      <w:pStyle w:val="Header"/>
    </w:pPr>
    <w:r w:rsidRPr="00E9603F">
      <w:rPr>
        <w:highlight w:val="magenta"/>
      </w:rPr>
      <w:t>Schedule</w:t>
    </w:r>
    <w:r w:rsidRPr="004A7C2C">
      <w:t xml:space="preserve"> 1</w:t>
    </w:r>
    <w:r>
      <w:t>9</w:t>
    </w:r>
    <w:r w:rsidRPr="004A7C2C">
      <w:t xml:space="preserve"> (</w:t>
    </w:r>
    <w:r>
      <w:t>Financial Reports and Audit Rights</w:t>
    </w:r>
    <w:r w:rsidRPr="004A7C2C">
      <w:t>)</w:t>
    </w:r>
  </w:p>
  <w:p w14:paraId="05C40589" w14:textId="77777777" w:rsidR="001A4585" w:rsidRPr="004A7C2C" w:rsidRDefault="001A4585" w:rsidP="00534BE5">
    <w:pPr>
      <w:pStyle w:val="Header"/>
    </w:pPr>
    <w:r w:rsidRPr="004A7C2C">
      <w:t>Crown copyright 2021</w:t>
    </w:r>
  </w:p>
  <w:p w14:paraId="4C14FB89" w14:textId="77777777" w:rsidR="001A4585" w:rsidRDefault="001A4585" w:rsidP="00534BE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2724" w14:textId="67CFA532" w:rsidR="001A4585" w:rsidRPr="00532E54" w:rsidRDefault="001A4585" w:rsidP="006A2450">
    <w:pPr>
      <w:pStyle w:val="Header"/>
      <w:rPr>
        <w:b/>
        <w:bCs/>
      </w:rPr>
    </w:pPr>
    <w:r w:rsidRPr="00EC3902">
      <w:rPr>
        <w:b/>
        <w:bCs/>
      </w:rPr>
      <w:t>Schedule 19</w:t>
    </w:r>
    <w:r>
      <w:rPr>
        <w:b/>
        <w:bCs/>
      </w:rPr>
      <w:t>: (</w:t>
    </w:r>
    <w:r w:rsidRPr="00EC3902">
      <w:rPr>
        <w:b/>
        <w:bCs/>
      </w:rPr>
      <w:t xml:space="preserve">Financial Reports </w:t>
    </w:r>
    <w:r>
      <w:rPr>
        <w:b/>
        <w:bCs/>
      </w:rPr>
      <w:t>a</w:t>
    </w:r>
    <w:r w:rsidRPr="00EC3902">
      <w:rPr>
        <w:b/>
        <w:bCs/>
      </w:rPr>
      <w:t>nd Audit Rights</w:t>
    </w:r>
    <w:r>
      <w:rPr>
        <w:b/>
        <w:bCs/>
      </w:rPr>
      <w:t>)</w:t>
    </w:r>
  </w:p>
  <w:p w14:paraId="7BC551C9" w14:textId="77777777" w:rsidR="001A4585" w:rsidRPr="00534BE5" w:rsidRDefault="001A4585" w:rsidP="006A2450">
    <w:pPr>
      <w:pStyle w:val="Header"/>
    </w:pPr>
    <w:r w:rsidRPr="00534BE5">
      <w:t xml:space="preserve">Crown </w:t>
    </w:r>
    <w:r>
      <w:t>C</w:t>
    </w:r>
    <w:r w:rsidRPr="00534BE5">
      <w:t>opyright 202</w:t>
    </w:r>
    <w:r>
      <w:t>3</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5D610" w14:textId="77777777" w:rsidR="001A4585" w:rsidRPr="004A7C2C" w:rsidRDefault="001A4585" w:rsidP="00534BE5">
    <w:pPr>
      <w:pStyle w:val="Header"/>
    </w:pPr>
    <w:r w:rsidRPr="00E9603F">
      <w:rPr>
        <w:highlight w:val="magenta"/>
      </w:rPr>
      <w:t>Schedule</w:t>
    </w:r>
    <w:r w:rsidRPr="004A7C2C">
      <w:t xml:space="preserve"> 1 (Definitions)</w:t>
    </w:r>
  </w:p>
  <w:p w14:paraId="7CD1EE23" w14:textId="77777777" w:rsidR="001A4585" w:rsidRPr="004A7C2C" w:rsidRDefault="001A4585" w:rsidP="00534BE5">
    <w:pPr>
      <w:pStyle w:val="Header"/>
    </w:pPr>
    <w:r w:rsidRPr="004A7C2C">
      <w:t>Crown copyright 2021</w:t>
    </w:r>
  </w:p>
  <w:p w14:paraId="1CA9BC1D" w14:textId="77777777" w:rsidR="001A4585" w:rsidRDefault="001A4585" w:rsidP="00534BE5">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8F4F3" w14:textId="6197D45A" w:rsidR="001A4585" w:rsidRPr="00532E54" w:rsidRDefault="001A4585" w:rsidP="006A2450">
    <w:pPr>
      <w:pStyle w:val="Header"/>
      <w:rPr>
        <w:b/>
        <w:bCs/>
      </w:rPr>
    </w:pPr>
    <w:r w:rsidRPr="00EC3902">
      <w:rPr>
        <w:b/>
        <w:bCs/>
      </w:rPr>
      <w:t>Schedule 20</w:t>
    </w:r>
    <w:r>
      <w:rPr>
        <w:b/>
        <w:bCs/>
      </w:rPr>
      <w:t>: (</w:t>
    </w:r>
    <w:r w:rsidRPr="00EC3902">
      <w:rPr>
        <w:b/>
        <w:bCs/>
      </w:rPr>
      <w:t>Anticipated Savings</w:t>
    </w:r>
    <w:r>
      <w:rPr>
        <w:b/>
        <w:bCs/>
      </w:rPr>
      <w:t>)</w:t>
    </w:r>
  </w:p>
  <w:p w14:paraId="0DA9F4EF" w14:textId="77777777" w:rsidR="001A4585" w:rsidRPr="00534BE5" w:rsidRDefault="001A4585" w:rsidP="006A2450">
    <w:pPr>
      <w:pStyle w:val="Header"/>
    </w:pPr>
    <w:r w:rsidRPr="00534BE5">
      <w:t xml:space="preserve">Crown </w:t>
    </w:r>
    <w:r>
      <w:t>C</w:t>
    </w:r>
    <w:r w:rsidRPr="00534BE5">
      <w:t>opyright 202</w:t>
    </w:r>
    <w:r>
      <w:t>3</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BD5C" w14:textId="0A24EE6D" w:rsidR="001A4585" w:rsidRPr="00EC3902" w:rsidRDefault="001A4585" w:rsidP="00534BE5">
    <w:pPr>
      <w:pStyle w:val="Header"/>
      <w:rPr>
        <w:b/>
        <w:bCs/>
      </w:rPr>
    </w:pPr>
    <w:r w:rsidRPr="00EC3902">
      <w:rPr>
        <w:b/>
        <w:bCs/>
      </w:rPr>
      <w:t>Schedule 21</w:t>
    </w:r>
    <w:r>
      <w:rPr>
        <w:b/>
        <w:bCs/>
      </w:rPr>
      <w:t>: (</w:t>
    </w:r>
    <w:r w:rsidRPr="00EC3902">
      <w:rPr>
        <w:b/>
        <w:bCs/>
      </w:rPr>
      <w:t>Governance</w:t>
    </w:r>
    <w:r>
      <w:rPr>
        <w:b/>
        <w:bCs/>
      </w:rPr>
      <w:t>)</w:t>
    </w:r>
  </w:p>
  <w:p w14:paraId="32BBD7A1" w14:textId="77777777" w:rsidR="001A4585" w:rsidRPr="00534BE5" w:rsidRDefault="001A4585" w:rsidP="006A2450">
    <w:pPr>
      <w:pStyle w:val="Header"/>
    </w:pPr>
    <w:r w:rsidRPr="00534BE5">
      <w:t xml:space="preserve">Crown </w:t>
    </w:r>
    <w:r>
      <w:t>C</w:t>
    </w:r>
    <w:r w:rsidRPr="00534BE5">
      <w:t>opyright 202</w:t>
    </w:r>
    <w:r>
      <w:t>3</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60E4" w14:textId="6535D6D1" w:rsidR="001A4585" w:rsidRPr="00532E54" w:rsidRDefault="001A4585" w:rsidP="006A2450">
    <w:pPr>
      <w:pStyle w:val="Header"/>
      <w:rPr>
        <w:b/>
        <w:bCs/>
      </w:rPr>
    </w:pPr>
    <w:r w:rsidRPr="00EC3902">
      <w:rPr>
        <w:b/>
        <w:bCs/>
      </w:rPr>
      <w:t>Schedule 22</w:t>
    </w:r>
    <w:r>
      <w:rPr>
        <w:b/>
        <w:bCs/>
      </w:rPr>
      <w:t>: (</w:t>
    </w:r>
    <w:r w:rsidRPr="00EC3902">
      <w:rPr>
        <w:b/>
        <w:bCs/>
      </w:rPr>
      <w:t>Change Control Procedure</w:t>
    </w:r>
    <w:r>
      <w:rPr>
        <w:b/>
        <w:bCs/>
      </w:rPr>
      <w:t>)</w:t>
    </w:r>
  </w:p>
  <w:p w14:paraId="3542F933" w14:textId="77777777" w:rsidR="001A4585" w:rsidRPr="00534BE5" w:rsidRDefault="001A4585" w:rsidP="006A2450">
    <w:pPr>
      <w:pStyle w:val="Header"/>
    </w:pPr>
    <w:r w:rsidRPr="00534BE5">
      <w:t xml:space="preserve">Crown </w:t>
    </w:r>
    <w:r>
      <w:t>C</w:t>
    </w:r>
    <w:r w:rsidRPr="00534BE5">
      <w:t>opyright 202</w:t>
    </w:r>
    <w:r>
      <w:t>3</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49E9D" w14:textId="77777777" w:rsidR="001A4585" w:rsidRDefault="001A4585" w:rsidP="00534B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95DA" w14:textId="0C06D090" w:rsidR="001A4585" w:rsidRPr="00534BE5" w:rsidRDefault="001A4585" w:rsidP="00534BE5">
    <w:pPr>
      <w:pStyle w:val="Header"/>
      <w:rPr>
        <w:b/>
        <w:bCs/>
      </w:rPr>
    </w:pPr>
    <w:r w:rsidRPr="00534BE5">
      <w:rPr>
        <w:b/>
        <w:bCs/>
      </w:rPr>
      <w:t>Schedule 2</w:t>
    </w:r>
    <w:r>
      <w:rPr>
        <w:b/>
        <w:bCs/>
      </w:rPr>
      <w:t xml:space="preserve"> (</w:t>
    </w:r>
    <w:r w:rsidRPr="00534BE5">
      <w:rPr>
        <w:b/>
        <w:bCs/>
      </w:rPr>
      <w:t>Services Description</w:t>
    </w:r>
    <w:r>
      <w:rPr>
        <w:b/>
        <w:bCs/>
      </w:rPr>
      <w:t>)</w:t>
    </w:r>
  </w:p>
  <w:p w14:paraId="4E7AA79C" w14:textId="77777777" w:rsidR="001A4585" w:rsidRPr="00534BE5" w:rsidRDefault="001A4585" w:rsidP="006A2450">
    <w:pPr>
      <w:pStyle w:val="Header"/>
    </w:pPr>
    <w:r w:rsidRPr="00534BE5">
      <w:t xml:space="preserve">Crown </w:t>
    </w:r>
    <w:r>
      <w:t>C</w:t>
    </w:r>
    <w:r w:rsidRPr="00534BE5">
      <w:t>opyright 202</w:t>
    </w:r>
    <w:r>
      <w:t>3</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984" w14:textId="63FE687B" w:rsidR="001A4585" w:rsidRPr="00532E54" w:rsidRDefault="001A4585" w:rsidP="006A2450">
    <w:pPr>
      <w:pStyle w:val="Header"/>
      <w:rPr>
        <w:b/>
        <w:bCs/>
      </w:rPr>
    </w:pPr>
    <w:r w:rsidRPr="00EC3902">
      <w:rPr>
        <w:b/>
        <w:bCs/>
      </w:rPr>
      <w:t>Schedule 23</w:t>
    </w:r>
    <w:r>
      <w:rPr>
        <w:b/>
        <w:bCs/>
      </w:rPr>
      <w:t>: (</w:t>
    </w:r>
    <w:r w:rsidRPr="00EC3902">
      <w:rPr>
        <w:b/>
        <w:bCs/>
      </w:rPr>
      <w:t>Dispute Resolution Procedure</w:t>
    </w:r>
    <w:r>
      <w:rPr>
        <w:b/>
        <w:bCs/>
      </w:rPr>
      <w:t>)</w:t>
    </w:r>
  </w:p>
  <w:p w14:paraId="70FD7D7E" w14:textId="77777777" w:rsidR="001A4585" w:rsidRPr="00534BE5" w:rsidRDefault="001A4585" w:rsidP="006A2450">
    <w:pPr>
      <w:pStyle w:val="Header"/>
    </w:pPr>
    <w:r w:rsidRPr="00534BE5">
      <w:t xml:space="preserve">Crown </w:t>
    </w:r>
    <w:r>
      <w:t>C</w:t>
    </w:r>
    <w:r w:rsidRPr="00534BE5">
      <w:t>opyright 202</w:t>
    </w:r>
    <w:r>
      <w:t>3</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483C" w14:textId="77777777" w:rsidR="001A4585" w:rsidRPr="004A7C2C" w:rsidRDefault="001A4585" w:rsidP="00534BE5">
    <w:pPr>
      <w:pStyle w:val="Header"/>
    </w:pPr>
    <w:r w:rsidRPr="00E9603F">
      <w:rPr>
        <w:highlight w:val="magenta"/>
      </w:rPr>
      <w:t>Schedule</w:t>
    </w:r>
    <w:r w:rsidRPr="004A7C2C">
      <w:t xml:space="preserve"> 1 (Definitions)</w:t>
    </w:r>
  </w:p>
  <w:p w14:paraId="59E62FAA" w14:textId="77777777" w:rsidR="001A4585" w:rsidRPr="004A7C2C" w:rsidRDefault="001A4585" w:rsidP="00534BE5">
    <w:pPr>
      <w:pStyle w:val="Header"/>
    </w:pPr>
    <w:r w:rsidRPr="004A7C2C">
      <w:t>Crown copyright 2021</w:t>
    </w:r>
  </w:p>
  <w:p w14:paraId="6EBF6EFC" w14:textId="77777777" w:rsidR="001A4585" w:rsidRDefault="001A4585" w:rsidP="00534BE5">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A3294" w14:textId="5BF1D244" w:rsidR="001A4585" w:rsidRPr="00532E54" w:rsidRDefault="001A4585" w:rsidP="006A2450">
    <w:pPr>
      <w:pStyle w:val="Header"/>
      <w:rPr>
        <w:b/>
        <w:bCs/>
      </w:rPr>
    </w:pPr>
    <w:r w:rsidRPr="00EC3902">
      <w:rPr>
        <w:b/>
        <w:bCs/>
      </w:rPr>
      <w:t>Schedule 24</w:t>
    </w:r>
    <w:r>
      <w:rPr>
        <w:b/>
        <w:bCs/>
      </w:rPr>
      <w:t>: (</w:t>
    </w:r>
    <w:r w:rsidRPr="00EC3902">
      <w:rPr>
        <w:b/>
        <w:bCs/>
      </w:rPr>
      <w:t xml:space="preserve">Reports </w:t>
    </w:r>
    <w:r>
      <w:rPr>
        <w:b/>
        <w:bCs/>
      </w:rPr>
      <w:t>a</w:t>
    </w:r>
    <w:r w:rsidRPr="00EC3902">
      <w:rPr>
        <w:b/>
        <w:bCs/>
      </w:rPr>
      <w:t>nd Records Provisions</w:t>
    </w:r>
    <w:r>
      <w:rPr>
        <w:b/>
        <w:bCs/>
      </w:rPr>
      <w:t>)</w:t>
    </w:r>
  </w:p>
  <w:p w14:paraId="1FB31D3A" w14:textId="77777777" w:rsidR="001A4585" w:rsidRPr="00534BE5" w:rsidRDefault="001A4585" w:rsidP="006A2450">
    <w:pPr>
      <w:pStyle w:val="Header"/>
    </w:pPr>
    <w:r w:rsidRPr="00534BE5">
      <w:t xml:space="preserve">Crown </w:t>
    </w:r>
    <w:r>
      <w:t>C</w:t>
    </w:r>
    <w:r w:rsidRPr="00534BE5">
      <w:t>opyright 202</w:t>
    </w:r>
    <w:r>
      <w:t>3</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591D" w14:textId="21A54FE3" w:rsidR="001A4585" w:rsidRPr="00532E54" w:rsidRDefault="001A4585" w:rsidP="006A2450">
    <w:pPr>
      <w:pStyle w:val="Header"/>
      <w:rPr>
        <w:b/>
        <w:bCs/>
      </w:rPr>
    </w:pPr>
    <w:r w:rsidRPr="00EC3902">
      <w:rPr>
        <w:b/>
        <w:bCs/>
      </w:rPr>
      <w:t>Schedule 25</w:t>
    </w:r>
    <w:r>
      <w:rPr>
        <w:b/>
        <w:bCs/>
      </w:rPr>
      <w:t>: (</w:t>
    </w:r>
    <w:r w:rsidRPr="00EC3902">
      <w:rPr>
        <w:b/>
        <w:bCs/>
      </w:rPr>
      <w:t>Exit Management</w:t>
    </w:r>
    <w:r>
      <w:rPr>
        <w:b/>
        <w:bCs/>
      </w:rPr>
      <w:t>)</w:t>
    </w:r>
  </w:p>
  <w:p w14:paraId="30C975C4" w14:textId="77777777" w:rsidR="001A4585" w:rsidRPr="00534BE5" w:rsidRDefault="001A4585" w:rsidP="006A2450">
    <w:pPr>
      <w:pStyle w:val="Header"/>
    </w:pPr>
    <w:r w:rsidRPr="00534BE5">
      <w:t xml:space="preserve">Crown </w:t>
    </w:r>
    <w:r>
      <w:t>C</w:t>
    </w:r>
    <w:r w:rsidRPr="00534BE5">
      <w:t>opyright 202</w:t>
    </w:r>
    <w:r>
      <w:t>3</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C05D" w14:textId="77777777" w:rsidR="001A4585" w:rsidRPr="004A7C2C" w:rsidRDefault="001A4585" w:rsidP="00534BE5">
    <w:pPr>
      <w:pStyle w:val="Header"/>
    </w:pPr>
    <w:r w:rsidRPr="00E9603F">
      <w:rPr>
        <w:highlight w:val="magenta"/>
      </w:rPr>
      <w:t>Schedule</w:t>
    </w:r>
    <w:r w:rsidRPr="004A7C2C">
      <w:t xml:space="preserve"> </w:t>
    </w:r>
    <w:r>
      <w:t>26</w:t>
    </w:r>
    <w:r w:rsidRPr="004A7C2C">
      <w:t xml:space="preserve"> (</w:t>
    </w:r>
    <w:r>
      <w:t>Service Continuity Plan and Corporate Resolution Planning</w:t>
    </w:r>
    <w:r w:rsidRPr="004A7C2C">
      <w:t>)</w:t>
    </w:r>
  </w:p>
  <w:p w14:paraId="74B95DDD" w14:textId="77777777" w:rsidR="001A4585" w:rsidRPr="004A7C2C" w:rsidRDefault="001A4585" w:rsidP="00534BE5">
    <w:pPr>
      <w:pStyle w:val="Header"/>
    </w:pPr>
    <w:r w:rsidRPr="004A7C2C">
      <w:t>Crown copyright 2021</w:t>
    </w:r>
  </w:p>
  <w:p w14:paraId="0652DC54" w14:textId="77777777" w:rsidR="001A4585" w:rsidRDefault="001A4585" w:rsidP="00534BE5">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1AD47" w14:textId="2F146DEE" w:rsidR="001A4585" w:rsidRPr="00532E54" w:rsidRDefault="001A4585" w:rsidP="006A2450">
    <w:pPr>
      <w:pStyle w:val="Header"/>
      <w:rPr>
        <w:b/>
        <w:bCs/>
      </w:rPr>
    </w:pPr>
    <w:r w:rsidRPr="00EC3902">
      <w:rPr>
        <w:b/>
        <w:bCs/>
      </w:rPr>
      <w:t>Schedule 26</w:t>
    </w:r>
    <w:r>
      <w:rPr>
        <w:b/>
        <w:bCs/>
      </w:rPr>
      <w:t>: (</w:t>
    </w:r>
    <w:r w:rsidRPr="00EC3902">
      <w:rPr>
        <w:b/>
        <w:bCs/>
      </w:rPr>
      <w:t xml:space="preserve">Service Continuity Plan </w:t>
    </w:r>
    <w:r>
      <w:rPr>
        <w:b/>
        <w:bCs/>
      </w:rPr>
      <w:t>a</w:t>
    </w:r>
    <w:r w:rsidRPr="00EC3902">
      <w:rPr>
        <w:b/>
        <w:bCs/>
      </w:rPr>
      <w:t>nd Corporate Resolution Planning</w:t>
    </w:r>
    <w:r>
      <w:rPr>
        <w:b/>
        <w:bCs/>
      </w:rPr>
      <w:t>)</w:t>
    </w:r>
  </w:p>
  <w:p w14:paraId="61F14C24" w14:textId="77777777" w:rsidR="001A4585" w:rsidRPr="00534BE5" w:rsidRDefault="001A4585" w:rsidP="006A2450">
    <w:pPr>
      <w:pStyle w:val="Header"/>
    </w:pPr>
    <w:r w:rsidRPr="00534BE5">
      <w:t xml:space="preserve">Crown </w:t>
    </w:r>
    <w:r>
      <w:t>C</w:t>
    </w:r>
    <w:r w:rsidRPr="00534BE5">
      <w:t>opyright 202</w:t>
    </w:r>
    <w:r>
      <w:t>3</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A47D" w14:textId="1F1EDE46" w:rsidR="001A4585" w:rsidRPr="00532E54" w:rsidRDefault="001A4585" w:rsidP="006A2450">
    <w:pPr>
      <w:pStyle w:val="Header"/>
      <w:rPr>
        <w:b/>
        <w:bCs/>
      </w:rPr>
    </w:pPr>
    <w:r w:rsidRPr="00EC3902">
      <w:rPr>
        <w:b/>
        <w:bCs/>
      </w:rPr>
      <w:t>Schedule 27</w:t>
    </w:r>
    <w:r>
      <w:rPr>
        <w:b/>
        <w:bCs/>
      </w:rPr>
      <w:t>: (</w:t>
    </w:r>
    <w:r w:rsidRPr="00EC3902">
      <w:rPr>
        <w:b/>
        <w:bCs/>
      </w:rPr>
      <w:t xml:space="preserve">Conduct </w:t>
    </w:r>
    <w:r>
      <w:rPr>
        <w:b/>
        <w:bCs/>
      </w:rPr>
      <w:t>o</w:t>
    </w:r>
    <w:r w:rsidRPr="00EC3902">
      <w:rPr>
        <w:b/>
        <w:bCs/>
      </w:rPr>
      <w:t>f Claims</w:t>
    </w:r>
    <w:r>
      <w:rPr>
        <w:b/>
        <w:bCs/>
      </w:rPr>
      <w:t>)</w:t>
    </w:r>
  </w:p>
  <w:p w14:paraId="078FFC12" w14:textId="77777777" w:rsidR="001A4585" w:rsidRPr="00534BE5" w:rsidRDefault="001A4585" w:rsidP="006A2450">
    <w:pPr>
      <w:pStyle w:val="Header"/>
    </w:pPr>
    <w:r w:rsidRPr="00534BE5">
      <w:t xml:space="preserve">Crown </w:t>
    </w:r>
    <w:r>
      <w:t>C</w:t>
    </w:r>
    <w:r w:rsidRPr="00534BE5">
      <w:t>opyright 202</w:t>
    </w:r>
    <w:r>
      <w:t>3</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6C8A" w14:textId="6F372685" w:rsidR="001A4585" w:rsidRPr="00532E54" w:rsidRDefault="001A4585" w:rsidP="006A2450">
    <w:pPr>
      <w:pStyle w:val="Header"/>
      <w:rPr>
        <w:b/>
        <w:bCs/>
      </w:rPr>
    </w:pPr>
    <w:r w:rsidRPr="00EC3902">
      <w:rPr>
        <w:b/>
        <w:bCs/>
      </w:rPr>
      <w:t>Schedule 28</w:t>
    </w:r>
    <w:r>
      <w:rPr>
        <w:b/>
        <w:bCs/>
      </w:rPr>
      <w:t>: (</w:t>
    </w:r>
    <w:r w:rsidRPr="00EC3902">
      <w:rPr>
        <w:b/>
        <w:bCs/>
      </w:rPr>
      <w:t>Staff Transfer</w:t>
    </w:r>
    <w:r>
      <w:rPr>
        <w:b/>
        <w:bCs/>
      </w:rPr>
      <w:t>)</w:t>
    </w:r>
  </w:p>
  <w:p w14:paraId="7D10DC3F" w14:textId="77777777" w:rsidR="001A4585" w:rsidRPr="00534BE5" w:rsidRDefault="001A4585" w:rsidP="006A2450">
    <w:pPr>
      <w:pStyle w:val="Header"/>
    </w:pPr>
    <w:r w:rsidRPr="00534BE5">
      <w:t xml:space="preserve">Crown </w:t>
    </w:r>
    <w:r>
      <w:t>C</w:t>
    </w:r>
    <w:r w:rsidRPr="00534BE5">
      <w:t>opyright 202</w:t>
    </w:r>
    <w:r>
      <w:t>3</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F5FA" w14:textId="09D6A1D9" w:rsidR="001A4585" w:rsidRPr="00532E54" w:rsidRDefault="001A4585" w:rsidP="006A2450">
    <w:pPr>
      <w:pStyle w:val="Header"/>
      <w:rPr>
        <w:b/>
        <w:bCs/>
      </w:rPr>
    </w:pPr>
    <w:r w:rsidRPr="00EC3902">
      <w:rPr>
        <w:b/>
        <w:bCs/>
      </w:rPr>
      <w:t>Schedule 29</w:t>
    </w:r>
    <w:r>
      <w:rPr>
        <w:b/>
        <w:bCs/>
      </w:rPr>
      <w:t xml:space="preserve"> (</w:t>
    </w:r>
    <w:r w:rsidRPr="00EC3902">
      <w:rPr>
        <w:b/>
        <w:bCs/>
      </w:rPr>
      <w:t>Key Personnel</w:t>
    </w:r>
    <w:r>
      <w:rPr>
        <w:b/>
        <w:bCs/>
      </w:rPr>
      <w:t>)</w:t>
    </w:r>
  </w:p>
  <w:p w14:paraId="1F385F99" w14:textId="77777777" w:rsidR="001A4585" w:rsidRPr="00534BE5" w:rsidRDefault="001A4585" w:rsidP="006A2450">
    <w:pPr>
      <w:pStyle w:val="Header"/>
    </w:pPr>
    <w:r w:rsidRPr="00534BE5">
      <w:t xml:space="preserve">Crown </w:t>
    </w:r>
    <w:r>
      <w:t>C</w:t>
    </w:r>
    <w:r w:rsidRPr="00534BE5">
      <w:t>opyright 202</w:t>
    </w:r>
    <w:r>
      <w:t>3</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5AAF8" w14:textId="05EAAA62" w:rsidR="001A4585" w:rsidRPr="00532E54" w:rsidRDefault="001A4585" w:rsidP="006A2450">
    <w:pPr>
      <w:pStyle w:val="Header"/>
      <w:rPr>
        <w:b/>
        <w:bCs/>
      </w:rPr>
    </w:pPr>
    <w:r w:rsidRPr="00EC3902">
      <w:rPr>
        <w:b/>
        <w:bCs/>
      </w:rPr>
      <w:t>Schedule 30</w:t>
    </w:r>
    <w:r>
      <w:rPr>
        <w:b/>
        <w:bCs/>
      </w:rPr>
      <w:t xml:space="preserve"> (</w:t>
    </w:r>
    <w:r w:rsidRPr="00EC3902">
      <w:rPr>
        <w:b/>
        <w:bCs/>
      </w:rPr>
      <w:t xml:space="preserve">Deed </w:t>
    </w:r>
    <w:r>
      <w:rPr>
        <w:b/>
        <w:bCs/>
      </w:rPr>
      <w:t>o</w:t>
    </w:r>
    <w:r w:rsidRPr="00EC3902">
      <w:rPr>
        <w:b/>
        <w:bCs/>
      </w:rPr>
      <w:t>f Guarantee</w:t>
    </w:r>
    <w:r>
      <w:rPr>
        <w:b/>
        <w:bCs/>
      </w:rPr>
      <w:t>)</w:t>
    </w:r>
  </w:p>
  <w:p w14:paraId="239CAE1C" w14:textId="77777777" w:rsidR="001A4585" w:rsidRPr="00534BE5" w:rsidRDefault="001A4585" w:rsidP="006A2450">
    <w:pPr>
      <w:pStyle w:val="Header"/>
    </w:pPr>
    <w:r w:rsidRPr="00534BE5">
      <w:t xml:space="preserve">Crown </w:t>
    </w:r>
    <w:r>
      <w:t>C</w:t>
    </w:r>
    <w:r w:rsidRPr="00534BE5">
      <w:t>opyright 202</w:t>
    </w:r>
    <w:r>
      <w:t>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9AFB" w14:textId="77777777" w:rsidR="001A4585" w:rsidRDefault="001A4585">
    <w:pPr>
      <w:pBdr>
        <w:top w:val="nil"/>
        <w:left w:val="nil"/>
        <w:bottom w:val="nil"/>
        <w:right w:val="nil"/>
        <w:between w:val="nil"/>
      </w:pBdr>
      <w:rPr>
        <w:color w:val="000000"/>
        <w:sz w:val="22"/>
        <w:szCs w:val="22"/>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6527A" w14:textId="66E991F3" w:rsidR="001A4585" w:rsidRPr="00532E54" w:rsidRDefault="001A4585" w:rsidP="006A2450">
    <w:pPr>
      <w:pStyle w:val="Header"/>
      <w:rPr>
        <w:b/>
        <w:bCs/>
      </w:rPr>
    </w:pPr>
    <w:r w:rsidRPr="00EC3902">
      <w:rPr>
        <w:b/>
        <w:bCs/>
      </w:rPr>
      <w:t>Schedule 3</w:t>
    </w:r>
    <w:r>
      <w:rPr>
        <w:b/>
        <w:bCs/>
      </w:rPr>
      <w:t>1 (Processing Personal Data)</w:t>
    </w:r>
  </w:p>
  <w:p w14:paraId="3176D828" w14:textId="77777777" w:rsidR="001A4585" w:rsidRPr="00534BE5" w:rsidRDefault="001A4585" w:rsidP="006A2450">
    <w:pPr>
      <w:pStyle w:val="Header"/>
    </w:pPr>
    <w:r w:rsidRPr="00534BE5">
      <w:t xml:space="preserve">Crown </w:t>
    </w:r>
    <w:r>
      <w:t>C</w:t>
    </w:r>
    <w:r w:rsidRPr="00534BE5">
      <w:t>opyright 202</w:t>
    </w:r>
    <w:r>
      <w:t>3</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D2D9A" w14:textId="77777777" w:rsidR="001A4585" w:rsidRDefault="001A4585">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6B68A" w14:textId="07C1B28B" w:rsidR="001A4585" w:rsidRPr="00532E54" w:rsidRDefault="001A4585" w:rsidP="006A2450">
    <w:pPr>
      <w:pStyle w:val="Header"/>
      <w:rPr>
        <w:b/>
        <w:bCs/>
      </w:rPr>
    </w:pPr>
    <w:r w:rsidRPr="00EC3902">
      <w:rPr>
        <w:b/>
        <w:bCs/>
      </w:rPr>
      <w:t>Schedule 32</w:t>
    </w:r>
    <w:r>
      <w:rPr>
        <w:b/>
        <w:bCs/>
      </w:rPr>
      <w:t xml:space="preserve"> (</w:t>
    </w:r>
    <w:r w:rsidRPr="00EC3902">
      <w:rPr>
        <w:b/>
        <w:bCs/>
      </w:rPr>
      <w:t>Intellectual Property Rights</w:t>
    </w:r>
    <w:r>
      <w:rPr>
        <w:b/>
        <w:bCs/>
      </w:rPr>
      <w:t>)</w:t>
    </w:r>
  </w:p>
  <w:p w14:paraId="7D259A34" w14:textId="77777777" w:rsidR="001A4585" w:rsidRPr="00534BE5" w:rsidRDefault="001A4585" w:rsidP="006A2450">
    <w:pPr>
      <w:pStyle w:val="Header"/>
    </w:pPr>
    <w:r w:rsidRPr="00534BE5">
      <w:t xml:space="preserve">Crown </w:t>
    </w:r>
    <w:r>
      <w:t>C</w:t>
    </w:r>
    <w:r w:rsidRPr="00534BE5">
      <w:t>opyright 202</w:t>
    </w:r>
    <w:r>
      <w:t>3</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E8CAF" w14:textId="77777777" w:rsidR="001A4585" w:rsidRDefault="001A4585">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4162" w14:textId="7D3D1362" w:rsidR="001A4585" w:rsidRPr="00534BE5" w:rsidRDefault="001A4585" w:rsidP="006A24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AEB39" w14:textId="77777777" w:rsidR="001A4585" w:rsidRDefault="001A4585">
    <w:pPr>
      <w:pBdr>
        <w:top w:val="nil"/>
        <w:left w:val="nil"/>
        <w:bottom w:val="nil"/>
        <w:right w:val="nil"/>
        <w:between w:val="nil"/>
      </w:pBdr>
      <w:rPr>
        <w:b/>
        <w:color w:val="000000"/>
        <w:sz w:val="22"/>
        <w:szCs w:val="22"/>
      </w:rPr>
    </w:pPr>
    <w:r>
      <w:rPr>
        <w:b/>
        <w:color w:val="000000"/>
        <w:sz w:val="22"/>
        <w:szCs w:val="22"/>
      </w:rPr>
      <w:t>Schedule 3 (Performance Levels)</w:t>
    </w:r>
  </w:p>
  <w:p w14:paraId="2E1F1DD8" w14:textId="77777777" w:rsidR="001A4585" w:rsidRDefault="001A4585">
    <w:pPr>
      <w:pBdr>
        <w:top w:val="nil"/>
        <w:left w:val="nil"/>
        <w:bottom w:val="nil"/>
        <w:right w:val="nil"/>
        <w:between w:val="nil"/>
      </w:pBdr>
      <w:rPr>
        <w:color w:val="000000"/>
        <w:sz w:val="22"/>
        <w:szCs w:val="22"/>
      </w:rPr>
    </w:pPr>
    <w:r>
      <w:rPr>
        <w:color w:val="000000"/>
        <w:sz w:val="22"/>
        <w:szCs w:val="22"/>
      </w:rPr>
      <w:t>Crown Copyright 2023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68E65" w14:textId="77777777" w:rsidR="001A4585" w:rsidRDefault="001A4585">
    <w:pPr>
      <w:pBdr>
        <w:top w:val="nil"/>
        <w:left w:val="nil"/>
        <w:bottom w:val="nil"/>
        <w:right w:val="nil"/>
        <w:between w:val="nil"/>
      </w:pBdr>
      <w:rPr>
        <w:color w:val="000000"/>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66664" w14:textId="2A5E3B10" w:rsidR="001A4585" w:rsidRPr="00534BE5" w:rsidRDefault="001A4585" w:rsidP="00534BE5">
    <w:pPr>
      <w:pStyle w:val="Header"/>
      <w:rPr>
        <w:b/>
        <w:bCs/>
      </w:rPr>
    </w:pPr>
    <w:r w:rsidRPr="00534BE5">
      <w:rPr>
        <w:b/>
        <w:bCs/>
      </w:rPr>
      <w:t>Schedule 4</w:t>
    </w:r>
    <w:r>
      <w:rPr>
        <w:b/>
        <w:bCs/>
      </w:rPr>
      <w:t xml:space="preserve"> (</w:t>
    </w:r>
    <w:r w:rsidRPr="00534BE5">
      <w:rPr>
        <w:b/>
        <w:bCs/>
      </w:rPr>
      <w:t>Standards</w:t>
    </w:r>
    <w:r>
      <w:rPr>
        <w:b/>
        <w:bCs/>
      </w:rPr>
      <w:t>)</w:t>
    </w:r>
  </w:p>
  <w:p w14:paraId="730EC123" w14:textId="77777777" w:rsidR="001A4585" w:rsidRPr="00534BE5" w:rsidRDefault="001A4585" w:rsidP="006A2450">
    <w:pPr>
      <w:pStyle w:val="Header"/>
    </w:pPr>
    <w:r w:rsidRPr="00534BE5">
      <w:t xml:space="preserve">Crown </w:t>
    </w:r>
    <w:r>
      <w:t>C</w:t>
    </w:r>
    <w:r w:rsidRPr="00534BE5">
      <w:t>opyright 202</w:t>
    </w:r>
    <w: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B54C10"/>
    <w:multiLevelType w:val="hybridMultilevel"/>
    <w:tmpl w:val="839B05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B7A3D9"/>
    <w:multiLevelType w:val="hybridMultilevel"/>
    <w:tmpl w:val="51FA6B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E6073D"/>
    <w:multiLevelType w:val="hybridMultilevel"/>
    <w:tmpl w:val="5FCE1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057389D"/>
    <w:multiLevelType w:val="multilevel"/>
    <w:tmpl w:val="A8D0AD70"/>
    <w:name w:val="Plato Schedule Number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7" w15:restartNumberingAfterBreak="0">
    <w:nsid w:val="01136EA3"/>
    <w:multiLevelType w:val="multilevel"/>
    <w:tmpl w:val="5AFE3D60"/>
    <w:lvl w:ilvl="0">
      <w:start w:val="1"/>
      <w:numFmt w:val="decimal"/>
      <w:pStyle w:val="Recitals"/>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8" w15:restartNumberingAfterBreak="0">
    <w:nsid w:val="02774E20"/>
    <w:multiLevelType w:val="multilevel"/>
    <w:tmpl w:val="FC5626AC"/>
    <w:styleLink w:val="CurrentList3"/>
    <w:lvl w:ilvl="0">
      <w:start w:val="1"/>
      <w:numFmt w:val="decimal"/>
      <w:lvlText w:val="%1."/>
      <w:lvlJc w:val="left"/>
      <w:pPr>
        <w:tabs>
          <w:tab w:val="num" w:pos="720"/>
        </w:tabs>
        <w:ind w:left="720" w:hanging="72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lowerLetter"/>
      <w:lvlText w:val="(%4)"/>
      <w:lvlJc w:val="left"/>
      <w:pPr>
        <w:tabs>
          <w:tab w:val="num" w:pos="2520"/>
        </w:tabs>
        <w:ind w:left="252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04502A12"/>
    <w:multiLevelType w:val="multilevel"/>
    <w:tmpl w:val="40A68C3E"/>
    <w:lvl w:ilvl="0">
      <w:start w:val="1"/>
      <w:numFmt w:val="decimal"/>
      <w:pStyle w:val="Level1"/>
      <w:lvlText w:val="%1."/>
      <w:lvlJc w:val="left"/>
      <w:pPr>
        <w:ind w:left="0" w:firstLine="720"/>
      </w:pPr>
      <w:rPr>
        <w:color w:val="000000"/>
      </w:rPr>
    </w:lvl>
    <w:lvl w:ilvl="1">
      <w:start w:val="1"/>
      <w:numFmt w:val="lowerLetter"/>
      <w:pStyle w:val="Level2"/>
      <w:lvlText w:val="(%2)"/>
      <w:lvlJc w:val="left"/>
      <w:pPr>
        <w:ind w:left="720" w:firstLine="720"/>
      </w:pPr>
      <w:rPr>
        <w:color w:val="000000"/>
      </w:rPr>
    </w:lvl>
    <w:lvl w:ilvl="2">
      <w:start w:val="1"/>
      <w:numFmt w:val="lowerRoman"/>
      <w:pStyle w:val="Level3"/>
      <w:lvlText w:val="(%3)"/>
      <w:lvlJc w:val="left"/>
      <w:pPr>
        <w:ind w:left="1440" w:firstLine="720"/>
      </w:pPr>
      <w:rPr>
        <w:color w:val="000000"/>
      </w:rPr>
    </w:lvl>
    <w:lvl w:ilvl="3">
      <w:start w:val="1"/>
      <w:numFmt w:val="upperLetter"/>
      <w:pStyle w:val="Level4"/>
      <w:lvlText w:val="(%4)"/>
      <w:lvlJc w:val="left"/>
      <w:pPr>
        <w:ind w:left="2160" w:firstLine="720"/>
      </w:pPr>
    </w:lvl>
    <w:lvl w:ilvl="4">
      <w:start w:val="1"/>
      <w:numFmt w:val="decimal"/>
      <w:pStyle w:val="Level5"/>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11" w15:restartNumberingAfterBreak="0">
    <w:nsid w:val="059C674D"/>
    <w:multiLevelType w:val="multilevel"/>
    <w:tmpl w:val="841A7E0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2" w15:restartNumberingAfterBreak="0">
    <w:nsid w:val="063F54A1"/>
    <w:multiLevelType w:val="multilevel"/>
    <w:tmpl w:val="DE7A839A"/>
    <w:lvl w:ilvl="0">
      <w:start w:val="1"/>
      <w:numFmt w:val="decimal"/>
      <w:pStyle w:val="GPSL1CLAUSEHEADING"/>
      <w:lvlText w:val="%1."/>
      <w:lvlJc w:val="left"/>
      <w:pPr>
        <w:ind w:left="0" w:firstLine="720"/>
      </w:pPr>
      <w:rPr>
        <w:color w:val="000000"/>
      </w:rPr>
    </w:lvl>
    <w:lvl w:ilvl="1">
      <w:start w:val="1"/>
      <w:numFmt w:val="lowerLetter"/>
      <w:pStyle w:val="GPSL2numberedclause"/>
      <w:lvlText w:val="(%2)"/>
      <w:lvlJc w:val="left"/>
      <w:pPr>
        <w:ind w:left="720" w:firstLine="720"/>
      </w:pPr>
      <w:rPr>
        <w:color w:val="000000"/>
      </w:rPr>
    </w:lvl>
    <w:lvl w:ilvl="2">
      <w:start w:val="1"/>
      <w:numFmt w:val="lowerRoman"/>
      <w:pStyle w:val="GPSL3numberedclause"/>
      <w:lvlText w:val="(%3)"/>
      <w:lvlJc w:val="left"/>
      <w:pPr>
        <w:ind w:left="1440" w:firstLine="720"/>
      </w:pPr>
      <w:rPr>
        <w:color w:val="000000"/>
      </w:rPr>
    </w:lvl>
    <w:lvl w:ilvl="3">
      <w:start w:val="1"/>
      <w:numFmt w:val="upperLetter"/>
      <w:pStyle w:val="GPSL4numberedclause"/>
      <w:lvlText w:val="(%4)"/>
      <w:lvlJc w:val="left"/>
      <w:pPr>
        <w:ind w:left="2160" w:firstLine="720"/>
      </w:pPr>
    </w:lvl>
    <w:lvl w:ilvl="4">
      <w:start w:val="1"/>
      <w:numFmt w:val="decimal"/>
      <w:pStyle w:val="GPSL5numberedclause"/>
      <w:lvlText w:val=""/>
      <w:lvlJc w:val="left"/>
      <w:pPr>
        <w:ind w:left="4320" w:hanging="720"/>
      </w:pPr>
      <w:rPr>
        <w:color w:val="000000"/>
      </w:rPr>
    </w:lvl>
    <w:lvl w:ilvl="5">
      <w:start w:val="1"/>
      <w:numFmt w:val="decimal"/>
      <w:pStyle w:val="GPSL6numbered"/>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13"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4" w15:restartNumberingAfterBreak="0">
    <w:nsid w:val="09F05CBD"/>
    <w:multiLevelType w:val="multilevel"/>
    <w:tmpl w:val="012677C2"/>
    <w:lvl w:ilvl="0">
      <w:start w:val="1"/>
      <w:numFmt w:val="decimal"/>
      <w:lvlText w:val="%1."/>
      <w:lvlJc w:val="left"/>
      <w:pPr>
        <w:ind w:left="720" w:hanging="720"/>
      </w:pPr>
      <w:rPr>
        <w:color w:val="000000"/>
      </w:rPr>
    </w:lvl>
    <w:lvl w:ilvl="1">
      <w:start w:val="1"/>
      <w:numFmt w:val="decimal"/>
      <w:lvlText w:val="%1.%2"/>
      <w:lvlJc w:val="left"/>
      <w:pPr>
        <w:ind w:left="720" w:hanging="720"/>
      </w:pPr>
      <w:rPr>
        <w:b w:val="0"/>
      </w:rPr>
    </w:lvl>
    <w:lvl w:ilvl="2">
      <w:start w:val="1"/>
      <w:numFmt w:val="decimal"/>
      <w:lvlText w:val="%1.%2.%3"/>
      <w:lvlJc w:val="left"/>
      <w:pPr>
        <w:ind w:left="1800" w:hanging="1080"/>
      </w:pPr>
    </w:lvl>
    <w:lvl w:ilvl="3">
      <w:start w:val="1"/>
      <w:numFmt w:val="lowerLetter"/>
      <w:lvlText w:val="(%4)"/>
      <w:lvlJc w:val="left"/>
      <w:pPr>
        <w:ind w:left="252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0D663901"/>
    <w:multiLevelType w:val="hybridMultilevel"/>
    <w:tmpl w:val="3098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AD1A0F"/>
    <w:multiLevelType w:val="multilevel"/>
    <w:tmpl w:val="F410A308"/>
    <w:lvl w:ilvl="0">
      <w:start w:val="1"/>
      <w:numFmt w:val="decimal"/>
      <w:lvlText w:val="Appendix %1"/>
      <w:lvlJc w:val="left"/>
      <w:pPr>
        <w:ind w:left="0" w:firstLine="0"/>
      </w:pPr>
      <w:rPr>
        <w:smallCaps w:val="0"/>
      </w:rPr>
    </w:lvl>
    <w:lvl w:ilvl="1">
      <w:start w:val="1"/>
      <w:numFmt w:val="decimal"/>
      <w:lvlText w:val="Part %2"/>
      <w:lvlJc w:val="left"/>
      <w:pPr>
        <w:ind w:left="0" w:firstLine="0"/>
      </w:pPr>
      <w:rPr>
        <w:smallCaps w:val="0"/>
      </w:rPr>
    </w:lvl>
    <w:lvl w:ilvl="2">
      <w:start w:val="1"/>
      <w:numFmt w:val="decimal"/>
      <w:lvlText w:val=""/>
      <w:lvlJc w:val="left"/>
      <w:pPr>
        <w:ind w:left="0" w:firstLine="0"/>
      </w:pPr>
      <w:rPr>
        <w:smallCaps w:val="0"/>
      </w:rPr>
    </w:lvl>
    <w:lvl w:ilvl="3">
      <w:start w:val="1"/>
      <w:numFmt w:val="decimal"/>
      <w:lvlText w:val=""/>
      <w:lvlJc w:val="left"/>
      <w:pPr>
        <w:ind w:left="0" w:firstLine="0"/>
      </w:pPr>
      <w:rPr>
        <w:smallCaps w:val="0"/>
      </w:rPr>
    </w:lvl>
    <w:lvl w:ilvl="4">
      <w:start w:val="1"/>
      <w:numFmt w:val="decimal"/>
      <w:lvlText w:val=""/>
      <w:lvlJc w:val="left"/>
      <w:pPr>
        <w:ind w:left="0" w:firstLine="0"/>
      </w:pPr>
      <w:rPr>
        <w:smallCaps w:val="0"/>
      </w:rPr>
    </w:lvl>
    <w:lvl w:ilvl="5">
      <w:start w:val="1"/>
      <w:numFmt w:val="decimal"/>
      <w:lvlText w:val=""/>
      <w:lvlJc w:val="left"/>
      <w:pPr>
        <w:ind w:left="0" w:firstLine="0"/>
      </w:pPr>
      <w:rPr>
        <w:smallCaps w:val="0"/>
      </w:rPr>
    </w:lvl>
    <w:lvl w:ilvl="6">
      <w:start w:val="1"/>
      <w:numFmt w:val="decimal"/>
      <w:lvlText w:val=""/>
      <w:lvlJc w:val="left"/>
      <w:pPr>
        <w:ind w:left="0" w:firstLine="0"/>
      </w:pPr>
      <w:rPr>
        <w:smallCaps w:val="0"/>
      </w:rPr>
    </w:lvl>
    <w:lvl w:ilvl="7">
      <w:start w:val="1"/>
      <w:numFmt w:val="decimal"/>
      <w:lvlText w:val=""/>
      <w:lvlJc w:val="left"/>
      <w:pPr>
        <w:ind w:left="0" w:firstLine="0"/>
      </w:pPr>
      <w:rPr>
        <w:smallCaps w:val="0"/>
      </w:rPr>
    </w:lvl>
    <w:lvl w:ilvl="8">
      <w:start w:val="1"/>
      <w:numFmt w:val="decimal"/>
      <w:lvlText w:val=""/>
      <w:lvlJc w:val="left"/>
      <w:pPr>
        <w:ind w:left="0" w:firstLine="0"/>
      </w:pPr>
      <w:rPr>
        <w:smallCaps w:val="0"/>
      </w:rPr>
    </w:lvl>
  </w:abstractNum>
  <w:abstractNum w:abstractNumId="17" w15:restartNumberingAfterBreak="0">
    <w:nsid w:val="1A851FA7"/>
    <w:multiLevelType w:val="multilevel"/>
    <w:tmpl w:val="C116F3AC"/>
    <w:lvl w:ilvl="0">
      <w:start w:val="1"/>
      <w:numFmt w:val="lowerLetter"/>
      <w:pStyle w:val="DefinitionLevel1"/>
      <w:lvlText w:val="(%1)"/>
      <w:lvlJc w:val="left"/>
      <w:pPr>
        <w:tabs>
          <w:tab w:val="num" w:pos="720"/>
        </w:tabs>
        <w:ind w:left="720" w:hanging="720"/>
      </w:pPr>
      <w:rPr>
        <w:rFonts w:hint="default"/>
      </w:rPr>
    </w:lvl>
    <w:lvl w:ilvl="1">
      <w:start w:val="1"/>
      <w:numFmt w:val="lowerRoman"/>
      <w:pStyle w:val="DefinitionLevel2"/>
      <w:lvlText w:val="(%2)"/>
      <w:lvlJc w:val="left"/>
      <w:pPr>
        <w:tabs>
          <w:tab w:val="num" w:pos="1440"/>
        </w:tabs>
        <w:ind w:left="1440" w:hanging="720"/>
      </w:pPr>
      <w:rPr>
        <w:rFonts w:hint="default"/>
      </w:rPr>
    </w:lvl>
    <w:lvl w:ilvl="2">
      <w:start w:val="1"/>
      <w:numFmt w:val="upperLetter"/>
      <w:pStyle w:val="DefinitionLevel3"/>
      <w:lvlText w:val="(%3)"/>
      <w:lvlJc w:val="left"/>
      <w:pPr>
        <w:tabs>
          <w:tab w:val="num" w:pos="2160"/>
        </w:tabs>
        <w:ind w:left="2160" w:hanging="720"/>
      </w:pPr>
      <w:rPr>
        <w:rFonts w:hint="default"/>
      </w:rPr>
    </w:lvl>
    <w:lvl w:ilvl="3">
      <w:start w:val="1"/>
      <w:numFmt w:val="decimal"/>
      <w:pStyle w:val="DefinitionLevel4"/>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9" w15:restartNumberingAfterBreak="0">
    <w:nsid w:val="1B1F24EF"/>
    <w:multiLevelType w:val="multilevel"/>
    <w:tmpl w:val="46F23F6C"/>
    <w:styleLink w:val="Heading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upperLetter"/>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decimal"/>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DC423B3"/>
    <w:multiLevelType w:val="multilevel"/>
    <w:tmpl w:val="9A983724"/>
    <w:lvl w:ilvl="0">
      <w:start w:val="1"/>
      <w:numFmt w:val="decimal"/>
      <w:pStyle w:val="SchHead"/>
      <w:lvlText w:val="%1."/>
      <w:lvlJc w:val="left"/>
      <w:pPr>
        <w:ind w:left="0" w:firstLine="720"/>
      </w:pPr>
      <w:rPr>
        <w:color w:val="000000"/>
      </w:rPr>
    </w:lvl>
    <w:lvl w:ilvl="1">
      <w:start w:val="1"/>
      <w:numFmt w:val="lowerLetter"/>
      <w:pStyle w:val="SchPart"/>
      <w:lvlText w:val="(%2)"/>
      <w:lvlJc w:val="left"/>
      <w:pPr>
        <w:ind w:left="720" w:firstLine="720"/>
      </w:pPr>
      <w:rPr>
        <w:color w:val="000000"/>
      </w:rPr>
    </w:lvl>
    <w:lvl w:ilvl="2">
      <w:start w:val="1"/>
      <w:numFmt w:val="lowerRoman"/>
      <w:pStyle w:val="SchSectio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21" w15:restartNumberingAfterBreak="0">
    <w:nsid w:val="1EDD355A"/>
    <w:multiLevelType w:val="multilevel"/>
    <w:tmpl w:val="82B018C8"/>
    <w:lvl w:ilvl="0">
      <w:start w:val="1"/>
      <w:numFmt w:val="none"/>
      <w:lvlText w:val=""/>
      <w:lvlJc w:val="left"/>
      <w:pPr>
        <w:ind w:left="72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1C2C35"/>
    <w:multiLevelType w:val="multilevel"/>
    <w:tmpl w:val="701C432A"/>
    <w:lvl w:ilvl="0">
      <w:start w:val="1"/>
      <w:numFmt w:val="lowerLetter"/>
      <w:lvlText w:val="(%1)"/>
      <w:lvlJc w:val="left"/>
      <w:pPr>
        <w:ind w:left="720" w:hanging="720"/>
      </w:pPr>
      <w:rPr>
        <w:b w:val="0"/>
        <w:i w:val="0"/>
        <w:color w:val="000000"/>
      </w:rPr>
    </w:lvl>
    <w:lvl w:ilvl="1">
      <w:start w:val="1"/>
      <w:numFmt w:val="lowerRoman"/>
      <w:lvlText w:val="(%2)"/>
      <w:lvlJc w:val="left"/>
      <w:pPr>
        <w:ind w:left="1440" w:hanging="720"/>
      </w:pPr>
      <w:rPr>
        <w:color w:val="000000"/>
      </w:rPr>
    </w:lvl>
    <w:lvl w:ilvl="2">
      <w:start w:val="1"/>
      <w:numFmt w:val="decimal"/>
      <w:lvlText w:val="(%3)"/>
      <w:lvlJc w:val="left"/>
      <w:pPr>
        <w:ind w:left="2880" w:hanging="720"/>
      </w:pPr>
      <w:rPr>
        <w:color w:val="000000"/>
      </w:rPr>
    </w:lvl>
    <w:lvl w:ilvl="3">
      <w:start w:val="1"/>
      <w:numFmt w:val="upperLetter"/>
      <w:lvlText w:val="(%4)"/>
      <w:lvlJc w:val="left"/>
      <w:pPr>
        <w:ind w:left="2880" w:firstLine="720"/>
      </w:pPr>
    </w:lvl>
    <w:lvl w:ilvl="4">
      <w:start w:val="1"/>
      <w:numFmt w:val="decimal"/>
      <w:lvlText w:val=""/>
      <w:lvlJc w:val="left"/>
      <w:pPr>
        <w:ind w:left="5040" w:hanging="720"/>
      </w:pPr>
      <w:rPr>
        <w:color w:val="000000"/>
      </w:rPr>
    </w:lvl>
    <w:lvl w:ilvl="5">
      <w:start w:val="1"/>
      <w:numFmt w:val="decimal"/>
      <w:lvlText w:val=""/>
      <w:lvlJc w:val="left"/>
      <w:pPr>
        <w:ind w:left="5760" w:hanging="720"/>
      </w:pPr>
    </w:lvl>
    <w:lvl w:ilvl="6">
      <w:start w:val="1"/>
      <w:numFmt w:val="decimal"/>
      <w:lvlText w:val=""/>
      <w:lvlJc w:val="left"/>
      <w:pPr>
        <w:ind w:left="6480" w:hanging="720"/>
      </w:pPr>
    </w:lvl>
    <w:lvl w:ilvl="7">
      <w:start w:val="1"/>
      <w:numFmt w:val="decimal"/>
      <w:lvlText w:val=""/>
      <w:lvlJc w:val="left"/>
      <w:pPr>
        <w:ind w:left="7200" w:hanging="720"/>
      </w:pPr>
    </w:lvl>
    <w:lvl w:ilvl="8">
      <w:start w:val="1"/>
      <w:numFmt w:val="decimal"/>
      <w:lvlText w:val=""/>
      <w:lvlJc w:val="left"/>
      <w:pPr>
        <w:ind w:left="7920" w:hanging="720"/>
      </w:pPr>
    </w:lvl>
  </w:abstractNum>
  <w:abstractNum w:abstractNumId="23" w15:restartNumberingAfterBreak="0">
    <w:nsid w:val="221702A1"/>
    <w:multiLevelType w:val="multilevel"/>
    <w:tmpl w:val="16A2CB3E"/>
    <w:lvl w:ilvl="0">
      <w:start w:val="1"/>
      <w:numFmt w:val="decimal"/>
      <w:lvlText w:val="%1."/>
      <w:lvlJc w:val="left"/>
      <w:pPr>
        <w:ind w:left="720" w:hanging="720"/>
      </w:pPr>
      <w:rPr>
        <w:color w:val="000000"/>
      </w:rPr>
    </w:lvl>
    <w:lvl w:ilvl="1">
      <w:start w:val="1"/>
      <w:numFmt w:val="decimal"/>
      <w:lvlText w:val="%1.%2"/>
      <w:lvlJc w:val="left"/>
      <w:pPr>
        <w:ind w:left="720" w:hanging="720"/>
      </w:pPr>
      <w:rPr>
        <w:b w:val="0"/>
      </w:rPr>
    </w:lvl>
    <w:lvl w:ilvl="2">
      <w:start w:val="1"/>
      <w:numFmt w:val="decimal"/>
      <w:lvlText w:val="%1.%2.%3"/>
      <w:lvlJc w:val="left"/>
      <w:pPr>
        <w:ind w:left="1800" w:hanging="1080"/>
      </w:pPr>
    </w:lvl>
    <w:lvl w:ilvl="3">
      <w:start w:val="1"/>
      <w:numFmt w:val="lowerLetter"/>
      <w:lvlText w:val="(%4)"/>
      <w:lvlJc w:val="left"/>
      <w:pPr>
        <w:ind w:left="2520" w:hanging="720"/>
      </w:pPr>
    </w:lvl>
    <w:lvl w:ilvl="4">
      <w:start w:val="1"/>
      <w:numFmt w:val="lowerRoman"/>
      <w:lvlText w:val="(%5)"/>
      <w:lvlJc w:val="left"/>
      <w:pPr>
        <w:ind w:left="3240" w:hanging="720"/>
      </w:pPr>
      <w:rPr>
        <w:b w:val="0"/>
        <w:i w:val="0"/>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24"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248A698E"/>
    <w:multiLevelType w:val="multilevel"/>
    <w:tmpl w:val="6A8AAFB0"/>
    <w:lvl w:ilvl="0">
      <w:start w:val="1"/>
      <w:numFmt w:val="lowerLetter"/>
      <w:lvlText w:val="(%1)"/>
      <w:lvlJc w:val="left"/>
      <w:pPr>
        <w:ind w:left="720" w:hanging="720"/>
      </w:pPr>
      <w:rPr>
        <w:b w:val="0"/>
        <w:i w:val="0"/>
        <w:color w:val="000000"/>
      </w:rPr>
    </w:lvl>
    <w:lvl w:ilvl="1">
      <w:start w:val="1"/>
      <w:numFmt w:val="lowerRoman"/>
      <w:lvlText w:val="(%2)"/>
      <w:lvlJc w:val="left"/>
      <w:pPr>
        <w:ind w:left="1440" w:hanging="720"/>
      </w:pPr>
      <w:rPr>
        <w:color w:val="000000"/>
      </w:rPr>
    </w:lvl>
    <w:lvl w:ilvl="2">
      <w:start w:val="1"/>
      <w:numFmt w:val="decimal"/>
      <w:lvlText w:val="(%3)"/>
      <w:lvlJc w:val="left"/>
      <w:pPr>
        <w:ind w:left="2880" w:hanging="720"/>
      </w:pPr>
      <w:rPr>
        <w:color w:val="000000"/>
      </w:rPr>
    </w:lvl>
    <w:lvl w:ilvl="3">
      <w:start w:val="1"/>
      <w:numFmt w:val="upperLetter"/>
      <w:lvlText w:val="(%4)"/>
      <w:lvlJc w:val="left"/>
      <w:pPr>
        <w:ind w:left="2880" w:firstLine="720"/>
      </w:pPr>
    </w:lvl>
    <w:lvl w:ilvl="4">
      <w:start w:val="1"/>
      <w:numFmt w:val="decimal"/>
      <w:lvlText w:val=""/>
      <w:lvlJc w:val="left"/>
      <w:pPr>
        <w:ind w:left="5040" w:hanging="720"/>
      </w:pPr>
      <w:rPr>
        <w:color w:val="000000"/>
      </w:rPr>
    </w:lvl>
    <w:lvl w:ilvl="5">
      <w:start w:val="1"/>
      <w:numFmt w:val="decimal"/>
      <w:lvlText w:val=""/>
      <w:lvlJc w:val="left"/>
      <w:pPr>
        <w:ind w:left="5760" w:hanging="720"/>
      </w:pPr>
    </w:lvl>
    <w:lvl w:ilvl="6">
      <w:start w:val="1"/>
      <w:numFmt w:val="decimal"/>
      <w:lvlText w:val=""/>
      <w:lvlJc w:val="left"/>
      <w:pPr>
        <w:ind w:left="6480" w:hanging="720"/>
      </w:pPr>
    </w:lvl>
    <w:lvl w:ilvl="7">
      <w:start w:val="1"/>
      <w:numFmt w:val="decimal"/>
      <w:lvlText w:val=""/>
      <w:lvlJc w:val="left"/>
      <w:pPr>
        <w:ind w:left="7200" w:hanging="720"/>
      </w:pPr>
    </w:lvl>
    <w:lvl w:ilvl="8">
      <w:start w:val="1"/>
      <w:numFmt w:val="decimal"/>
      <w:lvlText w:val=""/>
      <w:lvlJc w:val="left"/>
      <w:pPr>
        <w:ind w:left="7920" w:hanging="720"/>
      </w:pPr>
    </w:lvl>
  </w:abstractNum>
  <w:abstractNum w:abstractNumId="26" w15:restartNumberingAfterBreak="0">
    <w:nsid w:val="27063A99"/>
    <w:multiLevelType w:val="multilevel"/>
    <w:tmpl w:val="78CCC0B4"/>
    <w:lvl w:ilvl="0">
      <w:start w:val="1"/>
      <w:numFmt w:val="decimal"/>
      <w:pStyle w:val="ListNumber2"/>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27" w15:restartNumberingAfterBreak="0">
    <w:nsid w:val="27EC3EE6"/>
    <w:multiLevelType w:val="hybridMultilevel"/>
    <w:tmpl w:val="920E8D06"/>
    <w:lvl w:ilvl="0" w:tplc="944CC9A4">
      <w:start w:val="1"/>
      <w:numFmt w:val="upperLetter"/>
      <w:pStyle w:val="HeadingCH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254634"/>
    <w:multiLevelType w:val="hybridMultilevel"/>
    <w:tmpl w:val="B0CE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6147E2"/>
    <w:multiLevelType w:val="multilevel"/>
    <w:tmpl w:val="C818B9B4"/>
    <w:lvl w:ilvl="0">
      <w:start w:val="1"/>
      <w:numFmt w:val="decimal"/>
      <w:pStyle w:val="RecitalNumbering"/>
      <w:lvlText w:val="%1."/>
      <w:lvlJc w:val="left"/>
      <w:pPr>
        <w:ind w:left="0" w:firstLine="720"/>
      </w:pPr>
      <w:rPr>
        <w:color w:val="000000"/>
      </w:rPr>
    </w:lvl>
    <w:lvl w:ilvl="1">
      <w:start w:val="1"/>
      <w:numFmt w:val="lowerLetter"/>
      <w:pStyle w:val="RecitalNumbering2"/>
      <w:lvlText w:val="(%2)"/>
      <w:lvlJc w:val="left"/>
      <w:pPr>
        <w:ind w:left="720" w:firstLine="720"/>
      </w:pPr>
      <w:rPr>
        <w:color w:val="000000"/>
      </w:rPr>
    </w:lvl>
    <w:lvl w:ilvl="2">
      <w:start w:val="1"/>
      <w:numFmt w:val="lowerRoman"/>
      <w:pStyle w:val="RecitalNumbering3"/>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30" w15:restartNumberingAfterBreak="0">
    <w:nsid w:val="2A664158"/>
    <w:multiLevelType w:val="multilevel"/>
    <w:tmpl w:val="81B0B126"/>
    <w:lvl w:ilvl="0">
      <w:start w:val="1"/>
      <w:numFmt w:val="lowerLetter"/>
      <w:pStyle w:val="DefinitionList"/>
      <w:lvlText w:val="(%1)"/>
      <w:lvlJc w:val="left"/>
      <w:pPr>
        <w:tabs>
          <w:tab w:val="num" w:pos="720"/>
        </w:tabs>
        <w:ind w:left="720" w:hanging="720"/>
      </w:pPr>
      <w:rPr>
        <w:rFonts w:hint="default"/>
        <w:b w:val="0"/>
        <w:bCs/>
        <w:i w:val="0"/>
        <w:iCs/>
        <w:color w:val="000000"/>
      </w:rPr>
    </w:lvl>
    <w:lvl w:ilvl="1">
      <w:start w:val="1"/>
      <w:numFmt w:val="lowerRoman"/>
      <w:pStyle w:val="DefinitionListLevel1"/>
      <w:lvlText w:val="(%2)"/>
      <w:lvlJc w:val="left"/>
      <w:pPr>
        <w:tabs>
          <w:tab w:val="num" w:pos="1440"/>
        </w:tabs>
        <w:ind w:left="1440" w:hanging="720"/>
      </w:pPr>
      <w:rPr>
        <w:rFonts w:hint="default"/>
        <w:b w:val="0"/>
        <w:color w:val="000000"/>
      </w:rPr>
    </w:lvl>
    <w:lvl w:ilvl="2">
      <w:start w:val="1"/>
      <w:numFmt w:val="decimal"/>
      <w:pStyle w:val="DefinitionListLevel2"/>
      <w:lvlText w:val="(%3)"/>
      <w:lvlJc w:val="left"/>
      <w:pPr>
        <w:tabs>
          <w:tab w:val="num" w:pos="2880"/>
        </w:tabs>
        <w:ind w:left="2880" w:hanging="720"/>
      </w:pPr>
      <w:rPr>
        <w:rFonts w:hint="default"/>
        <w:color w:val="000000"/>
      </w:rPr>
    </w:lvl>
    <w:lvl w:ilvl="3">
      <w:start w:val="1"/>
      <w:numFmt w:val="upperLetter"/>
      <w:lvlText w:val="(%4)"/>
      <w:lvlJc w:val="left"/>
      <w:pPr>
        <w:ind w:left="2880" w:firstLine="720"/>
      </w:pPr>
      <w:rPr>
        <w:rFonts w:hint="default"/>
      </w:rPr>
    </w:lvl>
    <w:lvl w:ilvl="4">
      <w:start w:val="1"/>
      <w:numFmt w:val="decimal"/>
      <w:lvlText w:val=""/>
      <w:lvlJc w:val="left"/>
      <w:pPr>
        <w:ind w:left="5040" w:hanging="720"/>
      </w:pPr>
      <w:rPr>
        <w:rFonts w:hint="default"/>
        <w:color w:val="000000"/>
      </w:rPr>
    </w:lvl>
    <w:lvl w:ilvl="5">
      <w:start w:val="1"/>
      <w:numFmt w:val="decimal"/>
      <w:lvlText w:val=""/>
      <w:lvlJc w:val="left"/>
      <w:pPr>
        <w:ind w:left="5760" w:hanging="720"/>
      </w:pPr>
      <w:rPr>
        <w:rFonts w:hint="default"/>
      </w:rPr>
    </w:lvl>
    <w:lvl w:ilvl="6">
      <w:start w:val="1"/>
      <w:numFmt w:val="decimal"/>
      <w:lvlText w:val=""/>
      <w:lvlJc w:val="left"/>
      <w:pPr>
        <w:ind w:left="6480" w:hanging="720"/>
      </w:pPr>
      <w:rPr>
        <w:rFonts w:hint="default"/>
      </w:rPr>
    </w:lvl>
    <w:lvl w:ilvl="7">
      <w:start w:val="1"/>
      <w:numFmt w:val="decimal"/>
      <w:lvlText w:val=""/>
      <w:lvlJc w:val="left"/>
      <w:pPr>
        <w:ind w:left="7200" w:hanging="720"/>
      </w:pPr>
      <w:rPr>
        <w:rFonts w:hint="default"/>
      </w:rPr>
    </w:lvl>
    <w:lvl w:ilvl="8">
      <w:start w:val="1"/>
      <w:numFmt w:val="decimal"/>
      <w:lvlText w:val=""/>
      <w:lvlJc w:val="left"/>
      <w:pPr>
        <w:ind w:left="7920" w:hanging="720"/>
      </w:pPr>
      <w:rPr>
        <w:rFonts w:hint="default"/>
      </w:rPr>
    </w:lvl>
  </w:abstractNum>
  <w:abstractNum w:abstractNumId="31" w15:restartNumberingAfterBreak="0">
    <w:nsid w:val="2EEE0E30"/>
    <w:multiLevelType w:val="multilevel"/>
    <w:tmpl w:val="0900C5D0"/>
    <w:lvl w:ilvl="0">
      <w:start w:val="1"/>
      <w:numFmt w:val="decimal"/>
      <w:pStyle w:val="ListNumber3"/>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32" w15:restartNumberingAfterBreak="0">
    <w:nsid w:val="2EEE1B11"/>
    <w:multiLevelType w:val="multilevel"/>
    <w:tmpl w:val="37181180"/>
    <w:lvl w:ilvl="0">
      <w:start w:val="1"/>
      <w:numFmt w:val="decimal"/>
      <w:lvlText w:val="%1."/>
      <w:lvlJc w:val="left"/>
      <w:pPr>
        <w:tabs>
          <w:tab w:val="num" w:pos="720"/>
        </w:tabs>
        <w:ind w:left="720" w:hanging="720"/>
      </w:pPr>
      <w:rPr>
        <w:rFonts w:ascii="Arial" w:hAnsi="Arial" w:hint="default"/>
        <w:b w:val="0"/>
        <w:i w:val="0"/>
        <w:caps/>
        <w:small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03051C3"/>
    <w:multiLevelType w:val="multilevel"/>
    <w:tmpl w:val="20C6AA4A"/>
    <w:name w:val="Appendicies Heading List"/>
    <w:lvl w:ilvl="0">
      <w:start w:val="1"/>
      <w:numFmt w:val="decimal"/>
      <w:suff w:val="space"/>
      <w:lvlText w:val="APPENDIX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4" w15:restartNumberingAfterBreak="0">
    <w:nsid w:val="313D3E93"/>
    <w:multiLevelType w:val="hybridMultilevel"/>
    <w:tmpl w:val="9EB8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523195"/>
    <w:multiLevelType w:val="multilevel"/>
    <w:tmpl w:val="08A27616"/>
    <w:lvl w:ilvl="0">
      <w:start w:val="1"/>
      <w:numFmt w:val="decimal"/>
      <w:pStyle w:val="NumberingLevel1"/>
      <w:lvlText w:val="%1."/>
      <w:lvlJc w:val="left"/>
      <w:pPr>
        <w:ind w:left="720" w:hanging="720"/>
      </w:pPr>
      <w:rPr>
        <w:rFonts w:hint="default"/>
      </w:rPr>
    </w:lvl>
    <w:lvl w:ilvl="1">
      <w:start w:val="1"/>
      <w:numFmt w:val="decimal"/>
      <w:pStyle w:val="NumberingLevel2"/>
      <w:lvlText w:val="%1.%2"/>
      <w:lvlJc w:val="left"/>
      <w:pPr>
        <w:tabs>
          <w:tab w:val="num" w:pos="1440"/>
        </w:tabs>
        <w:ind w:left="1440" w:hanging="720"/>
      </w:pPr>
      <w:rPr>
        <w:rFonts w:hint="default"/>
      </w:rPr>
    </w:lvl>
    <w:lvl w:ilvl="2">
      <w:start w:val="1"/>
      <w:numFmt w:val="decimal"/>
      <w:pStyle w:val="NumberingLevel3"/>
      <w:lvlText w:val="%1.%2.%3"/>
      <w:lvlJc w:val="left"/>
      <w:pPr>
        <w:tabs>
          <w:tab w:val="num" w:pos="2160"/>
        </w:tabs>
        <w:ind w:left="2160" w:hanging="720"/>
      </w:pPr>
      <w:rPr>
        <w:rFonts w:hint="default"/>
      </w:rPr>
    </w:lvl>
    <w:lvl w:ilvl="3">
      <w:start w:val="1"/>
      <w:numFmt w:val="decimal"/>
      <w:pStyle w:val="NumberingLevel4"/>
      <w:lvlText w:val="%1.%2.%3.%4"/>
      <w:lvlJc w:val="left"/>
      <w:pPr>
        <w:tabs>
          <w:tab w:val="num" w:pos="3240"/>
        </w:tabs>
        <w:ind w:left="3240" w:hanging="1080"/>
      </w:pPr>
      <w:rPr>
        <w:rFonts w:hint="default"/>
      </w:rPr>
    </w:lvl>
    <w:lvl w:ilvl="4">
      <w:start w:val="1"/>
      <w:numFmt w:val="lowerLetter"/>
      <w:pStyle w:val="NumberingLevel5"/>
      <w:lvlText w:val="(%5)"/>
      <w:lvlJc w:val="left"/>
      <w:pPr>
        <w:tabs>
          <w:tab w:val="num" w:pos="3960"/>
        </w:tabs>
        <w:ind w:left="3960" w:hanging="720"/>
      </w:pPr>
      <w:rPr>
        <w:rFonts w:hint="default"/>
      </w:rPr>
    </w:lvl>
    <w:lvl w:ilvl="5">
      <w:start w:val="1"/>
      <w:numFmt w:val="lowerRoman"/>
      <w:pStyle w:val="NumberingLevel6"/>
      <w:lvlText w:val="(%6)"/>
      <w:lvlJc w:val="left"/>
      <w:pPr>
        <w:tabs>
          <w:tab w:val="num" w:pos="4680"/>
        </w:tabs>
        <w:ind w:left="4680" w:hanging="720"/>
      </w:pPr>
      <w:rPr>
        <w:rFonts w:hint="default"/>
      </w:rPr>
    </w:lvl>
    <w:lvl w:ilvl="6">
      <w:start w:val="1"/>
      <w:numFmt w:val="upperLetter"/>
      <w:pStyle w:val="NumberingLevel7"/>
      <w:lvlText w:val="(%7)"/>
      <w:lvlJc w:val="left"/>
      <w:pPr>
        <w:tabs>
          <w:tab w:val="num" w:pos="5400"/>
        </w:tabs>
        <w:ind w:left="5400" w:hanging="72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37" w15:restartNumberingAfterBreak="0">
    <w:nsid w:val="346A095F"/>
    <w:multiLevelType w:val="multilevel"/>
    <w:tmpl w:val="6E18FAAA"/>
    <w:lvl w:ilvl="0">
      <w:start w:val="1"/>
      <w:numFmt w:val="decimal"/>
      <w:lvlText w:val="%1."/>
      <w:lvlJc w:val="left"/>
      <w:pPr>
        <w:ind w:left="720" w:hanging="720"/>
      </w:pPr>
      <w:rPr>
        <w:color w:val="000000"/>
      </w:rPr>
    </w:lvl>
    <w:lvl w:ilvl="1">
      <w:start w:val="1"/>
      <w:numFmt w:val="decimal"/>
      <w:lvlText w:val="%1.%2"/>
      <w:lvlJc w:val="left"/>
      <w:pPr>
        <w:ind w:left="720" w:hanging="720"/>
      </w:pPr>
      <w:rPr>
        <w:b w:val="0"/>
      </w:rPr>
    </w:lvl>
    <w:lvl w:ilvl="2">
      <w:start w:val="1"/>
      <w:numFmt w:val="decimal"/>
      <w:lvlText w:val="%1.%2.%3"/>
      <w:lvlJc w:val="left"/>
      <w:pPr>
        <w:ind w:left="1800" w:hanging="1080"/>
      </w:pPr>
    </w:lvl>
    <w:lvl w:ilvl="3">
      <w:start w:val="1"/>
      <w:numFmt w:val="lowerLetter"/>
      <w:lvlText w:val="(%4)"/>
      <w:lvlJc w:val="left"/>
      <w:pPr>
        <w:ind w:left="2520" w:hanging="720"/>
      </w:pPr>
    </w:lvl>
    <w:lvl w:ilvl="4">
      <w:start w:val="1"/>
      <w:numFmt w:val="lowerRoman"/>
      <w:lvlText w:val="(%5)"/>
      <w:lvlJc w:val="left"/>
      <w:pPr>
        <w:ind w:left="3240" w:hanging="720"/>
      </w:pPr>
      <w:rPr>
        <w:b w:val="0"/>
        <w:i w:val="0"/>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38" w15:restartNumberingAfterBreak="0">
    <w:nsid w:val="34A43467"/>
    <w:multiLevelType w:val="multilevel"/>
    <w:tmpl w:val="3DDC7B9E"/>
    <w:lvl w:ilvl="0">
      <w:start w:val="1"/>
      <w:numFmt w:val="bullet"/>
      <w:lvlText w:val="●"/>
      <w:lvlJc w:val="left"/>
      <w:pPr>
        <w:ind w:left="720" w:hanging="720"/>
      </w:pPr>
      <w:rPr>
        <w:rFonts w:ascii="Noto Sans Symbols" w:eastAsia="Noto Sans Symbols" w:hAnsi="Noto Sans Symbols" w:cs="Noto Sans Symbols"/>
        <w:color w:val="000000"/>
      </w:rPr>
    </w:lvl>
    <w:lvl w:ilvl="1">
      <w:start w:val="1"/>
      <w:numFmt w:val="bullet"/>
      <w:lvlText w:val="●"/>
      <w:lvlJc w:val="left"/>
      <w:pPr>
        <w:ind w:left="1803" w:hanging="1083"/>
      </w:pPr>
      <w:rPr>
        <w:rFonts w:ascii="Noto Sans Symbols" w:eastAsia="Noto Sans Symbols" w:hAnsi="Noto Sans Symbols" w:cs="Noto Sans Symbols"/>
        <w:color w:val="000000"/>
      </w:rPr>
    </w:lvl>
    <w:lvl w:ilvl="2">
      <w:start w:val="1"/>
      <w:numFmt w:val="bullet"/>
      <w:lvlText w:val="o"/>
      <w:lvlJc w:val="left"/>
      <w:pPr>
        <w:ind w:left="2523" w:hanging="720"/>
      </w:pPr>
      <w:rPr>
        <w:rFonts w:ascii="Courier New" w:eastAsia="Courier New" w:hAnsi="Courier New" w:cs="Courier New"/>
      </w:rPr>
    </w:lvl>
    <w:lvl w:ilvl="3">
      <w:start w:val="1"/>
      <w:numFmt w:val="decimal"/>
      <w:lvlText w:val=""/>
      <w:lvlJc w:val="left"/>
      <w:pPr>
        <w:ind w:left="1803" w:hanging="1083"/>
      </w:pPr>
    </w:lvl>
    <w:lvl w:ilvl="4">
      <w:start w:val="1"/>
      <w:numFmt w:val="decimal"/>
      <w:lvlText w:val=""/>
      <w:lvlJc w:val="left"/>
      <w:pPr>
        <w:ind w:left="1803" w:hanging="1083"/>
      </w:pPr>
    </w:lvl>
    <w:lvl w:ilvl="5">
      <w:start w:val="1"/>
      <w:numFmt w:val="decimal"/>
      <w:lvlText w:val=""/>
      <w:lvlJc w:val="left"/>
      <w:pPr>
        <w:ind w:left="1803" w:hanging="1083"/>
      </w:pPr>
    </w:lvl>
    <w:lvl w:ilvl="6">
      <w:start w:val="1"/>
      <w:numFmt w:val="decimal"/>
      <w:lvlText w:val=""/>
      <w:lvlJc w:val="left"/>
      <w:pPr>
        <w:ind w:left="1803" w:hanging="1083"/>
      </w:pPr>
    </w:lvl>
    <w:lvl w:ilvl="7">
      <w:start w:val="1"/>
      <w:numFmt w:val="decimal"/>
      <w:lvlText w:val=""/>
      <w:lvlJc w:val="left"/>
      <w:pPr>
        <w:ind w:left="1803" w:hanging="1083"/>
      </w:pPr>
    </w:lvl>
    <w:lvl w:ilvl="8">
      <w:start w:val="1"/>
      <w:numFmt w:val="decimal"/>
      <w:lvlText w:val=""/>
      <w:lvlJc w:val="left"/>
      <w:pPr>
        <w:ind w:left="1803" w:hanging="1083"/>
      </w:pPr>
    </w:lvl>
  </w:abstractNum>
  <w:abstractNum w:abstractNumId="39" w15:restartNumberingAfterBreak="0">
    <w:nsid w:val="35635859"/>
    <w:multiLevelType w:val="multilevel"/>
    <w:tmpl w:val="0860B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AC4F56"/>
    <w:multiLevelType w:val="multilevel"/>
    <w:tmpl w:val="D546552C"/>
    <w:lvl w:ilvl="0">
      <w:start w:val="1"/>
      <w:numFmt w:val="bullet"/>
      <w:lvlText w:val="●"/>
      <w:lvlJc w:val="left"/>
      <w:pPr>
        <w:ind w:left="720" w:hanging="720"/>
      </w:pPr>
      <w:rPr>
        <w:rFonts w:ascii="Noto Sans Symbols" w:eastAsia="Noto Sans Symbols" w:hAnsi="Noto Sans Symbols" w:cs="Noto Sans Symbols"/>
        <w:smallCaps w:val="0"/>
      </w:rPr>
    </w:lvl>
    <w:lvl w:ilvl="1">
      <w:start w:val="1"/>
      <w:numFmt w:val="bullet"/>
      <w:lvlText w:val="●"/>
      <w:lvlJc w:val="left"/>
      <w:pPr>
        <w:ind w:left="1440" w:hanging="720"/>
      </w:pPr>
      <w:rPr>
        <w:rFonts w:ascii="Noto Sans Symbols" w:eastAsia="Noto Sans Symbols" w:hAnsi="Noto Sans Symbols" w:cs="Noto Sans Symbols"/>
        <w:smallCaps w:val="0"/>
      </w:rPr>
    </w:lvl>
    <w:lvl w:ilvl="2">
      <w:start w:val="1"/>
      <w:numFmt w:val="bullet"/>
      <w:lvlText w:val="●"/>
      <w:lvlJc w:val="left"/>
      <w:pPr>
        <w:ind w:left="2160" w:hanging="720"/>
      </w:pPr>
      <w:rPr>
        <w:rFonts w:ascii="Noto Sans Symbols" w:eastAsia="Noto Sans Symbols" w:hAnsi="Noto Sans Symbols" w:cs="Noto Sans Symbols"/>
        <w:smallCaps w:val="0"/>
      </w:rPr>
    </w:lvl>
    <w:lvl w:ilvl="3">
      <w:start w:val="1"/>
      <w:numFmt w:val="bullet"/>
      <w:lvlText w:val="●"/>
      <w:lvlJc w:val="left"/>
      <w:pPr>
        <w:ind w:left="2880" w:hanging="720"/>
      </w:pPr>
      <w:rPr>
        <w:rFonts w:ascii="Noto Sans Symbols" w:eastAsia="Noto Sans Symbols" w:hAnsi="Noto Sans Symbols" w:cs="Noto Sans Symbols"/>
        <w:smallCaps w:val="0"/>
      </w:rPr>
    </w:lvl>
    <w:lvl w:ilvl="4">
      <w:start w:val="1"/>
      <w:numFmt w:val="bullet"/>
      <w:lvlText w:val="●"/>
      <w:lvlJc w:val="left"/>
      <w:pPr>
        <w:ind w:left="3600" w:hanging="720"/>
      </w:pPr>
      <w:rPr>
        <w:rFonts w:ascii="Noto Sans Symbols" w:eastAsia="Noto Sans Symbols" w:hAnsi="Noto Sans Symbols" w:cs="Noto Sans Symbols"/>
        <w:smallCaps w:val="0"/>
      </w:rPr>
    </w:lvl>
    <w:lvl w:ilvl="5">
      <w:start w:val="1"/>
      <w:numFmt w:val="decimal"/>
      <w:lvlText w:val=""/>
      <w:lvlJc w:val="left"/>
      <w:pPr>
        <w:ind w:left="3600" w:hanging="720"/>
      </w:pPr>
      <w:rPr>
        <w:smallCaps w:val="0"/>
      </w:rPr>
    </w:lvl>
    <w:lvl w:ilvl="6">
      <w:start w:val="1"/>
      <w:numFmt w:val="decimal"/>
      <w:lvlText w:val=""/>
      <w:lvlJc w:val="left"/>
      <w:pPr>
        <w:ind w:left="4320" w:hanging="720"/>
      </w:pPr>
      <w:rPr>
        <w:smallCaps w:val="0"/>
      </w:rPr>
    </w:lvl>
    <w:lvl w:ilvl="7">
      <w:start w:val="1"/>
      <w:numFmt w:val="bullet"/>
      <w:lvlText w:val=""/>
      <w:lvlJc w:val="left"/>
      <w:pPr>
        <w:ind w:left="4320" w:hanging="720"/>
      </w:pPr>
      <w:rPr>
        <w:smallCaps w:val="0"/>
      </w:rPr>
    </w:lvl>
    <w:lvl w:ilvl="8">
      <w:start w:val="1"/>
      <w:numFmt w:val="bullet"/>
      <w:lvlText w:val=""/>
      <w:lvlJc w:val="left"/>
      <w:pPr>
        <w:ind w:left="4320" w:hanging="720"/>
      </w:pPr>
      <w:rPr>
        <w:smallCaps w:val="0"/>
      </w:rPr>
    </w:lvl>
  </w:abstractNum>
  <w:abstractNum w:abstractNumId="41" w15:restartNumberingAfterBreak="0">
    <w:nsid w:val="380421E4"/>
    <w:multiLevelType w:val="multilevel"/>
    <w:tmpl w:val="EEBC25EA"/>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tabs>
          <w:tab w:val="num" w:pos="2523"/>
        </w:tabs>
        <w:ind w:left="2523" w:hanging="720"/>
      </w:pPr>
      <w:rPr>
        <w:rFonts w:hint="default"/>
      </w:rPr>
    </w:lvl>
    <w:lvl w:ilvl="4">
      <w:start w:val="1"/>
      <w:numFmt w:val="lowerRoman"/>
      <w:lvlText w:val="(%5)"/>
      <w:lvlJc w:val="left"/>
      <w:pPr>
        <w:tabs>
          <w:tab w:val="num" w:pos="3243"/>
        </w:tabs>
        <w:ind w:left="3243" w:hanging="720"/>
      </w:pPr>
      <w:rPr>
        <w:rFonts w:hint="default"/>
      </w:rPr>
    </w:lvl>
    <w:lvl w:ilvl="5">
      <w:start w:val="1"/>
      <w:numFmt w:val="upperLetter"/>
      <w:lvlText w:val="(%6)"/>
      <w:lvlJc w:val="left"/>
      <w:pPr>
        <w:tabs>
          <w:tab w:val="num" w:pos="3963"/>
        </w:tabs>
        <w:ind w:left="3963" w:hanging="720"/>
      </w:pPr>
      <w:rPr>
        <w:rFonts w:hint="default"/>
      </w:rPr>
    </w:lvl>
    <w:lvl w:ilvl="6">
      <w:start w:val="1"/>
      <w:numFmt w:val="decimal"/>
      <w:lvlText w:val="(%7)"/>
      <w:lvlJc w:val="left"/>
      <w:pPr>
        <w:tabs>
          <w:tab w:val="num" w:pos="4683"/>
        </w:tabs>
        <w:ind w:left="468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2" w15:restartNumberingAfterBreak="0">
    <w:nsid w:val="3A311CE2"/>
    <w:multiLevelType w:val="multilevel"/>
    <w:tmpl w:val="8BEC6E02"/>
    <w:lvl w:ilvl="0">
      <w:start w:val="1"/>
      <w:numFmt w:val="decimal"/>
      <w:pStyle w:val="ListNumber4"/>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43" w15:restartNumberingAfterBreak="0">
    <w:nsid w:val="3B195AFC"/>
    <w:multiLevelType w:val="hybridMultilevel"/>
    <w:tmpl w:val="698EEA60"/>
    <w:lvl w:ilvl="0" w:tplc="C82A73BE">
      <w:start w:val="1"/>
      <w:numFmt w:val="lowerLetter"/>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3E226B8E"/>
    <w:multiLevelType w:val="multilevel"/>
    <w:tmpl w:val="98BCD534"/>
    <w:styleLink w:val="MainNumbering"/>
    <w:lvl w:ilvl="0">
      <w:start w:val="1"/>
      <w:numFmt w:val="none"/>
      <w:suff w:val="nothing"/>
      <w:lvlText w:val="%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720" w:hanging="720"/>
      </w:pPr>
      <w:rPr>
        <w:rFonts w:hint="default"/>
        <w:b w:val="0"/>
        <w:bCs w:val="0"/>
        <w:i w:val="0"/>
        <w:iCs w:val="0"/>
      </w:rPr>
    </w:lvl>
    <w:lvl w:ilvl="4">
      <w:start w:val="1"/>
      <w:numFmt w:val="lowerLetter"/>
      <w:lvlText w:val="(%5)"/>
      <w:lvlJc w:val="left"/>
      <w:pPr>
        <w:ind w:left="1440" w:hanging="720"/>
      </w:pPr>
      <w:rPr>
        <w:rFonts w:hint="default"/>
        <w:b w:val="0"/>
        <w:bCs w:val="0"/>
        <w:i w:val="0"/>
        <w:iCs w:val="0"/>
      </w:rPr>
    </w:lvl>
    <w:lvl w:ilvl="5">
      <w:start w:val="1"/>
      <w:numFmt w:val="lowerRoman"/>
      <w:lvlText w:val="(%6)"/>
      <w:lvlJc w:val="left"/>
      <w:pPr>
        <w:ind w:left="2160" w:hanging="720"/>
      </w:pPr>
      <w:rPr>
        <w:rFonts w:hint="default"/>
      </w:rPr>
    </w:lvl>
    <w:lvl w:ilvl="6">
      <w:start w:val="1"/>
      <w:numFmt w:val="upperLetter"/>
      <w:lvlText w:val="(%7)"/>
      <w:lvlJc w:val="left"/>
      <w:pPr>
        <w:ind w:left="288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45" w15:restartNumberingAfterBreak="0">
    <w:nsid w:val="3E4E09B1"/>
    <w:multiLevelType w:val="multilevel"/>
    <w:tmpl w:val="BB2E627A"/>
    <w:name w:val="Recital Numbering List"/>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46" w15:restartNumberingAfterBreak="0">
    <w:nsid w:val="3F60E3CC"/>
    <w:multiLevelType w:val="hybridMultilevel"/>
    <w:tmpl w:val="222EB8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40F40D0C"/>
    <w:multiLevelType w:val="multilevel"/>
    <w:tmpl w:val="6054E688"/>
    <w:lvl w:ilvl="0">
      <w:start w:val="1"/>
      <w:numFmt w:val="decimal"/>
      <w:pStyle w:val="PartHeading"/>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48" w15:restartNumberingAfterBreak="0">
    <w:nsid w:val="41D419C4"/>
    <w:multiLevelType w:val="multilevel"/>
    <w:tmpl w:val="4E7E95D4"/>
    <w:lvl w:ilvl="0">
      <w:start w:val="1"/>
      <w:numFmt w:val="decimal"/>
      <w:pStyle w:val="ListNumber"/>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49" w15:restartNumberingAfterBreak="0">
    <w:nsid w:val="426026F2"/>
    <w:multiLevelType w:val="multilevel"/>
    <w:tmpl w:val="B65C7BB8"/>
    <w:lvl w:ilvl="0">
      <w:start w:val="1"/>
      <w:numFmt w:val="decimal"/>
      <w:pStyle w:val="ScheduleHeading0"/>
      <w:lvlText w:val="%1."/>
      <w:lvlJc w:val="left"/>
      <w:pPr>
        <w:ind w:left="0" w:firstLine="720"/>
      </w:pPr>
      <w:rPr>
        <w:color w:val="000000"/>
      </w:rPr>
    </w:lvl>
    <w:lvl w:ilvl="1">
      <w:start w:val="1"/>
      <w:numFmt w:val="lowerLetter"/>
      <w:pStyle w:val="ScheduleHeading2"/>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50" w15:restartNumberingAfterBreak="0">
    <w:nsid w:val="442F7ACE"/>
    <w:multiLevelType w:val="hybridMultilevel"/>
    <w:tmpl w:val="E2CC3862"/>
    <w:lvl w:ilvl="0" w:tplc="1B224294">
      <w:start w:val="1"/>
      <w:numFmt w:val="decimal"/>
      <w:pStyle w:val="lnpartno"/>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51" w15:restartNumberingAfterBreak="0">
    <w:nsid w:val="444F4752"/>
    <w:multiLevelType w:val="multilevel"/>
    <w:tmpl w:val="C8F4CEBC"/>
    <w:lvl w:ilvl="0">
      <w:start w:val="1"/>
      <w:numFmt w:val="decimal"/>
      <w:lvlText w:val="%1."/>
      <w:lvlJc w:val="left"/>
      <w:pPr>
        <w:tabs>
          <w:tab w:val="num" w:pos="720"/>
        </w:tabs>
        <w:ind w:left="720" w:hanging="720"/>
      </w:pPr>
      <w:rPr>
        <w:rFonts w:ascii="Times New Roman" w:hAnsi="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yle2"/>
      <w:lvlText w:val="(%2)"/>
      <w:lvlJc w:val="left"/>
      <w:pPr>
        <w:tabs>
          <w:tab w:val="num" w:pos="1440"/>
        </w:tabs>
        <w:ind w:left="0" w:firstLine="720"/>
      </w:pPr>
      <w:rPr>
        <w:rFonts w:ascii="Arial" w:hAnsi="Arial"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4C57C59"/>
    <w:multiLevelType w:val="multilevel"/>
    <w:tmpl w:val="9684B990"/>
    <w:styleLink w:val="CurrentList2"/>
    <w:lvl w:ilvl="0">
      <w:start w:val="1"/>
      <w:numFmt w:val="lowerLetter"/>
      <w:lvlText w:val="(%1)"/>
      <w:lvlJc w:val="left"/>
      <w:pPr>
        <w:tabs>
          <w:tab w:val="num" w:pos="720"/>
        </w:tabs>
        <w:ind w:left="720" w:hanging="720"/>
      </w:pPr>
      <w:rPr>
        <w:rFonts w:hint="default"/>
        <w:color w:val="000000"/>
      </w:rPr>
    </w:lvl>
    <w:lvl w:ilvl="1">
      <w:start w:val="1"/>
      <w:numFmt w:val="lowerRoman"/>
      <w:lvlText w:val="(%2)"/>
      <w:lvlJc w:val="left"/>
      <w:pPr>
        <w:tabs>
          <w:tab w:val="num" w:pos="1440"/>
        </w:tabs>
        <w:ind w:left="1440" w:hanging="720"/>
      </w:pPr>
      <w:rPr>
        <w:rFonts w:hint="default"/>
        <w:color w:val="000000"/>
      </w:rPr>
    </w:lvl>
    <w:lvl w:ilvl="2">
      <w:start w:val="1"/>
      <w:numFmt w:val="decimal"/>
      <w:lvlText w:val="(%3)"/>
      <w:lvlJc w:val="left"/>
      <w:pPr>
        <w:tabs>
          <w:tab w:val="num" w:pos="2160"/>
        </w:tabs>
        <w:ind w:left="2160" w:hanging="720"/>
      </w:pPr>
      <w:rPr>
        <w:rFonts w:hint="default"/>
        <w:color w:val="000000"/>
      </w:rPr>
    </w:lvl>
    <w:lvl w:ilvl="3">
      <w:start w:val="1"/>
      <w:numFmt w:val="upperLetter"/>
      <w:lvlText w:val="(%4)"/>
      <w:lvlJc w:val="left"/>
      <w:pPr>
        <w:ind w:left="2160" w:firstLine="720"/>
      </w:pPr>
      <w:rPr>
        <w:rFonts w:hint="default"/>
      </w:rPr>
    </w:lvl>
    <w:lvl w:ilvl="4">
      <w:start w:val="1"/>
      <w:numFmt w:val="decimal"/>
      <w:lvlText w:val=""/>
      <w:lvlJc w:val="left"/>
      <w:pPr>
        <w:ind w:left="4320" w:hanging="720"/>
      </w:pPr>
      <w:rPr>
        <w:rFonts w:hint="default"/>
        <w:color w:val="000000"/>
      </w:rPr>
    </w:lvl>
    <w:lvl w:ilvl="5">
      <w:start w:val="1"/>
      <w:numFmt w:val="decimal"/>
      <w:lvlText w:val=""/>
      <w:lvlJc w:val="left"/>
      <w:pPr>
        <w:ind w:left="5040" w:hanging="720"/>
      </w:pPr>
      <w:rPr>
        <w:rFonts w:hint="default"/>
      </w:rPr>
    </w:lvl>
    <w:lvl w:ilvl="6">
      <w:start w:val="1"/>
      <w:numFmt w:val="decimal"/>
      <w:lvlText w:val=""/>
      <w:lvlJc w:val="left"/>
      <w:pPr>
        <w:ind w:left="5760" w:hanging="720"/>
      </w:pPr>
      <w:rPr>
        <w:rFonts w:hint="default"/>
      </w:rPr>
    </w:lvl>
    <w:lvl w:ilvl="7">
      <w:start w:val="1"/>
      <w:numFmt w:val="decimal"/>
      <w:lvlText w:val=""/>
      <w:lvlJc w:val="left"/>
      <w:pPr>
        <w:ind w:left="6480" w:hanging="720"/>
      </w:pPr>
      <w:rPr>
        <w:rFonts w:hint="default"/>
      </w:rPr>
    </w:lvl>
    <w:lvl w:ilvl="8">
      <w:start w:val="1"/>
      <w:numFmt w:val="decimal"/>
      <w:lvlText w:val=""/>
      <w:lvlJc w:val="left"/>
      <w:pPr>
        <w:ind w:left="7200" w:hanging="720"/>
      </w:pPr>
      <w:rPr>
        <w:rFonts w:hint="default"/>
      </w:rPr>
    </w:lvl>
  </w:abstractNum>
  <w:abstractNum w:abstractNumId="53"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54" w15:restartNumberingAfterBreak="0">
    <w:nsid w:val="48325936"/>
    <w:multiLevelType w:val="multilevel"/>
    <w:tmpl w:val="C0E6C780"/>
    <w:styleLink w:val="ScheduleNumbering"/>
    <w:lvl w:ilvl="0">
      <w:start w:val="1"/>
      <w:numFmt w:val="decimal"/>
      <w:lvlRestart w:val="0"/>
      <w:pStyle w:val="ScheduleLevel1"/>
      <w:lvlText w:val="%1."/>
      <w:lvlJc w:val="left"/>
      <w:pPr>
        <w:ind w:left="720" w:hanging="720"/>
      </w:pPr>
      <w:rPr>
        <w:rFonts w:hint="default"/>
        <w:b w:val="0"/>
        <w:i w:val="0"/>
        <w:sz w:val="20"/>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5" w15:restartNumberingAfterBreak="0">
    <w:nsid w:val="49021F1E"/>
    <w:multiLevelType w:val="multilevel"/>
    <w:tmpl w:val="5602FC62"/>
    <w:name w:val="Plato Heading List"/>
    <w:lvl w:ilvl="0">
      <w:start w:val="1"/>
      <w:numFmt w:val="decimal"/>
      <w:lvlText w:val="%1."/>
      <w:lvlJc w:val="left"/>
      <w:pPr>
        <w:tabs>
          <w:tab w:val="num" w:pos="720"/>
        </w:tabs>
        <w:ind w:left="720" w:hanging="720"/>
      </w:pPr>
      <w:rPr>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56" w15:restartNumberingAfterBreak="0">
    <w:nsid w:val="4A5D1518"/>
    <w:multiLevelType w:val="multilevel"/>
    <w:tmpl w:val="C352BAA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57" w15:restartNumberingAfterBreak="0">
    <w:nsid w:val="4BA13652"/>
    <w:multiLevelType w:val="multilevel"/>
    <w:tmpl w:val="5F3017F4"/>
    <w:lvl w:ilvl="0">
      <w:start w:val="1"/>
      <w:numFmt w:val="decimal"/>
      <w:pStyle w:val="ListBullet1"/>
      <w:lvlText w:val="%1."/>
      <w:lvlJc w:val="left"/>
      <w:pPr>
        <w:ind w:left="0" w:firstLine="720"/>
      </w:pPr>
      <w:rPr>
        <w:color w:val="000000"/>
      </w:rPr>
    </w:lvl>
    <w:lvl w:ilvl="1">
      <w:start w:val="1"/>
      <w:numFmt w:val="lowerLetter"/>
      <w:pStyle w:val="ListBullet2"/>
      <w:lvlText w:val="(%2)"/>
      <w:lvlJc w:val="left"/>
      <w:pPr>
        <w:ind w:left="720" w:firstLine="720"/>
      </w:pPr>
      <w:rPr>
        <w:color w:val="000000"/>
      </w:rPr>
    </w:lvl>
    <w:lvl w:ilvl="2">
      <w:start w:val="1"/>
      <w:numFmt w:val="lowerRoman"/>
      <w:pStyle w:val="ListBullet3"/>
      <w:lvlText w:val="(%3)"/>
      <w:lvlJc w:val="left"/>
      <w:pPr>
        <w:ind w:left="1440" w:firstLine="720"/>
      </w:pPr>
      <w:rPr>
        <w:color w:val="000000"/>
      </w:rPr>
    </w:lvl>
    <w:lvl w:ilvl="3">
      <w:start w:val="1"/>
      <w:numFmt w:val="upperLetter"/>
      <w:pStyle w:val="ListBullet4"/>
      <w:lvlText w:val="(%4)"/>
      <w:lvlJc w:val="left"/>
      <w:pPr>
        <w:ind w:left="2160" w:firstLine="720"/>
      </w:pPr>
    </w:lvl>
    <w:lvl w:ilvl="4">
      <w:start w:val="1"/>
      <w:numFmt w:val="decimal"/>
      <w:pStyle w:val="ListBullet5"/>
      <w:lvlText w:val=""/>
      <w:lvlJc w:val="left"/>
      <w:pPr>
        <w:ind w:left="4320" w:hanging="720"/>
      </w:pPr>
      <w:rPr>
        <w:color w:val="000000"/>
      </w:rPr>
    </w:lvl>
    <w:lvl w:ilvl="5">
      <w:start w:val="1"/>
      <w:numFmt w:val="decimal"/>
      <w:pStyle w:val="ListBullet6"/>
      <w:lvlText w:val=""/>
      <w:lvlJc w:val="left"/>
      <w:pPr>
        <w:ind w:left="5040" w:hanging="720"/>
      </w:pPr>
    </w:lvl>
    <w:lvl w:ilvl="6">
      <w:start w:val="1"/>
      <w:numFmt w:val="decimal"/>
      <w:pStyle w:val="ListBullet7"/>
      <w:lvlText w:val=""/>
      <w:lvlJc w:val="left"/>
      <w:pPr>
        <w:ind w:left="5760" w:hanging="720"/>
      </w:pPr>
    </w:lvl>
    <w:lvl w:ilvl="7">
      <w:start w:val="1"/>
      <w:numFmt w:val="decimal"/>
      <w:pStyle w:val="ListBullet8"/>
      <w:lvlText w:val=""/>
      <w:lvlJc w:val="left"/>
      <w:pPr>
        <w:ind w:left="6480" w:hanging="720"/>
      </w:pPr>
    </w:lvl>
    <w:lvl w:ilvl="8">
      <w:start w:val="1"/>
      <w:numFmt w:val="decimal"/>
      <w:pStyle w:val="ListBullet9"/>
      <w:lvlText w:val=""/>
      <w:lvlJc w:val="left"/>
      <w:pPr>
        <w:ind w:left="7200" w:hanging="720"/>
      </w:pPr>
    </w:lvl>
  </w:abstractNum>
  <w:abstractNum w:abstractNumId="58" w15:restartNumberingAfterBreak="0">
    <w:nsid w:val="4BCA56B4"/>
    <w:multiLevelType w:val="multilevel"/>
    <w:tmpl w:val="F30EEC38"/>
    <w:lvl w:ilvl="0">
      <w:start w:val="1"/>
      <w:numFmt w:val="decimal"/>
      <w:pStyle w:val="bulletsrightcolumn"/>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15:restartNumberingAfterBreak="0">
    <w:nsid w:val="4F525086"/>
    <w:multiLevelType w:val="hybridMultilevel"/>
    <w:tmpl w:val="8D7FFE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50ED512F"/>
    <w:multiLevelType w:val="multilevel"/>
    <w:tmpl w:val="26980E22"/>
    <w:lvl w:ilvl="0">
      <w:start w:val="1"/>
      <w:numFmt w:val="decimal"/>
      <w:pStyle w:val="PartiesBodyText"/>
      <w:lvlText w:val="(%1)"/>
      <w:lvlJc w:val="left"/>
      <w:pPr>
        <w:tabs>
          <w:tab w:val="num" w:pos="720"/>
        </w:tabs>
        <w:ind w:left="720" w:hanging="720"/>
      </w:pPr>
      <w:rPr>
        <w:rFonts w:hint="default"/>
        <w:color w:val="000000"/>
      </w:rPr>
    </w:lvl>
    <w:lvl w:ilvl="1">
      <w:start w:val="1"/>
      <w:numFmt w:val="lowerLetter"/>
      <w:lvlText w:val="(%2)"/>
      <w:lvlJc w:val="left"/>
      <w:pPr>
        <w:ind w:left="720" w:firstLine="720"/>
      </w:pPr>
      <w:rPr>
        <w:rFonts w:hint="default"/>
        <w:color w:val="000000"/>
      </w:rPr>
    </w:lvl>
    <w:lvl w:ilvl="2">
      <w:start w:val="1"/>
      <w:numFmt w:val="lowerRoman"/>
      <w:lvlText w:val="(%3)"/>
      <w:lvlJc w:val="left"/>
      <w:pPr>
        <w:ind w:left="1440" w:firstLine="720"/>
      </w:pPr>
      <w:rPr>
        <w:rFonts w:hint="default"/>
        <w:color w:val="000000"/>
      </w:rPr>
    </w:lvl>
    <w:lvl w:ilvl="3">
      <w:start w:val="1"/>
      <w:numFmt w:val="upperLetter"/>
      <w:lvlText w:val="(%4)"/>
      <w:lvlJc w:val="left"/>
      <w:pPr>
        <w:ind w:left="2160" w:firstLine="720"/>
      </w:pPr>
      <w:rPr>
        <w:rFonts w:hint="default"/>
      </w:rPr>
    </w:lvl>
    <w:lvl w:ilvl="4">
      <w:start w:val="1"/>
      <w:numFmt w:val="decimal"/>
      <w:lvlText w:val=""/>
      <w:lvlJc w:val="left"/>
      <w:pPr>
        <w:ind w:left="4320" w:hanging="720"/>
      </w:pPr>
      <w:rPr>
        <w:rFonts w:hint="default"/>
        <w:color w:val="000000"/>
      </w:rPr>
    </w:lvl>
    <w:lvl w:ilvl="5">
      <w:start w:val="1"/>
      <w:numFmt w:val="decimal"/>
      <w:lvlText w:val=""/>
      <w:lvlJc w:val="left"/>
      <w:pPr>
        <w:ind w:left="5040" w:hanging="720"/>
      </w:pPr>
      <w:rPr>
        <w:rFonts w:hint="default"/>
      </w:rPr>
    </w:lvl>
    <w:lvl w:ilvl="6">
      <w:start w:val="1"/>
      <w:numFmt w:val="decimal"/>
      <w:lvlText w:val=""/>
      <w:lvlJc w:val="left"/>
      <w:pPr>
        <w:ind w:left="5760" w:hanging="720"/>
      </w:pPr>
      <w:rPr>
        <w:rFonts w:hint="default"/>
      </w:rPr>
    </w:lvl>
    <w:lvl w:ilvl="7">
      <w:start w:val="1"/>
      <w:numFmt w:val="decimal"/>
      <w:lvlText w:val=""/>
      <w:lvlJc w:val="left"/>
      <w:pPr>
        <w:ind w:left="6480" w:hanging="720"/>
      </w:pPr>
      <w:rPr>
        <w:rFonts w:hint="default"/>
      </w:rPr>
    </w:lvl>
    <w:lvl w:ilvl="8">
      <w:start w:val="1"/>
      <w:numFmt w:val="decimal"/>
      <w:lvlText w:val=""/>
      <w:lvlJc w:val="left"/>
      <w:pPr>
        <w:ind w:left="7200" w:hanging="720"/>
      </w:pPr>
      <w:rPr>
        <w:rFonts w:hint="default"/>
      </w:rPr>
    </w:lvl>
  </w:abstractNum>
  <w:abstractNum w:abstractNumId="61" w15:restartNumberingAfterBreak="0">
    <w:nsid w:val="52C10C6B"/>
    <w:multiLevelType w:val="hybridMultilevel"/>
    <w:tmpl w:val="4A703240"/>
    <w:lvl w:ilvl="0" w:tplc="BE94C776">
      <w:start w:val="1"/>
      <w:numFmt w:val="decimal"/>
      <w:pStyle w:val="lnschedn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3291B2C"/>
    <w:multiLevelType w:val="multilevel"/>
    <w:tmpl w:val="39F02C9A"/>
    <w:lvl w:ilvl="0">
      <w:start w:val="1"/>
      <w:numFmt w:val="lowerLetter"/>
      <w:lvlText w:val="(%1)"/>
      <w:lvlJc w:val="left"/>
      <w:pPr>
        <w:ind w:left="720" w:hanging="720"/>
      </w:pPr>
      <w:rPr>
        <w:b w:val="0"/>
        <w:i w:val="0"/>
        <w:color w:val="000000"/>
      </w:rPr>
    </w:lvl>
    <w:lvl w:ilvl="1">
      <w:start w:val="1"/>
      <w:numFmt w:val="lowerRoman"/>
      <w:lvlText w:val="(%2)"/>
      <w:lvlJc w:val="left"/>
      <w:pPr>
        <w:ind w:left="1440" w:hanging="720"/>
      </w:pPr>
      <w:rPr>
        <w:color w:val="000000"/>
      </w:rPr>
    </w:lvl>
    <w:lvl w:ilvl="2">
      <w:start w:val="1"/>
      <w:numFmt w:val="decimal"/>
      <w:lvlText w:val="(%3)"/>
      <w:lvlJc w:val="left"/>
      <w:pPr>
        <w:ind w:left="2880" w:hanging="720"/>
      </w:pPr>
      <w:rPr>
        <w:color w:val="000000"/>
      </w:rPr>
    </w:lvl>
    <w:lvl w:ilvl="3">
      <w:start w:val="1"/>
      <w:numFmt w:val="upperLetter"/>
      <w:lvlText w:val="(%4)"/>
      <w:lvlJc w:val="left"/>
      <w:pPr>
        <w:ind w:left="2880" w:firstLine="720"/>
      </w:pPr>
    </w:lvl>
    <w:lvl w:ilvl="4">
      <w:start w:val="1"/>
      <w:numFmt w:val="decimal"/>
      <w:lvlText w:val=""/>
      <w:lvlJc w:val="left"/>
      <w:pPr>
        <w:ind w:left="5040" w:hanging="720"/>
      </w:pPr>
      <w:rPr>
        <w:color w:val="000000"/>
      </w:rPr>
    </w:lvl>
    <w:lvl w:ilvl="5">
      <w:start w:val="1"/>
      <w:numFmt w:val="decimal"/>
      <w:lvlText w:val=""/>
      <w:lvlJc w:val="left"/>
      <w:pPr>
        <w:ind w:left="5760" w:hanging="720"/>
      </w:pPr>
    </w:lvl>
    <w:lvl w:ilvl="6">
      <w:start w:val="1"/>
      <w:numFmt w:val="decimal"/>
      <w:lvlText w:val=""/>
      <w:lvlJc w:val="left"/>
      <w:pPr>
        <w:ind w:left="6480" w:hanging="720"/>
      </w:pPr>
    </w:lvl>
    <w:lvl w:ilvl="7">
      <w:start w:val="1"/>
      <w:numFmt w:val="decimal"/>
      <w:lvlText w:val=""/>
      <w:lvlJc w:val="left"/>
      <w:pPr>
        <w:ind w:left="7200" w:hanging="720"/>
      </w:pPr>
    </w:lvl>
    <w:lvl w:ilvl="8">
      <w:start w:val="1"/>
      <w:numFmt w:val="decimal"/>
      <w:lvlText w:val=""/>
      <w:lvlJc w:val="left"/>
      <w:pPr>
        <w:ind w:left="7920" w:hanging="720"/>
      </w:pPr>
    </w:lvl>
  </w:abstractNum>
  <w:abstractNum w:abstractNumId="63" w15:restartNumberingAfterBreak="0">
    <w:nsid w:val="53E6591E"/>
    <w:multiLevelType w:val="multilevel"/>
    <w:tmpl w:val="4DD65CE2"/>
    <w:lvl w:ilvl="0">
      <w:start w:val="1"/>
      <w:numFmt w:val="decimal"/>
      <w:pStyle w:val="MFPara-Clause"/>
      <w:lvlText w:val="%1."/>
      <w:lvlJc w:val="left"/>
      <w:pPr>
        <w:ind w:left="851" w:hanging="851"/>
      </w:pPr>
      <w:rPr>
        <w:b/>
        <w:color w:val="54534A"/>
      </w:rPr>
    </w:lvl>
    <w:lvl w:ilvl="1">
      <w:start w:val="1"/>
      <w:numFmt w:val="decimal"/>
      <w:pStyle w:val="MFParasubclause1"/>
      <w:lvlText w:val="%1.%2"/>
      <w:lvlJc w:val="left"/>
      <w:pPr>
        <w:ind w:left="851" w:hanging="851"/>
      </w:pPr>
      <w:rPr>
        <w:b w:val="0"/>
        <w:i w:val="0"/>
        <w:u w:val="none"/>
      </w:rPr>
    </w:lvl>
    <w:lvl w:ilvl="2">
      <w:start w:val="1"/>
      <w:numFmt w:val="decimal"/>
      <w:pStyle w:val="MFParasubclause2"/>
      <w:lvlText w:val="%1.%2.%3"/>
      <w:lvlJc w:val="left"/>
      <w:pPr>
        <w:ind w:left="1843" w:hanging="991"/>
      </w:pPr>
      <w:rPr>
        <w:b w:val="0"/>
        <w:i w:val="0"/>
        <w:u w:val="none"/>
      </w:rPr>
    </w:lvl>
    <w:lvl w:ilvl="3">
      <w:start w:val="1"/>
      <w:numFmt w:val="decimal"/>
      <w:pStyle w:val="MFParasubclause3"/>
      <w:lvlText w:val="%1.%2.%3.%4"/>
      <w:lvlJc w:val="left"/>
      <w:pPr>
        <w:ind w:left="3119" w:hanging="1276"/>
      </w:pPr>
      <w:rPr>
        <w:b w:val="0"/>
        <w:i w:val="0"/>
        <w:u w:val="none"/>
      </w:rPr>
    </w:lvl>
    <w:lvl w:ilvl="4">
      <w:start w:val="1"/>
      <w:numFmt w:val="lowerLetter"/>
      <w:pStyle w:val="MFParasubclause4"/>
      <w:lvlText w:val="(%5)"/>
      <w:lvlJc w:val="left"/>
      <w:pPr>
        <w:ind w:left="3119" w:hanging="1276"/>
      </w:pPr>
      <w:rPr>
        <w:b w:val="0"/>
        <w:i w:val="0"/>
        <w:u w:val="none"/>
      </w:rPr>
    </w:lvl>
    <w:lvl w:ilvl="5">
      <w:start w:val="1"/>
      <w:numFmt w:val="decimal"/>
      <w:lvlText w:val="(%6)"/>
      <w:lvlJc w:val="left"/>
      <w:pPr>
        <w:ind w:left="3686" w:hanging="566"/>
      </w:pPr>
    </w:lvl>
    <w:lvl w:ilvl="6">
      <w:start w:val="1"/>
      <w:numFmt w:val="upperLetter"/>
      <w:lvlText w:val="(%7)"/>
      <w:lvlJc w:val="left"/>
      <w:pPr>
        <w:ind w:left="4253" w:hanging="567"/>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64" w15:restartNumberingAfterBreak="0">
    <w:nsid w:val="54533129"/>
    <w:multiLevelType w:val="multilevel"/>
    <w:tmpl w:val="0809001D"/>
    <w:styleLink w:val="lnpartnum"/>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4DA6C49"/>
    <w:multiLevelType w:val="multilevel"/>
    <w:tmpl w:val="04B4D4F8"/>
    <w:lvl w:ilvl="0">
      <w:start w:val="1"/>
      <w:numFmt w:val="lowerLetter"/>
      <w:lvlText w:val="(%1)"/>
      <w:lvlJc w:val="left"/>
      <w:pPr>
        <w:ind w:left="720" w:hanging="720"/>
      </w:pPr>
      <w:rPr>
        <w:b w:val="0"/>
        <w:i w:val="0"/>
        <w:color w:val="000000"/>
      </w:rPr>
    </w:lvl>
    <w:lvl w:ilvl="1">
      <w:start w:val="1"/>
      <w:numFmt w:val="lowerRoman"/>
      <w:lvlText w:val="(%2)"/>
      <w:lvlJc w:val="left"/>
      <w:pPr>
        <w:ind w:left="1440" w:hanging="720"/>
      </w:pPr>
      <w:rPr>
        <w:color w:val="000000"/>
      </w:rPr>
    </w:lvl>
    <w:lvl w:ilvl="2">
      <w:start w:val="1"/>
      <w:numFmt w:val="decimal"/>
      <w:lvlText w:val="(%3)"/>
      <w:lvlJc w:val="left"/>
      <w:pPr>
        <w:ind w:left="2880" w:hanging="720"/>
      </w:pPr>
      <w:rPr>
        <w:color w:val="000000"/>
      </w:rPr>
    </w:lvl>
    <w:lvl w:ilvl="3">
      <w:start w:val="1"/>
      <w:numFmt w:val="upperLetter"/>
      <w:lvlText w:val="(%4)"/>
      <w:lvlJc w:val="left"/>
      <w:pPr>
        <w:ind w:left="2880" w:firstLine="720"/>
      </w:pPr>
    </w:lvl>
    <w:lvl w:ilvl="4">
      <w:start w:val="1"/>
      <w:numFmt w:val="decimal"/>
      <w:lvlText w:val=""/>
      <w:lvlJc w:val="left"/>
      <w:pPr>
        <w:ind w:left="5040" w:hanging="720"/>
      </w:pPr>
      <w:rPr>
        <w:color w:val="000000"/>
      </w:rPr>
    </w:lvl>
    <w:lvl w:ilvl="5">
      <w:start w:val="1"/>
      <w:numFmt w:val="decimal"/>
      <w:lvlText w:val=""/>
      <w:lvlJc w:val="left"/>
      <w:pPr>
        <w:ind w:left="5760" w:hanging="720"/>
      </w:pPr>
    </w:lvl>
    <w:lvl w:ilvl="6">
      <w:start w:val="1"/>
      <w:numFmt w:val="decimal"/>
      <w:lvlText w:val=""/>
      <w:lvlJc w:val="left"/>
      <w:pPr>
        <w:ind w:left="6480" w:hanging="720"/>
      </w:pPr>
    </w:lvl>
    <w:lvl w:ilvl="7">
      <w:start w:val="1"/>
      <w:numFmt w:val="decimal"/>
      <w:lvlText w:val=""/>
      <w:lvlJc w:val="left"/>
      <w:pPr>
        <w:ind w:left="7200" w:hanging="720"/>
      </w:pPr>
    </w:lvl>
    <w:lvl w:ilvl="8">
      <w:start w:val="1"/>
      <w:numFmt w:val="decimal"/>
      <w:lvlText w:val=""/>
      <w:lvlJc w:val="left"/>
      <w:pPr>
        <w:ind w:left="7920" w:hanging="720"/>
      </w:pPr>
    </w:lvl>
  </w:abstractNum>
  <w:abstractNum w:abstractNumId="66" w15:restartNumberingAfterBreak="0">
    <w:nsid w:val="570F3306"/>
    <w:multiLevelType w:val="multilevel"/>
    <w:tmpl w:val="40EC0B2E"/>
    <w:lvl w:ilvl="0">
      <w:start w:val="1"/>
      <w:numFmt w:val="decimal"/>
      <w:pStyle w:val="BulletsBody"/>
      <w:lvlText w:val="%1."/>
      <w:lvlJc w:val="left"/>
      <w:pPr>
        <w:ind w:left="0" w:firstLine="720"/>
      </w:pPr>
      <w:rPr>
        <w:color w:val="000000"/>
      </w:rPr>
    </w:lvl>
    <w:lvl w:ilvl="1">
      <w:start w:val="1"/>
      <w:numFmt w:val="lowerLetter"/>
      <w:pStyle w:val="BulletsLevel1"/>
      <w:lvlText w:val="(%2)"/>
      <w:lvlJc w:val="left"/>
      <w:pPr>
        <w:ind w:left="720" w:firstLine="720"/>
      </w:pPr>
      <w:rPr>
        <w:color w:val="000000"/>
      </w:rPr>
    </w:lvl>
    <w:lvl w:ilvl="2">
      <w:start w:val="1"/>
      <w:numFmt w:val="lowerRoman"/>
      <w:pStyle w:val="BulletsLevel2"/>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67" w15:restartNumberingAfterBreak="0">
    <w:nsid w:val="5B7431F0"/>
    <w:multiLevelType w:val="multilevel"/>
    <w:tmpl w:val="8688B3EC"/>
    <w:name w:val="SchHead Numbering List"/>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5BB86668"/>
    <w:multiLevelType w:val="multilevel"/>
    <w:tmpl w:val="DCAA0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605C7446"/>
    <w:multiLevelType w:val="multilevel"/>
    <w:tmpl w:val="EAEE6AF4"/>
    <w:name w:val="List Bullet "/>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70" w15:restartNumberingAfterBreak="0">
    <w:nsid w:val="62355241"/>
    <w:multiLevelType w:val="multilevel"/>
    <w:tmpl w:val="BF04985C"/>
    <w:lvl w:ilvl="0">
      <w:start w:val="1"/>
      <w:numFmt w:val="decimal"/>
      <w:pStyle w:val="AnnexHeading"/>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71" w15:restartNumberingAfterBreak="0">
    <w:nsid w:val="62954985"/>
    <w:multiLevelType w:val="multilevel"/>
    <w:tmpl w:val="44C0CB28"/>
    <w:lvl w:ilvl="0">
      <w:start w:val="1"/>
      <w:numFmt w:val="decimal"/>
      <w:pStyle w:val="Numbered1"/>
      <w:lvlText w:val="%1."/>
      <w:lvlJc w:val="left"/>
      <w:pPr>
        <w:tabs>
          <w:tab w:val="num" w:pos="720"/>
        </w:tabs>
        <w:ind w:left="720" w:hanging="720"/>
      </w:pPr>
      <w:rPr>
        <w:rFonts w:hint="default"/>
        <w:color w:val="auto"/>
      </w:rPr>
    </w:lvl>
    <w:lvl w:ilvl="1">
      <w:start w:val="1"/>
      <w:numFmt w:val="decimal"/>
      <w:pStyle w:val="Numbered11"/>
      <w:lvlText w:val="%1.%2"/>
      <w:lvlJc w:val="left"/>
      <w:pPr>
        <w:tabs>
          <w:tab w:val="num" w:pos="720"/>
        </w:tabs>
        <w:ind w:left="720" w:hanging="720"/>
      </w:pPr>
      <w:rPr>
        <w:rFonts w:hint="default"/>
        <w:b w:val="0"/>
        <w:bCs w:val="0"/>
      </w:rPr>
    </w:lvl>
    <w:lvl w:ilvl="2">
      <w:start w:val="1"/>
      <w:numFmt w:val="decimal"/>
      <w:pStyle w:val="Numbered111"/>
      <w:lvlText w:val="%1.%2.%3"/>
      <w:lvlJc w:val="left"/>
      <w:pPr>
        <w:tabs>
          <w:tab w:val="num" w:pos="1800"/>
        </w:tabs>
        <w:ind w:left="1800" w:hanging="1080"/>
      </w:pPr>
      <w:rPr>
        <w:rFonts w:hint="default"/>
      </w:rPr>
    </w:lvl>
    <w:lvl w:ilvl="3">
      <w:start w:val="1"/>
      <w:numFmt w:val="lowerLetter"/>
      <w:pStyle w:val="Numbered111a"/>
      <w:lvlText w:val="(%4)"/>
      <w:lvlJc w:val="left"/>
      <w:pPr>
        <w:tabs>
          <w:tab w:val="num" w:pos="2520"/>
        </w:tabs>
        <w:ind w:left="2520" w:hanging="720"/>
      </w:pPr>
      <w:rPr>
        <w:rFonts w:hint="default"/>
        <w:b w:val="0"/>
      </w:rPr>
    </w:lvl>
    <w:lvl w:ilvl="4">
      <w:start w:val="1"/>
      <w:numFmt w:val="lowerRoman"/>
      <w:pStyle w:val="Numbered111ai"/>
      <w:lvlText w:val="(%5)"/>
      <w:lvlJc w:val="left"/>
      <w:pPr>
        <w:tabs>
          <w:tab w:val="num" w:pos="3240"/>
        </w:tabs>
        <w:ind w:left="3240" w:hanging="720"/>
      </w:pPr>
      <w:rPr>
        <w:rFonts w:hint="default"/>
        <w:b w:val="0"/>
        <w:bCs w:val="0"/>
        <w:i w:val="0"/>
        <w:iCs w:val="0"/>
        <w:color w:val="000000"/>
      </w:rPr>
    </w:lvl>
    <w:lvl w:ilvl="5">
      <w:start w:val="1"/>
      <w:numFmt w:val="decimal"/>
      <w:lvlText w:val=""/>
      <w:lvlJc w:val="left"/>
      <w:pPr>
        <w:ind w:left="5040" w:hanging="720"/>
      </w:pPr>
      <w:rPr>
        <w:rFonts w:hint="default"/>
      </w:rPr>
    </w:lvl>
    <w:lvl w:ilvl="6">
      <w:start w:val="1"/>
      <w:numFmt w:val="decimal"/>
      <w:lvlText w:val=""/>
      <w:lvlJc w:val="left"/>
      <w:pPr>
        <w:ind w:left="5760" w:hanging="720"/>
      </w:pPr>
      <w:rPr>
        <w:rFonts w:hint="default"/>
      </w:rPr>
    </w:lvl>
    <w:lvl w:ilvl="7">
      <w:start w:val="1"/>
      <w:numFmt w:val="decimal"/>
      <w:lvlText w:val=""/>
      <w:lvlJc w:val="left"/>
      <w:pPr>
        <w:ind w:left="6480" w:hanging="720"/>
      </w:pPr>
      <w:rPr>
        <w:rFonts w:hint="default"/>
      </w:rPr>
    </w:lvl>
    <w:lvl w:ilvl="8">
      <w:start w:val="1"/>
      <w:numFmt w:val="decimal"/>
      <w:lvlText w:val=""/>
      <w:lvlJc w:val="left"/>
      <w:pPr>
        <w:ind w:left="7200" w:hanging="720"/>
      </w:pPr>
      <w:rPr>
        <w:rFonts w:hint="default"/>
      </w:rPr>
    </w:lvl>
  </w:abstractNum>
  <w:abstractNum w:abstractNumId="72" w15:restartNumberingAfterBreak="0">
    <w:nsid w:val="638E08EF"/>
    <w:multiLevelType w:val="hybridMultilevel"/>
    <w:tmpl w:val="BC76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534504A"/>
    <w:multiLevelType w:val="hybridMultilevel"/>
    <w:tmpl w:val="FB42DCA0"/>
    <w:lvl w:ilvl="0" w:tplc="D8967230">
      <w:start w:val="1"/>
      <w:numFmt w:val="decimal"/>
      <w:pStyle w:val="HeadingNUM"/>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72B27F7"/>
    <w:multiLevelType w:val="multilevel"/>
    <w:tmpl w:val="ADC614A4"/>
    <w:lvl w:ilvl="0">
      <w:start w:val="1"/>
      <w:numFmt w:val="lowerLetter"/>
      <w:lvlText w:val="(%1)"/>
      <w:lvlJc w:val="left"/>
      <w:pPr>
        <w:ind w:left="720" w:hanging="720"/>
      </w:pPr>
      <w:rPr>
        <w:b w:val="0"/>
        <w:i w:val="0"/>
        <w:color w:val="000000"/>
      </w:rPr>
    </w:lvl>
    <w:lvl w:ilvl="1">
      <w:start w:val="1"/>
      <w:numFmt w:val="lowerRoman"/>
      <w:lvlText w:val="(%2)"/>
      <w:lvlJc w:val="left"/>
      <w:pPr>
        <w:ind w:left="1440" w:hanging="720"/>
      </w:pPr>
      <w:rPr>
        <w:color w:val="000000"/>
      </w:rPr>
    </w:lvl>
    <w:lvl w:ilvl="2">
      <w:start w:val="1"/>
      <w:numFmt w:val="decimal"/>
      <w:lvlText w:val="(%3)"/>
      <w:lvlJc w:val="left"/>
      <w:pPr>
        <w:ind w:left="2880" w:hanging="720"/>
      </w:pPr>
      <w:rPr>
        <w:color w:val="000000"/>
      </w:rPr>
    </w:lvl>
    <w:lvl w:ilvl="3">
      <w:start w:val="1"/>
      <w:numFmt w:val="upperLetter"/>
      <w:lvlText w:val="(%4)"/>
      <w:lvlJc w:val="left"/>
      <w:pPr>
        <w:ind w:left="2880" w:firstLine="720"/>
      </w:pPr>
    </w:lvl>
    <w:lvl w:ilvl="4">
      <w:start w:val="1"/>
      <w:numFmt w:val="decimal"/>
      <w:lvlText w:val=""/>
      <w:lvlJc w:val="left"/>
      <w:pPr>
        <w:ind w:left="5040" w:hanging="720"/>
      </w:pPr>
      <w:rPr>
        <w:color w:val="000000"/>
      </w:rPr>
    </w:lvl>
    <w:lvl w:ilvl="5">
      <w:start w:val="1"/>
      <w:numFmt w:val="decimal"/>
      <w:lvlText w:val=""/>
      <w:lvlJc w:val="left"/>
      <w:pPr>
        <w:ind w:left="5760" w:hanging="720"/>
      </w:pPr>
    </w:lvl>
    <w:lvl w:ilvl="6">
      <w:start w:val="1"/>
      <w:numFmt w:val="decimal"/>
      <w:lvlText w:val=""/>
      <w:lvlJc w:val="left"/>
      <w:pPr>
        <w:ind w:left="6480" w:hanging="720"/>
      </w:pPr>
    </w:lvl>
    <w:lvl w:ilvl="7">
      <w:start w:val="1"/>
      <w:numFmt w:val="decimal"/>
      <w:lvlText w:val=""/>
      <w:lvlJc w:val="left"/>
      <w:pPr>
        <w:ind w:left="7200" w:hanging="720"/>
      </w:pPr>
    </w:lvl>
    <w:lvl w:ilvl="8">
      <w:start w:val="1"/>
      <w:numFmt w:val="decimal"/>
      <w:lvlText w:val=""/>
      <w:lvlJc w:val="left"/>
      <w:pPr>
        <w:ind w:left="7920" w:hanging="720"/>
      </w:pPr>
    </w:lvl>
  </w:abstractNum>
  <w:abstractNum w:abstractNumId="75" w15:restartNumberingAfterBreak="0">
    <w:nsid w:val="679A589F"/>
    <w:multiLevelType w:val="multilevel"/>
    <w:tmpl w:val="3B80025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76" w15:restartNumberingAfterBreak="0">
    <w:nsid w:val="68375A55"/>
    <w:multiLevelType w:val="multilevel"/>
    <w:tmpl w:val="6E0EA924"/>
    <w:styleLink w:val="CurrentList1"/>
    <w:lvl w:ilvl="0">
      <w:start w:val="1"/>
      <w:numFmt w:val="decimal"/>
      <w:lvlText w:val="%1."/>
      <w:lvlJc w:val="left"/>
      <w:pPr>
        <w:tabs>
          <w:tab w:val="num" w:pos="720"/>
        </w:tabs>
        <w:ind w:left="720" w:hanging="720"/>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8595A5C"/>
    <w:multiLevelType w:val="multilevel"/>
    <w:tmpl w:val="9970F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A5C26DB"/>
    <w:multiLevelType w:val="multilevel"/>
    <w:tmpl w:val="B010F05A"/>
    <w:lvl w:ilvl="0">
      <w:start w:val="1"/>
      <w:numFmt w:val="decimal"/>
      <w:pStyle w:val="BodyTextIndent"/>
      <w:lvlText w:val="%1."/>
      <w:lvlJc w:val="left"/>
      <w:pPr>
        <w:ind w:left="0" w:firstLine="720"/>
      </w:pPr>
      <w:rPr>
        <w:color w:val="000000"/>
      </w:rPr>
    </w:lvl>
    <w:lvl w:ilvl="1">
      <w:start w:val="1"/>
      <w:numFmt w:val="lowerLetter"/>
      <w:pStyle w:val="BodyTextIndent2"/>
      <w:lvlText w:val="(%2)"/>
      <w:lvlJc w:val="left"/>
      <w:pPr>
        <w:ind w:left="720" w:firstLine="720"/>
      </w:pPr>
      <w:rPr>
        <w:color w:val="000000"/>
      </w:rPr>
    </w:lvl>
    <w:lvl w:ilvl="2">
      <w:start w:val="1"/>
      <w:numFmt w:val="lowerRoman"/>
      <w:pStyle w:val="DefinitionNumbering1"/>
      <w:lvlText w:val="(%3)"/>
      <w:lvlJc w:val="left"/>
      <w:pPr>
        <w:ind w:left="1440" w:firstLine="720"/>
      </w:pPr>
      <w:rPr>
        <w:color w:val="000000"/>
      </w:rPr>
    </w:lvl>
    <w:lvl w:ilvl="3">
      <w:start w:val="1"/>
      <w:numFmt w:val="upperLetter"/>
      <w:pStyle w:val="DefinitionNumbering2"/>
      <w:lvlText w:val="(%4)"/>
      <w:lvlJc w:val="left"/>
      <w:pPr>
        <w:ind w:left="2160" w:firstLine="720"/>
      </w:pPr>
    </w:lvl>
    <w:lvl w:ilvl="4">
      <w:start w:val="1"/>
      <w:numFmt w:val="decimal"/>
      <w:pStyle w:val="DefinitionNumbering3"/>
      <w:lvlText w:val=""/>
      <w:lvlJc w:val="left"/>
      <w:pPr>
        <w:ind w:left="4320" w:hanging="720"/>
      </w:pPr>
      <w:rPr>
        <w:color w:val="000000"/>
      </w:rPr>
    </w:lvl>
    <w:lvl w:ilvl="5">
      <w:start w:val="1"/>
      <w:numFmt w:val="decimal"/>
      <w:pStyle w:val="DefinitionNumbering4"/>
      <w:lvlText w:val=""/>
      <w:lvlJc w:val="left"/>
      <w:pPr>
        <w:ind w:left="5040" w:hanging="720"/>
      </w:pPr>
    </w:lvl>
    <w:lvl w:ilvl="6">
      <w:start w:val="1"/>
      <w:numFmt w:val="decimal"/>
      <w:pStyle w:val="DefinitionNumbering5"/>
      <w:lvlText w:val=""/>
      <w:lvlJc w:val="left"/>
      <w:pPr>
        <w:ind w:left="5760" w:hanging="720"/>
      </w:pPr>
    </w:lvl>
    <w:lvl w:ilvl="7">
      <w:start w:val="1"/>
      <w:numFmt w:val="decimal"/>
      <w:pStyle w:val="DefinitionNumbering6"/>
      <w:lvlText w:val=""/>
      <w:lvlJc w:val="left"/>
      <w:pPr>
        <w:ind w:left="6480" w:hanging="720"/>
      </w:pPr>
    </w:lvl>
    <w:lvl w:ilvl="8">
      <w:start w:val="1"/>
      <w:numFmt w:val="decimal"/>
      <w:pStyle w:val="DefinitionNumbering7"/>
      <w:lvlText w:val=""/>
      <w:lvlJc w:val="left"/>
      <w:pPr>
        <w:ind w:left="7200" w:hanging="720"/>
      </w:pPr>
    </w:lvl>
  </w:abstractNum>
  <w:abstractNum w:abstractNumId="79" w15:restartNumberingAfterBreak="0">
    <w:nsid w:val="6E2E322A"/>
    <w:multiLevelType w:val="multilevel"/>
    <w:tmpl w:val="71CE5942"/>
    <w:lvl w:ilvl="0">
      <w:start w:val="1"/>
      <w:numFmt w:val="decimal"/>
      <w:pStyle w:val="AppHead"/>
      <w:lvlText w:val="%1."/>
      <w:lvlJc w:val="left"/>
      <w:pPr>
        <w:ind w:left="0" w:firstLine="720"/>
      </w:pPr>
      <w:rPr>
        <w:color w:val="000000"/>
      </w:rPr>
    </w:lvl>
    <w:lvl w:ilvl="1">
      <w:start w:val="1"/>
      <w:numFmt w:val="lowerLetter"/>
      <w:pStyle w:val="AppPart"/>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80" w15:restartNumberingAfterBreak="0">
    <w:nsid w:val="6E8712EB"/>
    <w:multiLevelType w:val="multilevel"/>
    <w:tmpl w:val="073CCE7E"/>
    <w:lvl w:ilvl="0">
      <w:start w:val="1"/>
      <w:numFmt w:val="decimal"/>
      <w:lvlText w:val="%1."/>
      <w:lvlJc w:val="left"/>
      <w:pPr>
        <w:ind w:left="720" w:hanging="720"/>
      </w:pPr>
      <w:rPr>
        <w:color w:val="000000"/>
      </w:rPr>
    </w:lvl>
    <w:lvl w:ilvl="1">
      <w:start w:val="1"/>
      <w:numFmt w:val="decimal"/>
      <w:lvlText w:val="%1.%2"/>
      <w:lvlJc w:val="left"/>
      <w:pPr>
        <w:ind w:left="720" w:hanging="720"/>
      </w:pPr>
      <w:rPr>
        <w:b w:val="0"/>
      </w:rPr>
    </w:lvl>
    <w:lvl w:ilvl="2">
      <w:start w:val="1"/>
      <w:numFmt w:val="decimal"/>
      <w:lvlText w:val="%1.%2.%3"/>
      <w:lvlJc w:val="left"/>
      <w:pPr>
        <w:ind w:left="1800" w:hanging="1080"/>
      </w:pPr>
    </w:lvl>
    <w:lvl w:ilvl="3">
      <w:start w:val="1"/>
      <w:numFmt w:val="lowerLetter"/>
      <w:lvlText w:val="(%4)"/>
      <w:lvlJc w:val="left"/>
      <w:pPr>
        <w:ind w:left="2520" w:hanging="720"/>
      </w:pPr>
    </w:lvl>
    <w:lvl w:ilvl="4">
      <w:start w:val="1"/>
      <w:numFmt w:val="lowerRoman"/>
      <w:lvlText w:val="(%5)"/>
      <w:lvlJc w:val="left"/>
      <w:pPr>
        <w:ind w:left="3240" w:hanging="720"/>
      </w:pPr>
      <w:rPr>
        <w:b w:val="0"/>
        <w:i w:val="0"/>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81" w15:restartNumberingAfterBreak="0">
    <w:nsid w:val="6FDD44B5"/>
    <w:multiLevelType w:val="multilevel"/>
    <w:tmpl w:val="3BB4B43A"/>
    <w:lvl w:ilvl="0">
      <w:start w:val="1"/>
      <w:numFmt w:val="decimal"/>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pStyle w:val="DefinitionNumbering8"/>
      <w:lvlText w:val=""/>
      <w:lvlJc w:val="left"/>
      <w:pPr>
        <w:ind w:left="6480" w:hanging="720"/>
      </w:pPr>
    </w:lvl>
    <w:lvl w:ilvl="8">
      <w:start w:val="1"/>
      <w:numFmt w:val="decimal"/>
      <w:pStyle w:val="DefinitionNumbering9"/>
      <w:lvlText w:val=""/>
      <w:lvlJc w:val="left"/>
      <w:pPr>
        <w:ind w:left="7200" w:hanging="720"/>
      </w:pPr>
    </w:lvl>
  </w:abstractNum>
  <w:abstractNum w:abstractNumId="82" w15:restartNumberingAfterBreak="0">
    <w:nsid w:val="72615230"/>
    <w:multiLevelType w:val="multilevel"/>
    <w:tmpl w:val="830E406A"/>
    <w:lvl w:ilvl="0">
      <w:start w:val="1"/>
      <w:numFmt w:val="decimal"/>
      <w:pStyle w:val="ScheduleL1"/>
      <w:lvlText w:val="%1."/>
      <w:lvlJc w:val="left"/>
      <w:pPr>
        <w:ind w:left="0" w:firstLine="720"/>
      </w:pPr>
      <w:rPr>
        <w:color w:val="000000"/>
      </w:rPr>
    </w:lvl>
    <w:lvl w:ilvl="1">
      <w:start w:val="1"/>
      <w:numFmt w:val="lowerLetter"/>
      <w:pStyle w:val="ScheduleL2"/>
      <w:lvlText w:val="(%2)"/>
      <w:lvlJc w:val="left"/>
      <w:pPr>
        <w:ind w:left="720" w:firstLine="720"/>
      </w:pPr>
      <w:rPr>
        <w:color w:val="000000"/>
      </w:rPr>
    </w:lvl>
    <w:lvl w:ilvl="2">
      <w:start w:val="1"/>
      <w:numFmt w:val="lowerRoman"/>
      <w:pStyle w:val="ScheduleL3"/>
      <w:lvlText w:val="(%3)"/>
      <w:lvlJc w:val="left"/>
      <w:pPr>
        <w:ind w:left="1440" w:firstLine="720"/>
      </w:pPr>
      <w:rPr>
        <w:color w:val="000000"/>
      </w:rPr>
    </w:lvl>
    <w:lvl w:ilvl="3">
      <w:start w:val="1"/>
      <w:numFmt w:val="upperLetter"/>
      <w:pStyle w:val="ScheduleL4"/>
      <w:lvlText w:val="(%4)"/>
      <w:lvlJc w:val="left"/>
      <w:pPr>
        <w:ind w:left="2160" w:firstLine="720"/>
      </w:pPr>
    </w:lvl>
    <w:lvl w:ilvl="4">
      <w:start w:val="1"/>
      <w:numFmt w:val="decimal"/>
      <w:pStyle w:val="ScheduleL5"/>
      <w:lvlText w:val=""/>
      <w:lvlJc w:val="left"/>
      <w:pPr>
        <w:ind w:left="4320" w:hanging="720"/>
      </w:pPr>
      <w:rPr>
        <w:color w:val="000000"/>
      </w:rPr>
    </w:lvl>
    <w:lvl w:ilvl="5">
      <w:start w:val="1"/>
      <w:numFmt w:val="decimal"/>
      <w:pStyle w:val="ScheduleL6"/>
      <w:lvlText w:val=""/>
      <w:lvlJc w:val="left"/>
      <w:pPr>
        <w:ind w:left="5040" w:hanging="720"/>
      </w:pPr>
    </w:lvl>
    <w:lvl w:ilvl="6">
      <w:start w:val="1"/>
      <w:numFmt w:val="decimal"/>
      <w:pStyle w:val="ScheduleL7"/>
      <w:lvlText w:val=""/>
      <w:lvlJc w:val="left"/>
      <w:pPr>
        <w:ind w:left="5760" w:hanging="720"/>
      </w:pPr>
    </w:lvl>
    <w:lvl w:ilvl="7">
      <w:start w:val="1"/>
      <w:numFmt w:val="decimal"/>
      <w:pStyle w:val="ScheduleL8"/>
      <w:lvlText w:val=""/>
      <w:lvlJc w:val="left"/>
      <w:pPr>
        <w:ind w:left="6480" w:hanging="720"/>
      </w:pPr>
    </w:lvl>
    <w:lvl w:ilvl="8">
      <w:start w:val="1"/>
      <w:numFmt w:val="decimal"/>
      <w:pStyle w:val="ScheduleL9"/>
      <w:lvlText w:val=""/>
      <w:lvlJc w:val="left"/>
      <w:pPr>
        <w:ind w:left="7200" w:hanging="720"/>
      </w:pPr>
    </w:lvl>
  </w:abstractNum>
  <w:abstractNum w:abstractNumId="83" w15:restartNumberingAfterBreak="0">
    <w:nsid w:val="72E22A43"/>
    <w:multiLevelType w:val="multilevel"/>
    <w:tmpl w:val="1DC8D016"/>
    <w:lvl w:ilvl="0">
      <w:start w:val="1"/>
      <w:numFmt w:val="decimal"/>
      <w:pStyle w:val="tickbulletrightcolumn"/>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4" w15:restartNumberingAfterBreak="0">
    <w:nsid w:val="73280379"/>
    <w:multiLevelType w:val="multilevel"/>
    <w:tmpl w:val="B6F20FD4"/>
    <w:lvl w:ilvl="0">
      <w:start w:val="1"/>
      <w:numFmt w:val="decimal"/>
      <w:pStyle w:val="ListNumber5"/>
      <w:lvlText w:val="%1."/>
      <w:lvlJc w:val="left"/>
      <w:pPr>
        <w:ind w:left="360" w:hanging="360"/>
      </w:pPr>
      <w:rPr>
        <w:rFonts w:ascii="Verdana" w:eastAsia="Verdana" w:hAnsi="Verdana" w:cs="Verdan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Verdana" w:eastAsia="Verdana" w:hAnsi="Verdana" w:cs="Verdan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Verdana" w:eastAsia="Verdana" w:hAnsi="Verdana" w:cs="Verdan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Verdana" w:eastAsia="Verdana" w:hAnsi="Verdana" w:cs="Verdan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Verdana" w:eastAsia="Verdana" w:hAnsi="Verdana" w:cs="Verdan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Verdana" w:eastAsia="Verdana" w:hAnsi="Verdana" w:cs="Verdan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Verdana" w:eastAsia="Verdana" w:hAnsi="Verdana" w:cs="Verdan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Verdana" w:eastAsia="Verdana" w:hAnsi="Verdana" w:cs="Verdan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Verdana" w:eastAsia="Verdana" w:hAnsi="Verdana" w:cs="Verdana"/>
        <w:b w:val="0"/>
        <w:i w:val="0"/>
        <w:strike w:val="0"/>
        <w:color w:val="000000"/>
        <w:sz w:val="22"/>
        <w:szCs w:val="22"/>
        <w:u w:val="none"/>
        <w:shd w:val="clear" w:color="auto" w:fill="auto"/>
        <w:vertAlign w:val="baseline"/>
      </w:rPr>
    </w:lvl>
  </w:abstractNum>
  <w:abstractNum w:abstractNumId="85" w15:restartNumberingAfterBreak="0">
    <w:nsid w:val="78E23F42"/>
    <w:multiLevelType w:val="multilevel"/>
    <w:tmpl w:val="F23699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6" w15:restartNumberingAfterBreak="0">
    <w:nsid w:val="790B5C40"/>
    <w:multiLevelType w:val="multilevel"/>
    <w:tmpl w:val="177A270C"/>
    <w:lvl w:ilvl="0">
      <w:start w:val="1"/>
      <w:numFmt w:val="decimal"/>
      <w:pStyle w:val="AppendixText1"/>
      <w:lvlText w:val="%1."/>
      <w:lvlJc w:val="left"/>
      <w:pPr>
        <w:tabs>
          <w:tab w:val="num" w:pos="720"/>
        </w:tabs>
        <w:ind w:left="720" w:hanging="720"/>
      </w:pPr>
      <w:rPr>
        <w:rFonts w:hint="default"/>
        <w:color w:val="auto"/>
      </w:rPr>
    </w:lvl>
    <w:lvl w:ilvl="1">
      <w:start w:val="1"/>
      <w:numFmt w:val="decimal"/>
      <w:pStyle w:val="AppendixText2"/>
      <w:lvlText w:val="%1.%2"/>
      <w:lvlJc w:val="left"/>
      <w:pPr>
        <w:ind w:left="720" w:hanging="720"/>
      </w:pPr>
      <w:rPr>
        <w:rFonts w:hint="default"/>
        <w:b w:val="0"/>
        <w:bCs w:val="0"/>
      </w:rPr>
    </w:lvl>
    <w:lvl w:ilvl="2">
      <w:start w:val="1"/>
      <w:numFmt w:val="decimal"/>
      <w:pStyle w:val="AppendixText3"/>
      <w:lvlText w:val="%1.%2.%3"/>
      <w:lvlJc w:val="left"/>
      <w:pPr>
        <w:tabs>
          <w:tab w:val="num" w:pos="1800"/>
        </w:tabs>
        <w:ind w:left="1800" w:hanging="1080"/>
      </w:pPr>
      <w:rPr>
        <w:rFonts w:hint="default"/>
      </w:rPr>
    </w:lvl>
    <w:lvl w:ilvl="3">
      <w:start w:val="1"/>
      <w:numFmt w:val="lowerLetter"/>
      <w:pStyle w:val="AppendixText4"/>
      <w:lvlText w:val="(%4)"/>
      <w:lvlJc w:val="left"/>
      <w:pPr>
        <w:tabs>
          <w:tab w:val="num" w:pos="2520"/>
        </w:tabs>
        <w:ind w:left="2520" w:hanging="720"/>
      </w:pPr>
      <w:rPr>
        <w:rFonts w:hint="default"/>
      </w:rPr>
    </w:lvl>
    <w:lvl w:ilvl="4">
      <w:start w:val="1"/>
      <w:numFmt w:val="decimal"/>
      <w:pStyle w:val="AppendixText5"/>
      <w:lvlText w:val="%5."/>
      <w:lvlJc w:val="left"/>
      <w:pPr>
        <w:tabs>
          <w:tab w:val="num" w:pos="3600"/>
        </w:tabs>
        <w:ind w:left="3600" w:hanging="720"/>
      </w:pPr>
      <w:rPr>
        <w:rFonts w:hint="default"/>
      </w:rPr>
    </w:lvl>
    <w:lvl w:ilvl="5">
      <w:start w:val="1"/>
      <w:numFmt w:val="decimal"/>
      <w:pStyle w:val="AppendixText6"/>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7" w15:restartNumberingAfterBreak="0">
    <w:nsid w:val="79337BBC"/>
    <w:multiLevelType w:val="multilevel"/>
    <w:tmpl w:val="51ACABA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88" w15:restartNumberingAfterBreak="0">
    <w:nsid w:val="7C1A3CEB"/>
    <w:multiLevelType w:val="multilevel"/>
    <w:tmpl w:val="840432B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num w:numId="1">
    <w:abstractNumId w:val="66"/>
  </w:num>
  <w:num w:numId="2">
    <w:abstractNumId w:val="70"/>
  </w:num>
  <w:num w:numId="3">
    <w:abstractNumId w:val="47"/>
  </w:num>
  <w:num w:numId="4">
    <w:abstractNumId w:val="60"/>
  </w:num>
  <w:num w:numId="5">
    <w:abstractNumId w:val="49"/>
  </w:num>
  <w:num w:numId="6">
    <w:abstractNumId w:val="7"/>
  </w:num>
  <w:num w:numId="7">
    <w:abstractNumId w:val="12"/>
  </w:num>
  <w:num w:numId="8">
    <w:abstractNumId w:val="79"/>
  </w:num>
  <w:num w:numId="9">
    <w:abstractNumId w:val="78"/>
  </w:num>
  <w:num w:numId="10">
    <w:abstractNumId w:val="20"/>
  </w:num>
  <w:num w:numId="11">
    <w:abstractNumId w:val="82"/>
  </w:num>
  <w:num w:numId="12">
    <w:abstractNumId w:val="57"/>
  </w:num>
  <w:num w:numId="13">
    <w:abstractNumId w:val="29"/>
  </w:num>
  <w:num w:numId="14">
    <w:abstractNumId w:val="81"/>
  </w:num>
  <w:num w:numId="15">
    <w:abstractNumId w:val="48"/>
  </w:num>
  <w:num w:numId="16">
    <w:abstractNumId w:val="26"/>
  </w:num>
  <w:num w:numId="17">
    <w:abstractNumId w:val="31"/>
  </w:num>
  <w:num w:numId="18">
    <w:abstractNumId w:val="42"/>
  </w:num>
  <w:num w:numId="19">
    <w:abstractNumId w:val="84"/>
  </w:num>
  <w:num w:numId="20">
    <w:abstractNumId w:val="58"/>
  </w:num>
  <w:num w:numId="21">
    <w:abstractNumId w:val="83"/>
  </w:num>
  <w:num w:numId="22">
    <w:abstractNumId w:val="63"/>
  </w:num>
  <w:num w:numId="23">
    <w:abstractNumId w:val="10"/>
  </w:num>
  <w:num w:numId="24">
    <w:abstractNumId w:val="71"/>
  </w:num>
  <w:num w:numId="25">
    <w:abstractNumId w:val="3"/>
  </w:num>
  <w:num w:numId="26">
    <w:abstractNumId w:val="4"/>
  </w:num>
  <w:num w:numId="27">
    <w:abstractNumId w:val="5"/>
  </w:num>
  <w:num w:numId="28">
    <w:abstractNumId w:val="9"/>
  </w:num>
  <w:num w:numId="29">
    <w:abstractNumId w:val="13"/>
  </w:num>
  <w:num w:numId="30">
    <w:abstractNumId w:val="24"/>
  </w:num>
  <w:num w:numId="31">
    <w:abstractNumId w:val="36"/>
  </w:num>
  <w:num w:numId="32">
    <w:abstractNumId w:val="44"/>
  </w:num>
  <w:num w:numId="33">
    <w:abstractNumId w:val="53"/>
  </w:num>
  <w:num w:numId="34">
    <w:abstractNumId w:val="86"/>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num>
  <w:num w:numId="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0"/>
  </w:num>
  <w:num w:numId="93">
    <w:abstractNumId w:val="76"/>
  </w:num>
  <w:num w:numId="9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2"/>
  </w:num>
  <w:num w:numId="1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1"/>
  </w:num>
  <w:num w:numId="175">
    <w:abstractNumId w:val="43"/>
    <w:lvlOverride w:ilvl="0">
      <w:startOverride w:val="1"/>
    </w:lvlOverride>
  </w:num>
  <w:num w:numId="1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8"/>
  </w:num>
  <w:num w:numId="188">
    <w:abstractNumId w:val="68"/>
  </w:num>
  <w:num w:numId="189">
    <w:abstractNumId w:val="77"/>
  </w:num>
  <w:num w:numId="190">
    <w:abstractNumId w:val="38"/>
  </w:num>
  <w:num w:numId="191">
    <w:abstractNumId w:val="39"/>
  </w:num>
  <w:num w:numId="192">
    <w:abstractNumId w:val="28"/>
  </w:num>
  <w:num w:numId="193">
    <w:abstractNumId w:val="11"/>
  </w:num>
  <w:num w:numId="194">
    <w:abstractNumId w:val="87"/>
  </w:num>
  <w:num w:numId="195">
    <w:abstractNumId w:val="40"/>
  </w:num>
  <w:num w:numId="196">
    <w:abstractNumId w:val="16"/>
  </w:num>
  <w:num w:numId="197">
    <w:abstractNumId w:val="56"/>
  </w:num>
  <w:num w:numId="198">
    <w:abstractNumId w:val="88"/>
  </w:num>
  <w:num w:numId="199">
    <w:abstractNumId w:val="75"/>
  </w:num>
  <w:num w:numId="200">
    <w:abstractNumId w:val="17"/>
  </w:num>
  <w:num w:numId="201">
    <w:abstractNumId w:val="27"/>
  </w:num>
  <w:num w:numId="202">
    <w:abstractNumId w:val="73"/>
  </w:num>
  <w:num w:numId="203">
    <w:abstractNumId w:val="19"/>
  </w:num>
  <w:num w:numId="204">
    <w:abstractNumId w:val="50"/>
  </w:num>
  <w:num w:numId="205">
    <w:abstractNumId w:val="64"/>
  </w:num>
  <w:num w:numId="206">
    <w:abstractNumId w:val="61"/>
  </w:num>
  <w:num w:numId="207">
    <w:abstractNumId w:val="35"/>
  </w:num>
  <w:num w:numId="208">
    <w:abstractNumId w:val="54"/>
  </w:num>
  <w:num w:numId="209">
    <w:abstractNumId w:val="21"/>
  </w:num>
  <w:num w:numId="2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74"/>
  </w:num>
  <w:num w:numId="240">
    <w:abstractNumId w:val="22"/>
  </w:num>
  <w:num w:numId="241">
    <w:abstractNumId w:val="85"/>
  </w:num>
  <w:num w:numId="242">
    <w:abstractNumId w:val="25"/>
  </w:num>
  <w:num w:numId="243">
    <w:abstractNumId w:val="62"/>
  </w:num>
  <w:num w:numId="244">
    <w:abstractNumId w:val="37"/>
  </w:num>
  <w:num w:numId="245">
    <w:abstractNumId w:val="14"/>
  </w:num>
  <w:num w:numId="246">
    <w:abstractNumId w:val="80"/>
  </w:num>
  <w:num w:numId="247">
    <w:abstractNumId w:val="23"/>
  </w:num>
  <w:num w:numId="248">
    <w:abstractNumId w:val="65"/>
  </w:num>
  <w:num w:numId="249">
    <w:abstractNumId w:val="72"/>
  </w:num>
  <w:num w:numId="2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46"/>
  </w:num>
  <w:num w:numId="252">
    <w:abstractNumId w:val="1"/>
  </w:num>
  <w:num w:numId="253">
    <w:abstractNumId w:val="0"/>
  </w:num>
  <w:num w:numId="254">
    <w:abstractNumId w:val="2"/>
  </w:num>
  <w:num w:numId="255">
    <w:abstractNumId w:val="59"/>
  </w:num>
  <w:num w:numId="256">
    <w:abstractNumId w:val="15"/>
  </w:num>
  <w:num w:numId="257">
    <w:abstractNumId w:val="34"/>
  </w:num>
  <w:num w:numId="258">
    <w:abstractNumId w:val="51"/>
  </w:num>
  <w:num w:numId="259">
    <w:abstractNumId w:val="32"/>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s-AR"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0" w:nlCheck="1" w:checkStyle="0"/>
  <w:activeWritingStyle w:appName="MSWord" w:lang="nl-NL" w:vendorID="64" w:dllVersion="0" w:nlCheck="1" w:checkStyle="0"/>
  <w:activeWritingStyle w:appName="MSWord" w:lang="en-US" w:vendorID="64" w:dllVersion="0" w:nlCheck="1" w:checkStyle="0"/>
  <w:activeWritingStyle w:appName="MSWord" w:lang="en-US" w:vendorID="64" w:dllVersion="4096" w:nlCheck="1" w:checkStyle="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DN1|JONESTRA|23 March 2022 15:14:50" w:val="Continued on from Lorna"/>
    <w:docVar w:name="gemDN2|Wendy.Albrecht|Thursday, 24 March 2022 6:32:05" w:val="continued"/>
    <w:docVar w:name="gemDN3|BIRKETTE|24 March 2022 05:23:55" w:val="Continued from page 596 from Julie Scott"/>
    <w:docVar w:name="gemDN4|KITCHINE|24 March 2022 16:32:30" w:val="V2 - Amends - retain existing trk"/>
    <w:docVar w:name="gemDN5|ROBINSSU|25 July 2023 08:02:01" w:val="V3 Amends - accept trk - New V2 created"/>
    <w:docVar w:name="gemDN6|DELANEYS|25 July 2023 17:34:28" w:val="Continued from Sue"/>
    <w:docVar w:name="gemDN7|STOTTI|Wednesday, 26 July 2023 8:27:05 AM" w:val="Continuation"/>
    <w:docVar w:name="gemDN8|OAKLEYJ|26 July 2023 19:56:29" w:val="V4 - New iManage V4 created and amended."/>
    <w:docVar w:name="gemDN9|WATSONK|27 July 2023 15:19:10" w:val="V5 Amend"/>
    <w:docVar w:name="gemDocNotesCount" w:val="9"/>
  </w:docVars>
  <w:rsids>
    <w:rsidRoot w:val="004A7C2C"/>
    <w:rsid w:val="0000154C"/>
    <w:rsid w:val="00001D85"/>
    <w:rsid w:val="000024F7"/>
    <w:rsid w:val="000035DE"/>
    <w:rsid w:val="00003830"/>
    <w:rsid w:val="000038E2"/>
    <w:rsid w:val="00003934"/>
    <w:rsid w:val="00004AEC"/>
    <w:rsid w:val="00005253"/>
    <w:rsid w:val="00005507"/>
    <w:rsid w:val="00005BA9"/>
    <w:rsid w:val="00006F5E"/>
    <w:rsid w:val="000070C8"/>
    <w:rsid w:val="00010313"/>
    <w:rsid w:val="00010983"/>
    <w:rsid w:val="00010B92"/>
    <w:rsid w:val="00010E59"/>
    <w:rsid w:val="000111C9"/>
    <w:rsid w:val="00012397"/>
    <w:rsid w:val="00012EF5"/>
    <w:rsid w:val="000139D4"/>
    <w:rsid w:val="0001420D"/>
    <w:rsid w:val="00014919"/>
    <w:rsid w:val="00015B06"/>
    <w:rsid w:val="00016234"/>
    <w:rsid w:val="00020216"/>
    <w:rsid w:val="00022C3F"/>
    <w:rsid w:val="00023BFE"/>
    <w:rsid w:val="000244CD"/>
    <w:rsid w:val="00024F2F"/>
    <w:rsid w:val="00025910"/>
    <w:rsid w:val="00025B19"/>
    <w:rsid w:val="00027429"/>
    <w:rsid w:val="00027FE9"/>
    <w:rsid w:val="000328D7"/>
    <w:rsid w:val="00032FB5"/>
    <w:rsid w:val="00033593"/>
    <w:rsid w:val="000341C4"/>
    <w:rsid w:val="000350F6"/>
    <w:rsid w:val="000369A3"/>
    <w:rsid w:val="00037EB7"/>
    <w:rsid w:val="00040234"/>
    <w:rsid w:val="00042884"/>
    <w:rsid w:val="000428BE"/>
    <w:rsid w:val="00042AD5"/>
    <w:rsid w:val="0004357F"/>
    <w:rsid w:val="00043A03"/>
    <w:rsid w:val="000453A2"/>
    <w:rsid w:val="00045FB3"/>
    <w:rsid w:val="000467A2"/>
    <w:rsid w:val="00050613"/>
    <w:rsid w:val="00051DA5"/>
    <w:rsid w:val="00054993"/>
    <w:rsid w:val="00054C72"/>
    <w:rsid w:val="000564E6"/>
    <w:rsid w:val="000578D8"/>
    <w:rsid w:val="00057B5A"/>
    <w:rsid w:val="00060E35"/>
    <w:rsid w:val="0006118A"/>
    <w:rsid w:val="00062EF7"/>
    <w:rsid w:val="00064BC5"/>
    <w:rsid w:val="0006508E"/>
    <w:rsid w:val="00065589"/>
    <w:rsid w:val="00066209"/>
    <w:rsid w:val="0006632F"/>
    <w:rsid w:val="00067435"/>
    <w:rsid w:val="00070AF1"/>
    <w:rsid w:val="00070DE8"/>
    <w:rsid w:val="0007119B"/>
    <w:rsid w:val="000714C9"/>
    <w:rsid w:val="00074825"/>
    <w:rsid w:val="00074A42"/>
    <w:rsid w:val="00074D49"/>
    <w:rsid w:val="00075B78"/>
    <w:rsid w:val="00076F07"/>
    <w:rsid w:val="0007705F"/>
    <w:rsid w:val="000770C5"/>
    <w:rsid w:val="00080B30"/>
    <w:rsid w:val="00081B63"/>
    <w:rsid w:val="0008270F"/>
    <w:rsid w:val="000845D5"/>
    <w:rsid w:val="00084968"/>
    <w:rsid w:val="00084A3F"/>
    <w:rsid w:val="00085AC2"/>
    <w:rsid w:val="00085B75"/>
    <w:rsid w:val="00086113"/>
    <w:rsid w:val="000868B1"/>
    <w:rsid w:val="00086B0D"/>
    <w:rsid w:val="00086C29"/>
    <w:rsid w:val="00087161"/>
    <w:rsid w:val="00087BFD"/>
    <w:rsid w:val="00087C57"/>
    <w:rsid w:val="00090B1E"/>
    <w:rsid w:val="00090E62"/>
    <w:rsid w:val="0009218F"/>
    <w:rsid w:val="000947CA"/>
    <w:rsid w:val="000950FC"/>
    <w:rsid w:val="000967BF"/>
    <w:rsid w:val="00096D04"/>
    <w:rsid w:val="000A0D10"/>
    <w:rsid w:val="000A6AA5"/>
    <w:rsid w:val="000A7B06"/>
    <w:rsid w:val="000A7E56"/>
    <w:rsid w:val="000A7F3E"/>
    <w:rsid w:val="000B15E8"/>
    <w:rsid w:val="000B292F"/>
    <w:rsid w:val="000B4593"/>
    <w:rsid w:val="000B4884"/>
    <w:rsid w:val="000B518C"/>
    <w:rsid w:val="000B55E6"/>
    <w:rsid w:val="000B6D29"/>
    <w:rsid w:val="000B6F69"/>
    <w:rsid w:val="000C01BF"/>
    <w:rsid w:val="000C0A75"/>
    <w:rsid w:val="000C35BA"/>
    <w:rsid w:val="000C3721"/>
    <w:rsid w:val="000C396A"/>
    <w:rsid w:val="000C5163"/>
    <w:rsid w:val="000C5244"/>
    <w:rsid w:val="000C5350"/>
    <w:rsid w:val="000C5554"/>
    <w:rsid w:val="000D0A8F"/>
    <w:rsid w:val="000D1EC1"/>
    <w:rsid w:val="000D25D4"/>
    <w:rsid w:val="000D7722"/>
    <w:rsid w:val="000D7DE5"/>
    <w:rsid w:val="000E141F"/>
    <w:rsid w:val="000E1BBB"/>
    <w:rsid w:val="000E45AE"/>
    <w:rsid w:val="000E46B7"/>
    <w:rsid w:val="000E4B1B"/>
    <w:rsid w:val="000E6208"/>
    <w:rsid w:val="000E7E2D"/>
    <w:rsid w:val="000F11A9"/>
    <w:rsid w:val="000F14AA"/>
    <w:rsid w:val="000F29AC"/>
    <w:rsid w:val="000F2A39"/>
    <w:rsid w:val="000F2BA1"/>
    <w:rsid w:val="000F3DB5"/>
    <w:rsid w:val="000F3E80"/>
    <w:rsid w:val="000F4661"/>
    <w:rsid w:val="000F4F84"/>
    <w:rsid w:val="000F5046"/>
    <w:rsid w:val="000F7964"/>
    <w:rsid w:val="00100DD0"/>
    <w:rsid w:val="00102034"/>
    <w:rsid w:val="00103CB5"/>
    <w:rsid w:val="001045EF"/>
    <w:rsid w:val="0010464A"/>
    <w:rsid w:val="001068A1"/>
    <w:rsid w:val="00110396"/>
    <w:rsid w:val="001108D9"/>
    <w:rsid w:val="00111AD6"/>
    <w:rsid w:val="00113107"/>
    <w:rsid w:val="00113876"/>
    <w:rsid w:val="00113F49"/>
    <w:rsid w:val="00115F57"/>
    <w:rsid w:val="00115FDD"/>
    <w:rsid w:val="00117CBB"/>
    <w:rsid w:val="00117D2A"/>
    <w:rsid w:val="00117F84"/>
    <w:rsid w:val="00120F5C"/>
    <w:rsid w:val="001213FD"/>
    <w:rsid w:val="001216A4"/>
    <w:rsid w:val="00121E97"/>
    <w:rsid w:val="00122216"/>
    <w:rsid w:val="001229F7"/>
    <w:rsid w:val="00122A27"/>
    <w:rsid w:val="00123085"/>
    <w:rsid w:val="0012334E"/>
    <w:rsid w:val="00124258"/>
    <w:rsid w:val="00124BE7"/>
    <w:rsid w:val="0012624B"/>
    <w:rsid w:val="00130D94"/>
    <w:rsid w:val="00133BD5"/>
    <w:rsid w:val="0013420F"/>
    <w:rsid w:val="0013711E"/>
    <w:rsid w:val="001371F3"/>
    <w:rsid w:val="001401F8"/>
    <w:rsid w:val="001409FB"/>
    <w:rsid w:val="00140BDF"/>
    <w:rsid w:val="0014291F"/>
    <w:rsid w:val="00142E1E"/>
    <w:rsid w:val="00142EFF"/>
    <w:rsid w:val="00144340"/>
    <w:rsid w:val="00144811"/>
    <w:rsid w:val="0014593C"/>
    <w:rsid w:val="001467C0"/>
    <w:rsid w:val="00146B61"/>
    <w:rsid w:val="00147F02"/>
    <w:rsid w:val="001525C8"/>
    <w:rsid w:val="001540E3"/>
    <w:rsid w:val="00154D56"/>
    <w:rsid w:val="00155460"/>
    <w:rsid w:val="00155ED6"/>
    <w:rsid w:val="00155FA0"/>
    <w:rsid w:val="00156928"/>
    <w:rsid w:val="00156E27"/>
    <w:rsid w:val="00157B71"/>
    <w:rsid w:val="0016479C"/>
    <w:rsid w:val="001662AF"/>
    <w:rsid w:val="0016636F"/>
    <w:rsid w:val="00166697"/>
    <w:rsid w:val="00166DAE"/>
    <w:rsid w:val="0017027D"/>
    <w:rsid w:val="00172865"/>
    <w:rsid w:val="00173336"/>
    <w:rsid w:val="0017368D"/>
    <w:rsid w:val="00174F30"/>
    <w:rsid w:val="00175FFA"/>
    <w:rsid w:val="0017636A"/>
    <w:rsid w:val="00180260"/>
    <w:rsid w:val="0018231E"/>
    <w:rsid w:val="001827D0"/>
    <w:rsid w:val="00182E3A"/>
    <w:rsid w:val="001840CB"/>
    <w:rsid w:val="00184F3F"/>
    <w:rsid w:val="001851A8"/>
    <w:rsid w:val="00190716"/>
    <w:rsid w:val="00190AA9"/>
    <w:rsid w:val="0019266B"/>
    <w:rsid w:val="00194B0E"/>
    <w:rsid w:val="00197CEC"/>
    <w:rsid w:val="001A06D9"/>
    <w:rsid w:val="001A08A8"/>
    <w:rsid w:val="001A16DF"/>
    <w:rsid w:val="001A17D8"/>
    <w:rsid w:val="001A28FF"/>
    <w:rsid w:val="001A4585"/>
    <w:rsid w:val="001A46F2"/>
    <w:rsid w:val="001A549C"/>
    <w:rsid w:val="001A6135"/>
    <w:rsid w:val="001A79F2"/>
    <w:rsid w:val="001B0D5D"/>
    <w:rsid w:val="001B101B"/>
    <w:rsid w:val="001B31F1"/>
    <w:rsid w:val="001B45A0"/>
    <w:rsid w:val="001B4E17"/>
    <w:rsid w:val="001B5832"/>
    <w:rsid w:val="001B74ED"/>
    <w:rsid w:val="001C08C6"/>
    <w:rsid w:val="001C1811"/>
    <w:rsid w:val="001C21D0"/>
    <w:rsid w:val="001C24E0"/>
    <w:rsid w:val="001C252E"/>
    <w:rsid w:val="001C2A33"/>
    <w:rsid w:val="001C3778"/>
    <w:rsid w:val="001C3E16"/>
    <w:rsid w:val="001C4B30"/>
    <w:rsid w:val="001C4C7A"/>
    <w:rsid w:val="001C58EE"/>
    <w:rsid w:val="001C5C0D"/>
    <w:rsid w:val="001C7DBA"/>
    <w:rsid w:val="001D0BC3"/>
    <w:rsid w:val="001D0E8B"/>
    <w:rsid w:val="001D12E1"/>
    <w:rsid w:val="001D1BC6"/>
    <w:rsid w:val="001D28AE"/>
    <w:rsid w:val="001D2CFA"/>
    <w:rsid w:val="001D5A91"/>
    <w:rsid w:val="001D5ACD"/>
    <w:rsid w:val="001D6446"/>
    <w:rsid w:val="001D6E1C"/>
    <w:rsid w:val="001D763B"/>
    <w:rsid w:val="001E0688"/>
    <w:rsid w:val="001E0B4F"/>
    <w:rsid w:val="001E2688"/>
    <w:rsid w:val="001E4D74"/>
    <w:rsid w:val="001E53A2"/>
    <w:rsid w:val="001E5885"/>
    <w:rsid w:val="001E589B"/>
    <w:rsid w:val="001E5A0C"/>
    <w:rsid w:val="001E5ACB"/>
    <w:rsid w:val="001E60B0"/>
    <w:rsid w:val="001E6D31"/>
    <w:rsid w:val="001F5BEE"/>
    <w:rsid w:val="001F7350"/>
    <w:rsid w:val="001F774E"/>
    <w:rsid w:val="00200027"/>
    <w:rsid w:val="002004B8"/>
    <w:rsid w:val="00200CC3"/>
    <w:rsid w:val="002025E5"/>
    <w:rsid w:val="00202C60"/>
    <w:rsid w:val="0020504D"/>
    <w:rsid w:val="0020560C"/>
    <w:rsid w:val="00206068"/>
    <w:rsid w:val="002065C4"/>
    <w:rsid w:val="002071BF"/>
    <w:rsid w:val="00207999"/>
    <w:rsid w:val="002104FF"/>
    <w:rsid w:val="00210D95"/>
    <w:rsid w:val="00211A99"/>
    <w:rsid w:val="00212E6C"/>
    <w:rsid w:val="002138B2"/>
    <w:rsid w:val="0021499D"/>
    <w:rsid w:val="00214A89"/>
    <w:rsid w:val="00215631"/>
    <w:rsid w:val="0021619C"/>
    <w:rsid w:val="00216663"/>
    <w:rsid w:val="00216894"/>
    <w:rsid w:val="00217E64"/>
    <w:rsid w:val="002218CA"/>
    <w:rsid w:val="002223EA"/>
    <w:rsid w:val="00222BA0"/>
    <w:rsid w:val="002237C8"/>
    <w:rsid w:val="00224731"/>
    <w:rsid w:val="00225726"/>
    <w:rsid w:val="002267D4"/>
    <w:rsid w:val="002307E7"/>
    <w:rsid w:val="00231DC4"/>
    <w:rsid w:val="002321FD"/>
    <w:rsid w:val="002337A6"/>
    <w:rsid w:val="00234101"/>
    <w:rsid w:val="00235D93"/>
    <w:rsid w:val="00235E40"/>
    <w:rsid w:val="00236244"/>
    <w:rsid w:val="00236F49"/>
    <w:rsid w:val="00237217"/>
    <w:rsid w:val="00237519"/>
    <w:rsid w:val="00240454"/>
    <w:rsid w:val="002404C6"/>
    <w:rsid w:val="002406FD"/>
    <w:rsid w:val="00240D26"/>
    <w:rsid w:val="00241D61"/>
    <w:rsid w:val="002428B7"/>
    <w:rsid w:val="002438D2"/>
    <w:rsid w:val="002439EF"/>
    <w:rsid w:val="00243D18"/>
    <w:rsid w:val="00244D74"/>
    <w:rsid w:val="00245231"/>
    <w:rsid w:val="00245B0B"/>
    <w:rsid w:val="0024652A"/>
    <w:rsid w:val="00250746"/>
    <w:rsid w:val="002515AF"/>
    <w:rsid w:val="00253700"/>
    <w:rsid w:val="00254458"/>
    <w:rsid w:val="00255E44"/>
    <w:rsid w:val="00257AB2"/>
    <w:rsid w:val="00261286"/>
    <w:rsid w:val="00264138"/>
    <w:rsid w:val="00264CD1"/>
    <w:rsid w:val="00264D65"/>
    <w:rsid w:val="00266335"/>
    <w:rsid w:val="00266488"/>
    <w:rsid w:val="00266501"/>
    <w:rsid w:val="00266E0A"/>
    <w:rsid w:val="00267665"/>
    <w:rsid w:val="0027011C"/>
    <w:rsid w:val="002725CE"/>
    <w:rsid w:val="0027261A"/>
    <w:rsid w:val="0027502A"/>
    <w:rsid w:val="00280741"/>
    <w:rsid w:val="00281055"/>
    <w:rsid w:val="00282BE9"/>
    <w:rsid w:val="0029093D"/>
    <w:rsid w:val="00293A7A"/>
    <w:rsid w:val="00295D4D"/>
    <w:rsid w:val="00295E0B"/>
    <w:rsid w:val="00295FCC"/>
    <w:rsid w:val="0029780A"/>
    <w:rsid w:val="002A2981"/>
    <w:rsid w:val="002A47B3"/>
    <w:rsid w:val="002A5229"/>
    <w:rsid w:val="002B1E78"/>
    <w:rsid w:val="002B1F57"/>
    <w:rsid w:val="002B4645"/>
    <w:rsid w:val="002B54D3"/>
    <w:rsid w:val="002B7A50"/>
    <w:rsid w:val="002C0A0D"/>
    <w:rsid w:val="002C1835"/>
    <w:rsid w:val="002C4626"/>
    <w:rsid w:val="002C5FAA"/>
    <w:rsid w:val="002C6CF9"/>
    <w:rsid w:val="002C6F06"/>
    <w:rsid w:val="002C716D"/>
    <w:rsid w:val="002C71DE"/>
    <w:rsid w:val="002C79DB"/>
    <w:rsid w:val="002D01FD"/>
    <w:rsid w:val="002D21BE"/>
    <w:rsid w:val="002D22FC"/>
    <w:rsid w:val="002D2615"/>
    <w:rsid w:val="002D277E"/>
    <w:rsid w:val="002D30B3"/>
    <w:rsid w:val="002D31E3"/>
    <w:rsid w:val="002D5C96"/>
    <w:rsid w:val="002D5E50"/>
    <w:rsid w:val="002D6F21"/>
    <w:rsid w:val="002D7EC8"/>
    <w:rsid w:val="002E0B58"/>
    <w:rsid w:val="002E2C29"/>
    <w:rsid w:val="002E3D72"/>
    <w:rsid w:val="002E463E"/>
    <w:rsid w:val="002E7013"/>
    <w:rsid w:val="002E7C89"/>
    <w:rsid w:val="002E7F7C"/>
    <w:rsid w:val="002F01D5"/>
    <w:rsid w:val="002F1CCE"/>
    <w:rsid w:val="002F232A"/>
    <w:rsid w:val="002F23C2"/>
    <w:rsid w:val="002F2E6A"/>
    <w:rsid w:val="002F2FF2"/>
    <w:rsid w:val="002F30DB"/>
    <w:rsid w:val="002F4405"/>
    <w:rsid w:val="002F4866"/>
    <w:rsid w:val="002F7298"/>
    <w:rsid w:val="002F79D9"/>
    <w:rsid w:val="00302D39"/>
    <w:rsid w:val="0030312A"/>
    <w:rsid w:val="00303318"/>
    <w:rsid w:val="00303EB4"/>
    <w:rsid w:val="0030426D"/>
    <w:rsid w:val="003048EC"/>
    <w:rsid w:val="003053E3"/>
    <w:rsid w:val="00307478"/>
    <w:rsid w:val="00310C9F"/>
    <w:rsid w:val="00310E75"/>
    <w:rsid w:val="00310FCA"/>
    <w:rsid w:val="00315AAE"/>
    <w:rsid w:val="00315C00"/>
    <w:rsid w:val="003172AB"/>
    <w:rsid w:val="0032048E"/>
    <w:rsid w:val="003214FA"/>
    <w:rsid w:val="00322670"/>
    <w:rsid w:val="00323A2D"/>
    <w:rsid w:val="0032470C"/>
    <w:rsid w:val="003250BB"/>
    <w:rsid w:val="00325B15"/>
    <w:rsid w:val="003272F4"/>
    <w:rsid w:val="003275AF"/>
    <w:rsid w:val="003300CB"/>
    <w:rsid w:val="00331A90"/>
    <w:rsid w:val="00331D15"/>
    <w:rsid w:val="00333925"/>
    <w:rsid w:val="00333A25"/>
    <w:rsid w:val="0033651A"/>
    <w:rsid w:val="00336587"/>
    <w:rsid w:val="00342569"/>
    <w:rsid w:val="0034321B"/>
    <w:rsid w:val="0034598C"/>
    <w:rsid w:val="00350DCA"/>
    <w:rsid w:val="00350EF8"/>
    <w:rsid w:val="00351552"/>
    <w:rsid w:val="0035162C"/>
    <w:rsid w:val="00352050"/>
    <w:rsid w:val="0035268F"/>
    <w:rsid w:val="00352B12"/>
    <w:rsid w:val="00352D1E"/>
    <w:rsid w:val="00352D28"/>
    <w:rsid w:val="003535B2"/>
    <w:rsid w:val="0035361F"/>
    <w:rsid w:val="00354B59"/>
    <w:rsid w:val="0035591D"/>
    <w:rsid w:val="003565BD"/>
    <w:rsid w:val="00356F49"/>
    <w:rsid w:val="00357966"/>
    <w:rsid w:val="00357D0F"/>
    <w:rsid w:val="00360447"/>
    <w:rsid w:val="003604EE"/>
    <w:rsid w:val="003633B9"/>
    <w:rsid w:val="00363C98"/>
    <w:rsid w:val="0036742C"/>
    <w:rsid w:val="00367D4D"/>
    <w:rsid w:val="003700FE"/>
    <w:rsid w:val="00370619"/>
    <w:rsid w:val="00373027"/>
    <w:rsid w:val="003731B9"/>
    <w:rsid w:val="0037353F"/>
    <w:rsid w:val="00376461"/>
    <w:rsid w:val="003817B8"/>
    <w:rsid w:val="003843A3"/>
    <w:rsid w:val="00385171"/>
    <w:rsid w:val="003855FA"/>
    <w:rsid w:val="00385E5F"/>
    <w:rsid w:val="003900C3"/>
    <w:rsid w:val="00392B08"/>
    <w:rsid w:val="00392F5F"/>
    <w:rsid w:val="00393DBD"/>
    <w:rsid w:val="0039417F"/>
    <w:rsid w:val="00394DE2"/>
    <w:rsid w:val="00396CF1"/>
    <w:rsid w:val="0039705F"/>
    <w:rsid w:val="00397217"/>
    <w:rsid w:val="00397366"/>
    <w:rsid w:val="003979AB"/>
    <w:rsid w:val="003A0605"/>
    <w:rsid w:val="003A0C12"/>
    <w:rsid w:val="003A12B6"/>
    <w:rsid w:val="003A2635"/>
    <w:rsid w:val="003A2FB5"/>
    <w:rsid w:val="003A3EDF"/>
    <w:rsid w:val="003A41F8"/>
    <w:rsid w:val="003A4A9A"/>
    <w:rsid w:val="003A54D2"/>
    <w:rsid w:val="003A666F"/>
    <w:rsid w:val="003A79CC"/>
    <w:rsid w:val="003B034F"/>
    <w:rsid w:val="003B052F"/>
    <w:rsid w:val="003B1012"/>
    <w:rsid w:val="003B1F21"/>
    <w:rsid w:val="003B3D15"/>
    <w:rsid w:val="003B3F95"/>
    <w:rsid w:val="003B4751"/>
    <w:rsid w:val="003B5A16"/>
    <w:rsid w:val="003C054B"/>
    <w:rsid w:val="003C0633"/>
    <w:rsid w:val="003C18D2"/>
    <w:rsid w:val="003C3454"/>
    <w:rsid w:val="003C4C9C"/>
    <w:rsid w:val="003C65B0"/>
    <w:rsid w:val="003C6937"/>
    <w:rsid w:val="003D07D0"/>
    <w:rsid w:val="003D0B16"/>
    <w:rsid w:val="003D1189"/>
    <w:rsid w:val="003D1B9F"/>
    <w:rsid w:val="003D278C"/>
    <w:rsid w:val="003D2D7C"/>
    <w:rsid w:val="003D320B"/>
    <w:rsid w:val="003D75D9"/>
    <w:rsid w:val="003D7FCF"/>
    <w:rsid w:val="003E0B2A"/>
    <w:rsid w:val="003E6B10"/>
    <w:rsid w:val="003F0FD8"/>
    <w:rsid w:val="003F4F8D"/>
    <w:rsid w:val="003F7947"/>
    <w:rsid w:val="003F7D05"/>
    <w:rsid w:val="0040049C"/>
    <w:rsid w:val="00401120"/>
    <w:rsid w:val="00401B20"/>
    <w:rsid w:val="00405265"/>
    <w:rsid w:val="00405898"/>
    <w:rsid w:val="004058BD"/>
    <w:rsid w:val="00405F91"/>
    <w:rsid w:val="00407114"/>
    <w:rsid w:val="0040711A"/>
    <w:rsid w:val="00407DA2"/>
    <w:rsid w:val="004109A0"/>
    <w:rsid w:val="00410FAD"/>
    <w:rsid w:val="004121BF"/>
    <w:rsid w:val="00412DB7"/>
    <w:rsid w:val="00412EE9"/>
    <w:rsid w:val="004136FC"/>
    <w:rsid w:val="004145B0"/>
    <w:rsid w:val="00414F4A"/>
    <w:rsid w:val="00415C0E"/>
    <w:rsid w:val="00416527"/>
    <w:rsid w:val="004260AE"/>
    <w:rsid w:val="0042638E"/>
    <w:rsid w:val="004278DC"/>
    <w:rsid w:val="0043055A"/>
    <w:rsid w:val="0043229C"/>
    <w:rsid w:val="00432623"/>
    <w:rsid w:val="00433172"/>
    <w:rsid w:val="0043675B"/>
    <w:rsid w:val="00436D9D"/>
    <w:rsid w:val="00437341"/>
    <w:rsid w:val="00437398"/>
    <w:rsid w:val="00437570"/>
    <w:rsid w:val="00437CCB"/>
    <w:rsid w:val="00440B73"/>
    <w:rsid w:val="00440D44"/>
    <w:rsid w:val="004412EC"/>
    <w:rsid w:val="0044181F"/>
    <w:rsid w:val="00443D28"/>
    <w:rsid w:val="004442E5"/>
    <w:rsid w:val="00445F4F"/>
    <w:rsid w:val="0044723E"/>
    <w:rsid w:val="004472FD"/>
    <w:rsid w:val="00451833"/>
    <w:rsid w:val="004524CE"/>
    <w:rsid w:val="0045305E"/>
    <w:rsid w:val="004533C0"/>
    <w:rsid w:val="00454FF7"/>
    <w:rsid w:val="00455880"/>
    <w:rsid w:val="0046274E"/>
    <w:rsid w:val="00464933"/>
    <w:rsid w:val="00464B25"/>
    <w:rsid w:val="00465D61"/>
    <w:rsid w:val="00465FBB"/>
    <w:rsid w:val="004675BA"/>
    <w:rsid w:val="0047109F"/>
    <w:rsid w:val="00472C5C"/>
    <w:rsid w:val="00473E03"/>
    <w:rsid w:val="00477926"/>
    <w:rsid w:val="0048059C"/>
    <w:rsid w:val="00480945"/>
    <w:rsid w:val="0048114C"/>
    <w:rsid w:val="00481797"/>
    <w:rsid w:val="00484F3C"/>
    <w:rsid w:val="00485B41"/>
    <w:rsid w:val="0048602D"/>
    <w:rsid w:val="0048649D"/>
    <w:rsid w:val="0048716D"/>
    <w:rsid w:val="00487D92"/>
    <w:rsid w:val="00490DD0"/>
    <w:rsid w:val="004940BC"/>
    <w:rsid w:val="00495BEA"/>
    <w:rsid w:val="00496A26"/>
    <w:rsid w:val="00497BCF"/>
    <w:rsid w:val="004A07CC"/>
    <w:rsid w:val="004A1B31"/>
    <w:rsid w:val="004A2991"/>
    <w:rsid w:val="004A5EF2"/>
    <w:rsid w:val="004A5EF3"/>
    <w:rsid w:val="004A680E"/>
    <w:rsid w:val="004A7C2C"/>
    <w:rsid w:val="004B01D8"/>
    <w:rsid w:val="004B30F8"/>
    <w:rsid w:val="004B3795"/>
    <w:rsid w:val="004B5249"/>
    <w:rsid w:val="004B5F27"/>
    <w:rsid w:val="004C01AB"/>
    <w:rsid w:val="004C17DF"/>
    <w:rsid w:val="004C2002"/>
    <w:rsid w:val="004C3427"/>
    <w:rsid w:val="004C513F"/>
    <w:rsid w:val="004C6CE8"/>
    <w:rsid w:val="004C7469"/>
    <w:rsid w:val="004C7B2D"/>
    <w:rsid w:val="004D367E"/>
    <w:rsid w:val="004D36DE"/>
    <w:rsid w:val="004D5C83"/>
    <w:rsid w:val="004D5C9A"/>
    <w:rsid w:val="004D5D04"/>
    <w:rsid w:val="004D61AE"/>
    <w:rsid w:val="004E08FC"/>
    <w:rsid w:val="004E32E1"/>
    <w:rsid w:val="004E3B86"/>
    <w:rsid w:val="004E4A71"/>
    <w:rsid w:val="004E522A"/>
    <w:rsid w:val="004E5944"/>
    <w:rsid w:val="004E6D76"/>
    <w:rsid w:val="004E7DA4"/>
    <w:rsid w:val="004F0D3B"/>
    <w:rsid w:val="004F3875"/>
    <w:rsid w:val="004F3BB4"/>
    <w:rsid w:val="004F4200"/>
    <w:rsid w:val="004F6202"/>
    <w:rsid w:val="004F6A18"/>
    <w:rsid w:val="00500A50"/>
    <w:rsid w:val="00502326"/>
    <w:rsid w:val="00502DA1"/>
    <w:rsid w:val="00503EB0"/>
    <w:rsid w:val="005049B8"/>
    <w:rsid w:val="00505365"/>
    <w:rsid w:val="005069A7"/>
    <w:rsid w:val="00507B8E"/>
    <w:rsid w:val="0051062F"/>
    <w:rsid w:val="0051122B"/>
    <w:rsid w:val="00514302"/>
    <w:rsid w:val="00515BAC"/>
    <w:rsid w:val="00515C83"/>
    <w:rsid w:val="005170E7"/>
    <w:rsid w:val="00517ADC"/>
    <w:rsid w:val="00517F7E"/>
    <w:rsid w:val="00521E9F"/>
    <w:rsid w:val="00522A9E"/>
    <w:rsid w:val="005236A9"/>
    <w:rsid w:val="00523735"/>
    <w:rsid w:val="00524226"/>
    <w:rsid w:val="0052486C"/>
    <w:rsid w:val="00527948"/>
    <w:rsid w:val="005279D9"/>
    <w:rsid w:val="005309B2"/>
    <w:rsid w:val="0053200E"/>
    <w:rsid w:val="005323C7"/>
    <w:rsid w:val="00532E54"/>
    <w:rsid w:val="00534BE5"/>
    <w:rsid w:val="00535337"/>
    <w:rsid w:val="005356F1"/>
    <w:rsid w:val="0053637A"/>
    <w:rsid w:val="00536C6C"/>
    <w:rsid w:val="00540F77"/>
    <w:rsid w:val="00543626"/>
    <w:rsid w:val="00544B1A"/>
    <w:rsid w:val="00544B36"/>
    <w:rsid w:val="00545060"/>
    <w:rsid w:val="00545A87"/>
    <w:rsid w:val="00546E7A"/>
    <w:rsid w:val="00547044"/>
    <w:rsid w:val="00547EB2"/>
    <w:rsid w:val="00547FA3"/>
    <w:rsid w:val="005512A5"/>
    <w:rsid w:val="005514A5"/>
    <w:rsid w:val="00553F71"/>
    <w:rsid w:val="0055412E"/>
    <w:rsid w:val="00554461"/>
    <w:rsid w:val="00556881"/>
    <w:rsid w:val="00556E35"/>
    <w:rsid w:val="0055706C"/>
    <w:rsid w:val="0055779C"/>
    <w:rsid w:val="0056014F"/>
    <w:rsid w:val="00560554"/>
    <w:rsid w:val="00560BA2"/>
    <w:rsid w:val="00561F27"/>
    <w:rsid w:val="005620A5"/>
    <w:rsid w:val="00562C7F"/>
    <w:rsid w:val="005632A2"/>
    <w:rsid w:val="00564156"/>
    <w:rsid w:val="00564187"/>
    <w:rsid w:val="0056496F"/>
    <w:rsid w:val="00564EF0"/>
    <w:rsid w:val="00566D8C"/>
    <w:rsid w:val="005679CD"/>
    <w:rsid w:val="00571438"/>
    <w:rsid w:val="00573314"/>
    <w:rsid w:val="00573A67"/>
    <w:rsid w:val="00573F4D"/>
    <w:rsid w:val="0057441C"/>
    <w:rsid w:val="00574581"/>
    <w:rsid w:val="0057488C"/>
    <w:rsid w:val="00574E77"/>
    <w:rsid w:val="00575FCD"/>
    <w:rsid w:val="00577E60"/>
    <w:rsid w:val="00582732"/>
    <w:rsid w:val="00583E9D"/>
    <w:rsid w:val="00584044"/>
    <w:rsid w:val="005843BF"/>
    <w:rsid w:val="00585097"/>
    <w:rsid w:val="00586F54"/>
    <w:rsid w:val="005870ED"/>
    <w:rsid w:val="00594FC2"/>
    <w:rsid w:val="0059550B"/>
    <w:rsid w:val="005959B7"/>
    <w:rsid w:val="00595C45"/>
    <w:rsid w:val="005969C4"/>
    <w:rsid w:val="00597C4B"/>
    <w:rsid w:val="005A04B8"/>
    <w:rsid w:val="005A1665"/>
    <w:rsid w:val="005A2D63"/>
    <w:rsid w:val="005A3826"/>
    <w:rsid w:val="005A42FD"/>
    <w:rsid w:val="005A4C7B"/>
    <w:rsid w:val="005A5AC2"/>
    <w:rsid w:val="005A63E1"/>
    <w:rsid w:val="005B052D"/>
    <w:rsid w:val="005B3E02"/>
    <w:rsid w:val="005B447E"/>
    <w:rsid w:val="005B492C"/>
    <w:rsid w:val="005B49E5"/>
    <w:rsid w:val="005B5630"/>
    <w:rsid w:val="005B59F3"/>
    <w:rsid w:val="005B662C"/>
    <w:rsid w:val="005B70F3"/>
    <w:rsid w:val="005C06CF"/>
    <w:rsid w:val="005C2A49"/>
    <w:rsid w:val="005C54AE"/>
    <w:rsid w:val="005C6159"/>
    <w:rsid w:val="005C7D7B"/>
    <w:rsid w:val="005D0525"/>
    <w:rsid w:val="005D4CED"/>
    <w:rsid w:val="005D55A3"/>
    <w:rsid w:val="005D73EF"/>
    <w:rsid w:val="005D768B"/>
    <w:rsid w:val="005D7F51"/>
    <w:rsid w:val="005E0895"/>
    <w:rsid w:val="005E1B22"/>
    <w:rsid w:val="005E541B"/>
    <w:rsid w:val="005E6515"/>
    <w:rsid w:val="005E6F6F"/>
    <w:rsid w:val="005F1047"/>
    <w:rsid w:val="005F13BD"/>
    <w:rsid w:val="005F14DA"/>
    <w:rsid w:val="005F41FB"/>
    <w:rsid w:val="005F473D"/>
    <w:rsid w:val="005F4CFB"/>
    <w:rsid w:val="005F4E68"/>
    <w:rsid w:val="005F4E83"/>
    <w:rsid w:val="0060090B"/>
    <w:rsid w:val="00602B24"/>
    <w:rsid w:val="00603746"/>
    <w:rsid w:val="00603D27"/>
    <w:rsid w:val="006051CD"/>
    <w:rsid w:val="006053AF"/>
    <w:rsid w:val="0060661C"/>
    <w:rsid w:val="00607359"/>
    <w:rsid w:val="006075E8"/>
    <w:rsid w:val="006079B5"/>
    <w:rsid w:val="00610AEA"/>
    <w:rsid w:val="0061120F"/>
    <w:rsid w:val="006119FF"/>
    <w:rsid w:val="0061274F"/>
    <w:rsid w:val="006140A4"/>
    <w:rsid w:val="006143E7"/>
    <w:rsid w:val="00614637"/>
    <w:rsid w:val="006158F0"/>
    <w:rsid w:val="006159E1"/>
    <w:rsid w:val="00617224"/>
    <w:rsid w:val="00620079"/>
    <w:rsid w:val="006202C8"/>
    <w:rsid w:val="00621420"/>
    <w:rsid w:val="00621B3D"/>
    <w:rsid w:val="00622BE6"/>
    <w:rsid w:val="006231DD"/>
    <w:rsid w:val="0062418B"/>
    <w:rsid w:val="0062660C"/>
    <w:rsid w:val="00631338"/>
    <w:rsid w:val="0063175D"/>
    <w:rsid w:val="006324A1"/>
    <w:rsid w:val="006366B6"/>
    <w:rsid w:val="006372AC"/>
    <w:rsid w:val="006401A4"/>
    <w:rsid w:val="006401F0"/>
    <w:rsid w:val="006412C0"/>
    <w:rsid w:val="00643086"/>
    <w:rsid w:val="00644039"/>
    <w:rsid w:val="00646219"/>
    <w:rsid w:val="0065054C"/>
    <w:rsid w:val="006522FA"/>
    <w:rsid w:val="00653795"/>
    <w:rsid w:val="00654859"/>
    <w:rsid w:val="0065607D"/>
    <w:rsid w:val="006566CB"/>
    <w:rsid w:val="00660448"/>
    <w:rsid w:val="00662B49"/>
    <w:rsid w:val="00663388"/>
    <w:rsid w:val="00665417"/>
    <w:rsid w:val="00666B85"/>
    <w:rsid w:val="00667202"/>
    <w:rsid w:val="0067085E"/>
    <w:rsid w:val="00672CC6"/>
    <w:rsid w:val="00673249"/>
    <w:rsid w:val="00673944"/>
    <w:rsid w:val="00674247"/>
    <w:rsid w:val="00675316"/>
    <w:rsid w:val="00676BAE"/>
    <w:rsid w:val="006776ED"/>
    <w:rsid w:val="00680F14"/>
    <w:rsid w:val="00681B4B"/>
    <w:rsid w:val="00682ACB"/>
    <w:rsid w:val="00684DA1"/>
    <w:rsid w:val="00686548"/>
    <w:rsid w:val="006874A8"/>
    <w:rsid w:val="00691BD4"/>
    <w:rsid w:val="0069248E"/>
    <w:rsid w:val="00693913"/>
    <w:rsid w:val="00693AEC"/>
    <w:rsid w:val="00694991"/>
    <w:rsid w:val="0069778F"/>
    <w:rsid w:val="006A0E60"/>
    <w:rsid w:val="006A23C2"/>
    <w:rsid w:val="006A2450"/>
    <w:rsid w:val="006A4C5C"/>
    <w:rsid w:val="006A54F8"/>
    <w:rsid w:val="006A5C5B"/>
    <w:rsid w:val="006A5EAC"/>
    <w:rsid w:val="006A642A"/>
    <w:rsid w:val="006A74B7"/>
    <w:rsid w:val="006B0978"/>
    <w:rsid w:val="006B0C4B"/>
    <w:rsid w:val="006B22FC"/>
    <w:rsid w:val="006B2422"/>
    <w:rsid w:val="006B3F51"/>
    <w:rsid w:val="006B6657"/>
    <w:rsid w:val="006B7764"/>
    <w:rsid w:val="006C25DB"/>
    <w:rsid w:val="006C2E1C"/>
    <w:rsid w:val="006C519B"/>
    <w:rsid w:val="006C57AB"/>
    <w:rsid w:val="006C682E"/>
    <w:rsid w:val="006C741F"/>
    <w:rsid w:val="006D032A"/>
    <w:rsid w:val="006D04C1"/>
    <w:rsid w:val="006D078C"/>
    <w:rsid w:val="006D2175"/>
    <w:rsid w:val="006D2212"/>
    <w:rsid w:val="006D2B6A"/>
    <w:rsid w:val="006D5422"/>
    <w:rsid w:val="006D5F41"/>
    <w:rsid w:val="006D66EE"/>
    <w:rsid w:val="006D6901"/>
    <w:rsid w:val="006D6989"/>
    <w:rsid w:val="006D6AB5"/>
    <w:rsid w:val="006E27F2"/>
    <w:rsid w:val="006E598D"/>
    <w:rsid w:val="006E5ABC"/>
    <w:rsid w:val="006E5ED6"/>
    <w:rsid w:val="006E6C40"/>
    <w:rsid w:val="006E78E2"/>
    <w:rsid w:val="006F064F"/>
    <w:rsid w:val="006F18B1"/>
    <w:rsid w:val="006F3285"/>
    <w:rsid w:val="006F56D3"/>
    <w:rsid w:val="006F641F"/>
    <w:rsid w:val="006F6733"/>
    <w:rsid w:val="006F71AA"/>
    <w:rsid w:val="00700CE8"/>
    <w:rsid w:val="00701801"/>
    <w:rsid w:val="00703CA0"/>
    <w:rsid w:val="007054B8"/>
    <w:rsid w:val="00705C2F"/>
    <w:rsid w:val="00710FC0"/>
    <w:rsid w:val="00711A0D"/>
    <w:rsid w:val="00711F26"/>
    <w:rsid w:val="00711F88"/>
    <w:rsid w:val="00711FB4"/>
    <w:rsid w:val="007159CB"/>
    <w:rsid w:val="00717EB2"/>
    <w:rsid w:val="00721109"/>
    <w:rsid w:val="00721608"/>
    <w:rsid w:val="007216EA"/>
    <w:rsid w:val="007217D5"/>
    <w:rsid w:val="00723015"/>
    <w:rsid w:val="00724541"/>
    <w:rsid w:val="0072650E"/>
    <w:rsid w:val="00727AE8"/>
    <w:rsid w:val="007310EA"/>
    <w:rsid w:val="00733655"/>
    <w:rsid w:val="0073455D"/>
    <w:rsid w:val="0073455F"/>
    <w:rsid w:val="007361F3"/>
    <w:rsid w:val="00737256"/>
    <w:rsid w:val="00740E89"/>
    <w:rsid w:val="00742043"/>
    <w:rsid w:val="00746939"/>
    <w:rsid w:val="007470E3"/>
    <w:rsid w:val="00747B9D"/>
    <w:rsid w:val="007527F4"/>
    <w:rsid w:val="00752B31"/>
    <w:rsid w:val="00755CD1"/>
    <w:rsid w:val="00757751"/>
    <w:rsid w:val="00757ECE"/>
    <w:rsid w:val="0076173A"/>
    <w:rsid w:val="0076274E"/>
    <w:rsid w:val="00763445"/>
    <w:rsid w:val="00763D34"/>
    <w:rsid w:val="007651C2"/>
    <w:rsid w:val="007655CC"/>
    <w:rsid w:val="007670DE"/>
    <w:rsid w:val="00767483"/>
    <w:rsid w:val="00772237"/>
    <w:rsid w:val="00772DD5"/>
    <w:rsid w:val="007744A3"/>
    <w:rsid w:val="0077466E"/>
    <w:rsid w:val="00782A20"/>
    <w:rsid w:val="00790117"/>
    <w:rsid w:val="00790146"/>
    <w:rsid w:val="00790A54"/>
    <w:rsid w:val="00791BBC"/>
    <w:rsid w:val="00796867"/>
    <w:rsid w:val="0079778D"/>
    <w:rsid w:val="00797862"/>
    <w:rsid w:val="007979BD"/>
    <w:rsid w:val="007A0C02"/>
    <w:rsid w:val="007A0C97"/>
    <w:rsid w:val="007A1313"/>
    <w:rsid w:val="007A1473"/>
    <w:rsid w:val="007A2EEC"/>
    <w:rsid w:val="007A3C18"/>
    <w:rsid w:val="007A55BD"/>
    <w:rsid w:val="007A5E8D"/>
    <w:rsid w:val="007A5F97"/>
    <w:rsid w:val="007B0FED"/>
    <w:rsid w:val="007B11F6"/>
    <w:rsid w:val="007B182C"/>
    <w:rsid w:val="007B26C2"/>
    <w:rsid w:val="007B4758"/>
    <w:rsid w:val="007B56E1"/>
    <w:rsid w:val="007B605C"/>
    <w:rsid w:val="007C23AF"/>
    <w:rsid w:val="007C24DA"/>
    <w:rsid w:val="007C261E"/>
    <w:rsid w:val="007C2926"/>
    <w:rsid w:val="007C2B58"/>
    <w:rsid w:val="007C382B"/>
    <w:rsid w:val="007C43AC"/>
    <w:rsid w:val="007C55B2"/>
    <w:rsid w:val="007C5A12"/>
    <w:rsid w:val="007C5DB7"/>
    <w:rsid w:val="007C67FF"/>
    <w:rsid w:val="007D0D2E"/>
    <w:rsid w:val="007D101C"/>
    <w:rsid w:val="007D14BC"/>
    <w:rsid w:val="007D1B5D"/>
    <w:rsid w:val="007D3474"/>
    <w:rsid w:val="007D3601"/>
    <w:rsid w:val="007D3E82"/>
    <w:rsid w:val="007D5EB9"/>
    <w:rsid w:val="007E446C"/>
    <w:rsid w:val="007E5839"/>
    <w:rsid w:val="007E7701"/>
    <w:rsid w:val="007F1A45"/>
    <w:rsid w:val="007F268C"/>
    <w:rsid w:val="007F2FC9"/>
    <w:rsid w:val="007F3329"/>
    <w:rsid w:val="007F4DE1"/>
    <w:rsid w:val="007F51C2"/>
    <w:rsid w:val="007F5AC2"/>
    <w:rsid w:val="007F6ED1"/>
    <w:rsid w:val="007F7387"/>
    <w:rsid w:val="0080013D"/>
    <w:rsid w:val="0080125C"/>
    <w:rsid w:val="00802598"/>
    <w:rsid w:val="008046E3"/>
    <w:rsid w:val="00805EE4"/>
    <w:rsid w:val="00805F4C"/>
    <w:rsid w:val="008072B0"/>
    <w:rsid w:val="008113BF"/>
    <w:rsid w:val="008119FE"/>
    <w:rsid w:val="00811E73"/>
    <w:rsid w:val="00814B25"/>
    <w:rsid w:val="00816F77"/>
    <w:rsid w:val="00817001"/>
    <w:rsid w:val="00817D35"/>
    <w:rsid w:val="00820382"/>
    <w:rsid w:val="00820D2E"/>
    <w:rsid w:val="00822596"/>
    <w:rsid w:val="00822A23"/>
    <w:rsid w:val="00822BF9"/>
    <w:rsid w:val="0082514D"/>
    <w:rsid w:val="00825953"/>
    <w:rsid w:val="00826477"/>
    <w:rsid w:val="00827665"/>
    <w:rsid w:val="00830534"/>
    <w:rsid w:val="00830C78"/>
    <w:rsid w:val="00831B1E"/>
    <w:rsid w:val="00831B96"/>
    <w:rsid w:val="00833D69"/>
    <w:rsid w:val="0083541F"/>
    <w:rsid w:val="00835D25"/>
    <w:rsid w:val="008372E6"/>
    <w:rsid w:val="00840190"/>
    <w:rsid w:val="00843493"/>
    <w:rsid w:val="00843860"/>
    <w:rsid w:val="008448AD"/>
    <w:rsid w:val="00846085"/>
    <w:rsid w:val="00846EF2"/>
    <w:rsid w:val="008471A6"/>
    <w:rsid w:val="00847CE9"/>
    <w:rsid w:val="00850126"/>
    <w:rsid w:val="00850F58"/>
    <w:rsid w:val="00851A5C"/>
    <w:rsid w:val="00852191"/>
    <w:rsid w:val="008559DB"/>
    <w:rsid w:val="00855CED"/>
    <w:rsid w:val="008607B6"/>
    <w:rsid w:val="00860F53"/>
    <w:rsid w:val="00863151"/>
    <w:rsid w:val="00864C57"/>
    <w:rsid w:val="0086575E"/>
    <w:rsid w:val="00865981"/>
    <w:rsid w:val="00866C41"/>
    <w:rsid w:val="008700DD"/>
    <w:rsid w:val="00873647"/>
    <w:rsid w:val="008737A2"/>
    <w:rsid w:val="00874021"/>
    <w:rsid w:val="0087475A"/>
    <w:rsid w:val="00874B93"/>
    <w:rsid w:val="008758E7"/>
    <w:rsid w:val="00875ACD"/>
    <w:rsid w:val="00875CB4"/>
    <w:rsid w:val="00875F73"/>
    <w:rsid w:val="00876E36"/>
    <w:rsid w:val="00880700"/>
    <w:rsid w:val="00882309"/>
    <w:rsid w:val="00885209"/>
    <w:rsid w:val="008855DA"/>
    <w:rsid w:val="00885D23"/>
    <w:rsid w:val="0088795B"/>
    <w:rsid w:val="00887DCF"/>
    <w:rsid w:val="00890C73"/>
    <w:rsid w:val="0089148E"/>
    <w:rsid w:val="00892D64"/>
    <w:rsid w:val="00892E34"/>
    <w:rsid w:val="0089405F"/>
    <w:rsid w:val="0089429B"/>
    <w:rsid w:val="0089622E"/>
    <w:rsid w:val="00896CB5"/>
    <w:rsid w:val="008971A7"/>
    <w:rsid w:val="008A07B0"/>
    <w:rsid w:val="008A086C"/>
    <w:rsid w:val="008A0ECD"/>
    <w:rsid w:val="008A212F"/>
    <w:rsid w:val="008A2138"/>
    <w:rsid w:val="008A3F14"/>
    <w:rsid w:val="008A478F"/>
    <w:rsid w:val="008A6525"/>
    <w:rsid w:val="008A65A0"/>
    <w:rsid w:val="008A68F3"/>
    <w:rsid w:val="008A6F39"/>
    <w:rsid w:val="008B0966"/>
    <w:rsid w:val="008B112D"/>
    <w:rsid w:val="008B1481"/>
    <w:rsid w:val="008B3FFD"/>
    <w:rsid w:val="008B46E2"/>
    <w:rsid w:val="008B5F6C"/>
    <w:rsid w:val="008B60E2"/>
    <w:rsid w:val="008C01F0"/>
    <w:rsid w:val="008C1AF5"/>
    <w:rsid w:val="008C223E"/>
    <w:rsid w:val="008C2A33"/>
    <w:rsid w:val="008C2CFB"/>
    <w:rsid w:val="008C33D5"/>
    <w:rsid w:val="008C3E17"/>
    <w:rsid w:val="008C58BE"/>
    <w:rsid w:val="008C5AB1"/>
    <w:rsid w:val="008C5D8C"/>
    <w:rsid w:val="008C5F77"/>
    <w:rsid w:val="008C7838"/>
    <w:rsid w:val="008D0504"/>
    <w:rsid w:val="008D0A98"/>
    <w:rsid w:val="008D1200"/>
    <w:rsid w:val="008D2551"/>
    <w:rsid w:val="008D4135"/>
    <w:rsid w:val="008D6A63"/>
    <w:rsid w:val="008E5BE2"/>
    <w:rsid w:val="008E5F61"/>
    <w:rsid w:val="008E7A40"/>
    <w:rsid w:val="008F0C70"/>
    <w:rsid w:val="008F1C4B"/>
    <w:rsid w:val="008F44C6"/>
    <w:rsid w:val="008F5C5B"/>
    <w:rsid w:val="008F672B"/>
    <w:rsid w:val="009001A2"/>
    <w:rsid w:val="00901589"/>
    <w:rsid w:val="0090174B"/>
    <w:rsid w:val="0090330E"/>
    <w:rsid w:val="0090376D"/>
    <w:rsid w:val="00903C64"/>
    <w:rsid w:val="00903FB8"/>
    <w:rsid w:val="00906512"/>
    <w:rsid w:val="009070C0"/>
    <w:rsid w:val="00910061"/>
    <w:rsid w:val="00910954"/>
    <w:rsid w:val="009119B9"/>
    <w:rsid w:val="00914807"/>
    <w:rsid w:val="00915276"/>
    <w:rsid w:val="009164CD"/>
    <w:rsid w:val="009211A8"/>
    <w:rsid w:val="009212BA"/>
    <w:rsid w:val="00922B86"/>
    <w:rsid w:val="00923EB2"/>
    <w:rsid w:val="00927492"/>
    <w:rsid w:val="00927E8F"/>
    <w:rsid w:val="00930714"/>
    <w:rsid w:val="00930A05"/>
    <w:rsid w:val="0093145D"/>
    <w:rsid w:val="0093202B"/>
    <w:rsid w:val="009347F6"/>
    <w:rsid w:val="0093539C"/>
    <w:rsid w:val="00935DDC"/>
    <w:rsid w:val="009362FD"/>
    <w:rsid w:val="00937EDF"/>
    <w:rsid w:val="0094700A"/>
    <w:rsid w:val="00947CA6"/>
    <w:rsid w:val="0095007D"/>
    <w:rsid w:val="0095009B"/>
    <w:rsid w:val="00950471"/>
    <w:rsid w:val="00953F3C"/>
    <w:rsid w:val="0095444B"/>
    <w:rsid w:val="0095698F"/>
    <w:rsid w:val="00961F5D"/>
    <w:rsid w:val="00963792"/>
    <w:rsid w:val="009641BD"/>
    <w:rsid w:val="00965471"/>
    <w:rsid w:val="009670A0"/>
    <w:rsid w:val="009671B7"/>
    <w:rsid w:val="00967C24"/>
    <w:rsid w:val="009716A7"/>
    <w:rsid w:val="009719A4"/>
    <w:rsid w:val="00972126"/>
    <w:rsid w:val="00972321"/>
    <w:rsid w:val="00972C2D"/>
    <w:rsid w:val="00973218"/>
    <w:rsid w:val="00973CD9"/>
    <w:rsid w:val="00973F9D"/>
    <w:rsid w:val="009746F3"/>
    <w:rsid w:val="00976A3F"/>
    <w:rsid w:val="00976F0A"/>
    <w:rsid w:val="00980373"/>
    <w:rsid w:val="00981EC8"/>
    <w:rsid w:val="0098324B"/>
    <w:rsid w:val="00983E2C"/>
    <w:rsid w:val="00985A22"/>
    <w:rsid w:val="00986047"/>
    <w:rsid w:val="0099027A"/>
    <w:rsid w:val="0099084E"/>
    <w:rsid w:val="00991135"/>
    <w:rsid w:val="00992E82"/>
    <w:rsid w:val="00993510"/>
    <w:rsid w:val="00994D72"/>
    <w:rsid w:val="009954CA"/>
    <w:rsid w:val="00995964"/>
    <w:rsid w:val="00996FED"/>
    <w:rsid w:val="009A2838"/>
    <w:rsid w:val="009A5275"/>
    <w:rsid w:val="009A56FE"/>
    <w:rsid w:val="009A6C4F"/>
    <w:rsid w:val="009A6EEF"/>
    <w:rsid w:val="009A7335"/>
    <w:rsid w:val="009A7CA9"/>
    <w:rsid w:val="009B0154"/>
    <w:rsid w:val="009B0616"/>
    <w:rsid w:val="009B0EEB"/>
    <w:rsid w:val="009B1634"/>
    <w:rsid w:val="009B1AE2"/>
    <w:rsid w:val="009B39B0"/>
    <w:rsid w:val="009B51F9"/>
    <w:rsid w:val="009B6285"/>
    <w:rsid w:val="009B67E0"/>
    <w:rsid w:val="009B681D"/>
    <w:rsid w:val="009B682F"/>
    <w:rsid w:val="009B7012"/>
    <w:rsid w:val="009B7D0C"/>
    <w:rsid w:val="009C01B7"/>
    <w:rsid w:val="009C01C2"/>
    <w:rsid w:val="009C0668"/>
    <w:rsid w:val="009C1510"/>
    <w:rsid w:val="009C510F"/>
    <w:rsid w:val="009C5E3E"/>
    <w:rsid w:val="009C6F5E"/>
    <w:rsid w:val="009C7441"/>
    <w:rsid w:val="009C7A0A"/>
    <w:rsid w:val="009D1DA9"/>
    <w:rsid w:val="009D3750"/>
    <w:rsid w:val="009D39B4"/>
    <w:rsid w:val="009D576F"/>
    <w:rsid w:val="009D5863"/>
    <w:rsid w:val="009D5CCD"/>
    <w:rsid w:val="009D6B69"/>
    <w:rsid w:val="009E06FF"/>
    <w:rsid w:val="009E1FEF"/>
    <w:rsid w:val="009E2C4D"/>
    <w:rsid w:val="009E3AE5"/>
    <w:rsid w:val="009E3F09"/>
    <w:rsid w:val="009E4169"/>
    <w:rsid w:val="009E6AAC"/>
    <w:rsid w:val="009E7653"/>
    <w:rsid w:val="009E7DA0"/>
    <w:rsid w:val="009F0B5C"/>
    <w:rsid w:val="009F10CE"/>
    <w:rsid w:val="009F2E5B"/>
    <w:rsid w:val="009F3854"/>
    <w:rsid w:val="009F54BB"/>
    <w:rsid w:val="009F590A"/>
    <w:rsid w:val="009F668E"/>
    <w:rsid w:val="009F6BD5"/>
    <w:rsid w:val="009F79A8"/>
    <w:rsid w:val="00A0011E"/>
    <w:rsid w:val="00A00CBD"/>
    <w:rsid w:val="00A03FC2"/>
    <w:rsid w:val="00A03FEC"/>
    <w:rsid w:val="00A0671F"/>
    <w:rsid w:val="00A06C24"/>
    <w:rsid w:val="00A0724E"/>
    <w:rsid w:val="00A075F6"/>
    <w:rsid w:val="00A07733"/>
    <w:rsid w:val="00A10006"/>
    <w:rsid w:val="00A10867"/>
    <w:rsid w:val="00A119F0"/>
    <w:rsid w:val="00A11A95"/>
    <w:rsid w:val="00A11D6F"/>
    <w:rsid w:val="00A122AF"/>
    <w:rsid w:val="00A134BE"/>
    <w:rsid w:val="00A13C64"/>
    <w:rsid w:val="00A14C8E"/>
    <w:rsid w:val="00A14CCA"/>
    <w:rsid w:val="00A15D18"/>
    <w:rsid w:val="00A16A83"/>
    <w:rsid w:val="00A1755B"/>
    <w:rsid w:val="00A175AF"/>
    <w:rsid w:val="00A17F9F"/>
    <w:rsid w:val="00A2089A"/>
    <w:rsid w:val="00A20A48"/>
    <w:rsid w:val="00A21372"/>
    <w:rsid w:val="00A22335"/>
    <w:rsid w:val="00A22B48"/>
    <w:rsid w:val="00A22C54"/>
    <w:rsid w:val="00A23F8C"/>
    <w:rsid w:val="00A2558A"/>
    <w:rsid w:val="00A25B67"/>
    <w:rsid w:val="00A26B0A"/>
    <w:rsid w:val="00A26D0A"/>
    <w:rsid w:val="00A301A6"/>
    <w:rsid w:val="00A30540"/>
    <w:rsid w:val="00A318B8"/>
    <w:rsid w:val="00A32BBA"/>
    <w:rsid w:val="00A330C5"/>
    <w:rsid w:val="00A33724"/>
    <w:rsid w:val="00A3495C"/>
    <w:rsid w:val="00A34F46"/>
    <w:rsid w:val="00A35DE6"/>
    <w:rsid w:val="00A3787B"/>
    <w:rsid w:val="00A4118F"/>
    <w:rsid w:val="00A43C37"/>
    <w:rsid w:val="00A44D3E"/>
    <w:rsid w:val="00A45727"/>
    <w:rsid w:val="00A4669C"/>
    <w:rsid w:val="00A46E4C"/>
    <w:rsid w:val="00A50E1B"/>
    <w:rsid w:val="00A52BBD"/>
    <w:rsid w:val="00A535CD"/>
    <w:rsid w:val="00A54A71"/>
    <w:rsid w:val="00A554EB"/>
    <w:rsid w:val="00A562D8"/>
    <w:rsid w:val="00A5657A"/>
    <w:rsid w:val="00A577BB"/>
    <w:rsid w:val="00A6113A"/>
    <w:rsid w:val="00A62E7B"/>
    <w:rsid w:val="00A62FB0"/>
    <w:rsid w:val="00A64242"/>
    <w:rsid w:val="00A64D4A"/>
    <w:rsid w:val="00A64D62"/>
    <w:rsid w:val="00A65A0A"/>
    <w:rsid w:val="00A65CAC"/>
    <w:rsid w:val="00A67FDB"/>
    <w:rsid w:val="00A773FC"/>
    <w:rsid w:val="00A77438"/>
    <w:rsid w:val="00A80EC1"/>
    <w:rsid w:val="00A86394"/>
    <w:rsid w:val="00A8707E"/>
    <w:rsid w:val="00A879B9"/>
    <w:rsid w:val="00A913FF"/>
    <w:rsid w:val="00A91FAF"/>
    <w:rsid w:val="00A921DD"/>
    <w:rsid w:val="00A94D1A"/>
    <w:rsid w:val="00A9621D"/>
    <w:rsid w:val="00A96811"/>
    <w:rsid w:val="00AA0D24"/>
    <w:rsid w:val="00AA5727"/>
    <w:rsid w:val="00AB0361"/>
    <w:rsid w:val="00AB0447"/>
    <w:rsid w:val="00AB2F8D"/>
    <w:rsid w:val="00AB3957"/>
    <w:rsid w:val="00AB3D9C"/>
    <w:rsid w:val="00AB3E6C"/>
    <w:rsid w:val="00AB698E"/>
    <w:rsid w:val="00AB6E22"/>
    <w:rsid w:val="00AB7756"/>
    <w:rsid w:val="00AC098F"/>
    <w:rsid w:val="00AC22E9"/>
    <w:rsid w:val="00AC2F8D"/>
    <w:rsid w:val="00AC3384"/>
    <w:rsid w:val="00AC37AF"/>
    <w:rsid w:val="00AC3F91"/>
    <w:rsid w:val="00AC4462"/>
    <w:rsid w:val="00AC72A2"/>
    <w:rsid w:val="00AC7458"/>
    <w:rsid w:val="00AD0FDD"/>
    <w:rsid w:val="00AD159F"/>
    <w:rsid w:val="00AD164A"/>
    <w:rsid w:val="00AD459C"/>
    <w:rsid w:val="00AD4B13"/>
    <w:rsid w:val="00AD79D7"/>
    <w:rsid w:val="00AE02C1"/>
    <w:rsid w:val="00AE092F"/>
    <w:rsid w:val="00AE0DC7"/>
    <w:rsid w:val="00AE1B7C"/>
    <w:rsid w:val="00AE1BBD"/>
    <w:rsid w:val="00AE3C62"/>
    <w:rsid w:val="00AE3E6C"/>
    <w:rsid w:val="00AE5845"/>
    <w:rsid w:val="00AE5CB4"/>
    <w:rsid w:val="00AE5E59"/>
    <w:rsid w:val="00AE6AFD"/>
    <w:rsid w:val="00AE7147"/>
    <w:rsid w:val="00AE7BF6"/>
    <w:rsid w:val="00AE7F35"/>
    <w:rsid w:val="00AF32C1"/>
    <w:rsid w:val="00AF4E9F"/>
    <w:rsid w:val="00AF7DD0"/>
    <w:rsid w:val="00B00B73"/>
    <w:rsid w:val="00B03CE1"/>
    <w:rsid w:val="00B04141"/>
    <w:rsid w:val="00B04C1D"/>
    <w:rsid w:val="00B04EF4"/>
    <w:rsid w:val="00B05374"/>
    <w:rsid w:val="00B0605D"/>
    <w:rsid w:val="00B066EC"/>
    <w:rsid w:val="00B07A20"/>
    <w:rsid w:val="00B11168"/>
    <w:rsid w:val="00B113B5"/>
    <w:rsid w:val="00B12EFA"/>
    <w:rsid w:val="00B13444"/>
    <w:rsid w:val="00B13AFE"/>
    <w:rsid w:val="00B14DA0"/>
    <w:rsid w:val="00B1698D"/>
    <w:rsid w:val="00B202AA"/>
    <w:rsid w:val="00B224EC"/>
    <w:rsid w:val="00B23813"/>
    <w:rsid w:val="00B23884"/>
    <w:rsid w:val="00B26D9C"/>
    <w:rsid w:val="00B317FF"/>
    <w:rsid w:val="00B31C3D"/>
    <w:rsid w:val="00B33454"/>
    <w:rsid w:val="00B34128"/>
    <w:rsid w:val="00B349CB"/>
    <w:rsid w:val="00B34A3A"/>
    <w:rsid w:val="00B34BE5"/>
    <w:rsid w:val="00B40291"/>
    <w:rsid w:val="00B40A87"/>
    <w:rsid w:val="00B410DE"/>
    <w:rsid w:val="00B419B7"/>
    <w:rsid w:val="00B42372"/>
    <w:rsid w:val="00B428DE"/>
    <w:rsid w:val="00B431FA"/>
    <w:rsid w:val="00B43683"/>
    <w:rsid w:val="00B4393F"/>
    <w:rsid w:val="00B43D52"/>
    <w:rsid w:val="00B44B25"/>
    <w:rsid w:val="00B44F76"/>
    <w:rsid w:val="00B463F2"/>
    <w:rsid w:val="00B47102"/>
    <w:rsid w:val="00B4784D"/>
    <w:rsid w:val="00B5081A"/>
    <w:rsid w:val="00B51134"/>
    <w:rsid w:val="00B51757"/>
    <w:rsid w:val="00B51BBD"/>
    <w:rsid w:val="00B52AFA"/>
    <w:rsid w:val="00B53901"/>
    <w:rsid w:val="00B55153"/>
    <w:rsid w:val="00B55D75"/>
    <w:rsid w:val="00B57B68"/>
    <w:rsid w:val="00B602AA"/>
    <w:rsid w:val="00B60C16"/>
    <w:rsid w:val="00B642F6"/>
    <w:rsid w:val="00B64410"/>
    <w:rsid w:val="00B6475F"/>
    <w:rsid w:val="00B64C31"/>
    <w:rsid w:val="00B6750E"/>
    <w:rsid w:val="00B67A6A"/>
    <w:rsid w:val="00B7056C"/>
    <w:rsid w:val="00B70A1B"/>
    <w:rsid w:val="00B70B36"/>
    <w:rsid w:val="00B73DD6"/>
    <w:rsid w:val="00B73E4D"/>
    <w:rsid w:val="00B740A3"/>
    <w:rsid w:val="00B74235"/>
    <w:rsid w:val="00B7471A"/>
    <w:rsid w:val="00B753FD"/>
    <w:rsid w:val="00B76AE2"/>
    <w:rsid w:val="00B76B16"/>
    <w:rsid w:val="00B77EA8"/>
    <w:rsid w:val="00B80662"/>
    <w:rsid w:val="00B80F21"/>
    <w:rsid w:val="00B820CF"/>
    <w:rsid w:val="00B856E3"/>
    <w:rsid w:val="00B865D6"/>
    <w:rsid w:val="00B868C6"/>
    <w:rsid w:val="00B86A7D"/>
    <w:rsid w:val="00B87B2B"/>
    <w:rsid w:val="00B91437"/>
    <w:rsid w:val="00B9164B"/>
    <w:rsid w:val="00B9164F"/>
    <w:rsid w:val="00B920ED"/>
    <w:rsid w:val="00B92DFF"/>
    <w:rsid w:val="00B9310C"/>
    <w:rsid w:val="00B95C97"/>
    <w:rsid w:val="00BA0387"/>
    <w:rsid w:val="00BA075B"/>
    <w:rsid w:val="00BA0CAC"/>
    <w:rsid w:val="00BA12F7"/>
    <w:rsid w:val="00BA535F"/>
    <w:rsid w:val="00BA5402"/>
    <w:rsid w:val="00BA56A1"/>
    <w:rsid w:val="00BA6055"/>
    <w:rsid w:val="00BA6102"/>
    <w:rsid w:val="00BA6318"/>
    <w:rsid w:val="00BA6861"/>
    <w:rsid w:val="00BA6ACA"/>
    <w:rsid w:val="00BA746D"/>
    <w:rsid w:val="00BB0646"/>
    <w:rsid w:val="00BB0C30"/>
    <w:rsid w:val="00BB0CEA"/>
    <w:rsid w:val="00BB1368"/>
    <w:rsid w:val="00BB1581"/>
    <w:rsid w:val="00BB5B53"/>
    <w:rsid w:val="00BB67CC"/>
    <w:rsid w:val="00BB68A0"/>
    <w:rsid w:val="00BC0ADD"/>
    <w:rsid w:val="00BC22FA"/>
    <w:rsid w:val="00BC27FD"/>
    <w:rsid w:val="00BC630A"/>
    <w:rsid w:val="00BC69AC"/>
    <w:rsid w:val="00BC6E72"/>
    <w:rsid w:val="00BD0D16"/>
    <w:rsid w:val="00BD24CD"/>
    <w:rsid w:val="00BD2995"/>
    <w:rsid w:val="00BD325C"/>
    <w:rsid w:val="00BD3A1E"/>
    <w:rsid w:val="00BD3BF4"/>
    <w:rsid w:val="00BD4155"/>
    <w:rsid w:val="00BD4353"/>
    <w:rsid w:val="00BD5961"/>
    <w:rsid w:val="00BD59BA"/>
    <w:rsid w:val="00BD68CA"/>
    <w:rsid w:val="00BD6F4A"/>
    <w:rsid w:val="00BD71F9"/>
    <w:rsid w:val="00BE1AAD"/>
    <w:rsid w:val="00BE2223"/>
    <w:rsid w:val="00BE2397"/>
    <w:rsid w:val="00BE2A9D"/>
    <w:rsid w:val="00BE2BE3"/>
    <w:rsid w:val="00BE2FDD"/>
    <w:rsid w:val="00BE627F"/>
    <w:rsid w:val="00BF02DF"/>
    <w:rsid w:val="00BF2D9D"/>
    <w:rsid w:val="00BF3508"/>
    <w:rsid w:val="00BF6836"/>
    <w:rsid w:val="00BF736C"/>
    <w:rsid w:val="00BF7482"/>
    <w:rsid w:val="00C0024C"/>
    <w:rsid w:val="00C006FE"/>
    <w:rsid w:val="00C009AD"/>
    <w:rsid w:val="00C0141E"/>
    <w:rsid w:val="00C03D2C"/>
    <w:rsid w:val="00C04A70"/>
    <w:rsid w:val="00C04AB8"/>
    <w:rsid w:val="00C04B2F"/>
    <w:rsid w:val="00C07075"/>
    <w:rsid w:val="00C07D00"/>
    <w:rsid w:val="00C12E2A"/>
    <w:rsid w:val="00C15E6B"/>
    <w:rsid w:val="00C166BF"/>
    <w:rsid w:val="00C16D65"/>
    <w:rsid w:val="00C16F40"/>
    <w:rsid w:val="00C176DE"/>
    <w:rsid w:val="00C202B3"/>
    <w:rsid w:val="00C20547"/>
    <w:rsid w:val="00C20A3C"/>
    <w:rsid w:val="00C2313E"/>
    <w:rsid w:val="00C23949"/>
    <w:rsid w:val="00C24255"/>
    <w:rsid w:val="00C2504D"/>
    <w:rsid w:val="00C2534E"/>
    <w:rsid w:val="00C2601C"/>
    <w:rsid w:val="00C2625E"/>
    <w:rsid w:val="00C26690"/>
    <w:rsid w:val="00C27495"/>
    <w:rsid w:val="00C275B1"/>
    <w:rsid w:val="00C277EF"/>
    <w:rsid w:val="00C31669"/>
    <w:rsid w:val="00C32390"/>
    <w:rsid w:val="00C32961"/>
    <w:rsid w:val="00C33A1D"/>
    <w:rsid w:val="00C33B3A"/>
    <w:rsid w:val="00C352E4"/>
    <w:rsid w:val="00C35AD5"/>
    <w:rsid w:val="00C368EE"/>
    <w:rsid w:val="00C373F3"/>
    <w:rsid w:val="00C41E7A"/>
    <w:rsid w:val="00C42267"/>
    <w:rsid w:val="00C44F6A"/>
    <w:rsid w:val="00C46022"/>
    <w:rsid w:val="00C47DE8"/>
    <w:rsid w:val="00C51197"/>
    <w:rsid w:val="00C52CC6"/>
    <w:rsid w:val="00C52FA9"/>
    <w:rsid w:val="00C53AE0"/>
    <w:rsid w:val="00C53C56"/>
    <w:rsid w:val="00C542C5"/>
    <w:rsid w:val="00C5430A"/>
    <w:rsid w:val="00C554E2"/>
    <w:rsid w:val="00C558DF"/>
    <w:rsid w:val="00C56B9D"/>
    <w:rsid w:val="00C60725"/>
    <w:rsid w:val="00C61633"/>
    <w:rsid w:val="00C62510"/>
    <w:rsid w:val="00C63315"/>
    <w:rsid w:val="00C662C8"/>
    <w:rsid w:val="00C729B0"/>
    <w:rsid w:val="00C739D3"/>
    <w:rsid w:val="00C7465C"/>
    <w:rsid w:val="00C74CBE"/>
    <w:rsid w:val="00C74D58"/>
    <w:rsid w:val="00C7787A"/>
    <w:rsid w:val="00C77DFF"/>
    <w:rsid w:val="00C77E8B"/>
    <w:rsid w:val="00C8035E"/>
    <w:rsid w:val="00C80521"/>
    <w:rsid w:val="00C80B26"/>
    <w:rsid w:val="00C8261A"/>
    <w:rsid w:val="00C830AB"/>
    <w:rsid w:val="00C837D2"/>
    <w:rsid w:val="00C84117"/>
    <w:rsid w:val="00C8414D"/>
    <w:rsid w:val="00C841A4"/>
    <w:rsid w:val="00C858F7"/>
    <w:rsid w:val="00C860CC"/>
    <w:rsid w:val="00C86A87"/>
    <w:rsid w:val="00C91E20"/>
    <w:rsid w:val="00C92173"/>
    <w:rsid w:val="00C947F3"/>
    <w:rsid w:val="00C95665"/>
    <w:rsid w:val="00C96862"/>
    <w:rsid w:val="00C97AA1"/>
    <w:rsid w:val="00CA0328"/>
    <w:rsid w:val="00CA367B"/>
    <w:rsid w:val="00CA533F"/>
    <w:rsid w:val="00CA6751"/>
    <w:rsid w:val="00CB0482"/>
    <w:rsid w:val="00CB1A95"/>
    <w:rsid w:val="00CB1DAA"/>
    <w:rsid w:val="00CB211D"/>
    <w:rsid w:val="00CB319E"/>
    <w:rsid w:val="00CB3590"/>
    <w:rsid w:val="00CB4963"/>
    <w:rsid w:val="00CC45FB"/>
    <w:rsid w:val="00CD184C"/>
    <w:rsid w:val="00CD1AC6"/>
    <w:rsid w:val="00CD26AF"/>
    <w:rsid w:val="00CD309D"/>
    <w:rsid w:val="00CD4D88"/>
    <w:rsid w:val="00CD6833"/>
    <w:rsid w:val="00CD68D5"/>
    <w:rsid w:val="00CD7BE7"/>
    <w:rsid w:val="00CE0AD7"/>
    <w:rsid w:val="00CE2A84"/>
    <w:rsid w:val="00CE3282"/>
    <w:rsid w:val="00CE377D"/>
    <w:rsid w:val="00CE44CB"/>
    <w:rsid w:val="00CE5013"/>
    <w:rsid w:val="00CE53CE"/>
    <w:rsid w:val="00CE5643"/>
    <w:rsid w:val="00CF0332"/>
    <w:rsid w:val="00CF128E"/>
    <w:rsid w:val="00CF1918"/>
    <w:rsid w:val="00CF2521"/>
    <w:rsid w:val="00CF2640"/>
    <w:rsid w:val="00CF67FD"/>
    <w:rsid w:val="00CF680C"/>
    <w:rsid w:val="00CF6909"/>
    <w:rsid w:val="00CF6D80"/>
    <w:rsid w:val="00CF767F"/>
    <w:rsid w:val="00D006F4"/>
    <w:rsid w:val="00D00D9A"/>
    <w:rsid w:val="00D013F2"/>
    <w:rsid w:val="00D05A77"/>
    <w:rsid w:val="00D07EF2"/>
    <w:rsid w:val="00D10354"/>
    <w:rsid w:val="00D10A05"/>
    <w:rsid w:val="00D14151"/>
    <w:rsid w:val="00D1451D"/>
    <w:rsid w:val="00D152F4"/>
    <w:rsid w:val="00D15884"/>
    <w:rsid w:val="00D17B7E"/>
    <w:rsid w:val="00D17DF9"/>
    <w:rsid w:val="00D2024A"/>
    <w:rsid w:val="00D206E0"/>
    <w:rsid w:val="00D225F3"/>
    <w:rsid w:val="00D23539"/>
    <w:rsid w:val="00D24999"/>
    <w:rsid w:val="00D249A4"/>
    <w:rsid w:val="00D24F50"/>
    <w:rsid w:val="00D25F54"/>
    <w:rsid w:val="00D260A8"/>
    <w:rsid w:val="00D27D50"/>
    <w:rsid w:val="00D30090"/>
    <w:rsid w:val="00D302D7"/>
    <w:rsid w:val="00D305DD"/>
    <w:rsid w:val="00D30852"/>
    <w:rsid w:val="00D30903"/>
    <w:rsid w:val="00D318EE"/>
    <w:rsid w:val="00D33684"/>
    <w:rsid w:val="00D36908"/>
    <w:rsid w:val="00D36FFF"/>
    <w:rsid w:val="00D40626"/>
    <w:rsid w:val="00D4140B"/>
    <w:rsid w:val="00D416D9"/>
    <w:rsid w:val="00D41A02"/>
    <w:rsid w:val="00D42BA3"/>
    <w:rsid w:val="00D4472D"/>
    <w:rsid w:val="00D447E4"/>
    <w:rsid w:val="00D4727F"/>
    <w:rsid w:val="00D47BE6"/>
    <w:rsid w:val="00D47C78"/>
    <w:rsid w:val="00D515BC"/>
    <w:rsid w:val="00D52B44"/>
    <w:rsid w:val="00D52FB9"/>
    <w:rsid w:val="00D5341B"/>
    <w:rsid w:val="00D53C5A"/>
    <w:rsid w:val="00D563EE"/>
    <w:rsid w:val="00D6019B"/>
    <w:rsid w:val="00D60BE5"/>
    <w:rsid w:val="00D60C14"/>
    <w:rsid w:val="00D60DA9"/>
    <w:rsid w:val="00D6202F"/>
    <w:rsid w:val="00D624C5"/>
    <w:rsid w:val="00D6376E"/>
    <w:rsid w:val="00D640B7"/>
    <w:rsid w:val="00D64654"/>
    <w:rsid w:val="00D657A9"/>
    <w:rsid w:val="00D664B2"/>
    <w:rsid w:val="00D6784E"/>
    <w:rsid w:val="00D70CBD"/>
    <w:rsid w:val="00D713DE"/>
    <w:rsid w:val="00D726FD"/>
    <w:rsid w:val="00D733C7"/>
    <w:rsid w:val="00D738F6"/>
    <w:rsid w:val="00D7519B"/>
    <w:rsid w:val="00D759F3"/>
    <w:rsid w:val="00D75E38"/>
    <w:rsid w:val="00D7728B"/>
    <w:rsid w:val="00D8273C"/>
    <w:rsid w:val="00D82775"/>
    <w:rsid w:val="00D82AAF"/>
    <w:rsid w:val="00D82F12"/>
    <w:rsid w:val="00D83757"/>
    <w:rsid w:val="00D84470"/>
    <w:rsid w:val="00D87FA9"/>
    <w:rsid w:val="00D902B7"/>
    <w:rsid w:val="00D956D6"/>
    <w:rsid w:val="00D9715E"/>
    <w:rsid w:val="00DA1423"/>
    <w:rsid w:val="00DA2043"/>
    <w:rsid w:val="00DA2DC2"/>
    <w:rsid w:val="00DA33A6"/>
    <w:rsid w:val="00DA359A"/>
    <w:rsid w:val="00DA5029"/>
    <w:rsid w:val="00DA509A"/>
    <w:rsid w:val="00DA61B5"/>
    <w:rsid w:val="00DA61FB"/>
    <w:rsid w:val="00DA62C4"/>
    <w:rsid w:val="00DA689E"/>
    <w:rsid w:val="00DA7FB0"/>
    <w:rsid w:val="00DB0377"/>
    <w:rsid w:val="00DB15C7"/>
    <w:rsid w:val="00DB18D1"/>
    <w:rsid w:val="00DB3A68"/>
    <w:rsid w:val="00DB4BF6"/>
    <w:rsid w:val="00DB4F7B"/>
    <w:rsid w:val="00DB5A32"/>
    <w:rsid w:val="00DB5AF0"/>
    <w:rsid w:val="00DB68A2"/>
    <w:rsid w:val="00DC0238"/>
    <w:rsid w:val="00DC04FB"/>
    <w:rsid w:val="00DC0E2F"/>
    <w:rsid w:val="00DC0E4A"/>
    <w:rsid w:val="00DC12F7"/>
    <w:rsid w:val="00DC4C80"/>
    <w:rsid w:val="00DC5CB4"/>
    <w:rsid w:val="00DD03F1"/>
    <w:rsid w:val="00DD0412"/>
    <w:rsid w:val="00DD07AB"/>
    <w:rsid w:val="00DD1156"/>
    <w:rsid w:val="00DD141F"/>
    <w:rsid w:val="00DD242C"/>
    <w:rsid w:val="00DD2A74"/>
    <w:rsid w:val="00DD40F3"/>
    <w:rsid w:val="00DD4CC2"/>
    <w:rsid w:val="00DD51A1"/>
    <w:rsid w:val="00DD52A0"/>
    <w:rsid w:val="00DD7D7B"/>
    <w:rsid w:val="00DE0C19"/>
    <w:rsid w:val="00DE3E9C"/>
    <w:rsid w:val="00DE49F4"/>
    <w:rsid w:val="00DE4B3D"/>
    <w:rsid w:val="00DE59DD"/>
    <w:rsid w:val="00DF1966"/>
    <w:rsid w:val="00DF288F"/>
    <w:rsid w:val="00DF2C89"/>
    <w:rsid w:val="00DF377C"/>
    <w:rsid w:val="00DF43A1"/>
    <w:rsid w:val="00DF527B"/>
    <w:rsid w:val="00DF6991"/>
    <w:rsid w:val="00DF6BD1"/>
    <w:rsid w:val="00E012B8"/>
    <w:rsid w:val="00E01BAA"/>
    <w:rsid w:val="00E02061"/>
    <w:rsid w:val="00E02827"/>
    <w:rsid w:val="00E032E2"/>
    <w:rsid w:val="00E04087"/>
    <w:rsid w:val="00E0504B"/>
    <w:rsid w:val="00E112C8"/>
    <w:rsid w:val="00E1348F"/>
    <w:rsid w:val="00E1349E"/>
    <w:rsid w:val="00E14082"/>
    <w:rsid w:val="00E147E9"/>
    <w:rsid w:val="00E155D8"/>
    <w:rsid w:val="00E161F3"/>
    <w:rsid w:val="00E169BF"/>
    <w:rsid w:val="00E170E2"/>
    <w:rsid w:val="00E17774"/>
    <w:rsid w:val="00E20763"/>
    <w:rsid w:val="00E20A55"/>
    <w:rsid w:val="00E21269"/>
    <w:rsid w:val="00E227A9"/>
    <w:rsid w:val="00E26939"/>
    <w:rsid w:val="00E26AED"/>
    <w:rsid w:val="00E3094F"/>
    <w:rsid w:val="00E3147A"/>
    <w:rsid w:val="00E3225A"/>
    <w:rsid w:val="00E327ED"/>
    <w:rsid w:val="00E336A4"/>
    <w:rsid w:val="00E3380F"/>
    <w:rsid w:val="00E33BAF"/>
    <w:rsid w:val="00E34031"/>
    <w:rsid w:val="00E349F4"/>
    <w:rsid w:val="00E34B66"/>
    <w:rsid w:val="00E358A0"/>
    <w:rsid w:val="00E35D4E"/>
    <w:rsid w:val="00E405DB"/>
    <w:rsid w:val="00E4262F"/>
    <w:rsid w:val="00E429B9"/>
    <w:rsid w:val="00E42F6F"/>
    <w:rsid w:val="00E447CD"/>
    <w:rsid w:val="00E44D5A"/>
    <w:rsid w:val="00E46067"/>
    <w:rsid w:val="00E46253"/>
    <w:rsid w:val="00E5161E"/>
    <w:rsid w:val="00E51D9F"/>
    <w:rsid w:val="00E52155"/>
    <w:rsid w:val="00E52E0A"/>
    <w:rsid w:val="00E5365E"/>
    <w:rsid w:val="00E53C13"/>
    <w:rsid w:val="00E54F94"/>
    <w:rsid w:val="00E562A1"/>
    <w:rsid w:val="00E57535"/>
    <w:rsid w:val="00E6061A"/>
    <w:rsid w:val="00E60720"/>
    <w:rsid w:val="00E6072D"/>
    <w:rsid w:val="00E608BF"/>
    <w:rsid w:val="00E623FC"/>
    <w:rsid w:val="00E62DE6"/>
    <w:rsid w:val="00E62EBA"/>
    <w:rsid w:val="00E6346F"/>
    <w:rsid w:val="00E66024"/>
    <w:rsid w:val="00E66372"/>
    <w:rsid w:val="00E67C7B"/>
    <w:rsid w:val="00E70551"/>
    <w:rsid w:val="00E70CCC"/>
    <w:rsid w:val="00E71EEA"/>
    <w:rsid w:val="00E737CD"/>
    <w:rsid w:val="00E7435D"/>
    <w:rsid w:val="00E75FC5"/>
    <w:rsid w:val="00E80C10"/>
    <w:rsid w:val="00E81CA5"/>
    <w:rsid w:val="00E82CA1"/>
    <w:rsid w:val="00E82D9F"/>
    <w:rsid w:val="00E83A24"/>
    <w:rsid w:val="00E845CF"/>
    <w:rsid w:val="00E8558F"/>
    <w:rsid w:val="00E87CC5"/>
    <w:rsid w:val="00E87E37"/>
    <w:rsid w:val="00E90123"/>
    <w:rsid w:val="00E907D2"/>
    <w:rsid w:val="00E90942"/>
    <w:rsid w:val="00E90ED4"/>
    <w:rsid w:val="00E92ACB"/>
    <w:rsid w:val="00E92C2B"/>
    <w:rsid w:val="00E943E4"/>
    <w:rsid w:val="00E9524D"/>
    <w:rsid w:val="00E9603F"/>
    <w:rsid w:val="00E96496"/>
    <w:rsid w:val="00E96B47"/>
    <w:rsid w:val="00EA0875"/>
    <w:rsid w:val="00EA0E93"/>
    <w:rsid w:val="00EA1343"/>
    <w:rsid w:val="00EA4736"/>
    <w:rsid w:val="00EA5622"/>
    <w:rsid w:val="00EA5FFD"/>
    <w:rsid w:val="00EA78E1"/>
    <w:rsid w:val="00EA7F9C"/>
    <w:rsid w:val="00EB0CFF"/>
    <w:rsid w:val="00EB49F1"/>
    <w:rsid w:val="00EB4FEE"/>
    <w:rsid w:val="00EB61CE"/>
    <w:rsid w:val="00EB67D9"/>
    <w:rsid w:val="00EB768A"/>
    <w:rsid w:val="00EB7A87"/>
    <w:rsid w:val="00EB7CAF"/>
    <w:rsid w:val="00EC0036"/>
    <w:rsid w:val="00EC1757"/>
    <w:rsid w:val="00EC2459"/>
    <w:rsid w:val="00EC2B54"/>
    <w:rsid w:val="00EC33A0"/>
    <w:rsid w:val="00EC35C4"/>
    <w:rsid w:val="00EC3902"/>
    <w:rsid w:val="00EC633D"/>
    <w:rsid w:val="00EC6379"/>
    <w:rsid w:val="00EC7DFB"/>
    <w:rsid w:val="00ED2060"/>
    <w:rsid w:val="00ED2F29"/>
    <w:rsid w:val="00ED4F82"/>
    <w:rsid w:val="00ED6493"/>
    <w:rsid w:val="00ED71AB"/>
    <w:rsid w:val="00EE0B1E"/>
    <w:rsid w:val="00EE3CCD"/>
    <w:rsid w:val="00EE41F0"/>
    <w:rsid w:val="00EE4691"/>
    <w:rsid w:val="00EE4885"/>
    <w:rsid w:val="00EE4F10"/>
    <w:rsid w:val="00EE5678"/>
    <w:rsid w:val="00EE6134"/>
    <w:rsid w:val="00EE66CA"/>
    <w:rsid w:val="00EF0A4F"/>
    <w:rsid w:val="00EF0BF4"/>
    <w:rsid w:val="00EF2107"/>
    <w:rsid w:val="00EF41C4"/>
    <w:rsid w:val="00EF5BA5"/>
    <w:rsid w:val="00EF6C95"/>
    <w:rsid w:val="00EF6F70"/>
    <w:rsid w:val="00F02686"/>
    <w:rsid w:val="00F033C7"/>
    <w:rsid w:val="00F0375C"/>
    <w:rsid w:val="00F0495A"/>
    <w:rsid w:val="00F05BA6"/>
    <w:rsid w:val="00F10D9F"/>
    <w:rsid w:val="00F11637"/>
    <w:rsid w:val="00F11CD2"/>
    <w:rsid w:val="00F12443"/>
    <w:rsid w:val="00F124F5"/>
    <w:rsid w:val="00F1368A"/>
    <w:rsid w:val="00F13933"/>
    <w:rsid w:val="00F1398C"/>
    <w:rsid w:val="00F143D3"/>
    <w:rsid w:val="00F14C26"/>
    <w:rsid w:val="00F161E7"/>
    <w:rsid w:val="00F17B88"/>
    <w:rsid w:val="00F20695"/>
    <w:rsid w:val="00F23231"/>
    <w:rsid w:val="00F23D2F"/>
    <w:rsid w:val="00F248F0"/>
    <w:rsid w:val="00F25961"/>
    <w:rsid w:val="00F30401"/>
    <w:rsid w:val="00F30402"/>
    <w:rsid w:val="00F3052F"/>
    <w:rsid w:val="00F306D2"/>
    <w:rsid w:val="00F339F3"/>
    <w:rsid w:val="00F35EAD"/>
    <w:rsid w:val="00F36483"/>
    <w:rsid w:val="00F367A8"/>
    <w:rsid w:val="00F36982"/>
    <w:rsid w:val="00F4057B"/>
    <w:rsid w:val="00F41795"/>
    <w:rsid w:val="00F41965"/>
    <w:rsid w:val="00F42B84"/>
    <w:rsid w:val="00F445CA"/>
    <w:rsid w:val="00F44D24"/>
    <w:rsid w:val="00F452B0"/>
    <w:rsid w:val="00F5034A"/>
    <w:rsid w:val="00F50C4A"/>
    <w:rsid w:val="00F511A1"/>
    <w:rsid w:val="00F55457"/>
    <w:rsid w:val="00F55DDF"/>
    <w:rsid w:val="00F570EF"/>
    <w:rsid w:val="00F57508"/>
    <w:rsid w:val="00F60C7E"/>
    <w:rsid w:val="00F60D87"/>
    <w:rsid w:val="00F613BA"/>
    <w:rsid w:val="00F61F55"/>
    <w:rsid w:val="00F62024"/>
    <w:rsid w:val="00F62C08"/>
    <w:rsid w:val="00F635FC"/>
    <w:rsid w:val="00F6471A"/>
    <w:rsid w:val="00F652F8"/>
    <w:rsid w:val="00F6639A"/>
    <w:rsid w:val="00F66533"/>
    <w:rsid w:val="00F67E9E"/>
    <w:rsid w:val="00F72D9A"/>
    <w:rsid w:val="00F733C4"/>
    <w:rsid w:val="00F73A08"/>
    <w:rsid w:val="00F74B6E"/>
    <w:rsid w:val="00F75C32"/>
    <w:rsid w:val="00F76003"/>
    <w:rsid w:val="00F804ED"/>
    <w:rsid w:val="00F817A1"/>
    <w:rsid w:val="00F82DDB"/>
    <w:rsid w:val="00F840B0"/>
    <w:rsid w:val="00F850D2"/>
    <w:rsid w:val="00F85CF1"/>
    <w:rsid w:val="00F8607B"/>
    <w:rsid w:val="00F8685D"/>
    <w:rsid w:val="00F9022E"/>
    <w:rsid w:val="00F9037B"/>
    <w:rsid w:val="00F90A52"/>
    <w:rsid w:val="00F90E7F"/>
    <w:rsid w:val="00F910B5"/>
    <w:rsid w:val="00F9146E"/>
    <w:rsid w:val="00F92244"/>
    <w:rsid w:val="00F93115"/>
    <w:rsid w:val="00F941B5"/>
    <w:rsid w:val="00F95A86"/>
    <w:rsid w:val="00F95D62"/>
    <w:rsid w:val="00F97284"/>
    <w:rsid w:val="00F97CDE"/>
    <w:rsid w:val="00FA1B5A"/>
    <w:rsid w:val="00FA3EBF"/>
    <w:rsid w:val="00FA4BBC"/>
    <w:rsid w:val="00FA4ED5"/>
    <w:rsid w:val="00FB1E47"/>
    <w:rsid w:val="00FB2507"/>
    <w:rsid w:val="00FB26CA"/>
    <w:rsid w:val="00FB2939"/>
    <w:rsid w:val="00FB2D9F"/>
    <w:rsid w:val="00FB3292"/>
    <w:rsid w:val="00FB5CB9"/>
    <w:rsid w:val="00FB63A1"/>
    <w:rsid w:val="00FB76A1"/>
    <w:rsid w:val="00FC1124"/>
    <w:rsid w:val="00FC322D"/>
    <w:rsid w:val="00FC452B"/>
    <w:rsid w:val="00FC47D9"/>
    <w:rsid w:val="00FC4C03"/>
    <w:rsid w:val="00FC54BE"/>
    <w:rsid w:val="00FC55C9"/>
    <w:rsid w:val="00FC6BD6"/>
    <w:rsid w:val="00FC6BE5"/>
    <w:rsid w:val="00FC72B8"/>
    <w:rsid w:val="00FD2D91"/>
    <w:rsid w:val="00FD31FC"/>
    <w:rsid w:val="00FD56A9"/>
    <w:rsid w:val="00FD59B8"/>
    <w:rsid w:val="00FE1CB1"/>
    <w:rsid w:val="00FE5D81"/>
    <w:rsid w:val="00FE7116"/>
    <w:rsid w:val="00FE79A5"/>
    <w:rsid w:val="00FE7D29"/>
    <w:rsid w:val="00FF12A2"/>
    <w:rsid w:val="00FF1FFD"/>
    <w:rsid w:val="00FF2EA0"/>
    <w:rsid w:val="00FF468B"/>
    <w:rsid w:val="00FF557B"/>
    <w:rsid w:val="00FF5FB7"/>
    <w:rsid w:val="00FF64C1"/>
    <w:rsid w:val="00FF670F"/>
    <w:rsid w:val="00FF6E44"/>
    <w:rsid w:val="00FF7041"/>
    <w:rsid w:val="00FF73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22621F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qFormat="1"/>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semiHidden="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lsdException w:name="toa heading" w:semiHidden="1" w:uiPriority="99"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99" w:qFormat="1"/>
    <w:lsdException w:name="Closing" w:semiHidden="1"/>
    <w:lsdException w:name="Signature" w:semiHidden="1" w:uiPriority="99" w:unhideWhenUsed="1"/>
    <w:lsdException w:name="Default Paragraph Font" w:semiHidden="1" w:uiPriority="1" w:unhideWhenUsed="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2D2615"/>
    <w:rPr>
      <w:rFonts w:ascii="Arial" w:hAnsi="Arial"/>
      <w:szCs w:val="20"/>
    </w:rPr>
  </w:style>
  <w:style w:type="paragraph" w:styleId="Heading1">
    <w:name w:val="heading 1"/>
    <w:next w:val="Normal"/>
    <w:link w:val="Heading1Char"/>
    <w:qFormat/>
    <w:rsid w:val="00F62024"/>
    <w:pPr>
      <w:keepNext/>
      <w:keepLines/>
      <w:pageBreakBefore/>
      <w:spacing w:after="480"/>
      <w:outlineLvl w:val="0"/>
    </w:pPr>
    <w:rPr>
      <w:rFonts w:asciiTheme="majorHAnsi" w:eastAsiaTheme="majorEastAsia" w:hAnsiTheme="majorHAnsi" w:cstheme="majorBidi"/>
      <w:b/>
      <w:bCs/>
      <w:color w:val="1F497D"/>
      <w:sz w:val="36"/>
      <w:szCs w:val="28"/>
    </w:rPr>
  </w:style>
  <w:style w:type="paragraph" w:styleId="Heading2">
    <w:name w:val="heading 2"/>
    <w:basedOn w:val="Normal"/>
    <w:next w:val="Normal"/>
    <w:link w:val="Heading2Char"/>
    <w:uiPriority w:val="9"/>
    <w:qFormat/>
    <w:rsid w:val="003535B2"/>
    <w:pPr>
      <w:keepNext/>
      <w:keepLines/>
      <w:spacing w:before="200" w:after="300"/>
      <w:outlineLvl w:val="1"/>
    </w:pPr>
    <w:rPr>
      <w:rFonts w:asciiTheme="majorHAnsi" w:eastAsiaTheme="majorEastAsia" w:hAnsiTheme="majorHAnsi" w:cstheme="majorBidi"/>
      <w:b/>
      <w:bCs/>
      <w:color w:val="1F497D" w:themeColor="text2"/>
      <w:sz w:val="32"/>
      <w:szCs w:val="26"/>
    </w:rPr>
  </w:style>
  <w:style w:type="paragraph" w:styleId="Heading3">
    <w:name w:val="heading 3"/>
    <w:basedOn w:val="Normal"/>
    <w:next w:val="Normal"/>
    <w:link w:val="Heading3Char"/>
    <w:uiPriority w:val="9"/>
    <w:qFormat/>
    <w:rsid w:val="005F4E68"/>
    <w:pPr>
      <w:keepNext/>
      <w:keepLines/>
      <w:spacing w:before="200" w:after="100"/>
      <w:outlineLvl w:val="2"/>
    </w:pPr>
    <w:rPr>
      <w:rFonts w:asciiTheme="majorHAnsi" w:eastAsiaTheme="majorEastAsia" w:hAnsiTheme="majorHAnsi" w:cstheme="majorBidi"/>
      <w:b/>
      <w:bCs/>
    </w:rPr>
  </w:style>
  <w:style w:type="paragraph" w:styleId="Heading4">
    <w:name w:val="heading 4"/>
    <w:basedOn w:val="Heading3"/>
    <w:next w:val="Normal"/>
    <w:link w:val="Heading4Char"/>
    <w:qFormat/>
    <w:rsid w:val="006A23C2"/>
    <w:pPr>
      <w:jc w:val="center"/>
      <w:outlineLvl w:val="3"/>
    </w:pPr>
  </w:style>
  <w:style w:type="paragraph" w:styleId="Heading5">
    <w:name w:val="heading 5"/>
    <w:basedOn w:val="Heading3"/>
    <w:next w:val="Normal"/>
    <w:link w:val="Heading5Char"/>
    <w:qFormat/>
    <w:rsid w:val="006A23C2"/>
    <w:pPr>
      <w:outlineLvl w:val="4"/>
    </w:pPr>
  </w:style>
  <w:style w:type="paragraph" w:styleId="Heading6">
    <w:name w:val="heading 6"/>
    <w:basedOn w:val="Normal"/>
    <w:next w:val="Normal"/>
    <w:link w:val="Heading6Char"/>
    <w:uiPriority w:val="99"/>
    <w:qFormat/>
    <w:rsid w:val="004A7C2C"/>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9"/>
    <w:qFormat/>
    <w:rsid w:val="004A7C2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qFormat/>
    <w:rsid w:val="004A7C2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qFormat/>
    <w:rsid w:val="004A7C2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024"/>
    <w:rPr>
      <w:rFonts w:asciiTheme="majorHAnsi" w:eastAsiaTheme="majorEastAsia" w:hAnsiTheme="majorHAnsi" w:cstheme="majorBidi"/>
      <w:b/>
      <w:bCs/>
      <w:color w:val="1F497D"/>
      <w:sz w:val="36"/>
      <w:szCs w:val="28"/>
    </w:rPr>
  </w:style>
  <w:style w:type="character" w:customStyle="1" w:styleId="Heading2Char">
    <w:name w:val="Heading 2 Char"/>
    <w:basedOn w:val="DefaultParagraphFont"/>
    <w:link w:val="Heading2"/>
    <w:rsid w:val="003535B2"/>
    <w:rPr>
      <w:rFonts w:asciiTheme="majorHAnsi" w:eastAsiaTheme="majorEastAsia" w:hAnsiTheme="majorHAnsi" w:cstheme="majorBidi"/>
      <w:b/>
      <w:bCs/>
      <w:color w:val="1F497D" w:themeColor="text2"/>
      <w:sz w:val="32"/>
      <w:szCs w:val="26"/>
    </w:rPr>
  </w:style>
  <w:style w:type="character" w:customStyle="1" w:styleId="Heading3Char">
    <w:name w:val="Heading 3 Char"/>
    <w:basedOn w:val="DefaultParagraphFont"/>
    <w:link w:val="Heading3"/>
    <w:rsid w:val="005F4E68"/>
    <w:rPr>
      <w:rFonts w:asciiTheme="majorHAnsi" w:eastAsiaTheme="majorEastAsia" w:hAnsiTheme="majorHAnsi" w:cstheme="majorBidi"/>
      <w:b/>
      <w:bCs/>
      <w:szCs w:val="20"/>
    </w:rPr>
  </w:style>
  <w:style w:type="character" w:customStyle="1" w:styleId="Heading4Char">
    <w:name w:val="Heading 4 Char"/>
    <w:basedOn w:val="DefaultParagraphFont"/>
    <w:link w:val="Heading4"/>
    <w:rsid w:val="006A23C2"/>
    <w:rPr>
      <w:rFonts w:asciiTheme="majorHAnsi" w:eastAsiaTheme="majorEastAsia" w:hAnsiTheme="majorHAnsi" w:cstheme="majorBidi"/>
      <w:b/>
      <w:bCs/>
      <w:szCs w:val="20"/>
    </w:rPr>
  </w:style>
  <w:style w:type="character" w:customStyle="1" w:styleId="Heading5Char">
    <w:name w:val="Heading 5 Char"/>
    <w:basedOn w:val="DefaultParagraphFont"/>
    <w:link w:val="Heading5"/>
    <w:rsid w:val="006A23C2"/>
    <w:rPr>
      <w:rFonts w:asciiTheme="majorHAnsi" w:eastAsiaTheme="majorEastAsia" w:hAnsiTheme="majorHAnsi" w:cstheme="majorBidi"/>
      <w:b/>
      <w:bCs/>
      <w:szCs w:val="20"/>
    </w:rPr>
  </w:style>
  <w:style w:type="character" w:customStyle="1" w:styleId="Heading6Char">
    <w:name w:val="Heading 6 Char"/>
    <w:basedOn w:val="DefaultParagraphFont"/>
    <w:link w:val="Heading6"/>
    <w:uiPriority w:val="99"/>
    <w:rsid w:val="00863151"/>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9"/>
    <w:rsid w:val="00863151"/>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9"/>
    <w:rsid w:val="00863151"/>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9"/>
    <w:rsid w:val="00863151"/>
    <w:rPr>
      <w:rFonts w:asciiTheme="majorHAnsi" w:eastAsiaTheme="majorEastAsia" w:hAnsiTheme="majorHAnsi" w:cstheme="majorBidi"/>
      <w:i/>
      <w:iCs/>
      <w:color w:val="404040" w:themeColor="text1" w:themeTint="BF"/>
      <w:szCs w:val="20"/>
    </w:rPr>
  </w:style>
  <w:style w:type="paragraph" w:styleId="Header">
    <w:name w:val="header"/>
    <w:link w:val="HeaderChar"/>
    <w:uiPriority w:val="99"/>
    <w:rsid w:val="005A04B8"/>
    <w:pPr>
      <w:pBdr>
        <w:top w:val="nil"/>
        <w:left w:val="nil"/>
        <w:bottom w:val="nil"/>
        <w:right w:val="nil"/>
        <w:between w:val="nil"/>
      </w:pBdr>
    </w:pPr>
    <w:rPr>
      <w:rFonts w:ascii="Arial" w:hAnsi="Arial"/>
      <w:sz w:val="22"/>
      <w:szCs w:val="22"/>
    </w:rPr>
  </w:style>
  <w:style w:type="character" w:customStyle="1" w:styleId="HeaderChar">
    <w:name w:val="Header Char"/>
    <w:basedOn w:val="DefaultParagraphFont"/>
    <w:link w:val="Header"/>
    <w:uiPriority w:val="99"/>
    <w:rsid w:val="005A04B8"/>
    <w:rPr>
      <w:rFonts w:ascii="Arial" w:hAnsi="Arial"/>
      <w:sz w:val="22"/>
      <w:szCs w:val="22"/>
    </w:rPr>
  </w:style>
  <w:style w:type="paragraph" w:styleId="Footer">
    <w:name w:val="footer"/>
    <w:basedOn w:val="Normal"/>
    <w:link w:val="FooterChar"/>
    <w:uiPriority w:val="99"/>
    <w:rsid w:val="00216894"/>
    <w:pPr>
      <w:pBdr>
        <w:top w:val="single" w:sz="4" w:space="4" w:color="auto"/>
      </w:pBdr>
      <w:tabs>
        <w:tab w:val="center" w:pos="4513"/>
        <w:tab w:val="right" w:pos="9026"/>
      </w:tabs>
    </w:pPr>
    <w:rPr>
      <w:sz w:val="22"/>
    </w:rPr>
  </w:style>
  <w:style w:type="character" w:customStyle="1" w:styleId="FooterChar">
    <w:name w:val="Footer Char"/>
    <w:basedOn w:val="DefaultParagraphFont"/>
    <w:link w:val="Footer"/>
    <w:uiPriority w:val="99"/>
    <w:rsid w:val="00863151"/>
    <w:rPr>
      <w:rFonts w:ascii="Arial" w:hAnsi="Arial"/>
      <w:sz w:val="22"/>
      <w:szCs w:val="20"/>
    </w:rPr>
  </w:style>
  <w:style w:type="paragraph" w:styleId="Revision">
    <w:name w:val="Revision"/>
    <w:hidden/>
    <w:uiPriority w:val="99"/>
    <w:semiHidden/>
    <w:rsid w:val="004A7C2C"/>
    <w:rPr>
      <w:rFonts w:ascii="Arial" w:hAnsi="Arial"/>
      <w:sz w:val="20"/>
      <w:lang w:eastAsia="en-GB"/>
    </w:rPr>
  </w:style>
  <w:style w:type="numbering" w:customStyle="1" w:styleId="Level">
    <w:name w:val="Level"/>
    <w:uiPriority w:val="99"/>
    <w:rsid w:val="004A7C2C"/>
    <w:pPr>
      <w:numPr>
        <w:numId w:val="26"/>
      </w:numPr>
    </w:pPr>
  </w:style>
  <w:style w:type="numbering" w:customStyle="1" w:styleId="Scheduletext">
    <w:name w:val="Schedule text"/>
    <w:uiPriority w:val="99"/>
    <w:rsid w:val="004A7C2C"/>
    <w:pPr>
      <w:numPr>
        <w:numId w:val="25"/>
      </w:numPr>
    </w:pPr>
  </w:style>
  <w:style w:type="numbering" w:customStyle="1" w:styleId="Appendix">
    <w:name w:val="Appendix"/>
    <w:uiPriority w:val="99"/>
    <w:rsid w:val="004A7C2C"/>
    <w:pPr>
      <w:numPr>
        <w:numId w:val="28"/>
      </w:numPr>
    </w:pPr>
  </w:style>
  <w:style w:type="numbering" w:customStyle="1" w:styleId="Scheduleheading">
    <w:name w:val="Schedule heading"/>
    <w:uiPriority w:val="99"/>
    <w:rsid w:val="004A7C2C"/>
    <w:pPr>
      <w:numPr>
        <w:numId w:val="27"/>
      </w:numPr>
    </w:pPr>
  </w:style>
  <w:style w:type="numbering" w:customStyle="1" w:styleId="Bullets">
    <w:name w:val="Bullets"/>
    <w:uiPriority w:val="99"/>
    <w:rsid w:val="004A7C2C"/>
    <w:pPr>
      <w:numPr>
        <w:numId w:val="29"/>
      </w:numPr>
    </w:pPr>
  </w:style>
  <w:style w:type="numbering" w:customStyle="1" w:styleId="Definitions">
    <w:name w:val="Definitions"/>
    <w:uiPriority w:val="99"/>
    <w:rsid w:val="004A7C2C"/>
    <w:pPr>
      <w:numPr>
        <w:numId w:val="33"/>
      </w:numPr>
    </w:pPr>
  </w:style>
  <w:style w:type="paragraph" w:customStyle="1" w:styleId="AppendixText4manuallynumbered">
    <w:name w:val="Appendix Text 4 manually numbered"/>
    <w:basedOn w:val="Level4"/>
    <w:uiPriority w:val="1"/>
    <w:rsid w:val="00D515BC"/>
    <w:pPr>
      <w:numPr>
        <w:ilvl w:val="0"/>
        <w:numId w:val="0"/>
      </w:numPr>
      <w:tabs>
        <w:tab w:val="clear" w:pos="720"/>
        <w:tab w:val="clear" w:pos="1803"/>
      </w:tabs>
      <w:ind w:left="2835" w:hanging="1077"/>
    </w:pPr>
  </w:style>
  <w:style w:type="paragraph" w:customStyle="1" w:styleId="AppendixText4continued">
    <w:name w:val="Appendix Text 4 continued"/>
    <w:basedOn w:val="AppendixText4"/>
    <w:uiPriority w:val="1"/>
    <w:semiHidden/>
    <w:rsid w:val="009211A8"/>
    <w:pPr>
      <w:numPr>
        <w:ilvl w:val="0"/>
        <w:numId w:val="0"/>
      </w:numPr>
      <w:ind w:left="1803"/>
    </w:pPr>
  </w:style>
  <w:style w:type="paragraph" w:customStyle="1" w:styleId="AppendixText1">
    <w:name w:val="Appendix Text 1"/>
    <w:basedOn w:val="Normal"/>
    <w:next w:val="StdBodyText1"/>
    <w:rsid w:val="00E60720"/>
    <w:pPr>
      <w:keepNext/>
      <w:numPr>
        <w:numId w:val="34"/>
      </w:numPr>
      <w:spacing w:before="100" w:after="200"/>
    </w:pPr>
    <w:rPr>
      <w:rFonts w:eastAsia="Verdana" w:cs="Times New Roman"/>
      <w:b/>
      <w:szCs w:val="24"/>
      <w:lang w:eastAsia="en-GB"/>
    </w:rPr>
  </w:style>
  <w:style w:type="paragraph" w:customStyle="1" w:styleId="AppendixText2">
    <w:name w:val="Appendix Text 2"/>
    <w:basedOn w:val="AppendixText1"/>
    <w:next w:val="StdBodyText2"/>
    <w:rsid w:val="00E60720"/>
    <w:pPr>
      <w:keepNext w:val="0"/>
      <w:numPr>
        <w:ilvl w:val="1"/>
      </w:numPr>
    </w:pPr>
    <w:rPr>
      <w:b w:val="0"/>
    </w:rPr>
  </w:style>
  <w:style w:type="paragraph" w:customStyle="1" w:styleId="AppendixText3">
    <w:name w:val="Appendix Text 3"/>
    <w:basedOn w:val="Normal"/>
    <w:next w:val="StdBodyText3"/>
    <w:qFormat/>
    <w:rsid w:val="002E7013"/>
    <w:pPr>
      <w:widowControl w:val="0"/>
      <w:numPr>
        <w:ilvl w:val="2"/>
        <w:numId w:val="34"/>
      </w:numPr>
      <w:autoSpaceDE w:val="0"/>
      <w:autoSpaceDN w:val="0"/>
      <w:spacing w:before="100" w:after="200"/>
    </w:pPr>
    <w:rPr>
      <w:rFonts w:eastAsia="Times New Roman" w:cs="Times New Roman"/>
      <w:szCs w:val="24"/>
      <w:lang w:eastAsia="en-GB"/>
    </w:rPr>
  </w:style>
  <w:style w:type="paragraph" w:customStyle="1" w:styleId="AppendixText4">
    <w:name w:val="Appendix Text 4"/>
    <w:basedOn w:val="Normal"/>
    <w:next w:val="StdBodyText4"/>
    <w:rsid w:val="00E60720"/>
    <w:pPr>
      <w:numPr>
        <w:ilvl w:val="3"/>
        <w:numId w:val="34"/>
      </w:numPr>
      <w:spacing w:before="100" w:after="200"/>
    </w:pPr>
    <w:rPr>
      <w:rFonts w:eastAsia="Times New Roman" w:cs="Times New Roman"/>
      <w:szCs w:val="24"/>
      <w:lang w:eastAsia="en-GB"/>
    </w:rPr>
  </w:style>
  <w:style w:type="paragraph" w:customStyle="1" w:styleId="AppendixText5">
    <w:name w:val="Appendix Text 5"/>
    <w:basedOn w:val="Normal"/>
    <w:next w:val="StdBodyText5"/>
    <w:rsid w:val="004A7C2C"/>
    <w:pPr>
      <w:numPr>
        <w:ilvl w:val="4"/>
        <w:numId w:val="34"/>
      </w:numPr>
      <w:tabs>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uiPriority w:val="99"/>
    <w:rsid w:val="004A7C2C"/>
    <w:pPr>
      <w:spacing w:after="200"/>
      <w:jc w:val="center"/>
    </w:pPr>
    <w:rPr>
      <w:rFonts w:eastAsia="Times New Roman" w:cs="Times New Roman"/>
      <w:b/>
      <w:szCs w:val="24"/>
      <w:lang w:eastAsia="en-GB"/>
    </w:rPr>
  </w:style>
  <w:style w:type="paragraph" w:customStyle="1" w:styleId="StdBodyText">
    <w:name w:val="Std Body Text"/>
    <w:basedOn w:val="Normal"/>
    <w:uiPriority w:val="99"/>
    <w:qFormat/>
    <w:rsid w:val="004A7C2C"/>
    <w:pPr>
      <w:spacing w:before="100" w:after="200"/>
    </w:pPr>
    <w:rPr>
      <w:rFonts w:eastAsia="Times New Roman" w:cs="Times New Roman"/>
      <w:szCs w:val="24"/>
      <w:lang w:eastAsia="en-GB"/>
    </w:rPr>
  </w:style>
  <w:style w:type="paragraph" w:customStyle="1" w:styleId="StdBodyText1">
    <w:name w:val="Std Body Text 1"/>
    <w:basedOn w:val="StdBodyText"/>
    <w:uiPriority w:val="99"/>
    <w:rsid w:val="004A7C2C"/>
    <w:pPr>
      <w:ind w:left="720"/>
    </w:pPr>
  </w:style>
  <w:style w:type="paragraph" w:customStyle="1" w:styleId="StdBodyText2">
    <w:name w:val="Std Body Text 2"/>
    <w:basedOn w:val="StdBodyText1"/>
    <w:uiPriority w:val="99"/>
    <w:rsid w:val="004A7C2C"/>
  </w:style>
  <w:style w:type="paragraph" w:customStyle="1" w:styleId="StdBodyText3">
    <w:name w:val="Std Body Text 3"/>
    <w:basedOn w:val="StdBodyText2"/>
    <w:uiPriority w:val="99"/>
    <w:rsid w:val="004A7C2C"/>
    <w:pPr>
      <w:ind w:left="1803"/>
    </w:pPr>
  </w:style>
  <w:style w:type="paragraph" w:customStyle="1" w:styleId="StdBodyText4">
    <w:name w:val="Std Body Text 4"/>
    <w:basedOn w:val="StdBodyText3"/>
    <w:uiPriority w:val="99"/>
    <w:rsid w:val="004A7C2C"/>
  </w:style>
  <w:style w:type="paragraph" w:customStyle="1" w:styleId="StdBodyText5">
    <w:name w:val="Std Body Text 5"/>
    <w:basedOn w:val="StdBodyText4"/>
    <w:uiPriority w:val="99"/>
    <w:rsid w:val="004A7C2C"/>
    <w:pPr>
      <w:ind w:left="2523"/>
    </w:pPr>
  </w:style>
  <w:style w:type="paragraph" w:customStyle="1" w:styleId="StdBodyTextBold">
    <w:name w:val="Std Body Text Bold"/>
    <w:basedOn w:val="Normal"/>
    <w:next w:val="StdBodyText"/>
    <w:link w:val="StdBodyTextBoldChar"/>
    <w:qFormat/>
    <w:rsid w:val="004A7C2C"/>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863151"/>
    <w:rPr>
      <w:rFonts w:ascii="Arial" w:eastAsia="Times New Roman" w:hAnsi="Arial" w:cs="Times New Roman"/>
      <w:b/>
      <w:lang w:eastAsia="en-GB"/>
    </w:rPr>
  </w:style>
  <w:style w:type="paragraph" w:customStyle="1" w:styleId="DefinitionList">
    <w:name w:val="Definition List"/>
    <w:basedOn w:val="Normal"/>
    <w:uiPriority w:val="99"/>
    <w:rsid w:val="004A7C2C"/>
    <w:pPr>
      <w:numPr>
        <w:numId w:val="92"/>
      </w:numPr>
      <w:spacing w:before="100" w:after="200"/>
    </w:pPr>
    <w:rPr>
      <w:rFonts w:eastAsia="Times New Roman" w:cs="Times New Roman"/>
      <w:szCs w:val="24"/>
      <w:lang w:eastAsia="en-GB"/>
    </w:rPr>
  </w:style>
  <w:style w:type="paragraph" w:customStyle="1" w:styleId="PartHeading">
    <w:name w:val="Part Heading"/>
    <w:basedOn w:val="Normal"/>
    <w:next w:val="StdBodyText"/>
    <w:uiPriority w:val="99"/>
    <w:rsid w:val="004A7C2C"/>
    <w:pPr>
      <w:numPr>
        <w:numId w:val="3"/>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4A7C2C"/>
    <w:pPr>
      <w:numPr>
        <w:numId w:val="4"/>
      </w:numPr>
      <w:spacing w:before="100" w:after="200"/>
    </w:pPr>
    <w:rPr>
      <w:rFonts w:eastAsia="Times New Roman" w:cs="Times New Roman"/>
      <w:szCs w:val="24"/>
      <w:lang w:eastAsia="en-GB"/>
    </w:rPr>
  </w:style>
  <w:style w:type="paragraph" w:customStyle="1" w:styleId="ScheduleText1">
    <w:name w:val="Schedule Text 1"/>
    <w:basedOn w:val="Normal"/>
    <w:next w:val="StdBodyText1"/>
    <w:qFormat/>
    <w:rsid w:val="00F3052F"/>
    <w:pPr>
      <w:keepNext/>
      <w:keepLines/>
      <w:spacing w:before="100" w:after="200"/>
      <w:ind w:left="720" w:hanging="720"/>
      <w:outlineLvl w:val="1"/>
    </w:pPr>
    <w:rPr>
      <w:rFonts w:eastAsia="Times New Roman" w:cs="Times New Roman"/>
      <w:b/>
      <w:szCs w:val="24"/>
      <w:lang w:eastAsia="en-GB"/>
    </w:rPr>
  </w:style>
  <w:style w:type="paragraph" w:customStyle="1" w:styleId="ScheduleText2">
    <w:name w:val="Schedule Text 2"/>
    <w:basedOn w:val="ScheduleText1"/>
    <w:next w:val="StdBodyText2"/>
    <w:qFormat/>
    <w:rsid w:val="00F3052F"/>
    <w:pPr>
      <w:keepNext w:val="0"/>
      <w:keepLines w:val="0"/>
      <w:numPr>
        <w:ilvl w:val="1"/>
      </w:numPr>
      <w:ind w:left="720" w:hanging="720"/>
      <w:outlineLvl w:val="2"/>
    </w:pPr>
    <w:rPr>
      <w:b w:val="0"/>
    </w:rPr>
  </w:style>
  <w:style w:type="paragraph" w:customStyle="1" w:styleId="ScheduleText3">
    <w:name w:val="Schedule Text 3"/>
    <w:basedOn w:val="Normal"/>
    <w:next w:val="StdBodyText3"/>
    <w:qFormat/>
    <w:rsid w:val="004A7C2C"/>
    <w:pPr>
      <w:tabs>
        <w:tab w:val="left" w:pos="720"/>
        <w:tab w:val="left" w:pos="1803"/>
      </w:tabs>
      <w:spacing w:before="100" w:after="200"/>
      <w:ind w:left="1803" w:hanging="1083"/>
    </w:pPr>
    <w:rPr>
      <w:rFonts w:eastAsia="Times New Roman" w:cs="Times New Roman"/>
      <w:szCs w:val="24"/>
      <w:lang w:eastAsia="en-GB"/>
    </w:rPr>
  </w:style>
  <w:style w:type="paragraph" w:customStyle="1" w:styleId="ScheduleText4">
    <w:name w:val="Schedule Text 4"/>
    <w:basedOn w:val="Normal"/>
    <w:next w:val="StdBodyText4"/>
    <w:qFormat/>
    <w:rsid w:val="004A7C2C"/>
    <w:pPr>
      <w:tabs>
        <w:tab w:val="left" w:pos="1803"/>
      </w:tabs>
      <w:spacing w:before="100" w:after="200"/>
    </w:pPr>
    <w:rPr>
      <w:rFonts w:eastAsia="Times New Roman" w:cs="Times New Roman"/>
      <w:szCs w:val="24"/>
      <w:lang w:eastAsia="en-GB"/>
    </w:rPr>
  </w:style>
  <w:style w:type="paragraph" w:customStyle="1" w:styleId="StdSignature">
    <w:name w:val="Std Signature"/>
    <w:basedOn w:val="Normal"/>
    <w:uiPriority w:val="99"/>
    <w:rsid w:val="004A7C2C"/>
    <w:rPr>
      <w:rFonts w:eastAsia="Times New Roman" w:cs="Times New Roman"/>
      <w:b/>
      <w:szCs w:val="24"/>
      <w:lang w:eastAsia="en-GB"/>
    </w:rPr>
  </w:style>
  <w:style w:type="table" w:styleId="TableGrid">
    <w:name w:val="Table Grid"/>
    <w:basedOn w:val="TableNormal"/>
    <w:uiPriority w:val="39"/>
    <w:rsid w:val="004A7C2C"/>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4A7C2C"/>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4A7C2C"/>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4A7C2C"/>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4A7C2C"/>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A7C2C"/>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4A7C2C"/>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4A7C2C"/>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4A7C2C"/>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4A7C2C"/>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4A7C2C"/>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4A7C2C"/>
    <w:pPr>
      <w:numPr>
        <w:numId w:val="31"/>
      </w:numPr>
    </w:pPr>
  </w:style>
  <w:style w:type="paragraph" w:customStyle="1" w:styleId="DefinitionListLevel1">
    <w:name w:val="Definition List Level 1"/>
    <w:basedOn w:val="DefinitionList"/>
    <w:uiPriority w:val="99"/>
    <w:rsid w:val="004A7C2C"/>
    <w:pPr>
      <w:numPr>
        <w:ilvl w:val="1"/>
      </w:numPr>
    </w:pPr>
  </w:style>
  <w:style w:type="paragraph" w:styleId="ListParagraph">
    <w:name w:val="List Paragraph"/>
    <w:basedOn w:val="Normal"/>
    <w:link w:val="ListParagraphChar"/>
    <w:uiPriority w:val="99"/>
    <w:qFormat/>
    <w:rsid w:val="004A7C2C"/>
    <w:pPr>
      <w:ind w:left="720"/>
      <w:contextualSpacing/>
    </w:pPr>
  </w:style>
  <w:style w:type="paragraph" w:customStyle="1" w:styleId="DefinitionListLevel2">
    <w:name w:val="Definition List Level 2"/>
    <w:basedOn w:val="DefinitionListLevel1"/>
    <w:uiPriority w:val="99"/>
    <w:rsid w:val="004A7C2C"/>
    <w:pPr>
      <w:numPr>
        <w:ilvl w:val="2"/>
      </w:numPr>
    </w:pPr>
  </w:style>
  <w:style w:type="paragraph" w:customStyle="1" w:styleId="AppendixText6">
    <w:name w:val="Appendix Text 6"/>
    <w:basedOn w:val="AppendixText5"/>
    <w:rsid w:val="004A7C2C"/>
    <w:pPr>
      <w:numPr>
        <w:ilvl w:val="5"/>
      </w:numPr>
    </w:pPr>
  </w:style>
  <w:style w:type="paragraph" w:styleId="FootnoteText">
    <w:name w:val="footnote text"/>
    <w:basedOn w:val="Normal"/>
    <w:link w:val="FootnoteTextChar"/>
    <w:uiPriority w:val="99"/>
    <w:rsid w:val="004A7C2C"/>
    <w:rPr>
      <w:sz w:val="20"/>
    </w:rPr>
  </w:style>
  <w:style w:type="character" w:customStyle="1" w:styleId="FootnoteTextChar">
    <w:name w:val="Footnote Text Char"/>
    <w:basedOn w:val="DefaultParagraphFont"/>
    <w:link w:val="FootnoteText"/>
    <w:uiPriority w:val="99"/>
    <w:rsid w:val="00863151"/>
    <w:rPr>
      <w:rFonts w:ascii="Arial" w:hAnsi="Arial"/>
      <w:sz w:val="20"/>
      <w:szCs w:val="20"/>
    </w:rPr>
  </w:style>
  <w:style w:type="character" w:styleId="FootnoteReference">
    <w:name w:val="footnote reference"/>
    <w:basedOn w:val="DefaultParagraphFont"/>
    <w:uiPriority w:val="99"/>
    <w:rsid w:val="004A7C2C"/>
    <w:rPr>
      <w:vertAlign w:val="superscript"/>
    </w:rPr>
  </w:style>
  <w:style w:type="character" w:styleId="Hyperlink">
    <w:name w:val="Hyperlink"/>
    <w:basedOn w:val="DefaultParagraphFont"/>
    <w:uiPriority w:val="99"/>
    <w:qFormat/>
    <w:rsid w:val="008C33D5"/>
    <w:rPr>
      <w:color w:val="1F497D"/>
      <w:u w:val="dotted"/>
    </w:rPr>
  </w:style>
  <w:style w:type="paragraph" w:customStyle="1" w:styleId="StdHeading1">
    <w:name w:val="Std Heading 1"/>
    <w:basedOn w:val="Normal"/>
    <w:next w:val="StdBodyText"/>
    <w:uiPriority w:val="99"/>
    <w:rsid w:val="004A7C2C"/>
    <w:pPr>
      <w:keepNext/>
      <w:spacing w:before="300" w:after="100"/>
    </w:pPr>
    <w:rPr>
      <w:rFonts w:eastAsia="Times New Roman" w:cs="Times New Roman"/>
      <w:b/>
      <w:szCs w:val="24"/>
      <w:lang w:eastAsia="en-GB"/>
    </w:rPr>
  </w:style>
  <w:style w:type="paragraph" w:customStyle="1" w:styleId="Level1">
    <w:name w:val="Level 1"/>
    <w:basedOn w:val="StdBodyText"/>
    <w:next w:val="StdBodyText1"/>
    <w:uiPriority w:val="99"/>
    <w:qFormat/>
    <w:rsid w:val="00F12443"/>
    <w:pPr>
      <w:numPr>
        <w:numId w:val="23"/>
      </w:numPr>
      <w:tabs>
        <w:tab w:val="left" w:pos="720"/>
      </w:tabs>
    </w:pPr>
    <w:rPr>
      <w:b/>
      <w:u w:val="single"/>
    </w:rPr>
  </w:style>
  <w:style w:type="paragraph" w:customStyle="1" w:styleId="Level2">
    <w:name w:val="Level 2"/>
    <w:basedOn w:val="Level1"/>
    <w:next w:val="StdBodyText2"/>
    <w:link w:val="Level2Char"/>
    <w:uiPriority w:val="99"/>
    <w:qFormat/>
    <w:rsid w:val="00F12443"/>
    <w:pPr>
      <w:numPr>
        <w:ilvl w:val="1"/>
      </w:numPr>
    </w:pPr>
    <w:rPr>
      <w:b w:val="0"/>
      <w:u w:val="none"/>
    </w:rPr>
  </w:style>
  <w:style w:type="paragraph" w:customStyle="1" w:styleId="Level3">
    <w:name w:val="Level 3"/>
    <w:basedOn w:val="Level2"/>
    <w:next w:val="StdBodyText3"/>
    <w:link w:val="Level3Char"/>
    <w:uiPriority w:val="99"/>
    <w:qFormat/>
    <w:rsid w:val="00F12443"/>
    <w:pPr>
      <w:numPr>
        <w:ilvl w:val="2"/>
      </w:numPr>
      <w:tabs>
        <w:tab w:val="left" w:pos="1803"/>
      </w:tabs>
    </w:pPr>
  </w:style>
  <w:style w:type="paragraph" w:customStyle="1" w:styleId="Level4">
    <w:name w:val="Level 4"/>
    <w:basedOn w:val="Level3"/>
    <w:next w:val="StdBodyText4"/>
    <w:uiPriority w:val="99"/>
    <w:qFormat/>
    <w:rsid w:val="00F12443"/>
    <w:pPr>
      <w:numPr>
        <w:ilvl w:val="3"/>
      </w:numPr>
    </w:pPr>
  </w:style>
  <w:style w:type="paragraph" w:customStyle="1" w:styleId="Level5">
    <w:name w:val="Level 5"/>
    <w:basedOn w:val="Level4"/>
    <w:next w:val="StdBodyText5"/>
    <w:uiPriority w:val="99"/>
    <w:qFormat/>
    <w:rsid w:val="00F12443"/>
    <w:pPr>
      <w:numPr>
        <w:ilvl w:val="4"/>
      </w:numPr>
      <w:tabs>
        <w:tab w:val="left" w:pos="2523"/>
      </w:tabs>
    </w:pPr>
  </w:style>
  <w:style w:type="character" w:styleId="CommentReference">
    <w:name w:val="annotation reference"/>
    <w:basedOn w:val="DefaultParagraphFont"/>
    <w:rsid w:val="000947CA"/>
    <w:rPr>
      <w:sz w:val="16"/>
      <w:szCs w:val="16"/>
    </w:rPr>
  </w:style>
  <w:style w:type="paragraph" w:styleId="CommentText">
    <w:name w:val="annotation text"/>
    <w:basedOn w:val="Normal"/>
    <w:link w:val="CommentTextChar"/>
    <w:rsid w:val="009A6EEF"/>
    <w:rPr>
      <w:sz w:val="20"/>
    </w:rPr>
  </w:style>
  <w:style w:type="character" w:customStyle="1" w:styleId="CommentTextChar">
    <w:name w:val="Comment Text Char"/>
    <w:basedOn w:val="DefaultParagraphFont"/>
    <w:link w:val="CommentText"/>
    <w:rsid w:val="00863151"/>
    <w:rPr>
      <w:rFonts w:ascii="Arial" w:hAnsi="Arial"/>
      <w:sz w:val="20"/>
      <w:szCs w:val="20"/>
    </w:rPr>
  </w:style>
  <w:style w:type="paragraph" w:styleId="CommentSubject">
    <w:name w:val="annotation subject"/>
    <w:basedOn w:val="CommentText"/>
    <w:next w:val="CommentText"/>
    <w:link w:val="CommentSubjectChar"/>
    <w:uiPriority w:val="99"/>
    <w:rsid w:val="000947CA"/>
    <w:rPr>
      <w:b/>
      <w:bCs/>
    </w:rPr>
  </w:style>
  <w:style w:type="character" w:customStyle="1" w:styleId="CommentSubjectChar">
    <w:name w:val="Comment Subject Char"/>
    <w:basedOn w:val="CommentTextChar"/>
    <w:link w:val="CommentSubject"/>
    <w:uiPriority w:val="99"/>
    <w:rsid w:val="00863151"/>
    <w:rPr>
      <w:rFonts w:ascii="Arial" w:hAnsi="Arial"/>
      <w:b/>
      <w:bCs/>
      <w:sz w:val="20"/>
      <w:szCs w:val="20"/>
    </w:rPr>
  </w:style>
  <w:style w:type="character" w:customStyle="1" w:styleId="UnresolvedMention1">
    <w:name w:val="Unresolved Mention1"/>
    <w:basedOn w:val="DefaultParagraphFont"/>
    <w:uiPriority w:val="99"/>
    <w:semiHidden/>
    <w:rsid w:val="00D52B44"/>
    <w:rPr>
      <w:color w:val="605E5C"/>
      <w:shd w:val="clear" w:color="auto" w:fill="E1DFDD"/>
    </w:rPr>
  </w:style>
  <w:style w:type="paragraph" w:styleId="Title">
    <w:name w:val="Title"/>
    <w:basedOn w:val="Normal"/>
    <w:next w:val="Normal"/>
    <w:link w:val="TitleChar"/>
    <w:uiPriority w:val="99"/>
    <w:qFormat/>
    <w:rsid w:val="00C8261A"/>
    <w:pPr>
      <w:keepNext/>
      <w:keepLines/>
      <w:spacing w:before="480" w:after="120"/>
    </w:pPr>
    <w:rPr>
      <w:rFonts w:eastAsia="Arial" w:cs="Arial"/>
      <w:b/>
      <w:sz w:val="72"/>
      <w:szCs w:val="72"/>
      <w:lang w:eastAsia="en-GB"/>
    </w:rPr>
  </w:style>
  <w:style w:type="character" w:customStyle="1" w:styleId="TitleChar">
    <w:name w:val="Title Char"/>
    <w:basedOn w:val="DefaultParagraphFont"/>
    <w:link w:val="Title"/>
    <w:uiPriority w:val="99"/>
    <w:rsid w:val="00863151"/>
    <w:rPr>
      <w:rFonts w:ascii="Arial" w:eastAsia="Arial" w:hAnsi="Arial" w:cs="Arial"/>
      <w:b/>
      <w:sz w:val="72"/>
      <w:szCs w:val="72"/>
      <w:lang w:eastAsia="en-GB"/>
    </w:rPr>
  </w:style>
  <w:style w:type="paragraph" w:styleId="Subtitle">
    <w:name w:val="Subtitle"/>
    <w:basedOn w:val="Normal"/>
    <w:next w:val="Normal"/>
    <w:link w:val="SubtitleChar"/>
    <w:uiPriority w:val="99"/>
    <w:rsid w:val="00C8261A"/>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99"/>
    <w:rsid w:val="00863151"/>
    <w:rPr>
      <w:rFonts w:ascii="Georgia" w:eastAsia="Georgia" w:hAnsi="Georgia" w:cs="Georgia"/>
      <w:i/>
      <w:color w:val="666666"/>
      <w:sz w:val="48"/>
      <w:szCs w:val="48"/>
      <w:lang w:eastAsia="en-GB"/>
    </w:rPr>
  </w:style>
  <w:style w:type="character" w:customStyle="1" w:styleId="UnresolvedMention2">
    <w:name w:val="Unresolved Mention2"/>
    <w:basedOn w:val="DefaultParagraphFont"/>
    <w:uiPriority w:val="99"/>
    <w:semiHidden/>
    <w:rsid w:val="008971A7"/>
    <w:rPr>
      <w:color w:val="605E5C"/>
      <w:shd w:val="clear" w:color="auto" w:fill="E1DFDD"/>
    </w:rPr>
  </w:style>
  <w:style w:type="paragraph" w:styleId="TOAHeading">
    <w:name w:val="toa heading"/>
    <w:basedOn w:val="Normal"/>
    <w:next w:val="Normal"/>
    <w:uiPriority w:val="99"/>
    <w:rsid w:val="001D763B"/>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rPr>
  </w:style>
  <w:style w:type="numbering" w:styleId="111111">
    <w:name w:val="Outline List 2"/>
    <w:basedOn w:val="NoList"/>
    <w:rsid w:val="001D763B"/>
    <w:pPr>
      <w:numPr>
        <w:numId w:val="30"/>
      </w:numPr>
    </w:pPr>
  </w:style>
  <w:style w:type="paragraph" w:styleId="TOC1">
    <w:name w:val="toc 1"/>
    <w:uiPriority w:val="39"/>
    <w:rsid w:val="00F62024"/>
    <w:pPr>
      <w:tabs>
        <w:tab w:val="right" w:leader="dot" w:pos="10206"/>
      </w:tabs>
      <w:adjustRightInd w:val="0"/>
      <w:spacing w:before="240" w:after="60"/>
    </w:pPr>
    <w:rPr>
      <w:rFonts w:eastAsia="STZhongsong" w:cs="Times New Roman"/>
      <w:b/>
      <w:color w:val="1F497D"/>
      <w:szCs w:val="20"/>
      <w:lang w:eastAsia="zh-CN"/>
    </w:rPr>
  </w:style>
  <w:style w:type="paragraph" w:styleId="TOC2">
    <w:name w:val="toc 2"/>
    <w:uiPriority w:val="39"/>
    <w:rsid w:val="008C33D5"/>
    <w:pPr>
      <w:tabs>
        <w:tab w:val="right" w:leader="dot" w:pos="10206"/>
      </w:tabs>
      <w:adjustRightInd w:val="0"/>
      <w:spacing w:after="60"/>
      <w:ind w:left="851" w:hanging="851"/>
    </w:pPr>
    <w:rPr>
      <w:rFonts w:eastAsia="STZhongsong" w:cs="Times New Roman"/>
      <w:szCs w:val="20"/>
      <w:lang w:eastAsia="zh-CN"/>
    </w:rPr>
  </w:style>
  <w:style w:type="paragraph" w:styleId="TOC3">
    <w:name w:val="toc 3"/>
    <w:uiPriority w:val="39"/>
    <w:rsid w:val="001D763B"/>
    <w:pPr>
      <w:tabs>
        <w:tab w:val="left" w:pos="2160"/>
        <w:tab w:val="right" w:leader="dot" w:pos="9029"/>
      </w:tabs>
      <w:adjustRightInd w:val="0"/>
      <w:spacing w:after="120"/>
      <w:ind w:left="2160" w:hanging="720"/>
    </w:pPr>
    <w:rPr>
      <w:rFonts w:ascii="Times New Roman" w:eastAsia="STZhongsong" w:hAnsi="Times New Roman" w:cs="Times New Roman"/>
      <w:sz w:val="22"/>
      <w:szCs w:val="20"/>
      <w:lang w:eastAsia="zh-CN"/>
    </w:rPr>
  </w:style>
  <w:style w:type="paragraph" w:styleId="TOC4">
    <w:name w:val="toc 4"/>
    <w:uiPriority w:val="39"/>
    <w:rsid w:val="001D763B"/>
    <w:pPr>
      <w:tabs>
        <w:tab w:val="left" w:pos="2880"/>
        <w:tab w:val="right" w:leader="dot" w:pos="9029"/>
      </w:tabs>
      <w:adjustRightInd w:val="0"/>
      <w:spacing w:after="120"/>
      <w:ind w:left="2880" w:hanging="720"/>
    </w:pPr>
    <w:rPr>
      <w:rFonts w:ascii="Times New Roman" w:eastAsia="STZhongsong" w:hAnsi="Times New Roman" w:cs="Times New Roman"/>
      <w:sz w:val="22"/>
      <w:szCs w:val="20"/>
      <w:lang w:eastAsia="zh-CN"/>
    </w:rPr>
  </w:style>
  <w:style w:type="paragraph" w:styleId="TOC5">
    <w:name w:val="toc 5"/>
    <w:uiPriority w:val="39"/>
    <w:rsid w:val="001D763B"/>
    <w:pPr>
      <w:tabs>
        <w:tab w:val="left" w:pos="3600"/>
        <w:tab w:val="right" w:leader="dot" w:pos="9029"/>
      </w:tabs>
      <w:adjustRightInd w:val="0"/>
      <w:spacing w:after="120"/>
      <w:ind w:left="3600" w:hanging="720"/>
    </w:pPr>
    <w:rPr>
      <w:rFonts w:ascii="Times New Roman" w:eastAsia="STZhongsong" w:hAnsi="Times New Roman" w:cs="Times New Roman"/>
      <w:sz w:val="22"/>
      <w:szCs w:val="20"/>
      <w:lang w:eastAsia="zh-CN"/>
    </w:rPr>
  </w:style>
  <w:style w:type="paragraph" w:styleId="TOC6">
    <w:name w:val="toc 6"/>
    <w:uiPriority w:val="39"/>
    <w:rsid w:val="001D763B"/>
    <w:pPr>
      <w:tabs>
        <w:tab w:val="left" w:pos="4320"/>
        <w:tab w:val="right" w:leader="dot" w:pos="9029"/>
      </w:tabs>
      <w:adjustRightInd w:val="0"/>
      <w:spacing w:after="120"/>
      <w:ind w:left="4320" w:hanging="720"/>
    </w:pPr>
    <w:rPr>
      <w:rFonts w:ascii="Times New Roman" w:eastAsia="STZhongsong" w:hAnsi="Times New Roman" w:cs="Times New Roman"/>
      <w:sz w:val="22"/>
      <w:szCs w:val="20"/>
      <w:lang w:eastAsia="zh-CN"/>
    </w:rPr>
  </w:style>
  <w:style w:type="paragraph" w:styleId="TOC7">
    <w:name w:val="toc 7"/>
    <w:uiPriority w:val="39"/>
    <w:rsid w:val="001D763B"/>
    <w:pPr>
      <w:tabs>
        <w:tab w:val="left" w:pos="5040"/>
        <w:tab w:val="right" w:leader="dot" w:pos="9029"/>
      </w:tabs>
      <w:adjustRightInd w:val="0"/>
      <w:spacing w:after="120"/>
      <w:ind w:left="5040" w:hanging="720"/>
    </w:pPr>
    <w:rPr>
      <w:rFonts w:ascii="Times New Roman" w:eastAsia="STZhongsong" w:hAnsi="Times New Roman" w:cs="Times New Roman"/>
      <w:sz w:val="22"/>
      <w:szCs w:val="20"/>
      <w:lang w:eastAsia="zh-CN"/>
    </w:rPr>
  </w:style>
  <w:style w:type="paragraph" w:styleId="TOC8">
    <w:name w:val="toc 8"/>
    <w:uiPriority w:val="39"/>
    <w:rsid w:val="001D763B"/>
    <w:pPr>
      <w:tabs>
        <w:tab w:val="right" w:leader="dot" w:pos="9029"/>
      </w:tabs>
      <w:adjustRightInd w:val="0"/>
      <w:spacing w:after="120"/>
    </w:pPr>
    <w:rPr>
      <w:rFonts w:ascii="Times New Roman" w:eastAsia="STZhongsong" w:hAnsi="Times New Roman" w:cs="Times New Roman"/>
      <w:caps/>
      <w:sz w:val="22"/>
      <w:szCs w:val="20"/>
      <w:lang w:eastAsia="zh-CN"/>
    </w:rPr>
  </w:style>
  <w:style w:type="paragraph" w:styleId="TOC9">
    <w:name w:val="toc 9"/>
    <w:uiPriority w:val="39"/>
    <w:rsid w:val="001D763B"/>
    <w:pPr>
      <w:tabs>
        <w:tab w:val="right" w:leader="dot" w:pos="9029"/>
      </w:tabs>
      <w:adjustRightInd w:val="0"/>
      <w:spacing w:after="120"/>
      <w:ind w:left="720"/>
    </w:pPr>
    <w:rPr>
      <w:rFonts w:ascii="Times New Roman" w:eastAsia="STZhongsong" w:hAnsi="Times New Roman" w:cs="Times New Roman"/>
      <w:sz w:val="22"/>
      <w:szCs w:val="20"/>
      <w:lang w:eastAsia="zh-CN"/>
    </w:rPr>
  </w:style>
  <w:style w:type="paragraph" w:styleId="EndnoteText">
    <w:name w:val="endnote text"/>
    <w:basedOn w:val="Normal"/>
    <w:link w:val="EndnoteTextChar"/>
    <w:uiPriority w:val="99"/>
    <w:rsid w:val="000D0A8F"/>
    <w:pPr>
      <w:adjustRightInd w:val="0"/>
      <w:spacing w:after="120"/>
      <w:ind w:left="720" w:hanging="720"/>
      <w:jc w:val="both"/>
    </w:pPr>
    <w:rPr>
      <w:rFonts w:ascii="Times New Roman" w:eastAsia="STZhongsong" w:hAnsi="Times New Roman" w:cs="Times New Roman"/>
      <w:sz w:val="18"/>
      <w:lang w:eastAsia="zh-CN"/>
    </w:rPr>
  </w:style>
  <w:style w:type="character" w:customStyle="1" w:styleId="EndnoteTextChar">
    <w:name w:val="Endnote Text Char"/>
    <w:basedOn w:val="DefaultParagraphFont"/>
    <w:link w:val="EndnoteText"/>
    <w:uiPriority w:val="99"/>
    <w:rsid w:val="00863151"/>
    <w:rPr>
      <w:rFonts w:ascii="Times New Roman" w:eastAsia="STZhongsong" w:hAnsi="Times New Roman" w:cs="Times New Roman"/>
      <w:sz w:val="18"/>
      <w:szCs w:val="20"/>
      <w:lang w:eastAsia="zh-CN"/>
    </w:rPr>
  </w:style>
  <w:style w:type="character" w:styleId="EndnoteReference">
    <w:name w:val="endnote reference"/>
    <w:uiPriority w:val="99"/>
    <w:rsid w:val="001D763B"/>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customStyle="1" w:styleId="Table-followingparagraph">
    <w:name w:val="Table - following paragraph"/>
    <w:basedOn w:val="Normal"/>
    <w:next w:val="Normal"/>
    <w:uiPriority w:val="99"/>
    <w:rsid w:val="000D0A8F"/>
    <w:pPr>
      <w:adjustRightInd w:val="0"/>
      <w:jc w:val="both"/>
    </w:pPr>
    <w:rPr>
      <w:rFonts w:ascii="Times New Roman" w:eastAsia="STZhongsong" w:hAnsi="Times New Roman" w:cs="Times New Roman"/>
      <w:sz w:val="22"/>
      <w:lang w:eastAsia="zh-CN"/>
    </w:rPr>
  </w:style>
  <w:style w:type="paragraph" w:customStyle="1" w:styleId="Table-Text">
    <w:name w:val="Table - Text"/>
    <w:basedOn w:val="Normal"/>
    <w:uiPriority w:val="99"/>
    <w:rsid w:val="000D0A8F"/>
    <w:pPr>
      <w:adjustRightInd w:val="0"/>
      <w:spacing w:before="120" w:after="120"/>
    </w:pPr>
    <w:rPr>
      <w:rFonts w:ascii="Times New Roman" w:eastAsia="STZhongsong" w:hAnsi="Times New Roman" w:cs="Times New Roman"/>
      <w:sz w:val="22"/>
      <w:lang w:eastAsia="zh-CN"/>
    </w:rPr>
  </w:style>
  <w:style w:type="paragraph" w:styleId="Bibliography">
    <w:name w:val="Bibliography"/>
    <w:basedOn w:val="Normal"/>
    <w:next w:val="Normal"/>
    <w:uiPriority w:val="99"/>
    <w:semiHidden/>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character" w:styleId="BookTitle">
    <w:name w:val="Book Title"/>
    <w:uiPriority w:val="99"/>
    <w:qFormat/>
    <w:rsid w:val="001D763B"/>
    <w:rPr>
      <w:b/>
      <w:bCs/>
      <w:smallCaps/>
      <w:spacing w:val="5"/>
    </w:rPr>
  </w:style>
  <w:style w:type="table" w:styleId="ColorfulGrid">
    <w:name w:val="Colorful Grid"/>
    <w:basedOn w:val="TableNormal"/>
    <w:uiPriority w:val="73"/>
    <w:rsid w:val="001D763B"/>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1D763B"/>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1D763B"/>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1D763B"/>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1D763B"/>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1D763B"/>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List">
    <w:name w:val="Colorful List"/>
    <w:basedOn w:val="TableNormal"/>
    <w:uiPriority w:val="72"/>
    <w:rsid w:val="001D763B"/>
    <w:rPr>
      <w:rFonts w:ascii="Times New Roman" w:eastAsia="Times New Roman" w:hAnsi="Times New Roman" w:cs="Times New Roman"/>
      <w:color w:val="000000"/>
      <w:sz w:val="20"/>
      <w:szCs w:val="20"/>
      <w:lang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1D763B"/>
    <w:rPr>
      <w:rFonts w:ascii="Times New Roman" w:eastAsia="Times New Roman" w:hAnsi="Times New Roman" w:cs="Times New Roman"/>
      <w:color w:val="000000"/>
      <w:sz w:val="20"/>
      <w:szCs w:val="20"/>
      <w:lang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1D763B"/>
    <w:rPr>
      <w:rFonts w:ascii="Times New Roman" w:eastAsia="Times New Roman" w:hAnsi="Times New Roman" w:cs="Times New Roman"/>
      <w:color w:val="000000"/>
      <w:sz w:val="20"/>
      <w:szCs w:val="20"/>
      <w:lang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1D763B"/>
    <w:rPr>
      <w:rFonts w:ascii="Times New Roman" w:eastAsia="Times New Roman" w:hAnsi="Times New Roman" w:cs="Times New Roman"/>
      <w:color w:val="000000"/>
      <w:sz w:val="20"/>
      <w:szCs w:val="20"/>
      <w:lang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1D763B"/>
    <w:rPr>
      <w:rFonts w:ascii="Times New Roman" w:eastAsia="Times New Roman" w:hAnsi="Times New Roman" w:cs="Times New Roman"/>
      <w:color w:val="000000"/>
      <w:sz w:val="20"/>
      <w:szCs w:val="20"/>
      <w:lang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1D763B"/>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D763B"/>
    <w:rPr>
      <w:rFonts w:ascii="Times New Roman" w:eastAsia="Times New Roman" w:hAnsi="Times New Roman"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Accent1">
    <w:name w:val="Colorful Shading Accent 1"/>
    <w:basedOn w:val="TableNormal"/>
    <w:uiPriority w:val="71"/>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1D763B"/>
    <w:rPr>
      <w:rFonts w:ascii="Times New Roman" w:eastAsia="Times New Roman" w:hAnsi="Times New Roman" w:cs="Times New Roman"/>
      <w:color w:val="FFFFFF"/>
      <w:sz w:val="20"/>
      <w:szCs w:val="20"/>
      <w:lang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2">
    <w:name w:val="Dark List Accent 2"/>
    <w:basedOn w:val="TableNormal"/>
    <w:uiPriority w:val="70"/>
    <w:rsid w:val="001D763B"/>
    <w:rPr>
      <w:rFonts w:ascii="Times New Roman" w:eastAsia="Times New Roman" w:hAnsi="Times New Roman" w:cs="Times New Roman"/>
      <w:color w:val="FFFFFF"/>
      <w:sz w:val="20"/>
      <w:szCs w:val="20"/>
      <w:lang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1D763B"/>
    <w:rPr>
      <w:rFonts w:ascii="Times New Roman" w:eastAsia="Times New Roman" w:hAnsi="Times New Roman" w:cs="Times New Roman"/>
      <w:color w:val="FFFFFF"/>
      <w:sz w:val="20"/>
      <w:szCs w:val="20"/>
      <w:lang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1D763B"/>
    <w:rPr>
      <w:rFonts w:ascii="Times New Roman" w:eastAsia="Times New Roman" w:hAnsi="Times New Roman" w:cs="Times New Roman"/>
      <w:color w:val="FFFFFF"/>
      <w:sz w:val="20"/>
      <w:szCs w:val="20"/>
      <w:lang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1D763B"/>
    <w:rPr>
      <w:rFonts w:ascii="Times New Roman" w:eastAsia="Times New Roman" w:hAnsi="Times New Roman" w:cs="Times New Roman"/>
      <w:color w:val="FFFFFF"/>
      <w:sz w:val="20"/>
      <w:szCs w:val="20"/>
      <w:lang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1D763B"/>
    <w:rPr>
      <w:rFonts w:ascii="Times New Roman" w:eastAsia="Times New Roman" w:hAnsi="Times New Roman" w:cs="Times New Roman"/>
      <w:color w:val="FFFFFF"/>
      <w:sz w:val="20"/>
      <w:szCs w:val="20"/>
      <w:lang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Emphasis">
    <w:name w:val="Emphasis"/>
    <w:uiPriority w:val="99"/>
    <w:qFormat/>
    <w:rsid w:val="001D763B"/>
    <w:rPr>
      <w:i/>
      <w:iCs/>
    </w:rPr>
  </w:style>
  <w:style w:type="character" w:styleId="FollowedHyperlink">
    <w:name w:val="FollowedHyperlink"/>
    <w:uiPriority w:val="99"/>
    <w:rsid w:val="001D763B"/>
    <w:rPr>
      <w:color w:val="800080"/>
      <w:u w:val="single"/>
    </w:rPr>
  </w:style>
  <w:style w:type="character" w:styleId="HTMLAcronym">
    <w:name w:val="HTML Acronym"/>
    <w:basedOn w:val="DefaultParagraphFont"/>
    <w:uiPriority w:val="99"/>
    <w:rsid w:val="001D763B"/>
  </w:style>
  <w:style w:type="paragraph" w:styleId="HTMLAddress">
    <w:name w:val="HTML Address"/>
    <w:basedOn w:val="Normal"/>
    <w:link w:val="HTMLAddressChar"/>
    <w:uiPriority w:val="99"/>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rPr>
  </w:style>
  <w:style w:type="character" w:customStyle="1" w:styleId="HTMLAddressChar">
    <w:name w:val="HTML Address Char"/>
    <w:basedOn w:val="DefaultParagraphFont"/>
    <w:link w:val="HTMLAddress"/>
    <w:uiPriority w:val="99"/>
    <w:rsid w:val="00863151"/>
    <w:rPr>
      <w:rFonts w:ascii="Times New Roman" w:eastAsia="Times New Roman" w:hAnsi="Times New Roman" w:cs="Times New Roman"/>
      <w:i/>
      <w:iCs/>
      <w:sz w:val="22"/>
      <w:szCs w:val="20"/>
    </w:rPr>
  </w:style>
  <w:style w:type="character" w:styleId="HTMLCite">
    <w:name w:val="HTML Cite"/>
    <w:uiPriority w:val="99"/>
    <w:rsid w:val="001D763B"/>
    <w:rPr>
      <w:i/>
      <w:iCs/>
    </w:rPr>
  </w:style>
  <w:style w:type="character" w:styleId="HTMLCode">
    <w:name w:val="HTML Code"/>
    <w:uiPriority w:val="99"/>
    <w:rsid w:val="001D763B"/>
    <w:rPr>
      <w:rFonts w:ascii="Courier New" w:hAnsi="Courier New" w:cs="Courier New"/>
      <w:sz w:val="20"/>
      <w:szCs w:val="20"/>
    </w:rPr>
  </w:style>
  <w:style w:type="character" w:styleId="HTMLDefinition">
    <w:name w:val="HTML Definition"/>
    <w:uiPriority w:val="99"/>
    <w:rsid w:val="001D763B"/>
    <w:rPr>
      <w:i/>
      <w:iCs/>
    </w:rPr>
  </w:style>
  <w:style w:type="character" w:styleId="HTMLKeyboard">
    <w:name w:val="HTML Keyboard"/>
    <w:uiPriority w:val="99"/>
    <w:rsid w:val="001D763B"/>
    <w:rPr>
      <w:rFonts w:ascii="Courier New" w:hAnsi="Courier New" w:cs="Courier New"/>
      <w:sz w:val="20"/>
      <w:szCs w:val="20"/>
    </w:rPr>
  </w:style>
  <w:style w:type="paragraph" w:styleId="HTMLPreformatted">
    <w:name w:val="HTML Preformatted"/>
    <w:basedOn w:val="Normal"/>
    <w:link w:val="HTMLPreformattedChar"/>
    <w:uiPriority w:val="99"/>
    <w:rsid w:val="001D763B"/>
    <w:pPr>
      <w:overflowPunct w:val="0"/>
      <w:autoSpaceDE w:val="0"/>
      <w:autoSpaceDN w:val="0"/>
      <w:adjustRightInd w:val="0"/>
      <w:spacing w:after="240" w:line="360" w:lineRule="auto"/>
      <w:jc w:val="both"/>
      <w:textAlignment w:val="baseline"/>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63151"/>
    <w:rPr>
      <w:rFonts w:ascii="Courier New" w:eastAsia="Times New Roman" w:hAnsi="Courier New" w:cs="Courier New"/>
      <w:sz w:val="20"/>
      <w:szCs w:val="20"/>
    </w:rPr>
  </w:style>
  <w:style w:type="character" w:styleId="HTMLSample">
    <w:name w:val="HTML Sample"/>
    <w:uiPriority w:val="99"/>
    <w:rsid w:val="001D763B"/>
    <w:rPr>
      <w:rFonts w:ascii="Courier New" w:hAnsi="Courier New" w:cs="Courier New"/>
    </w:rPr>
  </w:style>
  <w:style w:type="character" w:styleId="HTMLTypewriter">
    <w:name w:val="HTML Typewriter"/>
    <w:uiPriority w:val="99"/>
    <w:rsid w:val="001D763B"/>
    <w:rPr>
      <w:rFonts w:ascii="Courier New" w:hAnsi="Courier New" w:cs="Courier New"/>
      <w:sz w:val="20"/>
      <w:szCs w:val="20"/>
    </w:rPr>
  </w:style>
  <w:style w:type="character" w:styleId="HTMLVariable">
    <w:name w:val="HTML Variable"/>
    <w:uiPriority w:val="99"/>
    <w:rsid w:val="001D763B"/>
    <w:rPr>
      <w:i/>
      <w:iCs/>
    </w:rPr>
  </w:style>
  <w:style w:type="paragraph" w:styleId="Index1">
    <w:name w:val="index 1"/>
    <w:basedOn w:val="Normal"/>
    <w:next w:val="Normal"/>
    <w:autoRedefine/>
    <w:uiPriority w:val="99"/>
    <w:rsid w:val="001D763B"/>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Index2">
    <w:name w:val="index 2"/>
    <w:basedOn w:val="Normal"/>
    <w:next w:val="Normal"/>
    <w:autoRedefine/>
    <w:uiPriority w:val="99"/>
    <w:rsid w:val="001D763B"/>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rPr>
  </w:style>
  <w:style w:type="paragraph" w:styleId="Index3">
    <w:name w:val="index 3"/>
    <w:basedOn w:val="Normal"/>
    <w:next w:val="Normal"/>
    <w:autoRedefine/>
    <w:uiPriority w:val="99"/>
    <w:rsid w:val="001D763B"/>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rPr>
  </w:style>
  <w:style w:type="paragraph" w:styleId="Index4">
    <w:name w:val="index 4"/>
    <w:basedOn w:val="Normal"/>
    <w:next w:val="Normal"/>
    <w:autoRedefine/>
    <w:uiPriority w:val="99"/>
    <w:rsid w:val="001D763B"/>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rPr>
  </w:style>
  <w:style w:type="paragraph" w:styleId="Index5">
    <w:name w:val="index 5"/>
    <w:basedOn w:val="Normal"/>
    <w:next w:val="Normal"/>
    <w:autoRedefine/>
    <w:uiPriority w:val="99"/>
    <w:rsid w:val="001D763B"/>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rPr>
  </w:style>
  <w:style w:type="paragraph" w:styleId="Index6">
    <w:name w:val="index 6"/>
    <w:basedOn w:val="Normal"/>
    <w:next w:val="Normal"/>
    <w:autoRedefine/>
    <w:uiPriority w:val="99"/>
    <w:rsid w:val="001D763B"/>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rPr>
  </w:style>
  <w:style w:type="paragraph" w:styleId="Index7">
    <w:name w:val="index 7"/>
    <w:basedOn w:val="Normal"/>
    <w:next w:val="Normal"/>
    <w:autoRedefine/>
    <w:uiPriority w:val="99"/>
    <w:rsid w:val="001D763B"/>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rPr>
  </w:style>
  <w:style w:type="paragraph" w:styleId="Index8">
    <w:name w:val="index 8"/>
    <w:basedOn w:val="Normal"/>
    <w:next w:val="Normal"/>
    <w:autoRedefine/>
    <w:uiPriority w:val="99"/>
    <w:rsid w:val="001D763B"/>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rPr>
  </w:style>
  <w:style w:type="paragraph" w:styleId="Index9">
    <w:name w:val="index 9"/>
    <w:basedOn w:val="Normal"/>
    <w:next w:val="Normal"/>
    <w:autoRedefine/>
    <w:uiPriority w:val="99"/>
    <w:rsid w:val="001D763B"/>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rPr>
  </w:style>
  <w:style w:type="paragraph" w:styleId="IndexHeading">
    <w:name w:val="index heading"/>
    <w:basedOn w:val="Normal"/>
    <w:next w:val="Index1"/>
    <w:uiPriority w:val="99"/>
    <w:rsid w:val="001D763B"/>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rPr>
  </w:style>
  <w:style w:type="character" w:styleId="IntenseEmphasis">
    <w:name w:val="Intense Emphasis"/>
    <w:uiPriority w:val="99"/>
    <w:qFormat/>
    <w:rsid w:val="001D763B"/>
    <w:rPr>
      <w:b/>
      <w:bCs/>
      <w:i/>
      <w:iCs/>
      <w:color w:val="4F81BD"/>
    </w:rPr>
  </w:style>
  <w:style w:type="paragraph" w:styleId="IntenseQuote">
    <w:name w:val="Intense Quote"/>
    <w:basedOn w:val="Normal"/>
    <w:next w:val="Normal"/>
    <w:link w:val="IntenseQuoteChar"/>
    <w:uiPriority w:val="99"/>
    <w:qFormat/>
    <w:rsid w:val="001D763B"/>
    <w:pPr>
      <w:pBdr>
        <w:bottom w:val="single" w:sz="4" w:space="4" w:color="4F81BD"/>
      </w:pBdr>
      <w:overflowPunct w:val="0"/>
      <w:autoSpaceDE w:val="0"/>
      <w:autoSpaceDN w:val="0"/>
      <w:adjustRightInd w:val="0"/>
      <w:spacing w:before="200" w:after="280" w:line="360" w:lineRule="auto"/>
      <w:ind w:left="936" w:right="936"/>
      <w:jc w:val="both"/>
      <w:textAlignment w:val="baseline"/>
    </w:pPr>
    <w:rPr>
      <w:rFonts w:ascii="Times New Roman" w:eastAsia="Times New Roman" w:hAnsi="Times New Roman" w:cs="Times New Roman"/>
      <w:b/>
      <w:bCs/>
      <w:i/>
      <w:iCs/>
      <w:color w:val="4F81BD"/>
      <w:sz w:val="22"/>
    </w:rPr>
  </w:style>
  <w:style w:type="character" w:customStyle="1" w:styleId="IntenseQuoteChar">
    <w:name w:val="Intense Quote Char"/>
    <w:basedOn w:val="DefaultParagraphFont"/>
    <w:link w:val="IntenseQuote"/>
    <w:uiPriority w:val="99"/>
    <w:rsid w:val="00863151"/>
    <w:rPr>
      <w:rFonts w:ascii="Times New Roman" w:eastAsia="Times New Roman" w:hAnsi="Times New Roman" w:cs="Times New Roman"/>
      <w:b/>
      <w:bCs/>
      <w:i/>
      <w:iCs/>
      <w:color w:val="4F81BD"/>
      <w:sz w:val="22"/>
      <w:szCs w:val="20"/>
    </w:rPr>
  </w:style>
  <w:style w:type="character" w:styleId="IntenseReference">
    <w:name w:val="Intense Reference"/>
    <w:uiPriority w:val="99"/>
    <w:qFormat/>
    <w:rsid w:val="001D763B"/>
    <w:rPr>
      <w:b/>
      <w:bCs/>
      <w:smallCaps/>
      <w:color w:val="C0504D"/>
      <w:spacing w:val="5"/>
      <w:u w:val="single"/>
    </w:rPr>
  </w:style>
  <w:style w:type="table" w:styleId="LightGrid">
    <w:name w:val="Light Grid"/>
    <w:basedOn w:val="TableNormal"/>
    <w:uiPriority w:val="62"/>
    <w:rsid w:val="001D763B"/>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1D763B"/>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1D763B"/>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1D763B"/>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1D763B"/>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1D763B"/>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
    <w:name w:val="Light List"/>
    <w:basedOn w:val="TableNormal"/>
    <w:uiPriority w:val="61"/>
    <w:rsid w:val="001D763B"/>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1"/>
    <w:rsid w:val="001D763B"/>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D763B"/>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D763B"/>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D763B"/>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1D763B"/>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1">
    <w:name w:val="Light Shading Accent 1"/>
    <w:basedOn w:val="TableNormal"/>
    <w:uiPriority w:val="60"/>
    <w:rsid w:val="001D763B"/>
    <w:rPr>
      <w:rFonts w:ascii="Times New Roman" w:eastAsia="Times New Roman" w:hAnsi="Times New Roman"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D763B"/>
    <w:rPr>
      <w:rFonts w:ascii="Times New Roman" w:eastAsia="Times New Roman" w:hAnsi="Times New Roman"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1D763B"/>
    <w:rPr>
      <w:rFonts w:ascii="Times New Roman" w:eastAsia="Times New Roman" w:hAnsi="Times New Roman"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D763B"/>
    <w:rPr>
      <w:rFonts w:ascii="Times New Roman" w:eastAsia="Times New Roman" w:hAnsi="Times New Roman"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1D763B"/>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1D763B"/>
    <w:rPr>
      <w:rFonts w:ascii="Times New Roman" w:eastAsia="Times New Roman" w:hAnsi="Times New Roman" w:cs="Times New Roman"/>
      <w:color w:val="E36C0A"/>
      <w:sz w:val="20"/>
      <w:szCs w:val="20"/>
      <w:lang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1D763B"/>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1D763B"/>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1D763B"/>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1D763B"/>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1D763B"/>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1D763B"/>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1D763B"/>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4">
    <w:name w:val="Medium Grid 2 Accent 4"/>
    <w:basedOn w:val="TableNormal"/>
    <w:uiPriority w:val="68"/>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
    <w:name w:val="Medium Grid 3"/>
    <w:basedOn w:val="TableNormal"/>
    <w:uiPriority w:val="69"/>
    <w:rsid w:val="001D763B"/>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1D763B"/>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1D763B"/>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1D763B"/>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1D763B"/>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1D763B"/>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1D763B"/>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1D763B"/>
    <w:rPr>
      <w:rFonts w:ascii="Times New Roman" w:eastAsia="Times New Roman" w:hAnsi="Times New Roman" w:cs="Times New Roman"/>
      <w:color w:val="000000"/>
      <w:sz w:val="20"/>
      <w:szCs w:val="20"/>
      <w:lang w:eastAsia="en-GB"/>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1D763B"/>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1D763B"/>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D763B"/>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D763B"/>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D763B"/>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D763B"/>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D763B"/>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1D763B"/>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D763B"/>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D763B"/>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D763B"/>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D763B"/>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D763B"/>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uiPriority w:val="99"/>
    <w:semiHidden/>
    <w:rsid w:val="001D763B"/>
    <w:rPr>
      <w:color w:val="808080"/>
    </w:rPr>
  </w:style>
  <w:style w:type="paragraph" w:styleId="Quote">
    <w:name w:val="Quote"/>
    <w:basedOn w:val="Normal"/>
    <w:next w:val="Normal"/>
    <w:link w:val="QuoteChar"/>
    <w:uiPriority w:val="99"/>
    <w:qFormat/>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color w:val="000000"/>
      <w:sz w:val="22"/>
    </w:rPr>
  </w:style>
  <w:style w:type="character" w:customStyle="1" w:styleId="QuoteChar">
    <w:name w:val="Quote Char"/>
    <w:basedOn w:val="DefaultParagraphFont"/>
    <w:link w:val="Quote"/>
    <w:uiPriority w:val="99"/>
    <w:rsid w:val="00863151"/>
    <w:rPr>
      <w:rFonts w:ascii="Times New Roman" w:eastAsia="Times New Roman" w:hAnsi="Times New Roman" w:cs="Times New Roman"/>
      <w:i/>
      <w:iCs/>
      <w:color w:val="000000"/>
      <w:sz w:val="22"/>
      <w:szCs w:val="20"/>
    </w:rPr>
  </w:style>
  <w:style w:type="paragraph" w:styleId="Signature">
    <w:name w:val="Signature"/>
    <w:basedOn w:val="Normal"/>
    <w:link w:val="SignatureChar"/>
    <w:uiPriority w:val="99"/>
    <w:rsid w:val="001D763B"/>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rPr>
  </w:style>
  <w:style w:type="character" w:customStyle="1" w:styleId="SignatureChar">
    <w:name w:val="Signature Char"/>
    <w:basedOn w:val="DefaultParagraphFont"/>
    <w:link w:val="Signature"/>
    <w:uiPriority w:val="99"/>
    <w:rsid w:val="00863151"/>
    <w:rPr>
      <w:rFonts w:ascii="Times New Roman" w:eastAsia="Times New Roman" w:hAnsi="Times New Roman" w:cs="Times New Roman"/>
      <w:sz w:val="22"/>
      <w:szCs w:val="20"/>
    </w:rPr>
  </w:style>
  <w:style w:type="character" w:styleId="Strong">
    <w:name w:val="Strong"/>
    <w:uiPriority w:val="99"/>
    <w:qFormat/>
    <w:rsid w:val="001D763B"/>
    <w:rPr>
      <w:b/>
      <w:bCs/>
    </w:rPr>
  </w:style>
  <w:style w:type="character" w:styleId="SubtleEmphasis">
    <w:name w:val="Subtle Emphasis"/>
    <w:uiPriority w:val="99"/>
    <w:qFormat/>
    <w:rsid w:val="001D763B"/>
    <w:rPr>
      <w:i/>
      <w:iCs/>
      <w:color w:val="808080"/>
    </w:rPr>
  </w:style>
  <w:style w:type="character" w:styleId="SubtleReference">
    <w:name w:val="Subtle Reference"/>
    <w:uiPriority w:val="99"/>
    <w:qFormat/>
    <w:rsid w:val="001D763B"/>
    <w:rPr>
      <w:smallCaps/>
      <w:color w:val="C0504D"/>
      <w:u w:val="single"/>
    </w:rPr>
  </w:style>
  <w:style w:type="table" w:styleId="Table3Deffects1">
    <w:name w:val="Table 3D effects 1"/>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1D763B"/>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TableofFigures">
    <w:name w:val="table of figures"/>
    <w:basedOn w:val="Normal"/>
    <w:next w:val="Normal"/>
    <w:uiPriority w:val="99"/>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table" w:styleId="TableProfessional">
    <w:name w:val="Table Professional"/>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763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99"/>
    <w:qFormat/>
    <w:rsid w:val="001D763B"/>
    <w:pPr>
      <w:keepLines w:val="0"/>
      <w:overflowPunct w:val="0"/>
      <w:autoSpaceDE w:val="0"/>
      <w:autoSpaceDN w:val="0"/>
      <w:adjustRightInd w:val="0"/>
      <w:spacing w:before="240" w:after="60" w:line="360" w:lineRule="auto"/>
      <w:jc w:val="both"/>
      <w:textAlignment w:val="baseline"/>
      <w:outlineLvl w:val="9"/>
    </w:pPr>
    <w:rPr>
      <w:rFonts w:ascii="Cambria" w:eastAsia="Times New Roman" w:hAnsi="Cambria" w:cs="Times New Roman"/>
      <w:kern w:val="32"/>
      <w:sz w:val="32"/>
      <w:szCs w:val="32"/>
    </w:rPr>
  </w:style>
  <w:style w:type="paragraph" w:customStyle="1" w:styleId="SFParasubclause1">
    <w:name w:val="SF Para subclause 1"/>
    <w:link w:val="SFParasubclause1Char"/>
    <w:uiPriority w:val="99"/>
    <w:qFormat/>
    <w:rsid w:val="001D763B"/>
    <w:pPr>
      <w:tabs>
        <w:tab w:val="num" w:pos="1440"/>
      </w:tabs>
      <w:spacing w:before="120" w:after="240"/>
      <w:ind w:left="1440" w:hanging="720"/>
      <w:outlineLvl w:val="1"/>
    </w:pPr>
    <w:rPr>
      <w:rFonts w:ascii="Times New Roman" w:eastAsia="Times New Roman" w:hAnsi="Times New Roman" w:cs="Times New Roman"/>
      <w:color w:val="000000"/>
      <w:lang w:eastAsia="en-GB"/>
    </w:rPr>
  </w:style>
  <w:style w:type="paragraph" w:customStyle="1" w:styleId="SFParasubclause2">
    <w:name w:val="SF Para subclause 2"/>
    <w:link w:val="SFParasubclause2Char"/>
    <w:uiPriority w:val="99"/>
    <w:qFormat/>
    <w:rsid w:val="001D763B"/>
    <w:pPr>
      <w:tabs>
        <w:tab w:val="num" w:pos="2160"/>
      </w:tabs>
      <w:spacing w:before="120" w:after="240"/>
      <w:ind w:left="2160" w:hanging="720"/>
      <w:outlineLvl w:val="2"/>
    </w:pPr>
    <w:rPr>
      <w:rFonts w:ascii="Times New Roman" w:eastAsia="Times New Roman" w:hAnsi="Times New Roman" w:cs="Times New Roman"/>
      <w:color w:val="000000"/>
      <w:lang w:eastAsia="en-GB"/>
    </w:rPr>
  </w:style>
  <w:style w:type="character" w:customStyle="1" w:styleId="SFParasubclause1Char">
    <w:name w:val="SF Para subclause 1 Char"/>
    <w:basedOn w:val="DefaultParagraphFont"/>
    <w:link w:val="SFParasubclause1"/>
    <w:uiPriority w:val="99"/>
    <w:locked/>
    <w:rsid w:val="00863151"/>
    <w:rPr>
      <w:rFonts w:ascii="Times New Roman" w:eastAsia="Times New Roman" w:hAnsi="Times New Roman" w:cs="Times New Roman"/>
      <w:color w:val="000000"/>
      <w:lang w:eastAsia="en-GB"/>
    </w:rPr>
  </w:style>
  <w:style w:type="paragraph" w:customStyle="1" w:styleId="SLPara-Clause">
    <w:name w:val="SL Para - Clause"/>
    <w:uiPriority w:val="99"/>
    <w:semiHidden/>
    <w:qFormat/>
    <w:rsid w:val="001D763B"/>
    <w:pPr>
      <w:tabs>
        <w:tab w:val="num" w:pos="720"/>
      </w:tabs>
      <w:spacing w:before="120" w:after="240"/>
      <w:ind w:left="720" w:hanging="720"/>
      <w:outlineLvl w:val="0"/>
    </w:pPr>
    <w:rPr>
      <w:rFonts w:ascii="Times New Roman" w:eastAsia="Times New Roman" w:hAnsi="Times New Roman" w:cs="Times New Roman"/>
      <w:color w:val="000000"/>
      <w:lang w:eastAsia="en-GB"/>
    </w:rPr>
  </w:style>
  <w:style w:type="character" w:customStyle="1" w:styleId="SFParasubclause2Char">
    <w:name w:val="SF Para subclause 2 Char"/>
    <w:basedOn w:val="DefaultParagraphFont"/>
    <w:link w:val="SFParasubclause2"/>
    <w:uiPriority w:val="99"/>
    <w:locked/>
    <w:rsid w:val="00863151"/>
    <w:rPr>
      <w:rFonts w:ascii="Times New Roman" w:eastAsia="Times New Roman" w:hAnsi="Times New Roman" w:cs="Times New Roman"/>
      <w:color w:val="000000"/>
      <w:lang w:eastAsia="en-GB"/>
    </w:rPr>
  </w:style>
  <w:style w:type="paragraph" w:customStyle="1" w:styleId="SFParasubclause1-nonum">
    <w:name w:val="SF Para subclause 1 - no num"/>
    <w:uiPriority w:val="99"/>
    <w:qFormat/>
    <w:rsid w:val="001D763B"/>
    <w:pPr>
      <w:spacing w:before="120" w:after="240"/>
      <w:ind w:left="720" w:firstLine="1440"/>
      <w:outlineLvl w:val="1"/>
    </w:pPr>
    <w:rPr>
      <w:rFonts w:ascii="Times New Roman" w:eastAsia="Times New Roman" w:hAnsi="Times New Roman" w:cs="Times New Roman"/>
      <w:color w:val="000000"/>
      <w:lang w:eastAsia="en-GB"/>
    </w:rPr>
  </w:style>
  <w:style w:type="paragraph" w:customStyle="1" w:styleId="Heading1-ICO">
    <w:name w:val="Heading 1 - ICO"/>
    <w:basedOn w:val="Heading1"/>
    <w:uiPriority w:val="99"/>
    <w:semiHidden/>
    <w:rsid w:val="00157B71"/>
    <w:pPr>
      <w:outlineLvl w:val="9"/>
    </w:pPr>
  </w:style>
  <w:style w:type="paragraph" w:customStyle="1" w:styleId="Heading2-ICO">
    <w:name w:val="Heading 2 - ICO"/>
    <w:basedOn w:val="Heading2"/>
    <w:uiPriority w:val="99"/>
    <w:semiHidden/>
    <w:rsid w:val="00157B71"/>
    <w:pPr>
      <w:outlineLvl w:val="9"/>
    </w:pPr>
  </w:style>
  <w:style w:type="paragraph" w:customStyle="1" w:styleId="Leader">
    <w:name w:val="Leader"/>
    <w:basedOn w:val="Normal"/>
    <w:next w:val="Normal"/>
    <w:uiPriority w:val="99"/>
    <w:rsid w:val="000D0A8F"/>
    <w:pPr>
      <w:spacing w:before="120" w:after="240" w:line="276" w:lineRule="auto"/>
    </w:pPr>
    <w:rPr>
      <w:rFonts w:eastAsia="Arial" w:cs="Times New Roman"/>
      <w:b/>
      <w:sz w:val="22"/>
      <w:szCs w:val="22"/>
    </w:rPr>
  </w:style>
  <w:style w:type="paragraph" w:customStyle="1" w:styleId="Level1Heading">
    <w:name w:val="Level 1 Heading"/>
    <w:basedOn w:val="Normal"/>
    <w:next w:val="Normal"/>
    <w:uiPriority w:val="99"/>
    <w:qFormat/>
    <w:rsid w:val="000D0A8F"/>
    <w:pPr>
      <w:keepNext/>
      <w:tabs>
        <w:tab w:val="num" w:pos="1440"/>
      </w:tabs>
      <w:spacing w:after="240" w:line="276" w:lineRule="auto"/>
      <w:ind w:left="1440" w:hanging="720"/>
      <w:outlineLvl w:val="0"/>
    </w:pPr>
    <w:rPr>
      <w:rFonts w:eastAsia="Arial" w:cs="Times New Roman"/>
      <w:b/>
      <w:bCs/>
      <w:sz w:val="22"/>
      <w:szCs w:val="24"/>
    </w:rPr>
  </w:style>
  <w:style w:type="paragraph" w:customStyle="1" w:styleId="Level2Number">
    <w:name w:val="Level 2 Number"/>
    <w:basedOn w:val="Normal"/>
    <w:uiPriority w:val="99"/>
    <w:qFormat/>
    <w:rsid w:val="000D0A8F"/>
    <w:pPr>
      <w:tabs>
        <w:tab w:val="num" w:pos="2160"/>
      </w:tabs>
      <w:spacing w:after="240" w:line="276" w:lineRule="auto"/>
      <w:ind w:left="2160" w:hanging="720"/>
    </w:pPr>
    <w:rPr>
      <w:rFonts w:eastAsia="Arial" w:cs="Times New Roman"/>
      <w:sz w:val="20"/>
      <w:szCs w:val="22"/>
    </w:rPr>
  </w:style>
  <w:style w:type="paragraph" w:customStyle="1" w:styleId="Level3Number">
    <w:name w:val="Level 3 Number"/>
    <w:basedOn w:val="Normal"/>
    <w:uiPriority w:val="99"/>
    <w:qFormat/>
    <w:rsid w:val="000D0A8F"/>
    <w:pPr>
      <w:tabs>
        <w:tab w:val="num" w:pos="2880"/>
      </w:tabs>
      <w:spacing w:after="240" w:line="276" w:lineRule="auto"/>
      <w:ind w:left="2880" w:hanging="720"/>
    </w:pPr>
    <w:rPr>
      <w:rFonts w:eastAsia="Arial" w:cs="Times New Roman"/>
      <w:sz w:val="20"/>
      <w:szCs w:val="22"/>
    </w:rPr>
  </w:style>
  <w:style w:type="numbering" w:customStyle="1" w:styleId="MainNumbering">
    <w:name w:val="Main Numbering"/>
    <w:uiPriority w:val="99"/>
    <w:rsid w:val="00882309"/>
    <w:pPr>
      <w:numPr>
        <w:numId w:val="32"/>
      </w:numPr>
    </w:pPr>
  </w:style>
  <w:style w:type="paragraph" w:customStyle="1" w:styleId="Schedule">
    <w:name w:val="Schedule"/>
    <w:basedOn w:val="Normal"/>
    <w:uiPriority w:val="99"/>
    <w:rsid w:val="00AE092F"/>
    <w:pPr>
      <w:keepNext/>
      <w:tabs>
        <w:tab w:val="num" w:pos="720"/>
      </w:tabs>
      <w:spacing w:after="240" w:line="276" w:lineRule="auto"/>
      <w:ind w:left="720" w:hanging="720"/>
      <w:jc w:val="center"/>
    </w:pPr>
    <w:rPr>
      <w:rFonts w:ascii="Verdana" w:eastAsia="Times New Roman" w:hAnsi="Verdana" w:cs="Times New Roman"/>
      <w:b/>
      <w:caps/>
      <w:szCs w:val="18"/>
      <w:lang w:eastAsia="zh-CN"/>
    </w:rPr>
  </w:style>
  <w:style w:type="character" w:customStyle="1" w:styleId="Level2Char">
    <w:name w:val="Level 2 Char"/>
    <w:link w:val="Level2"/>
    <w:uiPriority w:val="99"/>
    <w:rsid w:val="00863151"/>
    <w:rPr>
      <w:rFonts w:ascii="Arial" w:eastAsia="Times New Roman" w:hAnsi="Arial" w:cs="Times New Roman"/>
      <w:lang w:eastAsia="en-GB"/>
    </w:rPr>
  </w:style>
  <w:style w:type="character" w:customStyle="1" w:styleId="Level3Char">
    <w:name w:val="Level 3 Char"/>
    <w:link w:val="Level3"/>
    <w:uiPriority w:val="99"/>
    <w:rsid w:val="00863151"/>
    <w:rPr>
      <w:rFonts w:ascii="Arial" w:eastAsia="Times New Roman" w:hAnsi="Arial" w:cs="Times New Roman"/>
      <w:lang w:eastAsia="en-GB"/>
    </w:rPr>
  </w:style>
  <w:style w:type="character" w:customStyle="1" w:styleId="CommentSubjectChar1">
    <w:name w:val="Comment Subject Char1"/>
    <w:basedOn w:val="CommentTextChar"/>
    <w:uiPriority w:val="99"/>
    <w:semiHidden/>
    <w:rsid w:val="00AE092F"/>
    <w:rPr>
      <w:rFonts w:ascii="Arial" w:hAnsi="Arial"/>
      <w:b/>
      <w:bCs/>
      <w:sz w:val="20"/>
      <w:szCs w:val="20"/>
    </w:rPr>
  </w:style>
  <w:style w:type="character" w:customStyle="1" w:styleId="UnresolvedMention3">
    <w:name w:val="Unresolved Mention3"/>
    <w:basedOn w:val="DefaultParagraphFont"/>
    <w:uiPriority w:val="99"/>
    <w:semiHidden/>
    <w:rsid w:val="00AE092F"/>
    <w:rPr>
      <w:color w:val="605E5C"/>
      <w:shd w:val="clear" w:color="auto" w:fill="E1DFDD"/>
    </w:rPr>
  </w:style>
  <w:style w:type="paragraph" w:customStyle="1" w:styleId="Tablebullets">
    <w:name w:val="Table bullets"/>
    <w:basedOn w:val="ListParagraph"/>
    <w:link w:val="TablebulletsChar"/>
    <w:uiPriority w:val="99"/>
    <w:qFormat/>
    <w:rsid w:val="0090330E"/>
    <w:pPr>
      <w:tabs>
        <w:tab w:val="num" w:pos="720"/>
      </w:tabs>
      <w:spacing w:before="120" w:after="120" w:line="276" w:lineRule="auto"/>
      <w:ind w:left="227" w:hanging="227"/>
    </w:pPr>
    <w:rPr>
      <w:rFonts w:asciiTheme="minorHAnsi" w:hAnsiTheme="minorHAnsi"/>
      <w:szCs w:val="18"/>
      <w:shd w:val="clear" w:color="auto" w:fill="FFFFFF"/>
    </w:rPr>
  </w:style>
  <w:style w:type="character" w:customStyle="1" w:styleId="TablebulletsChar">
    <w:name w:val="Table bullets Char"/>
    <w:basedOn w:val="DefaultParagraphFont"/>
    <w:link w:val="Tablebullets"/>
    <w:uiPriority w:val="99"/>
    <w:rsid w:val="00863151"/>
    <w:rPr>
      <w:szCs w:val="18"/>
    </w:rPr>
  </w:style>
  <w:style w:type="character" w:customStyle="1" w:styleId="ListParagraphChar">
    <w:name w:val="List Paragraph Char"/>
    <w:basedOn w:val="DefaultParagraphFont"/>
    <w:link w:val="ListParagraph"/>
    <w:uiPriority w:val="99"/>
    <w:rsid w:val="00863151"/>
    <w:rPr>
      <w:rFonts w:ascii="Arial" w:hAnsi="Arial"/>
      <w:szCs w:val="20"/>
    </w:rPr>
  </w:style>
  <w:style w:type="table" w:customStyle="1" w:styleId="MSATable-header">
    <w:name w:val="MSA Table - header"/>
    <w:basedOn w:val="TableNormal"/>
    <w:uiPriority w:val="99"/>
    <w:rsid w:val="002E4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table" w:customStyle="1" w:styleId="MSAdefinitions">
    <w:name w:val="MSA definitions"/>
    <w:basedOn w:val="TableNormal"/>
    <w:uiPriority w:val="99"/>
    <w:rsid w:val="00BA6055"/>
    <w:tblPr>
      <w:tblInd w:w="624" w:type="dxa"/>
      <w:tblCellMar>
        <w:right w:w="0" w:type="dxa"/>
      </w:tblCellMar>
    </w:tblPr>
  </w:style>
  <w:style w:type="character" w:customStyle="1" w:styleId="UnresolvedMention4">
    <w:name w:val="Unresolved Mention4"/>
    <w:basedOn w:val="DefaultParagraphFont"/>
    <w:uiPriority w:val="99"/>
    <w:semiHidden/>
    <w:rsid w:val="005D0525"/>
    <w:rPr>
      <w:color w:val="605E5C"/>
      <w:shd w:val="clear" w:color="auto" w:fill="E1DFDD"/>
    </w:rPr>
  </w:style>
  <w:style w:type="paragraph" w:customStyle="1" w:styleId="Dividername">
    <w:name w:val="Divider name"/>
    <w:uiPriority w:val="2"/>
    <w:rsid w:val="00F62024"/>
    <w:pPr>
      <w:spacing w:after="360"/>
      <w:jc w:val="center"/>
    </w:pPr>
    <w:rPr>
      <w:rFonts w:ascii="Arial" w:hAnsi="Arial"/>
      <w:b/>
      <w:color w:val="1F497D"/>
      <w:sz w:val="36"/>
      <w:szCs w:val="36"/>
    </w:rPr>
  </w:style>
  <w:style w:type="paragraph" w:customStyle="1" w:styleId="AppendixText2continued">
    <w:name w:val="Appendix Text 2 continued"/>
    <w:next w:val="AppendixText2"/>
    <w:uiPriority w:val="1"/>
    <w:semiHidden/>
    <w:rsid w:val="00006F5E"/>
    <w:pPr>
      <w:spacing w:before="100" w:after="200"/>
      <w:ind w:left="709"/>
    </w:pPr>
    <w:rPr>
      <w:rFonts w:ascii="Arial" w:hAnsi="Arial"/>
      <w:szCs w:val="20"/>
    </w:rPr>
  </w:style>
  <w:style w:type="paragraph" w:customStyle="1" w:styleId="TableText">
    <w:name w:val="Table Text"/>
    <w:basedOn w:val="StdBodyText"/>
    <w:uiPriority w:val="99"/>
    <w:semiHidden/>
    <w:rsid w:val="0086575E"/>
    <w:pPr>
      <w:spacing w:before="120" w:after="120"/>
    </w:pPr>
    <w:rPr>
      <w:rFonts w:cs="Arial"/>
    </w:rPr>
  </w:style>
  <w:style w:type="paragraph" w:customStyle="1" w:styleId="TableTextNumbered">
    <w:name w:val="Table Text Numbered"/>
    <w:basedOn w:val="TableText"/>
    <w:uiPriority w:val="99"/>
    <w:semiHidden/>
    <w:rsid w:val="0086575E"/>
    <w:pPr>
      <w:tabs>
        <w:tab w:val="num" w:pos="720"/>
      </w:tabs>
      <w:ind w:left="720" w:hanging="720"/>
    </w:pPr>
    <w:rPr>
      <w:b/>
      <w:bCs/>
    </w:rPr>
  </w:style>
  <w:style w:type="paragraph" w:customStyle="1" w:styleId="AppendixText3continued">
    <w:name w:val="Appendix Text 3 continued"/>
    <w:basedOn w:val="AppendixText3"/>
    <w:uiPriority w:val="1"/>
    <w:semiHidden/>
    <w:rsid w:val="00D902B7"/>
    <w:pPr>
      <w:numPr>
        <w:ilvl w:val="0"/>
        <w:numId w:val="0"/>
      </w:numPr>
      <w:ind w:left="1803"/>
    </w:pPr>
  </w:style>
  <w:style w:type="paragraph" w:customStyle="1" w:styleId="ScheduleText5">
    <w:name w:val="Schedule Text 5"/>
    <w:basedOn w:val="Normal"/>
    <w:next w:val="StdBodyText5"/>
    <w:qFormat/>
    <w:rsid w:val="003250BB"/>
    <w:pPr>
      <w:tabs>
        <w:tab w:val="left" w:pos="2523"/>
      </w:tabs>
      <w:spacing w:before="100" w:after="200"/>
    </w:pPr>
    <w:rPr>
      <w:rFonts w:eastAsia="Times New Roman" w:cs="Arial"/>
      <w:szCs w:val="24"/>
      <w:lang w:eastAsia="en-GB"/>
    </w:rPr>
  </w:style>
  <w:style w:type="paragraph" w:customStyle="1" w:styleId="ScheduleText6">
    <w:name w:val="Schedule Text 6"/>
    <w:basedOn w:val="ScheduleText5"/>
    <w:rsid w:val="003250BB"/>
    <w:pPr>
      <w:tabs>
        <w:tab w:val="num" w:pos="3243"/>
      </w:tabs>
      <w:ind w:left="3243"/>
    </w:pPr>
  </w:style>
  <w:style w:type="paragraph" w:customStyle="1" w:styleId="ScheduleText7">
    <w:name w:val="Schedule Text 7"/>
    <w:basedOn w:val="ScheduleText6"/>
    <w:rsid w:val="003250BB"/>
    <w:pPr>
      <w:tabs>
        <w:tab w:val="clear" w:pos="3243"/>
        <w:tab w:val="num" w:pos="3963"/>
      </w:tabs>
      <w:ind w:left="3963"/>
    </w:pPr>
  </w:style>
  <w:style w:type="paragraph" w:customStyle="1" w:styleId="Guidancenumbered">
    <w:name w:val="Guidance numbered"/>
    <w:uiPriority w:val="4"/>
    <w:rsid w:val="008C01F0"/>
    <w:pPr>
      <w:tabs>
        <w:tab w:val="num" w:pos="720"/>
      </w:tabs>
      <w:spacing w:before="100" w:after="200"/>
      <w:ind w:left="720" w:hanging="720"/>
    </w:pPr>
    <w:rPr>
      <w:rFonts w:ascii="Arial" w:eastAsia="Times New Roman" w:hAnsi="Arial" w:cs="Arial"/>
      <w:b/>
      <w:i/>
      <w:lang w:eastAsia="en-GB"/>
    </w:rPr>
  </w:style>
  <w:style w:type="paragraph" w:customStyle="1" w:styleId="Tabletext0">
    <w:name w:val="Table text"/>
    <w:uiPriority w:val="1"/>
    <w:qFormat/>
    <w:rsid w:val="00A45727"/>
    <w:pPr>
      <w:widowControl w:val="0"/>
      <w:autoSpaceDE w:val="0"/>
      <w:autoSpaceDN w:val="0"/>
    </w:pPr>
    <w:rPr>
      <w:rFonts w:ascii="Arial" w:eastAsia="Times New Roman" w:hAnsi="Arial" w:cs="Times New Roman"/>
      <w:lang w:eastAsia="en-GB"/>
    </w:rPr>
  </w:style>
  <w:style w:type="paragraph" w:customStyle="1" w:styleId="Numbered1">
    <w:name w:val="Numbered 1"/>
    <w:qFormat/>
    <w:rsid w:val="008C33D5"/>
    <w:pPr>
      <w:keepNext/>
      <w:keepLines/>
      <w:numPr>
        <w:numId w:val="24"/>
      </w:numPr>
      <w:autoSpaceDE w:val="0"/>
      <w:autoSpaceDN w:val="0"/>
      <w:spacing w:before="100" w:after="200"/>
      <w:outlineLvl w:val="1"/>
    </w:pPr>
    <w:rPr>
      <w:rFonts w:ascii="Arial" w:eastAsia="Arial" w:hAnsi="Arial" w:cs="Arial"/>
      <w:b/>
      <w:bCs/>
      <w:color w:val="1F497D" w:themeColor="text2"/>
      <w:szCs w:val="22"/>
      <w:lang w:bidi="en-US"/>
    </w:rPr>
  </w:style>
  <w:style w:type="paragraph" w:customStyle="1" w:styleId="Numbered11">
    <w:name w:val="Numbered 1.1"/>
    <w:qFormat/>
    <w:rsid w:val="008C33D5"/>
    <w:pPr>
      <w:widowControl w:val="0"/>
      <w:numPr>
        <w:ilvl w:val="1"/>
        <w:numId w:val="24"/>
      </w:numPr>
      <w:autoSpaceDE w:val="0"/>
      <w:autoSpaceDN w:val="0"/>
      <w:spacing w:before="100" w:after="200"/>
      <w:outlineLvl w:val="2"/>
    </w:pPr>
    <w:rPr>
      <w:rFonts w:eastAsia="Arial" w:cstheme="minorHAnsi"/>
      <w:lang w:bidi="en-US"/>
    </w:rPr>
  </w:style>
  <w:style w:type="paragraph" w:customStyle="1" w:styleId="Numbered111">
    <w:name w:val="Numbered 1.1.1"/>
    <w:next w:val="Numbered111a"/>
    <w:qFormat/>
    <w:rsid w:val="008C33D5"/>
    <w:pPr>
      <w:widowControl w:val="0"/>
      <w:numPr>
        <w:ilvl w:val="2"/>
        <w:numId w:val="24"/>
      </w:numPr>
      <w:autoSpaceDE w:val="0"/>
      <w:autoSpaceDN w:val="0"/>
      <w:spacing w:before="100" w:after="200"/>
    </w:pPr>
    <w:rPr>
      <w:rFonts w:ascii="Arial" w:eastAsia="Arial" w:hAnsi="Arial" w:cs="Arial"/>
      <w:szCs w:val="22"/>
      <w:lang w:bidi="en-US"/>
    </w:rPr>
  </w:style>
  <w:style w:type="paragraph" w:customStyle="1" w:styleId="Numbered111a">
    <w:name w:val="Numbered 1.1.1(a)"/>
    <w:qFormat/>
    <w:rsid w:val="005D55A3"/>
    <w:pPr>
      <w:widowControl w:val="0"/>
      <w:numPr>
        <w:ilvl w:val="3"/>
        <w:numId w:val="24"/>
      </w:numPr>
      <w:autoSpaceDE w:val="0"/>
      <w:autoSpaceDN w:val="0"/>
      <w:spacing w:before="100" w:after="200"/>
    </w:pPr>
    <w:rPr>
      <w:rFonts w:ascii="Arial" w:eastAsia="Arial" w:hAnsi="Arial" w:cs="Arial"/>
      <w:lang w:bidi="en-US"/>
    </w:rPr>
  </w:style>
  <w:style w:type="paragraph" w:customStyle="1" w:styleId="Numbered111ai">
    <w:name w:val="Numbered 1.1.1(a)(i)"/>
    <w:basedOn w:val="ListParagraph"/>
    <w:qFormat/>
    <w:rsid w:val="00F36483"/>
    <w:pPr>
      <w:widowControl w:val="0"/>
      <w:numPr>
        <w:ilvl w:val="4"/>
        <w:numId w:val="24"/>
      </w:numPr>
      <w:autoSpaceDE w:val="0"/>
      <w:autoSpaceDN w:val="0"/>
      <w:spacing w:before="100" w:after="200"/>
      <w:contextualSpacing w:val="0"/>
    </w:pPr>
    <w:rPr>
      <w:rFonts w:asciiTheme="minorHAnsi" w:eastAsia="Arial" w:hAnsiTheme="minorHAnsi" w:cstheme="minorHAnsi"/>
      <w:szCs w:val="24"/>
      <w:lang w:bidi="en-US"/>
    </w:rPr>
  </w:style>
  <w:style w:type="paragraph" w:customStyle="1" w:styleId="Numbered111aiA">
    <w:name w:val="Numbered 1.1.1(a)(i)(A)"/>
    <w:qFormat/>
    <w:rsid w:val="00F36483"/>
    <w:pPr>
      <w:widowControl w:val="0"/>
      <w:tabs>
        <w:tab w:val="num" w:pos="3963"/>
      </w:tabs>
      <w:autoSpaceDE w:val="0"/>
      <w:autoSpaceDN w:val="0"/>
      <w:spacing w:before="100" w:after="200"/>
      <w:ind w:left="3963" w:hanging="720"/>
    </w:pPr>
    <w:rPr>
      <w:rFonts w:eastAsia="Arial" w:cstheme="minorHAnsi"/>
      <w:lang w:bidi="en-US"/>
    </w:rPr>
  </w:style>
  <w:style w:type="paragraph" w:customStyle="1" w:styleId="Tablea">
    <w:name w:val="Table (a)"/>
    <w:uiPriority w:val="1"/>
    <w:qFormat/>
    <w:rsid w:val="005F4E68"/>
    <w:pPr>
      <w:widowControl w:val="0"/>
      <w:tabs>
        <w:tab w:val="num" w:pos="720"/>
        <w:tab w:val="left" w:pos="880"/>
      </w:tabs>
      <w:autoSpaceDE w:val="0"/>
      <w:autoSpaceDN w:val="0"/>
      <w:ind w:left="720" w:hanging="720"/>
    </w:pPr>
    <w:rPr>
      <w:rFonts w:ascii="Arial" w:eastAsia="Arial" w:hAnsi="Arial" w:cstheme="minorHAnsi"/>
      <w:lang w:bidi="en-US"/>
    </w:rPr>
  </w:style>
  <w:style w:type="paragraph" w:customStyle="1" w:styleId="Tableai">
    <w:name w:val="Table (a)(i)"/>
    <w:basedOn w:val="Normal"/>
    <w:uiPriority w:val="1"/>
    <w:qFormat/>
    <w:rsid w:val="005F4E68"/>
    <w:pPr>
      <w:widowControl w:val="0"/>
      <w:tabs>
        <w:tab w:val="num" w:pos="1440"/>
        <w:tab w:val="left" w:pos="1637"/>
      </w:tabs>
      <w:autoSpaceDE w:val="0"/>
      <w:autoSpaceDN w:val="0"/>
      <w:ind w:left="1440" w:hanging="720"/>
    </w:pPr>
    <w:rPr>
      <w:rFonts w:asciiTheme="minorHAnsi" w:eastAsia="Arial" w:hAnsiTheme="minorHAnsi" w:cstheme="minorHAnsi"/>
      <w:szCs w:val="24"/>
      <w:lang w:bidi="en-US"/>
    </w:rPr>
  </w:style>
  <w:style w:type="paragraph" w:customStyle="1" w:styleId="Tableai1">
    <w:name w:val="Table (a)(i)(1)"/>
    <w:uiPriority w:val="1"/>
    <w:qFormat/>
    <w:rsid w:val="005F4E68"/>
    <w:pPr>
      <w:widowControl w:val="0"/>
      <w:tabs>
        <w:tab w:val="left" w:pos="2160"/>
      </w:tabs>
      <w:autoSpaceDE w:val="0"/>
      <w:autoSpaceDN w:val="0"/>
      <w:ind w:left="2160" w:hanging="720"/>
    </w:pPr>
    <w:rPr>
      <w:rFonts w:eastAsia="Arial" w:cstheme="minorHAnsi"/>
      <w:lang w:bidi="en-US"/>
    </w:rPr>
  </w:style>
  <w:style w:type="paragraph" w:customStyle="1" w:styleId="Centered">
    <w:name w:val="Centered"/>
    <w:basedOn w:val="Normal"/>
    <w:next w:val="StdBodyText"/>
    <w:rsid w:val="00495BEA"/>
    <w:pPr>
      <w:spacing w:before="100" w:after="200"/>
      <w:jc w:val="center"/>
    </w:pPr>
    <w:rPr>
      <w:rFonts w:eastAsia="Times New Roman" w:cs="Times New Roman"/>
      <w:szCs w:val="24"/>
      <w:lang w:eastAsia="en-GB"/>
    </w:rPr>
  </w:style>
  <w:style w:type="paragraph" w:styleId="BalloonText">
    <w:name w:val="Balloon Text"/>
    <w:basedOn w:val="Normal"/>
    <w:link w:val="BalloonTextChar"/>
    <w:uiPriority w:val="99"/>
    <w:rsid w:val="009F79A8"/>
    <w:rPr>
      <w:rFonts w:ascii="Segoe UI" w:hAnsi="Segoe UI" w:cs="Segoe UI"/>
      <w:sz w:val="18"/>
      <w:szCs w:val="18"/>
    </w:rPr>
  </w:style>
  <w:style w:type="character" w:customStyle="1" w:styleId="BalloonTextChar">
    <w:name w:val="Balloon Text Char"/>
    <w:basedOn w:val="DefaultParagraphFont"/>
    <w:link w:val="BalloonText"/>
    <w:uiPriority w:val="99"/>
    <w:rsid w:val="009F79A8"/>
    <w:rPr>
      <w:rFonts w:ascii="Segoe UI" w:hAnsi="Segoe UI" w:cs="Segoe UI"/>
      <w:sz w:val="18"/>
      <w:szCs w:val="18"/>
    </w:rPr>
  </w:style>
  <w:style w:type="numbering" w:customStyle="1" w:styleId="NoList1">
    <w:name w:val="No List1"/>
    <w:next w:val="NoList"/>
    <w:uiPriority w:val="99"/>
    <w:semiHidden/>
    <w:unhideWhenUsed/>
    <w:rsid w:val="00102034"/>
  </w:style>
  <w:style w:type="numbering" w:customStyle="1" w:styleId="Level10">
    <w:name w:val="Level1"/>
    <w:uiPriority w:val="99"/>
    <w:rsid w:val="00102034"/>
  </w:style>
  <w:style w:type="numbering" w:customStyle="1" w:styleId="Scheduletext10">
    <w:name w:val="Schedule text1"/>
    <w:uiPriority w:val="99"/>
    <w:rsid w:val="00102034"/>
  </w:style>
  <w:style w:type="numbering" w:customStyle="1" w:styleId="Appendix1">
    <w:name w:val="Appendix1"/>
    <w:uiPriority w:val="99"/>
    <w:rsid w:val="00102034"/>
  </w:style>
  <w:style w:type="numbering" w:customStyle="1" w:styleId="Scheduleheading1">
    <w:name w:val="Schedule heading1"/>
    <w:uiPriority w:val="99"/>
    <w:rsid w:val="00102034"/>
  </w:style>
  <w:style w:type="numbering" w:customStyle="1" w:styleId="Bullets1">
    <w:name w:val="Bullets1"/>
    <w:uiPriority w:val="99"/>
    <w:rsid w:val="00102034"/>
  </w:style>
  <w:style w:type="numbering" w:customStyle="1" w:styleId="Definitions1">
    <w:name w:val="Definitions1"/>
    <w:uiPriority w:val="99"/>
    <w:rsid w:val="00102034"/>
  </w:style>
  <w:style w:type="paragraph" w:customStyle="1" w:styleId="Address">
    <w:name w:val="Address"/>
    <w:basedOn w:val="Normal"/>
    <w:rsid w:val="00102034"/>
    <w:rPr>
      <w:rFonts w:eastAsia="Times New Roman" w:cs="Times New Roman"/>
      <w:szCs w:val="24"/>
      <w:lang w:eastAsia="en-GB"/>
    </w:rPr>
  </w:style>
  <w:style w:type="paragraph" w:customStyle="1" w:styleId="AnnexHeading">
    <w:name w:val="Annex Heading"/>
    <w:basedOn w:val="Normal"/>
    <w:next w:val="Normal"/>
    <w:rsid w:val="00102034"/>
    <w:pPr>
      <w:numPr>
        <w:numId w:val="2"/>
      </w:numPr>
      <w:spacing w:before="100" w:after="300"/>
      <w:jc w:val="center"/>
    </w:pPr>
    <w:rPr>
      <w:rFonts w:ascii="Arial Bold" w:eastAsia="Times New Roman" w:hAnsi="Arial Bold" w:cs="Times New Roman"/>
      <w:b/>
      <w:caps/>
      <w:szCs w:val="24"/>
      <w:lang w:eastAsia="en-GB"/>
    </w:rPr>
  </w:style>
  <w:style w:type="paragraph" w:customStyle="1" w:styleId="BulletsBody">
    <w:name w:val="Bullets Body"/>
    <w:basedOn w:val="StdBodyText"/>
    <w:rsid w:val="00102034"/>
    <w:pPr>
      <w:numPr>
        <w:numId w:val="1"/>
      </w:numPr>
    </w:pPr>
  </w:style>
  <w:style w:type="paragraph" w:customStyle="1" w:styleId="BulletsLevel1">
    <w:name w:val="Bullets Level 1"/>
    <w:basedOn w:val="StdBodyText1"/>
    <w:rsid w:val="00102034"/>
    <w:pPr>
      <w:numPr>
        <w:ilvl w:val="1"/>
        <w:numId w:val="1"/>
      </w:numPr>
      <w:tabs>
        <w:tab w:val="left" w:pos="1797"/>
      </w:tabs>
    </w:pPr>
  </w:style>
  <w:style w:type="paragraph" w:customStyle="1" w:styleId="Centre">
    <w:name w:val="Centre"/>
    <w:basedOn w:val="Normal"/>
    <w:next w:val="Normal"/>
    <w:rsid w:val="00102034"/>
    <w:pPr>
      <w:spacing w:before="100" w:after="600"/>
      <w:jc w:val="center"/>
    </w:pPr>
    <w:rPr>
      <w:rFonts w:eastAsia="Times New Roman" w:cs="Times New Roman"/>
      <w:szCs w:val="24"/>
      <w:lang w:eastAsia="en-GB"/>
    </w:rPr>
  </w:style>
  <w:style w:type="paragraph" w:customStyle="1" w:styleId="LetterTitle">
    <w:name w:val="Letter Title"/>
    <w:basedOn w:val="Normal"/>
    <w:next w:val="StdBodyText"/>
    <w:rsid w:val="00102034"/>
    <w:pPr>
      <w:spacing w:before="100" w:after="200"/>
    </w:pPr>
    <w:rPr>
      <w:rFonts w:eastAsia="Times New Roman" w:cs="Times New Roman"/>
      <w:b/>
      <w:szCs w:val="24"/>
      <w:lang w:eastAsia="en-GB"/>
    </w:rPr>
  </w:style>
  <w:style w:type="paragraph" w:customStyle="1" w:styleId="Recitals">
    <w:name w:val="Recitals"/>
    <w:basedOn w:val="Normal"/>
    <w:rsid w:val="00102034"/>
    <w:pPr>
      <w:numPr>
        <w:numId w:val="6"/>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102034"/>
    <w:pPr>
      <w:numPr>
        <w:ilvl w:val="1"/>
        <w:numId w:val="5"/>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102034"/>
    <w:pPr>
      <w:spacing w:before="100" w:after="300"/>
      <w:jc w:val="center"/>
    </w:pPr>
    <w:rPr>
      <w:rFonts w:eastAsia="Times New Roman" w:cs="Times New Roman"/>
      <w:b/>
      <w:szCs w:val="24"/>
      <w:lang w:eastAsia="en-GB"/>
    </w:rPr>
  </w:style>
  <w:style w:type="table" w:customStyle="1" w:styleId="TableGrid10">
    <w:name w:val="Table Grid1"/>
    <w:basedOn w:val="TableNormal"/>
    <w:next w:val="TableGrid"/>
    <w:uiPriority w:val="39"/>
    <w:rsid w:val="00102034"/>
    <w:rPr>
      <w:rFonts w:ascii="Arial" w:eastAsia="Calibri" w:hAnsi="Arial"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
    <w:name w:val="Dark List - Accent 11"/>
    <w:basedOn w:val="TableNormal"/>
    <w:next w:val="DarkList-Accent1"/>
    <w:uiPriority w:val="70"/>
    <w:rsid w:val="00102034"/>
    <w:rPr>
      <w:rFonts w:ascii="Arial" w:eastAsia="Calibri" w:hAnsi="Arial" w:cs="Calibri"/>
      <w:color w:val="FFFFFF"/>
      <w:sz w:val="20"/>
      <w:szCs w:val="20"/>
      <w:lang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ghtList-Accent11">
    <w:name w:val="Light List - Accent 11"/>
    <w:basedOn w:val="TableNormal"/>
    <w:next w:val="LightList-Accent1"/>
    <w:uiPriority w:val="61"/>
    <w:rsid w:val="00102034"/>
    <w:rPr>
      <w:rFonts w:ascii="Arial" w:eastAsia="Calibri" w:hAnsi="Arial" w:cs="Calibri"/>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urfulShading1">
    <w:name w:val="Colourful Shading1"/>
    <w:basedOn w:val="TableNormal"/>
    <w:next w:val="ColorfulShading"/>
    <w:uiPriority w:val="71"/>
    <w:rsid w:val="00102034"/>
    <w:rPr>
      <w:rFonts w:ascii="Arial" w:eastAsia="Calibri" w:hAnsi="Arial" w:cs="Calibri"/>
      <w:color w:val="000000"/>
      <w:sz w:val="20"/>
      <w:szCs w:val="20"/>
      <w:lang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MediumGrid2-Accent31">
    <w:name w:val="Medium Grid 2 - Accent 31"/>
    <w:basedOn w:val="TableNormal"/>
    <w:next w:val="MediumGrid2-Accent3"/>
    <w:uiPriority w:val="68"/>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Shading1">
    <w:name w:val="Light Shading1"/>
    <w:basedOn w:val="TableNormal"/>
    <w:next w:val="LightShading"/>
    <w:uiPriority w:val="60"/>
    <w:rsid w:val="00102034"/>
    <w:rPr>
      <w:rFonts w:ascii="Arial" w:eastAsia="Calibri" w:hAnsi="Arial" w:cs="Calibri"/>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urfulGridAccent61">
    <w:name w:val="Colourful Grid – Accent 61"/>
    <w:basedOn w:val="TableNormal"/>
    <w:next w:val="ColorfulGrid-Accent6"/>
    <w:uiPriority w:val="73"/>
    <w:rsid w:val="00102034"/>
    <w:rPr>
      <w:rFonts w:ascii="Arial" w:eastAsia="Calibri" w:hAnsi="Arial" w:cs="Calibri"/>
      <w:color w:val="000000"/>
      <w:sz w:val="20"/>
      <w:szCs w:val="20"/>
      <w:lang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MediumShading1-Accent21">
    <w:name w:val="Medium Shading 1 - Accent 21"/>
    <w:basedOn w:val="TableNormal"/>
    <w:next w:val="MediumShading1-Accent2"/>
    <w:uiPriority w:val="63"/>
    <w:rsid w:val="00102034"/>
    <w:rPr>
      <w:rFonts w:ascii="Arial" w:eastAsia="Calibri" w:hAnsi="Arial" w:cs="Calibri"/>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rsid w:val="00102034"/>
    <w:rPr>
      <w:rFonts w:ascii="Arial" w:eastAsia="Calibri" w:hAnsi="Arial" w:cs="Calibri"/>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61">
    <w:name w:val="Light Grid - Accent 61"/>
    <w:basedOn w:val="TableNormal"/>
    <w:next w:val="LightGrid-Accent6"/>
    <w:uiPriority w:val="62"/>
    <w:rsid w:val="00102034"/>
    <w:rPr>
      <w:rFonts w:ascii="Arial" w:eastAsia="Calibri" w:hAnsi="Arial" w:cs="Calibri"/>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Appendixheading1">
    <w:name w:val="Appendix heading1"/>
    <w:uiPriority w:val="99"/>
    <w:rsid w:val="00102034"/>
  </w:style>
  <w:style w:type="paragraph" w:customStyle="1" w:styleId="BulletsLevel2">
    <w:name w:val="Bullets Level 2"/>
    <w:basedOn w:val="BulletsLevel1"/>
    <w:rsid w:val="00102034"/>
    <w:pPr>
      <w:numPr>
        <w:ilvl w:val="2"/>
      </w:numPr>
      <w:tabs>
        <w:tab w:val="clear" w:pos="1797"/>
      </w:tabs>
    </w:pPr>
  </w:style>
  <w:style w:type="paragraph" w:customStyle="1" w:styleId="ScheduleHeading0">
    <w:name w:val="Schedule Heading"/>
    <w:basedOn w:val="ScheduleHeading2"/>
    <w:rsid w:val="00102034"/>
    <w:pPr>
      <w:numPr>
        <w:ilvl w:val="0"/>
      </w:numPr>
    </w:pPr>
  </w:style>
  <w:style w:type="paragraph" w:customStyle="1" w:styleId="AnnextoPart">
    <w:name w:val="Annex to Part"/>
    <w:basedOn w:val="PartHeading"/>
    <w:rsid w:val="00102034"/>
    <w:pPr>
      <w:numPr>
        <w:numId w:val="0"/>
      </w:numPr>
      <w:ind w:left="720" w:firstLine="720"/>
    </w:pPr>
    <w:rPr>
      <w:caps w:val="0"/>
    </w:rPr>
  </w:style>
  <w:style w:type="paragraph" w:customStyle="1" w:styleId="PartiesFrontSheet">
    <w:name w:val="Parties Front Sheet"/>
    <w:basedOn w:val="Normal"/>
    <w:rsid w:val="00102034"/>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102034"/>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102034"/>
    <w:pPr>
      <w:spacing w:before="400" w:after="200"/>
    </w:pPr>
    <w:rPr>
      <w:rFonts w:eastAsia="Times New Roman" w:cs="Times New Roman"/>
      <w:b/>
      <w:szCs w:val="24"/>
      <w:lang w:eastAsia="en-GB"/>
    </w:rPr>
  </w:style>
  <w:style w:type="paragraph" w:customStyle="1" w:styleId="GPSL1CLAUSEHEADING">
    <w:name w:val="GPS L1 CLAUSE HEADING"/>
    <w:basedOn w:val="Normal"/>
    <w:next w:val="Normal"/>
    <w:link w:val="GPSL1CLAUSEHEADINGChar"/>
    <w:qFormat/>
    <w:rsid w:val="00102034"/>
    <w:pPr>
      <w:numPr>
        <w:numId w:val="7"/>
      </w:numPr>
      <w:tabs>
        <w:tab w:val="left" w:pos="0"/>
      </w:tabs>
      <w:adjustRightInd w:val="0"/>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2034"/>
    <w:pPr>
      <w:numPr>
        <w:ilvl w:val="1"/>
        <w:numId w:val="7"/>
      </w:numPr>
      <w:tabs>
        <w:tab w:val="left" w:pos="1134"/>
      </w:tabs>
      <w:adjustRightInd w:val="0"/>
      <w:spacing w:before="120" w:after="120"/>
      <w:ind w:left="1134" w:hanging="567"/>
      <w:jc w:val="both"/>
    </w:pPr>
    <w:rPr>
      <w:rFonts w:ascii="Calibri" w:eastAsia="Times New Roman" w:hAnsi="Calibri" w:cs="Arial"/>
      <w:sz w:val="22"/>
      <w:szCs w:val="22"/>
      <w:lang w:eastAsia="zh-CN"/>
    </w:rPr>
  </w:style>
  <w:style w:type="paragraph" w:customStyle="1" w:styleId="GPSL3numberedclause">
    <w:name w:val="GPS L3 numbered clause"/>
    <w:basedOn w:val="GPSL2numberedclause"/>
    <w:link w:val="GPSL3numberedclauseChar"/>
    <w:qFormat/>
    <w:rsid w:val="00102034"/>
    <w:pPr>
      <w:numPr>
        <w:ilvl w:val="2"/>
      </w:numPr>
      <w:tabs>
        <w:tab w:val="clear" w:pos="1134"/>
        <w:tab w:val="left" w:pos="1985"/>
        <w:tab w:val="left" w:pos="2127"/>
      </w:tabs>
    </w:pPr>
  </w:style>
  <w:style w:type="paragraph" w:customStyle="1" w:styleId="GPSL4numberedclause">
    <w:name w:val="GPS L4 numbered clause"/>
    <w:basedOn w:val="GPSL3numberedclause"/>
    <w:qFormat/>
    <w:rsid w:val="00102034"/>
    <w:pPr>
      <w:numPr>
        <w:ilvl w:val="3"/>
      </w:numPr>
      <w:tabs>
        <w:tab w:val="clear" w:pos="2127"/>
      </w:tabs>
    </w:pPr>
    <w:rPr>
      <w:szCs w:val="20"/>
    </w:rPr>
  </w:style>
  <w:style w:type="paragraph" w:customStyle="1" w:styleId="GPSL5numberedclause">
    <w:name w:val="GPS L5 numbered clause"/>
    <w:basedOn w:val="GPSL4numberedclause"/>
    <w:qFormat/>
    <w:rsid w:val="00102034"/>
    <w:pPr>
      <w:numPr>
        <w:ilvl w:val="4"/>
      </w:numPr>
      <w:tabs>
        <w:tab w:val="num" w:pos="360"/>
        <w:tab w:val="left" w:pos="3402"/>
      </w:tabs>
      <w:ind w:left="2523"/>
    </w:pPr>
  </w:style>
  <w:style w:type="paragraph" w:customStyle="1" w:styleId="GPSL6numbered">
    <w:name w:val="GPS L6 numbered"/>
    <w:basedOn w:val="GPSL5numberedclause"/>
    <w:qFormat/>
    <w:rsid w:val="00102034"/>
    <w:pPr>
      <w:numPr>
        <w:ilvl w:val="5"/>
      </w:numPr>
      <w:tabs>
        <w:tab w:val="num" w:pos="360"/>
        <w:tab w:val="left" w:pos="4253"/>
      </w:tabs>
      <w:ind w:left="4253" w:hanging="709"/>
    </w:pPr>
  </w:style>
  <w:style w:type="character" w:customStyle="1" w:styleId="GPSL3numberedclauseChar">
    <w:name w:val="GPS L3 numbered clause Char"/>
    <w:link w:val="GPSL3numberedclause"/>
    <w:rsid w:val="00102034"/>
    <w:rPr>
      <w:rFonts w:ascii="Calibri" w:eastAsia="Times New Roman" w:hAnsi="Calibri" w:cs="Arial"/>
      <w:sz w:val="22"/>
      <w:szCs w:val="22"/>
      <w:lang w:eastAsia="zh-CN"/>
    </w:rPr>
  </w:style>
  <w:style w:type="character" w:customStyle="1" w:styleId="GPSL2numberedclauseChar1">
    <w:name w:val="GPS L2 numbered clause Char1"/>
    <w:link w:val="GPSL2numberedclause"/>
    <w:rsid w:val="00102034"/>
    <w:rPr>
      <w:rFonts w:ascii="Calibri" w:eastAsia="Times New Roman" w:hAnsi="Calibri" w:cs="Arial"/>
      <w:sz w:val="22"/>
      <w:szCs w:val="22"/>
      <w:lang w:eastAsia="zh-CN"/>
    </w:rPr>
  </w:style>
  <w:style w:type="paragraph" w:customStyle="1" w:styleId="Level6">
    <w:name w:val="Level 6"/>
    <w:basedOn w:val="Level5"/>
    <w:rsid w:val="00102034"/>
    <w:pPr>
      <w:numPr>
        <w:ilvl w:val="0"/>
        <w:numId w:val="0"/>
      </w:numPr>
      <w:tabs>
        <w:tab w:val="clear" w:pos="2523"/>
      </w:tabs>
      <w:ind w:left="5040" w:hanging="720"/>
    </w:pPr>
  </w:style>
  <w:style w:type="paragraph" w:customStyle="1" w:styleId="GPSL4numbered">
    <w:name w:val="GPS L4 numbered"/>
    <w:basedOn w:val="Normal"/>
    <w:rsid w:val="00102034"/>
    <w:pPr>
      <w:pBdr>
        <w:top w:val="nil"/>
        <w:left w:val="nil"/>
        <w:bottom w:val="nil"/>
        <w:right w:val="nil"/>
        <w:between w:val="nil"/>
      </w:pBdr>
      <w:spacing w:after="200" w:line="276" w:lineRule="auto"/>
    </w:pPr>
    <w:rPr>
      <w:rFonts w:ascii="Times New Roman" w:eastAsia="Calibri" w:hAnsi="Times New Roman" w:cs="Calibri"/>
      <w:color w:val="000000"/>
      <w:szCs w:val="22"/>
      <w:lang w:eastAsia="en-GB"/>
    </w:rPr>
  </w:style>
  <w:style w:type="paragraph" w:customStyle="1" w:styleId="GPSL1Numbered">
    <w:name w:val="GPS L1 Numbered"/>
    <w:basedOn w:val="Normal"/>
    <w:rsid w:val="00102034"/>
    <w:pPr>
      <w:keepNext/>
      <w:pBdr>
        <w:top w:val="nil"/>
        <w:left w:val="nil"/>
        <w:bottom w:val="nil"/>
        <w:right w:val="nil"/>
        <w:between w:val="nil"/>
      </w:pBdr>
      <w:spacing w:before="120" w:after="240"/>
    </w:pPr>
    <w:rPr>
      <w:rFonts w:ascii="Times New Roman" w:eastAsia="Calibri" w:hAnsi="Times New Roman" w:cs="Calibri"/>
      <w:b/>
      <w:color w:val="000000"/>
      <w:szCs w:val="22"/>
      <w:lang w:eastAsia="en-GB"/>
    </w:rPr>
  </w:style>
  <w:style w:type="paragraph" w:customStyle="1" w:styleId="GPSL2NumberedBoldHeading">
    <w:name w:val="GPS L2 Numbered Bold Heading"/>
    <w:basedOn w:val="Normal"/>
    <w:qFormat/>
    <w:rsid w:val="00102034"/>
    <w:pPr>
      <w:tabs>
        <w:tab w:val="left" w:pos="1134"/>
      </w:tabs>
      <w:adjustRightInd w:val="0"/>
      <w:spacing w:before="120" w:after="120"/>
      <w:ind w:left="644" w:hanging="218"/>
      <w:jc w:val="both"/>
    </w:pPr>
    <w:rPr>
      <w:rFonts w:ascii="Calibri" w:eastAsia="Times New Roman" w:hAnsi="Calibri" w:cs="Arial"/>
      <w:b/>
      <w:sz w:val="22"/>
      <w:szCs w:val="22"/>
      <w:lang w:eastAsia="zh-CN"/>
    </w:rPr>
  </w:style>
  <w:style w:type="paragraph" w:customStyle="1" w:styleId="GPSL2Numbered">
    <w:name w:val="GPS L2 Numbered"/>
    <w:basedOn w:val="GPSL2NumberedBoldHeading"/>
    <w:link w:val="GPSL2NumberedChar"/>
    <w:qFormat/>
    <w:rsid w:val="00102034"/>
    <w:pPr>
      <w:tabs>
        <w:tab w:val="clear" w:pos="1134"/>
      </w:tabs>
      <w:ind w:left="936" w:hanging="576"/>
    </w:pPr>
    <w:rPr>
      <w:b w:val="0"/>
    </w:rPr>
  </w:style>
  <w:style w:type="character" w:customStyle="1" w:styleId="GPSL2NumberedChar">
    <w:name w:val="GPS L2 Numbered Char"/>
    <w:link w:val="GPSL2Numbered"/>
    <w:locked/>
    <w:rsid w:val="00102034"/>
    <w:rPr>
      <w:rFonts w:ascii="Calibri" w:eastAsia="Times New Roman" w:hAnsi="Calibri" w:cs="Arial"/>
      <w:sz w:val="22"/>
      <w:szCs w:val="22"/>
      <w:lang w:eastAsia="zh-CN"/>
    </w:rPr>
  </w:style>
  <w:style w:type="character" w:customStyle="1" w:styleId="GPSL1CLAUSEHEADINGChar">
    <w:name w:val="GPS L1 CLAUSE HEADING Char"/>
    <w:link w:val="GPSL1CLAUSEHEADING"/>
    <w:rsid w:val="00102034"/>
    <w:rPr>
      <w:rFonts w:ascii="Arial Bold" w:eastAsia="STZhongsong" w:hAnsi="Arial Bold" w:cs="Arial"/>
      <w:b/>
      <w:caps/>
      <w:sz w:val="22"/>
      <w:szCs w:val="22"/>
      <w:lang w:eastAsia="zh-CN"/>
    </w:rPr>
  </w:style>
  <w:style w:type="paragraph" w:styleId="BodyTextIndent">
    <w:name w:val="Body Text Indent"/>
    <w:basedOn w:val="HouseStyleBase"/>
    <w:link w:val="BodyTextIndentChar"/>
    <w:rsid w:val="00102034"/>
    <w:pPr>
      <w:numPr>
        <w:numId w:val="9"/>
      </w:numPr>
      <w:tabs>
        <w:tab w:val="num" w:pos="360"/>
      </w:tabs>
      <w:ind w:hanging="720"/>
    </w:pPr>
  </w:style>
  <w:style w:type="character" w:customStyle="1" w:styleId="BodyTextIndentChar">
    <w:name w:val="Body Text Indent Char"/>
    <w:basedOn w:val="DefaultParagraphFont"/>
    <w:link w:val="BodyTextIndent"/>
    <w:rsid w:val="00102034"/>
    <w:rPr>
      <w:rFonts w:ascii="Times New Roman" w:eastAsia="STZhongsong" w:hAnsi="Times New Roman" w:cs="Times New Roman"/>
      <w:sz w:val="22"/>
      <w:szCs w:val="20"/>
      <w:lang w:eastAsia="zh-CN"/>
    </w:rPr>
  </w:style>
  <w:style w:type="paragraph" w:styleId="BodyTextIndent2">
    <w:name w:val="Body Text Indent 2"/>
    <w:basedOn w:val="HouseStyleBase"/>
    <w:link w:val="BodyTextIndent2Char"/>
    <w:rsid w:val="00102034"/>
    <w:pPr>
      <w:numPr>
        <w:ilvl w:val="1"/>
        <w:numId w:val="9"/>
      </w:numPr>
      <w:tabs>
        <w:tab w:val="num" w:pos="360"/>
      </w:tabs>
      <w:ind w:left="1440" w:hanging="720"/>
    </w:pPr>
  </w:style>
  <w:style w:type="character" w:customStyle="1" w:styleId="BodyTextIndent2Char">
    <w:name w:val="Body Text Indent 2 Char"/>
    <w:basedOn w:val="DefaultParagraphFont"/>
    <w:link w:val="BodyTextIndent2"/>
    <w:rsid w:val="00102034"/>
    <w:rPr>
      <w:rFonts w:ascii="Times New Roman" w:eastAsia="STZhongsong" w:hAnsi="Times New Roman" w:cs="Times New Roman"/>
      <w:sz w:val="22"/>
      <w:szCs w:val="20"/>
      <w:lang w:eastAsia="zh-CN"/>
    </w:rPr>
  </w:style>
  <w:style w:type="paragraph" w:styleId="BodyTextIndent3">
    <w:name w:val="Body Text Indent 3"/>
    <w:basedOn w:val="HouseStyleBase"/>
    <w:link w:val="BodyTextIndent3Char"/>
    <w:rsid w:val="00102034"/>
    <w:pPr>
      <w:ind w:left="1800"/>
    </w:pPr>
  </w:style>
  <w:style w:type="character" w:customStyle="1" w:styleId="BodyTextIndent3Char">
    <w:name w:val="Body Text Indent 3 Char"/>
    <w:basedOn w:val="DefaultParagraphFont"/>
    <w:link w:val="BodyTextIndent3"/>
    <w:rsid w:val="00102034"/>
    <w:rPr>
      <w:rFonts w:ascii="Times New Roman" w:eastAsia="STZhongsong" w:hAnsi="Times New Roman" w:cs="Times New Roman"/>
      <w:sz w:val="22"/>
      <w:szCs w:val="20"/>
      <w:lang w:eastAsia="zh-CN"/>
    </w:rPr>
  </w:style>
  <w:style w:type="paragraph" w:customStyle="1" w:styleId="BodyTextIndent4">
    <w:name w:val="Body Text Indent 4"/>
    <w:basedOn w:val="HouseStyleBase"/>
    <w:rsid w:val="00102034"/>
    <w:pPr>
      <w:ind w:left="2880"/>
    </w:pPr>
  </w:style>
  <w:style w:type="paragraph" w:customStyle="1" w:styleId="BodyTextIndent5">
    <w:name w:val="Body Text Indent 5"/>
    <w:basedOn w:val="HouseStyleBase"/>
    <w:rsid w:val="00102034"/>
    <w:pPr>
      <w:ind w:left="3600"/>
    </w:pPr>
  </w:style>
  <w:style w:type="paragraph" w:customStyle="1" w:styleId="MarginText">
    <w:name w:val="Margin Text"/>
    <w:basedOn w:val="HouseStyleBase"/>
    <w:rsid w:val="00B740A3"/>
    <w:rPr>
      <w:rFonts w:asciiTheme="minorHAnsi" w:hAnsiTheme="minorHAnsi"/>
      <w:sz w:val="24"/>
    </w:rPr>
  </w:style>
  <w:style w:type="paragraph" w:styleId="BodyText">
    <w:name w:val="Body Text"/>
    <w:basedOn w:val="Normal"/>
    <w:link w:val="BodyTextChar"/>
    <w:qFormat/>
    <w:rsid w:val="00102034"/>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eastAsia="en-GB"/>
    </w:rPr>
  </w:style>
  <w:style w:type="character" w:customStyle="1" w:styleId="BodyTextChar">
    <w:name w:val="Body Text Char"/>
    <w:basedOn w:val="DefaultParagraphFont"/>
    <w:link w:val="BodyText"/>
    <w:rsid w:val="00102034"/>
    <w:rPr>
      <w:rFonts w:ascii="Times New Roman" w:eastAsia="Times New Roman" w:hAnsi="Times New Roman" w:cs="Times New Roman"/>
      <w:sz w:val="22"/>
      <w:szCs w:val="20"/>
      <w:lang w:eastAsia="en-GB"/>
    </w:rPr>
  </w:style>
  <w:style w:type="character" w:styleId="PageNumber">
    <w:name w:val="page number"/>
    <w:rsid w:val="00102034"/>
    <w:rPr>
      <w:sz w:val="22"/>
    </w:rPr>
  </w:style>
  <w:style w:type="paragraph" w:customStyle="1" w:styleId="BodyTextIndent6">
    <w:name w:val="Body Text Indent 6"/>
    <w:basedOn w:val="HouseStyleBase"/>
    <w:rsid w:val="00102034"/>
    <w:pPr>
      <w:ind w:left="4320"/>
    </w:pPr>
  </w:style>
  <w:style w:type="paragraph" w:customStyle="1" w:styleId="BodyTextIndent7">
    <w:name w:val="Body Text Indent 7"/>
    <w:basedOn w:val="HouseStyleBase"/>
    <w:rsid w:val="00102034"/>
    <w:pPr>
      <w:ind w:left="5040"/>
    </w:pPr>
  </w:style>
  <w:style w:type="paragraph" w:customStyle="1" w:styleId="SchHead">
    <w:name w:val="SchHead"/>
    <w:basedOn w:val="HouseStyleBaseCentred"/>
    <w:next w:val="SchPart"/>
    <w:rsid w:val="00102034"/>
    <w:pPr>
      <w:keepNext/>
      <w:numPr>
        <w:numId w:val="10"/>
      </w:numPr>
      <w:jc w:val="center"/>
      <w:outlineLvl w:val="0"/>
    </w:pPr>
    <w:rPr>
      <w:b/>
      <w:caps/>
    </w:rPr>
  </w:style>
  <w:style w:type="paragraph" w:customStyle="1" w:styleId="ScheduleL1">
    <w:name w:val="Schedule L1"/>
    <w:basedOn w:val="HouseStyleBase"/>
    <w:rsid w:val="00FF73CF"/>
    <w:pPr>
      <w:numPr>
        <w:numId w:val="11"/>
      </w:numPr>
      <w:outlineLvl w:val="0"/>
    </w:pPr>
    <w:rPr>
      <w:rFonts w:ascii="Arial" w:hAnsi="Arial"/>
      <w:sz w:val="24"/>
    </w:rPr>
  </w:style>
  <w:style w:type="paragraph" w:styleId="ListBullet">
    <w:name w:val="List Bullet"/>
    <w:basedOn w:val="Normal"/>
    <w:rsid w:val="00102034"/>
    <w:pPr>
      <w:numPr>
        <w:ilvl w:val="10"/>
      </w:numPr>
      <w:overflowPunct w:val="0"/>
      <w:autoSpaceDE w:val="0"/>
      <w:autoSpaceDN w:val="0"/>
      <w:adjustRightInd w:val="0"/>
      <w:spacing w:after="240" w:line="360" w:lineRule="auto"/>
      <w:ind w:left="720" w:hanging="720"/>
      <w:jc w:val="both"/>
      <w:textAlignment w:val="baseline"/>
    </w:pPr>
    <w:rPr>
      <w:rFonts w:ascii="Times New Roman" w:eastAsia="Times New Roman" w:hAnsi="Times New Roman" w:cs="Times New Roman"/>
      <w:sz w:val="22"/>
      <w:lang w:eastAsia="en-GB"/>
    </w:rPr>
  </w:style>
  <w:style w:type="paragraph" w:styleId="ListBullet2">
    <w:name w:val="List Bullet 2"/>
    <w:basedOn w:val="HouseStyleBase"/>
    <w:rsid w:val="00102034"/>
    <w:pPr>
      <w:numPr>
        <w:ilvl w:val="1"/>
        <w:numId w:val="12"/>
      </w:numPr>
      <w:tabs>
        <w:tab w:val="num" w:pos="360"/>
      </w:tabs>
      <w:ind w:left="1440" w:firstLine="0"/>
    </w:pPr>
  </w:style>
  <w:style w:type="paragraph" w:customStyle="1" w:styleId="HouseStyleBase">
    <w:name w:val="House Style Base"/>
    <w:link w:val="HouseStyleBaseChar"/>
    <w:rsid w:val="00102034"/>
    <w:pPr>
      <w:adjustRightInd w:val="0"/>
      <w:spacing w:after="240"/>
      <w:jc w:val="both"/>
    </w:pPr>
    <w:rPr>
      <w:rFonts w:ascii="Times New Roman" w:eastAsia="STZhongsong" w:hAnsi="Times New Roman" w:cs="Times New Roman"/>
      <w:sz w:val="22"/>
      <w:szCs w:val="20"/>
      <w:lang w:eastAsia="zh-CN"/>
    </w:rPr>
  </w:style>
  <w:style w:type="numbering" w:customStyle="1" w:styleId="1111111">
    <w:name w:val="1 / 1.1 / 1.1.11"/>
    <w:basedOn w:val="NoList"/>
    <w:next w:val="111111"/>
    <w:rsid w:val="00102034"/>
  </w:style>
  <w:style w:type="paragraph" w:customStyle="1" w:styleId="HouseStyleBaseCentred">
    <w:name w:val="House Style Base Centred"/>
    <w:rsid w:val="00102034"/>
    <w:pPr>
      <w:adjustRightInd w:val="0"/>
      <w:spacing w:after="240"/>
    </w:pPr>
    <w:rPr>
      <w:rFonts w:ascii="Times New Roman" w:eastAsia="STZhongsong" w:hAnsi="Times New Roman" w:cs="Times New Roman"/>
      <w:sz w:val="22"/>
      <w:szCs w:val="20"/>
      <w:lang w:eastAsia="zh-CN"/>
    </w:rPr>
  </w:style>
  <w:style w:type="paragraph" w:customStyle="1" w:styleId="Heading">
    <w:name w:val="Heading"/>
    <w:basedOn w:val="HouseStyleBaseCentred"/>
    <w:next w:val="MarginText"/>
    <w:rsid w:val="00102034"/>
    <w:pPr>
      <w:keepNext/>
      <w:jc w:val="center"/>
    </w:pPr>
    <w:rPr>
      <w:b/>
      <w:caps/>
    </w:rPr>
  </w:style>
  <w:style w:type="paragraph" w:customStyle="1" w:styleId="AppHead">
    <w:name w:val="AppHead"/>
    <w:basedOn w:val="HouseStyleBaseCentred"/>
    <w:rsid w:val="00102034"/>
    <w:pPr>
      <w:numPr>
        <w:numId w:val="8"/>
      </w:numPr>
      <w:jc w:val="center"/>
      <w:outlineLvl w:val="0"/>
    </w:pPr>
    <w:rPr>
      <w:b/>
      <w:caps/>
    </w:rPr>
  </w:style>
  <w:style w:type="paragraph" w:customStyle="1" w:styleId="RecitalNumbering">
    <w:name w:val="Recital Numbering"/>
    <w:basedOn w:val="HouseStyleBase"/>
    <w:rsid w:val="00102034"/>
    <w:pPr>
      <w:numPr>
        <w:numId w:val="13"/>
      </w:numPr>
      <w:tabs>
        <w:tab w:val="num" w:pos="360"/>
      </w:tabs>
      <w:ind w:firstLine="0"/>
      <w:outlineLvl w:val="0"/>
    </w:pPr>
  </w:style>
  <w:style w:type="paragraph" w:customStyle="1" w:styleId="DefinitionNumbering1">
    <w:name w:val="Definition Numbering 1"/>
    <w:basedOn w:val="HouseStyleBase"/>
    <w:rsid w:val="00102034"/>
    <w:pPr>
      <w:numPr>
        <w:ilvl w:val="2"/>
        <w:numId w:val="9"/>
      </w:numPr>
      <w:tabs>
        <w:tab w:val="num" w:pos="360"/>
      </w:tabs>
      <w:ind w:left="1803" w:hanging="1083"/>
      <w:outlineLvl w:val="0"/>
    </w:pPr>
  </w:style>
  <w:style w:type="paragraph" w:customStyle="1" w:styleId="DefinitionNumbering2">
    <w:name w:val="Definition Numbering 2"/>
    <w:basedOn w:val="HouseStyleBase"/>
    <w:rsid w:val="00102034"/>
    <w:pPr>
      <w:numPr>
        <w:ilvl w:val="3"/>
        <w:numId w:val="9"/>
      </w:numPr>
      <w:tabs>
        <w:tab w:val="num" w:pos="360"/>
      </w:tabs>
      <w:ind w:left="1803" w:hanging="1083"/>
      <w:outlineLvl w:val="1"/>
    </w:pPr>
  </w:style>
  <w:style w:type="paragraph" w:customStyle="1" w:styleId="DefinitionNumbering3">
    <w:name w:val="Definition Numbering 3"/>
    <w:basedOn w:val="HouseStyleBase"/>
    <w:rsid w:val="00102034"/>
    <w:pPr>
      <w:numPr>
        <w:ilvl w:val="4"/>
        <w:numId w:val="9"/>
      </w:numPr>
      <w:tabs>
        <w:tab w:val="num" w:pos="360"/>
        <w:tab w:val="num" w:pos="1803"/>
      </w:tabs>
      <w:ind w:left="2523" w:hanging="360"/>
      <w:outlineLvl w:val="2"/>
    </w:pPr>
  </w:style>
  <w:style w:type="paragraph" w:customStyle="1" w:styleId="DefinitionNumbering4">
    <w:name w:val="Definition Numbering 4"/>
    <w:basedOn w:val="HouseStyleBase"/>
    <w:rsid w:val="00102034"/>
    <w:pPr>
      <w:numPr>
        <w:ilvl w:val="5"/>
        <w:numId w:val="9"/>
      </w:numPr>
      <w:tabs>
        <w:tab w:val="num" w:pos="360"/>
        <w:tab w:val="num" w:pos="3243"/>
      </w:tabs>
      <w:ind w:left="3243"/>
      <w:outlineLvl w:val="3"/>
    </w:pPr>
  </w:style>
  <w:style w:type="paragraph" w:customStyle="1" w:styleId="DefinitionNumbering5">
    <w:name w:val="Definition Numbering 5"/>
    <w:basedOn w:val="HouseStyleBase"/>
    <w:rsid w:val="00102034"/>
    <w:pPr>
      <w:numPr>
        <w:ilvl w:val="6"/>
        <w:numId w:val="9"/>
      </w:numPr>
      <w:tabs>
        <w:tab w:val="num" w:pos="360"/>
        <w:tab w:val="num" w:pos="3963"/>
      </w:tabs>
      <w:ind w:left="3963"/>
      <w:outlineLvl w:val="4"/>
    </w:pPr>
  </w:style>
  <w:style w:type="paragraph" w:customStyle="1" w:styleId="DefinitionNumbering6">
    <w:name w:val="Definition Numbering 6"/>
    <w:basedOn w:val="HouseStyleBase"/>
    <w:rsid w:val="00102034"/>
    <w:pPr>
      <w:numPr>
        <w:ilvl w:val="7"/>
        <w:numId w:val="9"/>
      </w:numPr>
      <w:tabs>
        <w:tab w:val="num" w:pos="360"/>
      </w:tabs>
      <w:ind w:left="2523"/>
      <w:outlineLvl w:val="5"/>
    </w:pPr>
  </w:style>
  <w:style w:type="paragraph" w:customStyle="1" w:styleId="DefinitionNumbering7">
    <w:name w:val="Definition Numbering 7"/>
    <w:basedOn w:val="HouseStyleBase"/>
    <w:rsid w:val="00102034"/>
    <w:pPr>
      <w:numPr>
        <w:ilvl w:val="8"/>
        <w:numId w:val="9"/>
      </w:numPr>
      <w:tabs>
        <w:tab w:val="num" w:pos="360"/>
      </w:tabs>
      <w:ind w:left="2523"/>
      <w:outlineLvl w:val="6"/>
    </w:pPr>
  </w:style>
  <w:style w:type="paragraph" w:customStyle="1" w:styleId="DefinitionNumbering8">
    <w:name w:val="Definition Numbering 8"/>
    <w:basedOn w:val="HouseStyleBase"/>
    <w:rsid w:val="00102034"/>
    <w:pPr>
      <w:numPr>
        <w:ilvl w:val="7"/>
        <w:numId w:val="14"/>
      </w:numPr>
      <w:tabs>
        <w:tab w:val="num" w:pos="360"/>
      </w:tabs>
      <w:ind w:left="2523"/>
      <w:outlineLvl w:val="7"/>
    </w:pPr>
  </w:style>
  <w:style w:type="paragraph" w:customStyle="1" w:styleId="DefinitionNumbering9">
    <w:name w:val="Definition Numbering 9"/>
    <w:basedOn w:val="HouseStyleBase"/>
    <w:rsid w:val="00102034"/>
    <w:pPr>
      <w:numPr>
        <w:ilvl w:val="8"/>
        <w:numId w:val="14"/>
      </w:numPr>
      <w:tabs>
        <w:tab w:val="num" w:pos="360"/>
      </w:tabs>
      <w:ind w:left="2523"/>
      <w:outlineLvl w:val="8"/>
    </w:pPr>
  </w:style>
  <w:style w:type="paragraph" w:customStyle="1" w:styleId="ListBullet1">
    <w:name w:val="List Bullet 1"/>
    <w:basedOn w:val="HouseStyleBase"/>
    <w:rsid w:val="00102034"/>
    <w:pPr>
      <w:numPr>
        <w:numId w:val="12"/>
      </w:numPr>
      <w:tabs>
        <w:tab w:val="num" w:pos="360"/>
      </w:tabs>
      <w:ind w:firstLine="0"/>
    </w:pPr>
  </w:style>
  <w:style w:type="paragraph" w:styleId="ListBullet3">
    <w:name w:val="List Bullet 3"/>
    <w:basedOn w:val="HouseStyleBase"/>
    <w:rsid w:val="00102034"/>
    <w:pPr>
      <w:numPr>
        <w:ilvl w:val="2"/>
        <w:numId w:val="12"/>
      </w:numPr>
      <w:tabs>
        <w:tab w:val="num" w:pos="360"/>
        <w:tab w:val="num" w:pos="1440"/>
      </w:tabs>
      <w:ind w:left="1803" w:hanging="1083"/>
    </w:pPr>
  </w:style>
  <w:style w:type="paragraph" w:styleId="ListBullet4">
    <w:name w:val="List Bullet 4"/>
    <w:basedOn w:val="HouseStyleBase"/>
    <w:rsid w:val="00102034"/>
    <w:pPr>
      <w:numPr>
        <w:ilvl w:val="3"/>
        <w:numId w:val="12"/>
      </w:numPr>
      <w:tabs>
        <w:tab w:val="num" w:pos="360"/>
      </w:tabs>
      <w:ind w:left="1803" w:hanging="1083"/>
    </w:pPr>
  </w:style>
  <w:style w:type="paragraph" w:styleId="ListBullet5">
    <w:name w:val="List Bullet 5"/>
    <w:basedOn w:val="HouseStyleBase"/>
    <w:rsid w:val="00102034"/>
    <w:pPr>
      <w:numPr>
        <w:ilvl w:val="4"/>
        <w:numId w:val="12"/>
      </w:numPr>
      <w:tabs>
        <w:tab w:val="num" w:pos="360"/>
        <w:tab w:val="num" w:pos="1803"/>
      </w:tabs>
      <w:ind w:left="2523" w:firstLine="0"/>
    </w:pPr>
  </w:style>
  <w:style w:type="paragraph" w:customStyle="1" w:styleId="ListBullet6">
    <w:name w:val="List Bullet 6"/>
    <w:basedOn w:val="HouseStyleBase"/>
    <w:rsid w:val="00102034"/>
    <w:pPr>
      <w:numPr>
        <w:ilvl w:val="5"/>
        <w:numId w:val="12"/>
      </w:numPr>
      <w:tabs>
        <w:tab w:val="num" w:pos="360"/>
        <w:tab w:val="num" w:pos="3243"/>
      </w:tabs>
      <w:ind w:left="3243" w:firstLine="0"/>
    </w:pPr>
  </w:style>
  <w:style w:type="paragraph" w:customStyle="1" w:styleId="ListBullet7">
    <w:name w:val="List Bullet 7"/>
    <w:basedOn w:val="HouseStyleBase"/>
    <w:rsid w:val="00102034"/>
    <w:pPr>
      <w:numPr>
        <w:ilvl w:val="6"/>
        <w:numId w:val="12"/>
      </w:numPr>
      <w:tabs>
        <w:tab w:val="num" w:pos="360"/>
      </w:tabs>
      <w:ind w:left="2523" w:firstLine="0"/>
    </w:pPr>
  </w:style>
  <w:style w:type="paragraph" w:customStyle="1" w:styleId="ListBullet8">
    <w:name w:val="List Bullet 8"/>
    <w:basedOn w:val="HouseStyleBase"/>
    <w:rsid w:val="00102034"/>
    <w:pPr>
      <w:numPr>
        <w:ilvl w:val="7"/>
        <w:numId w:val="12"/>
      </w:numPr>
      <w:tabs>
        <w:tab w:val="num" w:pos="360"/>
      </w:tabs>
      <w:ind w:left="2523" w:firstLine="0"/>
    </w:pPr>
  </w:style>
  <w:style w:type="paragraph" w:customStyle="1" w:styleId="ListBullet9">
    <w:name w:val="List Bullet 9"/>
    <w:basedOn w:val="HouseStyleBase"/>
    <w:rsid w:val="00102034"/>
    <w:pPr>
      <w:numPr>
        <w:ilvl w:val="8"/>
        <w:numId w:val="12"/>
      </w:numPr>
      <w:tabs>
        <w:tab w:val="num" w:pos="360"/>
      </w:tabs>
      <w:ind w:left="2523" w:firstLine="0"/>
    </w:pPr>
  </w:style>
  <w:style w:type="paragraph" w:customStyle="1" w:styleId="SchPart">
    <w:name w:val="SchPart"/>
    <w:basedOn w:val="HouseStyleBaseCentred"/>
    <w:next w:val="MarginText"/>
    <w:rsid w:val="00102034"/>
    <w:pPr>
      <w:keepNext/>
      <w:numPr>
        <w:ilvl w:val="1"/>
        <w:numId w:val="10"/>
      </w:numPr>
      <w:jc w:val="center"/>
      <w:outlineLvl w:val="1"/>
    </w:pPr>
    <w:rPr>
      <w:b/>
    </w:rPr>
  </w:style>
  <w:style w:type="paragraph" w:customStyle="1" w:styleId="ScheduleL2">
    <w:name w:val="Schedule L2"/>
    <w:basedOn w:val="HouseStyleBase"/>
    <w:rsid w:val="00102034"/>
    <w:pPr>
      <w:numPr>
        <w:ilvl w:val="1"/>
        <w:numId w:val="11"/>
      </w:numPr>
      <w:tabs>
        <w:tab w:val="num" w:pos="360"/>
        <w:tab w:val="num" w:pos="567"/>
      </w:tabs>
      <w:ind w:left="0" w:firstLine="0"/>
      <w:outlineLvl w:val="1"/>
    </w:pPr>
  </w:style>
  <w:style w:type="paragraph" w:customStyle="1" w:styleId="ScheduleL3">
    <w:name w:val="Schedule L3"/>
    <w:basedOn w:val="HouseStyleBase"/>
    <w:rsid w:val="00102034"/>
    <w:pPr>
      <w:numPr>
        <w:ilvl w:val="2"/>
        <w:numId w:val="11"/>
      </w:numPr>
      <w:tabs>
        <w:tab w:val="num" w:pos="360"/>
        <w:tab w:val="num" w:pos="567"/>
        <w:tab w:val="num" w:pos="1440"/>
      </w:tabs>
      <w:ind w:left="0" w:firstLine="0"/>
      <w:outlineLvl w:val="2"/>
    </w:pPr>
  </w:style>
  <w:style w:type="paragraph" w:customStyle="1" w:styleId="ScheduleL4">
    <w:name w:val="Schedule L4"/>
    <w:basedOn w:val="HouseStyleBase"/>
    <w:rsid w:val="00102034"/>
    <w:pPr>
      <w:numPr>
        <w:ilvl w:val="3"/>
        <w:numId w:val="11"/>
      </w:numPr>
      <w:tabs>
        <w:tab w:val="num" w:pos="360"/>
        <w:tab w:val="num" w:pos="567"/>
      </w:tabs>
      <w:ind w:left="0" w:firstLine="0"/>
      <w:outlineLvl w:val="3"/>
    </w:pPr>
  </w:style>
  <w:style w:type="paragraph" w:customStyle="1" w:styleId="ScheduleL5">
    <w:name w:val="Schedule L5"/>
    <w:basedOn w:val="HouseStyleBase"/>
    <w:rsid w:val="00102034"/>
    <w:pPr>
      <w:numPr>
        <w:ilvl w:val="4"/>
        <w:numId w:val="11"/>
      </w:numPr>
      <w:tabs>
        <w:tab w:val="num" w:pos="360"/>
        <w:tab w:val="num" w:pos="567"/>
      </w:tabs>
      <w:ind w:left="0" w:firstLine="0"/>
      <w:outlineLvl w:val="4"/>
    </w:pPr>
  </w:style>
  <w:style w:type="paragraph" w:customStyle="1" w:styleId="ScheduleL6">
    <w:name w:val="Schedule L6"/>
    <w:basedOn w:val="HouseStyleBase"/>
    <w:rsid w:val="00102034"/>
    <w:pPr>
      <w:numPr>
        <w:ilvl w:val="5"/>
        <w:numId w:val="11"/>
      </w:numPr>
      <w:tabs>
        <w:tab w:val="num" w:pos="360"/>
        <w:tab w:val="num" w:pos="567"/>
      </w:tabs>
      <w:ind w:left="0" w:firstLine="0"/>
      <w:outlineLvl w:val="5"/>
    </w:pPr>
  </w:style>
  <w:style w:type="paragraph" w:customStyle="1" w:styleId="ScheduleL7">
    <w:name w:val="Schedule L7"/>
    <w:basedOn w:val="HouseStyleBase"/>
    <w:rsid w:val="00102034"/>
    <w:pPr>
      <w:numPr>
        <w:ilvl w:val="6"/>
        <w:numId w:val="11"/>
      </w:numPr>
      <w:tabs>
        <w:tab w:val="num" w:pos="360"/>
        <w:tab w:val="num" w:pos="567"/>
      </w:tabs>
      <w:ind w:left="0" w:firstLine="0"/>
      <w:outlineLvl w:val="6"/>
    </w:pPr>
  </w:style>
  <w:style w:type="paragraph" w:customStyle="1" w:styleId="ScheduleL8">
    <w:name w:val="Schedule L8"/>
    <w:basedOn w:val="HouseStyleBase"/>
    <w:rsid w:val="00102034"/>
    <w:pPr>
      <w:numPr>
        <w:ilvl w:val="7"/>
        <w:numId w:val="11"/>
      </w:numPr>
      <w:tabs>
        <w:tab w:val="num" w:pos="360"/>
        <w:tab w:val="num" w:pos="567"/>
      </w:tabs>
      <w:ind w:left="0" w:firstLine="0"/>
      <w:outlineLvl w:val="7"/>
    </w:pPr>
  </w:style>
  <w:style w:type="paragraph" w:customStyle="1" w:styleId="ScheduleL9">
    <w:name w:val="Schedule L9"/>
    <w:basedOn w:val="HouseStyleBase"/>
    <w:rsid w:val="00102034"/>
    <w:pPr>
      <w:numPr>
        <w:ilvl w:val="8"/>
        <w:numId w:val="11"/>
      </w:numPr>
      <w:tabs>
        <w:tab w:val="num" w:pos="360"/>
        <w:tab w:val="num" w:pos="567"/>
      </w:tabs>
      <w:ind w:left="0" w:firstLine="0"/>
      <w:outlineLvl w:val="8"/>
    </w:pPr>
  </w:style>
  <w:style w:type="paragraph" w:customStyle="1" w:styleId="SchSection">
    <w:name w:val="SchSection"/>
    <w:basedOn w:val="HouseStyleBaseCentred"/>
    <w:next w:val="MarginText"/>
    <w:rsid w:val="00102034"/>
    <w:pPr>
      <w:keepNext/>
      <w:numPr>
        <w:ilvl w:val="2"/>
        <w:numId w:val="10"/>
      </w:numPr>
      <w:jc w:val="center"/>
      <w:outlineLvl w:val="2"/>
    </w:pPr>
    <w:rPr>
      <w:b/>
    </w:rPr>
  </w:style>
  <w:style w:type="paragraph" w:customStyle="1" w:styleId="AppPart">
    <w:name w:val="AppPart"/>
    <w:basedOn w:val="HouseStyleBaseCentred"/>
    <w:rsid w:val="00102034"/>
    <w:pPr>
      <w:numPr>
        <w:ilvl w:val="1"/>
        <w:numId w:val="8"/>
      </w:numPr>
      <w:jc w:val="center"/>
      <w:outlineLvl w:val="1"/>
    </w:pPr>
    <w:rPr>
      <w:b/>
    </w:rPr>
  </w:style>
  <w:style w:type="paragraph" w:customStyle="1" w:styleId="RecitalNumbering2">
    <w:name w:val="Recital Numbering 2"/>
    <w:basedOn w:val="HouseStyleBase"/>
    <w:rsid w:val="00102034"/>
    <w:pPr>
      <w:numPr>
        <w:ilvl w:val="1"/>
        <w:numId w:val="13"/>
      </w:numPr>
      <w:tabs>
        <w:tab w:val="num" w:pos="360"/>
      </w:tabs>
      <w:overflowPunct w:val="0"/>
      <w:autoSpaceDE w:val="0"/>
      <w:autoSpaceDN w:val="0"/>
      <w:ind w:hanging="720"/>
      <w:textAlignment w:val="baseline"/>
    </w:pPr>
  </w:style>
  <w:style w:type="paragraph" w:customStyle="1" w:styleId="RecitalNumbering3">
    <w:name w:val="Recital Numbering 3"/>
    <w:basedOn w:val="HouseStyleBase"/>
    <w:rsid w:val="00102034"/>
    <w:pPr>
      <w:numPr>
        <w:ilvl w:val="2"/>
        <w:numId w:val="13"/>
      </w:numPr>
      <w:tabs>
        <w:tab w:val="num" w:pos="360"/>
        <w:tab w:val="num" w:pos="1440"/>
      </w:tabs>
      <w:overflowPunct w:val="0"/>
      <w:autoSpaceDE w:val="0"/>
      <w:autoSpaceDN w:val="0"/>
      <w:ind w:left="1803" w:hanging="1083"/>
      <w:textAlignment w:val="baseline"/>
    </w:pPr>
  </w:style>
  <w:style w:type="paragraph" w:styleId="BlockText">
    <w:name w:val="Block Text"/>
    <w:basedOn w:val="Normal"/>
    <w:rsid w:val="00102034"/>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eastAsia="en-GB"/>
    </w:rPr>
  </w:style>
  <w:style w:type="paragraph" w:styleId="BodyText2">
    <w:name w:val="Body Text 2"/>
    <w:basedOn w:val="Normal"/>
    <w:link w:val="BodyText2Char"/>
    <w:rsid w:val="00102034"/>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eastAsia="en-GB"/>
    </w:rPr>
  </w:style>
  <w:style w:type="character" w:customStyle="1" w:styleId="BodyText2Char">
    <w:name w:val="Body Text 2 Char"/>
    <w:basedOn w:val="DefaultParagraphFont"/>
    <w:link w:val="BodyText2"/>
    <w:rsid w:val="00102034"/>
    <w:rPr>
      <w:rFonts w:ascii="Times New Roman" w:eastAsia="Times New Roman" w:hAnsi="Times New Roman" w:cs="Times New Roman"/>
      <w:sz w:val="22"/>
      <w:szCs w:val="20"/>
      <w:lang w:eastAsia="en-GB"/>
    </w:rPr>
  </w:style>
  <w:style w:type="paragraph" w:styleId="BodyText3">
    <w:name w:val="Body Text 3"/>
    <w:basedOn w:val="Normal"/>
    <w:link w:val="BodyText3Char"/>
    <w:rsid w:val="00102034"/>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102034"/>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rsid w:val="00102034"/>
    <w:pPr>
      <w:ind w:firstLine="210"/>
    </w:pPr>
  </w:style>
  <w:style w:type="character" w:customStyle="1" w:styleId="BodyTextFirstIndentChar">
    <w:name w:val="Body Text First Indent Char"/>
    <w:basedOn w:val="BodyTextChar"/>
    <w:link w:val="BodyTextFirstIndent"/>
    <w:rsid w:val="00102034"/>
    <w:rPr>
      <w:rFonts w:ascii="Times New Roman" w:eastAsia="Times New Roman" w:hAnsi="Times New Roman" w:cs="Times New Roman"/>
      <w:sz w:val="22"/>
      <w:szCs w:val="20"/>
      <w:lang w:eastAsia="en-GB"/>
    </w:rPr>
  </w:style>
  <w:style w:type="paragraph" w:styleId="BodyTextFirstIndent2">
    <w:name w:val="Body Text First Indent 2"/>
    <w:basedOn w:val="BodyTextIndent"/>
    <w:link w:val="BodyTextFirstIndent2Char"/>
    <w:rsid w:val="00102034"/>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02034"/>
    <w:rPr>
      <w:rFonts w:ascii="Times New Roman" w:eastAsia="Times New Roman" w:hAnsi="Times New Roman" w:cs="Times New Roman"/>
      <w:sz w:val="22"/>
      <w:szCs w:val="20"/>
      <w:lang w:eastAsia="zh-CN"/>
    </w:rPr>
  </w:style>
  <w:style w:type="character" w:customStyle="1" w:styleId="HouseStyleBaseChar">
    <w:name w:val="House Style Base Char"/>
    <w:link w:val="HouseStyleBase"/>
    <w:rsid w:val="00102034"/>
    <w:rPr>
      <w:rFonts w:ascii="Times New Roman" w:eastAsia="STZhongsong" w:hAnsi="Times New Roman" w:cs="Times New Roman"/>
      <w:sz w:val="22"/>
      <w:szCs w:val="20"/>
      <w:lang w:eastAsia="zh-CN"/>
    </w:rPr>
  </w:style>
  <w:style w:type="paragraph" w:styleId="Caption">
    <w:name w:val="caption"/>
    <w:basedOn w:val="Normal"/>
    <w:next w:val="Normal"/>
    <w:qFormat/>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lang w:eastAsia="en-GB"/>
    </w:rPr>
  </w:style>
  <w:style w:type="paragraph" w:styleId="Closing">
    <w:name w:val="Closing"/>
    <w:basedOn w:val="Normal"/>
    <w:link w:val="ClosingChar"/>
    <w:rsid w:val="00102034"/>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eastAsia="en-GB"/>
    </w:rPr>
  </w:style>
  <w:style w:type="character" w:customStyle="1" w:styleId="ClosingChar">
    <w:name w:val="Closing Char"/>
    <w:basedOn w:val="DefaultParagraphFont"/>
    <w:link w:val="Closing"/>
    <w:rsid w:val="00102034"/>
    <w:rPr>
      <w:rFonts w:ascii="Times New Roman" w:eastAsia="Times New Roman" w:hAnsi="Times New Roman" w:cs="Times New Roman"/>
      <w:sz w:val="22"/>
      <w:szCs w:val="20"/>
      <w:lang w:eastAsia="en-GB"/>
    </w:rPr>
  </w:style>
  <w:style w:type="table" w:customStyle="1" w:styleId="ColourfulGrid1">
    <w:name w:val="Colourful Grid1"/>
    <w:basedOn w:val="TableNormal"/>
    <w:next w:val="ColorfulGrid"/>
    <w:uiPriority w:val="73"/>
    <w:rsid w:val="00102034"/>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urfulGridAccent11">
    <w:name w:val="Colourful Grid – Accent 11"/>
    <w:basedOn w:val="TableNormal"/>
    <w:next w:val="ColorfulGrid-Accent1"/>
    <w:uiPriority w:val="73"/>
    <w:rsid w:val="00102034"/>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urfulGridAccent21">
    <w:name w:val="Colourful Grid – Accent 21"/>
    <w:basedOn w:val="TableNormal"/>
    <w:next w:val="ColorfulGrid-Accent2"/>
    <w:uiPriority w:val="73"/>
    <w:rsid w:val="00102034"/>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urfulGridAccent31">
    <w:name w:val="Colourful Grid – Accent 31"/>
    <w:basedOn w:val="TableNormal"/>
    <w:next w:val="ColorfulGrid-Accent3"/>
    <w:uiPriority w:val="73"/>
    <w:rsid w:val="00102034"/>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urfulGridAccent41">
    <w:name w:val="Colourful Grid – Accent 41"/>
    <w:basedOn w:val="TableNormal"/>
    <w:next w:val="ColorfulGrid-Accent4"/>
    <w:uiPriority w:val="73"/>
    <w:rsid w:val="00102034"/>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urfulGridAccent51">
    <w:name w:val="Colourful Grid – Accent 51"/>
    <w:basedOn w:val="TableNormal"/>
    <w:next w:val="ColorfulGrid-Accent5"/>
    <w:uiPriority w:val="73"/>
    <w:rsid w:val="00102034"/>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urfulList1">
    <w:name w:val="Colourful List1"/>
    <w:basedOn w:val="TableNormal"/>
    <w:next w:val="ColorfulList"/>
    <w:uiPriority w:val="72"/>
    <w:rsid w:val="00102034"/>
    <w:rPr>
      <w:rFonts w:ascii="Times New Roman" w:eastAsia="Times New Roman" w:hAnsi="Times New Roman" w:cs="Times New Roman"/>
      <w:color w:val="000000"/>
      <w:sz w:val="20"/>
      <w:szCs w:val="20"/>
      <w:lang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urfulListAccent11">
    <w:name w:val="Colourful List – Accent 11"/>
    <w:basedOn w:val="TableNormal"/>
    <w:next w:val="ColorfulList-Accent1"/>
    <w:uiPriority w:val="72"/>
    <w:rsid w:val="00102034"/>
    <w:rPr>
      <w:rFonts w:ascii="Times New Roman" w:eastAsia="Times New Roman" w:hAnsi="Times New Roman" w:cs="Times New Roman"/>
      <w:color w:val="000000"/>
      <w:sz w:val="20"/>
      <w:szCs w:val="20"/>
      <w:lang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urfulListAccent21">
    <w:name w:val="Colourful List – Accent 21"/>
    <w:basedOn w:val="TableNormal"/>
    <w:next w:val="ColorfulList-Accent2"/>
    <w:uiPriority w:val="72"/>
    <w:rsid w:val="00102034"/>
    <w:rPr>
      <w:rFonts w:ascii="Times New Roman" w:eastAsia="Times New Roman" w:hAnsi="Times New Roman" w:cs="Times New Roman"/>
      <w:color w:val="000000"/>
      <w:sz w:val="20"/>
      <w:szCs w:val="20"/>
      <w:lang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urfulListAccent31">
    <w:name w:val="Colourful List – Accent 31"/>
    <w:basedOn w:val="TableNormal"/>
    <w:next w:val="ColorfulList-Accent3"/>
    <w:uiPriority w:val="72"/>
    <w:rsid w:val="00102034"/>
    <w:rPr>
      <w:rFonts w:ascii="Times New Roman" w:eastAsia="Times New Roman" w:hAnsi="Times New Roman" w:cs="Times New Roman"/>
      <w:color w:val="000000"/>
      <w:sz w:val="20"/>
      <w:szCs w:val="20"/>
      <w:lang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urfulListAccent41">
    <w:name w:val="Colourful List – Accent 41"/>
    <w:basedOn w:val="TableNormal"/>
    <w:next w:val="ColorfulList-Accent4"/>
    <w:uiPriority w:val="72"/>
    <w:rsid w:val="00102034"/>
    <w:rPr>
      <w:rFonts w:ascii="Times New Roman" w:eastAsia="Times New Roman" w:hAnsi="Times New Roman" w:cs="Times New Roman"/>
      <w:color w:val="000000"/>
      <w:sz w:val="20"/>
      <w:szCs w:val="20"/>
      <w:lang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urfulListAccent51">
    <w:name w:val="Colourful List – Accent 51"/>
    <w:basedOn w:val="TableNormal"/>
    <w:next w:val="ColorfulList-Accent5"/>
    <w:uiPriority w:val="72"/>
    <w:rsid w:val="00102034"/>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urfulListAccent61">
    <w:name w:val="Colourful List – Accent 61"/>
    <w:basedOn w:val="TableNormal"/>
    <w:next w:val="ColorfulList-Accent6"/>
    <w:uiPriority w:val="72"/>
    <w:rsid w:val="00102034"/>
    <w:rPr>
      <w:rFonts w:ascii="Times New Roman" w:eastAsia="Times New Roman" w:hAnsi="Times New Roman"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urfulShadingAccent11">
    <w:name w:val="Colourful Shading – Accent 11"/>
    <w:basedOn w:val="TableNormal"/>
    <w:next w:val="ColorfulShading-Accent1"/>
    <w:uiPriority w:val="71"/>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urfulShadingAccent21">
    <w:name w:val="Colourful Shading – Accent 21"/>
    <w:basedOn w:val="TableNormal"/>
    <w:next w:val="ColorfulShading-Accent2"/>
    <w:uiPriority w:val="71"/>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urfulShadingAccent31">
    <w:name w:val="Colourful Shading – Accent 31"/>
    <w:basedOn w:val="TableNormal"/>
    <w:next w:val="ColorfulShading-Accent3"/>
    <w:uiPriority w:val="71"/>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urfulShadingAccent41">
    <w:name w:val="Colourful Shading – Accent 41"/>
    <w:basedOn w:val="TableNormal"/>
    <w:next w:val="ColorfulShading-Accent4"/>
    <w:uiPriority w:val="71"/>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urfulShadingAccent51">
    <w:name w:val="Colourful Shading – Accent 51"/>
    <w:basedOn w:val="TableNormal"/>
    <w:next w:val="ColorfulShading-Accent5"/>
    <w:uiPriority w:val="71"/>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urfulShadingAccent61">
    <w:name w:val="Colourful Shading – Accent 61"/>
    <w:basedOn w:val="TableNormal"/>
    <w:next w:val="ColorfulShading-Accent6"/>
    <w:uiPriority w:val="71"/>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102034"/>
    <w:rPr>
      <w:rFonts w:ascii="Times New Roman" w:eastAsia="Times New Roman" w:hAnsi="Times New Roman" w:cs="Times New Roman"/>
      <w:color w:val="FFFFFF"/>
      <w:sz w:val="20"/>
      <w:szCs w:val="20"/>
      <w:lang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21">
    <w:name w:val="Dark List - Accent 21"/>
    <w:basedOn w:val="TableNormal"/>
    <w:next w:val="DarkList-Accent2"/>
    <w:uiPriority w:val="70"/>
    <w:rsid w:val="00102034"/>
    <w:rPr>
      <w:rFonts w:ascii="Times New Roman" w:eastAsia="Times New Roman" w:hAnsi="Times New Roman" w:cs="Times New Roman"/>
      <w:color w:val="FFFFFF"/>
      <w:sz w:val="20"/>
      <w:szCs w:val="20"/>
      <w:lang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102034"/>
    <w:rPr>
      <w:rFonts w:ascii="Times New Roman" w:eastAsia="Times New Roman" w:hAnsi="Times New Roman" w:cs="Times New Roman"/>
      <w:color w:val="FFFFFF"/>
      <w:sz w:val="20"/>
      <w:szCs w:val="20"/>
      <w:lang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102034"/>
    <w:rPr>
      <w:rFonts w:ascii="Times New Roman" w:eastAsia="Times New Roman" w:hAnsi="Times New Roman" w:cs="Times New Roman"/>
      <w:color w:val="FFFFFF"/>
      <w:sz w:val="20"/>
      <w:szCs w:val="20"/>
      <w:lang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102034"/>
    <w:rPr>
      <w:rFonts w:ascii="Times New Roman" w:eastAsia="Times New Roman" w:hAnsi="Times New Roman" w:cs="Times New Roman"/>
      <w:color w:val="FFFFFF"/>
      <w:sz w:val="20"/>
      <w:szCs w:val="20"/>
      <w:lang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102034"/>
    <w:rPr>
      <w:rFonts w:ascii="Times New Roman" w:eastAsia="Times New Roman" w:hAnsi="Times New Roman" w:cs="Times New Roman"/>
      <w:color w:val="FFFFFF"/>
      <w:sz w:val="20"/>
      <w:szCs w:val="20"/>
      <w:lang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eastAsia="en-GB"/>
    </w:rPr>
  </w:style>
  <w:style w:type="character" w:customStyle="1" w:styleId="DateChar">
    <w:name w:val="Date Char"/>
    <w:basedOn w:val="DefaultParagraphFont"/>
    <w:link w:val="Date"/>
    <w:rsid w:val="00102034"/>
    <w:rPr>
      <w:rFonts w:ascii="Times New Roman" w:eastAsia="Times New Roman" w:hAnsi="Times New Roman" w:cs="Times New Roman"/>
      <w:sz w:val="22"/>
      <w:szCs w:val="20"/>
      <w:lang w:eastAsia="en-GB"/>
    </w:rPr>
  </w:style>
  <w:style w:type="paragraph" w:styleId="DocumentMap">
    <w:name w:val="Document Map"/>
    <w:basedOn w:val="Normal"/>
    <w:link w:val="DocumentMapChar"/>
    <w:rsid w:val="00102034"/>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eastAsia="en-GB"/>
    </w:rPr>
  </w:style>
  <w:style w:type="character" w:customStyle="1" w:styleId="DocumentMapChar">
    <w:name w:val="Document Map Char"/>
    <w:basedOn w:val="DefaultParagraphFont"/>
    <w:link w:val="DocumentMap"/>
    <w:rsid w:val="00102034"/>
    <w:rPr>
      <w:rFonts w:ascii="Tahoma" w:eastAsia="Times New Roman" w:hAnsi="Tahoma" w:cs="Tahoma"/>
      <w:sz w:val="16"/>
      <w:szCs w:val="16"/>
      <w:lang w:eastAsia="en-GB"/>
    </w:rPr>
  </w:style>
  <w:style w:type="paragraph" w:styleId="E-mailSignature">
    <w:name w:val="E-mail Signature"/>
    <w:basedOn w:val="Normal"/>
    <w:link w:val="E-mailSignatureChar"/>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eastAsia="en-GB"/>
    </w:rPr>
  </w:style>
  <w:style w:type="character" w:customStyle="1" w:styleId="E-mailSignatureChar">
    <w:name w:val="E-mail Signature Char"/>
    <w:basedOn w:val="DefaultParagraphFont"/>
    <w:link w:val="E-mailSignature"/>
    <w:rsid w:val="00102034"/>
    <w:rPr>
      <w:rFonts w:ascii="Times New Roman" w:eastAsia="Times New Roman" w:hAnsi="Times New Roman" w:cs="Times New Roman"/>
      <w:sz w:val="22"/>
      <w:szCs w:val="20"/>
      <w:lang w:eastAsia="en-GB"/>
    </w:rPr>
  </w:style>
  <w:style w:type="paragraph" w:styleId="EnvelopeAddress">
    <w:name w:val="envelope address"/>
    <w:basedOn w:val="Normal"/>
    <w:rsid w:val="00102034"/>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Cs w:val="24"/>
      <w:lang w:eastAsia="en-GB"/>
    </w:rPr>
  </w:style>
  <w:style w:type="paragraph" w:styleId="EnvelopeReturn">
    <w:name w:val="envelope return"/>
    <w:basedOn w:val="Normal"/>
    <w:rsid w:val="00102034"/>
    <w:pPr>
      <w:overflowPunct w:val="0"/>
      <w:autoSpaceDE w:val="0"/>
      <w:autoSpaceDN w:val="0"/>
      <w:adjustRightInd w:val="0"/>
      <w:spacing w:after="240" w:line="360" w:lineRule="auto"/>
      <w:jc w:val="both"/>
      <w:textAlignment w:val="baseline"/>
    </w:pPr>
    <w:rPr>
      <w:rFonts w:ascii="Cambria" w:eastAsia="Times New Roman" w:hAnsi="Cambria" w:cs="Times New Roman"/>
      <w:sz w:val="20"/>
      <w:lang w:eastAsia="en-GB"/>
    </w:rPr>
  </w:style>
  <w:style w:type="table" w:customStyle="1" w:styleId="LightGrid1">
    <w:name w:val="Light Grid1"/>
    <w:basedOn w:val="TableNormal"/>
    <w:next w:val="LightGrid"/>
    <w:uiPriority w:val="62"/>
    <w:rsid w:val="00102034"/>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102034"/>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102034"/>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102034"/>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102034"/>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102034"/>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1">
    <w:name w:val="Light List1"/>
    <w:basedOn w:val="TableNormal"/>
    <w:next w:val="LightList"/>
    <w:uiPriority w:val="61"/>
    <w:rsid w:val="00102034"/>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TableNormal"/>
    <w:next w:val="LightList-Accent2"/>
    <w:uiPriority w:val="61"/>
    <w:rsid w:val="00102034"/>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102034"/>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102034"/>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102034"/>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102034"/>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11">
    <w:name w:val="Light Shading - Accent 11"/>
    <w:basedOn w:val="TableNormal"/>
    <w:next w:val="LightShading-Accent1"/>
    <w:uiPriority w:val="60"/>
    <w:rsid w:val="00102034"/>
    <w:rPr>
      <w:rFonts w:ascii="Times New Roman" w:eastAsia="Times New Roman" w:hAnsi="Times New Roman"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102034"/>
    <w:rPr>
      <w:rFonts w:ascii="Times New Roman" w:eastAsia="Times New Roman" w:hAnsi="Times New Roman"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102034"/>
    <w:rPr>
      <w:rFonts w:ascii="Times New Roman" w:eastAsia="Times New Roman" w:hAnsi="Times New Roman"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102034"/>
    <w:rPr>
      <w:rFonts w:ascii="Times New Roman" w:eastAsia="Times New Roman" w:hAnsi="Times New Roman"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102034"/>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102034"/>
    <w:rPr>
      <w:rFonts w:ascii="Times New Roman" w:eastAsia="Times New Roman" w:hAnsi="Times New Roman" w:cs="Times New Roman"/>
      <w:color w:val="E36C0A"/>
      <w:sz w:val="20"/>
      <w:szCs w:val="20"/>
      <w:lang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02034"/>
  </w:style>
  <w:style w:type="paragraph" w:styleId="List">
    <w:name w:val="List"/>
    <w:basedOn w:val="Normal"/>
    <w:rsid w:val="00102034"/>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eastAsia="en-GB"/>
    </w:rPr>
  </w:style>
  <w:style w:type="paragraph" w:styleId="List2">
    <w:name w:val="List 2"/>
    <w:basedOn w:val="Normal"/>
    <w:rsid w:val="00102034"/>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eastAsia="en-GB"/>
    </w:rPr>
  </w:style>
  <w:style w:type="paragraph" w:styleId="List3">
    <w:name w:val="List 3"/>
    <w:basedOn w:val="Normal"/>
    <w:rsid w:val="00102034"/>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eastAsia="en-GB"/>
    </w:rPr>
  </w:style>
  <w:style w:type="paragraph" w:styleId="List4">
    <w:name w:val="List 4"/>
    <w:basedOn w:val="Normal"/>
    <w:rsid w:val="00102034"/>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eastAsia="en-GB"/>
    </w:rPr>
  </w:style>
  <w:style w:type="paragraph" w:styleId="List5">
    <w:name w:val="List 5"/>
    <w:basedOn w:val="Normal"/>
    <w:rsid w:val="00102034"/>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eastAsia="en-GB"/>
    </w:rPr>
  </w:style>
  <w:style w:type="paragraph" w:styleId="ListContinue">
    <w:name w:val="List Continue"/>
    <w:basedOn w:val="Normal"/>
    <w:rsid w:val="00102034"/>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eastAsia="en-GB"/>
    </w:rPr>
  </w:style>
  <w:style w:type="paragraph" w:styleId="ListContinue2">
    <w:name w:val="List Continue 2"/>
    <w:basedOn w:val="Normal"/>
    <w:rsid w:val="00102034"/>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eastAsia="en-GB"/>
    </w:rPr>
  </w:style>
  <w:style w:type="paragraph" w:styleId="ListContinue3">
    <w:name w:val="List Continue 3"/>
    <w:basedOn w:val="Normal"/>
    <w:rsid w:val="00102034"/>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eastAsia="en-GB"/>
    </w:rPr>
  </w:style>
  <w:style w:type="paragraph" w:styleId="ListContinue4">
    <w:name w:val="List Continue 4"/>
    <w:basedOn w:val="Normal"/>
    <w:rsid w:val="00102034"/>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eastAsia="en-GB"/>
    </w:rPr>
  </w:style>
  <w:style w:type="paragraph" w:styleId="ListContinue5">
    <w:name w:val="List Continue 5"/>
    <w:basedOn w:val="Normal"/>
    <w:rsid w:val="00102034"/>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eastAsia="en-GB"/>
    </w:rPr>
  </w:style>
  <w:style w:type="paragraph" w:styleId="ListNumber">
    <w:name w:val="List Number"/>
    <w:basedOn w:val="Normal"/>
    <w:rsid w:val="00102034"/>
    <w:pPr>
      <w:numPr>
        <w:numId w:val="15"/>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lang w:eastAsia="en-GB"/>
    </w:rPr>
  </w:style>
  <w:style w:type="paragraph" w:styleId="ListNumber2">
    <w:name w:val="List Number 2"/>
    <w:basedOn w:val="Normal"/>
    <w:rsid w:val="00102034"/>
    <w:pPr>
      <w:numPr>
        <w:numId w:val="16"/>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lang w:eastAsia="en-GB"/>
    </w:rPr>
  </w:style>
  <w:style w:type="paragraph" w:styleId="ListNumber3">
    <w:name w:val="List Number 3"/>
    <w:basedOn w:val="Normal"/>
    <w:rsid w:val="00102034"/>
    <w:pPr>
      <w:numPr>
        <w:numId w:val="17"/>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lang w:eastAsia="en-GB"/>
    </w:rPr>
  </w:style>
  <w:style w:type="paragraph" w:styleId="ListNumber4">
    <w:name w:val="List Number 4"/>
    <w:basedOn w:val="Normal"/>
    <w:rsid w:val="00102034"/>
    <w:pPr>
      <w:numPr>
        <w:numId w:val="18"/>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lang w:eastAsia="en-GB"/>
    </w:rPr>
  </w:style>
  <w:style w:type="paragraph" w:styleId="ListNumber5">
    <w:name w:val="List Number 5"/>
    <w:basedOn w:val="Normal"/>
    <w:rsid w:val="00102034"/>
    <w:pPr>
      <w:numPr>
        <w:numId w:val="19"/>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lang w:eastAsia="en-GB"/>
    </w:rPr>
  </w:style>
  <w:style w:type="paragraph" w:styleId="MacroText">
    <w:name w:val="macro"/>
    <w:link w:val="MacroTextChar"/>
    <w:rsid w:val="0010203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rsid w:val="00102034"/>
    <w:rPr>
      <w:rFonts w:ascii="Courier New" w:eastAsia="Times New Roman" w:hAnsi="Courier New" w:cs="Courier New"/>
      <w:sz w:val="20"/>
      <w:szCs w:val="20"/>
      <w:lang w:eastAsia="en-GB"/>
    </w:rPr>
  </w:style>
  <w:style w:type="table" w:customStyle="1" w:styleId="MediumGrid11">
    <w:name w:val="Medium Grid 11"/>
    <w:basedOn w:val="TableNormal"/>
    <w:next w:val="MediumGrid1"/>
    <w:uiPriority w:val="67"/>
    <w:rsid w:val="00102034"/>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102034"/>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102034"/>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102034"/>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102034"/>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102034"/>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102034"/>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1">
    <w:name w:val="Medium Grid 31"/>
    <w:basedOn w:val="TableNormal"/>
    <w:next w:val="MediumGrid3"/>
    <w:uiPriority w:val="69"/>
    <w:rsid w:val="00102034"/>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102034"/>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102034"/>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102034"/>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102034"/>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102034"/>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102034"/>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102034"/>
    <w:rPr>
      <w:rFonts w:ascii="Times New Roman" w:eastAsia="Times New Roman" w:hAnsi="Times New Roman" w:cs="Times New Roman"/>
      <w:color w:val="000000"/>
      <w:sz w:val="20"/>
      <w:szCs w:val="20"/>
      <w:lang w:eastAsia="en-GB"/>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102034"/>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102034"/>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102034"/>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102034"/>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102034"/>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102034"/>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102034"/>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102034"/>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102034"/>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102034"/>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102034"/>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102034"/>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102034"/>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0203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Cs w:val="24"/>
      <w:lang w:eastAsia="en-GB"/>
    </w:rPr>
  </w:style>
  <w:style w:type="character" w:customStyle="1" w:styleId="MessageHeaderChar">
    <w:name w:val="Message Header Char"/>
    <w:basedOn w:val="DefaultParagraphFont"/>
    <w:link w:val="MessageHeader"/>
    <w:rsid w:val="00102034"/>
    <w:rPr>
      <w:rFonts w:ascii="Cambria" w:eastAsia="Times New Roman" w:hAnsi="Cambria" w:cs="Times New Roman"/>
      <w:shd w:val="pct20" w:color="auto" w:fill="auto"/>
      <w:lang w:eastAsia="en-GB"/>
    </w:rPr>
  </w:style>
  <w:style w:type="paragraph" w:styleId="NoSpacing">
    <w:name w:val="No Spacing"/>
    <w:uiPriority w:val="1"/>
    <w:qFormat/>
    <w:rsid w:val="00102034"/>
    <w:pPr>
      <w:overflowPunct w:val="0"/>
      <w:autoSpaceDE w:val="0"/>
      <w:autoSpaceDN w:val="0"/>
      <w:adjustRightInd w:val="0"/>
      <w:jc w:val="both"/>
      <w:textAlignment w:val="baseline"/>
    </w:pPr>
    <w:rPr>
      <w:rFonts w:ascii="Times New Roman" w:eastAsia="Times New Roman" w:hAnsi="Times New Roman" w:cs="Times New Roman"/>
      <w:sz w:val="22"/>
      <w:szCs w:val="20"/>
      <w:lang w:eastAsia="en-GB"/>
    </w:rPr>
  </w:style>
  <w:style w:type="paragraph" w:styleId="NormalWeb">
    <w:name w:val="Normal (Web)"/>
    <w:basedOn w:val="Normal"/>
    <w:uiPriority w:val="99"/>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4"/>
      <w:lang w:eastAsia="en-GB"/>
    </w:rPr>
  </w:style>
  <w:style w:type="paragraph" w:styleId="NormalIndent">
    <w:name w:val="Normal Indent"/>
    <w:basedOn w:val="Normal"/>
    <w:rsid w:val="00102034"/>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eastAsia="en-GB"/>
    </w:rPr>
  </w:style>
  <w:style w:type="paragraph" w:styleId="NoteHeading">
    <w:name w:val="Note Heading"/>
    <w:basedOn w:val="Normal"/>
    <w:next w:val="Normal"/>
    <w:link w:val="NoteHeadingChar"/>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eastAsia="en-GB"/>
    </w:rPr>
  </w:style>
  <w:style w:type="character" w:customStyle="1" w:styleId="NoteHeadingChar">
    <w:name w:val="Note Heading Char"/>
    <w:basedOn w:val="DefaultParagraphFont"/>
    <w:link w:val="NoteHeading"/>
    <w:rsid w:val="00102034"/>
    <w:rPr>
      <w:rFonts w:ascii="Times New Roman" w:eastAsia="Times New Roman" w:hAnsi="Times New Roman" w:cs="Times New Roman"/>
      <w:sz w:val="22"/>
      <w:szCs w:val="20"/>
      <w:lang w:eastAsia="en-GB"/>
    </w:rPr>
  </w:style>
  <w:style w:type="paragraph" w:styleId="PlainText">
    <w:name w:val="Plain Text"/>
    <w:basedOn w:val="Normal"/>
    <w:link w:val="PlainTextChar"/>
    <w:rsid w:val="00102034"/>
    <w:pPr>
      <w:overflowPunct w:val="0"/>
      <w:autoSpaceDE w:val="0"/>
      <w:autoSpaceDN w:val="0"/>
      <w:adjustRightInd w:val="0"/>
      <w:spacing w:after="240" w:line="360" w:lineRule="auto"/>
      <w:jc w:val="both"/>
      <w:textAlignment w:val="baseline"/>
    </w:pPr>
    <w:rPr>
      <w:rFonts w:ascii="Courier New" w:eastAsia="Times New Roman" w:hAnsi="Courier New" w:cs="Courier New"/>
      <w:sz w:val="20"/>
      <w:lang w:eastAsia="en-GB"/>
    </w:rPr>
  </w:style>
  <w:style w:type="character" w:customStyle="1" w:styleId="PlainTextChar">
    <w:name w:val="Plain Text Char"/>
    <w:basedOn w:val="DefaultParagraphFont"/>
    <w:link w:val="PlainText"/>
    <w:rsid w:val="00102034"/>
    <w:rPr>
      <w:rFonts w:ascii="Courier New" w:eastAsia="Times New Roman" w:hAnsi="Courier New" w:cs="Courier New"/>
      <w:sz w:val="20"/>
      <w:szCs w:val="20"/>
      <w:lang w:eastAsia="en-GB"/>
    </w:rPr>
  </w:style>
  <w:style w:type="paragraph" w:styleId="Salutation">
    <w:name w:val="Salutation"/>
    <w:basedOn w:val="Normal"/>
    <w:next w:val="Normal"/>
    <w:link w:val="SalutationChar"/>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eastAsia="en-GB"/>
    </w:rPr>
  </w:style>
  <w:style w:type="character" w:customStyle="1" w:styleId="SalutationChar">
    <w:name w:val="Salutation Char"/>
    <w:basedOn w:val="DefaultParagraphFont"/>
    <w:link w:val="Salutation"/>
    <w:rsid w:val="00102034"/>
    <w:rPr>
      <w:rFonts w:ascii="Times New Roman" w:eastAsia="Times New Roman" w:hAnsi="Times New Roman" w:cs="Times New Roman"/>
      <w:sz w:val="22"/>
      <w:szCs w:val="20"/>
      <w:lang w:eastAsia="en-GB"/>
    </w:rPr>
  </w:style>
  <w:style w:type="table" w:customStyle="1" w:styleId="Table3Deffects11">
    <w:name w:val="Table 3D effects 11"/>
    <w:basedOn w:val="TableNormal"/>
    <w:next w:val="Table3Deffects1"/>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urful11">
    <w:name w:val="Table Colourful 11"/>
    <w:basedOn w:val="TableNormal"/>
    <w:next w:val="TableColorful1"/>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urful21">
    <w:name w:val="Table Colourful 21"/>
    <w:basedOn w:val="TableNormal"/>
    <w:next w:val="TableColorful2"/>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urful31">
    <w:name w:val="Table Colourful 31"/>
    <w:basedOn w:val="TableNormal"/>
    <w:next w:val="TableColorful3"/>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customStyle="1" w:styleId="TableGrid61">
    <w:name w:val="Table Grid 61"/>
    <w:basedOn w:val="TableNormal"/>
    <w:next w:val="TableGrid6"/>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customStyle="1" w:styleId="TableGrid71">
    <w:name w:val="Table Grid 71"/>
    <w:basedOn w:val="TableNormal"/>
    <w:next w:val="TableGrid7"/>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customStyle="1" w:styleId="TableGrid81">
    <w:name w:val="Table Grid 81"/>
    <w:basedOn w:val="TableNormal"/>
    <w:next w:val="TableGrid8"/>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0203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1">
    <w:name w:val="Normal1"/>
    <w:basedOn w:val="Normal"/>
    <w:rsid w:val="00102034"/>
    <w:pPr>
      <w:spacing w:before="100" w:beforeAutospacing="1" w:after="100" w:afterAutospacing="1"/>
    </w:pPr>
    <w:rPr>
      <w:rFonts w:ascii="Times New Roman" w:eastAsia="Times New Roman" w:hAnsi="Times New Roman" w:cs="Times New Roman"/>
      <w:szCs w:val="24"/>
      <w:lang w:eastAsia="en-GB"/>
    </w:rPr>
  </w:style>
  <w:style w:type="character" w:customStyle="1" w:styleId="italic">
    <w:name w:val="italic"/>
    <w:rsid w:val="00102034"/>
  </w:style>
  <w:style w:type="character" w:customStyle="1" w:styleId="bold">
    <w:name w:val="bold"/>
    <w:rsid w:val="00102034"/>
  </w:style>
  <w:style w:type="character" w:customStyle="1" w:styleId="cohidesearchterm">
    <w:name w:val="co_hidesearchterm"/>
    <w:rsid w:val="00102034"/>
  </w:style>
  <w:style w:type="character" w:customStyle="1" w:styleId="super">
    <w:name w:val="super"/>
    <w:rsid w:val="00102034"/>
  </w:style>
  <w:style w:type="paragraph" w:customStyle="1" w:styleId="bulletsrightcolumn">
    <w:name w:val="bullets right column"/>
    <w:basedOn w:val="CommentText"/>
    <w:qFormat/>
    <w:rsid w:val="00102034"/>
    <w:pPr>
      <w:numPr>
        <w:numId w:val="20"/>
      </w:numPr>
      <w:spacing w:after="60" w:line="276" w:lineRule="auto"/>
    </w:pPr>
    <w:rPr>
      <w:rFonts w:ascii="Verdana" w:eastAsia="STZhongsong" w:hAnsi="Verdana" w:cs="Calibri"/>
      <w:sz w:val="18"/>
      <w:szCs w:val="18"/>
      <w:lang w:eastAsia="zh-CN"/>
    </w:rPr>
  </w:style>
  <w:style w:type="paragraph" w:customStyle="1" w:styleId="letteredbullets">
    <w:name w:val="lettered bullets"/>
    <w:basedOn w:val="Heading2"/>
    <w:qFormat/>
    <w:rsid w:val="00102034"/>
    <w:pPr>
      <w:keepNext w:val="0"/>
      <w:keepLines w:val="0"/>
      <w:adjustRightInd w:val="0"/>
      <w:spacing w:before="0" w:after="0" w:line="276" w:lineRule="auto"/>
      <w:ind w:left="401" w:hanging="295"/>
    </w:pPr>
    <w:rPr>
      <w:rFonts w:ascii="Verdana" w:eastAsia="STZhongsong" w:hAnsi="Verdana" w:cs="Calibri"/>
      <w:b w:val="0"/>
      <w:bCs w:val="0"/>
      <w:color w:val="auto"/>
      <w:sz w:val="18"/>
      <w:szCs w:val="18"/>
      <w:lang w:eastAsia="zh-CN"/>
    </w:rPr>
  </w:style>
  <w:style w:type="paragraph" w:customStyle="1" w:styleId="tickbulletrightcolumn">
    <w:name w:val="tick bullet right column"/>
    <w:basedOn w:val="Heading2"/>
    <w:qFormat/>
    <w:rsid w:val="00102034"/>
    <w:pPr>
      <w:keepNext w:val="0"/>
      <w:keepLines w:val="0"/>
      <w:numPr>
        <w:numId w:val="21"/>
      </w:numPr>
      <w:tabs>
        <w:tab w:val="num" w:pos="360"/>
      </w:tabs>
      <w:overflowPunct w:val="0"/>
      <w:autoSpaceDE w:val="0"/>
      <w:autoSpaceDN w:val="0"/>
      <w:adjustRightInd w:val="0"/>
      <w:spacing w:before="0" w:after="0" w:line="276" w:lineRule="auto"/>
      <w:ind w:left="360" w:hanging="360"/>
      <w:textAlignment w:val="baseline"/>
    </w:pPr>
    <w:rPr>
      <w:rFonts w:ascii="Verdana" w:eastAsia="STZhongsong" w:hAnsi="Verdana" w:cs="Calibri"/>
      <w:b w:val="0"/>
      <w:bCs w:val="0"/>
      <w:color w:val="auto"/>
      <w:sz w:val="18"/>
      <w:szCs w:val="18"/>
      <w:lang w:eastAsia="zh-CN"/>
    </w:rPr>
  </w:style>
  <w:style w:type="paragraph" w:customStyle="1" w:styleId="guidancebullets">
    <w:name w:val="guidance bullets"/>
    <w:basedOn w:val="Heading2"/>
    <w:link w:val="guidancebulletsChar"/>
    <w:qFormat/>
    <w:rsid w:val="00102034"/>
    <w:pPr>
      <w:keepNext w:val="0"/>
      <w:keepLines w:val="0"/>
      <w:tabs>
        <w:tab w:val="num" w:pos="720"/>
      </w:tabs>
      <w:spacing w:before="0" w:after="120" w:line="276" w:lineRule="auto"/>
      <w:ind w:left="311" w:hanging="215"/>
    </w:pPr>
    <w:rPr>
      <w:rFonts w:ascii="Verdana" w:eastAsia="STZhongsong" w:hAnsi="Verdana"/>
      <w:b w:val="0"/>
      <w:bCs w:val="0"/>
      <w:color w:val="4F81BD"/>
      <w:sz w:val="18"/>
      <w:szCs w:val="18"/>
      <w:lang w:eastAsia="zh-CN"/>
    </w:rPr>
  </w:style>
  <w:style w:type="character" w:customStyle="1" w:styleId="guidancebulletsChar">
    <w:name w:val="guidance bullets Char"/>
    <w:basedOn w:val="Heading2Char"/>
    <w:link w:val="guidancebullets"/>
    <w:rsid w:val="00102034"/>
    <w:rPr>
      <w:rFonts w:ascii="Verdana" w:eastAsia="STZhongsong" w:hAnsi="Verdana" w:cstheme="majorBidi"/>
      <w:b w:val="0"/>
      <w:bCs w:val="0"/>
      <w:color w:val="4F81BD"/>
      <w:sz w:val="18"/>
      <w:szCs w:val="18"/>
      <w:lang w:eastAsia="zh-CN"/>
    </w:rPr>
  </w:style>
  <w:style w:type="paragraph" w:customStyle="1" w:styleId="SFPara-Clause">
    <w:name w:val="SF Para - Clause"/>
    <w:qFormat/>
    <w:rsid w:val="00102034"/>
    <w:pPr>
      <w:spacing w:before="240" w:after="240"/>
      <w:ind w:firstLine="720"/>
      <w:outlineLvl w:val="0"/>
    </w:pPr>
    <w:rPr>
      <w:rFonts w:ascii="Times New Roman" w:eastAsia="Times New Roman" w:hAnsi="Times New Roman" w:cs="Times New Roman"/>
      <w:color w:val="000000"/>
      <w:lang w:eastAsia="en-GB"/>
    </w:rPr>
  </w:style>
  <w:style w:type="paragraph" w:customStyle="1" w:styleId="SFParasubclause3">
    <w:name w:val="SF Para subclause 3"/>
    <w:qFormat/>
    <w:rsid w:val="00102034"/>
    <w:pPr>
      <w:spacing w:before="120" w:after="240"/>
      <w:ind w:left="2160" w:firstLine="720"/>
      <w:outlineLvl w:val="3"/>
    </w:pPr>
    <w:rPr>
      <w:rFonts w:ascii="Times New Roman" w:eastAsia="Times New Roman" w:hAnsi="Times New Roman" w:cs="Times New Roman"/>
      <w:color w:val="000000"/>
      <w:lang w:eastAsia="en-GB"/>
    </w:rPr>
  </w:style>
  <w:style w:type="character" w:customStyle="1" w:styleId="DocumentTitleChar">
    <w:name w:val="Document Title Char"/>
    <w:basedOn w:val="DefaultParagraphFont"/>
    <w:link w:val="DocumentTitle"/>
    <w:rsid w:val="00102034"/>
    <w:rPr>
      <w:rFonts w:ascii="Times New Roman" w:hAnsi="Times New Roman"/>
      <w:b/>
      <w:color w:val="000000"/>
      <w:sz w:val="32"/>
    </w:rPr>
  </w:style>
  <w:style w:type="paragraph" w:customStyle="1" w:styleId="CustomizableHeading">
    <w:name w:val="Customizable Heading"/>
    <w:link w:val="CustomizableHeadingChar"/>
    <w:qFormat/>
    <w:rsid w:val="00102034"/>
    <w:pPr>
      <w:spacing w:before="120"/>
      <w:jc w:val="center"/>
      <w:outlineLvl w:val="0"/>
    </w:pPr>
    <w:rPr>
      <w:rFonts w:ascii="Times New Roman" w:eastAsia="Times New Roman" w:hAnsi="Times New Roman" w:cs="Times New Roman"/>
      <w:b/>
      <w:color w:val="000000"/>
      <w:szCs w:val="22"/>
      <w:lang w:eastAsia="en-GB"/>
    </w:rPr>
  </w:style>
  <w:style w:type="character" w:customStyle="1" w:styleId="CustomizableHeadingChar">
    <w:name w:val="Customizable Heading Char"/>
    <w:basedOn w:val="DefaultParagraphFont"/>
    <w:link w:val="CustomizableHeading"/>
    <w:rsid w:val="00102034"/>
    <w:rPr>
      <w:rFonts w:ascii="Times New Roman" w:eastAsia="Times New Roman" w:hAnsi="Times New Roman" w:cs="Times New Roman"/>
      <w:b/>
      <w:color w:val="000000"/>
      <w:szCs w:val="22"/>
      <w:lang w:eastAsia="en-GB"/>
    </w:rPr>
  </w:style>
  <w:style w:type="paragraph" w:customStyle="1" w:styleId="MFPara-Clause">
    <w:name w:val="MF Para - Clause"/>
    <w:qFormat/>
    <w:rsid w:val="00102034"/>
    <w:pPr>
      <w:numPr>
        <w:numId w:val="22"/>
      </w:numPr>
      <w:spacing w:before="240" w:after="240"/>
      <w:ind w:firstLine="431"/>
      <w:outlineLvl w:val="0"/>
    </w:pPr>
    <w:rPr>
      <w:rFonts w:ascii="Times New Roman" w:eastAsia="Times New Roman" w:hAnsi="Times New Roman" w:cs="Times New Roman"/>
      <w:color w:val="000000"/>
      <w:lang w:eastAsia="en-GB"/>
    </w:rPr>
  </w:style>
  <w:style w:type="paragraph" w:customStyle="1" w:styleId="MFParasubclause1">
    <w:name w:val="MF Para subclause 1"/>
    <w:rsid w:val="00102034"/>
    <w:pPr>
      <w:numPr>
        <w:ilvl w:val="1"/>
        <w:numId w:val="22"/>
      </w:numPr>
      <w:spacing w:before="120" w:after="240"/>
      <w:outlineLvl w:val="1"/>
    </w:pPr>
    <w:rPr>
      <w:rFonts w:ascii="Times New Roman" w:eastAsia="Times New Roman" w:hAnsi="Times New Roman" w:cs="Times New Roman"/>
      <w:color w:val="000000"/>
      <w:lang w:eastAsia="en-GB"/>
    </w:rPr>
  </w:style>
  <w:style w:type="paragraph" w:customStyle="1" w:styleId="MFParasubclause2">
    <w:name w:val="MF Para subclause 2"/>
    <w:rsid w:val="00102034"/>
    <w:pPr>
      <w:numPr>
        <w:ilvl w:val="2"/>
        <w:numId w:val="22"/>
      </w:numPr>
      <w:spacing w:before="120" w:after="240"/>
      <w:outlineLvl w:val="2"/>
    </w:pPr>
    <w:rPr>
      <w:rFonts w:ascii="Times New Roman" w:eastAsia="Times New Roman" w:hAnsi="Times New Roman" w:cs="Times New Roman"/>
      <w:color w:val="000000"/>
      <w:lang w:eastAsia="en-GB"/>
    </w:rPr>
  </w:style>
  <w:style w:type="paragraph" w:customStyle="1" w:styleId="MFParasubclause3">
    <w:name w:val="MF Para subclause 3"/>
    <w:rsid w:val="00102034"/>
    <w:pPr>
      <w:numPr>
        <w:ilvl w:val="3"/>
        <w:numId w:val="22"/>
      </w:numPr>
      <w:spacing w:before="120" w:after="240"/>
      <w:outlineLvl w:val="3"/>
    </w:pPr>
    <w:rPr>
      <w:rFonts w:ascii="Times New Roman" w:eastAsia="Times New Roman" w:hAnsi="Times New Roman" w:cs="Times New Roman"/>
      <w:color w:val="000000"/>
      <w:lang w:eastAsia="en-GB"/>
    </w:rPr>
  </w:style>
  <w:style w:type="paragraph" w:customStyle="1" w:styleId="MFParasubclause4">
    <w:name w:val="MF Para subclause 4"/>
    <w:rsid w:val="00102034"/>
    <w:pPr>
      <w:numPr>
        <w:ilvl w:val="4"/>
        <w:numId w:val="22"/>
      </w:numPr>
      <w:spacing w:before="120" w:after="240"/>
      <w:outlineLvl w:val="4"/>
    </w:pPr>
    <w:rPr>
      <w:rFonts w:ascii="Times New Roman" w:eastAsia="Times New Roman" w:hAnsi="Times New Roman" w:cs="Times New Roman"/>
      <w:color w:val="000000"/>
      <w:lang w:eastAsia="en-GB"/>
    </w:rPr>
  </w:style>
  <w:style w:type="paragraph" w:customStyle="1" w:styleId="SFPara-Clause-nonum">
    <w:name w:val="SF Para - Clause - no num"/>
    <w:link w:val="SFPara-Clause-nonumChar"/>
    <w:qFormat/>
    <w:rsid w:val="00102034"/>
    <w:pPr>
      <w:spacing w:before="240" w:after="240"/>
      <w:ind w:firstLine="1440"/>
      <w:outlineLvl w:val="0"/>
    </w:pPr>
    <w:rPr>
      <w:rFonts w:ascii="Times New Roman" w:eastAsia="Times New Roman" w:hAnsi="Times New Roman" w:cs="Times New Roman"/>
      <w:color w:val="000000"/>
      <w:lang w:eastAsia="en-GB"/>
    </w:rPr>
  </w:style>
  <w:style w:type="character" w:customStyle="1" w:styleId="SFPara-Clause-nonumChar">
    <w:name w:val="SF Para - Clause - no num Char"/>
    <w:basedOn w:val="DefaultParagraphFont"/>
    <w:link w:val="SFPara-Clause-nonum"/>
    <w:rsid w:val="00102034"/>
    <w:rPr>
      <w:rFonts w:ascii="Times New Roman" w:eastAsia="Times New Roman" w:hAnsi="Times New Roman" w:cs="Times New Roman"/>
      <w:color w:val="000000"/>
      <w:lang w:eastAsia="en-GB"/>
    </w:rPr>
  </w:style>
  <w:style w:type="paragraph" w:customStyle="1" w:styleId="Paragraph">
    <w:name w:val="Paragraph"/>
    <w:link w:val="ParagraphChar1"/>
    <w:qFormat/>
    <w:rsid w:val="00102034"/>
    <w:pPr>
      <w:spacing w:before="120"/>
    </w:pPr>
    <w:rPr>
      <w:rFonts w:ascii="Times New Roman" w:eastAsia="Times New Roman" w:hAnsi="Times New Roman" w:cs="Times New Roman"/>
      <w:color w:val="000000"/>
      <w:lang w:eastAsia="en-GB"/>
    </w:rPr>
  </w:style>
  <w:style w:type="paragraph" w:customStyle="1" w:styleId="DocumentTitle">
    <w:name w:val="Document Title"/>
    <w:link w:val="DocumentTitleChar"/>
    <w:qFormat/>
    <w:rsid w:val="00102034"/>
    <w:pPr>
      <w:spacing w:before="120" w:after="240"/>
      <w:jc w:val="center"/>
      <w:outlineLvl w:val="0"/>
    </w:pPr>
    <w:rPr>
      <w:rFonts w:ascii="Times New Roman" w:hAnsi="Times New Roman"/>
      <w:b/>
      <w:color w:val="000000"/>
      <w:sz w:val="32"/>
    </w:rPr>
  </w:style>
  <w:style w:type="character" w:customStyle="1" w:styleId="ParagraphChar1">
    <w:name w:val="Paragraph Char1"/>
    <w:basedOn w:val="DefaultParagraphFont"/>
    <w:link w:val="Paragraph"/>
    <w:rsid w:val="00102034"/>
    <w:rPr>
      <w:rFonts w:ascii="Times New Roman" w:eastAsia="Times New Roman" w:hAnsi="Times New Roman" w:cs="Times New Roman"/>
      <w:color w:val="000000"/>
      <w:lang w:eastAsia="en-GB"/>
    </w:rPr>
  </w:style>
  <w:style w:type="character" w:customStyle="1" w:styleId="oj-bold">
    <w:name w:val="oj-bold"/>
    <w:basedOn w:val="DefaultParagraphFont"/>
    <w:rsid w:val="00102034"/>
    <w:rPr>
      <w:color w:val="000000"/>
    </w:rPr>
  </w:style>
  <w:style w:type="paragraph" w:customStyle="1" w:styleId="11table">
    <w:name w:val="1.1 table"/>
    <w:basedOn w:val="Normal"/>
    <w:qFormat/>
    <w:rsid w:val="00102034"/>
    <w:pPr>
      <w:tabs>
        <w:tab w:val="num" w:pos="720"/>
      </w:tabs>
      <w:ind w:left="720" w:hanging="720"/>
    </w:pPr>
    <w:rPr>
      <w:rFonts w:ascii="Calibri" w:eastAsia="STZhongsong" w:hAnsi="Calibri" w:cs="Calibri"/>
      <w:b/>
      <w:sz w:val="22"/>
      <w:szCs w:val="22"/>
      <w:lang w:eastAsia="zh-CN"/>
    </w:rPr>
  </w:style>
  <w:style w:type="paragraph" w:customStyle="1" w:styleId="Parties">
    <w:name w:val="Parties"/>
    <w:basedOn w:val="BodyText"/>
    <w:qFormat/>
    <w:rsid w:val="00102034"/>
    <w:pPr>
      <w:tabs>
        <w:tab w:val="num" w:pos="720"/>
      </w:tabs>
      <w:overflowPunct/>
      <w:autoSpaceDE/>
      <w:autoSpaceDN/>
      <w:adjustRightInd/>
      <w:spacing w:after="240" w:line="276" w:lineRule="auto"/>
      <w:ind w:left="720" w:hanging="720"/>
      <w:jc w:val="left"/>
      <w:textAlignment w:val="auto"/>
    </w:pPr>
    <w:rPr>
      <w:rFonts w:ascii="Arial" w:eastAsia="Arial" w:hAnsi="Arial"/>
      <w:sz w:val="20"/>
      <w:szCs w:val="22"/>
    </w:rPr>
  </w:style>
  <w:style w:type="paragraph" w:customStyle="1" w:styleId="RestartNumbering">
    <w:name w:val="Restart Numbering"/>
    <w:basedOn w:val="Normal"/>
    <w:uiPriority w:val="19"/>
    <w:rsid w:val="00102034"/>
    <w:pPr>
      <w:tabs>
        <w:tab w:val="num" w:pos="720"/>
      </w:tabs>
      <w:spacing w:line="276" w:lineRule="auto"/>
      <w:ind w:left="720" w:hanging="720"/>
    </w:pPr>
    <w:rPr>
      <w:rFonts w:eastAsia="Arial" w:cs="Arial"/>
      <w:sz w:val="20"/>
      <w:szCs w:val="22"/>
      <w:lang w:eastAsia="en-GB"/>
    </w:rPr>
  </w:style>
  <w:style w:type="paragraph" w:customStyle="1" w:styleId="Level4Number">
    <w:name w:val="Level 4 Number"/>
    <w:basedOn w:val="BodyText"/>
    <w:uiPriority w:val="19"/>
    <w:qFormat/>
    <w:rsid w:val="00102034"/>
    <w:pPr>
      <w:tabs>
        <w:tab w:val="num" w:pos="3600"/>
      </w:tabs>
      <w:overflowPunct/>
      <w:autoSpaceDE/>
      <w:autoSpaceDN/>
      <w:adjustRightInd/>
      <w:spacing w:after="240" w:line="276" w:lineRule="auto"/>
      <w:ind w:left="3600" w:hanging="720"/>
      <w:jc w:val="left"/>
      <w:textAlignment w:val="auto"/>
    </w:pPr>
    <w:rPr>
      <w:rFonts w:ascii="Arial" w:eastAsia="Arial" w:hAnsi="Arial"/>
      <w:sz w:val="20"/>
      <w:szCs w:val="22"/>
    </w:rPr>
  </w:style>
  <w:style w:type="paragraph" w:customStyle="1" w:styleId="Level5Number">
    <w:name w:val="Level 5 Number"/>
    <w:basedOn w:val="BodyText"/>
    <w:uiPriority w:val="19"/>
    <w:rsid w:val="00102034"/>
    <w:pPr>
      <w:tabs>
        <w:tab w:val="num" w:pos="4320"/>
      </w:tabs>
      <w:overflowPunct/>
      <w:autoSpaceDE/>
      <w:autoSpaceDN/>
      <w:adjustRightInd/>
      <w:spacing w:after="240" w:line="276" w:lineRule="auto"/>
      <w:ind w:left="4320" w:hanging="720"/>
      <w:jc w:val="left"/>
      <w:textAlignment w:val="auto"/>
    </w:pPr>
    <w:rPr>
      <w:rFonts w:ascii="Arial" w:eastAsia="Arial" w:hAnsi="Arial"/>
      <w:sz w:val="20"/>
      <w:szCs w:val="22"/>
    </w:rPr>
  </w:style>
  <w:style w:type="paragraph" w:customStyle="1" w:styleId="Level6Number">
    <w:name w:val="Level 6 Number"/>
    <w:basedOn w:val="BodyText"/>
    <w:uiPriority w:val="19"/>
    <w:rsid w:val="00102034"/>
    <w:pPr>
      <w:tabs>
        <w:tab w:val="num" w:pos="5040"/>
      </w:tabs>
      <w:overflowPunct/>
      <w:autoSpaceDE/>
      <w:autoSpaceDN/>
      <w:adjustRightInd/>
      <w:spacing w:after="240" w:line="276" w:lineRule="auto"/>
      <w:ind w:left="5040" w:hanging="720"/>
      <w:jc w:val="left"/>
      <w:textAlignment w:val="auto"/>
    </w:pPr>
    <w:rPr>
      <w:rFonts w:ascii="Arial" w:eastAsia="Arial" w:hAnsi="Arial"/>
      <w:sz w:val="20"/>
      <w:szCs w:val="22"/>
    </w:rPr>
  </w:style>
  <w:style w:type="paragraph" w:customStyle="1" w:styleId="Level7Number">
    <w:name w:val="Level 7 Number"/>
    <w:basedOn w:val="BodyText"/>
    <w:uiPriority w:val="19"/>
    <w:rsid w:val="00102034"/>
    <w:pPr>
      <w:tabs>
        <w:tab w:val="num" w:pos="5760"/>
      </w:tabs>
      <w:overflowPunct/>
      <w:autoSpaceDE/>
      <w:autoSpaceDN/>
      <w:adjustRightInd/>
      <w:spacing w:after="240" w:line="276" w:lineRule="auto"/>
      <w:ind w:left="5760" w:hanging="720"/>
      <w:jc w:val="left"/>
      <w:textAlignment w:val="auto"/>
    </w:pPr>
    <w:rPr>
      <w:rFonts w:ascii="Arial" w:eastAsia="Arial" w:hAnsi="Arial"/>
      <w:sz w:val="20"/>
      <w:szCs w:val="22"/>
    </w:rPr>
  </w:style>
  <w:style w:type="paragraph" w:customStyle="1" w:styleId="Level8Number">
    <w:name w:val="Level 8 Number"/>
    <w:basedOn w:val="BodyText"/>
    <w:uiPriority w:val="19"/>
    <w:rsid w:val="00102034"/>
    <w:pPr>
      <w:tabs>
        <w:tab w:val="num" w:pos="6480"/>
      </w:tabs>
      <w:overflowPunct/>
      <w:autoSpaceDE/>
      <w:autoSpaceDN/>
      <w:adjustRightInd/>
      <w:spacing w:after="240" w:line="276" w:lineRule="auto"/>
      <w:ind w:left="6480" w:hanging="720"/>
      <w:jc w:val="left"/>
      <w:textAlignment w:val="auto"/>
    </w:pPr>
    <w:rPr>
      <w:rFonts w:ascii="Arial" w:eastAsia="Arial" w:hAnsi="Arial"/>
      <w:sz w:val="20"/>
      <w:szCs w:val="22"/>
    </w:rPr>
  </w:style>
  <w:style w:type="numbering" w:customStyle="1" w:styleId="MainNumbering1">
    <w:name w:val="Main Numbering1"/>
    <w:uiPriority w:val="99"/>
    <w:rsid w:val="00102034"/>
  </w:style>
  <w:style w:type="paragraph" w:customStyle="1" w:styleId="Body1">
    <w:name w:val="Body1"/>
    <w:basedOn w:val="BodyText"/>
    <w:uiPriority w:val="99"/>
    <w:rsid w:val="00102034"/>
    <w:pPr>
      <w:overflowPunct/>
      <w:autoSpaceDE/>
      <w:autoSpaceDN/>
      <w:adjustRightInd/>
      <w:spacing w:after="220" w:line="240" w:lineRule="auto"/>
      <w:ind w:left="709"/>
      <w:textAlignment w:val="auto"/>
    </w:pPr>
    <w:rPr>
      <w:rFonts w:ascii="Trebuchet MS" w:hAnsi="Trebuchet MS"/>
      <w:sz w:val="20"/>
    </w:rPr>
  </w:style>
  <w:style w:type="paragraph" w:customStyle="1" w:styleId="Body4">
    <w:name w:val="Body4"/>
    <w:basedOn w:val="Body1"/>
    <w:uiPriority w:val="99"/>
    <w:qFormat/>
    <w:rsid w:val="00102034"/>
    <w:pPr>
      <w:ind w:left="2132"/>
    </w:pPr>
  </w:style>
  <w:style w:type="paragraph" w:customStyle="1" w:styleId="XExecution">
    <w:name w:val="X Execution"/>
    <w:basedOn w:val="Normal"/>
    <w:rsid w:val="00102034"/>
    <w:pPr>
      <w:tabs>
        <w:tab w:val="left" w:pos="0"/>
        <w:tab w:val="left" w:pos="3544"/>
      </w:tabs>
      <w:spacing w:line="300" w:lineRule="atLeast"/>
      <w:ind w:right="459"/>
    </w:pPr>
    <w:rPr>
      <w:rFonts w:ascii="Times New Roman" w:eastAsia="Times New Roman" w:hAnsi="Times New Roman" w:cs="Times New Roman"/>
      <w:color w:val="000000"/>
      <w:sz w:val="22"/>
      <w:lang w:eastAsia="en-GB"/>
    </w:rPr>
  </w:style>
  <w:style w:type="character" w:customStyle="1" w:styleId="bodypartyheadchar">
    <w:name w:val="body party head char"/>
    <w:qFormat/>
    <w:rsid w:val="00102034"/>
    <w:rPr>
      <w:rFonts w:ascii="SimSun" w:eastAsia="SimSun" w:hAnsi="SimSun" w:hint="eastAsia"/>
      <w:b/>
      <w:bCs w:val="0"/>
      <w:caps/>
      <w:sz w:val="22"/>
      <w:szCs w:val="22"/>
      <w:lang w:val="en-GB" w:eastAsia="en-GB" w:bidi="ar-SA"/>
    </w:rPr>
  </w:style>
  <w:style w:type="paragraph" w:customStyle="1" w:styleId="Body">
    <w:name w:val="Body"/>
    <w:basedOn w:val="Normal"/>
    <w:link w:val="BodyChar"/>
    <w:qFormat/>
    <w:rsid w:val="00102034"/>
    <w:pPr>
      <w:tabs>
        <w:tab w:val="left" w:pos="1843"/>
        <w:tab w:val="left" w:pos="3119"/>
        <w:tab w:val="left" w:pos="4253"/>
      </w:tabs>
      <w:spacing w:before="120" w:after="120" w:line="276" w:lineRule="auto"/>
    </w:pPr>
    <w:rPr>
      <w:rFonts w:ascii="Verdana" w:eastAsia="Times New Roman" w:hAnsi="Verdana" w:cs="Times New Roman"/>
      <w:sz w:val="22"/>
      <w:szCs w:val="18"/>
      <w:lang w:eastAsia="zh-CN"/>
    </w:rPr>
  </w:style>
  <w:style w:type="paragraph" w:customStyle="1" w:styleId="aDefinition">
    <w:name w:val="(a) Definition"/>
    <w:basedOn w:val="Body"/>
    <w:qFormat/>
    <w:rsid w:val="00102034"/>
    <w:pPr>
      <w:numPr>
        <w:ilvl w:val="1"/>
      </w:numPr>
      <w:tabs>
        <w:tab w:val="clear" w:pos="1843"/>
        <w:tab w:val="clear" w:pos="3119"/>
        <w:tab w:val="clear" w:pos="4253"/>
      </w:tabs>
    </w:pPr>
  </w:style>
  <w:style w:type="paragraph" w:customStyle="1" w:styleId="iDefinition">
    <w:name w:val="(i) Definition"/>
    <w:basedOn w:val="Body"/>
    <w:qFormat/>
    <w:rsid w:val="00102034"/>
    <w:pPr>
      <w:numPr>
        <w:ilvl w:val="2"/>
      </w:numPr>
      <w:tabs>
        <w:tab w:val="clear" w:pos="1843"/>
        <w:tab w:val="clear" w:pos="3119"/>
        <w:tab w:val="clear" w:pos="4253"/>
      </w:tabs>
    </w:pPr>
  </w:style>
  <w:style w:type="paragraph" w:customStyle="1" w:styleId="Body10">
    <w:name w:val="Body 1"/>
    <w:basedOn w:val="Body"/>
    <w:qFormat/>
    <w:rsid w:val="00102034"/>
    <w:pPr>
      <w:tabs>
        <w:tab w:val="clear" w:pos="1843"/>
        <w:tab w:val="clear" w:pos="3119"/>
        <w:tab w:val="clear" w:pos="4253"/>
      </w:tabs>
    </w:pPr>
  </w:style>
  <w:style w:type="paragraph" w:customStyle="1" w:styleId="Background">
    <w:name w:val="Background"/>
    <w:basedOn w:val="Body10"/>
    <w:rsid w:val="00102034"/>
    <w:pPr>
      <w:tabs>
        <w:tab w:val="num" w:pos="360"/>
        <w:tab w:val="num" w:pos="720"/>
      </w:tabs>
      <w:ind w:left="720" w:hanging="720"/>
    </w:pPr>
  </w:style>
  <w:style w:type="paragraph" w:customStyle="1" w:styleId="Body2">
    <w:name w:val="Body 2"/>
    <w:basedOn w:val="Body10"/>
    <w:qFormat/>
    <w:rsid w:val="00102034"/>
  </w:style>
  <w:style w:type="paragraph" w:customStyle="1" w:styleId="Body3">
    <w:name w:val="Body 3"/>
    <w:basedOn w:val="Body2"/>
    <w:qFormat/>
    <w:rsid w:val="00102034"/>
    <w:pPr>
      <w:ind w:left="1843"/>
    </w:pPr>
  </w:style>
  <w:style w:type="paragraph" w:customStyle="1" w:styleId="Body40">
    <w:name w:val="Body 4"/>
    <w:basedOn w:val="Body3"/>
    <w:qFormat/>
    <w:rsid w:val="00102034"/>
    <w:pPr>
      <w:ind w:left="3119"/>
    </w:pPr>
  </w:style>
  <w:style w:type="paragraph" w:customStyle="1" w:styleId="Body5">
    <w:name w:val="Body 5"/>
    <w:basedOn w:val="Body3"/>
    <w:qFormat/>
    <w:rsid w:val="00102034"/>
    <w:pPr>
      <w:ind w:left="3119"/>
    </w:pPr>
  </w:style>
  <w:style w:type="paragraph" w:customStyle="1" w:styleId="Bullet1">
    <w:name w:val="Bullet 1"/>
    <w:basedOn w:val="Body10"/>
    <w:qFormat/>
    <w:rsid w:val="00102034"/>
    <w:pPr>
      <w:tabs>
        <w:tab w:val="num" w:pos="360"/>
        <w:tab w:val="num" w:pos="720"/>
      </w:tabs>
    </w:pPr>
  </w:style>
  <w:style w:type="paragraph" w:customStyle="1" w:styleId="Bullet2">
    <w:name w:val="Bullet 2"/>
    <w:basedOn w:val="Body2"/>
    <w:qFormat/>
    <w:rsid w:val="00102034"/>
    <w:pPr>
      <w:tabs>
        <w:tab w:val="num" w:pos="360"/>
        <w:tab w:val="num" w:pos="1440"/>
      </w:tabs>
      <w:ind w:left="1440" w:hanging="720"/>
    </w:pPr>
  </w:style>
  <w:style w:type="paragraph" w:customStyle="1" w:styleId="Bullet3">
    <w:name w:val="Bullet 3"/>
    <w:basedOn w:val="Body3"/>
    <w:rsid w:val="00102034"/>
    <w:pPr>
      <w:tabs>
        <w:tab w:val="num" w:pos="360"/>
        <w:tab w:val="num" w:pos="2160"/>
      </w:tabs>
      <w:ind w:left="1440" w:hanging="720"/>
    </w:pPr>
  </w:style>
  <w:style w:type="character" w:customStyle="1" w:styleId="CrossReference">
    <w:name w:val="Cross Reference"/>
    <w:basedOn w:val="DefaultParagraphFont"/>
    <w:qFormat/>
    <w:rsid w:val="00102034"/>
    <w:rPr>
      <w:b w:val="0"/>
    </w:rPr>
  </w:style>
  <w:style w:type="character" w:customStyle="1" w:styleId="Level1asHeadingtext">
    <w:name w:val="Level 1 as Heading (text)"/>
    <w:basedOn w:val="DefaultParagraphFont"/>
    <w:rsid w:val="00102034"/>
    <w:rPr>
      <w:b/>
    </w:rPr>
  </w:style>
  <w:style w:type="character" w:customStyle="1" w:styleId="Level2asHeadingtext">
    <w:name w:val="Level 2 as Heading (text)"/>
    <w:basedOn w:val="DefaultParagraphFont"/>
    <w:rsid w:val="00102034"/>
    <w:rPr>
      <w:b/>
    </w:rPr>
  </w:style>
  <w:style w:type="character" w:customStyle="1" w:styleId="Level3asHeadingtext">
    <w:name w:val="Level 3 as Heading (text)"/>
    <w:basedOn w:val="DefaultParagraphFont"/>
    <w:rsid w:val="00102034"/>
    <w:rPr>
      <w:b/>
    </w:rPr>
  </w:style>
  <w:style w:type="paragraph" w:customStyle="1" w:styleId="ScheduleTitle">
    <w:name w:val="Schedule Title"/>
    <w:basedOn w:val="Body"/>
    <w:qFormat/>
    <w:rsid w:val="00102034"/>
    <w:pPr>
      <w:keepNext/>
      <w:tabs>
        <w:tab w:val="clear" w:pos="1843"/>
        <w:tab w:val="clear" w:pos="3119"/>
        <w:tab w:val="clear" w:pos="4253"/>
      </w:tabs>
      <w:spacing w:after="480"/>
      <w:jc w:val="center"/>
    </w:pPr>
    <w:rPr>
      <w:b/>
    </w:rPr>
  </w:style>
  <w:style w:type="paragraph" w:customStyle="1" w:styleId="aBankingDefinition">
    <w:name w:val="(a) Banking Definition"/>
    <w:basedOn w:val="Body"/>
    <w:rsid w:val="00102034"/>
    <w:pPr>
      <w:tabs>
        <w:tab w:val="clear" w:pos="1843"/>
        <w:tab w:val="clear" w:pos="3119"/>
        <w:tab w:val="clear" w:pos="4253"/>
        <w:tab w:val="num" w:pos="360"/>
        <w:tab w:val="num" w:pos="720"/>
      </w:tabs>
      <w:ind w:left="720" w:hanging="720"/>
    </w:pPr>
  </w:style>
  <w:style w:type="paragraph" w:customStyle="1" w:styleId="Sideheading">
    <w:name w:val="Sideheading"/>
    <w:basedOn w:val="Body"/>
    <w:qFormat/>
    <w:rsid w:val="00102034"/>
    <w:pPr>
      <w:tabs>
        <w:tab w:val="clear" w:pos="1843"/>
        <w:tab w:val="clear" w:pos="3119"/>
        <w:tab w:val="clear" w:pos="4253"/>
      </w:tabs>
    </w:pPr>
    <w:rPr>
      <w:b/>
      <w:caps/>
    </w:rPr>
  </w:style>
  <w:style w:type="paragraph" w:customStyle="1" w:styleId="iBankingDefinition">
    <w:name w:val="(i) Banking Definition"/>
    <w:basedOn w:val="aBankingDefinition"/>
    <w:rsid w:val="00102034"/>
    <w:pPr>
      <w:numPr>
        <w:ilvl w:val="1"/>
      </w:numPr>
      <w:tabs>
        <w:tab w:val="num" w:pos="360"/>
      </w:tabs>
      <w:ind w:left="720" w:hanging="720"/>
    </w:pPr>
  </w:style>
  <w:style w:type="paragraph" w:customStyle="1" w:styleId="FootnoteTextContinuation">
    <w:name w:val="Footnote Text Continuation"/>
    <w:basedOn w:val="FootnoteText"/>
    <w:rsid w:val="00102034"/>
    <w:pPr>
      <w:tabs>
        <w:tab w:val="left" w:pos="851"/>
      </w:tabs>
      <w:spacing w:after="60" w:line="276" w:lineRule="auto"/>
      <w:ind w:left="851"/>
    </w:pPr>
    <w:rPr>
      <w:rFonts w:ascii="Tahoma" w:eastAsia="Times New Roman" w:hAnsi="Tahoma" w:cs="Times New Roman"/>
      <w:sz w:val="16"/>
      <w:szCs w:val="18"/>
      <w:lang w:eastAsia="zh-CN"/>
    </w:rPr>
  </w:style>
  <w:style w:type="paragraph" w:customStyle="1" w:styleId="Part">
    <w:name w:val="Part"/>
    <w:basedOn w:val="Normal"/>
    <w:qFormat/>
    <w:rsid w:val="00102034"/>
    <w:pPr>
      <w:tabs>
        <w:tab w:val="num" w:pos="720"/>
      </w:tabs>
      <w:spacing w:before="360" w:after="200" w:line="276" w:lineRule="auto"/>
      <w:ind w:left="720" w:hanging="720"/>
    </w:pPr>
    <w:rPr>
      <w:rFonts w:ascii="Georgia" w:eastAsia="Times New Roman" w:hAnsi="Georgia" w:cs="Times New Roman"/>
      <w:color w:val="003768"/>
      <w:sz w:val="32"/>
      <w:szCs w:val="18"/>
      <w:lang w:eastAsia="zh-CN"/>
    </w:rPr>
  </w:style>
  <w:style w:type="paragraph" w:customStyle="1" w:styleId="abcdDefinition">
    <w:name w:val="(a) (b) (c) (d) Definition"/>
    <w:basedOn w:val="aDefinition"/>
    <w:rsid w:val="00102034"/>
    <w:pPr>
      <w:numPr>
        <w:ilvl w:val="0"/>
      </w:numPr>
      <w:tabs>
        <w:tab w:val="num" w:pos="360"/>
        <w:tab w:val="num" w:pos="720"/>
        <w:tab w:val="left" w:pos="851"/>
      </w:tabs>
      <w:ind w:left="720" w:hanging="720"/>
    </w:pPr>
  </w:style>
  <w:style w:type="paragraph" w:customStyle="1" w:styleId="Contentheading">
    <w:name w:val="Content heading"/>
    <w:basedOn w:val="Normal"/>
    <w:next w:val="Body"/>
    <w:rsid w:val="00102034"/>
    <w:pPr>
      <w:pageBreakBefore/>
      <w:framePr w:w="9072" w:vSpace="142" w:wrap="notBeside" w:vAnchor="text" w:hAnchor="text" w:y="7"/>
      <w:pBdr>
        <w:bottom w:val="single" w:sz="4" w:space="1" w:color="auto"/>
      </w:pBdr>
      <w:spacing w:after="2200" w:line="276" w:lineRule="auto"/>
    </w:pPr>
    <w:rPr>
      <w:rFonts w:ascii="Verdana" w:eastAsia="Times New Roman" w:hAnsi="Verdana" w:cs="Times New Roman"/>
      <w:sz w:val="40"/>
      <w:szCs w:val="40"/>
      <w:lang w:eastAsia="zh-CN"/>
    </w:rPr>
  </w:style>
  <w:style w:type="paragraph" w:customStyle="1" w:styleId="Contentpage">
    <w:name w:val="Content page"/>
    <w:basedOn w:val="Body"/>
    <w:rsid w:val="00102034"/>
    <w:pPr>
      <w:tabs>
        <w:tab w:val="clear" w:pos="1843"/>
        <w:tab w:val="clear" w:pos="3119"/>
        <w:tab w:val="clear" w:pos="4253"/>
        <w:tab w:val="right" w:pos="9072"/>
      </w:tabs>
    </w:pPr>
    <w:rPr>
      <w:b/>
    </w:rPr>
  </w:style>
  <w:style w:type="paragraph" w:customStyle="1" w:styleId="ExtraInfo">
    <w:name w:val="ExtraInfo"/>
    <w:basedOn w:val="Normal"/>
    <w:rsid w:val="00102034"/>
    <w:pPr>
      <w:framePr w:w="2206" w:h="919" w:hSpace="181" w:wrap="around" w:vAnchor="page" w:hAnchor="page" w:x="9385" w:y="211"/>
      <w:shd w:val="clear" w:color="auto" w:fill="FFFFFF"/>
      <w:spacing w:after="200" w:line="276" w:lineRule="auto"/>
    </w:pPr>
    <w:rPr>
      <w:rFonts w:ascii="Verdana" w:eastAsia="Times New Roman" w:hAnsi="Verdana" w:cs="Times New Roman"/>
      <w:sz w:val="14"/>
      <w:szCs w:val="14"/>
      <w:lang w:eastAsia="zh-CN"/>
    </w:rPr>
  </w:style>
  <w:style w:type="paragraph" w:customStyle="1" w:styleId="Body6">
    <w:name w:val="Body 6"/>
    <w:basedOn w:val="Body5"/>
    <w:rsid w:val="00102034"/>
    <w:pPr>
      <w:ind w:left="3686"/>
    </w:pPr>
  </w:style>
  <w:style w:type="paragraph" w:customStyle="1" w:styleId="Level7">
    <w:name w:val="Level 7"/>
    <w:basedOn w:val="Body7"/>
    <w:rsid w:val="00102034"/>
    <w:pPr>
      <w:ind w:left="1803" w:hanging="1083"/>
    </w:pPr>
  </w:style>
  <w:style w:type="paragraph" w:customStyle="1" w:styleId="Body7">
    <w:name w:val="Body 7"/>
    <w:basedOn w:val="Body6"/>
    <w:rsid w:val="00102034"/>
    <w:pPr>
      <w:ind w:left="4253"/>
    </w:pPr>
  </w:style>
  <w:style w:type="paragraph" w:customStyle="1" w:styleId="PartBanking">
    <w:name w:val="Part (Banking)"/>
    <w:basedOn w:val="Body"/>
    <w:rsid w:val="00102034"/>
    <w:pPr>
      <w:tabs>
        <w:tab w:val="num" w:pos="360"/>
        <w:tab w:val="num" w:pos="720"/>
      </w:tabs>
      <w:ind w:firstLine="567"/>
      <w:jc w:val="center"/>
    </w:pPr>
    <w:rPr>
      <w:b/>
    </w:rPr>
  </w:style>
  <w:style w:type="paragraph" w:customStyle="1" w:styleId="Section">
    <w:name w:val="Section"/>
    <w:basedOn w:val="Normal"/>
    <w:next w:val="Body"/>
    <w:rsid w:val="00102034"/>
    <w:pPr>
      <w:tabs>
        <w:tab w:val="num" w:pos="720"/>
      </w:tabs>
      <w:spacing w:after="200" w:line="480" w:lineRule="auto"/>
      <w:ind w:left="720" w:hanging="720"/>
      <w:jc w:val="center"/>
    </w:pPr>
    <w:rPr>
      <w:rFonts w:ascii="Verdana" w:eastAsia="Times New Roman" w:hAnsi="Verdana" w:cs="Times New Roman"/>
      <w:b/>
      <w:sz w:val="22"/>
      <w:szCs w:val="18"/>
      <w:lang w:eastAsia="zh-CN"/>
    </w:rPr>
  </w:style>
  <w:style w:type="character" w:customStyle="1" w:styleId="BodyChar">
    <w:name w:val="Body Char"/>
    <w:link w:val="Body"/>
    <w:rsid w:val="00102034"/>
    <w:rPr>
      <w:rFonts w:ascii="Verdana" w:eastAsia="Times New Roman" w:hAnsi="Verdana" w:cs="Times New Roman"/>
      <w:sz w:val="22"/>
      <w:szCs w:val="18"/>
      <w:lang w:eastAsia="zh-CN"/>
    </w:rPr>
  </w:style>
  <w:style w:type="paragraph" w:customStyle="1" w:styleId="Rule5">
    <w:name w:val="Rule 5"/>
    <w:basedOn w:val="Normal"/>
    <w:rsid w:val="00102034"/>
    <w:pPr>
      <w:tabs>
        <w:tab w:val="num" w:pos="3600"/>
      </w:tabs>
      <w:spacing w:after="200" w:line="276" w:lineRule="auto"/>
      <w:ind w:left="3600" w:hanging="720"/>
    </w:pPr>
    <w:rPr>
      <w:rFonts w:ascii="Verdana" w:eastAsia="Times New Roman" w:hAnsi="Verdana" w:cs="Times New Roman"/>
      <w:sz w:val="22"/>
      <w:szCs w:val="18"/>
      <w:lang w:eastAsia="zh-CN"/>
    </w:rPr>
  </w:style>
  <w:style w:type="character" w:customStyle="1" w:styleId="hit">
    <w:name w:val="hit"/>
    <w:basedOn w:val="DefaultParagraphFont"/>
    <w:rsid w:val="00102034"/>
  </w:style>
  <w:style w:type="paragraph" w:customStyle="1" w:styleId="Bodyindent">
    <w:name w:val="Body indent"/>
    <w:basedOn w:val="Body"/>
    <w:link w:val="BodyindentChar"/>
    <w:qFormat/>
    <w:rsid w:val="00102034"/>
    <w:pPr>
      <w:ind w:left="261" w:hanging="261"/>
    </w:pPr>
  </w:style>
  <w:style w:type="character" w:customStyle="1" w:styleId="BulletsChar">
    <w:name w:val="Bullets Char"/>
    <w:basedOn w:val="ListParagraphChar"/>
    <w:rsid w:val="00102034"/>
    <w:rPr>
      <w:rFonts w:ascii="Arial" w:hAnsi="Arial"/>
      <w:sz w:val="24"/>
      <w:szCs w:val="20"/>
    </w:rPr>
  </w:style>
  <w:style w:type="character" w:customStyle="1" w:styleId="BodyindentChar">
    <w:name w:val="Body indent Char"/>
    <w:basedOn w:val="BodyChar"/>
    <w:link w:val="Bodyindent"/>
    <w:rsid w:val="00102034"/>
    <w:rPr>
      <w:rFonts w:ascii="Verdana" w:eastAsia="Times New Roman" w:hAnsi="Verdana" w:cs="Times New Roman"/>
      <w:sz w:val="22"/>
      <w:szCs w:val="18"/>
      <w:lang w:eastAsia="zh-CN"/>
    </w:rPr>
  </w:style>
  <w:style w:type="paragraph" w:customStyle="1" w:styleId="NormalNumbered">
    <w:name w:val="Normal Numbered"/>
    <w:basedOn w:val="Normal"/>
    <w:link w:val="NormalNumberedChar"/>
    <w:qFormat/>
    <w:rsid w:val="00102034"/>
    <w:pPr>
      <w:tabs>
        <w:tab w:val="num" w:pos="720"/>
      </w:tabs>
      <w:spacing w:after="200" w:line="276" w:lineRule="auto"/>
      <w:ind w:left="454" w:hanging="454"/>
    </w:pPr>
    <w:rPr>
      <w:rFonts w:ascii="Verdana" w:eastAsia="Verdana" w:hAnsi="Verdana" w:cs="Verdana"/>
      <w:color w:val="000000"/>
      <w:sz w:val="22"/>
      <w:szCs w:val="22"/>
      <w:lang w:eastAsia="en-GB"/>
    </w:rPr>
  </w:style>
  <w:style w:type="character" w:customStyle="1" w:styleId="NormalNumberedChar">
    <w:name w:val="Normal Numbered Char"/>
    <w:basedOn w:val="DefaultParagraphFont"/>
    <w:link w:val="NormalNumbered"/>
    <w:rsid w:val="00102034"/>
    <w:rPr>
      <w:rFonts w:ascii="Verdana" w:eastAsia="Verdana" w:hAnsi="Verdana" w:cs="Verdana"/>
      <w:color w:val="000000"/>
      <w:sz w:val="22"/>
      <w:szCs w:val="22"/>
      <w:lang w:eastAsia="en-GB"/>
    </w:rPr>
  </w:style>
  <w:style w:type="character" w:customStyle="1" w:styleId="gmail-apple-tab-span">
    <w:name w:val="gmail-apple-tab-span"/>
    <w:basedOn w:val="DefaultParagraphFont"/>
    <w:rsid w:val="00102034"/>
  </w:style>
  <w:style w:type="numbering" w:customStyle="1" w:styleId="CurrentList1">
    <w:name w:val="Current List1"/>
    <w:uiPriority w:val="99"/>
    <w:rsid w:val="0047109F"/>
    <w:pPr>
      <w:numPr>
        <w:numId w:val="93"/>
      </w:numPr>
    </w:pPr>
  </w:style>
  <w:style w:type="character" w:customStyle="1" w:styleId="UnresolvedMention5">
    <w:name w:val="Unresolved Mention5"/>
    <w:basedOn w:val="DefaultParagraphFont"/>
    <w:uiPriority w:val="99"/>
    <w:semiHidden/>
    <w:unhideWhenUsed/>
    <w:rsid w:val="004E7DA4"/>
    <w:rPr>
      <w:color w:val="605E5C"/>
      <w:shd w:val="clear" w:color="auto" w:fill="E1DFDD"/>
    </w:rPr>
  </w:style>
  <w:style w:type="numbering" w:customStyle="1" w:styleId="CurrentList2">
    <w:name w:val="Current List2"/>
    <w:uiPriority w:val="99"/>
    <w:rsid w:val="000A6AA5"/>
    <w:pPr>
      <w:numPr>
        <w:numId w:val="113"/>
      </w:numPr>
    </w:pPr>
  </w:style>
  <w:style w:type="paragraph" w:customStyle="1" w:styleId="Numbered111aiA1">
    <w:name w:val="Numbered 1.1.1(a)(i)(A)(1)"/>
    <w:uiPriority w:val="99"/>
    <w:rsid w:val="004524CE"/>
    <w:pPr>
      <w:tabs>
        <w:tab w:val="num" w:pos="4683"/>
      </w:tabs>
      <w:ind w:left="4683" w:hanging="720"/>
    </w:pPr>
    <w:rPr>
      <w:rFonts w:eastAsia="Arial" w:cstheme="minorHAnsi"/>
      <w:lang w:bidi="en-US"/>
    </w:rPr>
  </w:style>
  <w:style w:type="numbering" w:customStyle="1" w:styleId="CurrentList3">
    <w:name w:val="Current List3"/>
    <w:uiPriority w:val="99"/>
    <w:rsid w:val="004412EC"/>
    <w:pPr>
      <w:numPr>
        <w:numId w:val="187"/>
      </w:numPr>
    </w:pPr>
  </w:style>
  <w:style w:type="paragraph" w:customStyle="1" w:styleId="Body20">
    <w:name w:val="Body2"/>
    <w:basedOn w:val="Normal"/>
    <w:rsid w:val="0029093D"/>
    <w:pPr>
      <w:spacing w:before="100" w:after="200"/>
      <w:ind w:left="1440"/>
    </w:pPr>
    <w:rPr>
      <w:rFonts w:eastAsia="Arial" w:cs="Times New Roman"/>
    </w:rPr>
  </w:style>
  <w:style w:type="paragraph" w:customStyle="1" w:styleId="Body30">
    <w:name w:val="Body3"/>
    <w:basedOn w:val="Normal"/>
    <w:rsid w:val="0029093D"/>
    <w:pPr>
      <w:spacing w:before="100" w:after="200"/>
      <w:ind w:left="2160"/>
    </w:pPr>
    <w:rPr>
      <w:rFonts w:eastAsia="Arial" w:cs="Times New Roman"/>
    </w:rPr>
  </w:style>
  <w:style w:type="paragraph" w:customStyle="1" w:styleId="Body50">
    <w:name w:val="Body5"/>
    <w:basedOn w:val="Body4"/>
    <w:qFormat/>
    <w:rsid w:val="0029093D"/>
    <w:pPr>
      <w:spacing w:before="100" w:after="200"/>
      <w:ind w:left="3960"/>
      <w:jc w:val="left"/>
    </w:pPr>
    <w:rPr>
      <w:rFonts w:ascii="Arial" w:eastAsia="Arial" w:hAnsi="Arial"/>
      <w:sz w:val="24"/>
      <w:lang w:eastAsia="en-US"/>
    </w:rPr>
  </w:style>
  <w:style w:type="paragraph" w:customStyle="1" w:styleId="Body60">
    <w:name w:val="Body6"/>
    <w:basedOn w:val="Body50"/>
    <w:qFormat/>
    <w:rsid w:val="0029093D"/>
    <w:pPr>
      <w:ind w:left="4680"/>
    </w:pPr>
  </w:style>
  <w:style w:type="paragraph" w:customStyle="1" w:styleId="Body70">
    <w:name w:val="Body7"/>
    <w:basedOn w:val="Body60"/>
    <w:qFormat/>
    <w:rsid w:val="0029093D"/>
    <w:pPr>
      <w:ind w:firstLine="720"/>
    </w:pPr>
  </w:style>
  <w:style w:type="paragraph" w:customStyle="1" w:styleId="DefinitionLevel1">
    <w:name w:val="Definition Level 1"/>
    <w:basedOn w:val="Normal"/>
    <w:qFormat/>
    <w:rsid w:val="0029093D"/>
    <w:pPr>
      <w:numPr>
        <w:numId w:val="200"/>
      </w:numPr>
      <w:spacing w:before="100" w:after="200"/>
    </w:pPr>
    <w:rPr>
      <w:rFonts w:eastAsia="Arial" w:cs="Times New Roman"/>
    </w:rPr>
  </w:style>
  <w:style w:type="paragraph" w:customStyle="1" w:styleId="DefinitionLevel2">
    <w:name w:val="Definition Level 2"/>
    <w:basedOn w:val="Normal"/>
    <w:qFormat/>
    <w:rsid w:val="0029093D"/>
    <w:pPr>
      <w:numPr>
        <w:ilvl w:val="1"/>
        <w:numId w:val="200"/>
      </w:numPr>
      <w:spacing w:before="100" w:after="200"/>
    </w:pPr>
    <w:rPr>
      <w:rFonts w:eastAsia="Arial" w:cs="Times New Roman"/>
    </w:rPr>
  </w:style>
  <w:style w:type="paragraph" w:customStyle="1" w:styleId="DefinitionLevel3">
    <w:name w:val="Definition Level 3"/>
    <w:basedOn w:val="Normal"/>
    <w:rsid w:val="0029093D"/>
    <w:pPr>
      <w:numPr>
        <w:ilvl w:val="2"/>
        <w:numId w:val="200"/>
      </w:numPr>
      <w:spacing w:before="100" w:after="200"/>
    </w:pPr>
    <w:rPr>
      <w:rFonts w:eastAsia="Arial" w:cs="Times New Roman"/>
    </w:rPr>
  </w:style>
  <w:style w:type="paragraph" w:customStyle="1" w:styleId="DefinitionLevel4">
    <w:name w:val="Definition Level 4"/>
    <w:basedOn w:val="Normal"/>
    <w:rsid w:val="0029093D"/>
    <w:pPr>
      <w:numPr>
        <w:ilvl w:val="3"/>
        <w:numId w:val="200"/>
      </w:numPr>
      <w:spacing w:before="100" w:after="200"/>
    </w:pPr>
    <w:rPr>
      <w:rFonts w:eastAsia="Arial" w:cs="Times New Roman"/>
    </w:rPr>
  </w:style>
  <w:style w:type="character" w:customStyle="1" w:styleId="FootnoteReference0">
    <w:name w:val="Footnote Reference."/>
    <w:semiHidden/>
    <w:rsid w:val="0029093D"/>
    <w:rPr>
      <w:rFonts w:ascii="Arial" w:hAnsi="Arial"/>
      <w:dstrike w:val="0"/>
      <w:sz w:val="16"/>
      <w:szCs w:val="16"/>
      <w:vertAlign w:val="superscript"/>
    </w:rPr>
  </w:style>
  <w:style w:type="paragraph" w:customStyle="1" w:styleId="Heading2Title">
    <w:name w:val="Heading 2 (Title)"/>
    <w:basedOn w:val="Heading2"/>
    <w:next w:val="Heading2"/>
    <w:rsid w:val="0029093D"/>
    <w:pPr>
      <w:keepLines w:val="0"/>
      <w:numPr>
        <w:ilvl w:val="1"/>
      </w:numPr>
      <w:tabs>
        <w:tab w:val="num" w:pos="1440"/>
      </w:tabs>
      <w:spacing w:before="100" w:after="200"/>
      <w:ind w:left="1440" w:hanging="720"/>
    </w:pPr>
    <w:rPr>
      <w:rFonts w:ascii="Arial Bold" w:eastAsia="Arial" w:hAnsi="Arial Bold" w:cs="Times New Roman"/>
      <w:bCs w:val="0"/>
      <w:color w:val="auto"/>
      <w:sz w:val="24"/>
      <w:szCs w:val="20"/>
    </w:rPr>
  </w:style>
  <w:style w:type="paragraph" w:customStyle="1" w:styleId="HeadingCHR">
    <w:name w:val="Heading CHR"/>
    <w:basedOn w:val="Normal"/>
    <w:qFormat/>
    <w:rsid w:val="0029093D"/>
    <w:pPr>
      <w:numPr>
        <w:numId w:val="201"/>
      </w:numPr>
      <w:spacing w:before="100" w:after="200"/>
    </w:pPr>
    <w:rPr>
      <w:rFonts w:eastAsia="Arial" w:cs="Times New Roman"/>
    </w:rPr>
  </w:style>
  <w:style w:type="paragraph" w:customStyle="1" w:styleId="HeadingNUM">
    <w:name w:val="Heading NUM"/>
    <w:basedOn w:val="Normal"/>
    <w:qFormat/>
    <w:rsid w:val="0029093D"/>
    <w:pPr>
      <w:numPr>
        <w:numId w:val="202"/>
      </w:numPr>
      <w:spacing w:before="100" w:after="200"/>
    </w:pPr>
    <w:rPr>
      <w:rFonts w:eastAsia="Arial" w:cs="Times New Roman"/>
    </w:rPr>
  </w:style>
  <w:style w:type="numbering" w:customStyle="1" w:styleId="Headings">
    <w:name w:val="Headings"/>
    <w:uiPriority w:val="99"/>
    <w:rsid w:val="0029093D"/>
    <w:pPr>
      <w:numPr>
        <w:numId w:val="203"/>
      </w:numPr>
    </w:pPr>
  </w:style>
  <w:style w:type="paragraph" w:customStyle="1" w:styleId="Indent1">
    <w:name w:val="Indent 1"/>
    <w:basedOn w:val="Normal"/>
    <w:semiHidden/>
    <w:rsid w:val="0029093D"/>
    <w:pPr>
      <w:spacing w:before="100" w:after="200"/>
      <w:ind w:left="720"/>
    </w:pPr>
    <w:rPr>
      <w:rFonts w:eastAsia="Arial" w:cs="Times New Roman"/>
    </w:rPr>
  </w:style>
  <w:style w:type="paragraph" w:customStyle="1" w:styleId="Indent2">
    <w:name w:val="Indent 2"/>
    <w:basedOn w:val="Indent1"/>
    <w:semiHidden/>
    <w:rsid w:val="0029093D"/>
  </w:style>
  <w:style w:type="paragraph" w:customStyle="1" w:styleId="Indent3">
    <w:name w:val="Indent 3"/>
    <w:basedOn w:val="Indent2"/>
    <w:semiHidden/>
    <w:rsid w:val="0029093D"/>
    <w:pPr>
      <w:ind w:left="1440"/>
    </w:pPr>
  </w:style>
  <w:style w:type="paragraph" w:customStyle="1" w:styleId="Indent4">
    <w:name w:val="Indent 4"/>
    <w:basedOn w:val="Indent3"/>
    <w:semiHidden/>
    <w:rsid w:val="0029093D"/>
    <w:pPr>
      <w:ind w:left="2160"/>
    </w:pPr>
  </w:style>
  <w:style w:type="paragraph" w:customStyle="1" w:styleId="Indent5">
    <w:name w:val="Indent 5"/>
    <w:basedOn w:val="Indent4"/>
    <w:semiHidden/>
    <w:rsid w:val="0029093D"/>
    <w:pPr>
      <w:ind w:left="2880"/>
    </w:pPr>
  </w:style>
  <w:style w:type="paragraph" w:customStyle="1" w:styleId="Indent6">
    <w:name w:val="Indent 6"/>
    <w:basedOn w:val="Indent5"/>
    <w:semiHidden/>
    <w:rsid w:val="0029093D"/>
    <w:pPr>
      <w:ind w:left="3600"/>
    </w:pPr>
  </w:style>
  <w:style w:type="paragraph" w:customStyle="1" w:styleId="lnpartno">
    <w:name w:val="lnpartno"/>
    <w:basedOn w:val="Normal"/>
    <w:next w:val="NoSpacing"/>
    <w:semiHidden/>
    <w:qFormat/>
    <w:rsid w:val="0029093D"/>
    <w:pPr>
      <w:numPr>
        <w:numId w:val="204"/>
      </w:numPr>
      <w:spacing w:before="100" w:after="200"/>
    </w:pPr>
    <w:rPr>
      <w:rFonts w:eastAsia="Arial" w:cs="Times New Roman"/>
      <w:szCs w:val="18"/>
    </w:rPr>
  </w:style>
  <w:style w:type="numbering" w:customStyle="1" w:styleId="lnpartnum">
    <w:name w:val="lnpartnum"/>
    <w:uiPriority w:val="99"/>
    <w:rsid w:val="0029093D"/>
    <w:pPr>
      <w:numPr>
        <w:numId w:val="205"/>
      </w:numPr>
    </w:pPr>
  </w:style>
  <w:style w:type="paragraph" w:customStyle="1" w:styleId="lnschedno">
    <w:name w:val="lnschedno"/>
    <w:basedOn w:val="Normal"/>
    <w:next w:val="Normal"/>
    <w:semiHidden/>
    <w:rsid w:val="0029093D"/>
    <w:pPr>
      <w:numPr>
        <w:numId w:val="206"/>
      </w:numPr>
      <w:spacing w:before="100" w:after="200"/>
    </w:pPr>
    <w:rPr>
      <w:rFonts w:eastAsia="Arial" w:cs="Times New Roman"/>
    </w:rPr>
  </w:style>
  <w:style w:type="paragraph" w:customStyle="1" w:styleId="NumberingLevel1">
    <w:name w:val="Numbering Level 1"/>
    <w:basedOn w:val="Normal"/>
    <w:rsid w:val="0029093D"/>
    <w:pPr>
      <w:numPr>
        <w:numId w:val="207"/>
      </w:numPr>
      <w:spacing w:before="100" w:after="200"/>
    </w:pPr>
    <w:rPr>
      <w:rFonts w:eastAsia="Arial" w:cs="Times New Roman"/>
    </w:rPr>
  </w:style>
  <w:style w:type="paragraph" w:customStyle="1" w:styleId="NumberingLevel2">
    <w:name w:val="Numbering Level 2"/>
    <w:basedOn w:val="Normal"/>
    <w:rsid w:val="0029093D"/>
    <w:pPr>
      <w:numPr>
        <w:ilvl w:val="1"/>
        <w:numId w:val="207"/>
      </w:numPr>
      <w:spacing w:before="100" w:after="200"/>
    </w:pPr>
    <w:rPr>
      <w:rFonts w:eastAsia="Arial" w:cs="Times New Roman"/>
    </w:rPr>
  </w:style>
  <w:style w:type="paragraph" w:customStyle="1" w:styleId="NumberingLevel3">
    <w:name w:val="Numbering Level 3"/>
    <w:basedOn w:val="Normal"/>
    <w:rsid w:val="0029093D"/>
    <w:pPr>
      <w:numPr>
        <w:ilvl w:val="2"/>
        <w:numId w:val="207"/>
      </w:numPr>
      <w:spacing w:before="100" w:after="200"/>
    </w:pPr>
    <w:rPr>
      <w:rFonts w:eastAsia="Arial" w:cs="Times New Roman"/>
    </w:rPr>
  </w:style>
  <w:style w:type="paragraph" w:customStyle="1" w:styleId="NumberingLevel4">
    <w:name w:val="Numbering Level 4"/>
    <w:basedOn w:val="Normal"/>
    <w:rsid w:val="0029093D"/>
    <w:pPr>
      <w:numPr>
        <w:ilvl w:val="3"/>
        <w:numId w:val="207"/>
      </w:numPr>
      <w:spacing w:before="100" w:after="200"/>
    </w:pPr>
    <w:rPr>
      <w:rFonts w:eastAsia="Arial" w:cs="Times New Roman"/>
    </w:rPr>
  </w:style>
  <w:style w:type="paragraph" w:customStyle="1" w:styleId="NumberingLevel5">
    <w:name w:val="Numbering Level 5"/>
    <w:basedOn w:val="Normal"/>
    <w:rsid w:val="0029093D"/>
    <w:pPr>
      <w:numPr>
        <w:ilvl w:val="4"/>
        <w:numId w:val="207"/>
      </w:numPr>
      <w:spacing w:before="100" w:after="200"/>
    </w:pPr>
    <w:rPr>
      <w:rFonts w:eastAsia="Arial" w:cs="Times New Roman"/>
    </w:rPr>
  </w:style>
  <w:style w:type="paragraph" w:customStyle="1" w:styleId="NumberingLevel6">
    <w:name w:val="Numbering Level 6"/>
    <w:basedOn w:val="Normal"/>
    <w:rsid w:val="0029093D"/>
    <w:pPr>
      <w:numPr>
        <w:ilvl w:val="5"/>
        <w:numId w:val="207"/>
      </w:numPr>
      <w:spacing w:before="100" w:after="200"/>
    </w:pPr>
    <w:rPr>
      <w:rFonts w:eastAsia="Arial" w:cs="Times New Roman"/>
    </w:rPr>
  </w:style>
  <w:style w:type="paragraph" w:customStyle="1" w:styleId="NumberingLevel7">
    <w:name w:val="Numbering Level 7"/>
    <w:basedOn w:val="Normal"/>
    <w:rsid w:val="0029093D"/>
    <w:pPr>
      <w:numPr>
        <w:ilvl w:val="6"/>
        <w:numId w:val="207"/>
      </w:numPr>
      <w:spacing w:before="100" w:after="200"/>
    </w:pPr>
    <w:rPr>
      <w:rFonts w:eastAsia="Arial" w:cs="Times New Roman"/>
    </w:rPr>
  </w:style>
  <w:style w:type="paragraph" w:customStyle="1" w:styleId="ScheduleLevel1">
    <w:name w:val="Schedule Level 1"/>
    <w:basedOn w:val="Normal"/>
    <w:rsid w:val="0029093D"/>
    <w:pPr>
      <w:numPr>
        <w:numId w:val="208"/>
      </w:numPr>
      <w:spacing w:before="100" w:after="200"/>
    </w:pPr>
    <w:rPr>
      <w:rFonts w:eastAsia="Arial" w:cs="Times New Roman"/>
    </w:rPr>
  </w:style>
  <w:style w:type="paragraph" w:customStyle="1" w:styleId="ScheduleLevel2">
    <w:name w:val="Schedule Level 2"/>
    <w:basedOn w:val="Normal"/>
    <w:rsid w:val="0029093D"/>
    <w:pPr>
      <w:numPr>
        <w:ilvl w:val="1"/>
        <w:numId w:val="208"/>
      </w:numPr>
      <w:spacing w:before="100" w:after="200"/>
    </w:pPr>
    <w:rPr>
      <w:rFonts w:eastAsia="Arial" w:cs="Times New Roman"/>
    </w:rPr>
  </w:style>
  <w:style w:type="paragraph" w:customStyle="1" w:styleId="ScheduleLevel3">
    <w:name w:val="Schedule Level 3"/>
    <w:basedOn w:val="Normal"/>
    <w:rsid w:val="0029093D"/>
    <w:pPr>
      <w:numPr>
        <w:ilvl w:val="2"/>
        <w:numId w:val="208"/>
      </w:numPr>
      <w:spacing w:before="100" w:after="200"/>
    </w:pPr>
    <w:rPr>
      <w:rFonts w:eastAsia="Arial" w:cs="Times New Roman"/>
    </w:rPr>
  </w:style>
  <w:style w:type="paragraph" w:customStyle="1" w:styleId="ScheduleLevel4">
    <w:name w:val="Schedule Level 4"/>
    <w:basedOn w:val="Normal"/>
    <w:rsid w:val="0029093D"/>
    <w:pPr>
      <w:numPr>
        <w:ilvl w:val="3"/>
        <w:numId w:val="208"/>
      </w:numPr>
      <w:spacing w:before="100" w:after="200"/>
    </w:pPr>
    <w:rPr>
      <w:rFonts w:eastAsia="Arial" w:cs="Times New Roman"/>
    </w:rPr>
  </w:style>
  <w:style w:type="paragraph" w:customStyle="1" w:styleId="ScheduleLevel5">
    <w:name w:val="Schedule Level 5"/>
    <w:basedOn w:val="Normal"/>
    <w:rsid w:val="0029093D"/>
    <w:pPr>
      <w:numPr>
        <w:ilvl w:val="4"/>
        <w:numId w:val="208"/>
      </w:numPr>
      <w:spacing w:before="100" w:after="200"/>
    </w:pPr>
    <w:rPr>
      <w:rFonts w:eastAsia="Arial" w:cs="Times New Roman"/>
    </w:rPr>
  </w:style>
  <w:style w:type="paragraph" w:customStyle="1" w:styleId="ScheduleLevel6">
    <w:name w:val="Schedule Level 6"/>
    <w:basedOn w:val="Normal"/>
    <w:rsid w:val="0029093D"/>
    <w:pPr>
      <w:numPr>
        <w:ilvl w:val="5"/>
        <w:numId w:val="208"/>
      </w:numPr>
      <w:spacing w:before="100" w:after="200"/>
    </w:pPr>
    <w:rPr>
      <w:rFonts w:eastAsia="Arial" w:cs="Times New Roman"/>
    </w:rPr>
  </w:style>
  <w:style w:type="paragraph" w:customStyle="1" w:styleId="ScheduleLevel7">
    <w:name w:val="Schedule Level 7"/>
    <w:basedOn w:val="Normal"/>
    <w:rsid w:val="0029093D"/>
    <w:pPr>
      <w:numPr>
        <w:ilvl w:val="6"/>
        <w:numId w:val="208"/>
      </w:numPr>
      <w:spacing w:before="100" w:after="200"/>
    </w:pPr>
    <w:rPr>
      <w:rFonts w:eastAsia="Arial" w:cs="Times New Roman"/>
    </w:rPr>
  </w:style>
  <w:style w:type="numbering" w:customStyle="1" w:styleId="ScheduleNumbering">
    <w:name w:val="Schedule Numbering"/>
    <w:basedOn w:val="NoList"/>
    <w:rsid w:val="0029093D"/>
    <w:pPr>
      <w:numPr>
        <w:numId w:val="208"/>
      </w:numPr>
    </w:pPr>
  </w:style>
  <w:style w:type="character" w:customStyle="1" w:styleId="UnresolvedMention6">
    <w:name w:val="Unresolved Mention6"/>
    <w:uiPriority w:val="99"/>
    <w:semiHidden/>
    <w:unhideWhenUsed/>
    <w:rsid w:val="0029093D"/>
    <w:rPr>
      <w:color w:val="605E5C"/>
      <w:shd w:val="clear" w:color="auto" w:fill="E1DFDD"/>
    </w:rPr>
  </w:style>
  <w:style w:type="paragraph" w:customStyle="1" w:styleId="Default">
    <w:name w:val="Default"/>
    <w:rsid w:val="003D75D9"/>
    <w:pPr>
      <w:autoSpaceDE w:val="0"/>
      <w:autoSpaceDN w:val="0"/>
      <w:adjustRightInd w:val="0"/>
    </w:pPr>
    <w:rPr>
      <w:rFonts w:ascii="Arial" w:hAnsi="Arial" w:cs="Arial"/>
      <w:color w:val="000000"/>
    </w:rPr>
  </w:style>
  <w:style w:type="paragraph" w:customStyle="1" w:styleId="Style1">
    <w:name w:val="Style1"/>
    <w:basedOn w:val="Normal"/>
    <w:link w:val="Style1Char"/>
    <w:qFormat/>
    <w:rsid w:val="00210D95"/>
    <w:pPr>
      <w:tabs>
        <w:tab w:val="num" w:pos="720"/>
      </w:tabs>
      <w:spacing w:after="240"/>
      <w:ind w:left="720" w:hanging="720"/>
      <w:jc w:val="both"/>
      <w:outlineLvl w:val="0"/>
    </w:pPr>
    <w:rPr>
      <w:rFonts w:eastAsia="Times New Roman" w:cs="Arial"/>
      <w:b/>
      <w:sz w:val="20"/>
      <w:lang w:val="en-US"/>
    </w:rPr>
  </w:style>
  <w:style w:type="paragraph" w:customStyle="1" w:styleId="Style2">
    <w:name w:val="Style2"/>
    <w:basedOn w:val="Normal"/>
    <w:link w:val="Style2Char"/>
    <w:qFormat/>
    <w:rsid w:val="00210D95"/>
    <w:pPr>
      <w:numPr>
        <w:ilvl w:val="1"/>
        <w:numId w:val="258"/>
      </w:numPr>
      <w:tabs>
        <w:tab w:val="clear" w:pos="1440"/>
        <w:tab w:val="num" w:pos="1260"/>
      </w:tabs>
      <w:spacing w:after="240"/>
      <w:ind w:left="1260" w:hanging="540"/>
      <w:jc w:val="both"/>
      <w:outlineLvl w:val="1"/>
    </w:pPr>
    <w:rPr>
      <w:rFonts w:eastAsia="Times New Roman" w:cs="Arial"/>
      <w:sz w:val="20"/>
      <w:lang w:val="en-US"/>
    </w:rPr>
  </w:style>
  <w:style w:type="character" w:customStyle="1" w:styleId="Style1Char">
    <w:name w:val="Style1 Char"/>
    <w:basedOn w:val="DefaultParagraphFont"/>
    <w:link w:val="Style1"/>
    <w:rsid w:val="00210D95"/>
    <w:rPr>
      <w:rFonts w:ascii="Arial" w:eastAsia="Times New Roman" w:hAnsi="Arial" w:cs="Arial"/>
      <w:b/>
      <w:sz w:val="20"/>
      <w:szCs w:val="20"/>
      <w:lang w:val="en-US"/>
    </w:rPr>
  </w:style>
  <w:style w:type="character" w:customStyle="1" w:styleId="Style2Char">
    <w:name w:val="Style2 Char"/>
    <w:basedOn w:val="DefaultParagraphFont"/>
    <w:link w:val="Style2"/>
    <w:rsid w:val="00210D95"/>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6197">
      <w:bodyDiv w:val="1"/>
      <w:marLeft w:val="0"/>
      <w:marRight w:val="0"/>
      <w:marTop w:val="0"/>
      <w:marBottom w:val="0"/>
      <w:divBdr>
        <w:top w:val="none" w:sz="0" w:space="0" w:color="auto"/>
        <w:left w:val="none" w:sz="0" w:space="0" w:color="auto"/>
        <w:bottom w:val="none" w:sz="0" w:space="0" w:color="auto"/>
        <w:right w:val="none" w:sz="0" w:space="0" w:color="auto"/>
      </w:divBdr>
    </w:div>
    <w:div w:id="297299794">
      <w:bodyDiv w:val="1"/>
      <w:marLeft w:val="0"/>
      <w:marRight w:val="0"/>
      <w:marTop w:val="0"/>
      <w:marBottom w:val="0"/>
      <w:divBdr>
        <w:top w:val="none" w:sz="0" w:space="0" w:color="auto"/>
        <w:left w:val="none" w:sz="0" w:space="0" w:color="auto"/>
        <w:bottom w:val="none" w:sz="0" w:space="0" w:color="auto"/>
        <w:right w:val="none" w:sz="0" w:space="0" w:color="auto"/>
      </w:divBdr>
    </w:div>
    <w:div w:id="662243360">
      <w:bodyDiv w:val="1"/>
      <w:marLeft w:val="0"/>
      <w:marRight w:val="0"/>
      <w:marTop w:val="0"/>
      <w:marBottom w:val="0"/>
      <w:divBdr>
        <w:top w:val="none" w:sz="0" w:space="0" w:color="auto"/>
        <w:left w:val="none" w:sz="0" w:space="0" w:color="auto"/>
        <w:bottom w:val="none" w:sz="0" w:space="0" w:color="auto"/>
        <w:right w:val="none" w:sz="0" w:space="0" w:color="auto"/>
      </w:divBdr>
    </w:div>
    <w:div w:id="670792364">
      <w:bodyDiv w:val="1"/>
      <w:marLeft w:val="0"/>
      <w:marRight w:val="0"/>
      <w:marTop w:val="0"/>
      <w:marBottom w:val="0"/>
      <w:divBdr>
        <w:top w:val="none" w:sz="0" w:space="0" w:color="auto"/>
        <w:left w:val="none" w:sz="0" w:space="0" w:color="auto"/>
        <w:bottom w:val="none" w:sz="0" w:space="0" w:color="auto"/>
        <w:right w:val="none" w:sz="0" w:space="0" w:color="auto"/>
      </w:divBdr>
    </w:div>
    <w:div w:id="1094133911">
      <w:bodyDiv w:val="1"/>
      <w:marLeft w:val="0"/>
      <w:marRight w:val="0"/>
      <w:marTop w:val="0"/>
      <w:marBottom w:val="0"/>
      <w:divBdr>
        <w:top w:val="none" w:sz="0" w:space="0" w:color="auto"/>
        <w:left w:val="none" w:sz="0" w:space="0" w:color="auto"/>
        <w:bottom w:val="none" w:sz="0" w:space="0" w:color="auto"/>
        <w:right w:val="none" w:sz="0" w:space="0" w:color="auto"/>
      </w:divBdr>
    </w:div>
    <w:div w:id="1177767992">
      <w:bodyDiv w:val="1"/>
      <w:marLeft w:val="0"/>
      <w:marRight w:val="0"/>
      <w:marTop w:val="0"/>
      <w:marBottom w:val="0"/>
      <w:divBdr>
        <w:top w:val="none" w:sz="0" w:space="0" w:color="auto"/>
        <w:left w:val="none" w:sz="0" w:space="0" w:color="auto"/>
        <w:bottom w:val="none" w:sz="0" w:space="0" w:color="auto"/>
        <w:right w:val="none" w:sz="0" w:space="0" w:color="auto"/>
      </w:divBdr>
    </w:div>
    <w:div w:id="1495756752">
      <w:bodyDiv w:val="1"/>
      <w:marLeft w:val="0"/>
      <w:marRight w:val="0"/>
      <w:marTop w:val="0"/>
      <w:marBottom w:val="0"/>
      <w:divBdr>
        <w:top w:val="none" w:sz="0" w:space="0" w:color="auto"/>
        <w:left w:val="none" w:sz="0" w:space="0" w:color="auto"/>
        <w:bottom w:val="none" w:sz="0" w:space="0" w:color="auto"/>
        <w:right w:val="none" w:sz="0" w:space="0" w:color="auto"/>
      </w:divBdr>
    </w:div>
    <w:div w:id="1595631689">
      <w:bodyDiv w:val="1"/>
      <w:marLeft w:val="0"/>
      <w:marRight w:val="0"/>
      <w:marTop w:val="0"/>
      <w:marBottom w:val="0"/>
      <w:divBdr>
        <w:top w:val="none" w:sz="0" w:space="0" w:color="auto"/>
        <w:left w:val="none" w:sz="0" w:space="0" w:color="auto"/>
        <w:bottom w:val="none" w:sz="0" w:space="0" w:color="auto"/>
        <w:right w:val="none" w:sz="0" w:space="0" w:color="auto"/>
      </w:divBdr>
    </w:div>
    <w:div w:id="1767965121">
      <w:bodyDiv w:val="1"/>
      <w:marLeft w:val="0"/>
      <w:marRight w:val="0"/>
      <w:marTop w:val="0"/>
      <w:marBottom w:val="0"/>
      <w:divBdr>
        <w:top w:val="none" w:sz="0" w:space="0" w:color="auto"/>
        <w:left w:val="none" w:sz="0" w:space="0" w:color="auto"/>
        <w:bottom w:val="none" w:sz="0" w:space="0" w:color="auto"/>
        <w:right w:val="none" w:sz="0" w:space="0" w:color="auto"/>
      </w:divBdr>
    </w:div>
    <w:div w:id="196040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footer" Target="footer42.xml"/><Relationship Id="rId21" Type="http://schemas.openxmlformats.org/officeDocument/2006/relationships/hyperlink" Target="https://www.gov.uk/government/publications/strategic-suppliers" TargetMode="External"/><Relationship Id="rId42" Type="http://schemas.openxmlformats.org/officeDocument/2006/relationships/hyperlink" Target="https://www.gov.uk/government/collections/sustainable-procurement-the-government-buying-standards-gbs" TargetMode="External"/><Relationship Id="rId47" Type="http://schemas.openxmlformats.org/officeDocument/2006/relationships/footer" Target="footer13.xml"/><Relationship Id="rId63" Type="http://schemas.openxmlformats.org/officeDocument/2006/relationships/footer" Target="footer15.xml"/><Relationship Id="rId68" Type="http://schemas.openxmlformats.org/officeDocument/2006/relationships/header" Target="header16.xml"/><Relationship Id="rId84" Type="http://schemas.openxmlformats.org/officeDocument/2006/relationships/header" Target="header26.xml"/><Relationship Id="rId89" Type="http://schemas.openxmlformats.org/officeDocument/2006/relationships/footer" Target="footer25.xml"/><Relationship Id="rId112" Type="http://schemas.openxmlformats.org/officeDocument/2006/relationships/header" Target="header38.xml"/><Relationship Id="rId133" Type="http://schemas.openxmlformats.org/officeDocument/2006/relationships/footer" Target="footer51.xml"/><Relationship Id="rId138" Type="http://schemas.openxmlformats.org/officeDocument/2006/relationships/footer" Target="footer54.xml"/><Relationship Id="rId154" Type="http://schemas.openxmlformats.org/officeDocument/2006/relationships/footer" Target="footer62.xml"/><Relationship Id="rId159" Type="http://schemas.openxmlformats.org/officeDocument/2006/relationships/footer" Target="footer65.xml"/><Relationship Id="rId175" Type="http://schemas.openxmlformats.org/officeDocument/2006/relationships/footer" Target="footer73.xml"/><Relationship Id="rId170" Type="http://schemas.openxmlformats.org/officeDocument/2006/relationships/header" Target="header61.xml"/><Relationship Id="rId16" Type="http://schemas.openxmlformats.org/officeDocument/2006/relationships/header" Target="header3.xml"/><Relationship Id="rId107" Type="http://schemas.openxmlformats.org/officeDocument/2006/relationships/footer" Target="footer34.xml"/><Relationship Id="rId11" Type="http://schemas.openxmlformats.org/officeDocument/2006/relationships/image" Target="media/image2.png"/><Relationship Id="rId32" Type="http://schemas.openxmlformats.org/officeDocument/2006/relationships/header" Target="header8.xml"/><Relationship Id="rId37" Type="http://schemas.openxmlformats.org/officeDocument/2006/relationships/hyperlink" Target="http://standards.data.gov.uk/" TargetMode="External"/><Relationship Id="rId53" Type="http://schemas.openxmlformats.org/officeDocument/2006/relationships/hyperlink" Target="https://www.ncsc.gov.uk/collection/cyber-security-design-principles" TargetMode="External"/><Relationship Id="rId58" Type="http://schemas.openxmlformats.org/officeDocument/2006/relationships/footer" Target="footer14.xml"/><Relationship Id="rId74" Type="http://schemas.openxmlformats.org/officeDocument/2006/relationships/header" Target="header20.xml"/><Relationship Id="rId79" Type="http://schemas.openxmlformats.org/officeDocument/2006/relationships/header" Target="header23.xml"/><Relationship Id="rId102" Type="http://schemas.openxmlformats.org/officeDocument/2006/relationships/header" Target="header35.xml"/><Relationship Id="rId123" Type="http://schemas.openxmlformats.org/officeDocument/2006/relationships/footer" Target="footer46.xml"/><Relationship Id="rId128" Type="http://schemas.openxmlformats.org/officeDocument/2006/relationships/header" Target="header44.xml"/><Relationship Id="rId144" Type="http://schemas.openxmlformats.org/officeDocument/2006/relationships/footer" Target="footer57.xml"/><Relationship Id="rId149" Type="http://schemas.openxmlformats.org/officeDocument/2006/relationships/footer" Target="footer60.xml"/><Relationship Id="rId5" Type="http://schemas.openxmlformats.org/officeDocument/2006/relationships/styles" Target="styles.xml"/><Relationship Id="rId90" Type="http://schemas.openxmlformats.org/officeDocument/2006/relationships/header" Target="header29.xml"/><Relationship Id="rId95" Type="http://schemas.openxmlformats.org/officeDocument/2006/relationships/footer" Target="footer28.xml"/><Relationship Id="rId160" Type="http://schemas.openxmlformats.org/officeDocument/2006/relationships/footer" Target="footer66.xml"/><Relationship Id="rId165" Type="http://schemas.openxmlformats.org/officeDocument/2006/relationships/footer" Target="footer69.xml"/><Relationship Id="rId22" Type="http://schemas.openxmlformats.org/officeDocument/2006/relationships/header" Target="header4.xml"/><Relationship Id="rId27" Type="http://schemas.openxmlformats.org/officeDocument/2006/relationships/footer" Target="footer5.xml"/><Relationship Id="rId43" Type="http://schemas.openxmlformats.org/officeDocument/2006/relationships/hyperlink" Target="https://assets.publishing.service.gov.uk/government/uploads/system/uploads/attachment_data/file/1163536/Supplier_Code_of_Conduct_v3.pdf" TargetMode="External"/><Relationship Id="rId48" Type="http://schemas.openxmlformats.org/officeDocument/2006/relationships/hyperlink" Target="https://www.ncsc.gov.uk/collection/caf/cyber-assessment-framework" TargetMode="External"/><Relationship Id="rId64" Type="http://schemas.openxmlformats.org/officeDocument/2006/relationships/header" Target="header14.xml"/><Relationship Id="rId69" Type="http://schemas.openxmlformats.org/officeDocument/2006/relationships/header" Target="header17.xml"/><Relationship Id="rId113" Type="http://schemas.openxmlformats.org/officeDocument/2006/relationships/footer" Target="footer39.xml"/><Relationship Id="rId118" Type="http://schemas.openxmlformats.org/officeDocument/2006/relationships/header" Target="header40.xml"/><Relationship Id="rId134" Type="http://schemas.openxmlformats.org/officeDocument/2006/relationships/header" Target="header47.xml"/><Relationship Id="rId139" Type="http://schemas.openxmlformats.org/officeDocument/2006/relationships/header" Target="header49.xml"/><Relationship Id="rId80" Type="http://schemas.openxmlformats.org/officeDocument/2006/relationships/footer" Target="footer21.xml"/><Relationship Id="rId85" Type="http://schemas.openxmlformats.org/officeDocument/2006/relationships/footer" Target="footer23.xml"/><Relationship Id="rId150" Type="http://schemas.openxmlformats.org/officeDocument/2006/relationships/header" Target="header54.xml"/><Relationship Id="rId155" Type="http://schemas.openxmlformats.org/officeDocument/2006/relationships/footer" Target="footer63.xml"/><Relationship Id="rId171" Type="http://schemas.openxmlformats.org/officeDocument/2006/relationships/header" Target="header62.xml"/><Relationship Id="rId176" Type="http://schemas.openxmlformats.org/officeDocument/2006/relationships/header" Target="header64.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footer" Target="footer8.xml"/><Relationship Id="rId38" Type="http://schemas.openxmlformats.org/officeDocument/2006/relationships/hyperlink" Target="https://www.gov.uk/service-manual/technology/code-of-practice.html" TargetMode="External"/><Relationship Id="rId59" Type="http://schemas.openxmlformats.org/officeDocument/2006/relationships/hyperlink" Target="https://www.gov.uk/guidance/securing-government-email" TargetMode="External"/><Relationship Id="rId103" Type="http://schemas.openxmlformats.org/officeDocument/2006/relationships/footer" Target="footer32.xml"/><Relationship Id="rId108" Type="http://schemas.openxmlformats.org/officeDocument/2006/relationships/footer" Target="footer35.xml"/><Relationship Id="rId124" Type="http://schemas.openxmlformats.org/officeDocument/2006/relationships/header" Target="header42.xml"/><Relationship Id="rId129" Type="http://schemas.openxmlformats.org/officeDocument/2006/relationships/footer" Target="footer49.xml"/><Relationship Id="rId54" Type="http://schemas.openxmlformats.org/officeDocument/2006/relationships/hyperlink" Target="https://owasp.org/www-project-secure-coding-practices-quick-reference-guide/" TargetMode="External"/><Relationship Id="rId70" Type="http://schemas.openxmlformats.org/officeDocument/2006/relationships/footer" Target="footer17.xml"/><Relationship Id="rId75" Type="http://schemas.openxmlformats.org/officeDocument/2006/relationships/footer" Target="footer19.xml"/><Relationship Id="rId91" Type="http://schemas.openxmlformats.org/officeDocument/2006/relationships/footer" Target="footer26.xml"/><Relationship Id="rId96" Type="http://schemas.openxmlformats.org/officeDocument/2006/relationships/header" Target="header32.xml"/><Relationship Id="rId140" Type="http://schemas.openxmlformats.org/officeDocument/2006/relationships/header" Target="header50.xml"/><Relationship Id="rId145" Type="http://schemas.openxmlformats.org/officeDocument/2006/relationships/header" Target="header52.xml"/><Relationship Id="rId161" Type="http://schemas.openxmlformats.org/officeDocument/2006/relationships/header" Target="header58.xml"/><Relationship Id="rId166" Type="http://schemas.openxmlformats.org/officeDocument/2006/relationships/hyperlink" Target="https://www.civilservicejobs.service.gov.uk/csr/index.cgi?pageclass=StandardMessage&amp;display=privacy" TargetMode="External"/><Relationship Id="rId187"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footer" Target="footer4.xml"/><Relationship Id="rId28" Type="http://schemas.openxmlformats.org/officeDocument/2006/relationships/header" Target="header6.xml"/><Relationship Id="rId49" Type="http://schemas.openxmlformats.org/officeDocument/2006/relationships/hyperlink" Target="https://assets.publishing.service.gov.uk/government/uploads/system/uploads/attachment_data/file/714002/HMG_Baseline_Personnel_Security_Standard_-_May_2018.pdf" TargetMode="External"/><Relationship Id="rId114" Type="http://schemas.openxmlformats.org/officeDocument/2006/relationships/footer" Target="footer40.xml"/><Relationship Id="rId119" Type="http://schemas.openxmlformats.org/officeDocument/2006/relationships/footer" Target="footer43.xml"/><Relationship Id="rId10" Type="http://schemas.openxmlformats.org/officeDocument/2006/relationships/image" Target="media/image1.png"/><Relationship Id="rId31" Type="http://schemas.openxmlformats.org/officeDocument/2006/relationships/footer" Target="footer7.xml"/><Relationship Id="rId44" Type="http://schemas.openxmlformats.org/officeDocument/2006/relationships/header" Target="header9.xml"/><Relationship Id="rId52" Type="http://schemas.openxmlformats.org/officeDocument/2006/relationships/hyperlink" Target="https://www.ncsc.gov.uk/information/keeping-bulk-personal-data-safe" TargetMode="External"/><Relationship Id="rId60" Type="http://schemas.openxmlformats.org/officeDocument/2006/relationships/hyperlink" Target="https://www.ncsc.gov.uk/collection/email-security-and-anti-spoofing" TargetMode="External"/><Relationship Id="rId65" Type="http://schemas.openxmlformats.org/officeDocument/2006/relationships/footer" Target="footer16.xml"/><Relationship Id="rId73" Type="http://schemas.openxmlformats.org/officeDocument/2006/relationships/header" Target="header19.xml"/><Relationship Id="rId78" Type="http://schemas.openxmlformats.org/officeDocument/2006/relationships/header" Target="header22.xml"/><Relationship Id="rId81" Type="http://schemas.openxmlformats.org/officeDocument/2006/relationships/header" Target="header24.xml"/><Relationship Id="rId86" Type="http://schemas.openxmlformats.org/officeDocument/2006/relationships/header" Target="header27.xml"/><Relationship Id="rId94" Type="http://schemas.openxmlformats.org/officeDocument/2006/relationships/header" Target="header31.xml"/><Relationship Id="rId99" Type="http://schemas.openxmlformats.org/officeDocument/2006/relationships/footer" Target="footer30.xml"/><Relationship Id="rId101" Type="http://schemas.openxmlformats.org/officeDocument/2006/relationships/footer" Target="footer31.xml"/><Relationship Id="rId122" Type="http://schemas.openxmlformats.org/officeDocument/2006/relationships/footer" Target="footer45.xml"/><Relationship Id="rId130" Type="http://schemas.openxmlformats.org/officeDocument/2006/relationships/header" Target="header45.xml"/><Relationship Id="rId135" Type="http://schemas.openxmlformats.org/officeDocument/2006/relationships/footer" Target="footer52.xml"/><Relationship Id="rId143" Type="http://schemas.openxmlformats.org/officeDocument/2006/relationships/header" Target="header51.xml"/><Relationship Id="rId148" Type="http://schemas.openxmlformats.org/officeDocument/2006/relationships/header" Target="header53.xml"/><Relationship Id="rId151" Type="http://schemas.openxmlformats.org/officeDocument/2006/relationships/footer" Target="footer61.xml"/><Relationship Id="rId156" Type="http://schemas.openxmlformats.org/officeDocument/2006/relationships/header" Target="header56.xml"/><Relationship Id="rId164" Type="http://schemas.openxmlformats.org/officeDocument/2006/relationships/header" Target="header59.xml"/><Relationship Id="rId169" Type="http://schemas.openxmlformats.org/officeDocument/2006/relationships/footer" Target="footer70.xml"/><Relationship Id="rId177" Type="http://schemas.openxmlformats.org/officeDocument/2006/relationships/footer" Target="footer74.xml"/><Relationship Id="rId4" Type="http://schemas.openxmlformats.org/officeDocument/2006/relationships/numbering" Target="numbering.xml"/><Relationship Id="rId9" Type="http://schemas.openxmlformats.org/officeDocument/2006/relationships/endnotes" Target="endnotes.xml"/><Relationship Id="rId172" Type="http://schemas.openxmlformats.org/officeDocument/2006/relationships/footer" Target="footer71.xml"/><Relationship Id="rId13" Type="http://schemas.openxmlformats.org/officeDocument/2006/relationships/header" Target="header2.xml"/><Relationship Id="rId18" Type="http://schemas.openxmlformats.org/officeDocument/2006/relationships/hyperlink" Target="https://www.gov.uk/government/publications/open-standards-principles/open-standards-principles" TargetMode="External"/><Relationship Id="rId39" Type="http://schemas.openxmlformats.org/officeDocument/2006/relationships/hyperlink" Target="https://www.gov.uk/government/publications/open-standards-principles/open-standards-principles" TargetMode="External"/><Relationship Id="rId109" Type="http://schemas.openxmlformats.org/officeDocument/2006/relationships/footer" Target="footer36.xml"/><Relationship Id="rId34" Type="http://schemas.openxmlformats.org/officeDocument/2006/relationships/footer" Target="footer9.xml"/><Relationship Id="rId50" Type="http://schemas.openxmlformats.org/officeDocument/2006/relationships/hyperlink" Target="https://www.ncsc.gov.uk/collection/cloud/the-cloud-security-principles" TargetMode="External"/><Relationship Id="rId55" Type="http://schemas.openxmlformats.org/officeDocument/2006/relationships/hyperlink" Target="https://owasp.org/www-project-secure-coding-practices-quick-reference-guide/" TargetMode="External"/><Relationship Id="rId76" Type="http://schemas.openxmlformats.org/officeDocument/2006/relationships/header" Target="header21.xml"/><Relationship Id="rId97" Type="http://schemas.openxmlformats.org/officeDocument/2006/relationships/footer" Target="footer29.xml"/><Relationship Id="rId104" Type="http://schemas.openxmlformats.org/officeDocument/2006/relationships/header" Target="header36.xml"/><Relationship Id="rId120" Type="http://schemas.openxmlformats.org/officeDocument/2006/relationships/footer" Target="footer44.xml"/><Relationship Id="rId125" Type="http://schemas.openxmlformats.org/officeDocument/2006/relationships/footer" Target="footer47.xml"/><Relationship Id="rId141" Type="http://schemas.openxmlformats.org/officeDocument/2006/relationships/footer" Target="footer55.xml"/><Relationship Id="rId146" Type="http://schemas.openxmlformats.org/officeDocument/2006/relationships/footer" Target="footer58.xml"/><Relationship Id="rId167" Type="http://schemas.openxmlformats.org/officeDocument/2006/relationships/hyperlink" Target="https://www.civilservicejobs.service.gov.uk/csr/index.cgi?pageclass=StandardMessage&amp;display=privacy" TargetMode="External"/><Relationship Id="rId7" Type="http://schemas.openxmlformats.org/officeDocument/2006/relationships/webSettings" Target="webSettings.xml"/><Relationship Id="rId71" Type="http://schemas.openxmlformats.org/officeDocument/2006/relationships/header" Target="header18.xml"/><Relationship Id="rId92" Type="http://schemas.openxmlformats.org/officeDocument/2006/relationships/header" Target="header30.xml"/><Relationship Id="rId162" Type="http://schemas.openxmlformats.org/officeDocument/2006/relationships/footer" Target="footer67.xm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s://www.gov.uk/government/publications/25-year-environment-plan" TargetMode="External"/><Relationship Id="rId40" Type="http://schemas.openxmlformats.org/officeDocument/2006/relationships/hyperlink" Target="http://standards.data.gov.uk/" TargetMode="External"/><Relationship Id="rId45" Type="http://schemas.openxmlformats.org/officeDocument/2006/relationships/footer" Target="footer12.xml"/><Relationship Id="rId66" Type="http://schemas.openxmlformats.org/officeDocument/2006/relationships/header" Target="header15.xml"/><Relationship Id="rId87" Type="http://schemas.openxmlformats.org/officeDocument/2006/relationships/footer" Target="footer24.xml"/><Relationship Id="rId110" Type="http://schemas.openxmlformats.org/officeDocument/2006/relationships/footer" Target="footer37.xml"/><Relationship Id="rId115" Type="http://schemas.openxmlformats.org/officeDocument/2006/relationships/header" Target="header39.xml"/><Relationship Id="rId131" Type="http://schemas.openxmlformats.org/officeDocument/2006/relationships/footer" Target="footer50.xml"/><Relationship Id="rId136" Type="http://schemas.openxmlformats.org/officeDocument/2006/relationships/footer" Target="footer53.xml"/><Relationship Id="rId157" Type="http://schemas.openxmlformats.org/officeDocument/2006/relationships/footer" Target="footer64.xml"/><Relationship Id="rId178" Type="http://schemas.openxmlformats.org/officeDocument/2006/relationships/fontTable" Target="fontTable.xml"/><Relationship Id="rId61" Type="http://schemas.openxmlformats.org/officeDocument/2006/relationships/header" Target="header12.xml"/><Relationship Id="rId82" Type="http://schemas.openxmlformats.org/officeDocument/2006/relationships/footer" Target="footer22.xml"/><Relationship Id="rId152" Type="http://schemas.openxmlformats.org/officeDocument/2006/relationships/hyperlink" Target="https://www.gov.uk/government/publications/the-sourcing-and-consultancy-playbooks" TargetMode="External"/><Relationship Id="rId173" Type="http://schemas.openxmlformats.org/officeDocument/2006/relationships/footer" Target="footer72.xml"/><Relationship Id="rId1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oter" Target="footer1.xml"/><Relationship Id="rId30" Type="http://schemas.openxmlformats.org/officeDocument/2006/relationships/footer" Target="footer6.xml"/><Relationship Id="rId35" Type="http://schemas.openxmlformats.org/officeDocument/2006/relationships/footer" Target="footer10.xml"/><Relationship Id="rId56" Type="http://schemas.openxmlformats.org/officeDocument/2006/relationships/hyperlink" Target="https://owasp.org/www-project-top-ten/" TargetMode="External"/><Relationship Id="rId77" Type="http://schemas.openxmlformats.org/officeDocument/2006/relationships/footer" Target="footer20.xml"/><Relationship Id="rId100" Type="http://schemas.openxmlformats.org/officeDocument/2006/relationships/header" Target="header34.xml"/><Relationship Id="rId105" Type="http://schemas.openxmlformats.org/officeDocument/2006/relationships/footer" Target="footer33.xml"/><Relationship Id="rId126" Type="http://schemas.openxmlformats.org/officeDocument/2006/relationships/header" Target="header43.xml"/><Relationship Id="rId147" Type="http://schemas.openxmlformats.org/officeDocument/2006/relationships/footer" Target="footer59.xml"/><Relationship Id="rId168" Type="http://schemas.openxmlformats.org/officeDocument/2006/relationships/header" Target="header60.xml"/><Relationship Id="rId8" Type="http://schemas.openxmlformats.org/officeDocument/2006/relationships/footnotes" Target="footnotes.xml"/><Relationship Id="rId51" Type="http://schemas.openxmlformats.org/officeDocument/2006/relationships/hyperlink" Target="https://www.ncsc.gov.uk/collection/device-security-guidance" TargetMode="External"/><Relationship Id="rId72" Type="http://schemas.openxmlformats.org/officeDocument/2006/relationships/footer" Target="footer18.xml"/><Relationship Id="rId93" Type="http://schemas.openxmlformats.org/officeDocument/2006/relationships/footer" Target="footer27.xml"/><Relationship Id="rId98" Type="http://schemas.openxmlformats.org/officeDocument/2006/relationships/header" Target="header33.xml"/><Relationship Id="rId121" Type="http://schemas.openxmlformats.org/officeDocument/2006/relationships/header" Target="header41.xml"/><Relationship Id="rId142" Type="http://schemas.openxmlformats.org/officeDocument/2006/relationships/footer" Target="footer56.xml"/><Relationship Id="rId163" Type="http://schemas.openxmlformats.org/officeDocument/2006/relationships/footer" Target="footer68.xml"/><Relationship Id="rId3" Type="http://schemas.openxmlformats.org/officeDocument/2006/relationships/customXml" Target="../customXml/item3.xml"/><Relationship Id="rId25" Type="http://schemas.openxmlformats.org/officeDocument/2006/relationships/hyperlink" Target="https://www.gov.uk/government/publications/good-work-plan" TargetMode="External"/><Relationship Id="rId46" Type="http://schemas.openxmlformats.org/officeDocument/2006/relationships/header" Target="header10.xml"/><Relationship Id="rId67" Type="http://schemas.openxmlformats.org/officeDocument/2006/relationships/image" Target="media/image3.png"/><Relationship Id="rId116" Type="http://schemas.openxmlformats.org/officeDocument/2006/relationships/footer" Target="footer41.xml"/><Relationship Id="rId137" Type="http://schemas.openxmlformats.org/officeDocument/2006/relationships/header" Target="header48.xml"/><Relationship Id="rId158" Type="http://schemas.openxmlformats.org/officeDocument/2006/relationships/header" Target="header57.xml"/><Relationship Id="rId20" Type="http://schemas.openxmlformats.org/officeDocument/2006/relationships/hyperlink" Target="https://www.gov.uk/government/publications/blowing-thewhistle-list-of-prescribed-people-and-bodies--2/whistleblowing-listof-prescribed-people-and-bodies,%20as%20updated%20from%20time%20to%20time;" TargetMode="External"/><Relationship Id="rId41" Type="http://schemas.openxmlformats.org/officeDocument/2006/relationships/hyperlink" Target="https://www.gov.uk/government/organisations/cabinet-office/about/equality-and-diversity" TargetMode="External"/><Relationship Id="rId62" Type="http://schemas.openxmlformats.org/officeDocument/2006/relationships/header" Target="header13.xml"/><Relationship Id="rId83" Type="http://schemas.openxmlformats.org/officeDocument/2006/relationships/header" Target="header25.xml"/><Relationship Id="rId88" Type="http://schemas.openxmlformats.org/officeDocument/2006/relationships/header" Target="header28.xml"/><Relationship Id="rId111" Type="http://schemas.openxmlformats.org/officeDocument/2006/relationships/footer" Target="footer38.xml"/><Relationship Id="rId132" Type="http://schemas.openxmlformats.org/officeDocument/2006/relationships/header" Target="header46.xml"/><Relationship Id="rId153" Type="http://schemas.openxmlformats.org/officeDocument/2006/relationships/header" Target="header55.xml"/><Relationship Id="rId174" Type="http://schemas.openxmlformats.org/officeDocument/2006/relationships/header" Target="header63.xml"/><Relationship Id="rId179" Type="http://schemas.openxmlformats.org/officeDocument/2006/relationships/theme" Target="theme/theme1.xml"/><Relationship Id="rId15" Type="http://schemas.openxmlformats.org/officeDocument/2006/relationships/footer" Target="footer2.xml"/><Relationship Id="rId36" Type="http://schemas.openxmlformats.org/officeDocument/2006/relationships/footer" Target="footer11.xml"/><Relationship Id="rId57" Type="http://schemas.openxmlformats.org/officeDocument/2006/relationships/header" Target="header11.xml"/><Relationship Id="rId106" Type="http://schemas.openxmlformats.org/officeDocument/2006/relationships/header" Target="header37.xml"/><Relationship Id="rId127" Type="http://schemas.openxmlformats.org/officeDocument/2006/relationships/footer" Target="footer48.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 G C O _ U K ! 1 5 9 0 9 0 . 2 < / d o c u m e n t i d >  
     < s e n d e r i d > K A T H R Y N . M Y C O C K @ U K . E Y . C O M < / s e n d e r i d >  
     < s e n d e r e m a i l > K A T H R Y N . M Y C O C K @ U K . E Y . C O M < / s e n d e r e m a i l >  
     < l a s t m o d i f i e d > 2 0 2 4 - 0 9 - 1 1 T 1 6 : 3 9 : 0 0 . 0 0 0 0 0 0 0 + 0 1 : 0 0 < / l a s t m o d i f i e d >  
     < d a t a b a s e > G C O _ U K < / d a t a b a s e >  
 < / p r o p e r t i e s > 
</file>

<file path=customXml/item2.xml>��< ? x m l   v e r s i o n = " 1 . 0 "   e n c o d i n g = " u t f - 1 6 " ? > < p r o p e r t i e s   x m l n s = " h t t p : / / w w w . i m a n a g e . c o m / w o r k / x m l s c h e m a " >  
     < d o c u m e n t i d > U K M A T T E R S ! 1 2 7 7 7 8 4 5 3 . 4 < / d o c u m e n t i d >  
     < s e n d e r i d > B I D W E L L R < / s e n d e r i d >  
     < s e n d e r e m a i l > R H I A N N O N . B I D W E L L @ D L A P I P E R . C O M < / s e n d e r e m a i l >  
     < l a s t m o d i f i e d > 2 0 2 3 - 0 7 - 2 9 T 1 2 : 5 8 : 0 0 . 0 0 0 0 0 0 0 + 0 1 : 0 0 < / l a s t m o d i f i e d >  
     < d a t a b a s e > U K M A T T E R S 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5664-79C2-48FB-901C-23508B526BE5}">
  <ds:schemaRefs>
    <ds:schemaRef ds:uri="http://www.imanage.com/work/xmlschema"/>
  </ds:schemaRefs>
</ds:datastoreItem>
</file>

<file path=customXml/itemProps2.xml><?xml version="1.0" encoding="utf-8"?>
<ds:datastoreItem xmlns:ds="http://schemas.openxmlformats.org/officeDocument/2006/customXml" ds:itemID="{DAFCE5F8-1EFD-43AA-A2FA-223E188E3783}">
  <ds:schemaRefs>
    <ds:schemaRef ds:uri="http://www.imanage.com/work/xmlschema"/>
  </ds:schemaRefs>
</ds:datastoreItem>
</file>

<file path=customXml/itemProps3.xml><?xml version="1.0" encoding="utf-8"?>
<ds:datastoreItem xmlns:ds="http://schemas.openxmlformats.org/officeDocument/2006/customXml" ds:itemID="{670C4B56-518E-4025-9E4F-7B04EDD8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516</Pages>
  <Words>148245</Words>
  <Characters>784217</Characters>
  <Application>Microsoft Office Word</Application>
  <DocSecurity>0</DocSecurity>
  <PresentationFormat/>
  <Lines>15081</Lines>
  <Paragraphs>7459</Paragraphs>
  <ScaleCrop>false</ScaleCrop>
  <Manager/>
  <Company/>
  <LinksUpToDate>false</LinksUpToDate>
  <CharactersWithSpaces>925003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2024-10-10T10:22:00Z</dcterms:created>
  <dcterms:modified xsi:type="dcterms:W3CDTF">2024-10-10T10:22:00Z</dcterms:modified>
  <cp:category/>
  <cp:contentStatus/>
  <dc:language/>
  <cp:version/>
</cp:coreProperties>
</file>