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FB" w:rsidRDefault="006336FB" w:rsidP="006336FB">
      <w:pPr>
        <w:pStyle w:val="CaptionPara"/>
      </w:pPr>
      <w:bookmarkStart w:id="0" w:name="_Ref406068040"/>
      <w:bookmarkStart w:id="1" w:name="_GoBack"/>
      <w:bookmarkEnd w:id="1"/>
      <w:r>
        <w:t xml:space="preserve">Table </w:t>
      </w:r>
      <w:r w:rsidR="00A84210">
        <w:fldChar w:fldCharType="begin"/>
      </w:r>
      <w:r w:rsidR="00A84210">
        <w:instrText xml:space="preserve"> STYLEREF 1 \s </w:instrText>
      </w:r>
      <w:r w:rsidR="00A84210">
        <w:fldChar w:fldCharType="separate"/>
      </w:r>
      <w:r>
        <w:rPr>
          <w:noProof/>
        </w:rPr>
        <w:t>3</w:t>
      </w:r>
      <w:r w:rsidR="00A84210">
        <w:rPr>
          <w:noProof/>
        </w:rPr>
        <w:fldChar w:fldCharType="end"/>
      </w:r>
      <w:r>
        <w:noBreakHyphen/>
      </w:r>
      <w:r w:rsidR="00A84210">
        <w:fldChar w:fldCharType="begin"/>
      </w:r>
      <w:r w:rsidR="00A84210">
        <w:instrText xml:space="preserve"> SEQ Table \* ARABIC \s 1 </w:instrText>
      </w:r>
      <w:r w:rsidR="00A84210">
        <w:fldChar w:fldCharType="separate"/>
      </w:r>
      <w:r>
        <w:rPr>
          <w:noProof/>
        </w:rPr>
        <w:t>1</w:t>
      </w:r>
      <w:r w:rsidR="00A84210">
        <w:rPr>
          <w:noProof/>
        </w:rPr>
        <w:fldChar w:fldCharType="end"/>
      </w:r>
      <w:bookmarkEnd w:id="0"/>
      <w:r>
        <w:t>: Draft logic chain</w:t>
      </w:r>
    </w:p>
    <w:tbl>
      <w:tblPr>
        <w:tblStyle w:val="TableGrid"/>
        <w:tblW w:w="5000" w:type="pct"/>
        <w:tblBorders>
          <w:top w:val="single" w:sz="4" w:space="0" w:color="5B9BD5" w:themeColor="accent1"/>
          <w:left w:val="none" w:sz="0" w:space="0" w:color="auto"/>
          <w:bottom w:val="single" w:sz="4" w:space="0" w:color="5B9BD5" w:themeColor="accent1"/>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326"/>
        <w:gridCol w:w="2326"/>
        <w:gridCol w:w="2326"/>
        <w:gridCol w:w="2326"/>
        <w:gridCol w:w="2327"/>
        <w:gridCol w:w="2327"/>
      </w:tblGrid>
      <w:tr w:rsidR="006336FB" w:rsidRPr="00DD7CB8" w:rsidTr="009A06F0">
        <w:trPr>
          <w:tblHeader/>
        </w:trPr>
        <w:tc>
          <w:tcPr>
            <w:tcW w:w="2326" w:type="dxa"/>
            <w:tcBorders>
              <w:top w:val="single" w:sz="4" w:space="0" w:color="5B9BD5" w:themeColor="accent1"/>
              <w:bottom w:val="single" w:sz="4" w:space="0" w:color="5B9BD5" w:themeColor="accent1"/>
            </w:tcBorders>
            <w:shd w:val="clear" w:color="auto" w:fill="auto"/>
          </w:tcPr>
          <w:p w:rsidR="006336FB" w:rsidRPr="00DD7CB8" w:rsidRDefault="006336FB" w:rsidP="009A06F0">
            <w:pPr>
              <w:pStyle w:val="ColumnHeading"/>
            </w:pPr>
            <w:r w:rsidRPr="00DD7CB8">
              <w:t>Problem</w:t>
            </w:r>
          </w:p>
        </w:tc>
        <w:tc>
          <w:tcPr>
            <w:tcW w:w="2326" w:type="dxa"/>
            <w:tcBorders>
              <w:top w:val="single" w:sz="4" w:space="0" w:color="5B9BD5" w:themeColor="accent1"/>
              <w:bottom w:val="single" w:sz="4" w:space="0" w:color="5B9BD5" w:themeColor="accent1"/>
            </w:tcBorders>
            <w:shd w:val="clear" w:color="auto" w:fill="auto"/>
          </w:tcPr>
          <w:p w:rsidR="006336FB" w:rsidRPr="00DD7CB8" w:rsidRDefault="006336FB" w:rsidP="009A06F0">
            <w:pPr>
              <w:pStyle w:val="ColumnHeading"/>
            </w:pPr>
            <w:r w:rsidRPr="00DD7CB8">
              <w:t>Inputs</w:t>
            </w:r>
          </w:p>
        </w:tc>
        <w:tc>
          <w:tcPr>
            <w:tcW w:w="2326" w:type="dxa"/>
            <w:tcBorders>
              <w:top w:val="single" w:sz="4" w:space="0" w:color="5B9BD5" w:themeColor="accent1"/>
              <w:bottom w:val="single" w:sz="4" w:space="0" w:color="5B9BD5" w:themeColor="accent1"/>
            </w:tcBorders>
            <w:shd w:val="clear" w:color="auto" w:fill="auto"/>
          </w:tcPr>
          <w:p w:rsidR="006336FB" w:rsidRPr="00DD7CB8" w:rsidRDefault="006336FB" w:rsidP="009A06F0">
            <w:pPr>
              <w:pStyle w:val="ColumnHeading"/>
            </w:pPr>
            <w:r w:rsidRPr="00DD7CB8">
              <w:t>Activities</w:t>
            </w:r>
          </w:p>
        </w:tc>
        <w:tc>
          <w:tcPr>
            <w:tcW w:w="2326" w:type="dxa"/>
            <w:tcBorders>
              <w:top w:val="single" w:sz="4" w:space="0" w:color="5B9BD5" w:themeColor="accent1"/>
              <w:bottom w:val="single" w:sz="4" w:space="0" w:color="5B9BD5" w:themeColor="accent1"/>
            </w:tcBorders>
            <w:shd w:val="clear" w:color="auto" w:fill="auto"/>
          </w:tcPr>
          <w:p w:rsidR="006336FB" w:rsidRPr="00DD7CB8" w:rsidRDefault="006336FB" w:rsidP="009A06F0">
            <w:pPr>
              <w:pStyle w:val="ColumnHeading"/>
            </w:pPr>
            <w:r w:rsidRPr="00DD7CB8">
              <w:t>Outputs</w:t>
            </w:r>
          </w:p>
        </w:tc>
        <w:tc>
          <w:tcPr>
            <w:tcW w:w="2327" w:type="dxa"/>
            <w:tcBorders>
              <w:top w:val="single" w:sz="4" w:space="0" w:color="5B9BD5" w:themeColor="accent1"/>
              <w:bottom w:val="single" w:sz="4" w:space="0" w:color="5B9BD5" w:themeColor="accent1"/>
            </w:tcBorders>
            <w:shd w:val="clear" w:color="auto" w:fill="auto"/>
          </w:tcPr>
          <w:p w:rsidR="006336FB" w:rsidRPr="00DD7CB8" w:rsidRDefault="006336FB" w:rsidP="00F7666F">
            <w:pPr>
              <w:pStyle w:val="ColumnHeading"/>
            </w:pPr>
            <w:r w:rsidRPr="00DD7CB8">
              <w:t>Outcomes</w:t>
            </w:r>
          </w:p>
        </w:tc>
        <w:tc>
          <w:tcPr>
            <w:tcW w:w="2327" w:type="dxa"/>
            <w:tcBorders>
              <w:top w:val="single" w:sz="4" w:space="0" w:color="5B9BD5" w:themeColor="accent1"/>
              <w:bottom w:val="single" w:sz="4" w:space="0" w:color="5B9BD5" w:themeColor="accent1"/>
            </w:tcBorders>
            <w:shd w:val="clear" w:color="auto" w:fill="auto"/>
          </w:tcPr>
          <w:p w:rsidR="006336FB" w:rsidRPr="00DD7CB8" w:rsidRDefault="006336FB" w:rsidP="009A06F0">
            <w:pPr>
              <w:pStyle w:val="ColumnHeading"/>
            </w:pPr>
            <w:r w:rsidRPr="00DD7CB8">
              <w:t>Impacts</w:t>
            </w:r>
          </w:p>
        </w:tc>
      </w:tr>
      <w:tr w:rsidR="006336FB" w:rsidRPr="00DD7CB8" w:rsidTr="009A06F0">
        <w:tc>
          <w:tcPr>
            <w:tcW w:w="2326" w:type="dxa"/>
            <w:tcBorders>
              <w:top w:val="single" w:sz="4" w:space="0" w:color="5B9BD5" w:themeColor="accent1"/>
            </w:tcBorders>
            <w:shd w:val="clear" w:color="auto" w:fill="auto"/>
          </w:tcPr>
          <w:p w:rsidR="006336FB" w:rsidRPr="00DD7CB8" w:rsidRDefault="006336FB" w:rsidP="009A06F0">
            <w:pPr>
              <w:pStyle w:val="TableText"/>
            </w:pPr>
            <w:r w:rsidRPr="00DD7CB8">
              <w:t>The labour market is increasingly hour glass shaped.  Prospects are good for those at the top, with high level skills, but there is greater competition for those at the bottom, and bigger steps needed to get on and move up. The career ladder is becoming that little bit harder to climb.</w:t>
            </w:r>
          </w:p>
          <w:p w:rsidR="006336FB" w:rsidRPr="00DD7CB8" w:rsidRDefault="006336FB" w:rsidP="009A06F0">
            <w:pPr>
              <w:pStyle w:val="TableText"/>
            </w:pPr>
            <w:r w:rsidRPr="00DD7CB8">
              <w:t xml:space="preserve">UK productivity continues to lag behind most Western nations.  </w:t>
            </w:r>
          </w:p>
          <w:p w:rsidR="006336FB" w:rsidRPr="00DD7CB8" w:rsidRDefault="006336FB" w:rsidP="009A06F0">
            <w:pPr>
              <w:pStyle w:val="TableText"/>
            </w:pPr>
            <w:r w:rsidRPr="00DD7CB8">
              <w:t>Skills are integral to employment prospects, pay and wellbeing, to business competitiveness</w:t>
            </w:r>
          </w:p>
          <w:p w:rsidR="006336FB" w:rsidRPr="00DD7CB8" w:rsidRDefault="006336FB" w:rsidP="009A06F0">
            <w:pPr>
              <w:pStyle w:val="TableText"/>
            </w:pPr>
            <w:r w:rsidRPr="00DD7CB8">
              <w:t>Employers should lead on skills (and government should enable</w:t>
            </w:r>
            <w:r>
              <w:t xml:space="preserve"> t</w:t>
            </w:r>
            <w:r w:rsidRPr="00DD7CB8">
              <w:t>hem)</w:t>
            </w:r>
          </w:p>
          <w:p w:rsidR="006336FB" w:rsidRPr="00DD7CB8" w:rsidRDefault="006336FB" w:rsidP="009A06F0">
            <w:pPr>
              <w:pStyle w:val="TableText"/>
            </w:pPr>
            <w:r w:rsidRPr="00DD7CB8">
              <w:t>There is a need to create better pathways from school into work, to help people progress in work, and in the development of higher level skills</w:t>
            </w:r>
          </w:p>
          <w:p w:rsidR="006336FB" w:rsidRPr="00DD7CB8" w:rsidRDefault="006336FB" w:rsidP="009A06F0">
            <w:pPr>
              <w:pStyle w:val="TableText"/>
            </w:pPr>
            <w:r w:rsidRPr="00DD7CB8">
              <w:t>Leads to programme objectives of:</w:t>
            </w:r>
          </w:p>
          <w:p w:rsidR="006336FB" w:rsidRPr="00DD7CB8" w:rsidRDefault="006336FB" w:rsidP="009A06F0">
            <w:pPr>
              <w:pStyle w:val="TableBullet"/>
            </w:pPr>
            <w:r w:rsidRPr="00DD7CB8">
              <w:t xml:space="preserve">to support collaborative approaches to workforce development issues amongst employers and, where </w:t>
            </w:r>
            <w:r w:rsidRPr="00DD7CB8">
              <w:lastRenderedPageBreak/>
              <w:t>applicable, wider social partners</w:t>
            </w:r>
          </w:p>
          <w:p w:rsidR="006336FB" w:rsidRPr="00DD7CB8" w:rsidRDefault="006336FB" w:rsidP="009A06F0">
            <w:pPr>
              <w:pStyle w:val="TableBullet"/>
            </w:pPr>
            <w:r w:rsidRPr="00DD7CB8">
              <w:t>to encourage innovative approaches to addressing workforce development issues</w:t>
            </w:r>
          </w:p>
          <w:p w:rsidR="006336FB" w:rsidRPr="00DD7CB8" w:rsidRDefault="006336FB" w:rsidP="009A06F0">
            <w:pPr>
              <w:pStyle w:val="TableBullet"/>
            </w:pPr>
            <w:r w:rsidRPr="00DD7CB8">
              <w:t>to identify ways to address new or persistent market or system failures which act as a brake on UK workforce competitiveness</w:t>
            </w:r>
          </w:p>
          <w:p w:rsidR="006336FB" w:rsidRPr="00DD7CB8" w:rsidRDefault="006336FB" w:rsidP="009A06F0">
            <w:pPr>
              <w:pStyle w:val="TableBullet"/>
            </w:pPr>
            <w:r w:rsidRPr="00DD7CB8">
              <w:t>to identify ‘what works’ when addressing market failures in relation to workforce development, for adoption in policy development and wider business practice.</w:t>
            </w:r>
          </w:p>
        </w:tc>
        <w:tc>
          <w:tcPr>
            <w:tcW w:w="2326" w:type="dxa"/>
            <w:tcBorders>
              <w:top w:val="single" w:sz="4" w:space="0" w:color="5B9BD5" w:themeColor="accent1"/>
            </w:tcBorders>
            <w:shd w:val="clear" w:color="auto" w:fill="auto"/>
          </w:tcPr>
          <w:p w:rsidR="006336FB" w:rsidRDefault="006336FB" w:rsidP="009A06F0">
            <w:pPr>
              <w:pStyle w:val="TableText"/>
            </w:pPr>
            <w:r w:rsidRPr="00DD7CB8">
              <w:lastRenderedPageBreak/>
              <w:t>£4-5m of public investment annually</w:t>
            </w:r>
          </w:p>
          <w:p w:rsidR="006336FB" w:rsidRPr="00DD7CB8" w:rsidRDefault="00F67B82" w:rsidP="009A06F0">
            <w:pPr>
              <w:pStyle w:val="TableText"/>
            </w:pPr>
            <w:r>
              <w:t xml:space="preserve">Context – learning from EIF/GIF evaluation and the conditions for success, reductions in prog funding, appetite for risk among </w:t>
            </w:r>
            <w:r w:rsidR="006336FB">
              <w:t>Commissioners and emphasis on the architect role and learning what works / doesn’t</w:t>
            </w:r>
          </w:p>
          <w:p w:rsidR="006336FB" w:rsidRPr="00DD7CB8" w:rsidRDefault="006336FB" w:rsidP="009A06F0">
            <w:pPr>
              <w:pStyle w:val="TableText"/>
            </w:pPr>
            <w:r w:rsidRPr="00DD7CB8">
              <w:t>Knowledge and intelligence of UKCES commissioners and staff:</w:t>
            </w:r>
          </w:p>
          <w:p w:rsidR="006336FB" w:rsidRPr="00DD7CB8" w:rsidRDefault="006336FB" w:rsidP="009A06F0">
            <w:pPr>
              <w:pStyle w:val="TableBullet"/>
            </w:pPr>
            <w:r w:rsidRPr="00DD7CB8">
              <w:t>to develop (market making) and support targeted competitions</w:t>
            </w:r>
          </w:p>
          <w:p w:rsidR="006336FB" w:rsidRPr="00DD7CB8" w:rsidRDefault="006336FB" w:rsidP="009A06F0">
            <w:pPr>
              <w:pStyle w:val="TableBullet"/>
            </w:pPr>
            <w:r w:rsidRPr="00DD7CB8">
              <w:t>as part of co-creation</w:t>
            </w:r>
          </w:p>
          <w:p w:rsidR="006336FB" w:rsidRPr="00DD7CB8" w:rsidRDefault="006336FB" w:rsidP="009A06F0">
            <w:pPr>
              <w:pStyle w:val="TableText"/>
            </w:pPr>
            <w:r w:rsidRPr="00DD7CB8">
              <w:t>Time from employers and stakeholders to:</w:t>
            </w:r>
          </w:p>
          <w:p w:rsidR="006336FB" w:rsidRPr="00DD7CB8" w:rsidRDefault="006336FB" w:rsidP="009A06F0">
            <w:pPr>
              <w:pStyle w:val="TableBullet"/>
            </w:pPr>
            <w:r w:rsidRPr="00DD7CB8">
              <w:t>develop bids</w:t>
            </w:r>
          </w:p>
          <w:p w:rsidR="006336FB" w:rsidRPr="00DD7CB8" w:rsidRDefault="006336FB" w:rsidP="009A06F0">
            <w:pPr>
              <w:pStyle w:val="TableBullet"/>
            </w:pPr>
            <w:r w:rsidRPr="00DD7CB8">
              <w:t>deliver projects</w:t>
            </w:r>
          </w:p>
          <w:p w:rsidR="006336FB" w:rsidRPr="00DD7CB8" w:rsidRDefault="006336FB" w:rsidP="009A06F0">
            <w:pPr>
              <w:pStyle w:val="TableText"/>
            </w:pPr>
            <w:r w:rsidRPr="00DD7CB8">
              <w:t>Provision of facilitators for the Innovation Labs</w:t>
            </w:r>
          </w:p>
          <w:p w:rsidR="006336FB" w:rsidRPr="00DD7CB8" w:rsidRDefault="006336FB" w:rsidP="009A06F0">
            <w:pPr>
              <w:pStyle w:val="TableText"/>
            </w:pPr>
            <w:r w:rsidRPr="00DD7CB8">
              <w:t>Real time evaluation to feedback on lessons learned</w:t>
            </w:r>
          </w:p>
        </w:tc>
        <w:tc>
          <w:tcPr>
            <w:tcW w:w="2326" w:type="dxa"/>
            <w:tcBorders>
              <w:top w:val="single" w:sz="4" w:space="0" w:color="5B9BD5" w:themeColor="accent1"/>
            </w:tcBorders>
            <w:shd w:val="clear" w:color="auto" w:fill="auto"/>
          </w:tcPr>
          <w:p w:rsidR="006336FB" w:rsidRPr="00DD7CB8" w:rsidRDefault="006336FB" w:rsidP="009A06F0">
            <w:pPr>
              <w:pStyle w:val="TableText"/>
            </w:pPr>
            <w:r w:rsidRPr="00DD7CB8">
              <w:t>Number of competitions run</w:t>
            </w:r>
          </w:p>
          <w:p w:rsidR="006336FB" w:rsidRDefault="006336FB" w:rsidP="009A06F0">
            <w:pPr>
              <w:pStyle w:val="TableText"/>
            </w:pPr>
            <w:r w:rsidRPr="00DD7CB8">
              <w:t>Number and quality of applications</w:t>
            </w:r>
          </w:p>
          <w:p w:rsidR="00F67B82" w:rsidRPr="00DD7CB8" w:rsidRDefault="00F67B82" w:rsidP="00F67B82">
            <w:pPr>
              <w:pStyle w:val="TableText"/>
            </w:pPr>
            <w:r>
              <w:t>Communication and stakeholder engagement activities at the competition and programme level by UKCES (inc. feedback loop from evaluation?)</w:t>
            </w:r>
          </w:p>
          <w:p w:rsidR="006336FB" w:rsidRPr="00DD7CB8" w:rsidRDefault="006336FB" w:rsidP="009A06F0">
            <w:pPr>
              <w:pStyle w:val="TableText"/>
            </w:pPr>
            <w:r w:rsidRPr="00DD7CB8">
              <w:t>Each competition:</w:t>
            </w:r>
          </w:p>
          <w:p w:rsidR="006336FB" w:rsidRPr="00DD7CB8" w:rsidRDefault="006336FB" w:rsidP="009A06F0">
            <w:pPr>
              <w:pStyle w:val="TableBullet"/>
            </w:pPr>
            <w:r w:rsidRPr="00DD7CB8">
              <w:t>contains a number of projects</w:t>
            </w:r>
          </w:p>
          <w:p w:rsidR="006336FB" w:rsidRDefault="006336FB" w:rsidP="009A06F0">
            <w:pPr>
              <w:pStyle w:val="TableBullet"/>
            </w:pPr>
            <w:r w:rsidRPr="00DD7CB8">
              <w:t>has specific objectives</w:t>
            </w:r>
          </w:p>
          <w:p w:rsidR="00F67B82" w:rsidRPr="00DD7CB8" w:rsidRDefault="00F67B82" w:rsidP="00F67B82">
            <w:pPr>
              <w:pStyle w:val="TableBullet"/>
            </w:pPr>
            <w:r>
              <w:t>has specific research questions</w:t>
            </w:r>
          </w:p>
          <w:p w:rsidR="006336FB" w:rsidRPr="00DD7CB8" w:rsidRDefault="006336FB" w:rsidP="009A06F0">
            <w:pPr>
              <w:pStyle w:val="TableBullet"/>
            </w:pPr>
            <w:r w:rsidRPr="00DD7CB8">
              <w:t>will contain at least two Innovation Labs</w:t>
            </w:r>
          </w:p>
          <w:p w:rsidR="006336FB" w:rsidRDefault="006336FB" w:rsidP="009A06F0">
            <w:pPr>
              <w:pStyle w:val="TableBullet"/>
            </w:pPr>
            <w:r w:rsidRPr="00DD7CB8">
              <w:t>is supported through co-creation</w:t>
            </w:r>
            <w:r>
              <w:t xml:space="preserve"> </w:t>
            </w:r>
            <w:r w:rsidR="00F67B82">
              <w:t>and cross-fertilisation of learning</w:t>
            </w:r>
          </w:p>
          <w:p w:rsidR="006336FB" w:rsidRPr="00DD7CB8" w:rsidRDefault="00C21336" w:rsidP="009A06F0">
            <w:pPr>
              <w:pStyle w:val="TableBullet"/>
            </w:pPr>
            <w:r>
              <w:t xml:space="preserve">includes </w:t>
            </w:r>
            <w:r w:rsidR="00F67B82">
              <w:t>support for planning and delivery of testing activity</w:t>
            </w:r>
          </w:p>
        </w:tc>
        <w:tc>
          <w:tcPr>
            <w:tcW w:w="2326" w:type="dxa"/>
            <w:tcBorders>
              <w:top w:val="single" w:sz="4" w:space="0" w:color="5B9BD5" w:themeColor="accent1"/>
            </w:tcBorders>
            <w:shd w:val="clear" w:color="auto" w:fill="auto"/>
          </w:tcPr>
          <w:p w:rsidR="006336FB" w:rsidRPr="00DD7CB8" w:rsidRDefault="006336FB" w:rsidP="009A06F0">
            <w:pPr>
              <w:pStyle w:val="TableText"/>
            </w:pPr>
            <w:r w:rsidRPr="00DD7CB8">
              <w:t>New groupings of employers and stakeholders formed</w:t>
            </w:r>
          </w:p>
          <w:p w:rsidR="006336FB" w:rsidRPr="00DD7CB8" w:rsidRDefault="006336FB" w:rsidP="009A06F0">
            <w:pPr>
              <w:pStyle w:val="TableText"/>
            </w:pPr>
            <w:r w:rsidRPr="00DD7CB8">
              <w:t>Employers understand more about the conditions and market failures that they face</w:t>
            </w:r>
          </w:p>
          <w:p w:rsidR="006336FB" w:rsidRPr="00DD7CB8" w:rsidRDefault="006336FB" w:rsidP="009A06F0">
            <w:pPr>
              <w:pStyle w:val="TableText"/>
            </w:pPr>
            <w:r w:rsidRPr="00DD7CB8">
              <w:t xml:space="preserve">Projects deliver </w:t>
            </w:r>
            <w:r w:rsidR="00F7666F">
              <w:t>outputs</w:t>
            </w:r>
            <w:r w:rsidR="00F7666F" w:rsidRPr="00DD7CB8">
              <w:t xml:space="preserve"> </w:t>
            </w:r>
            <w:r w:rsidRPr="00DD7CB8">
              <w:t>expected in their application, eg:</w:t>
            </w:r>
          </w:p>
          <w:p w:rsidR="006336FB" w:rsidRPr="00DD7CB8" w:rsidRDefault="006336FB" w:rsidP="009A06F0">
            <w:pPr>
              <w:pStyle w:val="TableBullet"/>
            </w:pPr>
            <w:r w:rsidRPr="00DD7CB8">
              <w:t>Diagnostic tools</w:t>
            </w:r>
          </w:p>
          <w:p w:rsidR="006336FB" w:rsidRPr="00DD7CB8" w:rsidRDefault="006336FB" w:rsidP="009A06F0">
            <w:pPr>
              <w:pStyle w:val="TableBullet"/>
            </w:pPr>
            <w:r w:rsidRPr="00DD7CB8">
              <w:t>Learning tools</w:t>
            </w:r>
          </w:p>
          <w:p w:rsidR="006336FB" w:rsidRPr="00DD7CB8" w:rsidRDefault="006336FB" w:rsidP="009A06F0">
            <w:pPr>
              <w:pStyle w:val="TableBullet"/>
            </w:pPr>
            <w:r w:rsidRPr="00DD7CB8">
              <w:t>New approaches</w:t>
            </w:r>
          </w:p>
          <w:p w:rsidR="006336FB" w:rsidRPr="00DD7CB8" w:rsidRDefault="006336FB" w:rsidP="009A06F0">
            <w:pPr>
              <w:pStyle w:val="TableText"/>
            </w:pPr>
            <w:r w:rsidRPr="00DD7CB8">
              <w:t xml:space="preserve">Projects identify </w:t>
            </w:r>
            <w:r w:rsidR="00F7666F">
              <w:t xml:space="preserve">and develop </w:t>
            </w:r>
            <w:r w:rsidRPr="00DD7CB8">
              <w:t xml:space="preserve">new approaches that </w:t>
            </w:r>
            <w:r w:rsidR="00F7666F">
              <w:t xml:space="preserve">could work, including some that would </w:t>
            </w:r>
            <w:r w:rsidRPr="00DD7CB8">
              <w:t>have been more appropriate than those in their application…</w:t>
            </w:r>
          </w:p>
          <w:p w:rsidR="006336FB" w:rsidRDefault="006336FB" w:rsidP="009A06F0">
            <w:pPr>
              <w:pStyle w:val="TableText"/>
            </w:pPr>
            <w:r w:rsidRPr="00DD7CB8">
              <w:t xml:space="preserve">… and develop/ test these new approaches </w:t>
            </w:r>
          </w:p>
          <w:p w:rsidR="006336FB" w:rsidRPr="00DD7CB8" w:rsidRDefault="006336FB" w:rsidP="009A06F0">
            <w:pPr>
              <w:pStyle w:val="TableText"/>
            </w:pPr>
          </w:p>
        </w:tc>
        <w:tc>
          <w:tcPr>
            <w:tcW w:w="2327" w:type="dxa"/>
            <w:tcBorders>
              <w:top w:val="single" w:sz="4" w:space="0" w:color="5B9BD5" w:themeColor="accent1"/>
            </w:tcBorders>
            <w:shd w:val="clear" w:color="auto" w:fill="auto"/>
          </w:tcPr>
          <w:p w:rsidR="00ED2424" w:rsidRPr="00B47F39" w:rsidRDefault="00ED2424" w:rsidP="00D83DAE">
            <w:pPr>
              <w:pStyle w:val="TableText"/>
              <w:rPr>
                <w:b/>
              </w:rPr>
            </w:pPr>
            <w:r w:rsidRPr="00B47F39">
              <w:rPr>
                <w:b/>
              </w:rPr>
              <w:t>Direct outcomes</w:t>
            </w:r>
          </w:p>
          <w:p w:rsidR="00D83DAE" w:rsidRDefault="00D83DAE" w:rsidP="00D83DAE">
            <w:pPr>
              <w:pStyle w:val="TableText"/>
            </w:pPr>
            <w:r>
              <w:t>Competition Challenges – the distance travelled against the initial challenges in the brief</w:t>
            </w:r>
          </w:p>
          <w:p w:rsidR="0035096A" w:rsidRPr="00DD7CB8" w:rsidRDefault="0035096A" w:rsidP="0035096A">
            <w:pPr>
              <w:pStyle w:val="TableText"/>
            </w:pPr>
            <w:r w:rsidRPr="00DD7CB8">
              <w:t>Number of projects which deliver:</w:t>
            </w:r>
          </w:p>
          <w:p w:rsidR="0035096A" w:rsidRPr="00DD7CB8" w:rsidRDefault="0035096A" w:rsidP="0035096A">
            <w:pPr>
              <w:pStyle w:val="TableBullet"/>
            </w:pPr>
            <w:r w:rsidRPr="00DD7CB8">
              <w:t>transformative innovation</w:t>
            </w:r>
          </w:p>
          <w:p w:rsidR="0035096A" w:rsidRPr="00DD7CB8" w:rsidRDefault="0035096A" w:rsidP="0035096A">
            <w:pPr>
              <w:pStyle w:val="TableBullet"/>
            </w:pPr>
            <w:r w:rsidRPr="00DD7CB8">
              <w:t>context specific innovation</w:t>
            </w:r>
          </w:p>
          <w:p w:rsidR="0035096A" w:rsidRPr="00DD7CB8" w:rsidRDefault="0035096A" w:rsidP="0035096A">
            <w:pPr>
              <w:pStyle w:val="TableBullet"/>
            </w:pPr>
            <w:r w:rsidRPr="00DD7CB8">
              <w:t>adaptive innovation</w:t>
            </w:r>
          </w:p>
          <w:p w:rsidR="00F7666F" w:rsidRDefault="00F7666F" w:rsidP="00D83DAE">
            <w:pPr>
              <w:pStyle w:val="TableText"/>
            </w:pPr>
            <w:r>
              <w:t>For the programme, competition and projects - Audience reach (policy and employers), engagement and endorsement of ‘what works’</w:t>
            </w:r>
            <w:r w:rsidR="00393718">
              <w:t xml:space="preserve"> in delivering the Competition challenges</w:t>
            </w:r>
          </w:p>
          <w:p w:rsidR="00ED2424" w:rsidRPr="00ED2424" w:rsidRDefault="00ED2424" w:rsidP="00F67B82">
            <w:pPr>
              <w:pStyle w:val="TableText"/>
              <w:rPr>
                <w:b/>
              </w:rPr>
            </w:pPr>
            <w:r w:rsidRPr="00ED2424">
              <w:rPr>
                <w:b/>
              </w:rPr>
              <w:t>Learning outcomes</w:t>
            </w:r>
          </w:p>
          <w:p w:rsidR="002B676B" w:rsidRDefault="002B676B" w:rsidP="002B676B">
            <w:pPr>
              <w:pStyle w:val="TableText"/>
            </w:pPr>
            <w:r w:rsidRPr="00DD7CB8">
              <w:t>Contribution of the co-creation process, including Innovation Labs in generating outcomes</w:t>
            </w:r>
          </w:p>
          <w:p w:rsidR="00F67B82" w:rsidRDefault="00F67B82" w:rsidP="00F67B82">
            <w:pPr>
              <w:pStyle w:val="TableText"/>
            </w:pPr>
            <w:r>
              <w:t>Competition generation of learning about what works against the competition research questions</w:t>
            </w:r>
            <w:r w:rsidR="0035096A">
              <w:t>:</w:t>
            </w:r>
          </w:p>
          <w:p w:rsidR="0035096A" w:rsidRDefault="0035096A" w:rsidP="00ED2424">
            <w:pPr>
              <w:pStyle w:val="TableBullet"/>
            </w:pPr>
            <w:r>
              <w:t>How can employers be engaged in co-production</w:t>
            </w:r>
          </w:p>
          <w:p w:rsidR="0035096A" w:rsidRDefault="0035096A" w:rsidP="00ED2424">
            <w:pPr>
              <w:pStyle w:val="TableBullet"/>
            </w:pPr>
            <w:r>
              <w:t xml:space="preserve">How can employers and end users be engaged with the solution – </w:t>
            </w:r>
            <w:r>
              <w:lastRenderedPageBreak/>
              <w:t>what routeways, inc supply chain worked</w:t>
            </w:r>
          </w:p>
          <w:p w:rsidR="0035096A" w:rsidRDefault="0035096A" w:rsidP="00ED2424">
            <w:pPr>
              <w:pStyle w:val="TableBullet"/>
            </w:pPr>
            <w:r w:rsidRPr="0035096A">
              <w:t>What are the most effective learning methods</w:t>
            </w:r>
          </w:p>
          <w:p w:rsidR="0035096A" w:rsidRDefault="0035096A" w:rsidP="00ED2424">
            <w:pPr>
              <w:pStyle w:val="TableBullet"/>
            </w:pPr>
            <w:r>
              <w:t>How can innovation in industry be fostered through education</w:t>
            </w:r>
          </w:p>
          <w:p w:rsidR="0035096A" w:rsidRDefault="0035096A" w:rsidP="00ED2424">
            <w:pPr>
              <w:pStyle w:val="TableBullet"/>
            </w:pPr>
            <w:r w:rsidRPr="00CA56C0">
              <w:t>What are the enablers and barriers to sustainability? And, scalability?</w:t>
            </w:r>
          </w:p>
          <w:p w:rsidR="0035096A" w:rsidRDefault="0035096A" w:rsidP="00ED2424">
            <w:pPr>
              <w:pStyle w:val="TableBullet"/>
            </w:pPr>
            <w:r w:rsidRPr="00CA56C0">
              <w:t>What are the indicators of outcomes / potential for impact in the sector?</w:t>
            </w:r>
          </w:p>
          <w:p w:rsidR="006336FB" w:rsidRPr="00DD7CB8" w:rsidRDefault="006336FB" w:rsidP="009A06F0">
            <w:pPr>
              <w:pStyle w:val="TableText"/>
            </w:pPr>
          </w:p>
        </w:tc>
        <w:tc>
          <w:tcPr>
            <w:tcW w:w="2327" w:type="dxa"/>
            <w:tcBorders>
              <w:top w:val="single" w:sz="4" w:space="0" w:color="5B9BD5" w:themeColor="accent1"/>
            </w:tcBorders>
            <w:shd w:val="clear" w:color="auto" w:fill="auto"/>
          </w:tcPr>
          <w:p w:rsidR="006336FB" w:rsidRPr="00DD7CB8" w:rsidRDefault="006336FB" w:rsidP="009A06F0">
            <w:pPr>
              <w:pStyle w:val="TableText"/>
            </w:pPr>
            <w:r w:rsidRPr="00DD7CB8">
              <w:lastRenderedPageBreak/>
              <w:t>For employers and sectors engaged:</w:t>
            </w:r>
          </w:p>
          <w:p w:rsidR="006336FB" w:rsidRPr="00DD7CB8" w:rsidRDefault="006336FB" w:rsidP="009A06F0">
            <w:pPr>
              <w:pStyle w:val="TableBullet"/>
            </w:pPr>
            <w:r w:rsidRPr="00DD7CB8">
              <w:t>employers continue to adopt the approaches beyond the funding period</w:t>
            </w:r>
          </w:p>
          <w:p w:rsidR="002D5547" w:rsidRDefault="006336FB" w:rsidP="00ED2424">
            <w:pPr>
              <w:pStyle w:val="TableBullet"/>
            </w:pPr>
            <w:r w:rsidRPr="00DD7CB8">
              <w:t>employers continue to work in groups developed through UKFP</w:t>
            </w:r>
            <w:r>
              <w:t xml:space="preserve">, </w:t>
            </w:r>
            <w:r w:rsidR="00F67B82">
              <w:t>spin-off / wider related activity</w:t>
            </w:r>
            <w:r w:rsidR="00F67B82" w:rsidDel="00F67B82">
              <w:t xml:space="preserve"> </w:t>
            </w:r>
          </w:p>
          <w:p w:rsidR="00393718" w:rsidRDefault="006336FB" w:rsidP="00ED2424">
            <w:pPr>
              <w:pStyle w:val="TableBullet"/>
            </w:pPr>
            <w:r w:rsidRPr="00DD7CB8">
              <w:t>employers (or others) promote the lessons learned to the sector / more widely</w:t>
            </w:r>
            <w:r>
              <w:t xml:space="preserve"> </w:t>
            </w:r>
            <w:r w:rsidR="00F67B82">
              <w:t xml:space="preserve"> – collective contribution / distance travelled against the competition challenges</w:t>
            </w:r>
            <w:r w:rsidR="00F67B82" w:rsidDel="00F67B82">
              <w:t xml:space="preserve"> </w:t>
            </w:r>
          </w:p>
          <w:p w:rsidR="006336FB" w:rsidRPr="00DD7CB8" w:rsidRDefault="006336FB" w:rsidP="00266C8F">
            <w:pPr>
              <w:pStyle w:val="TableBullet"/>
              <w:numPr>
                <w:ilvl w:val="0"/>
                <w:numId w:val="0"/>
              </w:numPr>
              <w:tabs>
                <w:tab w:val="left" w:pos="310"/>
              </w:tabs>
            </w:pPr>
            <w:r w:rsidRPr="00DD7CB8">
              <w:t>For UKCES</w:t>
            </w:r>
          </w:p>
          <w:p w:rsidR="006336FB" w:rsidRPr="00DD7CB8" w:rsidRDefault="006336FB" w:rsidP="009A06F0">
            <w:pPr>
              <w:pStyle w:val="TableBullet"/>
            </w:pPr>
            <w:r w:rsidRPr="00DD7CB8">
              <w:t>understand how to stimulate innovation</w:t>
            </w:r>
          </w:p>
          <w:p w:rsidR="006336FB" w:rsidRPr="00DD7CB8" w:rsidRDefault="006336FB" w:rsidP="009A06F0">
            <w:pPr>
              <w:pStyle w:val="TableBullet"/>
            </w:pPr>
            <w:r w:rsidRPr="00DD7CB8">
              <w:t>understand how to develop collaboration</w:t>
            </w:r>
          </w:p>
          <w:p w:rsidR="00393718" w:rsidRDefault="006336FB" w:rsidP="00266C8F">
            <w:pPr>
              <w:pStyle w:val="TableBullet"/>
            </w:pPr>
            <w:r w:rsidRPr="00DD7CB8">
              <w:t>understand how to deliver co-creation</w:t>
            </w:r>
            <w:r w:rsidR="00393718">
              <w:t xml:space="preserve"> </w:t>
            </w:r>
            <w:r w:rsidRPr="00DD7CB8">
              <w:t>models / examples to share more widel</w:t>
            </w:r>
            <w:r w:rsidR="00A06BD2">
              <w:t>y</w:t>
            </w:r>
          </w:p>
          <w:p w:rsidR="00F67B82" w:rsidRDefault="00F67B82" w:rsidP="00266C8F">
            <w:pPr>
              <w:pStyle w:val="TableBullet"/>
              <w:numPr>
                <w:ilvl w:val="0"/>
                <w:numId w:val="0"/>
              </w:numPr>
            </w:pPr>
            <w:r>
              <w:t>For WIDER policy and practice</w:t>
            </w:r>
          </w:p>
          <w:p w:rsidR="00F67B82" w:rsidRDefault="00F67B82" w:rsidP="00F67B82">
            <w:pPr>
              <w:pStyle w:val="TableBullet"/>
            </w:pPr>
            <w:r>
              <w:t xml:space="preserve">adoption of ‘what works’ learning – either solutions and / or </w:t>
            </w:r>
            <w:r>
              <w:lastRenderedPageBreak/>
              <w:t>approaches to getting there</w:t>
            </w:r>
          </w:p>
          <w:p w:rsidR="00F67B82" w:rsidRDefault="00F67B82" w:rsidP="00F67B82">
            <w:pPr>
              <w:pStyle w:val="TableBullet"/>
            </w:pPr>
            <w:r>
              <w:t>awareness raising and attitude changing about the role / power of employer action</w:t>
            </w:r>
          </w:p>
          <w:p w:rsidR="00F67B82" w:rsidRDefault="00F67B82" w:rsidP="00F67B82">
            <w:pPr>
              <w:pStyle w:val="TableBullet"/>
            </w:pPr>
            <w:r>
              <w:t>influence action / mechanisms for engaging employers in skills and nurturing innovation</w:t>
            </w:r>
          </w:p>
          <w:p w:rsidR="006336FB" w:rsidRPr="00DD7CB8" w:rsidRDefault="00F67B82" w:rsidP="00266C8F">
            <w:pPr>
              <w:pStyle w:val="TableBullet"/>
              <w:numPr>
                <w:ilvl w:val="0"/>
                <w:numId w:val="0"/>
              </w:numPr>
              <w:ind w:left="310"/>
            </w:pPr>
            <w:r>
              <w:t>raise the appetite and readiness of employers to collaborate</w:t>
            </w:r>
            <w:r w:rsidR="00393718">
              <w:t xml:space="preserve"> </w:t>
            </w:r>
            <w:r w:rsidR="002D5547">
              <w:t xml:space="preserve">/ </w:t>
            </w:r>
            <w:r>
              <w:t>contribute / influence practices in evaluating investment in innovative solutions / infrastructure design</w:t>
            </w:r>
          </w:p>
        </w:tc>
      </w:tr>
    </w:tbl>
    <w:p w:rsidR="009E197D" w:rsidRDefault="009E197D"/>
    <w:sectPr w:rsidR="009E197D" w:rsidSect="006336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13F48"/>
    <w:multiLevelType w:val="hybridMultilevel"/>
    <w:tmpl w:val="344E1924"/>
    <w:lvl w:ilvl="0" w:tplc="6D8872F6">
      <w:start w:val="1"/>
      <w:numFmt w:val="bullet"/>
      <w:pStyle w:val="Table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34109D"/>
    <w:multiLevelType w:val="hybridMultilevel"/>
    <w:tmpl w:val="2E74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FB"/>
    <w:rsid w:val="00000CCB"/>
    <w:rsid w:val="00142600"/>
    <w:rsid w:val="00266C8F"/>
    <w:rsid w:val="002B676B"/>
    <w:rsid w:val="002D5547"/>
    <w:rsid w:val="003118B4"/>
    <w:rsid w:val="00335B3E"/>
    <w:rsid w:val="0035096A"/>
    <w:rsid w:val="00393718"/>
    <w:rsid w:val="003A3CBC"/>
    <w:rsid w:val="003C0604"/>
    <w:rsid w:val="00434F13"/>
    <w:rsid w:val="0057345E"/>
    <w:rsid w:val="005B6C1B"/>
    <w:rsid w:val="006336FB"/>
    <w:rsid w:val="006E299A"/>
    <w:rsid w:val="00823143"/>
    <w:rsid w:val="00861014"/>
    <w:rsid w:val="008F0B7E"/>
    <w:rsid w:val="00977D94"/>
    <w:rsid w:val="009E197D"/>
    <w:rsid w:val="00A06BD2"/>
    <w:rsid w:val="00A11E28"/>
    <w:rsid w:val="00A84210"/>
    <w:rsid w:val="00B47F39"/>
    <w:rsid w:val="00B8081F"/>
    <w:rsid w:val="00B85EE8"/>
    <w:rsid w:val="00C21336"/>
    <w:rsid w:val="00C625A5"/>
    <w:rsid w:val="00C74B99"/>
    <w:rsid w:val="00D83DAE"/>
    <w:rsid w:val="00EB18E4"/>
    <w:rsid w:val="00EC3642"/>
    <w:rsid w:val="00ED2424"/>
    <w:rsid w:val="00F53CC7"/>
    <w:rsid w:val="00F639A2"/>
    <w:rsid w:val="00F67B82"/>
    <w:rsid w:val="00F7666F"/>
    <w:rsid w:val="00FE1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D7C4A-764B-41C1-8FAB-82541914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Heading">
    <w:name w:val="Column Heading"/>
    <w:rsid w:val="006336FB"/>
    <w:pPr>
      <w:spacing w:after="0" w:line="240" w:lineRule="auto"/>
    </w:pPr>
    <w:rPr>
      <w:rFonts w:asciiTheme="majorHAnsi" w:eastAsia="Times New Roman" w:hAnsiTheme="majorHAnsi" w:cs="Times New Roman"/>
      <w:b/>
      <w:sz w:val="18"/>
      <w:szCs w:val="16"/>
      <w:lang w:eastAsia="en-GB"/>
    </w:rPr>
  </w:style>
  <w:style w:type="paragraph" w:customStyle="1" w:styleId="TableText">
    <w:name w:val="Table Text"/>
    <w:aliases w:val="TT"/>
    <w:link w:val="TableTextChar"/>
    <w:rsid w:val="006336FB"/>
    <w:pPr>
      <w:spacing w:after="60" w:line="240" w:lineRule="auto"/>
    </w:pPr>
    <w:rPr>
      <w:rFonts w:asciiTheme="majorHAnsi" w:eastAsia="Times New Roman" w:hAnsiTheme="majorHAnsi" w:cs="Times New Roman"/>
      <w:sz w:val="18"/>
      <w:szCs w:val="16"/>
      <w:lang w:eastAsia="en-GB"/>
    </w:rPr>
  </w:style>
  <w:style w:type="paragraph" w:customStyle="1" w:styleId="TableBullet">
    <w:name w:val="Table Bullet"/>
    <w:rsid w:val="006336FB"/>
    <w:pPr>
      <w:numPr>
        <w:numId w:val="1"/>
      </w:numPr>
      <w:spacing w:after="60" w:line="240" w:lineRule="auto"/>
    </w:pPr>
    <w:rPr>
      <w:rFonts w:asciiTheme="majorHAnsi" w:eastAsia="Times New Roman" w:hAnsiTheme="majorHAnsi" w:cs="Times New Roman"/>
      <w:sz w:val="18"/>
      <w:szCs w:val="16"/>
      <w:lang w:eastAsia="en-GB"/>
    </w:rPr>
  </w:style>
  <w:style w:type="character" w:customStyle="1" w:styleId="BlueText">
    <w:name w:val="Blue Text"/>
    <w:basedOn w:val="DefaultParagraphFont"/>
    <w:rsid w:val="006336FB"/>
    <w:rPr>
      <w:rFonts w:asciiTheme="minorHAnsi" w:hAnsiTheme="minorHAnsi"/>
      <w:b/>
      <w:color w:val="0000FF"/>
    </w:rPr>
  </w:style>
  <w:style w:type="paragraph" w:customStyle="1" w:styleId="CaptionPara">
    <w:name w:val="Caption Para"/>
    <w:next w:val="Normal"/>
    <w:rsid w:val="006336FB"/>
    <w:pPr>
      <w:keepNext/>
      <w:pBdr>
        <w:top w:val="single" w:sz="4" w:space="1" w:color="FFFFFF"/>
        <w:left w:val="single" w:sz="4" w:space="4" w:color="FFFFFF"/>
        <w:bottom w:val="single" w:sz="4" w:space="1" w:color="FFFFFF"/>
        <w:right w:val="single" w:sz="4" w:space="4" w:color="FFFFFF"/>
      </w:pBdr>
      <w:spacing w:after="0" w:line="240" w:lineRule="auto"/>
    </w:pPr>
    <w:rPr>
      <w:rFonts w:asciiTheme="majorHAnsi" w:eastAsia="Times New Roman" w:hAnsiTheme="majorHAnsi" w:cs="Arial"/>
      <w:b/>
      <w:bCs/>
      <w:color w:val="5B9BD5" w:themeColor="accent1"/>
      <w:kern w:val="28"/>
      <w:sz w:val="18"/>
      <w:szCs w:val="18"/>
      <w:lang w:eastAsia="en-GB"/>
    </w:rPr>
  </w:style>
  <w:style w:type="table" w:styleId="TableGrid">
    <w:name w:val="Table Grid"/>
    <w:aliases w:val="SQW Table Grid,with borders"/>
    <w:basedOn w:val="TableNormal"/>
    <w:rsid w:val="006336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6336FB"/>
    <w:rPr>
      <w:rFonts w:asciiTheme="majorHAnsi" w:eastAsia="Times New Roman" w:hAnsiTheme="majorHAnsi" w:cs="Times New Roman"/>
      <w:sz w:val="18"/>
      <w:szCs w:val="16"/>
      <w:lang w:eastAsia="en-GB"/>
    </w:rPr>
  </w:style>
  <w:style w:type="character" w:styleId="CommentReference">
    <w:name w:val="annotation reference"/>
    <w:basedOn w:val="DefaultParagraphFont"/>
    <w:uiPriority w:val="99"/>
    <w:semiHidden/>
    <w:unhideWhenUsed/>
    <w:rsid w:val="006336FB"/>
    <w:rPr>
      <w:sz w:val="16"/>
      <w:szCs w:val="16"/>
    </w:rPr>
  </w:style>
  <w:style w:type="paragraph" w:styleId="CommentText">
    <w:name w:val="annotation text"/>
    <w:basedOn w:val="Normal"/>
    <w:link w:val="CommentTextChar"/>
    <w:uiPriority w:val="99"/>
    <w:unhideWhenUsed/>
    <w:rsid w:val="006336FB"/>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6336FB"/>
    <w:rPr>
      <w:rFonts w:eastAsia="Times New Roman" w:cs="Times New Roman"/>
      <w:sz w:val="20"/>
      <w:szCs w:val="20"/>
      <w:lang w:eastAsia="en-GB"/>
    </w:rPr>
  </w:style>
  <w:style w:type="paragraph" w:styleId="BalloonText">
    <w:name w:val="Balloon Text"/>
    <w:basedOn w:val="Normal"/>
    <w:link w:val="BalloonTextChar"/>
    <w:uiPriority w:val="99"/>
    <w:semiHidden/>
    <w:unhideWhenUsed/>
    <w:rsid w:val="0063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6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3CC7"/>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F53CC7"/>
    <w:rPr>
      <w:rFonts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FF6F0236D2749BE283C4E46DAE8D3" ma:contentTypeVersion="0" ma:contentTypeDescription="Create a new document." ma:contentTypeScope="" ma:versionID="c0917e45f1ed70294948cc2d5d21d102">
  <xsd:schema xmlns:xsd="http://www.w3.org/2001/XMLSchema" xmlns:xs="http://www.w3.org/2001/XMLSchema" xmlns:p="http://schemas.microsoft.com/office/2006/metadata/properties" xmlns:ns2="a9442e0e-a141-401b-87a1-14adcfce7ee8" targetNamespace="http://schemas.microsoft.com/office/2006/metadata/properties" ma:root="true" ma:fieldsID="39200c5fb6d9aef4f09b49c7eac5a0ec" ns2:_="">
    <xsd:import namespace="a9442e0e-a141-401b-87a1-14adcfce7e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42e0e-a141-401b-87a1-14adcfce7e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9442e0e-a141-401b-87a1-14adcfce7ee8">VU4F4JT5AKYX-2807-812</_dlc_DocId>
    <_dlc_DocIdUrl xmlns="a9442e0e-a141-401b-87a1-14adcfce7ee8">
      <Url>http://portal.sqwgroup.com/sqw/projects/16106/_layouts/15/DocIdRedir.aspx?ID=VU4F4JT5AKYX-2807-812</Url>
      <Description>VU4F4JT5AKYX-2807-812</Description>
    </_dlc_DocIdUrl>
  </documentManagement>
</p:properties>
</file>

<file path=customXml/itemProps1.xml><?xml version="1.0" encoding="utf-8"?>
<ds:datastoreItem xmlns:ds="http://schemas.openxmlformats.org/officeDocument/2006/customXml" ds:itemID="{775D3D97-BA35-4DA3-8E07-55B3C2CB8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42e0e-a141-401b-87a1-14adcfce7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EE10E-E6B7-41A6-B94E-CD3DF4467065}">
  <ds:schemaRefs>
    <ds:schemaRef ds:uri="http://schemas.microsoft.com/sharepoint/events"/>
  </ds:schemaRefs>
</ds:datastoreItem>
</file>

<file path=customXml/itemProps3.xml><?xml version="1.0" encoding="utf-8"?>
<ds:datastoreItem xmlns:ds="http://schemas.openxmlformats.org/officeDocument/2006/customXml" ds:itemID="{17112B76-30A1-41A3-9E01-18FC8B3DA6E6}">
  <ds:schemaRefs>
    <ds:schemaRef ds:uri="http://schemas.microsoft.com/sharepoint/v3/contenttype/forms"/>
  </ds:schemaRefs>
</ds:datastoreItem>
</file>

<file path=customXml/itemProps4.xml><?xml version="1.0" encoding="utf-8"?>
<ds:datastoreItem xmlns:ds="http://schemas.openxmlformats.org/officeDocument/2006/customXml" ds:itemID="{9B30F53F-A810-4F59-BAAC-0CC33A9997CF}">
  <ds:schemaRefs>
    <ds:schemaRef ds:uri="a9442e0e-a141-401b-87a1-14adcfce7ee8"/>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Breuer</dc:creator>
  <cp:keywords/>
  <dc:description/>
  <cp:lastModifiedBy>Hannah Hope</cp:lastModifiedBy>
  <cp:revision>2</cp:revision>
  <dcterms:created xsi:type="dcterms:W3CDTF">2015-07-08T10:56:00Z</dcterms:created>
  <dcterms:modified xsi:type="dcterms:W3CDTF">2015-07-08T10:56:00Z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0x0101006A5FF6F0236D2749BE283C4E46DAE8D3</vt:lpwstr>
  </property>
  <property fmtid="{D5CDD505-2E9C-101B-9397-08002B2CF9AE}" pid="3" name="_dlc_DocIdItemGuid">
    <vt:lpwstr>19e7bc4c-3256-4043-bbf1-1595c7100552</vt:lpwstr>
  </property>
</Properties>
</file>