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B601D0" w:rsidRDefault="006A38F6" w:rsidP="000D596D">
      <w:pPr>
        <w:spacing w:after="0" w:line="240" w:lineRule="auto"/>
        <w:ind w:left="579" w:right="930" w:hanging="6"/>
        <w:jc w:val="center"/>
        <w:rPr>
          <w:rFonts w:ascii="Arial" w:eastAsia="Arial" w:hAnsi="Arial" w:cs="Arial"/>
          <w:b/>
          <w:bCs/>
          <w:spacing w:val="3"/>
          <w:sz w:val="40"/>
          <w:szCs w:val="40"/>
        </w:rPr>
      </w:pPr>
      <w:r w:rsidRPr="00B601D0">
        <w:rPr>
          <w:rFonts w:ascii="Arial" w:eastAsia="Arial" w:hAnsi="Arial" w:cs="Arial"/>
          <w:b/>
          <w:bCs/>
          <w:spacing w:val="-1"/>
          <w:sz w:val="40"/>
          <w:szCs w:val="40"/>
        </w:rPr>
        <w:t xml:space="preserve">Contract </w:t>
      </w:r>
      <w:proofErr w:type="spellStart"/>
      <w:r w:rsidRPr="00B601D0">
        <w:rPr>
          <w:rFonts w:ascii="Arial" w:eastAsia="Arial" w:hAnsi="Arial" w:cs="Arial"/>
          <w:b/>
          <w:bCs/>
          <w:spacing w:val="-1"/>
          <w:sz w:val="40"/>
          <w:szCs w:val="40"/>
        </w:rPr>
        <w:t>Contract</w:t>
      </w:r>
      <w:proofErr w:type="spellEnd"/>
      <w:r w:rsidR="0012502F" w:rsidRPr="00B601D0">
        <w:rPr>
          <w:rFonts w:ascii="Arial" w:eastAsia="Arial" w:hAnsi="Arial" w:cs="Arial"/>
          <w:b/>
          <w:bCs/>
          <w:spacing w:val="-1"/>
          <w:sz w:val="40"/>
          <w:szCs w:val="40"/>
        </w:rPr>
        <w:t xml:space="preserve"> </w:t>
      </w:r>
      <w:r w:rsidR="0012502F" w:rsidRPr="00B601D0">
        <w:rPr>
          <w:rFonts w:ascii="Arial" w:eastAsia="Arial" w:hAnsi="Arial" w:cs="Arial"/>
          <w:b/>
          <w:bCs/>
          <w:sz w:val="40"/>
          <w:szCs w:val="40"/>
        </w:rPr>
        <w:t>f</w:t>
      </w:r>
      <w:r w:rsidR="0012502F" w:rsidRPr="00B601D0">
        <w:rPr>
          <w:rFonts w:ascii="Arial" w:eastAsia="Arial" w:hAnsi="Arial" w:cs="Arial"/>
          <w:b/>
          <w:bCs/>
          <w:spacing w:val="-1"/>
          <w:sz w:val="40"/>
          <w:szCs w:val="40"/>
        </w:rPr>
        <w:t>o</w:t>
      </w:r>
      <w:r w:rsidR="0012502F" w:rsidRPr="00B601D0">
        <w:rPr>
          <w:rFonts w:ascii="Arial" w:eastAsia="Arial" w:hAnsi="Arial" w:cs="Arial"/>
          <w:b/>
          <w:bCs/>
          <w:sz w:val="40"/>
          <w:szCs w:val="40"/>
        </w:rPr>
        <w:t>r</w:t>
      </w:r>
      <w:r w:rsidR="0012502F" w:rsidRPr="00B601D0">
        <w:rPr>
          <w:rFonts w:ascii="Arial" w:eastAsia="Arial" w:hAnsi="Arial" w:cs="Arial"/>
          <w:b/>
          <w:bCs/>
          <w:spacing w:val="3"/>
          <w:sz w:val="40"/>
          <w:szCs w:val="40"/>
        </w:rPr>
        <w:t xml:space="preserve"> </w:t>
      </w:r>
    </w:p>
    <w:p w:rsidR="000D596D" w:rsidRPr="00B601D0" w:rsidRDefault="000D596D" w:rsidP="000D596D">
      <w:pPr>
        <w:spacing w:after="0" w:line="240" w:lineRule="auto"/>
        <w:ind w:left="579" w:right="930" w:hanging="6"/>
        <w:jc w:val="center"/>
        <w:rPr>
          <w:rFonts w:ascii="Arial" w:eastAsia="Arial" w:hAnsi="Arial" w:cs="Arial"/>
          <w:b/>
          <w:bCs/>
          <w:spacing w:val="1"/>
          <w:sz w:val="40"/>
          <w:szCs w:val="40"/>
        </w:rPr>
      </w:pPr>
    </w:p>
    <w:p w:rsidR="000D596D" w:rsidRPr="00B601D0" w:rsidRDefault="00B601D0" w:rsidP="000D596D">
      <w:pPr>
        <w:spacing w:after="0" w:line="240" w:lineRule="auto"/>
        <w:ind w:left="579" w:right="930" w:hanging="6"/>
        <w:jc w:val="center"/>
        <w:rPr>
          <w:rFonts w:ascii="Arial" w:eastAsia="Arial" w:hAnsi="Arial" w:cs="Arial"/>
          <w:b/>
          <w:bCs/>
          <w:sz w:val="40"/>
          <w:szCs w:val="40"/>
        </w:rPr>
      </w:pPr>
      <w:r w:rsidRPr="00B601D0">
        <w:rPr>
          <w:rFonts w:ascii="Arial" w:eastAsia="Arial" w:hAnsi="Arial" w:cs="Arial"/>
          <w:b/>
          <w:bCs/>
          <w:spacing w:val="1"/>
          <w:sz w:val="40"/>
          <w:szCs w:val="40"/>
        </w:rPr>
        <w:t>700007677</w:t>
      </w:r>
      <w:r w:rsidR="0012502F" w:rsidRPr="00B601D0">
        <w:rPr>
          <w:rFonts w:ascii="Arial" w:eastAsia="Arial" w:hAnsi="Arial" w:cs="Arial"/>
          <w:b/>
          <w:bCs/>
          <w:spacing w:val="6"/>
          <w:sz w:val="40"/>
          <w:szCs w:val="40"/>
        </w:rPr>
        <w:t xml:space="preserve"> </w:t>
      </w:r>
      <w:r w:rsidR="0012502F" w:rsidRPr="00B601D0">
        <w:rPr>
          <w:rFonts w:ascii="Arial" w:eastAsia="Arial" w:hAnsi="Arial" w:cs="Arial"/>
          <w:b/>
          <w:bCs/>
          <w:sz w:val="40"/>
          <w:szCs w:val="40"/>
        </w:rPr>
        <w:t xml:space="preserve">– </w:t>
      </w:r>
    </w:p>
    <w:p w:rsidR="000D596D" w:rsidRPr="00B601D0" w:rsidRDefault="000D596D" w:rsidP="000D596D">
      <w:pPr>
        <w:spacing w:after="0" w:line="240" w:lineRule="auto"/>
        <w:ind w:left="579" w:right="930" w:hanging="6"/>
        <w:jc w:val="center"/>
        <w:rPr>
          <w:rFonts w:ascii="Arial" w:eastAsia="Arial" w:hAnsi="Arial" w:cs="Arial"/>
          <w:b/>
          <w:bCs/>
          <w:sz w:val="40"/>
          <w:szCs w:val="40"/>
        </w:rPr>
      </w:pPr>
    </w:p>
    <w:p w:rsidR="00640172" w:rsidRPr="00B601D0" w:rsidRDefault="0012502F" w:rsidP="000D596D">
      <w:pPr>
        <w:spacing w:after="0" w:line="240" w:lineRule="auto"/>
        <w:ind w:left="579" w:right="930" w:hanging="6"/>
        <w:jc w:val="center"/>
        <w:rPr>
          <w:rFonts w:ascii="Arial" w:eastAsia="Arial" w:hAnsi="Arial" w:cs="Arial"/>
          <w:sz w:val="40"/>
          <w:szCs w:val="40"/>
        </w:rPr>
      </w:pPr>
      <w:r w:rsidRPr="00B601D0">
        <w:rPr>
          <w:rFonts w:ascii="Arial" w:eastAsia="Arial" w:hAnsi="Arial" w:cs="Arial"/>
          <w:b/>
          <w:bCs/>
          <w:sz w:val="40"/>
          <w:szCs w:val="40"/>
        </w:rPr>
        <w:t>P</w:t>
      </w:r>
      <w:r w:rsidRPr="00B601D0">
        <w:rPr>
          <w:rFonts w:ascii="Arial" w:eastAsia="Arial" w:hAnsi="Arial" w:cs="Arial"/>
          <w:b/>
          <w:bCs/>
          <w:spacing w:val="-1"/>
          <w:sz w:val="40"/>
          <w:szCs w:val="40"/>
        </w:rPr>
        <w:t>u</w:t>
      </w:r>
      <w:r w:rsidRPr="00B601D0">
        <w:rPr>
          <w:rFonts w:ascii="Arial" w:eastAsia="Arial" w:hAnsi="Arial" w:cs="Arial"/>
          <w:b/>
          <w:bCs/>
          <w:spacing w:val="1"/>
          <w:sz w:val="40"/>
          <w:szCs w:val="40"/>
        </w:rPr>
        <w:t>r</w:t>
      </w:r>
      <w:r w:rsidRPr="00B601D0">
        <w:rPr>
          <w:rFonts w:ascii="Arial" w:eastAsia="Arial" w:hAnsi="Arial" w:cs="Arial"/>
          <w:b/>
          <w:bCs/>
          <w:spacing w:val="-3"/>
          <w:sz w:val="40"/>
          <w:szCs w:val="40"/>
        </w:rPr>
        <w:t>c</w:t>
      </w:r>
      <w:r w:rsidRPr="00B601D0">
        <w:rPr>
          <w:rFonts w:ascii="Arial" w:eastAsia="Arial" w:hAnsi="Arial" w:cs="Arial"/>
          <w:b/>
          <w:bCs/>
          <w:spacing w:val="-1"/>
          <w:sz w:val="40"/>
          <w:szCs w:val="40"/>
        </w:rPr>
        <w:t>h</w:t>
      </w:r>
      <w:r w:rsidRPr="00B601D0">
        <w:rPr>
          <w:rFonts w:ascii="Arial" w:eastAsia="Arial" w:hAnsi="Arial" w:cs="Arial"/>
          <w:b/>
          <w:bCs/>
          <w:sz w:val="40"/>
          <w:szCs w:val="40"/>
        </w:rPr>
        <w:t>ase</w:t>
      </w:r>
      <w:r w:rsidRPr="00B601D0">
        <w:rPr>
          <w:rFonts w:ascii="Arial" w:eastAsia="Arial" w:hAnsi="Arial" w:cs="Arial"/>
          <w:b/>
          <w:bCs/>
          <w:spacing w:val="-1"/>
          <w:sz w:val="40"/>
          <w:szCs w:val="40"/>
        </w:rPr>
        <w:t xml:space="preserve"> o</w:t>
      </w:r>
      <w:r w:rsidRPr="00B601D0">
        <w:rPr>
          <w:rFonts w:ascii="Arial" w:eastAsia="Arial" w:hAnsi="Arial" w:cs="Arial"/>
          <w:b/>
          <w:bCs/>
          <w:sz w:val="40"/>
          <w:szCs w:val="40"/>
        </w:rPr>
        <w:t>f</w:t>
      </w:r>
      <w:r w:rsidRPr="00B601D0">
        <w:rPr>
          <w:rFonts w:ascii="Arial" w:eastAsia="Arial" w:hAnsi="Arial" w:cs="Arial"/>
          <w:b/>
          <w:bCs/>
          <w:spacing w:val="1"/>
          <w:sz w:val="40"/>
          <w:szCs w:val="40"/>
        </w:rPr>
        <w:t xml:space="preserve"> </w:t>
      </w:r>
      <w:r w:rsidRPr="00B601D0">
        <w:rPr>
          <w:rFonts w:ascii="Arial" w:eastAsia="Arial" w:hAnsi="Arial" w:cs="Arial"/>
          <w:b/>
          <w:bCs/>
          <w:sz w:val="40"/>
          <w:szCs w:val="40"/>
        </w:rPr>
        <w:t>a</w:t>
      </w:r>
      <w:r w:rsidRPr="00B601D0">
        <w:rPr>
          <w:rFonts w:ascii="Arial" w:eastAsia="Arial" w:hAnsi="Arial" w:cs="Arial"/>
          <w:b/>
          <w:bCs/>
          <w:spacing w:val="-3"/>
          <w:sz w:val="40"/>
          <w:szCs w:val="40"/>
        </w:rPr>
        <w:t xml:space="preserve"> </w:t>
      </w:r>
      <w:proofErr w:type="spellStart"/>
      <w:r w:rsidR="00B601D0" w:rsidRPr="00B601D0">
        <w:rPr>
          <w:rFonts w:ascii="Arial" w:eastAsia="Arial" w:hAnsi="Arial" w:cs="Arial"/>
          <w:b/>
          <w:bCs/>
          <w:spacing w:val="-3"/>
          <w:sz w:val="40"/>
          <w:szCs w:val="40"/>
        </w:rPr>
        <w:t>Colour</w:t>
      </w:r>
      <w:proofErr w:type="spellEnd"/>
      <w:r w:rsidR="00B601D0" w:rsidRPr="00B601D0">
        <w:rPr>
          <w:rFonts w:ascii="Arial" w:eastAsia="Arial" w:hAnsi="Arial" w:cs="Arial"/>
          <w:b/>
          <w:bCs/>
          <w:spacing w:val="-3"/>
          <w:sz w:val="40"/>
          <w:szCs w:val="40"/>
        </w:rPr>
        <w:t xml:space="preserve"> Testing and Perception Diagnosis System</w:t>
      </w:r>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9A41DB" w:rsidRPr="001A005A" w:rsidRDefault="00B601D0" w:rsidP="009A41DB">
      <w:pPr>
        <w:spacing w:after="0"/>
        <w:jc w:val="center"/>
        <w:rPr>
          <w:rFonts w:ascii="Arial" w:hAnsi="Arial" w:cs="Arial"/>
          <w:b/>
          <w:sz w:val="28"/>
          <w:szCs w:val="28"/>
        </w:rPr>
      </w:pPr>
      <w:r w:rsidRPr="001A005A">
        <w:rPr>
          <w:rFonts w:ascii="Arial" w:hAnsi="Arial" w:cs="Arial"/>
          <w:b/>
          <w:sz w:val="28"/>
          <w:szCs w:val="28"/>
        </w:rPr>
        <w:t>13</w:t>
      </w:r>
      <w:r w:rsidR="009A41DB" w:rsidRPr="001A005A">
        <w:rPr>
          <w:rFonts w:ascii="Arial" w:hAnsi="Arial" w:cs="Arial"/>
          <w:b/>
          <w:sz w:val="28"/>
          <w:szCs w:val="28"/>
        </w:rPr>
        <w:t xml:space="preserve"> </w:t>
      </w:r>
      <w:r w:rsidRPr="001A005A">
        <w:rPr>
          <w:rFonts w:ascii="Arial" w:hAnsi="Arial" w:cs="Arial"/>
          <w:b/>
          <w:sz w:val="28"/>
          <w:szCs w:val="28"/>
        </w:rPr>
        <w:t>August</w:t>
      </w:r>
      <w:r w:rsidR="009A41DB" w:rsidRPr="001A005A">
        <w:rPr>
          <w:rFonts w:ascii="Arial" w:hAnsi="Arial" w:cs="Arial"/>
          <w:b/>
          <w:sz w:val="28"/>
          <w:szCs w:val="28"/>
        </w:rPr>
        <w:t xml:space="preserve"> 2019 to </w:t>
      </w:r>
      <w:r w:rsidR="00351BEF">
        <w:rPr>
          <w:rFonts w:ascii="Arial" w:hAnsi="Arial" w:cs="Arial"/>
          <w:b/>
          <w:sz w:val="28"/>
          <w:szCs w:val="28"/>
        </w:rPr>
        <w:t>31</w:t>
      </w:r>
      <w:r w:rsidR="009A41DB" w:rsidRPr="001A005A">
        <w:rPr>
          <w:rFonts w:ascii="Arial" w:hAnsi="Arial" w:cs="Arial"/>
          <w:b/>
          <w:sz w:val="28"/>
          <w:szCs w:val="28"/>
        </w:rPr>
        <w:t xml:space="preserve"> </w:t>
      </w:r>
      <w:r w:rsidR="001A005A" w:rsidRPr="001A005A">
        <w:rPr>
          <w:rFonts w:ascii="Arial" w:hAnsi="Arial" w:cs="Arial"/>
          <w:b/>
          <w:sz w:val="28"/>
          <w:szCs w:val="28"/>
        </w:rPr>
        <w:t>August</w:t>
      </w:r>
      <w:r w:rsidR="009A41DB" w:rsidRPr="001A005A">
        <w:rPr>
          <w:rFonts w:ascii="Arial" w:hAnsi="Arial" w:cs="Arial"/>
          <w:b/>
          <w:sz w:val="28"/>
          <w:szCs w:val="28"/>
        </w:rPr>
        <w:t xml:space="preserve"> 2022</w:t>
      </w:r>
    </w:p>
    <w:p w:rsidR="009A41DB" w:rsidRDefault="009A41DB" w:rsidP="009A41DB">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lastRenderedPageBreak/>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B601D0" w:rsidRDefault="00B601D0" w:rsidP="006A38F6">
            <w:pPr>
              <w:spacing w:after="0" w:line="240" w:lineRule="auto"/>
              <w:rPr>
                <w:rFonts w:ascii="Arial" w:hAnsi="Arial" w:cs="Arial"/>
                <w:sz w:val="20"/>
                <w:szCs w:val="20"/>
              </w:rPr>
            </w:pPr>
            <w:proofErr w:type="spellStart"/>
            <w:r w:rsidRPr="00B601D0">
              <w:rPr>
                <w:rFonts w:ascii="Arial" w:hAnsi="Arial" w:cs="Arial"/>
                <w:sz w:val="20"/>
                <w:szCs w:val="20"/>
              </w:rPr>
              <w:t>Visicomp</w:t>
            </w:r>
            <w:proofErr w:type="spellEnd"/>
            <w:r w:rsidRPr="00B601D0">
              <w:rPr>
                <w:rFonts w:ascii="Arial" w:hAnsi="Arial" w:cs="Arial"/>
                <w:sz w:val="20"/>
                <w:szCs w:val="20"/>
              </w:rPr>
              <w:t xml:space="preserve"> Research</w:t>
            </w:r>
            <w:r w:rsidR="006A38F6" w:rsidRPr="00B601D0">
              <w:rPr>
                <w:rFonts w:ascii="Arial" w:hAnsi="Arial" w:cs="Arial"/>
                <w:sz w:val="20"/>
                <w:szCs w:val="20"/>
              </w:rPr>
              <w:t xml:space="preserve"> Ltd</w:t>
            </w:r>
          </w:p>
          <w:p w:rsidR="006A38F6" w:rsidRPr="00B601D0" w:rsidRDefault="00B601D0" w:rsidP="006A38F6">
            <w:pPr>
              <w:spacing w:after="0" w:line="240" w:lineRule="auto"/>
              <w:rPr>
                <w:rFonts w:ascii="Arial" w:hAnsi="Arial" w:cs="Arial"/>
                <w:sz w:val="20"/>
                <w:szCs w:val="20"/>
              </w:rPr>
            </w:pPr>
            <w:r w:rsidRPr="00B601D0">
              <w:rPr>
                <w:rFonts w:ascii="Arial" w:hAnsi="Arial" w:cs="Arial"/>
                <w:sz w:val="20"/>
                <w:szCs w:val="20"/>
              </w:rPr>
              <w:t>73 Shepherds Hill</w:t>
            </w:r>
          </w:p>
          <w:p w:rsidR="00B601D0" w:rsidRPr="00B601D0" w:rsidRDefault="00B601D0" w:rsidP="006A38F6">
            <w:pPr>
              <w:spacing w:after="0" w:line="240" w:lineRule="auto"/>
              <w:rPr>
                <w:rFonts w:ascii="Arial" w:hAnsi="Arial" w:cs="Arial"/>
                <w:sz w:val="20"/>
                <w:szCs w:val="20"/>
              </w:rPr>
            </w:pPr>
            <w:r w:rsidRPr="00B601D0">
              <w:rPr>
                <w:rFonts w:ascii="Arial" w:hAnsi="Arial" w:cs="Arial"/>
                <w:sz w:val="20"/>
                <w:szCs w:val="20"/>
              </w:rPr>
              <w:t>London</w:t>
            </w:r>
          </w:p>
          <w:p w:rsidR="006A38F6" w:rsidRPr="00B601D0" w:rsidRDefault="00B601D0" w:rsidP="006A38F6">
            <w:pPr>
              <w:pStyle w:val="BodyText2"/>
              <w:jc w:val="left"/>
              <w:rPr>
                <w:rFonts w:ascii="Arial" w:hAnsi="Arial" w:cs="Arial"/>
                <w:b w:val="0"/>
                <w:i w:val="0"/>
              </w:rPr>
            </w:pPr>
            <w:r w:rsidRPr="00B601D0">
              <w:rPr>
                <w:rFonts w:ascii="Arial" w:hAnsi="Arial" w:cs="Arial"/>
                <w:b w:val="0"/>
                <w:i w:val="0"/>
              </w:rPr>
              <w:t>N6 5RE</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even" r:id="rId16"/>
          <w:headerReference w:type="default" r:id="rId17"/>
          <w:footerReference w:type="even" r:id="rId18"/>
          <w:footerReference w:type="default" r:id="rId19"/>
          <w:headerReference w:type="first" r:id="rId20"/>
          <w:footerReference w:type="first" r:id="rId21"/>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B601D0" w:rsidRPr="00615945" w:rsidRDefault="00B601D0" w:rsidP="00B601D0">
      <w:pPr>
        <w:spacing w:before="18" w:after="0" w:line="220" w:lineRule="exact"/>
      </w:pPr>
    </w:p>
    <w:p w:rsidR="00B601D0" w:rsidRPr="009A525C" w:rsidRDefault="00B601D0" w:rsidP="00B601D0">
      <w:pPr>
        <w:spacing w:after="0"/>
        <w:rPr>
          <w:rFonts w:ascii="Arial" w:eastAsia="Calibri" w:hAnsi="Arial" w:cs="Arial"/>
          <w:sz w:val="17"/>
          <w:szCs w:val="17"/>
        </w:rPr>
      </w:pPr>
      <w:bookmarkStart w:id="24" w:name="_Hlk2123342"/>
      <w:r w:rsidRPr="00F527E5">
        <w:rPr>
          <w:rFonts w:ascii="Arial" w:eastAsia="Calibri" w:hAnsi="Arial" w:cs="Arial"/>
          <w:sz w:val="17"/>
          <w:szCs w:val="17"/>
        </w:rPr>
        <w:t>DEF</w:t>
      </w:r>
      <w:r w:rsidRPr="009A525C">
        <w:rPr>
          <w:rFonts w:ascii="Arial" w:eastAsia="Calibri" w:hAnsi="Arial" w:cs="Arial"/>
          <w:sz w:val="17"/>
          <w:szCs w:val="17"/>
        </w:rPr>
        <w:t>CON 5J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11/16) - Unique Identifiers </w:t>
      </w:r>
    </w:p>
    <w:p w:rsidR="00B601D0" w:rsidRDefault="00B601D0" w:rsidP="00B601D0">
      <w:pPr>
        <w:spacing w:after="0"/>
        <w:rPr>
          <w:rFonts w:ascii="Arial" w:eastAsia="Calibri" w:hAnsi="Arial" w:cs="Arial"/>
          <w:sz w:val="17"/>
          <w:szCs w:val="17"/>
        </w:rPr>
      </w:pPr>
      <w:r w:rsidRPr="009A525C">
        <w:rPr>
          <w:rFonts w:ascii="Arial" w:eastAsia="Calibri" w:hAnsi="Arial" w:cs="Arial"/>
          <w:sz w:val="17"/>
          <w:szCs w:val="17"/>
        </w:rPr>
        <w:t>DEFCON 76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12/16) - Contractor's Personnel at Government Establishments </w:t>
      </w:r>
    </w:p>
    <w:p w:rsidR="00B601D0" w:rsidRPr="009A525C" w:rsidRDefault="00B601D0" w:rsidP="00B601D0">
      <w:pPr>
        <w:spacing w:after="0"/>
        <w:rPr>
          <w:rFonts w:ascii="Arial" w:eastAsia="Calibri" w:hAnsi="Arial" w:cs="Arial"/>
          <w:sz w:val="17"/>
          <w:szCs w:val="17"/>
        </w:rPr>
      </w:pPr>
      <w:r>
        <w:rPr>
          <w:rFonts w:ascii="Arial" w:eastAsia="Calibri" w:hAnsi="Arial" w:cs="Arial"/>
          <w:sz w:val="17"/>
          <w:szCs w:val="17"/>
        </w:rPr>
        <w:t>DEFCON 82 (</w:t>
      </w:r>
      <w:proofErr w:type="spellStart"/>
      <w:r>
        <w:rPr>
          <w:rFonts w:ascii="Arial" w:eastAsia="Calibri" w:hAnsi="Arial" w:cs="Arial"/>
          <w:sz w:val="17"/>
          <w:szCs w:val="17"/>
        </w:rPr>
        <w:t>Ddn</w:t>
      </w:r>
      <w:proofErr w:type="spellEnd"/>
      <w:r>
        <w:rPr>
          <w:rFonts w:ascii="Arial" w:eastAsia="Calibri" w:hAnsi="Arial" w:cs="Arial"/>
          <w:sz w:val="17"/>
          <w:szCs w:val="17"/>
        </w:rPr>
        <w:t xml:space="preserve"> 11/16) – Special Procedure for Initial Spares</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129J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06/17)– The Use of the Electronic Business Delivery Form </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502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11/16)- Specifications Changes </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503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12/16) – Formal Amendments to Contract </w:t>
      </w:r>
    </w:p>
    <w:p w:rsidR="00B601D0" w:rsidRPr="009A525C" w:rsidRDefault="00B601D0" w:rsidP="00B601D0">
      <w:pPr>
        <w:spacing w:after="0"/>
        <w:rPr>
          <w:rFonts w:ascii="Arial" w:eastAsia="Calibri" w:hAnsi="Arial" w:cs="Arial"/>
          <w:sz w:val="17"/>
          <w:szCs w:val="17"/>
        </w:rPr>
      </w:pPr>
      <w:bookmarkStart w:id="25" w:name="_Hlk2121791"/>
      <w:r w:rsidRPr="009A525C">
        <w:rPr>
          <w:rFonts w:ascii="Arial" w:eastAsia="Calibri" w:hAnsi="Arial" w:cs="Arial"/>
          <w:sz w:val="17"/>
          <w:szCs w:val="17"/>
        </w:rPr>
        <w:t>DEFCON 532B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05/18) - Protection of Personal Data</w:t>
      </w:r>
    </w:p>
    <w:bookmarkEnd w:id="25"/>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534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06/17) – Subcontracting and Prompt Payment</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538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06/02) - Severability </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566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12/18) - Change of Control of Contractor </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609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08/18) or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08/18) - Contractor's Records </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620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12/16)– Contract Change Control Procedure</w:t>
      </w:r>
    </w:p>
    <w:p w:rsidR="00B601D0" w:rsidRPr="009A525C" w:rsidRDefault="00B601D0" w:rsidP="00B601D0">
      <w:pPr>
        <w:spacing w:after="0"/>
        <w:rPr>
          <w:rFonts w:ascii="Arial" w:eastAsia="Calibri" w:hAnsi="Arial" w:cs="Arial"/>
          <w:sz w:val="17"/>
          <w:szCs w:val="17"/>
        </w:rPr>
      </w:pPr>
      <w:r w:rsidRPr="009A525C">
        <w:rPr>
          <w:rFonts w:ascii="Arial" w:eastAsia="Calibri" w:hAnsi="Arial" w:cs="Arial"/>
          <w:sz w:val="17"/>
          <w:szCs w:val="17"/>
        </w:rPr>
        <w:t>DEFCON 627 SC1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12/16) - Requirement for a Certificate of Conformity </w:t>
      </w:r>
    </w:p>
    <w:p w:rsidR="00B601D0" w:rsidRPr="00F527E5" w:rsidRDefault="00B601D0" w:rsidP="00B601D0">
      <w:pPr>
        <w:spacing w:after="0"/>
        <w:rPr>
          <w:rFonts w:ascii="Arial" w:eastAsia="Calibri" w:hAnsi="Arial" w:cs="Arial"/>
          <w:sz w:val="17"/>
          <w:szCs w:val="17"/>
        </w:rPr>
      </w:pPr>
      <w:r w:rsidRPr="009A525C">
        <w:rPr>
          <w:rFonts w:ascii="Arial" w:eastAsia="Calibri" w:hAnsi="Arial" w:cs="Arial"/>
          <w:sz w:val="17"/>
          <w:szCs w:val="17"/>
        </w:rPr>
        <w:t>DEFCON 656A (</w:t>
      </w:r>
      <w:proofErr w:type="spellStart"/>
      <w:r w:rsidRPr="009A525C">
        <w:rPr>
          <w:rFonts w:ascii="Arial" w:eastAsia="Calibri" w:hAnsi="Arial" w:cs="Arial"/>
          <w:sz w:val="17"/>
          <w:szCs w:val="17"/>
        </w:rPr>
        <w:t>Edn</w:t>
      </w:r>
      <w:proofErr w:type="spellEnd"/>
      <w:r w:rsidRPr="009A525C">
        <w:rPr>
          <w:rFonts w:ascii="Arial" w:eastAsia="Calibri" w:hAnsi="Arial" w:cs="Arial"/>
          <w:sz w:val="17"/>
          <w:szCs w:val="17"/>
        </w:rPr>
        <w:t xml:space="preserve"> 08/</w:t>
      </w:r>
      <w:r w:rsidRPr="00F527E5">
        <w:rPr>
          <w:rFonts w:ascii="Arial" w:eastAsia="Calibri" w:hAnsi="Arial" w:cs="Arial"/>
          <w:sz w:val="17"/>
          <w:szCs w:val="17"/>
        </w:rPr>
        <w:t xml:space="preserve">16) - Termination for Convenience Under £5m </w:t>
      </w:r>
    </w:p>
    <w:bookmarkEnd w:id="24"/>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B27E45" w:rsidRDefault="00B27E45" w:rsidP="00B27E45">
      <w:pPr>
        <w:spacing w:after="0"/>
        <w:rPr>
          <w:rFonts w:ascii="Arial" w:hAnsi="Arial" w:cs="Arial"/>
          <w:sz w:val="17"/>
          <w:szCs w:val="17"/>
        </w:rPr>
      </w:pPr>
      <w:r>
        <w:rPr>
          <w:rFonts w:ascii="Arial" w:hAnsi="Arial" w:cs="Arial"/>
          <w:sz w:val="17"/>
          <w:szCs w:val="17"/>
        </w:rPr>
        <w:t xml:space="preserve">Requirements to be delivered in accordance with this contract and tender </w:t>
      </w:r>
      <w:r w:rsidRPr="001A005A">
        <w:rPr>
          <w:rFonts w:ascii="Arial" w:hAnsi="Arial" w:cs="Arial"/>
          <w:sz w:val="17"/>
          <w:szCs w:val="17"/>
        </w:rPr>
        <w:t xml:space="preserve">dated </w:t>
      </w:r>
      <w:r w:rsidR="001A005A" w:rsidRPr="001A005A">
        <w:rPr>
          <w:rFonts w:ascii="Arial" w:hAnsi="Arial" w:cs="Arial"/>
          <w:sz w:val="17"/>
          <w:szCs w:val="17"/>
        </w:rPr>
        <w:t>09 July</w:t>
      </w:r>
      <w:r w:rsidRPr="001A005A">
        <w:rPr>
          <w:rFonts w:ascii="Arial" w:hAnsi="Arial" w:cs="Arial"/>
          <w:sz w:val="17"/>
          <w:szCs w:val="17"/>
        </w:rPr>
        <w:t xml:space="preserve"> 2019.</w:t>
      </w: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22"/>
          <w:footerReference w:type="default" r:id="rId23"/>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6" w:name="MULTIT1_po_number1"/>
      <w:bookmarkEnd w:id="26"/>
      <w:r w:rsidRPr="002F2164">
        <w:rPr>
          <w:rFonts w:ascii="Arial" w:eastAsia="Times New Roman" w:hAnsi="Arial" w:cs="Arial"/>
          <w:b/>
          <w:bCs/>
          <w:iCs/>
          <w:szCs w:val="20"/>
          <w:lang w:val="en-GB" w:eastAsia="en-GB"/>
        </w:rPr>
        <w:t xml:space="preserve">  </w:t>
      </w:r>
      <w:r w:rsidR="00B601D0">
        <w:rPr>
          <w:rFonts w:ascii="Arial" w:eastAsia="Times New Roman" w:hAnsi="Arial" w:cs="Arial"/>
          <w:bCs/>
          <w:iCs/>
          <w:szCs w:val="20"/>
          <w:lang w:val="en-GB" w:eastAsia="en-GB"/>
        </w:rPr>
        <w:t>700007677</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27" w:name="MULTIT1_po_description1"/>
      <w:bookmarkEnd w:id="27"/>
      <w:r w:rsidR="00A04DEC">
        <w:rPr>
          <w:rFonts w:ascii="Arial" w:eastAsia="Times New Roman" w:hAnsi="Arial" w:cs="Arial"/>
          <w:b/>
          <w:bCs/>
          <w:iCs/>
          <w:szCs w:val="20"/>
          <w:lang w:val="en-GB" w:eastAsia="en-GB"/>
        </w:rPr>
        <w:t xml:space="preserve">  </w:t>
      </w:r>
      <w:r w:rsidRPr="00B601D0">
        <w:t xml:space="preserve">Provision of </w:t>
      </w:r>
      <w:proofErr w:type="spellStart"/>
      <w:r w:rsidR="00B601D0" w:rsidRPr="00B601D0">
        <w:t>Colour</w:t>
      </w:r>
      <w:proofErr w:type="spellEnd"/>
      <w:r w:rsidR="00B601D0" w:rsidRPr="00B601D0">
        <w:t xml:space="preserve"> Testing and Perception Diagnosis System</w:t>
      </w: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11746D" w:rsidRDefault="002F2164" w:rsidP="002F2164">
      <w:pPr>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B601D0" w:rsidRPr="0011746D">
        <w:rPr>
          <w:rFonts w:ascii="Arial" w:eastAsia="Times New Roman" w:hAnsi="Arial" w:cs="Arial"/>
          <w:bCs/>
          <w:iCs/>
          <w:szCs w:val="20"/>
          <w:lang w:val="en-GB" w:eastAsia="en-GB"/>
        </w:rPr>
        <w:t>13 August</w:t>
      </w:r>
      <w:r w:rsidRPr="0011746D">
        <w:rPr>
          <w:rFonts w:ascii="Arial" w:eastAsia="Times New Roman" w:hAnsi="Arial" w:cs="Arial"/>
          <w:bCs/>
          <w:iCs/>
          <w:szCs w:val="20"/>
          <w:lang w:val="en-GB" w:eastAsia="en-GB"/>
        </w:rPr>
        <w:t xml:space="preserve"> 2018</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8" w:name="MULTIpo_title1"/>
      <w:bookmarkEnd w:id="28"/>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w:t>
            </w:r>
            <w:r w:rsidRPr="001A005A">
              <w:rPr>
                <w:rFonts w:ascii="Arial" w:eastAsia="Times New Roman" w:hAnsi="Arial" w:cs="Arial"/>
                <w:sz w:val="20"/>
                <w:szCs w:val="20"/>
                <w:lang w:val="en-GB" w:eastAsia="en-GB"/>
              </w:rPr>
              <w:t xml:space="preserve">: </w:t>
            </w:r>
            <w:proofErr w:type="spellStart"/>
            <w:r w:rsidR="001A005A" w:rsidRPr="001A005A">
              <w:rPr>
                <w:rFonts w:ascii="Arial" w:eastAsia="Times New Roman" w:hAnsi="Arial" w:cs="Arial"/>
                <w:sz w:val="20"/>
                <w:szCs w:val="20"/>
                <w:lang w:val="en-GB" w:eastAsia="en-GB"/>
              </w:rPr>
              <w:t>Visicomp</w:t>
            </w:r>
            <w:proofErr w:type="spellEnd"/>
            <w:r w:rsidR="001A005A" w:rsidRPr="001A005A">
              <w:rPr>
                <w:rFonts w:ascii="Arial" w:eastAsia="Times New Roman" w:hAnsi="Arial" w:cs="Arial"/>
                <w:sz w:val="20"/>
                <w:szCs w:val="20"/>
                <w:lang w:val="en-GB" w:eastAsia="en-GB"/>
              </w:rPr>
              <w:t xml:space="preserve"> Research Ltd</w:t>
            </w:r>
          </w:p>
          <w:p w:rsidR="002F2164" w:rsidRPr="001A005A"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 xml:space="preserve">Registered Address: </w:t>
            </w:r>
            <w:r w:rsidR="001A005A" w:rsidRPr="001A005A">
              <w:rPr>
                <w:rFonts w:ascii="Arial" w:eastAsia="Times New Roman" w:hAnsi="Arial" w:cs="Arial"/>
                <w:sz w:val="20"/>
                <w:szCs w:val="20"/>
                <w:lang w:val="en-GB" w:eastAsia="en-GB"/>
              </w:rPr>
              <w:t>73 Shepherds Hill, London, N6 5RE</w:t>
            </w:r>
          </w:p>
          <w:bookmarkStart w:id="29" w:name="SupplierAddress2"/>
          <w:bookmarkEnd w:id="29"/>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B601D0" w:rsidRDefault="002F2164" w:rsidP="002F2164">
            <w:pPr>
              <w:spacing w:after="0" w:line="240" w:lineRule="auto"/>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0" w:name="QA_AQAP"/>
            <w:bookmarkEnd w:id="30"/>
            <w:r w:rsidRPr="00B601D0">
              <w:rPr>
                <w:rFonts w:ascii="Arial" w:eastAsia="Times New Roman" w:hAnsi="Arial" w:cs="Arial"/>
                <w:sz w:val="20"/>
                <w:szCs w:val="20"/>
                <w:lang w:val="en-GB" w:eastAsia="en-GB"/>
              </w:rPr>
              <w:t>AQAP 2130</w:t>
            </w: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def_stans"/>
            <w:bookmarkEnd w:id="31"/>
            <w:r w:rsidRPr="00B601D0">
              <w:rPr>
                <w:rFonts w:ascii="Arial" w:eastAsia="Times New Roman" w:hAnsi="Arial" w:cs="Arial"/>
                <w:sz w:val="20"/>
                <w:szCs w:val="20"/>
                <w:lang w:val="en-GB" w:eastAsia="en-GB"/>
              </w:rPr>
              <w:t>DEF-STAN 05-61 PART 4</w:t>
            </w:r>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2"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2"/>
            <w:r w:rsidRPr="002F2164">
              <w:rPr>
                <w:rFonts w:ascii="Arial" w:eastAsia="Times New Roman" w:hAnsi="Arial" w:cs="Arial"/>
                <w:sz w:val="20"/>
                <w:szCs w:val="20"/>
                <w:lang w:val="en-GB" w:eastAsia="en-GB"/>
              </w:rPr>
              <w:t>Delivered by the Contactor</w:t>
            </w:r>
            <w:bookmarkStart w:id="33" w:name="transport_no"/>
            <w:r w:rsidRPr="002F2164">
              <w:rPr>
                <w:rFonts w:ascii="Arial" w:eastAsia="Times New Roman" w:hAnsi="Arial" w:cs="Arial"/>
                <w:sz w:val="20"/>
                <w:szCs w:val="20"/>
                <w:lang w:val="en-GB" w:eastAsia="en-GB"/>
              </w:rPr>
              <w:t xml:space="preserve">           </w:t>
            </w:r>
            <w:bookmarkEnd w:id="33"/>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2073D6">
              <w:rPr>
                <w:rFonts w:ascii="Arial" w:eastAsia="Times New Roman" w:hAnsi="Arial" w:cs="Arial"/>
                <w:szCs w:val="20"/>
                <w:lang w:val="en-GB" w:eastAsia="en-GB"/>
              </w:rPr>
            </w:r>
            <w:r w:rsidR="002073D6">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4" w:name="transport_yes"/>
            <w:r w:rsidRPr="002F2164">
              <w:rPr>
                <w:rFonts w:ascii="Arial" w:eastAsia="Times New Roman" w:hAnsi="Arial" w:cs="Arial"/>
                <w:b/>
                <w:szCs w:val="20"/>
                <w:lang w:val="en-GB" w:eastAsia="en-GB"/>
              </w:rPr>
              <w:instrText xml:space="preserve"> FORMCHECKBOX </w:instrText>
            </w:r>
            <w:r w:rsidR="002073D6">
              <w:rPr>
                <w:rFonts w:ascii="Arial" w:eastAsia="Times New Roman" w:hAnsi="Arial" w:cs="Arial"/>
                <w:b/>
                <w:szCs w:val="20"/>
                <w:lang w:val="en-GB" w:eastAsia="en-GB"/>
              </w:rPr>
            </w:r>
            <w:r w:rsidR="002073D6">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5" w:name="delivery_reqt"/>
            <w:bookmarkEnd w:id="35"/>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The Contractor shall be required to attend the following meetings:</w:t>
            </w: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Subject: </w:t>
            </w:r>
            <w:bookmarkStart w:id="36" w:name="meetings_type"/>
            <w:bookmarkStart w:id="37" w:name="_Hlk96560"/>
            <w:bookmarkEnd w:id="36"/>
            <w:r w:rsidR="00B27E45" w:rsidRPr="00B601D0">
              <w:rPr>
                <w:rFonts w:ascii="Arial" w:eastAsia="Times New Roman" w:hAnsi="Arial" w:cs="Arial"/>
                <w:sz w:val="20"/>
                <w:szCs w:val="20"/>
                <w:lang w:val="en-GB" w:eastAsia="en-GB"/>
              </w:rPr>
              <w:t>To be arranged as required</w:t>
            </w:r>
            <w:bookmarkEnd w:id="37"/>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Frequency: </w:t>
            </w:r>
            <w:bookmarkStart w:id="38" w:name="meetings_frequency"/>
            <w:bookmarkEnd w:id="38"/>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B601D0">
              <w:rPr>
                <w:rFonts w:ascii="Arial" w:eastAsia="Times New Roman" w:hAnsi="Arial" w:cs="Arial"/>
                <w:sz w:val="20"/>
                <w:szCs w:val="20"/>
                <w:lang w:val="en-GB" w:eastAsia="en-GB"/>
              </w:rPr>
              <w:t xml:space="preserve">Location: </w:t>
            </w:r>
            <w:bookmarkStart w:id="39" w:name="meetings_location"/>
            <w:bookmarkEnd w:id="39"/>
          </w:p>
          <w:p w:rsidR="002F2164" w:rsidRPr="00B601D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The Contractor is required to submit the following Reports:</w:t>
            </w: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Subject: </w:t>
            </w:r>
            <w:bookmarkStart w:id="40" w:name="reports_type"/>
            <w:bookmarkEnd w:id="40"/>
            <w:r w:rsidR="00B27E45" w:rsidRPr="00B601D0">
              <w:rPr>
                <w:rFonts w:ascii="Arial" w:eastAsia="Times New Roman" w:hAnsi="Arial" w:cs="Arial"/>
                <w:sz w:val="20"/>
                <w:szCs w:val="20"/>
                <w:lang w:val="en-GB" w:eastAsia="en-GB"/>
              </w:rPr>
              <w:t>To be arranged as required</w:t>
            </w: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Frequency: </w:t>
            </w:r>
            <w:bookmarkStart w:id="41" w:name="reports_frequency"/>
            <w:bookmarkEnd w:id="41"/>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Method of Delivery: </w:t>
            </w:r>
            <w:bookmarkStart w:id="42" w:name="reports_delivery"/>
            <w:bookmarkEnd w:id="42"/>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601D0"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B601D0">
              <w:rPr>
                <w:rFonts w:ascii="Arial" w:eastAsia="Times New Roman" w:hAnsi="Arial" w:cs="Arial"/>
                <w:sz w:val="20"/>
                <w:szCs w:val="20"/>
                <w:lang w:val="en-GB" w:eastAsia="en-GB"/>
              </w:rPr>
              <w:t xml:space="preserve">Delivery Address: </w:t>
            </w:r>
            <w:bookmarkStart w:id="43" w:name="MULTIpm_or_equip_supp_man1"/>
            <w:bookmarkEnd w:id="43"/>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5"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4" w:name="defform68_sds_date"/>
            <w:bookmarkEnd w:id="4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6"/>
          <w:footerReference w:type="default" r:id="rId27"/>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5" w:name="defform111"/>
            <w:bookmarkEnd w:id="45"/>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1A005A"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1A005A">
              <w:rPr>
                <w:rFonts w:ascii="Arial" w:eastAsia="Times New Roman" w:hAnsi="Arial" w:cs="Arial"/>
                <w:b/>
                <w:sz w:val="16"/>
                <w:szCs w:val="16"/>
                <w:lang w:val="en-GB" w:eastAsia="en-GB"/>
              </w:rPr>
              <w:t>Commercial Officer:</w:t>
            </w:r>
          </w:p>
          <w:p w:rsidR="002F2164" w:rsidRPr="001A005A" w:rsidRDefault="002F2164" w:rsidP="00A04DEC">
            <w:pPr>
              <w:spacing w:before="120"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 xml:space="preserve">Name: </w:t>
            </w:r>
            <w:bookmarkStart w:id="46" w:name="contract_branch_appendix"/>
            <w:bookmarkEnd w:id="46"/>
            <w:r w:rsidR="001A005A" w:rsidRPr="001A005A">
              <w:rPr>
                <w:rFonts w:ascii="Arial" w:eastAsia="Times New Roman" w:hAnsi="Arial" w:cs="Arial"/>
                <w:sz w:val="16"/>
                <w:szCs w:val="16"/>
                <w:lang w:val="en-GB" w:eastAsia="en-GB"/>
              </w:rPr>
              <w:t>Keiran Jones</w:t>
            </w:r>
          </w:p>
          <w:p w:rsidR="002F2164" w:rsidRPr="001A005A" w:rsidRDefault="002F2164" w:rsidP="00A04DEC">
            <w:pPr>
              <w:spacing w:after="0" w:line="240" w:lineRule="auto"/>
              <w:rPr>
                <w:rFonts w:ascii="Arial" w:eastAsia="Times New Roman" w:hAnsi="Arial" w:cs="Arial"/>
                <w:sz w:val="16"/>
                <w:szCs w:val="16"/>
                <w:lang w:val="en-GB" w:eastAsia="en-GB"/>
              </w:rPr>
            </w:pPr>
          </w:p>
          <w:p w:rsidR="002F2164" w:rsidRPr="001A005A" w:rsidRDefault="002F2164" w:rsidP="00A04DEC">
            <w:pPr>
              <w:spacing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 xml:space="preserve">Address: </w:t>
            </w:r>
            <w:bookmarkStart w:id="47" w:name="cb_addr_appendix"/>
            <w:bookmarkEnd w:id="47"/>
            <w:r w:rsidRPr="001A005A">
              <w:rPr>
                <w:rFonts w:ascii="Arial" w:eastAsia="Times New Roman" w:hAnsi="Arial" w:cs="Arial"/>
                <w:sz w:val="16"/>
                <w:szCs w:val="16"/>
                <w:lang w:val="en-GB" w:eastAsia="en-GB"/>
              </w:rPr>
              <w:t xml:space="preserve">Room 303, Building 1/080, </w:t>
            </w:r>
            <w:proofErr w:type="spellStart"/>
            <w:r w:rsidRPr="001A005A">
              <w:rPr>
                <w:rFonts w:ascii="Arial" w:eastAsia="Times New Roman" w:hAnsi="Arial" w:cs="Arial"/>
                <w:sz w:val="16"/>
                <w:szCs w:val="16"/>
                <w:lang w:val="en-GB" w:eastAsia="en-GB"/>
              </w:rPr>
              <w:t>Jago</w:t>
            </w:r>
            <w:proofErr w:type="spellEnd"/>
            <w:r w:rsidRPr="001A005A">
              <w:rPr>
                <w:rFonts w:ascii="Arial" w:eastAsia="Times New Roman" w:hAnsi="Arial" w:cs="Arial"/>
                <w:sz w:val="16"/>
                <w:szCs w:val="16"/>
                <w:lang w:val="en-GB" w:eastAsia="en-GB"/>
              </w:rPr>
              <w:t xml:space="preserve"> Road, HMNB Portsmouth, PO1 3LU</w:t>
            </w:r>
          </w:p>
          <w:p w:rsidR="002F2164" w:rsidRPr="001A005A" w:rsidRDefault="002F2164" w:rsidP="00A04DEC">
            <w:pPr>
              <w:spacing w:after="0" w:line="240" w:lineRule="auto"/>
              <w:rPr>
                <w:rFonts w:ascii="Arial" w:eastAsia="Times New Roman" w:hAnsi="Arial" w:cs="Arial"/>
                <w:sz w:val="16"/>
                <w:szCs w:val="16"/>
                <w:lang w:val="en-GB" w:eastAsia="en-GB"/>
              </w:rPr>
            </w:pPr>
          </w:p>
          <w:p w:rsidR="002F2164" w:rsidRPr="001A005A" w:rsidRDefault="002F2164" w:rsidP="00A04DEC">
            <w:pPr>
              <w:spacing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 xml:space="preserve">Email: </w:t>
            </w:r>
            <w:r w:rsidR="001A005A" w:rsidRPr="001A005A">
              <w:rPr>
                <w:rFonts w:ascii="Arial" w:eastAsia="Times New Roman" w:hAnsi="Arial" w:cs="Arial"/>
                <w:sz w:val="16"/>
                <w:szCs w:val="16"/>
                <w:lang w:val="en-GB" w:eastAsia="en-GB"/>
              </w:rPr>
              <w:t>keiran.jones231</w:t>
            </w:r>
            <w:r w:rsidRPr="001A005A">
              <w:rPr>
                <w:rFonts w:ascii="Arial" w:eastAsia="Times New Roman" w:hAnsi="Arial" w:cs="Arial"/>
                <w:sz w:val="16"/>
                <w:szCs w:val="16"/>
                <w:lang w:val="en-GB" w:eastAsia="en-GB"/>
              </w:rPr>
              <w:t>@mod.gov.uk</w:t>
            </w:r>
          </w:p>
          <w:p w:rsidR="002F2164" w:rsidRPr="001A005A" w:rsidRDefault="002F2164" w:rsidP="00A04DEC">
            <w:pPr>
              <w:tabs>
                <w:tab w:val="left" w:pos="536"/>
              </w:tabs>
              <w:spacing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sym w:font="Wingdings" w:char="F028"/>
            </w:r>
            <w:r w:rsidRPr="001A005A">
              <w:rPr>
                <w:rFonts w:ascii="Arial" w:eastAsia="Times New Roman" w:hAnsi="Arial" w:cs="Arial"/>
                <w:sz w:val="16"/>
                <w:szCs w:val="16"/>
                <w:lang w:val="en-GB" w:eastAsia="en-GB"/>
              </w:rPr>
              <w:tab/>
            </w:r>
            <w:bookmarkStart w:id="48" w:name="cb_tel_appendix"/>
            <w:bookmarkEnd w:id="48"/>
            <w:r w:rsidRPr="001A005A">
              <w:rPr>
                <w:rFonts w:ascii="Arial" w:eastAsia="Times New Roman" w:hAnsi="Arial" w:cs="Arial"/>
                <w:sz w:val="16"/>
                <w:szCs w:val="16"/>
                <w:lang w:val="en-GB" w:eastAsia="en-GB"/>
              </w:rPr>
              <w:t>023927</w:t>
            </w:r>
            <w:r w:rsidR="001A005A" w:rsidRPr="001A005A">
              <w:rPr>
                <w:rFonts w:ascii="Arial" w:eastAsia="Times New Roman" w:hAnsi="Arial" w:cs="Arial"/>
                <w:sz w:val="16"/>
                <w:szCs w:val="16"/>
                <w:lang w:val="en-GB" w:eastAsia="en-GB"/>
              </w:rPr>
              <w:t>25856</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1A005A"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1A005A"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A005A">
              <w:rPr>
                <w:rFonts w:ascii="Arial" w:eastAsia="Times New Roman" w:hAnsi="Arial" w:cs="Arial"/>
                <w:b/>
                <w:sz w:val="16"/>
                <w:szCs w:val="16"/>
                <w:lang w:val="en-GB" w:eastAsia="en-GB"/>
              </w:rPr>
              <w:t xml:space="preserve">Project Manager, Equipment Support Manager or PT Leader </w:t>
            </w:r>
            <w:r w:rsidRPr="001A005A">
              <w:rPr>
                <w:rFonts w:ascii="Arial" w:eastAsia="Times New Roman" w:hAnsi="Arial" w:cs="Arial"/>
                <w:sz w:val="16"/>
                <w:szCs w:val="16"/>
                <w:lang w:val="en-GB" w:eastAsia="en-GB"/>
              </w:rPr>
              <w:t>(from whom technical information is available):</w:t>
            </w:r>
          </w:p>
          <w:p w:rsidR="002F2164" w:rsidRPr="001A005A" w:rsidRDefault="002F2164" w:rsidP="00A04DEC">
            <w:pPr>
              <w:spacing w:before="120"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Name:</w:t>
            </w:r>
            <w:r w:rsidR="001A005A" w:rsidRPr="001A005A">
              <w:rPr>
                <w:rFonts w:ascii="Arial" w:eastAsia="Times New Roman" w:hAnsi="Arial" w:cs="Arial"/>
                <w:sz w:val="16"/>
                <w:szCs w:val="16"/>
                <w:lang w:val="en-GB" w:eastAsia="en-GB"/>
              </w:rPr>
              <w:t xml:space="preserve"> </w:t>
            </w:r>
          </w:p>
          <w:p w:rsidR="002F2164" w:rsidRPr="001A005A" w:rsidRDefault="002F2164" w:rsidP="00A04DEC">
            <w:pPr>
              <w:spacing w:after="0" w:line="240" w:lineRule="auto"/>
              <w:rPr>
                <w:rFonts w:ascii="Arial" w:eastAsia="Times New Roman" w:hAnsi="Arial" w:cs="Arial"/>
                <w:sz w:val="16"/>
                <w:szCs w:val="16"/>
                <w:lang w:val="en-GB" w:eastAsia="en-GB"/>
              </w:rPr>
            </w:pPr>
          </w:p>
          <w:p w:rsidR="002F2164" w:rsidRPr="001A005A" w:rsidRDefault="002F2164" w:rsidP="00A04DEC">
            <w:pPr>
              <w:spacing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 xml:space="preserve">Address: </w:t>
            </w:r>
            <w:r w:rsidR="001A005A" w:rsidRPr="001A005A">
              <w:rPr>
                <w:rFonts w:ascii="Arial" w:eastAsia="Times New Roman" w:hAnsi="Arial" w:cs="Arial"/>
                <w:sz w:val="16"/>
                <w:szCs w:val="16"/>
                <w:lang w:val="en-GB" w:eastAsia="en-GB"/>
              </w:rPr>
              <w:t>Navy IMN</w:t>
            </w:r>
          </w:p>
          <w:p w:rsidR="002F2164" w:rsidRPr="001A005A" w:rsidRDefault="002F2164" w:rsidP="00A04DEC">
            <w:pPr>
              <w:spacing w:after="0" w:line="240" w:lineRule="auto"/>
              <w:rPr>
                <w:rFonts w:ascii="Arial" w:eastAsia="Times New Roman" w:hAnsi="Arial" w:cs="Arial"/>
                <w:sz w:val="16"/>
                <w:szCs w:val="16"/>
                <w:lang w:val="en-GB" w:eastAsia="en-GB"/>
              </w:rPr>
            </w:pPr>
            <w:bookmarkStart w:id="49" w:name="pm_addr_appendix"/>
            <w:bookmarkEnd w:id="49"/>
          </w:p>
          <w:p w:rsidR="0011746D" w:rsidRPr="001A005A" w:rsidRDefault="002F2164" w:rsidP="0011746D">
            <w:pPr>
              <w:spacing w:after="0" w:line="240" w:lineRule="auto"/>
              <w:rPr>
                <w:rFonts w:ascii="Arial" w:eastAsia="Times New Roman" w:hAnsi="Arial" w:cs="Arial"/>
                <w:sz w:val="16"/>
                <w:szCs w:val="16"/>
                <w:lang w:val="en-GB" w:eastAsia="en-GB"/>
              </w:rPr>
            </w:pPr>
            <w:r w:rsidRPr="001A005A">
              <w:rPr>
                <w:rFonts w:ascii="Arial" w:eastAsia="Times New Roman" w:hAnsi="Arial" w:cs="Arial"/>
                <w:sz w:val="16"/>
                <w:szCs w:val="16"/>
                <w:lang w:val="en-GB" w:eastAsia="en-GB"/>
              </w:rPr>
              <w:t xml:space="preserve">Email  </w:t>
            </w:r>
            <w:r w:rsidR="001A005A" w:rsidRPr="001A005A">
              <w:t xml:space="preserve"> </w:t>
            </w:r>
          </w:p>
          <w:p w:rsidR="002F2164" w:rsidRPr="001A005A" w:rsidRDefault="002F2164" w:rsidP="00A04DEC">
            <w:pPr>
              <w:tabs>
                <w:tab w:val="left" w:pos="536"/>
              </w:tabs>
              <w:spacing w:after="120" w:line="240" w:lineRule="auto"/>
              <w:rPr>
                <w:rFonts w:ascii="Arial" w:eastAsia="Times New Roman" w:hAnsi="Arial" w:cs="Arial"/>
                <w:sz w:val="16"/>
                <w:szCs w:val="16"/>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50" w:name="consignment"/>
            <w:bookmarkEnd w:id="50"/>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1" w:name="pack_authority"/>
            <w:bookmarkEnd w:id="51"/>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79517E" w:rsidRDefault="0079517E" w:rsidP="0079517E">
            <w:pPr>
              <w:spacing w:after="0" w:line="240" w:lineRule="auto"/>
              <w:rPr>
                <w:rFonts w:ascii="Arial" w:eastAsia="Times New Roman" w:hAnsi="Arial" w:cs="Arial"/>
                <w:b/>
                <w:sz w:val="16"/>
                <w:szCs w:val="16"/>
                <w:lang w:val="en-GB" w:eastAsia="en-GB"/>
              </w:rPr>
            </w:pPr>
          </w:p>
          <w:p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2" w:name="supply_support"/>
            <w:bookmarkEnd w:id="52"/>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53" w:name="drawings_spec"/>
            <w:bookmarkEnd w:id="53"/>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8"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54" w:name="QA_rep"/>
            <w:bookmarkEnd w:id="54"/>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5" w:name="QA_requirements"/>
            <w:bookmarkEnd w:id="55"/>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9"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30"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31"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32"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79517E" w:rsidRDefault="0079517E"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2F2164" w:rsidRPr="002F2164" w:rsidRDefault="002F2164" w:rsidP="0011746D">
            <w:pPr>
              <w:tabs>
                <w:tab w:val="left" w:pos="-426"/>
              </w:tabs>
              <w:suppressAutoHyphens/>
              <w:spacing w:after="0" w:line="240" w:lineRule="auto"/>
              <w:outlineLvl w:val="0"/>
              <w:rPr>
                <w:rFonts w:ascii="Arial" w:eastAsia="Times New Roman" w:hAnsi="Arial" w:cs="Arial"/>
                <w:sz w:val="20"/>
                <w:szCs w:val="20"/>
                <w:lang w:val="en-GB" w:eastAsia="en-GB"/>
              </w:rPr>
            </w:pPr>
            <w:bookmarkStart w:id="56" w:name="csi_1"/>
            <w:bookmarkEnd w:id="56"/>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7" w:name="csi_2"/>
            <w:bookmarkEnd w:id="57"/>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58" w:name="csi_3"/>
            <w:bookmarkEnd w:id="58"/>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59" w:name="csi_4"/>
            <w:bookmarkEnd w:id="59"/>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0" w:name="csi_date"/>
            <w:bookmarkEnd w:id="60"/>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1A005A"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5544C" w:rsidRPr="001A005A">
              <w:rPr>
                <w:rFonts w:ascii="Arial" w:eastAsia="Times New Roman" w:hAnsi="Arial" w:cs="Arial"/>
                <w:sz w:val="20"/>
                <w:szCs w:val="20"/>
                <w:lang w:val="en-GB" w:eastAsia="en-GB"/>
              </w:rPr>
              <w:t xml:space="preserve">90 </w:t>
            </w:r>
            <w:r w:rsidRPr="001A005A">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1" w:name="MULTIpo_title2"/>
            <w:bookmarkEnd w:id="61"/>
            <w:r w:rsidRPr="001A005A">
              <w:rPr>
                <w:rFonts w:ascii="Arial" w:eastAsia="Times New Roman" w:hAnsi="Arial" w:cs="Arial"/>
                <w:sz w:val="20"/>
                <w:szCs w:val="20"/>
                <w:lang w:val="en-GB" w:eastAsia="en-GB"/>
              </w:rPr>
              <w:t>Less Complex Requirements (up to £118,113)</w:t>
            </w:r>
          </w:p>
          <w:p w:rsidR="002F2164" w:rsidRPr="001A005A"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Name (Block Capitals):</w:t>
            </w:r>
            <w:r w:rsidR="00474CD0" w:rsidRPr="001A005A">
              <w:rPr>
                <w:rFonts w:ascii="Arial" w:eastAsia="Times New Roman" w:hAnsi="Arial" w:cs="Arial"/>
                <w:sz w:val="20"/>
                <w:szCs w:val="20"/>
                <w:lang w:val="en-GB" w:eastAsia="en-GB"/>
              </w:rPr>
              <w:t xml:space="preserve"> </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Position:</w:t>
            </w:r>
            <w:r w:rsidR="00474CD0" w:rsidRPr="001A005A">
              <w:rPr>
                <w:rFonts w:ascii="Arial" w:eastAsia="Times New Roman" w:hAnsi="Arial" w:cs="Arial"/>
                <w:sz w:val="20"/>
                <w:szCs w:val="20"/>
                <w:lang w:val="en-GB" w:eastAsia="en-GB"/>
              </w:rPr>
              <w:t xml:space="preserve"> </w:t>
            </w:r>
            <w:r w:rsidR="001A005A" w:rsidRPr="001A005A">
              <w:rPr>
                <w:rFonts w:ascii="Arial" w:eastAsia="Times New Roman" w:hAnsi="Arial" w:cs="Arial"/>
                <w:sz w:val="20"/>
                <w:szCs w:val="20"/>
                <w:lang w:val="en-GB" w:eastAsia="en-GB"/>
              </w:rPr>
              <w:t>DIRECTOR</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For and on behalf of the Contractor:</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Authorised Signatory …</w:t>
            </w:r>
            <w:r w:rsidR="00474CD0" w:rsidRPr="001A005A">
              <w:rPr>
                <w:rFonts w:ascii="Arial" w:eastAsia="Times New Roman" w:hAnsi="Arial" w:cs="Arial"/>
                <w:sz w:val="20"/>
                <w:szCs w:val="20"/>
                <w:lang w:val="en-GB" w:eastAsia="en-GB"/>
              </w:rPr>
              <w:t>signed on original .</w:t>
            </w:r>
            <w:r w:rsidRPr="001A005A">
              <w:rPr>
                <w:rFonts w:ascii="Arial" w:eastAsia="Times New Roman" w:hAnsi="Arial" w:cs="Arial"/>
                <w:sz w:val="20"/>
                <w:szCs w:val="20"/>
                <w:lang w:val="en-GB" w:eastAsia="en-GB"/>
              </w:rPr>
              <w:t>..</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Date:</w:t>
            </w:r>
            <w:r w:rsidR="00474CD0" w:rsidRPr="001A005A">
              <w:rPr>
                <w:rFonts w:ascii="Arial" w:eastAsia="Times New Roman" w:hAnsi="Arial" w:cs="Arial"/>
                <w:sz w:val="20"/>
                <w:szCs w:val="20"/>
                <w:lang w:val="en-GB" w:eastAsia="en-GB"/>
              </w:rPr>
              <w:t xml:space="preserve"> 0</w:t>
            </w:r>
            <w:r w:rsidR="001A005A" w:rsidRPr="001A005A">
              <w:rPr>
                <w:rFonts w:ascii="Arial" w:eastAsia="Times New Roman" w:hAnsi="Arial" w:cs="Arial"/>
                <w:sz w:val="20"/>
                <w:szCs w:val="20"/>
                <w:lang w:val="en-GB" w:eastAsia="en-GB"/>
              </w:rPr>
              <w:t>8</w:t>
            </w:r>
            <w:r w:rsidR="00474CD0" w:rsidRPr="001A005A">
              <w:rPr>
                <w:rFonts w:ascii="Arial" w:eastAsia="Times New Roman" w:hAnsi="Arial" w:cs="Arial"/>
                <w:sz w:val="20"/>
                <w:szCs w:val="20"/>
                <w:lang w:val="en-GB" w:eastAsia="en-GB"/>
              </w:rPr>
              <w:t>/0</w:t>
            </w:r>
            <w:r w:rsidR="001A005A" w:rsidRPr="001A005A">
              <w:rPr>
                <w:rFonts w:ascii="Arial" w:eastAsia="Times New Roman" w:hAnsi="Arial" w:cs="Arial"/>
                <w:sz w:val="20"/>
                <w:szCs w:val="20"/>
                <w:lang w:val="en-GB" w:eastAsia="en-GB"/>
              </w:rPr>
              <w:t>8</w:t>
            </w:r>
            <w:r w:rsidR="00474CD0" w:rsidRPr="001A005A">
              <w:rPr>
                <w:rFonts w:ascii="Arial" w:eastAsia="Times New Roman" w:hAnsi="Arial" w:cs="Arial"/>
                <w:sz w:val="20"/>
                <w:szCs w:val="20"/>
                <w:lang w:val="en-GB" w:eastAsia="en-GB"/>
              </w:rPr>
              <w:t>/1</w:t>
            </w:r>
            <w:r w:rsidR="00E6717A" w:rsidRPr="001A005A">
              <w:rPr>
                <w:rFonts w:ascii="Arial" w:eastAsia="Times New Roman" w:hAnsi="Arial" w:cs="Arial"/>
                <w:sz w:val="20"/>
                <w:szCs w:val="20"/>
                <w:lang w:val="en-GB" w:eastAsia="en-GB"/>
              </w:rPr>
              <w:t>9</w:t>
            </w:r>
          </w:p>
        </w:tc>
        <w:tc>
          <w:tcPr>
            <w:tcW w:w="2500" w:type="pct"/>
          </w:tcPr>
          <w:p w:rsidR="002F2164" w:rsidRPr="001A005A"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B)  Acceptance</w:t>
            </w:r>
          </w:p>
          <w:p w:rsidR="002F2164" w:rsidRPr="001A005A"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1A005A"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1A005A"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 xml:space="preserve">Name (Block Capitals): </w:t>
            </w:r>
          </w:p>
          <w:p w:rsidR="00474CD0" w:rsidRPr="001A005A"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Position: C</w:t>
            </w:r>
            <w:r w:rsidR="00C5544C" w:rsidRPr="001A005A">
              <w:rPr>
                <w:rFonts w:ascii="Arial" w:eastAsia="Times New Roman" w:hAnsi="Arial" w:cs="Arial"/>
                <w:sz w:val="20"/>
                <w:szCs w:val="20"/>
                <w:lang w:val="en-GB" w:eastAsia="en-GB"/>
              </w:rPr>
              <w:t>OMMERCIAL OFFICER</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For and on behalf of the Authority:</w:t>
            </w:r>
            <w:bookmarkStart w:id="62" w:name="Text111"/>
            <w:r w:rsidRPr="001A005A">
              <w:rPr>
                <w:rFonts w:ascii="Arial" w:eastAsia="Times New Roman" w:hAnsi="Arial" w:cs="Arial"/>
                <w:sz w:val="20"/>
                <w:szCs w:val="20"/>
                <w:lang w:val="en-GB" w:eastAsia="en-GB"/>
              </w:rPr>
              <w:fldChar w:fldCharType="begin">
                <w:ffData>
                  <w:name w:val="Text111"/>
                  <w:enabled/>
                  <w:calcOnExit w:val="0"/>
                  <w:textInput/>
                </w:ffData>
              </w:fldChar>
            </w:r>
            <w:r w:rsidRPr="001A005A">
              <w:rPr>
                <w:rFonts w:ascii="Arial" w:eastAsia="Times New Roman" w:hAnsi="Arial" w:cs="Arial"/>
                <w:sz w:val="20"/>
                <w:szCs w:val="20"/>
                <w:lang w:val="en-GB" w:eastAsia="en-GB"/>
              </w:rPr>
              <w:instrText xml:space="preserve"> FORMTEXT </w:instrText>
            </w:r>
            <w:r w:rsidRPr="001A005A">
              <w:rPr>
                <w:rFonts w:ascii="Arial" w:eastAsia="Times New Roman" w:hAnsi="Arial" w:cs="Arial"/>
                <w:sz w:val="20"/>
                <w:szCs w:val="20"/>
                <w:lang w:val="en-GB" w:eastAsia="en-GB"/>
              </w:rPr>
            </w:r>
            <w:r w:rsidRPr="001A005A">
              <w:rPr>
                <w:rFonts w:ascii="Arial" w:eastAsia="Times New Roman" w:hAnsi="Arial" w:cs="Arial"/>
                <w:sz w:val="20"/>
                <w:szCs w:val="20"/>
                <w:lang w:val="en-GB" w:eastAsia="en-GB"/>
              </w:rPr>
              <w:fldChar w:fldCharType="separate"/>
            </w:r>
            <w:r w:rsidRPr="001A005A">
              <w:rPr>
                <w:rFonts w:ascii="Arial" w:eastAsia="Times New Roman" w:hAnsi="Arial" w:cs="Arial"/>
                <w:noProof/>
                <w:sz w:val="20"/>
                <w:szCs w:val="20"/>
                <w:lang w:val="en-GB" w:eastAsia="en-GB"/>
              </w:rPr>
              <w:t> </w:t>
            </w:r>
            <w:r w:rsidRPr="001A005A">
              <w:rPr>
                <w:rFonts w:ascii="Arial" w:eastAsia="Times New Roman" w:hAnsi="Arial" w:cs="Arial"/>
                <w:noProof/>
                <w:sz w:val="20"/>
                <w:szCs w:val="20"/>
                <w:lang w:val="en-GB" w:eastAsia="en-GB"/>
              </w:rPr>
              <w:t> </w:t>
            </w:r>
            <w:r w:rsidRPr="001A005A">
              <w:rPr>
                <w:rFonts w:ascii="Arial" w:eastAsia="Times New Roman" w:hAnsi="Arial" w:cs="Arial"/>
                <w:noProof/>
                <w:sz w:val="20"/>
                <w:szCs w:val="20"/>
                <w:lang w:val="en-GB" w:eastAsia="en-GB"/>
              </w:rPr>
              <w:t> </w:t>
            </w:r>
            <w:r w:rsidRPr="001A005A">
              <w:rPr>
                <w:rFonts w:ascii="Arial" w:eastAsia="Times New Roman" w:hAnsi="Arial" w:cs="Arial"/>
                <w:noProof/>
                <w:sz w:val="20"/>
                <w:szCs w:val="20"/>
                <w:lang w:val="en-GB" w:eastAsia="en-GB"/>
              </w:rPr>
              <w:t> </w:t>
            </w:r>
            <w:r w:rsidRPr="001A005A">
              <w:rPr>
                <w:rFonts w:ascii="Arial" w:eastAsia="Times New Roman" w:hAnsi="Arial" w:cs="Arial"/>
                <w:noProof/>
                <w:sz w:val="20"/>
                <w:szCs w:val="20"/>
                <w:lang w:val="en-GB" w:eastAsia="en-GB"/>
              </w:rPr>
              <w:t> </w:t>
            </w:r>
            <w:r w:rsidRPr="001A005A">
              <w:rPr>
                <w:rFonts w:ascii="Arial" w:eastAsia="Times New Roman" w:hAnsi="Arial" w:cs="Arial"/>
                <w:sz w:val="20"/>
                <w:szCs w:val="20"/>
                <w:lang w:val="en-GB" w:eastAsia="en-GB"/>
              </w:rPr>
              <w:fldChar w:fldCharType="end"/>
            </w:r>
            <w:bookmarkEnd w:id="62"/>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 xml:space="preserve">Authorised Signatory </w:t>
            </w:r>
            <w:r w:rsidR="00474CD0" w:rsidRPr="001A005A">
              <w:rPr>
                <w:rFonts w:ascii="Arial" w:eastAsia="Times New Roman" w:hAnsi="Arial" w:cs="Arial"/>
                <w:sz w:val="20"/>
                <w:szCs w:val="20"/>
                <w:lang w:val="en-GB" w:eastAsia="en-GB"/>
              </w:rPr>
              <w:t>…signed on original ...</w:t>
            </w:r>
          </w:p>
          <w:p w:rsidR="002F2164" w:rsidRPr="001A005A"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Date:</w:t>
            </w:r>
            <w:r w:rsidR="00474CD0" w:rsidRPr="001A005A">
              <w:rPr>
                <w:rFonts w:ascii="Arial" w:eastAsia="Times New Roman" w:hAnsi="Arial" w:cs="Arial"/>
                <w:sz w:val="20"/>
                <w:szCs w:val="20"/>
                <w:lang w:val="en-GB" w:eastAsia="en-GB"/>
              </w:rPr>
              <w:t xml:space="preserve"> </w:t>
            </w:r>
            <w:r w:rsidR="001A005A" w:rsidRPr="001A005A">
              <w:rPr>
                <w:rFonts w:ascii="Arial" w:eastAsia="Times New Roman" w:hAnsi="Arial" w:cs="Arial"/>
                <w:sz w:val="20"/>
                <w:szCs w:val="20"/>
                <w:lang w:val="en-GB" w:eastAsia="en-GB"/>
              </w:rPr>
              <w:t>13</w:t>
            </w:r>
            <w:r w:rsidR="00474CD0" w:rsidRPr="001A005A">
              <w:rPr>
                <w:rFonts w:ascii="Arial" w:eastAsia="Times New Roman" w:hAnsi="Arial" w:cs="Arial"/>
                <w:sz w:val="20"/>
                <w:szCs w:val="20"/>
                <w:lang w:val="en-GB" w:eastAsia="en-GB"/>
              </w:rPr>
              <w:t>/0</w:t>
            </w:r>
            <w:r w:rsidR="001A005A" w:rsidRPr="001A005A">
              <w:rPr>
                <w:rFonts w:ascii="Arial" w:eastAsia="Times New Roman" w:hAnsi="Arial" w:cs="Arial"/>
                <w:sz w:val="20"/>
                <w:szCs w:val="20"/>
                <w:lang w:val="en-GB" w:eastAsia="en-GB"/>
              </w:rPr>
              <w:t>8</w:t>
            </w:r>
            <w:r w:rsidR="00474CD0" w:rsidRPr="001A005A">
              <w:rPr>
                <w:rFonts w:ascii="Arial" w:eastAsia="Times New Roman" w:hAnsi="Arial" w:cs="Arial"/>
                <w:sz w:val="20"/>
                <w:szCs w:val="20"/>
                <w:lang w:val="en-GB" w:eastAsia="en-GB"/>
              </w:rPr>
              <w:t>/1</w:t>
            </w:r>
            <w:r w:rsidR="00E6717A" w:rsidRPr="001A005A">
              <w:rPr>
                <w:rFonts w:ascii="Arial" w:eastAsia="Times New Roman" w:hAnsi="Arial" w:cs="Arial"/>
                <w:sz w:val="20"/>
                <w:szCs w:val="20"/>
                <w:lang w:val="en-GB" w:eastAsia="en-GB"/>
              </w:rPr>
              <w:t>9</w:t>
            </w:r>
          </w:p>
        </w:tc>
      </w:tr>
      <w:tr w:rsidR="002F2164" w:rsidRPr="002F2164" w:rsidTr="002F2164">
        <w:tc>
          <w:tcPr>
            <w:tcW w:w="5000" w:type="pct"/>
            <w:gridSpan w:val="2"/>
          </w:tcPr>
          <w:p w:rsidR="002F2164" w:rsidRPr="001A005A"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A005A">
              <w:rPr>
                <w:rFonts w:ascii="Arial" w:eastAsia="Times New Roman" w:hAnsi="Arial" w:cs="Arial"/>
                <w:sz w:val="20"/>
                <w:szCs w:val="20"/>
                <w:lang w:val="en-GB" w:eastAsia="en-GB"/>
              </w:rPr>
              <w:t xml:space="preserve">C)  </w:t>
            </w:r>
            <w:r w:rsidRPr="001A005A">
              <w:rPr>
                <w:rFonts w:ascii="Arial" w:eastAsia="Times New Roman" w:hAnsi="Arial" w:cs="Arial"/>
                <w:b/>
                <w:sz w:val="20"/>
                <w:szCs w:val="20"/>
                <w:lang w:val="en-GB" w:eastAsia="en-GB"/>
              </w:rPr>
              <w:t>Effective Date of Contract</w:t>
            </w:r>
            <w:r w:rsidRPr="001A005A">
              <w:rPr>
                <w:rFonts w:ascii="Arial" w:eastAsia="Times New Roman" w:hAnsi="Arial" w:cs="Arial"/>
                <w:sz w:val="20"/>
                <w:szCs w:val="20"/>
                <w:lang w:val="en-GB" w:eastAsia="en-GB"/>
              </w:rPr>
              <w:t>:</w:t>
            </w:r>
            <w:r w:rsidR="00474CD0" w:rsidRPr="001A005A">
              <w:rPr>
                <w:rFonts w:ascii="Arial" w:eastAsia="Times New Roman" w:hAnsi="Arial" w:cs="Arial"/>
                <w:sz w:val="20"/>
                <w:szCs w:val="20"/>
                <w:lang w:val="en-GB" w:eastAsia="en-GB"/>
              </w:rPr>
              <w:t xml:space="preserve">  </w:t>
            </w:r>
            <w:r w:rsidR="001A005A" w:rsidRPr="001A005A">
              <w:rPr>
                <w:rFonts w:ascii="Arial" w:eastAsia="Times New Roman" w:hAnsi="Arial" w:cs="Arial"/>
                <w:sz w:val="20"/>
                <w:szCs w:val="20"/>
                <w:lang w:val="en-GB" w:eastAsia="en-GB"/>
              </w:rPr>
              <w:t>1</w:t>
            </w:r>
            <w:r w:rsidR="00474CD0" w:rsidRPr="001A005A">
              <w:rPr>
                <w:rFonts w:ascii="Arial" w:eastAsia="Times New Roman" w:hAnsi="Arial" w:cs="Arial"/>
                <w:sz w:val="20"/>
                <w:szCs w:val="20"/>
                <w:lang w:val="en-GB" w:eastAsia="en-GB"/>
              </w:rPr>
              <w:t>3/0</w:t>
            </w:r>
            <w:r w:rsidR="001A005A" w:rsidRPr="001A005A">
              <w:rPr>
                <w:rFonts w:ascii="Arial" w:eastAsia="Times New Roman" w:hAnsi="Arial" w:cs="Arial"/>
                <w:sz w:val="20"/>
                <w:szCs w:val="20"/>
                <w:lang w:val="en-GB" w:eastAsia="en-GB"/>
              </w:rPr>
              <w:t>8</w:t>
            </w:r>
            <w:r w:rsidR="00474CD0" w:rsidRPr="001A005A">
              <w:rPr>
                <w:rFonts w:ascii="Arial" w:eastAsia="Times New Roman" w:hAnsi="Arial" w:cs="Arial"/>
                <w:sz w:val="20"/>
                <w:szCs w:val="20"/>
                <w:lang w:val="en-GB" w:eastAsia="en-GB"/>
              </w:rPr>
              <w:t>/1</w:t>
            </w:r>
            <w:r w:rsidR="00E6717A" w:rsidRPr="001A005A">
              <w:rPr>
                <w:rFonts w:ascii="Arial" w:eastAsia="Times New Roman" w:hAnsi="Arial" w:cs="Arial"/>
                <w:sz w:val="20"/>
                <w:szCs w:val="20"/>
                <w:lang w:val="en-GB" w:eastAsia="en-GB"/>
              </w:rPr>
              <w:t>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33"/>
          <w:endnotePr>
            <w:numFmt w:val="decimal"/>
          </w:endnotePr>
          <w:pgSz w:w="11907" w:h="16840" w:code="9"/>
          <w:pgMar w:top="1134" w:right="1134" w:bottom="1134" w:left="1134" w:header="283" w:footer="397" w:gutter="0"/>
          <w:cols w:space="720"/>
          <w:docGrid w:linePitch="299"/>
        </w:sectPr>
      </w:pPr>
      <w:bookmarkStart w:id="63" w:name="t1_purchase_order_sor"/>
      <w:bookmarkEnd w:id="63"/>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D51906" w:rsidRPr="00105F48" w:rsidTr="001E66A3">
        <w:trPr>
          <w:trHeight w:val="506"/>
        </w:trPr>
        <w:tc>
          <w:tcPr>
            <w:tcW w:w="5000" w:type="pct"/>
            <w:gridSpan w:val="10"/>
            <w:tcBorders>
              <w:top w:val="single" w:sz="4" w:space="0" w:color="auto"/>
            </w:tcBorders>
            <w:shd w:val="clear" w:color="auto" w:fill="E6E6E6"/>
            <w:tcMar>
              <w:left w:w="28" w:type="dxa"/>
              <w:right w:w="28" w:type="dxa"/>
            </w:tcMar>
          </w:tcPr>
          <w:p w:rsidR="00D51906" w:rsidRPr="00105F48" w:rsidRDefault="00D51906" w:rsidP="001E66A3">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D51906" w:rsidRPr="00105F48" w:rsidTr="001E66A3">
        <w:trPr>
          <w:trHeight w:val="188"/>
        </w:trPr>
        <w:tc>
          <w:tcPr>
            <w:tcW w:w="270" w:type="pct"/>
            <w:vMerge w:val="restart"/>
            <w:tcBorders>
              <w:top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D51906" w:rsidRPr="00105F48" w:rsidRDefault="00D51906" w:rsidP="001E66A3">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D51906" w:rsidRPr="00105F48" w:rsidTr="001E66A3">
        <w:trPr>
          <w:trHeight w:val="897"/>
        </w:trPr>
        <w:tc>
          <w:tcPr>
            <w:tcW w:w="270"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D51906" w:rsidRPr="00105F48" w:rsidRDefault="00D51906" w:rsidP="001E66A3">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 xml:space="preserve">Provision of </w:t>
            </w:r>
            <w:proofErr w:type="spellStart"/>
            <w:r w:rsidRPr="00393F9C">
              <w:rPr>
                <w:rFonts w:ascii="Arial" w:eastAsia="Times New Roman" w:hAnsi="Arial" w:cs="Arial"/>
                <w:sz w:val="20"/>
                <w:szCs w:val="20"/>
                <w:lang w:val="en-GB" w:eastAsia="en-GB"/>
              </w:rPr>
              <w:t>Avot</w:t>
            </w:r>
            <w:proofErr w:type="spellEnd"/>
            <w:r w:rsidRPr="00393F9C">
              <w:rPr>
                <w:rFonts w:ascii="Arial" w:eastAsia="Times New Roman" w:hAnsi="Arial" w:cs="Arial"/>
                <w:sz w:val="20"/>
                <w:szCs w:val="20"/>
                <w:lang w:val="en-GB" w:eastAsia="en-GB"/>
              </w:rPr>
              <w:t>-pro-UK with UK keyboard</w:t>
            </w:r>
          </w:p>
        </w:tc>
        <w:tc>
          <w:tcPr>
            <w:tcW w:w="225" w:type="pct"/>
            <w:shd w:val="clear" w:color="auto" w:fill="auto"/>
          </w:tcPr>
          <w:p w:rsidR="00D51906" w:rsidRPr="00393F9C" w:rsidRDefault="00D51906" w:rsidP="001E66A3">
            <w:pPr>
              <w:jc w:val="cente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2</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Times New Roman"/>
                <w:szCs w:val="20"/>
                <w:lang w:val="en-GB" w:eastAsia="en-GB"/>
              </w:rPr>
            </w:pPr>
            <w:r w:rsidRPr="00393F9C">
              <w:rPr>
                <w:rFonts w:ascii="Arial" w:eastAsia="Times New Roman" w:hAnsi="Arial" w:cs="Arial"/>
                <w:sz w:val="20"/>
                <w:szCs w:val="20"/>
                <w:lang w:val="en-GB" w:eastAsia="en-GB"/>
              </w:rPr>
              <w:t>Provision of Power-UK – Power cable set for Great Britain</w:t>
            </w:r>
          </w:p>
        </w:tc>
        <w:tc>
          <w:tcPr>
            <w:tcW w:w="225" w:type="pct"/>
            <w:shd w:val="clear" w:color="auto" w:fill="auto"/>
          </w:tcPr>
          <w:p w:rsidR="00D51906" w:rsidRPr="00393F9C" w:rsidRDefault="00D51906" w:rsidP="001E66A3">
            <w:pPr>
              <w:jc w:val="cente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3</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Times New Roman"/>
                <w:szCs w:val="20"/>
                <w:lang w:val="en-GB" w:eastAsia="en-GB"/>
              </w:rPr>
            </w:pPr>
            <w:r w:rsidRPr="00393F9C">
              <w:rPr>
                <w:rFonts w:ascii="Arial" w:eastAsia="Times New Roman" w:hAnsi="Arial" w:cs="Arial"/>
                <w:sz w:val="20"/>
                <w:szCs w:val="20"/>
                <w:lang w:val="en-GB" w:eastAsia="en-GB"/>
              </w:rPr>
              <w:t xml:space="preserve">Provision of </w:t>
            </w:r>
            <w:proofErr w:type="spellStart"/>
            <w:r w:rsidRPr="00393F9C">
              <w:rPr>
                <w:rFonts w:ascii="Arial" w:eastAsia="Times New Roman" w:hAnsi="Arial" w:cs="Arial"/>
                <w:sz w:val="20"/>
                <w:szCs w:val="20"/>
                <w:lang w:val="en-GB" w:eastAsia="en-GB"/>
              </w:rPr>
              <w:t>Photom-Mavo</w:t>
            </w:r>
            <w:proofErr w:type="spellEnd"/>
            <w:r w:rsidRPr="00393F9C">
              <w:rPr>
                <w:rFonts w:ascii="Arial" w:eastAsia="Times New Roman" w:hAnsi="Arial" w:cs="Arial"/>
                <w:sz w:val="20"/>
                <w:szCs w:val="20"/>
                <w:lang w:val="en-GB" w:eastAsia="en-GB"/>
              </w:rPr>
              <w:t xml:space="preserve"> – Calibrated Photometer Unit</w:t>
            </w:r>
          </w:p>
        </w:tc>
        <w:tc>
          <w:tcPr>
            <w:tcW w:w="225" w:type="pct"/>
            <w:shd w:val="clear" w:color="auto" w:fill="auto"/>
          </w:tcPr>
          <w:p w:rsidR="00D51906" w:rsidRPr="00393F9C" w:rsidRDefault="00D51906" w:rsidP="001E66A3">
            <w:pPr>
              <w:jc w:val="cente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4</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Times New Roman"/>
                <w:szCs w:val="20"/>
                <w:lang w:val="en-GB" w:eastAsia="en-GB"/>
              </w:rPr>
            </w:pPr>
            <w:r w:rsidRPr="00393F9C">
              <w:rPr>
                <w:rFonts w:ascii="Arial" w:eastAsia="Times New Roman" w:hAnsi="Arial" w:cs="Arial"/>
                <w:sz w:val="20"/>
                <w:szCs w:val="20"/>
                <w:lang w:val="en-GB" w:eastAsia="en-GB"/>
              </w:rPr>
              <w:t>Provision of CAD-Module – CAD test module</w:t>
            </w:r>
          </w:p>
        </w:tc>
        <w:tc>
          <w:tcPr>
            <w:tcW w:w="225" w:type="pct"/>
            <w:shd w:val="clear" w:color="auto" w:fill="auto"/>
          </w:tcPr>
          <w:p w:rsidR="00D51906" w:rsidRPr="00393F9C" w:rsidRDefault="00D51906" w:rsidP="001E66A3">
            <w:pPr>
              <w:jc w:val="cente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bookmarkStart w:id="64" w:name="Start_SOR"/>
            <w:bookmarkEnd w:id="64"/>
            <w:r w:rsidRPr="00393F9C">
              <w:rPr>
                <w:rFonts w:ascii="Arial" w:eastAsia="Times New Roman" w:hAnsi="Arial" w:cs="Arial"/>
                <w:sz w:val="20"/>
                <w:szCs w:val="20"/>
                <w:lang w:val="en-GB" w:eastAsia="en-GB"/>
              </w:rPr>
              <w:t>5</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Times New Roman"/>
                <w:szCs w:val="20"/>
                <w:lang w:val="en-GB" w:eastAsia="en-GB"/>
              </w:rPr>
            </w:pPr>
            <w:r w:rsidRPr="00393F9C">
              <w:rPr>
                <w:rFonts w:ascii="Arial" w:eastAsia="Times New Roman" w:hAnsi="Arial" w:cs="Arial"/>
                <w:sz w:val="20"/>
                <w:szCs w:val="20"/>
                <w:lang w:val="en-GB" w:eastAsia="en-GB"/>
              </w:rPr>
              <w:t>Provision of CAD-CVC-Module Vision Screener module for CAD</w:t>
            </w:r>
          </w:p>
        </w:tc>
        <w:tc>
          <w:tcPr>
            <w:tcW w:w="225" w:type="pct"/>
            <w:shd w:val="clear" w:color="auto" w:fill="auto"/>
          </w:tcPr>
          <w:p w:rsidR="00D51906" w:rsidRPr="00393F9C" w:rsidRDefault="00D51906" w:rsidP="001E66A3">
            <w:pPr>
              <w:jc w:val="cente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6</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Provision of initial installation, calibration and training (onsite, one-day installation of AVOT system, including system calibration, practical training and lectures on colour assessment (includes telephone and email support for 12 months</w:t>
            </w:r>
            <w:r w:rsidR="00351BEF">
              <w:rPr>
                <w:rFonts w:ascii="Arial" w:eastAsia="Times New Roman" w:hAnsi="Arial" w:cs="Arial"/>
                <w:sz w:val="20"/>
                <w:szCs w:val="20"/>
                <w:lang w:val="en-GB" w:eastAsia="en-GB"/>
              </w:rPr>
              <w:t xml:space="preserve"> from delivery date</w:t>
            </w:r>
          </w:p>
        </w:tc>
        <w:tc>
          <w:tcPr>
            <w:tcW w:w="225" w:type="pct"/>
            <w:shd w:val="clear" w:color="auto" w:fill="auto"/>
          </w:tcPr>
          <w:p w:rsidR="00D51906" w:rsidRPr="00393F9C" w:rsidRDefault="00D51906" w:rsidP="001E66A3">
            <w:pPr>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Year 1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2019 to August 2020</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1</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7</w:t>
            </w:r>
          </w:p>
        </w:tc>
        <w:tc>
          <w:tcPr>
            <w:tcW w:w="316"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 xml:space="preserve">Provision of yearly support contract (for 2 years) to include software updates, training and telephone and email advice with interpretation of results, etc. </w:t>
            </w:r>
          </w:p>
        </w:tc>
        <w:tc>
          <w:tcPr>
            <w:tcW w:w="225" w:type="pct"/>
            <w:shd w:val="clear" w:color="auto" w:fill="auto"/>
          </w:tcPr>
          <w:p w:rsidR="00D51906" w:rsidRPr="00393F9C" w:rsidRDefault="00D51906" w:rsidP="001E66A3">
            <w:pPr>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XY</w:t>
            </w:r>
          </w:p>
        </w:tc>
        <w:tc>
          <w:tcPr>
            <w:tcW w:w="270"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00</w:t>
            </w:r>
          </w:p>
        </w:tc>
        <w:tc>
          <w:tcPr>
            <w:tcW w:w="63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 xml:space="preserve">Year 2 and 3 – </w:t>
            </w:r>
          </w:p>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August 2020 to August 2022</w:t>
            </w:r>
          </w:p>
        </w:tc>
        <w:tc>
          <w:tcPr>
            <w:tcW w:w="181" w:type="pct"/>
            <w:shd w:val="clear" w:color="auto" w:fill="auto"/>
          </w:tcPr>
          <w:p w:rsidR="00D51906" w:rsidRPr="00393F9C" w:rsidRDefault="00D51906" w:rsidP="001E66A3">
            <w:pPr>
              <w:spacing w:after="0" w:line="240" w:lineRule="auto"/>
              <w:jc w:val="center"/>
              <w:rPr>
                <w:rFonts w:ascii="Arial" w:eastAsia="Times New Roman" w:hAnsi="Arial" w:cs="Arial"/>
                <w:sz w:val="20"/>
                <w:szCs w:val="20"/>
                <w:lang w:val="en-GB" w:eastAsia="en-GB"/>
              </w:rPr>
            </w:pPr>
            <w:r w:rsidRPr="00393F9C">
              <w:rPr>
                <w:rFonts w:ascii="Arial" w:eastAsia="Times New Roman" w:hAnsi="Arial" w:cs="Arial"/>
                <w:sz w:val="20"/>
                <w:szCs w:val="20"/>
                <w:lang w:val="en-GB" w:eastAsia="en-GB"/>
              </w:rPr>
              <w:t>2</w:t>
            </w:r>
          </w:p>
        </w:tc>
        <w:tc>
          <w:tcPr>
            <w:tcW w:w="513" w:type="pct"/>
            <w:shd w:val="clear" w:color="auto" w:fill="auto"/>
          </w:tcPr>
          <w:p w:rsidR="00D51906" w:rsidRPr="00393F9C" w:rsidRDefault="00D51906" w:rsidP="001E66A3">
            <w:pPr>
              <w:jc w:val="center"/>
            </w:pPr>
          </w:p>
        </w:tc>
        <w:tc>
          <w:tcPr>
            <w:tcW w:w="702" w:type="pct"/>
          </w:tcPr>
          <w:p w:rsidR="00D51906" w:rsidRDefault="00D51906" w:rsidP="001E66A3">
            <w:pPr>
              <w:jc w:val="center"/>
            </w:pPr>
          </w:p>
        </w:tc>
      </w:tr>
      <w:tr w:rsidR="00D51906" w:rsidRPr="00105F48" w:rsidTr="001E66A3">
        <w:trPr>
          <w:trHeight w:val="805"/>
        </w:trPr>
        <w:tc>
          <w:tcPr>
            <w:tcW w:w="270"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D51906" w:rsidRPr="00105F48" w:rsidRDefault="00D51906" w:rsidP="001E66A3">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D51906" w:rsidRPr="00105F48" w:rsidRDefault="00D51906" w:rsidP="001E66A3">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D51906" w:rsidRDefault="00D51906" w:rsidP="001E66A3">
            <w:pPr>
              <w:jc w:val="center"/>
            </w:pPr>
            <w:bookmarkStart w:id="65" w:name="SOR_Total_Price"/>
            <w:bookmarkEnd w:id="65"/>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C749CD">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D51906" w:rsidRDefault="002F2164" w:rsidP="002F2164">
            <w:pPr>
              <w:spacing w:after="0" w:line="240" w:lineRule="auto"/>
              <w:jc w:val="both"/>
              <w:rPr>
                <w:rFonts w:ascii="Arial" w:eastAsia="Times New Roman" w:hAnsi="Arial" w:cs="Times New Roman"/>
                <w:szCs w:val="20"/>
                <w:lang w:val="en-GB" w:eastAsia="en-GB"/>
              </w:rPr>
            </w:pPr>
            <w:bookmarkStart w:id="66" w:name="Start_Consignee_Info"/>
            <w:bookmarkEnd w:id="66"/>
            <w:r w:rsidRPr="00D51906">
              <w:rPr>
                <w:rFonts w:ascii="Arial" w:eastAsia="Times New Roman" w:hAnsi="Arial" w:cs="Times New Roman"/>
                <w:szCs w:val="20"/>
                <w:lang w:val="en-GB" w:eastAsia="en-GB"/>
              </w:rPr>
              <w:t>1, 2, 3, 4, 5</w:t>
            </w:r>
            <w:r w:rsidR="00D51906" w:rsidRPr="00D51906">
              <w:rPr>
                <w:rFonts w:ascii="Arial" w:eastAsia="Times New Roman" w:hAnsi="Arial" w:cs="Times New Roman"/>
                <w:szCs w:val="20"/>
                <w:lang w:val="en-GB" w:eastAsia="en-GB"/>
              </w:rPr>
              <w:t>, 6, 7</w:t>
            </w:r>
          </w:p>
        </w:tc>
        <w:tc>
          <w:tcPr>
            <w:tcW w:w="14821" w:type="dxa"/>
            <w:shd w:val="clear" w:color="auto" w:fill="auto"/>
          </w:tcPr>
          <w:p w:rsidR="002F2164" w:rsidRPr="00D51906" w:rsidRDefault="00FB195A" w:rsidP="002F2164">
            <w:pPr>
              <w:spacing w:after="0" w:line="240" w:lineRule="auto"/>
              <w:jc w:val="both"/>
              <w:rPr>
                <w:rFonts w:ascii="Arial" w:eastAsia="Times New Roman" w:hAnsi="Arial" w:cs="Times New Roman"/>
                <w:lang w:val="en-GB" w:eastAsia="en-GB"/>
              </w:rPr>
            </w:pPr>
            <w:r w:rsidRPr="00D51906">
              <w:t>Service Entry Medical Cell, RM 48a Building 1/079, The Parade, HMNB Portsmouth, PO1 3LU</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4"/>
          <w:footerReference w:type="default" r:id="rId35"/>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67" w:name="tcstart"/>
      <w:bookmarkEnd w:id="67"/>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D51906" w:rsidRPr="00105F48" w:rsidRDefault="00D51906" w:rsidP="00D51906">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Pr="00105F48">
        <w:rPr>
          <w:rFonts w:ascii="Arial" w:eastAsia="Arial" w:hAnsi="Arial" w:cs="Arial"/>
          <w:b/>
          <w:bCs/>
          <w:spacing w:val="-2"/>
          <w:position w:val="-1"/>
          <w:sz w:val="32"/>
          <w:szCs w:val="32"/>
          <w:lang w:val="en-GB" w:eastAsia="en-GB"/>
        </w:rPr>
        <w:t>S</w:t>
      </w:r>
      <w:r w:rsidRPr="00105F48">
        <w:rPr>
          <w:rFonts w:ascii="Arial" w:eastAsia="Arial" w:hAnsi="Arial" w:cs="Arial"/>
          <w:b/>
          <w:bCs/>
          <w:spacing w:val="-8"/>
          <w:position w:val="-1"/>
          <w:sz w:val="32"/>
          <w:szCs w:val="32"/>
          <w:lang w:val="en-GB" w:eastAsia="en-GB"/>
        </w:rPr>
        <w:t>t</w:t>
      </w:r>
      <w:r w:rsidRPr="00105F48">
        <w:rPr>
          <w:rFonts w:ascii="Arial" w:eastAsia="Arial" w:hAnsi="Arial" w:cs="Arial"/>
          <w:b/>
          <w:bCs/>
          <w:position w:val="-1"/>
          <w:sz w:val="32"/>
          <w:szCs w:val="32"/>
          <w:lang w:val="en-GB" w:eastAsia="en-GB"/>
        </w:rPr>
        <w:t>a</w:t>
      </w:r>
      <w:r w:rsidRPr="00105F48">
        <w:rPr>
          <w:rFonts w:ascii="Arial" w:eastAsia="Arial" w:hAnsi="Arial" w:cs="Arial"/>
          <w:b/>
          <w:bCs/>
          <w:spacing w:val="-1"/>
          <w:position w:val="-1"/>
          <w:sz w:val="32"/>
          <w:szCs w:val="32"/>
          <w:lang w:val="en-GB" w:eastAsia="en-GB"/>
        </w:rPr>
        <w:t>t</w:t>
      </w:r>
      <w:r w:rsidRPr="00105F48">
        <w:rPr>
          <w:rFonts w:ascii="Arial" w:eastAsia="Arial" w:hAnsi="Arial" w:cs="Arial"/>
          <w:b/>
          <w:bCs/>
          <w:position w:val="-1"/>
          <w:sz w:val="32"/>
          <w:szCs w:val="32"/>
          <w:lang w:val="en-GB" w:eastAsia="en-GB"/>
        </w:rPr>
        <w:t>e</w:t>
      </w:r>
      <w:r w:rsidRPr="00105F48">
        <w:rPr>
          <w:rFonts w:ascii="Arial" w:eastAsia="Arial" w:hAnsi="Arial" w:cs="Arial"/>
          <w:b/>
          <w:bCs/>
          <w:spacing w:val="-1"/>
          <w:position w:val="-1"/>
          <w:sz w:val="32"/>
          <w:szCs w:val="32"/>
          <w:lang w:val="en-GB" w:eastAsia="en-GB"/>
        </w:rPr>
        <w:t>m</w:t>
      </w:r>
      <w:r w:rsidRPr="00105F48">
        <w:rPr>
          <w:rFonts w:ascii="Arial" w:eastAsia="Arial" w:hAnsi="Arial" w:cs="Arial"/>
          <w:b/>
          <w:bCs/>
          <w:spacing w:val="3"/>
          <w:position w:val="-1"/>
          <w:sz w:val="32"/>
          <w:szCs w:val="32"/>
          <w:lang w:val="en-GB" w:eastAsia="en-GB"/>
        </w:rPr>
        <w:t>e</w:t>
      </w:r>
      <w:r w:rsidRPr="00105F48">
        <w:rPr>
          <w:rFonts w:ascii="Arial" w:eastAsia="Arial" w:hAnsi="Arial" w:cs="Arial"/>
          <w:b/>
          <w:bCs/>
          <w:spacing w:val="-1"/>
          <w:position w:val="-1"/>
          <w:sz w:val="32"/>
          <w:szCs w:val="32"/>
          <w:lang w:val="en-GB" w:eastAsia="en-GB"/>
        </w:rPr>
        <w:t>n</w:t>
      </w:r>
      <w:r w:rsidRPr="00105F48">
        <w:rPr>
          <w:rFonts w:ascii="Arial" w:eastAsia="Arial" w:hAnsi="Arial" w:cs="Arial"/>
          <w:b/>
          <w:bCs/>
          <w:position w:val="-1"/>
          <w:sz w:val="32"/>
          <w:szCs w:val="32"/>
          <w:lang w:val="en-GB" w:eastAsia="en-GB"/>
        </w:rPr>
        <w:t>t</w:t>
      </w:r>
      <w:r w:rsidRPr="00105F48">
        <w:rPr>
          <w:rFonts w:ascii="Arial" w:eastAsia="Arial" w:hAnsi="Arial" w:cs="Arial"/>
          <w:b/>
          <w:bCs/>
          <w:spacing w:val="-13"/>
          <w:position w:val="-1"/>
          <w:sz w:val="32"/>
          <w:szCs w:val="32"/>
          <w:lang w:val="en-GB" w:eastAsia="en-GB"/>
        </w:rPr>
        <w:t xml:space="preserve"> </w:t>
      </w:r>
      <w:r w:rsidRPr="00105F48">
        <w:rPr>
          <w:rFonts w:ascii="Arial" w:eastAsia="Arial" w:hAnsi="Arial" w:cs="Arial"/>
          <w:b/>
          <w:bCs/>
          <w:spacing w:val="-1"/>
          <w:position w:val="-1"/>
          <w:sz w:val="32"/>
          <w:szCs w:val="32"/>
          <w:lang w:val="en-GB" w:eastAsia="en-GB"/>
        </w:rPr>
        <w:t>o</w:t>
      </w:r>
      <w:r w:rsidRPr="00105F48">
        <w:rPr>
          <w:rFonts w:ascii="Arial" w:eastAsia="Arial" w:hAnsi="Arial" w:cs="Arial"/>
          <w:b/>
          <w:bCs/>
          <w:position w:val="-1"/>
          <w:sz w:val="32"/>
          <w:szCs w:val="32"/>
          <w:lang w:val="en-GB" w:eastAsia="en-GB"/>
        </w:rPr>
        <w:t>f</w:t>
      </w:r>
      <w:r w:rsidRPr="00105F48">
        <w:rPr>
          <w:rFonts w:ascii="Arial" w:eastAsia="Arial" w:hAnsi="Arial" w:cs="Arial"/>
          <w:b/>
          <w:bCs/>
          <w:spacing w:val="-1"/>
          <w:position w:val="-1"/>
          <w:sz w:val="32"/>
          <w:szCs w:val="32"/>
          <w:lang w:val="en-GB" w:eastAsia="en-GB"/>
        </w:rPr>
        <w:t xml:space="preserve"> </w:t>
      </w:r>
      <w:r w:rsidRPr="00105F48">
        <w:rPr>
          <w:rFonts w:ascii="Arial" w:eastAsia="Arial" w:hAnsi="Arial" w:cs="Arial"/>
          <w:b/>
          <w:bCs/>
          <w:position w:val="-1"/>
          <w:sz w:val="32"/>
          <w:szCs w:val="32"/>
          <w:lang w:val="en-GB" w:eastAsia="en-GB"/>
        </w:rPr>
        <w:t>Re</w:t>
      </w:r>
      <w:r w:rsidRPr="00105F48">
        <w:rPr>
          <w:rFonts w:ascii="Arial" w:eastAsia="Arial" w:hAnsi="Arial" w:cs="Arial"/>
          <w:b/>
          <w:bCs/>
          <w:spacing w:val="2"/>
          <w:position w:val="-1"/>
          <w:sz w:val="32"/>
          <w:szCs w:val="32"/>
          <w:lang w:val="en-GB" w:eastAsia="en-GB"/>
        </w:rPr>
        <w:t>q</w:t>
      </w:r>
      <w:r w:rsidRPr="00105F48">
        <w:rPr>
          <w:rFonts w:ascii="Arial" w:eastAsia="Arial" w:hAnsi="Arial" w:cs="Arial"/>
          <w:b/>
          <w:bCs/>
          <w:spacing w:val="-1"/>
          <w:position w:val="-1"/>
          <w:sz w:val="32"/>
          <w:szCs w:val="32"/>
          <w:lang w:val="en-GB" w:eastAsia="en-GB"/>
        </w:rPr>
        <w:t>u</w:t>
      </w:r>
      <w:r w:rsidRPr="00105F48">
        <w:rPr>
          <w:rFonts w:ascii="Arial" w:eastAsia="Arial" w:hAnsi="Arial" w:cs="Arial"/>
          <w:b/>
          <w:bCs/>
          <w:position w:val="-1"/>
          <w:sz w:val="32"/>
          <w:szCs w:val="32"/>
          <w:lang w:val="en-GB" w:eastAsia="en-GB"/>
        </w:rPr>
        <w:t>i</w:t>
      </w:r>
      <w:r w:rsidRPr="00105F48">
        <w:rPr>
          <w:rFonts w:ascii="Arial" w:eastAsia="Arial" w:hAnsi="Arial" w:cs="Arial"/>
          <w:b/>
          <w:bCs/>
          <w:spacing w:val="1"/>
          <w:position w:val="-1"/>
          <w:sz w:val="32"/>
          <w:szCs w:val="32"/>
          <w:lang w:val="en-GB" w:eastAsia="en-GB"/>
        </w:rPr>
        <w:t>r</w:t>
      </w:r>
      <w:r w:rsidRPr="00105F48">
        <w:rPr>
          <w:rFonts w:ascii="Arial" w:eastAsia="Arial" w:hAnsi="Arial" w:cs="Arial"/>
          <w:b/>
          <w:bCs/>
          <w:position w:val="-1"/>
          <w:sz w:val="32"/>
          <w:szCs w:val="32"/>
          <w:lang w:val="en-GB" w:eastAsia="en-GB"/>
        </w:rPr>
        <w:t>e</w:t>
      </w:r>
      <w:r w:rsidRPr="00105F48">
        <w:rPr>
          <w:rFonts w:ascii="Arial" w:eastAsia="Arial" w:hAnsi="Arial" w:cs="Arial"/>
          <w:b/>
          <w:bCs/>
          <w:spacing w:val="-1"/>
          <w:position w:val="-1"/>
          <w:sz w:val="32"/>
          <w:szCs w:val="32"/>
          <w:lang w:val="en-GB" w:eastAsia="en-GB"/>
        </w:rPr>
        <w:t>m</w:t>
      </w:r>
      <w:r w:rsidRPr="00105F48">
        <w:rPr>
          <w:rFonts w:ascii="Arial" w:eastAsia="Arial" w:hAnsi="Arial" w:cs="Arial"/>
          <w:b/>
          <w:bCs/>
          <w:spacing w:val="3"/>
          <w:position w:val="-1"/>
          <w:sz w:val="32"/>
          <w:szCs w:val="32"/>
          <w:lang w:val="en-GB" w:eastAsia="en-GB"/>
        </w:rPr>
        <w:t>e</w:t>
      </w:r>
      <w:r w:rsidRPr="00105F48">
        <w:rPr>
          <w:rFonts w:ascii="Arial" w:eastAsia="Arial" w:hAnsi="Arial" w:cs="Arial"/>
          <w:b/>
          <w:bCs/>
          <w:spacing w:val="-1"/>
          <w:position w:val="-1"/>
          <w:sz w:val="32"/>
          <w:szCs w:val="32"/>
          <w:lang w:val="en-GB" w:eastAsia="en-GB"/>
        </w:rPr>
        <w:t>n</w:t>
      </w:r>
      <w:r w:rsidRPr="00105F48">
        <w:rPr>
          <w:rFonts w:ascii="Arial" w:eastAsia="Arial" w:hAnsi="Arial" w:cs="Arial"/>
          <w:b/>
          <w:bCs/>
          <w:spacing w:val="-8"/>
          <w:position w:val="-1"/>
          <w:sz w:val="32"/>
          <w:szCs w:val="32"/>
          <w:lang w:val="en-GB" w:eastAsia="en-GB"/>
        </w:rPr>
        <w:t>t</w:t>
      </w:r>
      <w:r w:rsidRPr="00105F48">
        <w:rPr>
          <w:rFonts w:ascii="Arial" w:eastAsia="Arial" w:hAnsi="Arial" w:cs="Arial"/>
          <w:b/>
          <w:bCs/>
          <w:position w:val="-1"/>
          <w:sz w:val="32"/>
          <w:szCs w:val="32"/>
          <w:lang w:val="en-GB" w:eastAsia="en-GB"/>
        </w:rPr>
        <w:t>s</w:t>
      </w:r>
    </w:p>
    <w:p w:rsidR="00D51906" w:rsidRPr="00105F48" w:rsidRDefault="00D51906" w:rsidP="00D51906">
      <w:pPr>
        <w:spacing w:after="0" w:line="240" w:lineRule="auto"/>
        <w:jc w:val="both"/>
        <w:rPr>
          <w:rFonts w:ascii="Arial" w:eastAsia="Times New Roman" w:hAnsi="Arial" w:cs="Arial"/>
          <w:lang w:val="en-GB" w:eastAsia="en-GB"/>
        </w:rPr>
      </w:pPr>
    </w:p>
    <w:p w:rsidR="00D51906" w:rsidRPr="00105F48" w:rsidRDefault="00D51906" w:rsidP="00D51906">
      <w:pPr>
        <w:spacing w:after="0" w:line="240" w:lineRule="auto"/>
        <w:jc w:val="both"/>
        <w:rPr>
          <w:rFonts w:ascii="Arial" w:eastAsia="Times New Roman" w:hAnsi="Arial" w:cs="Arial"/>
          <w:color w:val="FF0000"/>
          <w:lang w:val="en-GB" w:eastAsia="en-GB"/>
        </w:rPr>
      </w:pPr>
    </w:p>
    <w:p w:rsidR="00D51906" w:rsidRDefault="00D51906" w:rsidP="00D51906">
      <w:pPr>
        <w:tabs>
          <w:tab w:val="left" w:pos="0"/>
        </w:tabs>
        <w:spacing w:line="360" w:lineRule="auto"/>
        <w:ind w:left="540"/>
        <w:jc w:val="center"/>
        <w:rPr>
          <w:rFonts w:cs="Arial"/>
          <w:b/>
        </w:rPr>
      </w:pPr>
      <w:r>
        <w:rPr>
          <w:rFonts w:cs="Arial"/>
          <w:b/>
        </w:rPr>
        <w:t>STATEMENT OF REQUIREMENT (SOR) FOR THE PROVISION OF A COMPUTERISED COLOUR VISION ASSESSMENT (CAD) TEST</w:t>
      </w:r>
    </w:p>
    <w:p w:rsidR="00D51906" w:rsidRDefault="00D51906" w:rsidP="00D51906">
      <w:pPr>
        <w:tabs>
          <w:tab w:val="left" w:pos="0"/>
        </w:tabs>
        <w:spacing w:line="360" w:lineRule="auto"/>
        <w:ind w:left="540"/>
        <w:jc w:val="center"/>
        <w:rPr>
          <w:rFonts w:cs="Arial"/>
          <w:b/>
        </w:rPr>
      </w:pPr>
    </w:p>
    <w:p w:rsidR="00D51906" w:rsidRDefault="00D51906" w:rsidP="00D51906">
      <w:pPr>
        <w:tabs>
          <w:tab w:val="left" w:pos="567"/>
          <w:tab w:val="left" w:pos="1134"/>
          <w:tab w:val="left" w:pos="1701"/>
          <w:tab w:val="left" w:pos="2268"/>
          <w:tab w:val="right" w:pos="9638"/>
        </w:tabs>
        <w:spacing w:line="360" w:lineRule="auto"/>
        <w:rPr>
          <w:rFonts w:cs="Arial"/>
          <w:b/>
        </w:rPr>
      </w:pPr>
      <w:r>
        <w:rPr>
          <w:rFonts w:cs="Arial"/>
          <w:b/>
        </w:rPr>
        <w:t>1.</w:t>
      </w:r>
      <w:r>
        <w:rPr>
          <w:rFonts w:cs="Arial"/>
          <w:b/>
        </w:rPr>
        <w:tab/>
        <w:t>INTRODUCTION</w:t>
      </w:r>
      <w:r>
        <w:rPr>
          <w:rFonts w:cs="Arial"/>
          <w:b/>
        </w:rPr>
        <w:tab/>
        <w:t xml:space="preserve"> / BACKGROUND</w:t>
      </w:r>
      <w:r>
        <w:rPr>
          <w:rFonts w:cs="Arial"/>
          <w:b/>
        </w:rPr>
        <w:tab/>
      </w:r>
    </w:p>
    <w:p w:rsidR="00D51906" w:rsidRDefault="00D51906" w:rsidP="00D51906">
      <w:pPr>
        <w:rPr>
          <w:rFonts w:cs="Arial"/>
          <w:lang w:eastAsia="en-GB"/>
        </w:rPr>
      </w:pPr>
      <w:r>
        <w:t>1.1</w:t>
      </w:r>
      <w:r>
        <w:tab/>
      </w:r>
      <w:proofErr w:type="spellStart"/>
      <w:r>
        <w:rPr>
          <w:rFonts w:cs="Arial"/>
          <w:lang w:eastAsia="en-GB"/>
        </w:rPr>
        <w:t>Colour</w:t>
      </w:r>
      <w:proofErr w:type="spellEnd"/>
      <w:r>
        <w:rPr>
          <w:rFonts w:cs="Arial"/>
          <w:lang w:eastAsia="en-GB"/>
        </w:rPr>
        <w:t xml:space="preserve"> vision assessment of Naval Service (NS) aircrew and warfare personnel is currently undertaken using Ishihara isochromatic plates at the pre-entry medical phase. The Ishihara Plates </w:t>
      </w:r>
      <w:proofErr w:type="spellStart"/>
      <w:r>
        <w:rPr>
          <w:rFonts w:cs="Arial"/>
          <w:lang w:eastAsia="en-GB"/>
        </w:rPr>
        <w:t>colour</w:t>
      </w:r>
      <w:proofErr w:type="spellEnd"/>
      <w:r>
        <w:rPr>
          <w:rFonts w:cs="Arial"/>
          <w:lang w:eastAsia="en-GB"/>
        </w:rPr>
        <w:t xml:space="preserve"> vision test has a significant false positive and false negative rate associated with it, that it will pass some </w:t>
      </w:r>
      <w:proofErr w:type="spellStart"/>
      <w:r>
        <w:rPr>
          <w:rFonts w:cs="Arial"/>
          <w:lang w:eastAsia="en-GB"/>
        </w:rPr>
        <w:t>colour</w:t>
      </w:r>
      <w:proofErr w:type="spellEnd"/>
      <w:r>
        <w:rPr>
          <w:rFonts w:cs="Arial"/>
          <w:lang w:eastAsia="en-GB"/>
        </w:rPr>
        <w:t xml:space="preserve"> </w:t>
      </w:r>
      <w:proofErr w:type="spellStart"/>
      <w:r>
        <w:rPr>
          <w:rFonts w:cs="Arial"/>
          <w:lang w:eastAsia="en-GB"/>
        </w:rPr>
        <w:t>abnormals</w:t>
      </w:r>
      <w:proofErr w:type="spellEnd"/>
      <w:r>
        <w:rPr>
          <w:rFonts w:cs="Arial"/>
          <w:lang w:eastAsia="en-GB"/>
        </w:rPr>
        <w:t xml:space="preserve"> and fail some </w:t>
      </w:r>
      <w:proofErr w:type="spellStart"/>
      <w:r>
        <w:rPr>
          <w:rFonts w:cs="Arial"/>
          <w:lang w:eastAsia="en-GB"/>
        </w:rPr>
        <w:t>colour</w:t>
      </w:r>
      <w:proofErr w:type="spellEnd"/>
      <w:r>
        <w:rPr>
          <w:rFonts w:cs="Arial"/>
          <w:lang w:eastAsia="en-GB"/>
        </w:rPr>
        <w:t xml:space="preserve"> normal. In addition, it’s possible, with some homework, to cheat the test. Following the obsolesce of the Holmes Wright Lantern Test there is currently no secondary test to use for any candidate who appeals the result of their Ishihara Plate test. Procurement of a modern </w:t>
      </w:r>
      <w:proofErr w:type="spellStart"/>
      <w:r>
        <w:rPr>
          <w:rFonts w:cs="Arial"/>
          <w:lang w:eastAsia="en-GB"/>
        </w:rPr>
        <w:t>computerised</w:t>
      </w:r>
      <w:proofErr w:type="spellEnd"/>
      <w:r>
        <w:rPr>
          <w:rFonts w:cs="Arial"/>
          <w:lang w:eastAsia="en-GB"/>
        </w:rPr>
        <w:t xml:space="preserve"> system will re-instate this capability and hence add value to NS recruiting. </w:t>
      </w:r>
    </w:p>
    <w:p w:rsidR="00D51906" w:rsidRDefault="00D51906" w:rsidP="00D51906">
      <w:pPr>
        <w:rPr>
          <w:rFonts w:cs="Arial"/>
          <w:lang w:eastAsia="en-GB"/>
        </w:rPr>
      </w:pPr>
      <w:r>
        <w:rPr>
          <w:rFonts w:cs="Arial"/>
          <w:lang w:eastAsia="en-GB"/>
        </w:rPr>
        <w:t xml:space="preserve">1.2 </w:t>
      </w:r>
      <w:r>
        <w:rPr>
          <w:rFonts w:cs="Arial"/>
          <w:lang w:eastAsia="en-GB"/>
        </w:rPr>
        <w:tab/>
        <w:t xml:space="preserve">The </w:t>
      </w:r>
      <w:proofErr w:type="spellStart"/>
      <w:r>
        <w:rPr>
          <w:rFonts w:cs="Arial"/>
          <w:lang w:eastAsia="en-GB"/>
        </w:rPr>
        <w:t>computerised</w:t>
      </w:r>
      <w:proofErr w:type="spellEnd"/>
      <w:r>
        <w:rPr>
          <w:rFonts w:cs="Arial"/>
          <w:lang w:eastAsia="en-GB"/>
        </w:rPr>
        <w:t xml:space="preserve"> test currently available in the UK has a much better sensitivity and specificity ensuring that </w:t>
      </w:r>
      <w:proofErr w:type="spellStart"/>
      <w:r>
        <w:rPr>
          <w:rFonts w:cs="Arial"/>
          <w:lang w:eastAsia="en-GB"/>
        </w:rPr>
        <w:t>Defence</w:t>
      </w:r>
      <w:proofErr w:type="spellEnd"/>
      <w:r>
        <w:rPr>
          <w:rFonts w:cs="Arial"/>
          <w:lang w:eastAsia="en-GB"/>
        </w:rPr>
        <w:t xml:space="preserve"> will have assurance that all candidates for aircrew and warfare roles will have normal </w:t>
      </w:r>
      <w:proofErr w:type="spellStart"/>
      <w:r>
        <w:rPr>
          <w:rFonts w:cs="Arial"/>
          <w:lang w:eastAsia="en-GB"/>
        </w:rPr>
        <w:t>colour</w:t>
      </w:r>
      <w:proofErr w:type="spellEnd"/>
      <w:r>
        <w:rPr>
          <w:rFonts w:cs="Arial"/>
          <w:lang w:eastAsia="en-GB"/>
        </w:rPr>
        <w:t xml:space="preserve"> vision. The Civil Aviation Authority (CAA) and Maritime Coastguard Agency (MCA) use this equipment to assess the </w:t>
      </w:r>
      <w:proofErr w:type="spellStart"/>
      <w:r>
        <w:rPr>
          <w:rFonts w:cs="Arial"/>
          <w:lang w:eastAsia="en-GB"/>
        </w:rPr>
        <w:t>colour</w:t>
      </w:r>
      <w:proofErr w:type="spellEnd"/>
      <w:r>
        <w:rPr>
          <w:rFonts w:cs="Arial"/>
          <w:lang w:eastAsia="en-GB"/>
        </w:rPr>
        <w:t xml:space="preserve"> vision status of civilian pilots and merchant seafarers. There is only one supplier of this equipment and no alternative equivalent test is available in the UK.</w:t>
      </w:r>
    </w:p>
    <w:p w:rsidR="00D51906" w:rsidRDefault="00D51906" w:rsidP="00D51906">
      <w:pPr>
        <w:rPr>
          <w:rFonts w:cs="Arial"/>
          <w:lang w:eastAsia="en-GB"/>
        </w:rPr>
      </w:pPr>
      <w:r>
        <w:rPr>
          <w:rFonts w:cs="Arial"/>
          <w:lang w:eastAsia="en-GB"/>
        </w:rPr>
        <w:t xml:space="preserve">1.3 </w:t>
      </w:r>
      <w:r>
        <w:rPr>
          <w:rFonts w:cs="Arial"/>
          <w:lang w:eastAsia="en-GB"/>
        </w:rPr>
        <w:tab/>
      </w:r>
      <w:proofErr w:type="spellStart"/>
      <w:r>
        <w:rPr>
          <w:rFonts w:cs="Arial"/>
          <w:lang w:eastAsia="en-GB"/>
        </w:rPr>
        <w:t>Computerised</w:t>
      </w:r>
      <w:proofErr w:type="spellEnd"/>
      <w:r>
        <w:rPr>
          <w:rFonts w:cs="Arial"/>
          <w:lang w:eastAsia="en-GB"/>
        </w:rPr>
        <w:t xml:space="preserve"> </w:t>
      </w:r>
      <w:proofErr w:type="spellStart"/>
      <w:r>
        <w:rPr>
          <w:rFonts w:cs="Arial"/>
          <w:lang w:eastAsia="en-GB"/>
        </w:rPr>
        <w:t>colour</w:t>
      </w:r>
      <w:proofErr w:type="spellEnd"/>
      <w:r>
        <w:rPr>
          <w:rFonts w:cs="Arial"/>
          <w:lang w:eastAsia="en-GB"/>
        </w:rPr>
        <w:t xml:space="preserve"> vision assessment equipment and support packages are required for the assessment of </w:t>
      </w:r>
      <w:proofErr w:type="spellStart"/>
      <w:r>
        <w:rPr>
          <w:rFonts w:cs="Arial"/>
          <w:lang w:eastAsia="en-GB"/>
        </w:rPr>
        <w:t>colour</w:t>
      </w:r>
      <w:proofErr w:type="spellEnd"/>
      <w:r>
        <w:rPr>
          <w:rFonts w:cs="Arial"/>
          <w:lang w:eastAsia="en-GB"/>
        </w:rPr>
        <w:t xml:space="preserve"> vision of aircrew and warfare personnel in accordance with new policy stated in JSP 950, BR1750a and AP1269a.</w:t>
      </w:r>
      <w:r>
        <w:rPr>
          <w:rFonts w:ascii="Times New Roman" w:hAnsi="Times New Roman"/>
          <w:lang w:eastAsia="en-GB"/>
        </w:rPr>
        <w:t xml:space="preserve"> </w:t>
      </w:r>
      <w:r>
        <w:rPr>
          <w:rFonts w:cs="Arial"/>
          <w:lang w:eastAsia="en-GB"/>
        </w:rPr>
        <w:t xml:space="preserve">The requirement is for all potential candidates entering the NS as aircrew or warfare to have their </w:t>
      </w:r>
      <w:proofErr w:type="spellStart"/>
      <w:r>
        <w:rPr>
          <w:rFonts w:cs="Arial"/>
          <w:lang w:eastAsia="en-GB"/>
        </w:rPr>
        <w:t>colour</w:t>
      </w:r>
      <w:proofErr w:type="spellEnd"/>
      <w:r>
        <w:rPr>
          <w:rFonts w:cs="Arial"/>
          <w:lang w:eastAsia="en-GB"/>
        </w:rPr>
        <w:t xml:space="preserve"> vision assessed by the </w:t>
      </w:r>
      <w:proofErr w:type="spellStart"/>
      <w:r>
        <w:rPr>
          <w:rFonts w:cs="Arial"/>
          <w:lang w:eastAsia="en-GB"/>
        </w:rPr>
        <w:t>computerised</w:t>
      </w:r>
      <w:proofErr w:type="spellEnd"/>
      <w:r>
        <w:rPr>
          <w:rFonts w:cs="Arial"/>
          <w:lang w:eastAsia="en-GB"/>
        </w:rPr>
        <w:t xml:space="preserve"> test as a secondary screen following testing with Ishihara plates.</w:t>
      </w:r>
    </w:p>
    <w:p w:rsidR="00D51906" w:rsidRDefault="00D51906" w:rsidP="00D51906">
      <w:pPr>
        <w:rPr>
          <w:rFonts w:ascii="Times New Roman" w:hAnsi="Times New Roman" w:cs="Times New Roman"/>
          <w:sz w:val="24"/>
          <w:szCs w:val="24"/>
          <w:lang w:eastAsia="en-GB"/>
        </w:rPr>
      </w:pPr>
      <w:r>
        <w:rPr>
          <w:rFonts w:cs="Arial"/>
          <w:lang w:eastAsia="en-GB"/>
        </w:rPr>
        <w:t xml:space="preserve">1.4 </w:t>
      </w:r>
      <w:r>
        <w:rPr>
          <w:rFonts w:cs="Arial"/>
          <w:lang w:eastAsia="en-GB"/>
        </w:rPr>
        <w:tab/>
        <w:t xml:space="preserve">Aircrew and warfare personnel are not being tested according to policy. </w:t>
      </w:r>
      <w:proofErr w:type="spellStart"/>
      <w:r>
        <w:rPr>
          <w:rFonts w:cs="Arial"/>
          <w:lang w:eastAsia="en-GB"/>
        </w:rPr>
        <w:t>Defence</w:t>
      </w:r>
      <w:proofErr w:type="spellEnd"/>
      <w:r>
        <w:rPr>
          <w:rFonts w:cs="Arial"/>
          <w:lang w:eastAsia="en-GB"/>
        </w:rPr>
        <w:t xml:space="preserve"> has fallen behind the standards set by the CAA and MCA who already use this equipment to screen civilian professional aircrew and merchant seafarers for </w:t>
      </w:r>
      <w:proofErr w:type="spellStart"/>
      <w:r>
        <w:rPr>
          <w:rFonts w:cs="Arial"/>
          <w:lang w:eastAsia="en-GB"/>
        </w:rPr>
        <w:t>colour</w:t>
      </w:r>
      <w:proofErr w:type="spellEnd"/>
      <w:r>
        <w:rPr>
          <w:rFonts w:cs="Arial"/>
          <w:lang w:eastAsia="en-GB"/>
        </w:rPr>
        <w:t xml:space="preserve"> vision deficiency. </w:t>
      </w:r>
      <w:proofErr w:type="spellStart"/>
      <w:r>
        <w:rPr>
          <w:rFonts w:cs="Arial"/>
          <w:lang w:eastAsia="en-GB"/>
        </w:rPr>
        <w:t>Defence</w:t>
      </w:r>
      <w:proofErr w:type="spellEnd"/>
      <w:r>
        <w:rPr>
          <w:rFonts w:cs="Arial"/>
          <w:lang w:eastAsia="en-GB"/>
        </w:rPr>
        <w:t xml:space="preserve"> is not reducing the risk to others to As Low as Reasonably Practical (ALARP) as required by the Management of Health and Safety at Work Regulations 1999 by ensuring that it employs aircrew or warfare personnel without </w:t>
      </w:r>
      <w:proofErr w:type="spellStart"/>
      <w:r>
        <w:rPr>
          <w:rFonts w:cs="Arial"/>
          <w:lang w:eastAsia="en-GB"/>
        </w:rPr>
        <w:t>colour</w:t>
      </w:r>
      <w:proofErr w:type="spellEnd"/>
      <w:r>
        <w:rPr>
          <w:rFonts w:cs="Arial"/>
          <w:lang w:eastAsia="en-GB"/>
        </w:rPr>
        <w:t xml:space="preserve"> vision deficiencies. </w:t>
      </w:r>
    </w:p>
    <w:p w:rsidR="00D51906" w:rsidRDefault="00D51906" w:rsidP="00D51906">
      <w:pPr>
        <w:rPr>
          <w:rFonts w:cs="Times New Roman"/>
          <w:b/>
          <w:kern w:val="22"/>
          <w:szCs w:val="20"/>
        </w:rPr>
      </w:pPr>
      <w:r>
        <w:rPr>
          <w:b/>
        </w:rPr>
        <w:t>2.</w:t>
      </w:r>
      <w:r>
        <w:rPr>
          <w:b/>
        </w:rPr>
        <w:tab/>
        <w:t>VOLUMES</w:t>
      </w:r>
    </w:p>
    <w:p w:rsidR="00D51906" w:rsidRDefault="00D51906" w:rsidP="00D51906">
      <w:r>
        <w:t>2.1</w:t>
      </w:r>
      <w:r>
        <w:tab/>
        <w:t xml:space="preserve">The number of specific </w:t>
      </w:r>
      <w:proofErr w:type="spellStart"/>
      <w:r>
        <w:t>colour</w:t>
      </w:r>
      <w:proofErr w:type="spellEnd"/>
      <w:r>
        <w:t xml:space="preserve"> assessment tests that may be required over a 1-year period is estimated at </w:t>
      </w:r>
      <w:r>
        <w:rPr>
          <w:b/>
        </w:rPr>
        <w:t>150</w:t>
      </w:r>
      <w:r>
        <w:t xml:space="preserve">. These figures shall fluctuate in accordance with individual requirements. </w:t>
      </w:r>
      <w:r>
        <w:tab/>
      </w:r>
      <w:r>
        <w:tab/>
      </w:r>
    </w:p>
    <w:p w:rsidR="00D51906" w:rsidRDefault="00D51906" w:rsidP="00D51906">
      <w:pPr>
        <w:rPr>
          <w:b/>
        </w:rPr>
      </w:pPr>
      <w:r>
        <w:rPr>
          <w:b/>
        </w:rPr>
        <w:t>3.</w:t>
      </w:r>
      <w:r>
        <w:rPr>
          <w:b/>
        </w:rPr>
        <w:tab/>
        <w:t>INDUCTION REQUIREMENTS</w:t>
      </w:r>
    </w:p>
    <w:p w:rsidR="00D51906" w:rsidRDefault="00D51906" w:rsidP="00D51906">
      <w:r>
        <w:lastRenderedPageBreak/>
        <w:t xml:space="preserve">3.1 </w:t>
      </w:r>
      <w:r>
        <w:tab/>
        <w:t>On commencement of the provision of the service, the Service Provider (SP)</w:t>
      </w:r>
      <w:r>
        <w:rPr>
          <w:color w:val="FF0000"/>
        </w:rPr>
        <w:t xml:space="preserve"> </w:t>
      </w:r>
      <w:r>
        <w:t xml:space="preserve">nominated representatives shall provide training to the SEMC and </w:t>
      </w:r>
      <w:r>
        <w:rPr>
          <w:rFonts w:cs="Arial"/>
        </w:rPr>
        <w:t>Institute of Naval Medicine (INM)</w:t>
      </w:r>
      <w:r>
        <w:t xml:space="preserve"> staff to ensure they understand the equipment and testing procedures required.</w:t>
      </w:r>
    </w:p>
    <w:p w:rsidR="00D51906" w:rsidRDefault="00D51906" w:rsidP="00D51906">
      <w:pPr>
        <w:rPr>
          <w:rFonts w:cs="Arial"/>
          <w:lang w:eastAsia="en-GB"/>
        </w:rPr>
      </w:pPr>
      <w:r>
        <w:t xml:space="preserve">3.2 </w:t>
      </w:r>
      <w:r>
        <w:tab/>
      </w:r>
      <w:r>
        <w:rPr>
          <w:rFonts w:cs="Arial"/>
          <w:lang w:eastAsia="en-GB"/>
        </w:rPr>
        <w:t xml:space="preserve">The SP should provide initial on site set up, training and follow up training to cover staff turnover. It is estimated that </w:t>
      </w:r>
      <w:proofErr w:type="spellStart"/>
      <w:r>
        <w:rPr>
          <w:rFonts w:cs="Arial"/>
          <w:lang w:eastAsia="en-GB"/>
        </w:rPr>
        <w:t>Trg</w:t>
      </w:r>
      <w:proofErr w:type="spellEnd"/>
      <w:r>
        <w:rPr>
          <w:rFonts w:cs="Arial"/>
          <w:lang w:eastAsia="en-GB"/>
        </w:rPr>
        <w:t xml:space="preserve"> would be required every other year bearing in mind that this department has no control over personnel postings/retirements/detachments etc. </w:t>
      </w:r>
    </w:p>
    <w:p w:rsidR="00D51906" w:rsidRDefault="00D51906" w:rsidP="00D51906">
      <w:pPr>
        <w:rPr>
          <w:rFonts w:cs="Arial"/>
          <w:kern w:val="22"/>
        </w:rPr>
      </w:pPr>
      <w:r>
        <w:rPr>
          <w:rFonts w:cs="Arial"/>
          <w:lang w:eastAsia="en-GB"/>
        </w:rPr>
        <w:t xml:space="preserve">3.3 </w:t>
      </w:r>
      <w:r>
        <w:rPr>
          <w:rFonts w:cs="Arial"/>
          <w:lang w:eastAsia="en-GB"/>
        </w:rPr>
        <w:tab/>
      </w:r>
      <w:r>
        <w:rPr>
          <w:rFonts w:cs="Arial"/>
        </w:rPr>
        <w:t xml:space="preserve">The equipment will be operated jointly by clinical staff from the SEMC and INM and located within the INM as agreed by the </w:t>
      </w:r>
      <w:proofErr w:type="spellStart"/>
      <w:r>
        <w:rPr>
          <w:rFonts w:cs="Arial"/>
        </w:rPr>
        <w:t>MOiC</w:t>
      </w:r>
      <w:proofErr w:type="spellEnd"/>
    </w:p>
    <w:p w:rsidR="00D51906" w:rsidRDefault="00D51906" w:rsidP="00D51906">
      <w:pPr>
        <w:rPr>
          <w:rFonts w:cs="Arial"/>
          <w:lang w:eastAsia="en-GB"/>
        </w:rPr>
      </w:pPr>
      <w:r>
        <w:rPr>
          <w:rFonts w:cs="Arial"/>
          <w:lang w:eastAsia="en-GB"/>
        </w:rPr>
        <w:t xml:space="preserve">3.4 </w:t>
      </w:r>
      <w:r>
        <w:rPr>
          <w:rFonts w:cs="Arial"/>
          <w:lang w:eastAsia="en-GB"/>
        </w:rPr>
        <w:tab/>
      </w:r>
      <w:r>
        <w:rPr>
          <w:rFonts w:cs="Arial"/>
        </w:rPr>
        <w:t xml:space="preserve">The system should be intuitive for candidates to use. There is no requirement to store the results for each candidate on the system as they will be held within their future </w:t>
      </w:r>
      <w:proofErr w:type="spellStart"/>
      <w:r>
        <w:rPr>
          <w:rFonts w:cs="Arial"/>
        </w:rPr>
        <w:t>DMiCP</w:t>
      </w:r>
      <w:proofErr w:type="spellEnd"/>
      <w:r>
        <w:rPr>
          <w:rFonts w:cs="Arial"/>
        </w:rPr>
        <w:t xml:space="preserve"> record. If this capacity exists, the supplier will be asked to disable it.</w:t>
      </w:r>
    </w:p>
    <w:p w:rsidR="00D51906" w:rsidRDefault="00D51906" w:rsidP="00D51906">
      <w:pPr>
        <w:rPr>
          <w:rFonts w:cs="Times New Roman"/>
          <w:kern w:val="22"/>
          <w:szCs w:val="20"/>
        </w:rPr>
      </w:pPr>
      <w:r>
        <w:t>3.3</w:t>
      </w:r>
      <w:r>
        <w:tab/>
        <w:t xml:space="preserve">The SP may contact the SEMCs Clinical Governance representative for any advice at any time during the period of contract and provide any appropriate information to support this.             </w:t>
      </w:r>
      <w:r>
        <w:tab/>
      </w:r>
    </w:p>
    <w:p w:rsidR="00D51906" w:rsidRDefault="00D51906" w:rsidP="00D51906">
      <w:r>
        <w:rPr>
          <w:b/>
        </w:rPr>
        <w:t>4.</w:t>
      </w:r>
      <w:r>
        <w:rPr>
          <w:b/>
        </w:rPr>
        <w:tab/>
        <w:t>PREMISES AND EQUIPMENT</w:t>
      </w:r>
      <w:r>
        <w:t xml:space="preserve">. </w:t>
      </w:r>
    </w:p>
    <w:p w:rsidR="00D51906" w:rsidRDefault="00D51906" w:rsidP="00D51906">
      <w:pPr>
        <w:rPr>
          <w:color w:val="FF0000"/>
        </w:rPr>
      </w:pPr>
      <w:r>
        <w:t>4.1</w:t>
      </w:r>
      <w:r>
        <w:tab/>
        <w:t>The SP shall provide all equipment necessary to conduct the full test in accordance with regulatory body requirements. All equipment shall be maintained and calibrated by the SP in accordance with manufacturer's instructions; documentary evidence of this must be available for scrutiny by the SEMC and for audit purposes</w:t>
      </w:r>
      <w:r>
        <w:rPr>
          <w:color w:val="FF0000"/>
        </w:rPr>
        <w:t xml:space="preserve">. </w:t>
      </w:r>
    </w:p>
    <w:p w:rsidR="00D51906" w:rsidRDefault="00D51906" w:rsidP="00D51906">
      <w:pPr>
        <w:rPr>
          <w:rFonts w:cs="Arial"/>
          <w:lang w:eastAsia="en-GB"/>
        </w:rPr>
      </w:pPr>
      <w:r>
        <w:t xml:space="preserve">4.2 </w:t>
      </w:r>
      <w:r>
        <w:tab/>
      </w:r>
      <w:r>
        <w:rPr>
          <w:rFonts w:cs="Arial"/>
          <w:lang w:eastAsia="en-GB"/>
        </w:rPr>
        <w:t xml:space="preserve">The recommended equipment is the City University </w:t>
      </w:r>
      <w:proofErr w:type="spellStart"/>
      <w:r>
        <w:rPr>
          <w:rFonts w:cs="Arial"/>
          <w:lang w:eastAsia="en-GB"/>
        </w:rPr>
        <w:t>Colour</w:t>
      </w:r>
      <w:proofErr w:type="spellEnd"/>
      <w:r>
        <w:rPr>
          <w:rFonts w:cs="Arial"/>
          <w:lang w:eastAsia="en-GB"/>
        </w:rPr>
        <w:t xml:space="preserve"> Assessment and Diagnosis (CAD) test. There is no other equivalent test available in the UK. Extensive work has been undertaken by City University through peer reviewed scientific papers to confirm that their test has 100% sensitivity and 100% specificity. In addition, work has already been undertaken to map the CAD test results to the military CP system.</w:t>
      </w:r>
    </w:p>
    <w:p w:rsidR="00D51906" w:rsidRDefault="00D51906" w:rsidP="00D51906">
      <w:pPr>
        <w:rPr>
          <w:rFonts w:cs="Arial"/>
          <w:lang w:eastAsia="en-GB"/>
        </w:rPr>
      </w:pPr>
      <w:r>
        <w:rPr>
          <w:rFonts w:cs="Arial"/>
          <w:lang w:eastAsia="en-GB"/>
        </w:rPr>
        <w:t xml:space="preserve">4.3 </w:t>
      </w:r>
      <w:r>
        <w:rPr>
          <w:rFonts w:cs="Arial"/>
          <w:lang w:eastAsia="en-GB"/>
        </w:rPr>
        <w:tab/>
        <w:t>As a standalone computer-based system no additional infrastructure is required</w:t>
      </w:r>
    </w:p>
    <w:p w:rsidR="00D51906" w:rsidRDefault="00D51906" w:rsidP="00D51906">
      <w:pPr>
        <w:rPr>
          <w:rFonts w:cs="Arial"/>
          <w:lang w:eastAsia="en-GB"/>
        </w:rPr>
      </w:pPr>
      <w:r>
        <w:rPr>
          <w:rFonts w:cs="Arial"/>
          <w:lang w:eastAsia="en-GB"/>
        </w:rPr>
        <w:t xml:space="preserve">4.4 </w:t>
      </w:r>
      <w:r>
        <w:rPr>
          <w:rFonts w:cs="Arial"/>
          <w:lang w:eastAsia="en-GB"/>
        </w:rPr>
        <w:tab/>
      </w:r>
      <w:r>
        <w:rPr>
          <w:rFonts w:cs="Arial"/>
        </w:rPr>
        <w:t xml:space="preserve">The equipment is standalone and is not required to integrate with </w:t>
      </w:r>
      <w:proofErr w:type="spellStart"/>
      <w:r>
        <w:rPr>
          <w:rFonts w:cs="Arial"/>
        </w:rPr>
        <w:t>DMiCP</w:t>
      </w:r>
      <w:proofErr w:type="spellEnd"/>
      <w:r>
        <w:rPr>
          <w:rFonts w:cs="Arial"/>
        </w:rPr>
        <w:t xml:space="preserve"> or any other IT system.</w:t>
      </w:r>
    </w:p>
    <w:p w:rsidR="00D51906" w:rsidRDefault="00D51906" w:rsidP="00D51906">
      <w:pPr>
        <w:rPr>
          <w:rFonts w:cs="Arial"/>
          <w:lang w:eastAsia="en-GB"/>
        </w:rPr>
      </w:pPr>
      <w:r>
        <w:rPr>
          <w:rFonts w:cs="Arial"/>
          <w:lang w:eastAsia="en-GB"/>
        </w:rPr>
        <w:t>4.5</w:t>
      </w:r>
      <w:r>
        <w:rPr>
          <w:rFonts w:cs="Arial"/>
          <w:lang w:eastAsia="en-GB"/>
        </w:rPr>
        <w:tab/>
        <w:t>As this is specialist equipment it would not be suitable for MDSS maintenance. A support package for maintenance has been included in the business case.</w:t>
      </w:r>
    </w:p>
    <w:p w:rsidR="00D51906" w:rsidRDefault="00D51906" w:rsidP="00D51906">
      <w:pPr>
        <w:rPr>
          <w:rFonts w:cs="Arial"/>
          <w:lang w:eastAsia="en-GB"/>
        </w:rPr>
      </w:pPr>
      <w:r>
        <w:rPr>
          <w:rFonts w:cs="Arial"/>
          <w:lang w:eastAsia="en-GB"/>
        </w:rPr>
        <w:t xml:space="preserve">4.6 </w:t>
      </w:r>
      <w:r>
        <w:rPr>
          <w:rFonts w:cs="Arial"/>
          <w:lang w:eastAsia="en-GB"/>
        </w:rPr>
        <w:tab/>
        <w:t xml:space="preserve">Articulate the full number required and where they will be fielded, either in modules or by number distributed to locations. </w:t>
      </w:r>
    </w:p>
    <w:p w:rsidR="00D51906" w:rsidRDefault="00D51906" w:rsidP="00D51906">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779"/>
        <w:gridCol w:w="1497"/>
        <w:gridCol w:w="3113"/>
      </w:tblGrid>
      <w:tr w:rsidR="00D51906" w:rsidTr="001E66A3">
        <w:tc>
          <w:tcPr>
            <w:tcW w:w="784"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Ser</w:t>
            </w:r>
          </w:p>
        </w:tc>
        <w:tc>
          <w:tcPr>
            <w:tcW w:w="377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Equip/Module</w:t>
            </w:r>
          </w:p>
        </w:tc>
        <w:tc>
          <w:tcPr>
            <w:tcW w:w="1497" w:type="dxa"/>
            <w:tcBorders>
              <w:top w:val="single" w:sz="4" w:space="0" w:color="auto"/>
              <w:left w:val="single" w:sz="4" w:space="0" w:color="auto"/>
              <w:bottom w:val="single" w:sz="4" w:space="0" w:color="auto"/>
              <w:right w:val="single" w:sz="4" w:space="0" w:color="auto"/>
            </w:tcBorders>
            <w:hideMark/>
          </w:tcPr>
          <w:p w:rsidR="00D51906" w:rsidRDefault="00D51906" w:rsidP="001E66A3">
            <w:pPr>
              <w:jc w:val="center"/>
              <w:rPr>
                <w:rFonts w:cs="Arial"/>
                <w:lang w:eastAsia="en-GB"/>
              </w:rPr>
            </w:pPr>
            <w:r>
              <w:rPr>
                <w:rFonts w:cs="Arial"/>
                <w:lang w:eastAsia="en-GB"/>
              </w:rPr>
              <w:t>Number Required</w:t>
            </w:r>
          </w:p>
        </w:tc>
        <w:tc>
          <w:tcPr>
            <w:tcW w:w="311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Unit or Location receiving</w:t>
            </w:r>
          </w:p>
        </w:tc>
      </w:tr>
      <w:tr w:rsidR="00D51906" w:rsidTr="001E66A3">
        <w:tc>
          <w:tcPr>
            <w:tcW w:w="784"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1</w:t>
            </w:r>
          </w:p>
        </w:tc>
        <w:tc>
          <w:tcPr>
            <w:tcW w:w="377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 xml:space="preserve">City University </w:t>
            </w:r>
            <w:proofErr w:type="spellStart"/>
            <w:r>
              <w:rPr>
                <w:rFonts w:cs="Arial"/>
                <w:lang w:eastAsia="en-GB"/>
              </w:rPr>
              <w:t>Colour</w:t>
            </w:r>
            <w:proofErr w:type="spellEnd"/>
            <w:r>
              <w:rPr>
                <w:rFonts w:cs="Arial"/>
                <w:lang w:eastAsia="en-GB"/>
              </w:rPr>
              <w:t xml:space="preserve"> Assessment and Diagnosis Test with initial on-site setup and training support for one year and continuation training and support for 2 </w:t>
            </w:r>
            <w:r>
              <w:rPr>
                <w:rFonts w:cs="Arial"/>
                <w:lang w:eastAsia="en-GB"/>
              </w:rPr>
              <w:lastRenderedPageBreak/>
              <w:t>years</w:t>
            </w:r>
          </w:p>
        </w:tc>
        <w:tc>
          <w:tcPr>
            <w:tcW w:w="1497" w:type="dxa"/>
            <w:tcBorders>
              <w:top w:val="single" w:sz="4" w:space="0" w:color="auto"/>
              <w:left w:val="single" w:sz="4" w:space="0" w:color="auto"/>
              <w:bottom w:val="single" w:sz="4" w:space="0" w:color="auto"/>
              <w:right w:val="single" w:sz="4" w:space="0" w:color="auto"/>
            </w:tcBorders>
            <w:hideMark/>
          </w:tcPr>
          <w:p w:rsidR="00D51906" w:rsidRDefault="00D51906" w:rsidP="001E66A3">
            <w:pPr>
              <w:jc w:val="center"/>
              <w:rPr>
                <w:rFonts w:cs="Arial"/>
                <w:lang w:eastAsia="en-GB"/>
              </w:rPr>
            </w:pPr>
            <w:r>
              <w:rPr>
                <w:rFonts w:cs="Arial"/>
                <w:lang w:eastAsia="en-GB"/>
              </w:rPr>
              <w:lastRenderedPageBreak/>
              <w:t>1</w:t>
            </w:r>
          </w:p>
        </w:tc>
        <w:tc>
          <w:tcPr>
            <w:tcW w:w="311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b/>
                <w:lang w:eastAsia="en-GB"/>
              </w:rPr>
              <w:t>Delivery address (ASAP)</w:t>
            </w:r>
            <w:r>
              <w:rPr>
                <w:rFonts w:cs="Arial"/>
                <w:lang w:eastAsia="en-GB"/>
              </w:rPr>
              <w:t xml:space="preserve">: Service Entry Medical Cell, RM 48a Building 1/079, The Parade, HMNB Portsmouth, PO1 3LU </w:t>
            </w:r>
            <w:r>
              <w:rPr>
                <w:rFonts w:cs="Arial"/>
                <w:b/>
                <w:lang w:eastAsia="en-GB"/>
              </w:rPr>
              <w:lastRenderedPageBreak/>
              <w:t>Location Address</w:t>
            </w:r>
            <w:r>
              <w:rPr>
                <w:rFonts w:cs="Arial"/>
                <w:lang w:eastAsia="en-GB"/>
              </w:rPr>
              <w:t xml:space="preserve">: </w:t>
            </w:r>
          </w:p>
          <w:p w:rsidR="00D51906" w:rsidRDefault="00D51906" w:rsidP="001E66A3">
            <w:pPr>
              <w:rPr>
                <w:rFonts w:cs="Arial"/>
                <w:lang w:eastAsia="en-GB"/>
              </w:rPr>
            </w:pPr>
            <w:r>
              <w:rPr>
                <w:rFonts w:cs="Arial"/>
                <w:lang w:eastAsia="en-GB"/>
              </w:rPr>
              <w:t xml:space="preserve">Institute of Naval Medicine, </w:t>
            </w:r>
            <w:proofErr w:type="spellStart"/>
            <w:r>
              <w:rPr>
                <w:rFonts w:cs="Arial"/>
                <w:lang w:eastAsia="en-GB"/>
              </w:rPr>
              <w:t>Alverstoke</w:t>
            </w:r>
            <w:proofErr w:type="spellEnd"/>
            <w:r>
              <w:rPr>
                <w:rFonts w:cs="Arial"/>
                <w:lang w:eastAsia="en-GB"/>
              </w:rPr>
              <w:t xml:space="preserve">, </w:t>
            </w:r>
            <w:proofErr w:type="spellStart"/>
            <w:r>
              <w:rPr>
                <w:rFonts w:cs="Arial"/>
                <w:lang w:eastAsia="en-GB"/>
              </w:rPr>
              <w:t>Gosport</w:t>
            </w:r>
            <w:proofErr w:type="spellEnd"/>
            <w:r>
              <w:rPr>
                <w:rFonts w:cs="Arial"/>
                <w:lang w:eastAsia="en-GB"/>
              </w:rPr>
              <w:t>, Hampshire</w:t>
            </w:r>
          </w:p>
        </w:tc>
      </w:tr>
      <w:tr w:rsidR="00D51906" w:rsidTr="001E66A3">
        <w:tc>
          <w:tcPr>
            <w:tcW w:w="784"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lastRenderedPageBreak/>
              <w:t>2</w:t>
            </w:r>
          </w:p>
        </w:tc>
        <w:tc>
          <w:tcPr>
            <w:tcW w:w="377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Total required</w:t>
            </w:r>
          </w:p>
        </w:tc>
        <w:tc>
          <w:tcPr>
            <w:tcW w:w="1497" w:type="dxa"/>
            <w:tcBorders>
              <w:top w:val="single" w:sz="4" w:space="0" w:color="auto"/>
              <w:left w:val="single" w:sz="4" w:space="0" w:color="auto"/>
              <w:bottom w:val="single" w:sz="4" w:space="0" w:color="auto"/>
              <w:right w:val="single" w:sz="4" w:space="0" w:color="auto"/>
            </w:tcBorders>
            <w:hideMark/>
          </w:tcPr>
          <w:p w:rsidR="00D51906" w:rsidRDefault="00D51906" w:rsidP="001E66A3">
            <w:pPr>
              <w:jc w:val="center"/>
              <w:rPr>
                <w:rFonts w:cs="Arial"/>
                <w:lang w:eastAsia="en-GB"/>
              </w:rPr>
            </w:pPr>
            <w:r>
              <w:rPr>
                <w:rFonts w:cs="Arial"/>
                <w:lang w:eastAsia="en-GB"/>
              </w:rPr>
              <w:t>1</w:t>
            </w:r>
          </w:p>
        </w:tc>
        <w:tc>
          <w:tcPr>
            <w:tcW w:w="3113" w:type="dxa"/>
            <w:tcBorders>
              <w:top w:val="single" w:sz="4" w:space="0" w:color="auto"/>
              <w:left w:val="single" w:sz="4" w:space="0" w:color="auto"/>
              <w:bottom w:val="single" w:sz="4" w:space="0" w:color="auto"/>
              <w:right w:val="single" w:sz="4" w:space="0" w:color="auto"/>
            </w:tcBorders>
          </w:tcPr>
          <w:p w:rsidR="00D51906" w:rsidRDefault="00D51906" w:rsidP="001E66A3">
            <w:pPr>
              <w:rPr>
                <w:rFonts w:cs="Arial"/>
                <w:lang w:eastAsia="en-GB"/>
              </w:rPr>
            </w:pPr>
          </w:p>
        </w:tc>
      </w:tr>
    </w:tbl>
    <w:p w:rsidR="00D51906" w:rsidRDefault="00D51906" w:rsidP="00D51906">
      <w:pPr>
        <w:rPr>
          <w:rFonts w:ascii="Arial" w:hAnsi="Arial" w:cs="Times New Roman"/>
          <w:kern w:val="22"/>
          <w:szCs w:val="20"/>
        </w:rPr>
      </w:pPr>
    </w:p>
    <w:p w:rsidR="00D51906" w:rsidRDefault="00D51906" w:rsidP="00D51906">
      <w:r>
        <w:rPr>
          <w:b/>
        </w:rPr>
        <w:t>5</w:t>
      </w:r>
      <w:r>
        <w:tab/>
      </w:r>
      <w:r>
        <w:rPr>
          <w:b/>
        </w:rPr>
        <w:t>BOOKING PROCESS</w:t>
      </w:r>
    </w:p>
    <w:p w:rsidR="00D51906" w:rsidRDefault="00D51906" w:rsidP="00D51906">
      <w:r>
        <w:t>5.1</w:t>
      </w:r>
      <w:r>
        <w:tab/>
        <w:t>The SEMC shall provide a process with a functioning booking and outcome service for CAD testing to include the completion and delivery of CAD test results back to the SEMC office and onwards to any future service provider that is contracted to provide the Pre-entry medical examinations.</w:t>
      </w:r>
    </w:p>
    <w:p w:rsidR="00D51906" w:rsidRDefault="00D51906" w:rsidP="00D51906">
      <w:pPr>
        <w:rPr>
          <w:rFonts w:cs="Arial"/>
        </w:rPr>
      </w:pPr>
      <w:r>
        <w:rPr>
          <w:rFonts w:cs="Arial"/>
        </w:rPr>
        <w:t xml:space="preserve">5.2    The SEMC shall notify candidates of confirmed appointments via e-mail once booking is confirmed and 48hrs prior to an appointment reminding them of the relevant details (Date, Time, Location etc.). This will also be re-laid to candidates AFCO for data capture. </w:t>
      </w:r>
    </w:p>
    <w:p w:rsidR="00D51906" w:rsidRDefault="00D51906" w:rsidP="00D51906">
      <w:pPr>
        <w:rPr>
          <w:b/>
        </w:rPr>
      </w:pPr>
      <w:r>
        <w:rPr>
          <w:b/>
        </w:rPr>
        <w:t>6</w:t>
      </w:r>
      <w:r>
        <w:rPr>
          <w:b/>
        </w:rPr>
        <w:tab/>
        <w:t>SERVICES</w:t>
      </w:r>
    </w:p>
    <w:p w:rsidR="00D51906" w:rsidRDefault="00D51906" w:rsidP="00D51906">
      <w:r>
        <w:t xml:space="preserve"> 6.1</w:t>
      </w:r>
      <w:r>
        <w:tab/>
        <w:t xml:space="preserve">All CAD testing of candidates shall be conducted in accordance with the relevant Code of Conduct and guidelines and those relating to the maintenance of confidentiality and the use of chaperones. </w:t>
      </w:r>
    </w:p>
    <w:p w:rsidR="00D51906" w:rsidRDefault="00D51906" w:rsidP="00D51906">
      <w:pPr>
        <w:rPr>
          <w:color w:val="FF0000"/>
        </w:rPr>
      </w:pPr>
      <w:r>
        <w:t xml:space="preserve">6.2 </w:t>
      </w:r>
      <w:r>
        <w:tab/>
        <w:t xml:space="preserve">All  aspects of the CAD testing of candidates shall be carried out to the required Naval Service standards in accordance with the instructions in Joint Service Publication (JSP) 950 Part 1 </w:t>
      </w:r>
      <w:proofErr w:type="spellStart"/>
      <w:r>
        <w:t>Lft</w:t>
      </w:r>
      <w:proofErr w:type="spellEnd"/>
      <w:r>
        <w:t xml:space="preserve"> 6-7-7 as the principal authority, supported by the Book of Reference (</w:t>
      </w:r>
      <w:hyperlink r:id="rId36" w:history="1">
        <w:r>
          <w:rPr>
            <w:rStyle w:val="Hyperlink"/>
          </w:rPr>
          <w:t>BRd1750A</w:t>
        </w:r>
      </w:hyperlink>
      <w:r>
        <w:t>)  and any other single service guidance and direction. All judgements on medical fitness and suitability for entry shall be made using these documents and provided to the SEMC and INM operators</w:t>
      </w:r>
      <w:r>
        <w:rPr>
          <w:rFonts w:eastAsia="Calibri" w:cs="Arial"/>
        </w:rPr>
        <w:t xml:space="preserve">. </w:t>
      </w:r>
    </w:p>
    <w:p w:rsidR="00D51906" w:rsidRDefault="00D51906" w:rsidP="00D51906">
      <w:pPr>
        <w:rPr>
          <w:rFonts w:ascii="Arial" w:eastAsia="Times New Roman" w:hAnsi="Arial"/>
          <w:kern w:val="22"/>
          <w:szCs w:val="20"/>
        </w:rPr>
      </w:pPr>
      <w:r>
        <w:t xml:space="preserve">6.3 </w:t>
      </w:r>
      <w:r>
        <w:tab/>
        <w:t xml:space="preserve">Carry out all CAD testing in a timely and efficient manner, </w:t>
      </w:r>
      <w:r>
        <w:rPr>
          <w:b/>
        </w:rPr>
        <w:t>within 10 working days</w:t>
      </w:r>
      <w:r>
        <w:t xml:space="preserve"> of the request for an appointment depending on the candidate’s availability. Candidates must be seen within 30 minutes of their appointment time. All documentation is to be completed and returned to the SEMC </w:t>
      </w:r>
      <w:r>
        <w:rPr>
          <w:b/>
        </w:rPr>
        <w:t>within 1 working day</w:t>
      </w:r>
      <w:r>
        <w:t xml:space="preserve"> of the initial appointment unless further referral is required. AFCOs are to be kept informed of progress via e-mail. </w:t>
      </w:r>
    </w:p>
    <w:p w:rsidR="00D51906" w:rsidRDefault="00D51906" w:rsidP="00D51906">
      <w:r>
        <w:t xml:space="preserve">6.4 </w:t>
      </w:r>
      <w:r>
        <w:tab/>
        <w:t>The SEMC or INM shall conduct a full CAD Test</w:t>
      </w:r>
      <w:r>
        <w:rPr>
          <w:rFonts w:ascii="Helvetica" w:hAnsi="Helvetica" w:cs="Helvetica"/>
        </w:rPr>
        <w:t xml:space="preserve"> in its entirety regardless of any perceived issue, or potential bar to Service entry, no matter what stage of the process it is identified to ensure data capture</w:t>
      </w:r>
      <w:r>
        <w:t xml:space="preserve"> </w:t>
      </w:r>
    </w:p>
    <w:p w:rsidR="00D51906" w:rsidRDefault="00D51906" w:rsidP="00D51906">
      <w:r>
        <w:t xml:space="preserve">6.5 </w:t>
      </w:r>
      <w:r>
        <w:tab/>
        <w:t>Inform the candidate, with an explanation, of the outcome of the CAD test, (FIT, UNFIT, Temporarily Medically Unfit (TMU) or Senior Medical Officer Service Entry (SMOSE) Referral) face to face at time of examination and notify the AFCO of the result within1 working day.</w:t>
      </w:r>
    </w:p>
    <w:p w:rsidR="00D51906" w:rsidRDefault="00D51906" w:rsidP="00D51906">
      <w:pPr>
        <w:rPr>
          <w:color w:val="FF0000"/>
        </w:rPr>
      </w:pPr>
      <w:r>
        <w:rPr>
          <w:color w:val="FF0000"/>
        </w:rPr>
        <w:t xml:space="preserve"> </w:t>
      </w:r>
      <w:r>
        <w:t xml:space="preserve">6.6 </w:t>
      </w:r>
      <w:r>
        <w:tab/>
        <w:t xml:space="preserve">Complete </w:t>
      </w:r>
      <w:r>
        <w:rPr>
          <w:b/>
          <w:i/>
          <w:u w:val="single"/>
        </w:rPr>
        <w:t>all</w:t>
      </w:r>
      <w:r>
        <w:t xml:space="preserve"> relevant sections of the Naval Service Pre-Entry CAD test paperwork. </w:t>
      </w:r>
      <w:r>
        <w:rPr>
          <w:rFonts w:ascii="Helvetica" w:hAnsi="Helvetica" w:cs="Helvetica"/>
        </w:rPr>
        <w:t xml:space="preserve">All judgements about a candidate’s medical fitness for entry into the Naval Service are to be recorded on the Pre-Entry CAD test paperwork and is to adhere to </w:t>
      </w:r>
      <w:hyperlink r:id="rId37" w:history="1">
        <w:r>
          <w:rPr>
            <w:rStyle w:val="Hyperlink"/>
            <w:rFonts w:cs="Arial"/>
          </w:rPr>
          <w:t>Confidentiality NHS Code of Practice</w:t>
        </w:r>
      </w:hyperlink>
      <w:r>
        <w:rPr>
          <w:rStyle w:val="Hyperlink"/>
          <w:rFonts w:cs="Arial"/>
        </w:rPr>
        <w:t>, GDPR 2018</w:t>
      </w:r>
      <w:r>
        <w:rPr>
          <w:rFonts w:ascii="Helvetica" w:hAnsi="Helvetica" w:cs="Helvetica"/>
        </w:rPr>
        <w:t xml:space="preserve">, the Access to Medical Reports Act 1988 regarding patient identifiable markers, </w:t>
      </w:r>
      <w:r>
        <w:t>any subsequent implication of any decision for onward referral</w:t>
      </w:r>
      <w:r>
        <w:rPr>
          <w:color w:val="FF0000"/>
        </w:rPr>
        <w:t xml:space="preserve"> </w:t>
      </w:r>
      <w:r>
        <w:t xml:space="preserve">and ensuring that all medical documentation is handled and </w:t>
      </w:r>
      <w:r>
        <w:lastRenderedPageBreak/>
        <w:t>stored in accordance with the above.</w:t>
      </w:r>
    </w:p>
    <w:p w:rsidR="00D51906" w:rsidRDefault="00D51906" w:rsidP="00D51906">
      <w:r>
        <w:t xml:space="preserve">6.7 </w:t>
      </w:r>
      <w:r>
        <w:tab/>
        <w:t xml:space="preserve">The SEMC or INM personnel completing the test shall complete and deliver CAD test paperwork and results back to the SEMC and onwards to any service provider for the Pre-entry medical process.  AFCOs are to be notified within 1 working day.  </w:t>
      </w:r>
    </w:p>
    <w:p w:rsidR="00D51906" w:rsidRDefault="00D51906" w:rsidP="00D51906">
      <w:r>
        <w:t xml:space="preserve">6.8 </w:t>
      </w:r>
      <w:r>
        <w:tab/>
        <w:t>Candidates who do not initially meet the required standard for entry, but may become fit following a short period, after subsequent re-examination, or following referral to the authority for specialist occupational advice, will be graded TMU. The SEMC shall inform the AFCO within 1 working day, if a candidate is deferred or referred for specialist advice.</w:t>
      </w:r>
    </w:p>
    <w:p w:rsidR="00D51906" w:rsidRDefault="00D51906" w:rsidP="00D51906">
      <w:r>
        <w:t xml:space="preserve">6.9 </w:t>
      </w:r>
      <w:r>
        <w:tab/>
        <w:t xml:space="preserve">Details of a candidate’s fitness to proceed are also required by non-medical/Caldicott trained personnel such as recruiters. The documents used for this process are to be annotated by means of deleting data as applicable to each case and made available to the Service Authority. </w:t>
      </w:r>
    </w:p>
    <w:p w:rsidR="00D51906" w:rsidRDefault="00D51906" w:rsidP="00D51906">
      <w:pPr>
        <w:rPr>
          <w:b/>
        </w:rPr>
      </w:pPr>
      <w:r>
        <w:rPr>
          <w:b/>
        </w:rPr>
        <w:t>7.</w:t>
      </w:r>
      <w:r>
        <w:rPr>
          <w:b/>
        </w:rPr>
        <w:tab/>
        <w:t xml:space="preserve">REFERRAL PROCEDURE </w:t>
      </w:r>
    </w:p>
    <w:p w:rsidR="00D51906" w:rsidRDefault="00D51906" w:rsidP="00D51906">
      <w:r>
        <w:t>7.1</w:t>
      </w:r>
      <w:r>
        <w:tab/>
        <w:t xml:space="preserve">The SEMC and INM operators shall forward all cases requiring clarification and/or specialist review to the NS Occupational Health experts, as a formal referral. This will also apply to all candidates that if the operators were to find a significant abnormality which was unknown to the candidate and warrants further referral to secondary care, this be done at the earliest opportunity and escalated to the candidates GP.   </w:t>
      </w:r>
    </w:p>
    <w:p w:rsidR="00D51906" w:rsidRDefault="00D51906" w:rsidP="00D51906">
      <w:r>
        <w:t>7.2</w:t>
      </w:r>
      <w:r>
        <w:tab/>
        <w:t xml:space="preserve">The Naval Service Occupational Medicine is managed by the SMOSE, who is responsible for appeals and considering cases requiring further opinion and appeals. </w:t>
      </w:r>
    </w:p>
    <w:p w:rsidR="00D51906" w:rsidRDefault="00D51906" w:rsidP="00D51906">
      <w:r>
        <w:t xml:space="preserve">7.3 </w:t>
      </w:r>
      <w:r>
        <w:tab/>
        <w:t xml:space="preserve">The SEMC or INM operators shall forward all cases requiring clarification and / or specialist review to SMOSE at the address below, by way of a formal referral containing all relevant and historical data. </w:t>
      </w:r>
    </w:p>
    <w:p w:rsidR="00D51906" w:rsidRDefault="00D51906" w:rsidP="00D51906">
      <w:r>
        <w:t>Senior Medical Officer Service Entry (SMOSE)</w:t>
      </w:r>
      <w:r>
        <w:tab/>
      </w:r>
    </w:p>
    <w:p w:rsidR="00D51906" w:rsidRPr="00E83005" w:rsidRDefault="00D51906" w:rsidP="00D51906">
      <w:pPr>
        <w:pStyle w:val="ListParagraph"/>
        <w:widowControl w:val="0"/>
        <w:numPr>
          <w:ilvl w:val="0"/>
          <w:numId w:val="7"/>
        </w:numPr>
        <w:rPr>
          <w:b/>
        </w:rPr>
      </w:pPr>
      <w:r w:rsidRPr="007F0C47">
        <w:rPr>
          <w:b/>
        </w:rPr>
        <w:t>CONSENT</w:t>
      </w:r>
    </w:p>
    <w:p w:rsidR="00D51906" w:rsidRDefault="00D51906" w:rsidP="00D51906">
      <w:r>
        <w:t>8.1</w:t>
      </w:r>
      <w:r>
        <w:tab/>
        <w:t xml:space="preserve">The SEMC shall notify the candidates AFCO if the candidate refuses consent to complete the CAD test within 1 working day, and to annotate that he/she is UNFIT. </w:t>
      </w:r>
    </w:p>
    <w:p w:rsidR="00D51906" w:rsidRDefault="00D51906" w:rsidP="00D51906">
      <w:pPr>
        <w:rPr>
          <w:b/>
        </w:rPr>
      </w:pPr>
      <w:r>
        <w:t xml:space="preserve"> </w:t>
      </w:r>
      <w:r>
        <w:rPr>
          <w:b/>
        </w:rPr>
        <w:t>9</w:t>
      </w:r>
      <w:r>
        <w:t xml:space="preserve">. </w:t>
      </w:r>
      <w:r>
        <w:tab/>
      </w:r>
      <w:r>
        <w:rPr>
          <w:b/>
        </w:rPr>
        <w:t>COMPLAINTS</w:t>
      </w:r>
    </w:p>
    <w:p w:rsidR="00D51906" w:rsidRDefault="00D51906" w:rsidP="00D51906">
      <w:r>
        <w:t>9.1</w:t>
      </w:r>
      <w:r>
        <w:tab/>
        <w:t>The SEMC shall provide an assured and appropriate complaints procedure which allows candidates to register a complaint in writing with specific regard to the CAD testing process.</w:t>
      </w:r>
    </w:p>
    <w:p w:rsidR="00D51906" w:rsidRDefault="00D51906" w:rsidP="00D51906">
      <w:pPr>
        <w:rPr>
          <w:b/>
        </w:rPr>
      </w:pPr>
      <w:r>
        <w:rPr>
          <w:b/>
        </w:rPr>
        <w:t>10.</w:t>
      </w:r>
      <w:r>
        <w:rPr>
          <w:b/>
        </w:rPr>
        <w:tab/>
        <w:t>DID NOT ATTEND/CANCELLATIONS</w:t>
      </w:r>
    </w:p>
    <w:p w:rsidR="00D51906" w:rsidRDefault="00D51906" w:rsidP="00D51906">
      <w:pPr>
        <w:rPr>
          <w:color w:val="FF0000"/>
        </w:rPr>
      </w:pPr>
      <w:r>
        <w:t>10.1</w:t>
      </w:r>
      <w:r>
        <w:tab/>
        <w:t>The SEMC shall monitor “did not attend” (DNAs). Cancellations however will be assessed on a case by case basis. To mitigate the effect of DNA’s and cancellations the SEMC will make best use e-mail and portal notifications to AFCOs by sending candidates reminder message 48hrs prior to CAD testing appointments</w:t>
      </w:r>
      <w:r>
        <w:rPr>
          <w:color w:val="FF0000"/>
        </w:rPr>
        <w:t>.</w:t>
      </w:r>
    </w:p>
    <w:p w:rsidR="00D51906" w:rsidRDefault="00D51906" w:rsidP="00D51906">
      <w:r>
        <w:t xml:space="preserve"> “</w:t>
      </w:r>
      <w:r>
        <w:rPr>
          <w:b/>
          <w:i/>
        </w:rPr>
        <w:t>Did not attend” (DNA) means failure to attend for an agreed appointment without prior notice.</w:t>
      </w:r>
      <w:r>
        <w:t xml:space="preserve"> </w:t>
      </w:r>
    </w:p>
    <w:p w:rsidR="00D51906" w:rsidRDefault="00D51906" w:rsidP="00D51906">
      <w:r>
        <w:t>10.2</w:t>
      </w:r>
      <w:r>
        <w:tab/>
        <w:t xml:space="preserve">Candidates shall be re-booked onto a replacement test </w:t>
      </w:r>
      <w:r>
        <w:rPr>
          <w:b/>
        </w:rPr>
        <w:t>within 5 working days</w:t>
      </w:r>
      <w:r>
        <w:t xml:space="preserve"> if the SEMC cancels </w:t>
      </w:r>
      <w:r>
        <w:lastRenderedPageBreak/>
        <w:t xml:space="preserve">the appointment. </w:t>
      </w:r>
    </w:p>
    <w:p w:rsidR="00D51906" w:rsidRDefault="00D51906" w:rsidP="00D51906">
      <w:pPr>
        <w:rPr>
          <w:b/>
        </w:rPr>
      </w:pPr>
      <w:r>
        <w:rPr>
          <w:b/>
        </w:rPr>
        <w:t>11.</w:t>
      </w:r>
      <w:r>
        <w:rPr>
          <w:b/>
        </w:rPr>
        <w:tab/>
        <w:t>INCORRECT DECISIONS</w:t>
      </w:r>
      <w:r>
        <w:rPr>
          <w:b/>
        </w:rPr>
        <w:tab/>
      </w:r>
    </w:p>
    <w:p w:rsidR="00D51906" w:rsidRDefault="00D51906" w:rsidP="00D51906">
      <w:r>
        <w:t>11.1</w:t>
      </w:r>
      <w:r>
        <w:tab/>
        <w:t>Should an incorrect decision be made by the SEMC (such as a recruit should not have passed the CAD test and that the failure should have been evident at the time of testing and has led to them proceeding in the process and entered Phase 1 training), the SEMC shall notify the candidates and relevant AFCO to explain and decide on the most appropriate COA.</w:t>
      </w:r>
    </w:p>
    <w:p w:rsidR="00D51906" w:rsidRDefault="00D51906" w:rsidP="00D51906">
      <w:pPr>
        <w:rPr>
          <w:b/>
        </w:rPr>
      </w:pPr>
      <w:r>
        <w:rPr>
          <w:b/>
        </w:rPr>
        <w:t>12.</w:t>
      </w:r>
      <w:r>
        <w:rPr>
          <w:b/>
        </w:rPr>
        <w:tab/>
        <w:t>MANAGEMENT INFORMATION</w:t>
      </w:r>
    </w:p>
    <w:p w:rsidR="00D51906" w:rsidRDefault="00D51906" w:rsidP="00D51906">
      <w:r>
        <w:t>12.1</w:t>
      </w:r>
      <w:r>
        <w:tab/>
        <w:t>Management Information (MI)</w:t>
      </w:r>
      <w:r>
        <w:rPr>
          <w:color w:val="FF0000"/>
        </w:rPr>
        <w:t xml:space="preserve"> </w:t>
      </w:r>
      <w:r>
        <w:t xml:space="preserve">that can be interrogated by the higher Authority shall be provided by the SEMC.  Management Information (MI) shall be available in electronic form as requested. The SEMC shall provide dedicated personnel who will oversee MI at the end of each calendar month and quarterly, as detailed below. </w:t>
      </w:r>
    </w:p>
    <w:p w:rsidR="00D51906" w:rsidRDefault="00D51906" w:rsidP="00D51906">
      <w:pPr>
        <w:spacing w:after="0"/>
      </w:pPr>
    </w:p>
    <w:p w:rsidR="00D51906" w:rsidRDefault="00D51906" w:rsidP="00D51906">
      <w:pPr>
        <w:spacing w:after="0"/>
        <w:ind w:left="1134" w:hanging="567"/>
      </w:pPr>
      <w:r>
        <w:t>a.</w:t>
      </w:r>
      <w:r>
        <w:tab/>
        <w:t>Number of CAD appointment requests received by the SEMC</w:t>
      </w:r>
    </w:p>
    <w:p w:rsidR="00D51906" w:rsidRDefault="00D51906" w:rsidP="00D51906">
      <w:pPr>
        <w:spacing w:after="0"/>
        <w:ind w:left="1134" w:hanging="567"/>
        <w:rPr>
          <w:color w:val="FF0000"/>
        </w:rPr>
      </w:pPr>
    </w:p>
    <w:p w:rsidR="00D51906" w:rsidRDefault="00D51906" w:rsidP="00D51906">
      <w:pPr>
        <w:spacing w:after="0"/>
        <w:ind w:left="1134" w:hanging="567"/>
      </w:pPr>
      <w:r>
        <w:t>b.</w:t>
      </w:r>
      <w:r>
        <w:rPr>
          <w:color w:val="FF0000"/>
        </w:rPr>
        <w:t xml:space="preserve"> </w:t>
      </w:r>
      <w:r>
        <w:rPr>
          <w:color w:val="FF0000"/>
        </w:rPr>
        <w:tab/>
      </w:r>
      <w:r>
        <w:t xml:space="preserve">The SEMC to provide a breakdown of the outcome of these tests including numbers that FIT, UNFIT, Temporarily Medically Unfit (TMU) and SMOSE referral. </w:t>
      </w:r>
    </w:p>
    <w:p w:rsidR="00D51906" w:rsidRDefault="00D51906" w:rsidP="00D51906">
      <w:pPr>
        <w:spacing w:after="0"/>
      </w:pPr>
    </w:p>
    <w:p w:rsidR="00D51906" w:rsidRDefault="00D51906" w:rsidP="00D51906">
      <w:pPr>
        <w:spacing w:after="0"/>
        <w:ind w:left="1134" w:hanging="567"/>
      </w:pPr>
      <w:r>
        <w:t>c.</w:t>
      </w:r>
      <w:r>
        <w:tab/>
        <w:t>Numbers of missed appointments – cancelled (practice or candidate) and “Did not Attend” (DNAs)</w:t>
      </w:r>
    </w:p>
    <w:p w:rsidR="00D51906" w:rsidRDefault="00D51906" w:rsidP="00D51906">
      <w:pPr>
        <w:spacing w:after="0"/>
      </w:pPr>
    </w:p>
    <w:p w:rsidR="00D51906" w:rsidRDefault="00D51906" w:rsidP="00D51906">
      <w:pPr>
        <w:spacing w:after="0"/>
        <w:ind w:left="567"/>
      </w:pPr>
      <w:r>
        <w:t>d.</w:t>
      </w:r>
      <w:r>
        <w:tab/>
        <w:t>The numbers of candidates not offered an appointment within 10 working days.</w:t>
      </w:r>
      <w:r>
        <w:tab/>
      </w:r>
    </w:p>
    <w:p w:rsidR="00D51906" w:rsidRDefault="00D51906" w:rsidP="00D51906">
      <w:pPr>
        <w:spacing w:after="0"/>
        <w:ind w:left="567"/>
      </w:pPr>
    </w:p>
    <w:p w:rsidR="00D51906" w:rsidRDefault="00D51906" w:rsidP="00D51906">
      <w:pPr>
        <w:spacing w:after="0"/>
        <w:ind w:left="1134" w:hanging="567"/>
      </w:pPr>
      <w:r>
        <w:t>e.</w:t>
      </w:r>
      <w:r>
        <w:tab/>
        <w:t>The numbers of candidates not seen by SEMC within 30 minutes of appointment time</w:t>
      </w:r>
    </w:p>
    <w:p w:rsidR="00D51906" w:rsidRDefault="00D51906" w:rsidP="00D51906">
      <w:pPr>
        <w:spacing w:after="0"/>
        <w:ind w:left="1134" w:hanging="567"/>
      </w:pPr>
    </w:p>
    <w:p w:rsidR="00D51906" w:rsidRDefault="00D51906" w:rsidP="00D51906">
      <w:pPr>
        <w:spacing w:after="0"/>
        <w:ind w:left="1134" w:hanging="567"/>
      </w:pPr>
      <w:r>
        <w:t>f.</w:t>
      </w:r>
      <w:r>
        <w:rPr>
          <w:color w:val="FF0000"/>
        </w:rPr>
        <w:tab/>
      </w:r>
      <w:r>
        <w:t xml:space="preserve">Production of an annual report </w:t>
      </w:r>
      <w:proofErr w:type="spellStart"/>
      <w:r>
        <w:t>summarising</w:t>
      </w:r>
      <w:proofErr w:type="spellEnd"/>
      <w:r>
        <w:t xml:space="preserve"> annual achievement and budget spent, demonstrating trends and likely challenges in the coming year</w:t>
      </w:r>
    </w:p>
    <w:p w:rsidR="00D51906" w:rsidRDefault="00D51906" w:rsidP="00D51906">
      <w:pPr>
        <w:spacing w:after="0"/>
        <w:ind w:left="1134" w:hanging="567"/>
      </w:pPr>
      <w:r>
        <w:t xml:space="preserve">g. </w:t>
      </w:r>
      <w:r>
        <w:tab/>
        <w:t>Compliance to JSP 950 Assessment for Entry, BR1750A and AP1269a standards.</w:t>
      </w:r>
    </w:p>
    <w:p w:rsidR="00D51906" w:rsidRDefault="00D51906" w:rsidP="00D51906">
      <w:pPr>
        <w:tabs>
          <w:tab w:val="left" w:pos="6060"/>
          <w:tab w:val="right" w:pos="9638"/>
        </w:tabs>
      </w:pPr>
    </w:p>
    <w:p w:rsidR="00D51906" w:rsidRDefault="00D51906" w:rsidP="00D51906">
      <w:pPr>
        <w:tabs>
          <w:tab w:val="left" w:pos="6060"/>
          <w:tab w:val="right" w:pos="9638"/>
        </w:tabs>
        <w:rPr>
          <w:b/>
        </w:rPr>
      </w:pPr>
      <w:r>
        <w:rPr>
          <w:b/>
        </w:rPr>
        <w:t>13     COMMUNICATION</w:t>
      </w:r>
    </w:p>
    <w:p w:rsidR="00D51906" w:rsidRDefault="00D51906" w:rsidP="00D51906">
      <w:pPr>
        <w:rPr>
          <w:color w:val="FF0000"/>
        </w:rPr>
      </w:pPr>
      <w:r>
        <w:t>13.1   A teleconference with the Service Provider Team Leader will be established to provide support and updates as required.</w:t>
      </w:r>
    </w:p>
    <w:p w:rsidR="00D51906" w:rsidRDefault="00D51906" w:rsidP="00D51906">
      <w:pPr>
        <w:rPr>
          <w:b/>
        </w:rPr>
      </w:pPr>
      <w:r>
        <w:rPr>
          <w:b/>
        </w:rPr>
        <w:t>14.</w:t>
      </w:r>
      <w:r>
        <w:rPr>
          <w:b/>
        </w:rPr>
        <w:tab/>
        <w:t>AUDIT</w:t>
      </w:r>
    </w:p>
    <w:p w:rsidR="00D51906" w:rsidRPr="00A41250" w:rsidRDefault="00D51906" w:rsidP="00D51906">
      <w:r>
        <w:t>14.1 The SEMC shall agree to undergo an audit conducted by a suitably qualified individual or team at any given time during the period of the contract. This will ensure SP compliance.</w:t>
      </w:r>
    </w:p>
    <w:p w:rsidR="00D51906" w:rsidRDefault="00D51906" w:rsidP="00D51906">
      <w:pPr>
        <w:rPr>
          <w:rFonts w:cs="Arial"/>
          <w:b/>
          <w:lang w:eastAsia="en-GB"/>
        </w:rPr>
      </w:pPr>
      <w:bookmarkStart w:id="68" w:name="_GoBack"/>
      <w:bookmarkEnd w:id="68"/>
    </w:p>
    <w:p w:rsidR="00D51906" w:rsidRDefault="00D51906" w:rsidP="00D51906">
      <w:pPr>
        <w:rPr>
          <w:b/>
        </w:rPr>
        <w:sectPr w:rsidR="00D51906" w:rsidSect="00D51906">
          <w:type w:val="nextColumn"/>
          <w:pgSz w:w="11906" w:h="16838"/>
          <w:pgMar w:top="1134" w:right="1134" w:bottom="1134" w:left="1134" w:header="709" w:footer="709" w:gutter="0"/>
          <w:pgNumType w:start="1"/>
          <w:cols w:space="708"/>
        </w:sectPr>
      </w:pPr>
    </w:p>
    <w:p w:rsidR="00D51906" w:rsidRDefault="00D51906" w:rsidP="00D51906">
      <w:pPr>
        <w:rPr>
          <w:rFonts w:cs="Arial"/>
          <w:lang w:eastAsia="en-GB"/>
        </w:rPr>
      </w:pPr>
      <w:r>
        <w:rPr>
          <w:rFonts w:cs="Arial"/>
        </w:rPr>
        <w:lastRenderedPageBreak/>
        <w:tab/>
      </w:r>
      <w:r>
        <w:rPr>
          <w:rFonts w:cs="Arial"/>
          <w:b/>
          <w:lang w:eastAsia="en-GB"/>
        </w:rPr>
        <w:t>KEY USER REQUIREMENTS (KURs)</w:t>
      </w:r>
    </w:p>
    <w:p w:rsidR="00D51906" w:rsidRDefault="00D51906" w:rsidP="00D51906">
      <w:pPr>
        <w:rPr>
          <w:rFonts w:cs="Arial"/>
          <w:lang w:eastAsia="en-GB"/>
        </w:rPr>
      </w:pPr>
    </w:p>
    <w:p w:rsidR="00D51906" w:rsidRDefault="00D51906" w:rsidP="00D51906">
      <w:pPr>
        <w:rPr>
          <w:rFonts w:cs="Arial"/>
          <w:lang w:eastAsia="en-GB"/>
        </w:rPr>
      </w:pPr>
      <w:r>
        <w:rPr>
          <w:rFonts w:cs="Arial"/>
          <w:lang w:eastAsia="en-GB"/>
        </w:rPr>
        <w:t xml:space="preserve">The table below identifies the KURs for the desired capability:  </w:t>
      </w:r>
    </w:p>
    <w:p w:rsidR="00D51906" w:rsidRDefault="00D51906" w:rsidP="00D51906">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783"/>
        <w:gridCol w:w="9367"/>
      </w:tblGrid>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ID</w:t>
            </w:r>
          </w:p>
        </w:tc>
        <w:tc>
          <w:tcPr>
            <w:tcW w:w="478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KUR</w:t>
            </w:r>
          </w:p>
        </w:tc>
        <w:tc>
          <w:tcPr>
            <w:tcW w:w="9367"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Remarks</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1</w:t>
            </w:r>
          </w:p>
        </w:tc>
        <w:tc>
          <w:tcPr>
            <w:tcW w:w="478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The system shall have a sensitivity of greater than 90%</w:t>
            </w:r>
          </w:p>
        </w:tc>
        <w:tc>
          <w:tcPr>
            <w:tcW w:w="9367"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color w:val="222222"/>
                <w:sz w:val="21"/>
                <w:szCs w:val="21"/>
                <w:shd w:val="clear" w:color="auto" w:fill="FFFFFF"/>
                <w:lang w:eastAsia="en-GB"/>
              </w:rPr>
              <w:t xml:space="preserve">Measures the proportion of actual positives that are correctly identified as such (e.g., the percentage of </w:t>
            </w:r>
            <w:proofErr w:type="spellStart"/>
            <w:r>
              <w:rPr>
                <w:rFonts w:cs="Arial"/>
                <w:color w:val="222222"/>
                <w:sz w:val="21"/>
                <w:szCs w:val="21"/>
                <w:shd w:val="clear" w:color="auto" w:fill="FFFFFF"/>
                <w:lang w:eastAsia="en-GB"/>
              </w:rPr>
              <w:t>colour</w:t>
            </w:r>
            <w:proofErr w:type="spellEnd"/>
            <w:r>
              <w:rPr>
                <w:rFonts w:cs="Arial"/>
                <w:color w:val="222222"/>
                <w:sz w:val="21"/>
                <w:szCs w:val="21"/>
                <w:shd w:val="clear" w:color="auto" w:fill="FFFFFF"/>
                <w:lang w:eastAsia="en-GB"/>
              </w:rPr>
              <w:t xml:space="preserve"> vision abnormal people who are correctly identified as having abnormal </w:t>
            </w:r>
            <w:proofErr w:type="spellStart"/>
            <w:r>
              <w:rPr>
                <w:rFonts w:cs="Arial"/>
                <w:color w:val="222222"/>
                <w:sz w:val="21"/>
                <w:szCs w:val="21"/>
                <w:shd w:val="clear" w:color="auto" w:fill="FFFFFF"/>
                <w:lang w:eastAsia="en-GB"/>
              </w:rPr>
              <w:t>colour</w:t>
            </w:r>
            <w:proofErr w:type="spellEnd"/>
            <w:r>
              <w:rPr>
                <w:rFonts w:cs="Arial"/>
                <w:color w:val="222222"/>
                <w:sz w:val="21"/>
                <w:szCs w:val="21"/>
                <w:shd w:val="clear" w:color="auto" w:fill="FFFFFF"/>
                <w:lang w:eastAsia="en-GB"/>
              </w:rPr>
              <w:t xml:space="preserve"> vision).</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2</w:t>
            </w:r>
          </w:p>
        </w:tc>
        <w:tc>
          <w:tcPr>
            <w:tcW w:w="478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color w:val="0000FF"/>
                <w:lang w:eastAsia="en-GB"/>
              </w:rPr>
            </w:pPr>
            <w:r>
              <w:rPr>
                <w:rFonts w:cs="Arial"/>
                <w:lang w:eastAsia="en-GB"/>
              </w:rPr>
              <w:t>The system shall have a specificity of greater than 90%</w:t>
            </w:r>
          </w:p>
        </w:tc>
        <w:tc>
          <w:tcPr>
            <w:tcW w:w="9367"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color w:val="222222"/>
                <w:sz w:val="21"/>
                <w:szCs w:val="21"/>
                <w:shd w:val="clear" w:color="auto" w:fill="FFFFFF"/>
                <w:lang w:eastAsia="en-GB"/>
              </w:rPr>
              <w:t xml:space="preserve">Measures the proportion of actual negatives that are correctly identified as such (e.g., the percentage of people who are correctly identified as having normal </w:t>
            </w:r>
            <w:proofErr w:type="spellStart"/>
            <w:r>
              <w:rPr>
                <w:rFonts w:cs="Arial"/>
                <w:color w:val="222222"/>
                <w:sz w:val="21"/>
                <w:szCs w:val="21"/>
                <w:shd w:val="clear" w:color="auto" w:fill="FFFFFF"/>
                <w:lang w:eastAsia="en-GB"/>
              </w:rPr>
              <w:t>colour</w:t>
            </w:r>
            <w:proofErr w:type="spellEnd"/>
            <w:r>
              <w:rPr>
                <w:rFonts w:cs="Arial"/>
                <w:color w:val="222222"/>
                <w:sz w:val="21"/>
                <w:szCs w:val="21"/>
                <w:shd w:val="clear" w:color="auto" w:fill="FFFFFF"/>
                <w:lang w:eastAsia="en-GB"/>
              </w:rPr>
              <w:t xml:space="preserve"> vision)</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3</w:t>
            </w:r>
          </w:p>
        </w:tc>
        <w:tc>
          <w:tcPr>
            <w:tcW w:w="478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The system shall be intuitive for the candidate to use</w:t>
            </w:r>
          </w:p>
        </w:tc>
        <w:tc>
          <w:tcPr>
            <w:tcW w:w="9367"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The time available for training and testing candidates is very limited</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4</w:t>
            </w:r>
          </w:p>
        </w:tc>
        <w:tc>
          <w:tcPr>
            <w:tcW w:w="4783"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cs="Arial"/>
                <w:lang w:eastAsia="en-GB"/>
              </w:rPr>
            </w:pPr>
            <w:r w:rsidRPr="00D51906">
              <w:rPr>
                <w:rFonts w:cs="Arial"/>
                <w:lang w:eastAsia="en-GB"/>
              </w:rPr>
              <w:t>The test should take no longer than 15 minutes to perform</w:t>
            </w:r>
          </w:p>
        </w:tc>
        <w:tc>
          <w:tcPr>
            <w:tcW w:w="936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cs="Arial"/>
                <w:lang w:eastAsia="en-GB"/>
              </w:rPr>
            </w:pPr>
            <w:r w:rsidRPr="00D51906">
              <w:rPr>
                <w:rFonts w:cs="Arial"/>
                <w:lang w:eastAsia="en-GB"/>
              </w:rPr>
              <w:t xml:space="preserve">The time available for testing during the medical board is limited by the required through put of candidates. The CAD Vision Screener takes 2.5 minutes to complete.  All </w:t>
            </w:r>
            <w:proofErr w:type="spellStart"/>
            <w:r w:rsidRPr="00D51906">
              <w:rPr>
                <w:rFonts w:cs="Arial"/>
                <w:lang w:eastAsia="en-GB"/>
              </w:rPr>
              <w:t>normals</w:t>
            </w:r>
            <w:proofErr w:type="spellEnd"/>
            <w:r w:rsidRPr="00D51906">
              <w:rPr>
                <w:rFonts w:cs="Arial"/>
                <w:lang w:eastAsia="en-GB"/>
              </w:rPr>
              <w:t xml:space="preserve"> pass, all </w:t>
            </w:r>
            <w:proofErr w:type="spellStart"/>
            <w:r w:rsidRPr="00D51906">
              <w:rPr>
                <w:rFonts w:cs="Arial"/>
                <w:lang w:eastAsia="en-GB"/>
              </w:rPr>
              <w:t>protans</w:t>
            </w:r>
            <w:proofErr w:type="spellEnd"/>
            <w:r w:rsidRPr="00D51906">
              <w:rPr>
                <w:rFonts w:cs="Arial"/>
                <w:lang w:eastAsia="en-GB"/>
              </w:rPr>
              <w:t xml:space="preserve"> fail and close to 100% of </w:t>
            </w:r>
            <w:proofErr w:type="spellStart"/>
            <w:r w:rsidRPr="00D51906">
              <w:rPr>
                <w:rFonts w:cs="Arial"/>
                <w:lang w:eastAsia="en-GB"/>
              </w:rPr>
              <w:t>deutans</w:t>
            </w:r>
            <w:proofErr w:type="spellEnd"/>
            <w:r w:rsidRPr="00D51906">
              <w:rPr>
                <w:rFonts w:cs="Arial"/>
                <w:lang w:eastAsia="en-GB"/>
              </w:rPr>
              <w:t xml:space="preserve"> fail. Only those who fail need to have the full CAD test. This takes ~ 3 minutes for yellow / blue assessment and ~ 10 minutes for red / green. </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5</w:t>
            </w:r>
          </w:p>
        </w:tc>
        <w:tc>
          <w:tcPr>
            <w:tcW w:w="4783"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cs="Arial"/>
                <w:lang w:eastAsia="en-GB"/>
              </w:rPr>
            </w:pPr>
            <w:r w:rsidRPr="00D51906">
              <w:rPr>
                <w:rFonts w:cs="Arial"/>
                <w:lang w:eastAsia="en-GB"/>
              </w:rPr>
              <w:t xml:space="preserve">The test shall be able to identify the different </w:t>
            </w:r>
            <w:proofErr w:type="spellStart"/>
            <w:r w:rsidRPr="00D51906">
              <w:rPr>
                <w:rFonts w:cs="Arial"/>
                <w:lang w:eastAsia="en-GB"/>
              </w:rPr>
              <w:t>colour</w:t>
            </w:r>
            <w:proofErr w:type="spellEnd"/>
            <w:r w:rsidRPr="00D51906">
              <w:rPr>
                <w:rFonts w:cs="Arial"/>
                <w:lang w:eastAsia="en-GB"/>
              </w:rPr>
              <w:t xml:space="preserve"> vision deficiencies</w:t>
            </w:r>
          </w:p>
        </w:tc>
        <w:tc>
          <w:tcPr>
            <w:tcW w:w="9367" w:type="dxa"/>
            <w:tcBorders>
              <w:top w:val="single" w:sz="4" w:space="0" w:color="auto"/>
              <w:left w:val="single" w:sz="4" w:space="0" w:color="auto"/>
              <w:bottom w:val="single" w:sz="4" w:space="0" w:color="auto"/>
              <w:right w:val="single" w:sz="4" w:space="0" w:color="auto"/>
            </w:tcBorders>
          </w:tcPr>
          <w:p w:rsidR="00D51906" w:rsidRPr="00D51906" w:rsidRDefault="00D51906" w:rsidP="001E66A3">
            <w:pPr>
              <w:rPr>
                <w:rFonts w:cs="Arial"/>
                <w:lang w:eastAsia="en-GB"/>
              </w:rPr>
            </w:pPr>
            <w:r w:rsidRPr="00D51906">
              <w:rPr>
                <w:rFonts w:cs="Arial"/>
                <w:lang w:eastAsia="en-GB"/>
              </w:rPr>
              <w:t xml:space="preserve">The full CAD test identifies accurately the applicant’s class of </w:t>
            </w:r>
            <w:proofErr w:type="spellStart"/>
            <w:r w:rsidRPr="00D51906">
              <w:rPr>
                <w:rFonts w:cs="Arial"/>
                <w:lang w:eastAsia="en-GB"/>
              </w:rPr>
              <w:t>colour</w:t>
            </w:r>
            <w:proofErr w:type="spellEnd"/>
            <w:r w:rsidRPr="00D51906">
              <w:rPr>
                <w:rFonts w:cs="Arial"/>
                <w:lang w:eastAsia="en-GB"/>
              </w:rPr>
              <w:t xml:space="preserve"> vision (i.e., normal trichromat, </w:t>
            </w:r>
            <w:proofErr w:type="spellStart"/>
            <w:r w:rsidRPr="00D51906">
              <w:rPr>
                <w:rFonts w:cs="Arial"/>
                <w:lang w:eastAsia="en-GB"/>
              </w:rPr>
              <w:t>deutan</w:t>
            </w:r>
            <w:proofErr w:type="spellEnd"/>
            <w:r w:rsidRPr="00D51906">
              <w:rPr>
                <w:rFonts w:cs="Arial"/>
                <w:lang w:eastAsia="en-GB"/>
              </w:rPr>
              <w:t xml:space="preserve">, </w:t>
            </w:r>
            <w:proofErr w:type="spellStart"/>
            <w:r w:rsidRPr="00D51906">
              <w:rPr>
                <w:rFonts w:cs="Arial"/>
                <w:lang w:eastAsia="en-GB"/>
              </w:rPr>
              <w:t>protan</w:t>
            </w:r>
            <w:proofErr w:type="spellEnd"/>
            <w:r w:rsidRPr="00D51906">
              <w:rPr>
                <w:rFonts w:cs="Arial"/>
                <w:lang w:eastAsia="en-GB"/>
              </w:rPr>
              <w:t xml:space="preserve">, </w:t>
            </w:r>
            <w:proofErr w:type="spellStart"/>
            <w:r w:rsidRPr="00D51906">
              <w:rPr>
                <w:rFonts w:cs="Arial"/>
                <w:lang w:eastAsia="en-GB"/>
              </w:rPr>
              <w:t>tritan</w:t>
            </w:r>
            <w:proofErr w:type="spellEnd"/>
            <w:r w:rsidRPr="00D51906">
              <w:rPr>
                <w:rFonts w:cs="Arial"/>
                <w:lang w:eastAsia="en-GB"/>
              </w:rPr>
              <w:t xml:space="preserve"> and acquired)</w:t>
            </w:r>
          </w:p>
        </w:tc>
      </w:tr>
      <w:tr w:rsidR="00D51906" w:rsidTr="001E66A3">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6</w:t>
            </w:r>
          </w:p>
        </w:tc>
        <w:tc>
          <w:tcPr>
            <w:tcW w:w="4783"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cs="Arial"/>
                <w:lang w:eastAsia="en-GB"/>
              </w:rPr>
            </w:pPr>
            <w:r w:rsidRPr="00D51906">
              <w:rPr>
                <w:rFonts w:cs="Arial"/>
                <w:lang w:eastAsia="en-GB"/>
              </w:rPr>
              <w:t xml:space="preserve">The test shall be able to quantify the severity of any </w:t>
            </w:r>
            <w:proofErr w:type="spellStart"/>
            <w:r w:rsidRPr="00D51906">
              <w:rPr>
                <w:rFonts w:cs="Arial"/>
                <w:lang w:eastAsia="en-GB"/>
              </w:rPr>
              <w:t>colour</w:t>
            </w:r>
            <w:proofErr w:type="spellEnd"/>
            <w:r w:rsidRPr="00D51906">
              <w:rPr>
                <w:rFonts w:cs="Arial"/>
                <w:lang w:eastAsia="en-GB"/>
              </w:rPr>
              <w:t xml:space="preserve"> vision deficiency</w:t>
            </w:r>
          </w:p>
        </w:tc>
        <w:tc>
          <w:tcPr>
            <w:tcW w:w="9367" w:type="dxa"/>
            <w:tcBorders>
              <w:top w:val="single" w:sz="4" w:space="0" w:color="auto"/>
              <w:left w:val="single" w:sz="4" w:space="0" w:color="auto"/>
              <w:bottom w:val="single" w:sz="4" w:space="0" w:color="auto"/>
              <w:right w:val="single" w:sz="4" w:space="0" w:color="auto"/>
            </w:tcBorders>
          </w:tcPr>
          <w:p w:rsidR="00D51906" w:rsidRPr="00D51906" w:rsidRDefault="00D51906" w:rsidP="001E66A3">
            <w:pPr>
              <w:rPr>
                <w:rFonts w:cs="Arial"/>
                <w:lang w:eastAsia="en-GB"/>
              </w:rPr>
            </w:pPr>
            <w:r w:rsidRPr="00D51906">
              <w:rPr>
                <w:rFonts w:cs="Arial"/>
                <w:lang w:eastAsia="en-GB"/>
              </w:rPr>
              <w:t xml:space="preserve">The full CAD test quantifies accurately the severity of red / green and yellow / blue loss </w:t>
            </w:r>
          </w:p>
        </w:tc>
      </w:tr>
      <w:tr w:rsidR="00D51906" w:rsidTr="001E66A3">
        <w:trPr>
          <w:trHeight w:val="70"/>
        </w:trPr>
        <w:tc>
          <w:tcPr>
            <w:tcW w:w="559"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7</w:t>
            </w:r>
          </w:p>
        </w:tc>
        <w:tc>
          <w:tcPr>
            <w:tcW w:w="4783"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 xml:space="preserve">The results of the test shall be translatable to the current military </w:t>
            </w:r>
            <w:proofErr w:type="spellStart"/>
            <w:r>
              <w:rPr>
                <w:rFonts w:cs="Arial"/>
                <w:lang w:eastAsia="en-GB"/>
              </w:rPr>
              <w:t>colour</w:t>
            </w:r>
            <w:proofErr w:type="spellEnd"/>
            <w:r>
              <w:rPr>
                <w:rFonts w:cs="Arial"/>
                <w:lang w:eastAsia="en-GB"/>
              </w:rPr>
              <w:t xml:space="preserve"> perception scores</w:t>
            </w:r>
          </w:p>
        </w:tc>
        <w:tc>
          <w:tcPr>
            <w:tcW w:w="9367" w:type="dxa"/>
            <w:tcBorders>
              <w:top w:val="single" w:sz="4" w:space="0" w:color="auto"/>
              <w:left w:val="single" w:sz="4" w:space="0" w:color="auto"/>
              <w:bottom w:val="single" w:sz="4" w:space="0" w:color="auto"/>
              <w:right w:val="single" w:sz="4" w:space="0" w:color="auto"/>
            </w:tcBorders>
            <w:hideMark/>
          </w:tcPr>
          <w:p w:rsidR="00D51906" w:rsidRDefault="00D51906" w:rsidP="001E66A3">
            <w:pPr>
              <w:rPr>
                <w:rFonts w:cs="Arial"/>
                <w:lang w:eastAsia="en-GB"/>
              </w:rPr>
            </w:pPr>
            <w:r>
              <w:rPr>
                <w:rFonts w:cs="Arial"/>
                <w:lang w:eastAsia="en-GB"/>
              </w:rPr>
              <w:t xml:space="preserve">To negate the requirement for expensive alterations to </w:t>
            </w:r>
            <w:proofErr w:type="spellStart"/>
            <w:r>
              <w:rPr>
                <w:rFonts w:cs="Arial"/>
                <w:lang w:eastAsia="en-GB"/>
              </w:rPr>
              <w:t>DMiCP</w:t>
            </w:r>
            <w:proofErr w:type="spellEnd"/>
            <w:r>
              <w:rPr>
                <w:rFonts w:cs="Arial"/>
                <w:lang w:eastAsia="en-GB"/>
              </w:rPr>
              <w:t xml:space="preserve"> and trade and branch standards</w:t>
            </w:r>
          </w:p>
        </w:tc>
      </w:tr>
    </w:tbl>
    <w:p w:rsidR="00D51906" w:rsidRDefault="00D51906" w:rsidP="00D51906">
      <w:pPr>
        <w:rPr>
          <w:rFonts w:cs="Arial"/>
        </w:rPr>
        <w:sectPr w:rsidR="00D51906">
          <w:pgSz w:w="16838" w:h="11906" w:orient="landscape"/>
          <w:pgMar w:top="1134" w:right="1103" w:bottom="1134" w:left="1134" w:header="709" w:footer="709" w:gutter="0"/>
          <w:pgNumType w:start="1"/>
          <w:cols w:space="708"/>
        </w:sectPr>
      </w:pPr>
    </w:p>
    <w:p w:rsidR="00D51906" w:rsidRDefault="00D51906" w:rsidP="00D51906"/>
    <w:p w:rsidR="00D51906" w:rsidRDefault="00D51906" w:rsidP="00D51906"/>
    <w:p w:rsidR="00D51906" w:rsidRDefault="00D51906" w:rsidP="00D51906">
      <w:pPr>
        <w:rPr>
          <w:rFonts w:cs="Arial"/>
          <w:b/>
          <w:sz w:val="24"/>
          <w:szCs w:val="24"/>
        </w:rPr>
      </w:pPr>
      <w:r>
        <w:rPr>
          <w:rFonts w:cs="Arial"/>
          <w:b/>
          <w:sz w:val="24"/>
          <w:szCs w:val="24"/>
        </w:rPr>
        <w:t>CAD ASSESSMENT</w:t>
      </w:r>
    </w:p>
    <w:p w:rsidR="00D51906" w:rsidRDefault="00D51906" w:rsidP="00D51906">
      <w:pPr>
        <w:rPr>
          <w:rFonts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887"/>
      </w:tblGrid>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jc w:val="center"/>
              <w:rPr>
                <w:rFonts w:eastAsia="Arial" w:cs="Arial"/>
                <w:b/>
                <w:bCs/>
                <w:sz w:val="24"/>
                <w:szCs w:val="24"/>
              </w:rPr>
            </w:pPr>
            <w:r>
              <w:rPr>
                <w:rFonts w:eastAsia="Arial" w:cs="Arial"/>
                <w:b/>
                <w:bCs/>
                <w:sz w:val="24"/>
                <w:szCs w:val="24"/>
              </w:rPr>
              <w:t>CV Category</w:t>
            </w:r>
          </w:p>
        </w:tc>
        <w:tc>
          <w:tcPr>
            <w:tcW w:w="78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906" w:rsidRPr="00D51906" w:rsidRDefault="00D51906" w:rsidP="001E66A3">
            <w:pPr>
              <w:jc w:val="center"/>
              <w:rPr>
                <w:rFonts w:eastAsia="Arial" w:cs="Arial"/>
                <w:b/>
                <w:bCs/>
                <w:sz w:val="24"/>
                <w:szCs w:val="24"/>
              </w:rPr>
            </w:pPr>
            <w:r w:rsidRPr="00D51906">
              <w:rPr>
                <w:rFonts w:eastAsia="Arial" w:cs="Arial"/>
                <w:b/>
                <w:bCs/>
                <w:sz w:val="24"/>
                <w:szCs w:val="24"/>
              </w:rPr>
              <w:t>Description</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CV0</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Normal trichromats</w:t>
            </w:r>
            <w:r w:rsidRPr="00D51906">
              <w:rPr>
                <w:rFonts w:eastAsia="Arial" w:cs="Arial"/>
                <w:bCs/>
                <w:sz w:val="24"/>
                <w:szCs w:val="24"/>
              </w:rPr>
              <w:t xml:space="preserve"> with RG </w:t>
            </w:r>
            <w:proofErr w:type="spellStart"/>
            <w:r w:rsidRPr="00D51906">
              <w:rPr>
                <w:rFonts w:eastAsia="Arial" w:cs="Arial"/>
                <w:bCs/>
                <w:sz w:val="24"/>
                <w:szCs w:val="24"/>
              </w:rPr>
              <w:t>colour</w:t>
            </w:r>
            <w:proofErr w:type="spellEnd"/>
            <w:r w:rsidRPr="00D51906">
              <w:rPr>
                <w:rFonts w:eastAsia="Arial" w:cs="Arial"/>
                <w:bCs/>
                <w:sz w:val="24"/>
                <w:szCs w:val="24"/>
              </w:rPr>
              <w:t xml:space="preserve"> thresholds below the mean value for the corresponding age. Only 50% of </w:t>
            </w:r>
            <w:proofErr w:type="spellStart"/>
            <w:r w:rsidRPr="00D51906">
              <w:rPr>
                <w:rFonts w:eastAsia="Arial" w:cs="Arial"/>
                <w:bCs/>
                <w:sz w:val="24"/>
                <w:szCs w:val="24"/>
              </w:rPr>
              <w:t>colour</w:t>
            </w:r>
            <w:proofErr w:type="spellEnd"/>
            <w:r w:rsidRPr="00D51906">
              <w:rPr>
                <w:rFonts w:eastAsia="Arial" w:cs="Arial"/>
                <w:bCs/>
                <w:sz w:val="24"/>
                <w:szCs w:val="24"/>
              </w:rPr>
              <w:t xml:space="preserve"> normal individuals would meet this grade which could be used for individuals required to undertake extremely demanding </w:t>
            </w:r>
            <w:proofErr w:type="spellStart"/>
            <w:r w:rsidRPr="00D51906">
              <w:rPr>
                <w:rFonts w:eastAsia="Arial" w:cs="Arial"/>
                <w:bCs/>
                <w:sz w:val="24"/>
                <w:szCs w:val="24"/>
              </w:rPr>
              <w:t>colour</w:t>
            </w:r>
            <w:proofErr w:type="spellEnd"/>
            <w:r w:rsidRPr="00D51906">
              <w:rPr>
                <w:rFonts w:eastAsia="Arial" w:cs="Arial"/>
                <w:bCs/>
                <w:sz w:val="24"/>
                <w:szCs w:val="24"/>
              </w:rPr>
              <w:t xml:space="preserve"> related tasks.</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CV1</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Normal trichromats</w:t>
            </w:r>
            <w:r w:rsidRPr="00D51906">
              <w:rPr>
                <w:rFonts w:eastAsia="Arial" w:cs="Arial"/>
                <w:bCs/>
                <w:sz w:val="24"/>
                <w:szCs w:val="24"/>
              </w:rPr>
              <w:t xml:space="preserve"> with RG </w:t>
            </w:r>
            <w:proofErr w:type="spellStart"/>
            <w:r w:rsidRPr="00D51906">
              <w:rPr>
                <w:rFonts w:eastAsia="Arial" w:cs="Arial"/>
                <w:bCs/>
                <w:sz w:val="24"/>
                <w:szCs w:val="24"/>
              </w:rPr>
              <w:t>colour</w:t>
            </w:r>
            <w:proofErr w:type="spellEnd"/>
            <w:r w:rsidRPr="00D51906">
              <w:rPr>
                <w:rFonts w:eastAsia="Arial" w:cs="Arial"/>
                <w:bCs/>
                <w:sz w:val="24"/>
                <w:szCs w:val="24"/>
              </w:rPr>
              <w:t xml:space="preserve"> thresholds below the upper normal limit for the corresponding age.</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CV2</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Functionally normal trichromatic</w:t>
            </w:r>
            <w:r w:rsidRPr="00D51906">
              <w:rPr>
                <w:rFonts w:eastAsia="Arial" w:cs="Arial"/>
                <w:bCs/>
                <w:sz w:val="24"/>
                <w:szCs w:val="24"/>
              </w:rPr>
              <w:t xml:space="preserve"> </w:t>
            </w:r>
            <w:r w:rsidRPr="00D51906">
              <w:rPr>
                <w:rFonts w:eastAsia="Arial" w:cs="Arial"/>
                <w:b/>
                <w:bCs/>
                <w:sz w:val="24"/>
                <w:szCs w:val="24"/>
              </w:rPr>
              <w:t>vision</w:t>
            </w:r>
            <w:r w:rsidRPr="00D51906">
              <w:rPr>
                <w:rFonts w:eastAsia="Arial" w:cs="Arial"/>
                <w:bCs/>
                <w:sz w:val="24"/>
                <w:szCs w:val="24"/>
              </w:rPr>
              <w:t xml:space="preserve"> with a CAD threshold &lt;=2.35 CAD units. Would include ~7% of the least affected </w:t>
            </w:r>
            <w:proofErr w:type="spellStart"/>
            <w:r w:rsidRPr="00D51906">
              <w:rPr>
                <w:rFonts w:eastAsia="Arial" w:cs="Arial"/>
                <w:bCs/>
                <w:sz w:val="24"/>
                <w:szCs w:val="24"/>
              </w:rPr>
              <w:t>deutans</w:t>
            </w:r>
            <w:proofErr w:type="spellEnd"/>
            <w:r w:rsidRPr="00D51906">
              <w:rPr>
                <w:rFonts w:eastAsia="Arial" w:cs="Arial"/>
                <w:bCs/>
                <w:sz w:val="24"/>
                <w:szCs w:val="24"/>
              </w:rPr>
              <w:t>.</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CV3</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Safe trichromatic vision</w:t>
            </w:r>
            <w:r w:rsidRPr="00D51906">
              <w:rPr>
                <w:rFonts w:eastAsia="Arial" w:cs="Arial"/>
                <w:bCs/>
                <w:sz w:val="24"/>
                <w:szCs w:val="24"/>
              </w:rPr>
              <w:t xml:space="preserve"> with a CAD threshold &lt;=4.00 CAD units. Would include ~22% of </w:t>
            </w:r>
            <w:proofErr w:type="spellStart"/>
            <w:r w:rsidRPr="00D51906">
              <w:rPr>
                <w:rFonts w:eastAsia="Arial" w:cs="Arial"/>
                <w:bCs/>
                <w:sz w:val="24"/>
                <w:szCs w:val="24"/>
              </w:rPr>
              <w:t>Deutans</w:t>
            </w:r>
            <w:proofErr w:type="spellEnd"/>
            <w:r w:rsidRPr="00D51906">
              <w:rPr>
                <w:rFonts w:eastAsia="Arial" w:cs="Arial"/>
                <w:bCs/>
                <w:sz w:val="24"/>
                <w:szCs w:val="24"/>
              </w:rPr>
              <w:t xml:space="preserve"> matching the percentage of </w:t>
            </w:r>
            <w:proofErr w:type="spellStart"/>
            <w:r w:rsidRPr="00D51906">
              <w:rPr>
                <w:rFonts w:eastAsia="Arial" w:cs="Arial"/>
                <w:bCs/>
                <w:sz w:val="24"/>
                <w:szCs w:val="24"/>
              </w:rPr>
              <w:t>deutans</w:t>
            </w:r>
            <w:proofErr w:type="spellEnd"/>
            <w:r w:rsidRPr="00D51906">
              <w:rPr>
                <w:rFonts w:eastAsia="Arial" w:cs="Arial"/>
                <w:bCs/>
                <w:sz w:val="24"/>
                <w:szCs w:val="24"/>
              </w:rPr>
              <w:t xml:space="preserve"> who would pass the HW-Type A lantern. All would have normal </w:t>
            </w:r>
            <w:proofErr w:type="spellStart"/>
            <w:r w:rsidRPr="00D51906">
              <w:rPr>
                <w:rFonts w:eastAsia="Arial" w:cs="Arial"/>
                <w:bCs/>
                <w:sz w:val="24"/>
                <w:szCs w:val="24"/>
              </w:rPr>
              <w:t>colour</w:t>
            </w:r>
            <w:proofErr w:type="spellEnd"/>
            <w:r w:rsidRPr="00D51906">
              <w:rPr>
                <w:rFonts w:eastAsia="Arial" w:cs="Arial"/>
                <w:bCs/>
                <w:sz w:val="24"/>
                <w:szCs w:val="24"/>
              </w:rPr>
              <w:t xml:space="preserve"> vision for suprathreshold </w:t>
            </w:r>
            <w:proofErr w:type="spellStart"/>
            <w:r w:rsidRPr="00D51906">
              <w:rPr>
                <w:rFonts w:eastAsia="Arial" w:cs="Arial"/>
                <w:bCs/>
                <w:sz w:val="24"/>
                <w:szCs w:val="24"/>
              </w:rPr>
              <w:t>colours</w:t>
            </w:r>
            <w:proofErr w:type="spellEnd"/>
            <w:r w:rsidRPr="00D51906">
              <w:rPr>
                <w:rFonts w:eastAsia="Arial" w:cs="Arial"/>
                <w:bCs/>
                <w:sz w:val="24"/>
                <w:szCs w:val="24"/>
              </w:rPr>
              <w:t xml:space="preserve"> as used in VDUs, but some may have difficulty with desaturated RG </w:t>
            </w:r>
            <w:proofErr w:type="spellStart"/>
            <w:r w:rsidRPr="00D51906">
              <w:rPr>
                <w:rFonts w:eastAsia="Arial" w:cs="Arial"/>
                <w:bCs/>
                <w:sz w:val="24"/>
                <w:szCs w:val="24"/>
              </w:rPr>
              <w:t>colour</w:t>
            </w:r>
            <w:proofErr w:type="spellEnd"/>
            <w:r w:rsidRPr="00D51906">
              <w:rPr>
                <w:rFonts w:eastAsia="Arial" w:cs="Arial"/>
                <w:bCs/>
                <w:sz w:val="24"/>
                <w:szCs w:val="24"/>
              </w:rPr>
              <w:t xml:space="preserve"> signals close to normal thresholds. All those who pass will have normal yellow-blue </w:t>
            </w:r>
            <w:proofErr w:type="spellStart"/>
            <w:r w:rsidRPr="00D51906">
              <w:rPr>
                <w:rFonts w:eastAsia="Arial" w:cs="Arial"/>
                <w:bCs/>
                <w:sz w:val="24"/>
                <w:szCs w:val="24"/>
              </w:rPr>
              <w:t>colour</w:t>
            </w:r>
            <w:proofErr w:type="spellEnd"/>
            <w:r w:rsidRPr="00D51906">
              <w:rPr>
                <w:rFonts w:eastAsia="Arial" w:cs="Arial"/>
                <w:bCs/>
                <w:sz w:val="24"/>
                <w:szCs w:val="24"/>
              </w:rPr>
              <w:t xml:space="preserve"> vision</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CV4</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 xml:space="preserve">Poor Red Green </w:t>
            </w:r>
            <w:proofErr w:type="spellStart"/>
            <w:r w:rsidRPr="00D51906">
              <w:rPr>
                <w:rFonts w:eastAsia="Arial" w:cs="Arial"/>
                <w:b/>
                <w:bCs/>
                <w:sz w:val="24"/>
                <w:szCs w:val="24"/>
              </w:rPr>
              <w:t>colour</w:t>
            </w:r>
            <w:proofErr w:type="spellEnd"/>
            <w:r w:rsidRPr="00D51906">
              <w:rPr>
                <w:rFonts w:eastAsia="Arial" w:cs="Arial"/>
                <w:b/>
                <w:bCs/>
                <w:sz w:val="24"/>
                <w:szCs w:val="24"/>
              </w:rPr>
              <w:t xml:space="preserve"> vision</w:t>
            </w:r>
            <w:r w:rsidRPr="00D51906">
              <w:rPr>
                <w:rFonts w:eastAsia="Arial" w:cs="Arial"/>
                <w:bCs/>
                <w:sz w:val="24"/>
                <w:szCs w:val="24"/>
              </w:rPr>
              <w:t xml:space="preserve"> with a CAD threshold above 4 and </w:t>
            </w:r>
            <w:r w:rsidRPr="00D51906">
              <w:rPr>
                <w:rFonts w:eastAsia="Arial" w:cstheme="minorHAnsi"/>
                <w:bCs/>
                <w:sz w:val="24"/>
                <w:szCs w:val="24"/>
              </w:rPr>
              <w:t>≤</w:t>
            </w:r>
            <w:r w:rsidRPr="00D51906">
              <w:rPr>
                <w:rFonts w:eastAsia="Arial" w:cs="Arial"/>
                <w:bCs/>
                <w:sz w:val="24"/>
                <w:szCs w:val="24"/>
              </w:rPr>
              <w:t xml:space="preserve"> 12.00 CAD units. ~32% of </w:t>
            </w:r>
            <w:proofErr w:type="spellStart"/>
            <w:r w:rsidRPr="00D51906">
              <w:rPr>
                <w:rFonts w:eastAsia="Arial" w:cs="Arial"/>
                <w:bCs/>
                <w:sz w:val="24"/>
                <w:szCs w:val="24"/>
              </w:rPr>
              <w:t>deutans</w:t>
            </w:r>
            <w:proofErr w:type="spellEnd"/>
            <w:r w:rsidRPr="00D51906">
              <w:rPr>
                <w:rFonts w:eastAsia="Arial" w:cs="Arial"/>
                <w:bCs/>
                <w:sz w:val="24"/>
                <w:szCs w:val="24"/>
              </w:rPr>
              <w:t xml:space="preserve"> and ~29% of </w:t>
            </w:r>
            <w:proofErr w:type="spellStart"/>
            <w:r w:rsidRPr="00D51906">
              <w:rPr>
                <w:rFonts w:eastAsia="Arial" w:cs="Arial"/>
                <w:bCs/>
                <w:sz w:val="24"/>
                <w:szCs w:val="24"/>
              </w:rPr>
              <w:t>protans</w:t>
            </w:r>
            <w:proofErr w:type="spellEnd"/>
            <w:r w:rsidRPr="00D51906">
              <w:rPr>
                <w:rFonts w:eastAsia="Arial" w:cs="Arial"/>
                <w:bCs/>
                <w:sz w:val="24"/>
                <w:szCs w:val="24"/>
              </w:rPr>
              <w:t xml:space="preserve"> will fall into this category. Many would be able to cope with VDUs which usually use a saturation threshold of 24 CAD units, but normally take longer to complete </w:t>
            </w:r>
            <w:proofErr w:type="spellStart"/>
            <w:r w:rsidRPr="00D51906">
              <w:rPr>
                <w:rFonts w:eastAsia="Arial" w:cs="Arial"/>
                <w:bCs/>
                <w:sz w:val="24"/>
                <w:szCs w:val="24"/>
              </w:rPr>
              <w:t>colour</w:t>
            </w:r>
            <w:proofErr w:type="spellEnd"/>
            <w:r w:rsidRPr="00D51906">
              <w:rPr>
                <w:rFonts w:eastAsia="Arial" w:cs="Arial"/>
                <w:bCs/>
                <w:sz w:val="24"/>
                <w:szCs w:val="24"/>
              </w:rPr>
              <w:t xml:space="preserve"> related tasks and with more errors.</w:t>
            </w:r>
          </w:p>
        </w:tc>
      </w:tr>
      <w:tr w:rsidR="00D51906" w:rsidTr="001E66A3">
        <w:tc>
          <w:tcPr>
            <w:tcW w:w="1129" w:type="dxa"/>
            <w:tcBorders>
              <w:top w:val="single" w:sz="4" w:space="0" w:color="auto"/>
              <w:left w:val="single" w:sz="4" w:space="0" w:color="auto"/>
              <w:bottom w:val="single" w:sz="4" w:space="0" w:color="auto"/>
              <w:right w:val="single" w:sz="4" w:space="0" w:color="auto"/>
            </w:tcBorders>
            <w:shd w:val="clear" w:color="auto" w:fill="D9D9D9"/>
            <w:hideMark/>
          </w:tcPr>
          <w:p w:rsidR="00D51906" w:rsidRDefault="00D51906" w:rsidP="001E66A3">
            <w:pPr>
              <w:rPr>
                <w:rFonts w:eastAsia="Arial" w:cs="Arial"/>
                <w:bCs/>
                <w:sz w:val="24"/>
                <w:szCs w:val="24"/>
              </w:rPr>
            </w:pPr>
            <w:r>
              <w:rPr>
                <w:rFonts w:eastAsia="Arial" w:cs="Arial"/>
                <w:bCs/>
                <w:sz w:val="24"/>
                <w:szCs w:val="24"/>
              </w:rPr>
              <w:t>CV5</w:t>
            </w:r>
          </w:p>
        </w:tc>
        <w:tc>
          <w:tcPr>
            <w:tcW w:w="7887" w:type="dxa"/>
            <w:tcBorders>
              <w:top w:val="single" w:sz="4" w:space="0" w:color="auto"/>
              <w:left w:val="single" w:sz="4" w:space="0" w:color="auto"/>
              <w:bottom w:val="single" w:sz="4" w:space="0" w:color="auto"/>
              <w:right w:val="single" w:sz="4" w:space="0" w:color="auto"/>
            </w:tcBorders>
            <w:hideMark/>
          </w:tcPr>
          <w:p w:rsidR="00D51906" w:rsidRPr="00D51906" w:rsidRDefault="00D51906" w:rsidP="001E66A3">
            <w:pPr>
              <w:rPr>
                <w:rFonts w:eastAsia="Arial" w:cs="Arial"/>
                <w:bCs/>
                <w:sz w:val="24"/>
                <w:szCs w:val="24"/>
              </w:rPr>
            </w:pPr>
            <w:r w:rsidRPr="00D51906">
              <w:rPr>
                <w:rFonts w:eastAsia="Arial" w:cs="Arial"/>
                <w:b/>
                <w:bCs/>
                <w:sz w:val="24"/>
                <w:szCs w:val="24"/>
              </w:rPr>
              <w:t xml:space="preserve">Severe Red Green </w:t>
            </w:r>
            <w:proofErr w:type="spellStart"/>
            <w:r w:rsidRPr="00D51906">
              <w:rPr>
                <w:rFonts w:eastAsia="Arial" w:cs="Arial"/>
                <w:b/>
                <w:bCs/>
                <w:sz w:val="24"/>
                <w:szCs w:val="24"/>
              </w:rPr>
              <w:t>colour</w:t>
            </w:r>
            <w:proofErr w:type="spellEnd"/>
            <w:r w:rsidRPr="00D51906">
              <w:rPr>
                <w:rFonts w:eastAsia="Arial" w:cs="Arial"/>
                <w:b/>
                <w:bCs/>
                <w:sz w:val="24"/>
                <w:szCs w:val="24"/>
              </w:rPr>
              <w:t xml:space="preserve"> vision deficiency</w:t>
            </w:r>
            <w:r w:rsidRPr="00D51906">
              <w:rPr>
                <w:rFonts w:eastAsia="Arial" w:cs="Arial"/>
                <w:bCs/>
                <w:sz w:val="24"/>
                <w:szCs w:val="24"/>
              </w:rPr>
              <w:t xml:space="preserve"> with a CAD threshold &gt;12.00 CAD units. ~70% of </w:t>
            </w:r>
            <w:proofErr w:type="spellStart"/>
            <w:r w:rsidRPr="00D51906">
              <w:rPr>
                <w:rFonts w:eastAsia="Arial" w:cs="Arial"/>
                <w:bCs/>
                <w:sz w:val="24"/>
                <w:szCs w:val="24"/>
              </w:rPr>
              <w:t>protans</w:t>
            </w:r>
            <w:proofErr w:type="spellEnd"/>
            <w:r w:rsidRPr="00D51906">
              <w:rPr>
                <w:rFonts w:eastAsia="Arial" w:cs="Arial"/>
                <w:bCs/>
                <w:sz w:val="24"/>
                <w:szCs w:val="24"/>
              </w:rPr>
              <w:t xml:space="preserve"> and ~46% of </w:t>
            </w:r>
            <w:proofErr w:type="spellStart"/>
            <w:r w:rsidRPr="00D51906">
              <w:rPr>
                <w:rFonts w:eastAsia="Arial" w:cs="Arial"/>
                <w:bCs/>
                <w:sz w:val="24"/>
                <w:szCs w:val="24"/>
              </w:rPr>
              <w:t>deutans</w:t>
            </w:r>
            <w:proofErr w:type="spellEnd"/>
            <w:r w:rsidRPr="00D51906">
              <w:rPr>
                <w:rFonts w:eastAsia="Arial" w:cs="Arial"/>
                <w:bCs/>
                <w:sz w:val="24"/>
                <w:szCs w:val="24"/>
              </w:rPr>
              <w:t xml:space="preserve"> will fall into this category. Many will be unable to cope with VDUs and the changes they experience in luminance and contrast can significantly affect their visual performance</w:t>
            </w:r>
          </w:p>
        </w:tc>
      </w:tr>
    </w:tbl>
    <w:p w:rsidR="00D51906" w:rsidRDefault="00D51906" w:rsidP="00D51906">
      <w:pPr>
        <w:rPr>
          <w:rFonts w:ascii="Arial" w:eastAsia="Times New Roman" w:hAnsi="Arial" w:cs="Times New Roman"/>
          <w:kern w:val="22"/>
          <w:szCs w:val="20"/>
        </w:rPr>
      </w:pPr>
    </w:p>
    <w:p w:rsidR="00D51906" w:rsidRDefault="00D51906" w:rsidP="00D51906"/>
    <w:p w:rsidR="00D51906" w:rsidRDefault="00D51906" w:rsidP="00D51906"/>
    <w:p w:rsidR="00D51906" w:rsidRDefault="00D51906" w:rsidP="00D5190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gridCol w:w="1842"/>
      </w:tblGrid>
      <w:tr w:rsidR="00D51906" w:rsidTr="001E66A3">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lastRenderedPageBreak/>
              <w:t>CV Category</w:t>
            </w: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CAD Unit Threshold</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 Equivalent</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CV0</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Normal trichromats with RG threshold &lt;= the mean for age</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CP2</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CV1</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Normal trichromats with RG threshold &lt;= the upper normal limit for age</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CP2</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CV2</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RG threshold &lt;= 2.35 CAD Units but not CV1</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CP1</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CV3</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RG threshold &lt;=4.00 CAD Units but not CV2</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CP3</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CV4</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RG threshold &lt;=12.00 CAD Units but not CV3</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CP4</w:t>
            </w:r>
          </w:p>
        </w:tc>
      </w:tr>
      <w:tr w:rsidR="00D51906" w:rsidTr="001E66A3">
        <w:tc>
          <w:tcPr>
            <w:tcW w:w="1696"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CV5</w:t>
            </w:r>
          </w:p>
        </w:tc>
        <w:tc>
          <w:tcPr>
            <w:tcW w:w="5529"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rPr>
                <w:rFonts w:eastAsia="Arial" w:cs="Arial"/>
                <w:sz w:val="24"/>
                <w:szCs w:val="24"/>
                <w:lang w:eastAsia="en-GB"/>
              </w:rPr>
            </w:pPr>
            <w:r>
              <w:rPr>
                <w:rFonts w:eastAsia="Arial" w:cs="Arial"/>
                <w:sz w:val="24"/>
                <w:szCs w:val="24"/>
                <w:lang w:eastAsia="en-GB"/>
              </w:rPr>
              <w:t>RG threshold &gt;12.00 CAD Units but not CV4</w:t>
            </w:r>
          </w:p>
        </w:tc>
        <w:tc>
          <w:tcPr>
            <w:tcW w:w="1842" w:type="dxa"/>
            <w:tcBorders>
              <w:top w:val="single" w:sz="4" w:space="0" w:color="auto"/>
              <w:left w:val="single" w:sz="4" w:space="0" w:color="auto"/>
              <w:bottom w:val="single" w:sz="4" w:space="0" w:color="auto"/>
              <w:right w:val="single" w:sz="4" w:space="0" w:color="auto"/>
            </w:tcBorders>
            <w:vAlign w:val="center"/>
            <w:hideMark/>
          </w:tcPr>
          <w:p w:rsidR="00D51906" w:rsidRDefault="00D51906" w:rsidP="001E66A3">
            <w:pPr>
              <w:jc w:val="center"/>
              <w:rPr>
                <w:rFonts w:eastAsia="Arial" w:cs="Arial"/>
                <w:sz w:val="24"/>
                <w:szCs w:val="24"/>
                <w:lang w:eastAsia="en-GB"/>
              </w:rPr>
            </w:pPr>
            <w:r>
              <w:rPr>
                <w:rFonts w:eastAsia="Arial" w:cs="Arial"/>
                <w:sz w:val="24"/>
                <w:szCs w:val="24"/>
                <w:lang w:eastAsia="en-GB"/>
              </w:rPr>
              <w:t>CP4</w:t>
            </w:r>
          </w:p>
        </w:tc>
      </w:tr>
    </w:tbl>
    <w:p w:rsidR="00D51906" w:rsidRDefault="00D51906" w:rsidP="00D51906">
      <w:pPr>
        <w:rPr>
          <w:rFonts w:ascii="Arial" w:eastAsia="Times New Roman" w:hAnsi="Arial" w:cs="Times New Roman"/>
          <w:kern w:val="22"/>
          <w:szCs w:val="20"/>
        </w:rPr>
      </w:pPr>
    </w:p>
    <w:p w:rsidR="00D51906" w:rsidRPr="000E501E" w:rsidRDefault="00D51906" w:rsidP="00D51906">
      <w:pPr>
        <w:rPr>
          <w:rFonts w:ascii="Arial" w:eastAsia="Times New Roman" w:hAnsi="Arial" w:cs="Times New Roman"/>
          <w:b/>
          <w:i/>
          <w:kern w:val="22"/>
          <w:szCs w:val="20"/>
        </w:rPr>
      </w:pPr>
      <w:r w:rsidRPr="000E501E">
        <w:rPr>
          <w:rFonts w:ascii="Arial" w:eastAsia="Times New Roman" w:hAnsi="Arial" w:cs="Times New Roman"/>
          <w:b/>
          <w:i/>
          <w:kern w:val="22"/>
          <w:szCs w:val="20"/>
        </w:rPr>
        <w:t xml:space="preserve">The above is original table in SOR, with John </w:t>
      </w:r>
      <w:proofErr w:type="spellStart"/>
      <w:r w:rsidRPr="000E501E">
        <w:rPr>
          <w:rFonts w:ascii="Arial" w:eastAsia="Times New Roman" w:hAnsi="Arial" w:cs="Times New Roman"/>
          <w:b/>
          <w:i/>
          <w:kern w:val="22"/>
          <w:szCs w:val="20"/>
        </w:rPr>
        <w:t>Barbur’s</w:t>
      </w:r>
      <w:proofErr w:type="spellEnd"/>
      <w:r w:rsidRPr="000E501E">
        <w:rPr>
          <w:rFonts w:ascii="Arial" w:eastAsia="Times New Roman" w:hAnsi="Arial" w:cs="Times New Roman"/>
          <w:b/>
          <w:i/>
          <w:kern w:val="22"/>
          <w:szCs w:val="20"/>
        </w:rPr>
        <w:t xml:space="preserve"> advi</w:t>
      </w:r>
      <w:r>
        <w:rPr>
          <w:rFonts w:ascii="Arial" w:eastAsia="Times New Roman" w:hAnsi="Arial" w:cs="Times New Roman"/>
          <w:b/>
          <w:i/>
          <w:kern w:val="22"/>
          <w:szCs w:val="20"/>
        </w:rPr>
        <w:t>c</w:t>
      </w:r>
      <w:r w:rsidRPr="000E501E">
        <w:rPr>
          <w:rFonts w:ascii="Arial" w:eastAsia="Times New Roman" w:hAnsi="Arial" w:cs="Times New Roman"/>
          <w:b/>
          <w:i/>
          <w:kern w:val="22"/>
          <w:szCs w:val="20"/>
        </w:rPr>
        <w:t xml:space="preserve">e given below. </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The CP# / CV# equivalents in the given table may not be correct. It is not possible to have strict equivalence, but the following may be more appropriate:</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CV0 – This is ‘supernormal</w:t>
      </w:r>
      <w:proofErr w:type="gramStart"/>
      <w:r w:rsidRPr="000E501E">
        <w:rPr>
          <w:rFonts w:ascii="Arial" w:eastAsia="Times New Roman" w:hAnsi="Arial" w:cs="Times New Roman"/>
          <w:kern w:val="22"/>
          <w:szCs w:val="20"/>
        </w:rPr>
        <w:t>’</w:t>
      </w:r>
      <w:proofErr w:type="gramEnd"/>
      <w:r w:rsidRPr="000E501E">
        <w:rPr>
          <w:rFonts w:ascii="Arial" w:eastAsia="Times New Roman" w:hAnsi="Arial" w:cs="Times New Roman"/>
          <w:kern w:val="22"/>
          <w:szCs w:val="20"/>
        </w:rPr>
        <w:t xml:space="preserve"> and these applicants would be included in the CP1</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 xml:space="preserve">CV1 – This is normal trichromatic </w:t>
      </w:r>
      <w:proofErr w:type="spellStart"/>
      <w:r w:rsidRPr="000E501E">
        <w:rPr>
          <w:rFonts w:ascii="Arial" w:eastAsia="Times New Roman" w:hAnsi="Arial" w:cs="Times New Roman"/>
          <w:kern w:val="22"/>
          <w:szCs w:val="20"/>
        </w:rPr>
        <w:t>colour</w:t>
      </w:r>
      <w:proofErr w:type="spellEnd"/>
      <w:r w:rsidRPr="000E501E">
        <w:rPr>
          <w:rFonts w:ascii="Arial" w:eastAsia="Times New Roman" w:hAnsi="Arial" w:cs="Times New Roman"/>
          <w:kern w:val="22"/>
          <w:szCs w:val="20"/>
        </w:rPr>
        <w:t xml:space="preserve"> vision and can also be included in CP1, but there are differences (CP1 excludes all, but 7 in a 1000 </w:t>
      </w:r>
      <w:proofErr w:type="spellStart"/>
      <w:r w:rsidRPr="000E501E">
        <w:rPr>
          <w:rFonts w:ascii="Arial" w:eastAsia="Times New Roman" w:hAnsi="Arial" w:cs="Times New Roman"/>
          <w:kern w:val="22"/>
          <w:szCs w:val="20"/>
        </w:rPr>
        <w:t>deutans</w:t>
      </w:r>
      <w:proofErr w:type="spellEnd"/>
      <w:r w:rsidRPr="000E501E">
        <w:rPr>
          <w:rFonts w:ascii="Arial" w:eastAsia="Times New Roman" w:hAnsi="Arial" w:cs="Times New Roman"/>
          <w:kern w:val="22"/>
          <w:szCs w:val="20"/>
        </w:rPr>
        <w:t xml:space="preserve"> and 6 in a 1000 </w:t>
      </w:r>
      <w:proofErr w:type="spellStart"/>
      <w:r w:rsidRPr="000E501E">
        <w:rPr>
          <w:rFonts w:ascii="Arial" w:eastAsia="Times New Roman" w:hAnsi="Arial" w:cs="Times New Roman"/>
          <w:kern w:val="22"/>
          <w:szCs w:val="20"/>
        </w:rPr>
        <w:t>protans</w:t>
      </w:r>
      <w:proofErr w:type="spellEnd"/>
      <w:r w:rsidRPr="000E501E">
        <w:rPr>
          <w:rFonts w:ascii="Arial" w:eastAsia="Times New Roman" w:hAnsi="Arial" w:cs="Times New Roman"/>
          <w:kern w:val="22"/>
          <w:szCs w:val="20"/>
        </w:rPr>
        <w:t xml:space="preserve">. Just over 18% of normal trichromats are also excluded, i.e., these subjects fail Ishihara when no errors are allowed on the first 25 plates of the 38 plates ed.). </w:t>
      </w:r>
      <w:r w:rsidRPr="000E501E">
        <w:rPr>
          <w:rFonts w:ascii="Arial" w:eastAsia="Times New Roman" w:hAnsi="Arial" w:cs="Times New Roman"/>
          <w:b/>
          <w:kern w:val="22"/>
          <w:szCs w:val="20"/>
        </w:rPr>
        <w:t>CV1 includes all normal trichromats and excludes all those with congenital and acquired deficiencies.</w:t>
      </w:r>
      <w:r w:rsidRPr="000E501E">
        <w:rPr>
          <w:rFonts w:ascii="Arial" w:eastAsia="Times New Roman" w:hAnsi="Arial" w:cs="Times New Roman"/>
          <w:kern w:val="22"/>
          <w:szCs w:val="20"/>
        </w:rPr>
        <w:t xml:space="preserve"> </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 xml:space="preserve">CV2 – The nearest match would be to CP2 </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CV3 – This is a good match to CP3</w:t>
      </w:r>
    </w:p>
    <w:p w:rsidR="00D51906" w:rsidRPr="000E501E"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CV4 – The nearest is CP4</w:t>
      </w:r>
    </w:p>
    <w:p w:rsidR="00D51906" w:rsidRDefault="00D51906" w:rsidP="00D51906">
      <w:pPr>
        <w:rPr>
          <w:rFonts w:ascii="Arial" w:eastAsia="Times New Roman" w:hAnsi="Arial" w:cs="Times New Roman"/>
          <w:kern w:val="22"/>
          <w:szCs w:val="20"/>
        </w:rPr>
      </w:pPr>
      <w:r w:rsidRPr="000E501E">
        <w:rPr>
          <w:rFonts w:ascii="Arial" w:eastAsia="Times New Roman" w:hAnsi="Arial" w:cs="Times New Roman"/>
          <w:kern w:val="22"/>
          <w:szCs w:val="20"/>
        </w:rPr>
        <w:t>CV5 – This includes CP4 and CP5</w:t>
      </w:r>
    </w:p>
    <w:p w:rsidR="00D51906" w:rsidRDefault="00D51906" w:rsidP="00D51906">
      <w:pPr>
        <w:spacing w:after="0" w:line="252" w:lineRule="exact"/>
        <w:ind w:left="113" w:right="-20"/>
        <w:rPr>
          <w:rFonts w:ascii="Arial" w:eastAsia="Arial" w:hAnsi="Arial" w:cs="Arial"/>
          <w:b/>
          <w:bCs/>
        </w:rPr>
      </w:pPr>
    </w:p>
    <w:p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8"/>
      <w:footerReference w:type="default" r:id="rId3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3D6" w:rsidRDefault="002073D6" w:rsidP="00710B11">
      <w:pPr>
        <w:spacing w:after="0" w:line="240" w:lineRule="auto"/>
      </w:pPr>
      <w:r>
        <w:separator/>
      </w:r>
    </w:p>
  </w:endnote>
  <w:endnote w:type="continuationSeparator" w:id="0">
    <w:p w:rsidR="002073D6" w:rsidRDefault="002073D6"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49" w:rsidRDefault="00C31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D104E0" w:rsidRDefault="00B601D0"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p>
  <w:p w:rsidR="00B601D0" w:rsidRDefault="00B601D0"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B601D0">
      <w:rPr>
        <w:rFonts w:ascii="Arial" w:hAnsi="Arial" w:cs="Arial"/>
      </w:rPr>
      <w:t xml:space="preserve">13 August 2019_Final              </w:t>
    </w:r>
    <w:r>
      <w:rPr>
        <w:rFonts w:ascii="Arial" w:hAnsi="Arial" w:cs="Arial"/>
      </w:rPr>
      <w:t>OFFICIAL-SENSITIVE COMMERCIAL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49" w:rsidRDefault="00C319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B601D0" w:rsidRDefault="00B601D0" w:rsidP="00A04DEC">
    <w:pPr>
      <w:pStyle w:val="Footer"/>
      <w:tabs>
        <w:tab w:val="center" w:pos="4350"/>
        <w:tab w:val="left" w:pos="5480"/>
      </w:tabs>
      <w:ind w:right="360"/>
      <w:rPr>
        <w:rStyle w:val="PageNumber"/>
        <w:rFonts w:ascii="Arial" w:hAnsi="Arial" w:cs="Arial"/>
      </w:rPr>
    </w:pPr>
    <w:r w:rsidRPr="00B601D0">
      <w:rPr>
        <w:rStyle w:val="PageNumber"/>
        <w:rFonts w:ascii="Arial" w:hAnsi="Arial" w:cs="Arial"/>
      </w:rPr>
      <w:tab/>
      <w:t xml:space="preserve">                                    </w:t>
    </w:r>
    <w:r w:rsidRPr="00B601D0">
      <w:rPr>
        <w:rStyle w:val="PageNumber"/>
        <w:rFonts w:ascii="Arial" w:hAnsi="Arial" w:cs="Arial"/>
      </w:rPr>
      <w:tab/>
    </w:r>
  </w:p>
  <w:p w:rsidR="00B601D0" w:rsidRDefault="00B601D0" w:rsidP="009A41DB">
    <w:pPr>
      <w:pStyle w:val="Footer"/>
    </w:pPr>
    <w:r w:rsidRPr="00B601D0">
      <w:rPr>
        <w:rFonts w:ascii="Arial" w:hAnsi="Arial" w:cs="Arial"/>
      </w:rPr>
      <w:t xml:space="preserve">13 August 2019_Final                       </w:t>
    </w:r>
    <w:r>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D104E0" w:rsidRDefault="00B601D0" w:rsidP="00A04DEC">
    <w:pPr>
      <w:pStyle w:val="Footer"/>
      <w:tabs>
        <w:tab w:val="center" w:pos="4350"/>
        <w:tab w:val="left" w:pos="5480"/>
      </w:tabs>
      <w:ind w:right="360"/>
      <w:rPr>
        <w:rStyle w:val="PageNumber"/>
        <w:rFonts w:ascii="Arial" w:hAnsi="Arial" w:cs="Arial"/>
      </w:rPr>
    </w:pPr>
    <w:r>
      <w:rPr>
        <w:rStyle w:val="PageNumber"/>
        <w:rFonts w:ascii="Arial" w:hAnsi="Arial" w:cs="Arial"/>
      </w:rPr>
      <w:tab/>
    </w:r>
    <w:r>
      <w:rPr>
        <w:rStyle w:val="PageNumber"/>
        <w:rFonts w:ascii="Arial" w:hAnsi="Arial" w:cs="Arial"/>
      </w:rPr>
      <w:tab/>
    </w:r>
  </w:p>
  <w:p w:rsidR="00B601D0" w:rsidRDefault="00B601D0" w:rsidP="009A41DB">
    <w:pPr>
      <w:pStyle w:val="Footer"/>
    </w:pPr>
    <w:r w:rsidRPr="00B601D0">
      <w:rPr>
        <w:rFonts w:ascii="Arial" w:hAnsi="Arial" w:cs="Arial"/>
      </w:rPr>
      <w:t xml:space="preserve">13 January 2019_Final              </w:t>
    </w:r>
    <w:r>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Default="00B601D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B601D0" w:rsidRDefault="00B601D0" w:rsidP="00A04DEC"/>
  <w:p w:rsidR="00B601D0" w:rsidRDefault="00B601D0" w:rsidP="00A04DEC">
    <w:pPr>
      <w:pStyle w:val="Footer"/>
    </w:pPr>
  </w:p>
  <w:p w:rsidR="00B601D0" w:rsidRDefault="00B601D0" w:rsidP="00A04DEC"/>
  <w:p w:rsidR="00B601D0" w:rsidRDefault="00D51906" w:rsidP="009A41DB">
    <w:pPr>
      <w:pStyle w:val="Footer"/>
    </w:pPr>
    <w:r w:rsidRPr="00D51906">
      <w:rPr>
        <w:rFonts w:ascii="Arial" w:hAnsi="Arial" w:cs="Arial"/>
      </w:rPr>
      <w:t>13</w:t>
    </w:r>
    <w:r w:rsidR="00B601D0" w:rsidRPr="00D51906">
      <w:rPr>
        <w:rFonts w:ascii="Arial" w:hAnsi="Arial" w:cs="Arial"/>
      </w:rPr>
      <w:t xml:space="preserve"> </w:t>
    </w:r>
    <w:r w:rsidRPr="00D51906">
      <w:rPr>
        <w:rFonts w:ascii="Arial" w:hAnsi="Arial" w:cs="Arial"/>
      </w:rPr>
      <w:t>August</w:t>
    </w:r>
    <w:r w:rsidR="00B601D0" w:rsidRPr="00D51906">
      <w:rPr>
        <w:rFonts w:ascii="Arial" w:hAnsi="Arial" w:cs="Arial"/>
      </w:rPr>
      <w:t xml:space="preserve"> 2019_Final              </w:t>
    </w:r>
    <w:r w:rsidR="00B601D0">
      <w:rPr>
        <w:rFonts w:ascii="Arial" w:hAnsi="Arial" w:cs="Arial"/>
      </w:rPr>
      <w:t>OFFICIAL-SENSITIVE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FB195A" w:rsidRDefault="00B601D0" w:rsidP="00C749CD">
    <w:pPr>
      <w:pStyle w:val="Footer"/>
      <w:tabs>
        <w:tab w:val="center" w:pos="4350"/>
        <w:tab w:val="left" w:pos="5480"/>
      </w:tabs>
      <w:ind w:right="360"/>
      <w:rPr>
        <w:rStyle w:val="PageNumber"/>
        <w:rFonts w:ascii="Arial" w:hAnsi="Arial" w:cs="Arial"/>
      </w:rPr>
    </w:pPr>
    <w:r w:rsidRPr="00FB195A">
      <w:rPr>
        <w:rStyle w:val="PageNumber"/>
        <w:rFonts w:ascii="Arial" w:hAnsi="Arial" w:cs="Arial"/>
      </w:rPr>
      <w:tab/>
    </w:r>
  </w:p>
  <w:p w:rsidR="00B601D0" w:rsidRPr="000F1216" w:rsidRDefault="00FB195A" w:rsidP="009A41DB">
    <w:pPr>
      <w:pStyle w:val="Footer"/>
    </w:pPr>
    <w:r w:rsidRPr="00FB195A">
      <w:rPr>
        <w:rFonts w:ascii="Arial" w:hAnsi="Arial" w:cs="Arial"/>
      </w:rPr>
      <w:t>13 August</w:t>
    </w:r>
    <w:r w:rsidR="00B601D0" w:rsidRPr="00FB195A">
      <w:rPr>
        <w:rFonts w:ascii="Arial" w:hAnsi="Arial" w:cs="Arial"/>
      </w:rPr>
      <w:t xml:space="preserve"> 2019_Final                                                   </w:t>
    </w:r>
    <w:r w:rsidR="00B601D0">
      <w:rPr>
        <w:rFonts w:ascii="Arial" w:hAnsi="Arial" w:cs="Arial"/>
      </w:rPr>
      <w:t>OFFICIAL-SENSITIVE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D51906" w:rsidRDefault="00B601D0"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sidRPr="00D51906">
      <w:rPr>
        <w:rStyle w:val="PageNumber"/>
        <w:rFonts w:ascii="Arial" w:hAnsi="Arial" w:cs="Arial"/>
      </w:rPr>
      <w:tab/>
      <w:t xml:space="preserve">         </w:t>
    </w:r>
    <w:r w:rsidRPr="00D51906">
      <w:rPr>
        <w:rStyle w:val="PageNumber"/>
        <w:rFonts w:ascii="Arial" w:hAnsi="Arial" w:cs="Arial"/>
      </w:rPr>
      <w:tab/>
    </w:r>
  </w:p>
  <w:p w:rsidR="00B601D0" w:rsidRDefault="00D51906" w:rsidP="009A41DB">
    <w:pPr>
      <w:pStyle w:val="Footer"/>
    </w:pPr>
    <w:r w:rsidRPr="00D51906">
      <w:rPr>
        <w:rFonts w:ascii="Arial" w:hAnsi="Arial" w:cs="Arial"/>
      </w:rPr>
      <w:t>13</w:t>
    </w:r>
    <w:r w:rsidR="00B601D0" w:rsidRPr="00D51906">
      <w:rPr>
        <w:rFonts w:ascii="Arial" w:hAnsi="Arial" w:cs="Arial"/>
      </w:rPr>
      <w:t xml:space="preserve"> </w:t>
    </w:r>
    <w:r w:rsidRPr="00D51906">
      <w:rPr>
        <w:rFonts w:ascii="Arial" w:hAnsi="Arial" w:cs="Arial"/>
      </w:rPr>
      <w:t>August</w:t>
    </w:r>
    <w:r w:rsidR="00B601D0" w:rsidRPr="00D51906">
      <w:rPr>
        <w:rFonts w:ascii="Arial" w:hAnsi="Arial" w:cs="Arial"/>
      </w:rPr>
      <w:t xml:space="preserve"> 2019_Final              </w:t>
    </w:r>
    <w:r w:rsidR="00B601D0">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3D6" w:rsidRDefault="002073D6" w:rsidP="00710B11">
      <w:pPr>
        <w:spacing w:after="0" w:line="240" w:lineRule="auto"/>
      </w:pPr>
      <w:r>
        <w:separator/>
      </w:r>
    </w:p>
  </w:footnote>
  <w:footnote w:type="continuationSeparator" w:id="0">
    <w:p w:rsidR="002073D6" w:rsidRDefault="002073D6"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49" w:rsidRDefault="00C31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12502F" w:rsidRDefault="00B601D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B601D0">
      <w:rPr>
        <w:rFonts w:ascii="Arial" w:hAnsi="Arial" w:cs="Arial"/>
      </w:rPr>
      <w:t xml:space="preserve">COMMERCIAL                          700007677                   </w:t>
    </w:r>
  </w:p>
  <w:p w:rsidR="00B601D0" w:rsidRDefault="00B601D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949" w:rsidRDefault="00C319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12502F" w:rsidRDefault="00B601D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B601D0">
      <w:rPr>
        <w:rFonts w:ascii="Arial" w:hAnsi="Arial" w:cs="Arial"/>
      </w:rPr>
      <w:t xml:space="preserve">COMMERCIAL                             700007677                   </w:t>
    </w:r>
  </w:p>
  <w:p w:rsidR="00B601D0" w:rsidRDefault="00B601D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12502F" w:rsidRDefault="00B601D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B601D0">
      <w:rPr>
        <w:rFonts w:ascii="Arial" w:hAnsi="Arial" w:cs="Arial"/>
      </w:rPr>
      <w:t xml:space="preserve">     700007677                  </w:t>
    </w:r>
  </w:p>
  <w:p w:rsidR="00B601D0" w:rsidRDefault="00B601D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12502F" w:rsidRDefault="00B601D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D51906">
      <w:rPr>
        <w:rFonts w:ascii="Arial" w:hAnsi="Arial" w:cs="Arial"/>
      </w:rPr>
      <w:t>70000</w:t>
    </w:r>
    <w:r w:rsidR="00FB195A" w:rsidRPr="00D51906">
      <w:rPr>
        <w:rFonts w:ascii="Arial" w:hAnsi="Arial" w:cs="Arial"/>
      </w:rPr>
      <w:t>7677</w:t>
    </w:r>
    <w:r w:rsidRPr="000D596D">
      <w:rPr>
        <w:rFonts w:ascii="Arial" w:hAnsi="Arial" w:cs="Arial"/>
        <w:color w:val="FF0000"/>
      </w:rPr>
      <w:t xml:space="preserve">                   </w:t>
    </w:r>
  </w:p>
  <w:p w:rsidR="00B601D0" w:rsidRDefault="00B601D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1D0" w:rsidRPr="0012502F" w:rsidRDefault="00B601D0" w:rsidP="00C749CD">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FB195A">
      <w:rPr>
        <w:rFonts w:ascii="Arial" w:hAnsi="Arial" w:cs="Arial"/>
      </w:rPr>
      <w:t>COMMERCIAL                            70000</w:t>
    </w:r>
    <w:r w:rsidR="00FB195A" w:rsidRPr="00FB195A">
      <w:rPr>
        <w:rFonts w:ascii="Arial" w:hAnsi="Arial" w:cs="Arial"/>
      </w:rPr>
      <w:t>7677</w:t>
    </w:r>
    <w:r w:rsidRPr="00FB195A">
      <w:rPr>
        <w:rFonts w:ascii="Arial" w:hAnsi="Arial" w:cs="Arial"/>
      </w:rPr>
      <w:t xml:space="preserve">                   </w:t>
    </w:r>
  </w:p>
  <w:p w:rsidR="00B601D0" w:rsidRDefault="00B601D0"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B601D0" w:rsidRPr="000E03F4" w:rsidRDefault="00B601D0"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11746D"/>
    <w:rsid w:val="0012502F"/>
    <w:rsid w:val="00131B7A"/>
    <w:rsid w:val="00162ECD"/>
    <w:rsid w:val="001A005A"/>
    <w:rsid w:val="002073D6"/>
    <w:rsid w:val="00215803"/>
    <w:rsid w:val="00286EA8"/>
    <w:rsid w:val="002F2164"/>
    <w:rsid w:val="00312F49"/>
    <w:rsid w:val="00351BEF"/>
    <w:rsid w:val="0035280C"/>
    <w:rsid w:val="003779B7"/>
    <w:rsid w:val="00387F12"/>
    <w:rsid w:val="003B59B9"/>
    <w:rsid w:val="003F72D9"/>
    <w:rsid w:val="0044479C"/>
    <w:rsid w:val="00474CD0"/>
    <w:rsid w:val="005A2EAA"/>
    <w:rsid w:val="005E2A02"/>
    <w:rsid w:val="00640172"/>
    <w:rsid w:val="006470D5"/>
    <w:rsid w:val="006610E0"/>
    <w:rsid w:val="006A38F6"/>
    <w:rsid w:val="006C1314"/>
    <w:rsid w:val="00710B11"/>
    <w:rsid w:val="0079517E"/>
    <w:rsid w:val="007A1EDA"/>
    <w:rsid w:val="008F3EC5"/>
    <w:rsid w:val="0096048F"/>
    <w:rsid w:val="009730BC"/>
    <w:rsid w:val="009803D8"/>
    <w:rsid w:val="009A41DB"/>
    <w:rsid w:val="00A04DEC"/>
    <w:rsid w:val="00AC1066"/>
    <w:rsid w:val="00AD6458"/>
    <w:rsid w:val="00B27E45"/>
    <w:rsid w:val="00B31208"/>
    <w:rsid w:val="00B601D0"/>
    <w:rsid w:val="00B66C9E"/>
    <w:rsid w:val="00B95550"/>
    <w:rsid w:val="00BB2602"/>
    <w:rsid w:val="00BB7695"/>
    <w:rsid w:val="00C31949"/>
    <w:rsid w:val="00C5544C"/>
    <w:rsid w:val="00C749CD"/>
    <w:rsid w:val="00CD3205"/>
    <w:rsid w:val="00CD6348"/>
    <w:rsid w:val="00CF30C8"/>
    <w:rsid w:val="00D51906"/>
    <w:rsid w:val="00D523E8"/>
    <w:rsid w:val="00E5380D"/>
    <w:rsid w:val="00E6717A"/>
    <w:rsid w:val="00F22DCC"/>
    <w:rsid w:val="00F41E81"/>
    <w:rsid w:val="00F443E8"/>
    <w:rsid w:val="00FB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mailto:DSEA-Land-MovTpt-DGHSIS@mod.uk" TargetMode="External"/><Relationship Id="rId33" Type="http://schemas.openxmlformats.org/officeDocument/2006/relationships/footer" Target="footer6.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dstan.uwh.diif.r.mil.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2.jpeg"/><Relationship Id="rId32" Type="http://schemas.openxmlformats.org/officeDocument/2006/relationships/hyperlink" Target="https://www.aof.mod.uk/aofcontent/tactical/toolkit/index.htm" TargetMode="External"/><Relationship Id="rId37" Type="http://schemas.openxmlformats.org/officeDocument/2006/relationships/hyperlink" Target="https://www.gov.uk/government/uploads/system/uploads/attachment_data/file/200146/Confidentiality_-_NHS_Code_of_Practice.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file:///\\Ptm3\rootfs3\YatesS585\_DefaultSave\Persona\AppData\Local\Microsoft\Windows\Documents%20and%20Settings\ODonnellE213\Local%20Settings\Temp\Local%20Settings\Temporary%20Internet%20Files\BRd1750A"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https://www.dstan.mod.uk/" TargetMode="Externa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04" ma:contentTypeDescription="Designed to facilitate the storage of MOD Documents with a '.doc' or '.docx' extension" ma:contentTypeScope="" ma:versionID="1c6a46bbe206a07b42a61b34ceb8d553">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12</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2018-06-19T23:00:00+00:00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8780-047C-4552-8661-66ACFAADEBC1}">
  <ds:schemaRefs>
    <ds:schemaRef ds:uri="office.server.policy"/>
  </ds:schemaRefs>
</ds:datastoreItem>
</file>

<file path=customXml/itemProps2.xml><?xml version="1.0" encoding="utf-8"?>
<ds:datastoreItem xmlns:ds="http://schemas.openxmlformats.org/officeDocument/2006/customXml" ds:itemID="{A2F748CF-ED0D-46FD-B185-118C89891E52}">
  <ds:schemaRefs>
    <ds:schemaRef ds:uri="microsoft.office.server.policy.changes"/>
  </ds:schemaRefs>
</ds:datastoreItem>
</file>

<file path=customXml/itemProps3.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8984E5C9-E6C7-4330-94BA-7DADFE29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7.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8.xml><?xml version="1.0" encoding="utf-8"?>
<ds:datastoreItem xmlns:ds="http://schemas.openxmlformats.org/officeDocument/2006/customXml" ds:itemID="{74D63C38-CD05-4B72-A6F8-FAC532CA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Jones, Keiran D (Def Comrcl DCGP-18-17)</cp:lastModifiedBy>
  <cp:revision>34</cp:revision>
  <cp:lastPrinted>2018-05-31T17:43:00Z</cp:lastPrinted>
  <dcterms:created xsi:type="dcterms:W3CDTF">2018-05-30T15:02:00Z</dcterms:created>
  <dcterms:modified xsi:type="dcterms:W3CDTF">2019-08-22T15:32:00Z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0x010100D9D675D6CDED02438DC7CFF78D2F29E40100FC899CECACBBE7418A3C7477E6B2CBBD</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