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0" w:firstLine="0"/>
        <w:rPr>
          <w:rFonts w:ascii="Arial" w:cs="Arial" w:eastAsia="Arial" w:hAnsi="Arial"/>
          <w:sz w:val="20"/>
          <w:szCs w:val="20"/>
        </w:rPr>
      </w:pPr>
      <w:r w:rsidDel="00000000" w:rsidR="00000000" w:rsidRPr="00000000">
        <w:rPr>
          <w:rFonts w:ascii="Arial" w:cs="Arial" w:eastAsia="Arial" w:hAnsi="Arial"/>
          <w:sz w:val="20"/>
          <w:szCs w:val="20"/>
        </w:rPr>
        <w:drawing>
          <wp:inline distB="114300" distT="114300" distL="114300" distR="114300">
            <wp:extent cx="1119188" cy="587573"/>
            <wp:effectExtent b="0" l="0" r="0" t="0"/>
            <wp:docPr id="1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19188" cy="58757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Arial" w:cs="Arial" w:eastAsia="Arial" w:hAnsi="Arial"/>
          <w:b w:val="1"/>
        </w:rPr>
      </w:pPr>
      <w:r w:rsidDel="00000000" w:rsidR="00000000" w:rsidRPr="00000000">
        <w:rPr>
          <w:rFonts w:ascii="Arial" w:cs="Arial" w:eastAsia="Arial" w:hAnsi="Arial"/>
          <w:b w:val="1"/>
          <w:rtl w:val="0"/>
        </w:rPr>
        <w:t xml:space="preserve">Overview</w:t>
      </w:r>
    </w:p>
    <w:p w:rsidR="00000000" w:rsidDel="00000000" w:rsidP="00000000" w:rsidRDefault="00000000" w:rsidRPr="00000000" w14:paraId="00000003">
      <w:pPr>
        <w:rPr>
          <w:rFonts w:ascii="Arial" w:cs="Arial" w:eastAsia="Arial" w:hAnsi="Arial"/>
          <w:b w:val="1"/>
        </w:rPr>
      </w:pP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rtl w:val="0"/>
        </w:rPr>
        <w:t xml:space="preserve">As a response to the Montgomery ruling (</w:t>
      </w:r>
      <w:hyperlink r:id="rId8">
        <w:r w:rsidDel="00000000" w:rsidR="00000000" w:rsidRPr="00000000">
          <w:rPr>
            <w:rFonts w:ascii="Arial" w:cs="Arial" w:eastAsia="Arial" w:hAnsi="Arial"/>
            <w:color w:val="0563c1"/>
            <w:u w:val="single"/>
            <w:rtl w:val="0"/>
          </w:rPr>
          <w:t xml:space="preserve">https://www.rcog.org.uk/globalassets/documents/members/membership-news/og-magazine/december-2016/montgomery.pdf)</w:t>
        </w:r>
      </w:hyperlink>
      <w:r w:rsidDel="00000000" w:rsidR="00000000" w:rsidRPr="00000000">
        <w:rPr>
          <w:rFonts w:ascii="Arial" w:cs="Arial" w:eastAsia="Arial" w:hAnsi="Arial"/>
          <w:rtl w:val="0"/>
        </w:rPr>
        <w:t xml:space="preserve"> </w:t>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‘iDecide’ was developed by NHSE&amp;I and NHSX in collaboration with </w:t>
      </w:r>
      <w:r w:rsidDel="00000000" w:rsidR="00000000" w:rsidRPr="00000000">
        <w:rPr>
          <w:sz w:val="26"/>
          <w:szCs w:val="26"/>
          <w:rtl w:val="0"/>
        </w:rPr>
        <w:t xml:space="preserve">Royal College of Obstetricians and Gynaecologists </w:t>
      </w:r>
      <w:r w:rsidDel="00000000" w:rsidR="00000000" w:rsidRPr="00000000">
        <w:rPr>
          <w:rFonts w:ascii="Arial" w:cs="Arial" w:eastAsia="Arial" w:hAnsi="Arial"/>
          <w:rtl w:val="0"/>
        </w:rPr>
        <w:t xml:space="preserve">, Royal College of Midwives  and Birthrights, to support staff in improving communication and intrapartum safety and personalisation through informed decision-making and consent during labour.</w:t>
      </w:r>
    </w:p>
    <w:p w:rsidR="00000000" w:rsidDel="00000000" w:rsidP="00000000" w:rsidRDefault="00000000" w:rsidRPr="00000000" w14:paraId="00000006">
      <w:pPr>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-190498</wp:posOffset>
            </wp:positionH>
            <wp:positionV relativeFrom="paragraph">
              <wp:posOffset>152400</wp:posOffset>
            </wp:positionV>
            <wp:extent cx="647700" cy="2322195"/>
            <wp:effectExtent b="0" l="0" r="0" t="0"/>
            <wp:wrapNone/>
            <wp:docPr id="13" name="image2.png"/>
            <a:graphic>
              <a:graphicData uri="http://schemas.openxmlformats.org/drawingml/2006/picture">
                <pic:pic>
                  <pic:nvPicPr>
                    <pic:cNvPr id="0" name="image2.png"/>
                    <pic:cNvPicPr preferRelativeResize="0"/>
                  </pic:nvPicPr>
                  <pic:blipFill>
                    <a:blip r:embed="rId9"/>
                    <a:srcRect b="5503" l="0" r="85752" t="0"/>
                    <a:stretch>
                      <a:fillRect/>
                    </a:stretch>
                  </pic:blipFill>
                  <pic:spPr>
                    <a:xfrm>
                      <a:off x="0" y="0"/>
                      <a:ext cx="647700" cy="2322195"/>
                    </a:xfrm>
                    <a:prstGeom prst="rect"/>
                    <a:ln/>
                  </pic:spPr>
                </pic:pic>
              </a:graphicData>
            </a:graphic>
          </wp:anchor>
        </w:drawing>
      </w:r>
    </w:p>
    <w:p w:rsidR="00000000" w:rsidDel="00000000" w:rsidP="00000000" w:rsidRDefault="00000000" w:rsidRPr="00000000" w14:paraId="00000007">
      <w:pPr>
        <w:rPr>
          <w:rFonts w:ascii="Arial" w:cs="Arial" w:eastAsia="Arial" w:hAnsi="Arial"/>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wp:posOffset>
                </wp:positionH>
                <wp:positionV relativeFrom="paragraph">
                  <wp:posOffset>114300</wp:posOffset>
                </wp:positionV>
                <wp:extent cx="4685015" cy="2166712"/>
                <wp:effectExtent b="0" l="0" r="0" t="0"/>
                <wp:wrapNone/>
                <wp:docPr id="11" name=""/>
                <a:graphic>
                  <a:graphicData uri="http://schemas.microsoft.com/office/word/2010/wordprocessingShape">
                    <wps:wsp>
                      <wps:cNvSpPr/>
                      <wps:cNvPr id="2" name="Shape 2"/>
                      <wps:spPr>
                        <a:xfrm>
                          <a:off x="3013018" y="2710158"/>
                          <a:ext cx="4665965" cy="2139684"/>
                        </a:xfrm>
                        <a:prstGeom prst="rect">
                          <a:avLst/>
                        </a:prstGeom>
                        <a:noFill/>
                        <a:ln>
                          <a:noFill/>
                        </a:ln>
                      </wps:spPr>
                      <wps:txbx>
                        <w:txbxContent>
                          <w:p w:rsidR="00000000" w:rsidDel="00000000" w:rsidP="00000000" w:rsidRDefault="00000000" w:rsidRPr="00000000">
                            <w:pPr>
                              <w:spacing w:after="0" w:before="0" w:line="334.9999809265137"/>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Immediacy </w:t>
                            </w:r>
                            <w:r w:rsidDel="00000000" w:rsidR="00000000" w:rsidRPr="00000000">
                              <w:rPr>
                                <w:rFonts w:ascii="Arial" w:cs="Arial" w:eastAsia="Arial" w:hAnsi="Arial"/>
                                <w:b w:val="0"/>
                                <w:i w:val="0"/>
                                <w:smallCaps w:val="0"/>
                                <w:strike w:val="0"/>
                                <w:color w:val="000000"/>
                                <w:sz w:val="18"/>
                                <w:vertAlign w:val="baseline"/>
                              </w:rPr>
                              <w:t xml:space="preserve">(how urgent is the situation?)</w:t>
                            </w:r>
                          </w:p>
                          <w:p w:rsidR="00000000" w:rsidDel="00000000" w:rsidP="00000000" w:rsidRDefault="00000000" w:rsidRPr="00000000">
                            <w:pPr>
                              <w:spacing w:after="0" w:before="0" w:line="334.9999809265137"/>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28"/>
                                <w:vertAlign w:val="baseline"/>
                              </w:rPr>
                              <w:t xml:space="preserve">Details of the situation </w:t>
                            </w:r>
                            <w:r w:rsidDel="00000000" w:rsidR="00000000" w:rsidRPr="00000000">
                              <w:rPr>
                                <w:rFonts w:ascii="Arial" w:cs="Arial" w:eastAsia="Arial" w:hAnsi="Arial"/>
                                <w:b w:val="0"/>
                                <w:i w:val="0"/>
                                <w:smallCaps w:val="0"/>
                                <w:strike w:val="0"/>
                                <w:color w:val="000000"/>
                                <w:sz w:val="18"/>
                                <w:vertAlign w:val="baseline"/>
                              </w:rPr>
                              <w:t xml:space="preserve">(what’s happening?)</w:t>
                            </w:r>
                          </w:p>
                          <w:p w:rsidR="00000000" w:rsidDel="00000000" w:rsidP="00000000" w:rsidRDefault="00000000" w:rsidRPr="00000000">
                            <w:pPr>
                              <w:spacing w:after="0" w:before="0" w:line="334.9999809265137"/>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28"/>
                                <w:vertAlign w:val="baseline"/>
                              </w:rPr>
                              <w:t xml:space="preserve">Exchange of information </w:t>
                            </w:r>
                            <w:r w:rsidDel="00000000" w:rsidR="00000000" w:rsidRPr="00000000">
                              <w:rPr>
                                <w:rFonts w:ascii="Arial" w:cs="Arial" w:eastAsia="Arial" w:hAnsi="Arial"/>
                                <w:b w:val="0"/>
                                <w:i w:val="0"/>
                                <w:smallCaps w:val="0"/>
                                <w:strike w:val="0"/>
                                <w:color w:val="000000"/>
                                <w:sz w:val="18"/>
                                <w:vertAlign w:val="baseline"/>
                              </w:rPr>
                              <w:t xml:space="preserve">(including the PCSP)</w:t>
                            </w:r>
                          </w:p>
                          <w:p w:rsidR="00000000" w:rsidDel="00000000" w:rsidP="00000000" w:rsidRDefault="00000000" w:rsidRPr="00000000">
                            <w:pPr>
                              <w:spacing w:after="0" w:before="0" w:line="334.9999809265137"/>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28"/>
                                <w:vertAlign w:val="baseline"/>
                              </w:rPr>
                              <w:t xml:space="preserve">Choices </w:t>
                            </w:r>
                            <w:r w:rsidDel="00000000" w:rsidR="00000000" w:rsidRPr="00000000">
                              <w:rPr>
                                <w:rFonts w:ascii="Arial" w:cs="Arial" w:eastAsia="Arial" w:hAnsi="Arial"/>
                                <w:b w:val="0"/>
                                <w:i w:val="0"/>
                                <w:smallCaps w:val="0"/>
                                <w:strike w:val="0"/>
                                <w:color w:val="000000"/>
                                <w:sz w:val="18"/>
                                <w:vertAlign w:val="baseline"/>
                              </w:rPr>
                              <w:t xml:space="preserve">(options available and access to information, including BRAIN)</w:t>
                            </w:r>
                          </w:p>
                          <w:p w:rsidR="00000000" w:rsidDel="00000000" w:rsidP="00000000" w:rsidRDefault="00000000" w:rsidRPr="00000000">
                            <w:pPr>
                              <w:spacing w:after="0" w:before="0" w:line="334.9999809265137"/>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28"/>
                                <w:vertAlign w:val="baseline"/>
                              </w:rPr>
                              <w:t xml:space="preserve">I confirm I understand </w:t>
                            </w:r>
                            <w:r w:rsidDel="00000000" w:rsidR="00000000" w:rsidRPr="00000000">
                              <w:rPr>
                                <w:rFonts w:ascii="Arial" w:cs="Arial" w:eastAsia="Arial" w:hAnsi="Arial"/>
                                <w:b w:val="0"/>
                                <w:i w:val="0"/>
                                <w:smallCaps w:val="0"/>
                                <w:strike w:val="0"/>
                                <w:color w:val="000000"/>
                                <w:sz w:val="18"/>
                                <w:vertAlign w:val="baseline"/>
                              </w:rPr>
                              <w:t xml:space="preserve">(opportunity to ask questions)</w:t>
                            </w:r>
                          </w:p>
                          <w:p w:rsidR="00000000" w:rsidDel="00000000" w:rsidP="00000000" w:rsidRDefault="00000000" w:rsidRPr="00000000">
                            <w:pPr>
                              <w:spacing w:after="0" w:before="0" w:line="334.9999809265137"/>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28"/>
                                <w:vertAlign w:val="baseline"/>
                              </w:rPr>
                              <w:t xml:space="preserve">Decision </w:t>
                            </w:r>
                            <w:r w:rsidDel="00000000" w:rsidR="00000000" w:rsidRPr="00000000">
                              <w:rPr>
                                <w:rFonts w:ascii="Arial" w:cs="Arial" w:eastAsia="Arial" w:hAnsi="Arial"/>
                                <w:b w:val="0"/>
                                <w:i w:val="0"/>
                                <w:smallCaps w:val="0"/>
                                <w:strike w:val="0"/>
                                <w:color w:val="000000"/>
                                <w:sz w:val="18"/>
                                <w:vertAlign w:val="baseline"/>
                              </w:rPr>
                              <w:t xml:space="preserve">(and consent)</w:t>
                            </w:r>
                          </w:p>
                          <w:p w:rsidR="00000000" w:rsidDel="00000000" w:rsidP="00000000" w:rsidRDefault="00000000" w:rsidRPr="00000000">
                            <w:pPr>
                              <w:spacing w:after="0" w:before="0" w:line="334.9999809265137"/>
                              <w:ind w:left="0" w:right="0" w:firstLine="0"/>
                              <w:jc w:val="left"/>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28"/>
                                <w:vertAlign w:val="baseline"/>
                              </w:rPr>
                              <w:t xml:space="preserve">Evaluation* </w:t>
                            </w:r>
                            <w:r w:rsidDel="00000000" w:rsidR="00000000" w:rsidRPr="00000000">
                              <w:rPr>
                                <w:rFonts w:ascii="Arial" w:cs="Arial" w:eastAsia="Arial" w:hAnsi="Arial"/>
                                <w:b w:val="0"/>
                                <w:i w:val="0"/>
                                <w:smallCaps w:val="0"/>
                                <w:strike w:val="0"/>
                                <w:color w:val="000000"/>
                                <w:sz w:val="18"/>
                                <w:vertAlign w:val="baseline"/>
                              </w:rPr>
                              <w:t xml:space="preserve">(during the postnatal period)</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330200</wp:posOffset>
                </wp:positionH>
                <wp:positionV relativeFrom="paragraph">
                  <wp:posOffset>114300</wp:posOffset>
                </wp:positionV>
                <wp:extent cx="4685015" cy="2166712"/>
                <wp:effectExtent b="0" l="0" r="0" t="0"/>
                <wp:wrapNone/>
                <wp:docPr id="11"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4685015" cy="2166712"/>
                        </a:xfrm>
                        <a:prstGeom prst="rect"/>
                        <a:ln/>
                      </pic:spPr>
                    </pic:pic>
                  </a:graphicData>
                </a:graphic>
              </wp:anchor>
            </w:drawing>
          </mc:Fallback>
        </mc:AlternateConten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tl w:val="0"/>
        </w:rPr>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rPr>
      </w:pPr>
      <w:r w:rsidDel="00000000" w:rsidR="00000000" w:rsidRPr="00000000">
        <w:rPr>
          <w:rtl w:val="0"/>
        </w:rPr>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tl w:val="0"/>
        </w:rPr>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tl w:val="0"/>
        </w:rPr>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rPr>
      </w:pPr>
      <w:r w:rsidDel="00000000" w:rsidR="00000000" w:rsidRPr="00000000">
        <w:rPr>
          <w:rtl w:val="0"/>
        </w:rPr>
      </w:r>
    </w:p>
    <w:p w:rsidR="00000000" w:rsidDel="00000000" w:rsidP="00000000" w:rsidRDefault="00000000" w:rsidRPr="00000000" w14:paraId="00000014">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*E - Evaluation to ensure a robust and proactive feedback mechanism for the person giving birth and for the clinician/trust/NHS to contribute to continued improvement of outcomes and experience.</w:t>
      </w:r>
    </w:p>
    <w:p w:rsidR="00000000" w:rsidDel="00000000" w:rsidP="00000000" w:rsidRDefault="00000000" w:rsidRPr="00000000" w14:paraId="00000015">
      <w:pPr>
        <w:pBdr>
          <w:top w:space="0" w:sz="0" w:val="nil"/>
          <w:left w:space="0" w:sz="0" w:val="nil"/>
          <w:bottom w:space="0" w:sz="0" w:val="nil"/>
          <w:right w:space="0" w:sz="0" w:val="nil"/>
          <w:between w:space="0" w:sz="0" w:val="nil"/>
        </w:pBdr>
        <w:ind w:left="7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rtl w:val="0"/>
        </w:rPr>
        <w:t xml:space="preserve">In 2020/21 a digital prototype of ‘iDecide’ was developed and the concept has been feasibility tested in 3 maternity units. Further development of the digital tool and wider piloting is now required to further evaluate the initial findings:</w:t>
      </w:r>
    </w:p>
    <w:p w:rsidR="00000000" w:rsidDel="00000000" w:rsidP="00000000" w:rsidRDefault="00000000" w:rsidRPr="00000000" w14:paraId="00000017">
      <w:pPr>
        <w:rPr>
          <w:rFonts w:ascii="Arial" w:cs="Arial" w:eastAsia="Arial" w:hAnsi="Arial"/>
        </w:rPr>
      </w:pP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Fonts w:ascii="Arial" w:cs="Arial" w:eastAsia="Arial" w:hAnsi="Arial"/>
          <w:rtl w:val="0"/>
        </w:rPr>
        <w:t xml:space="preserve">Where ‘iDecide’ has been feasibility tested, testing suggests:</w:t>
      </w:r>
    </w:p>
    <w:p w:rsidR="00000000" w:rsidDel="00000000" w:rsidP="00000000" w:rsidRDefault="00000000" w:rsidRPr="00000000" w14:paraId="00000019">
      <w:pPr>
        <w:rPr>
          <w:rFonts w:ascii="Arial" w:cs="Arial" w:eastAsia="Arial" w:hAnsi="Arial"/>
        </w:rPr>
      </w:pPr>
      <w:r w:rsidDel="00000000" w:rsidR="00000000" w:rsidRPr="00000000">
        <w:rPr>
          <w:rtl w:val="0"/>
        </w:rPr>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staff are better equipped for intrapartum conversations, so delay in time sensitive interventions by protracted discussion at that point is avoided, therefore preventing brain injury/neonatal mortality/morbidity</w:t>
      </w:r>
    </w:p>
    <w:p w:rsidR="00000000" w:rsidDel="00000000" w:rsidP="00000000" w:rsidRDefault="00000000" w:rsidRPr="00000000" w14:paraId="0000001B">
      <w:pPr>
        <w:pBdr>
          <w:top w:space="0" w:sz="0" w:val="nil"/>
          <w:left w:space="0" w:sz="0" w:val="nil"/>
          <w:bottom w:space="0" w:sz="0" w:val="nil"/>
          <w:right w:space="0" w:sz="0" w:val="nil"/>
          <w:between w:space="0" w:sz="0" w:val="nil"/>
        </w:pBdr>
        <w:ind w:left="72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those giving birth are more prepared, and have improved experience, having received information and had personalised conversations antenatally, so that informed-decision making and consent is facilitated</w:t>
      </w:r>
    </w:p>
    <w:p w:rsidR="00000000" w:rsidDel="00000000" w:rsidP="00000000" w:rsidRDefault="00000000" w:rsidRPr="00000000" w14:paraId="0000001D">
      <w:pPr>
        <w:rPr>
          <w:rFonts w:ascii="Arial" w:cs="Arial" w:eastAsia="Arial" w:hAnsi="Arial"/>
          <w:b w:val="1"/>
        </w:rPr>
      </w:pPr>
      <w:r w:rsidDel="00000000" w:rsidR="00000000" w:rsidRPr="00000000">
        <w:rPr>
          <w:rtl w:val="0"/>
        </w:rPr>
      </w:r>
    </w:p>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b w:val="1"/>
          <w:rtl w:val="0"/>
        </w:rPr>
        <w:t xml:space="preserve">Background</w:t>
      </w: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tl w:val="0"/>
        </w:rPr>
      </w:r>
    </w:p>
    <w:p w:rsidR="00000000" w:rsidDel="00000000" w:rsidP="00000000" w:rsidRDefault="00000000" w:rsidRPr="00000000" w14:paraId="00000020">
      <w:pPr>
        <w:rPr>
          <w:rFonts w:ascii="Arial" w:cs="Arial" w:eastAsia="Arial" w:hAnsi="Arial"/>
        </w:rPr>
      </w:pPr>
      <w:r w:rsidDel="00000000" w:rsidR="00000000" w:rsidRPr="00000000">
        <w:rPr>
          <w:rFonts w:ascii="Arial" w:cs="Arial" w:eastAsia="Arial" w:hAnsi="Arial"/>
          <w:rtl w:val="0"/>
        </w:rPr>
        <w:t xml:space="preserve">The iDecide team, comprised of NHSE&amp;I and NHSX colleagues, commenced a collaborative Discovery and Alphas phase in March 2020. The aims initially were to test the validity of both the iDecide acronym structure and a digital tool being used to stimulate the discussion of informed decision-making and consent.  This was followed by an Alpha phase developing the digital iDecide tool and Feasibility testing to ensure clinician input at local level.</w:t>
      </w:r>
    </w:p>
    <w:p w:rsidR="00000000" w:rsidDel="00000000" w:rsidP="00000000" w:rsidRDefault="00000000" w:rsidRPr="00000000" w14:paraId="00000021">
      <w:pPr>
        <w:rPr>
          <w:rFonts w:ascii="Arial" w:cs="Arial" w:eastAsia="Arial" w:hAnsi="Arial"/>
        </w:rPr>
      </w:pPr>
      <w:r w:rsidDel="00000000" w:rsidR="00000000" w:rsidRPr="00000000">
        <w:rPr>
          <w:rtl w:val="0"/>
        </w:rPr>
      </w:r>
    </w:p>
    <w:p w:rsidR="00000000" w:rsidDel="00000000" w:rsidP="00000000" w:rsidRDefault="00000000" w:rsidRPr="00000000" w14:paraId="00000022">
      <w:pPr>
        <w:rPr>
          <w:rFonts w:ascii="Arial" w:cs="Arial" w:eastAsia="Arial" w:hAnsi="Arial"/>
          <w:b w:val="1"/>
        </w:rPr>
      </w:pPr>
      <w:r w:rsidDel="00000000" w:rsidR="00000000" w:rsidRPr="00000000">
        <w:rPr>
          <w:rFonts w:ascii="Arial" w:cs="Arial" w:eastAsia="Arial" w:hAnsi="Arial"/>
        </w:rPr>
        <w:drawing>
          <wp:anchor allowOverlap="1" behindDoc="0" distB="0" distT="0" distL="114300" distR="114300" hidden="0" layoutInCell="1" locked="0" relativeHeight="0" simplePos="0">
            <wp:simplePos x="0" y="0"/>
            <wp:positionH relativeFrom="margin">
              <wp:posOffset>321199</wp:posOffset>
            </wp:positionH>
            <wp:positionV relativeFrom="margin">
              <wp:align>top</wp:align>
            </wp:positionV>
            <wp:extent cx="4961255" cy="2319020"/>
            <wp:effectExtent b="0" l="0" r="0" t="0"/>
            <wp:wrapSquare wrapText="bothSides" distB="0" distT="0" distL="114300" distR="114300"/>
            <wp:docPr id="14"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4961255" cy="2319020"/>
                    </a:xfrm>
                    <a:prstGeom prst="rect"/>
                    <a:ln/>
                  </pic:spPr>
                </pic:pic>
              </a:graphicData>
            </a:graphic>
          </wp:anchor>
        </w:drawing>
      </w:r>
      <w:r w:rsidDel="00000000" w:rsidR="00000000" w:rsidRPr="00000000">
        <w:rPr>
          <w:rFonts w:ascii="Arial" w:cs="Arial" w:eastAsia="Arial" w:hAnsi="Arial"/>
          <w:b w:val="1"/>
          <w:rtl w:val="0"/>
        </w:rPr>
        <w:t xml:space="preserve">Next Steps</w:t>
      </w:r>
    </w:p>
    <w:p w:rsidR="00000000" w:rsidDel="00000000" w:rsidP="00000000" w:rsidRDefault="00000000" w:rsidRPr="00000000" w14:paraId="00000023">
      <w:pPr>
        <w:rPr>
          <w:rFonts w:ascii="Arial" w:cs="Arial" w:eastAsia="Arial" w:hAnsi="Arial"/>
        </w:rPr>
      </w:pPr>
      <w:bookmarkStart w:colFirst="0" w:colLast="0" w:name="_heading=h.30j0zll" w:id="0"/>
      <w:bookmarkEnd w:id="0"/>
      <w:r w:rsidDel="00000000" w:rsidR="00000000" w:rsidRPr="00000000">
        <w:rPr>
          <w:rFonts w:ascii="Arial" w:cs="Arial" w:eastAsia="Arial" w:hAnsi="Arial"/>
          <w:rtl w:val="0"/>
        </w:rPr>
        <w:t xml:space="preserve">Following the feasibility study, there is now a need to ensure that any future solution can meet the needs of the service and that commercially it is the right solution.</w:t>
      </w:r>
    </w:p>
    <w:p w:rsidR="00000000" w:rsidDel="00000000" w:rsidP="00000000" w:rsidRDefault="00000000" w:rsidRPr="00000000" w14:paraId="00000024">
      <w:pPr>
        <w:rPr>
          <w:rFonts w:ascii="Arial" w:cs="Arial" w:eastAsia="Arial" w:hAnsi="Arial"/>
        </w:rPr>
      </w:pPr>
      <w:r w:rsidDel="00000000" w:rsidR="00000000" w:rsidRPr="00000000">
        <w:rPr>
          <w:rtl w:val="0"/>
        </w:rPr>
      </w:r>
    </w:p>
    <w:p w:rsidR="00000000" w:rsidDel="00000000" w:rsidP="00000000" w:rsidRDefault="00000000" w:rsidRPr="00000000" w14:paraId="00000025">
      <w:pPr>
        <w:rPr>
          <w:rFonts w:ascii="Arial" w:cs="Arial" w:eastAsia="Arial" w:hAnsi="Arial"/>
        </w:rPr>
      </w:pPr>
      <w:bookmarkStart w:colFirst="0" w:colLast="0" w:name="_heading=h.gjdgxs" w:id="1"/>
      <w:bookmarkEnd w:id="1"/>
      <w:r w:rsidDel="00000000" w:rsidR="00000000" w:rsidRPr="00000000">
        <w:rPr>
          <w:rFonts w:ascii="Arial" w:cs="Arial" w:eastAsia="Arial" w:hAnsi="Arial"/>
          <w:rtl w:val="0"/>
        </w:rPr>
        <w:t xml:space="preserve"> When we started this original programme we went out to the digital ecosystem. To understand and engage with all potential suppliers that may be able to support the feasibility study phase. At the time only one supplier was able to engage on the known parameters at the time. </w:t>
      </w:r>
    </w:p>
    <w:p w:rsidR="00000000" w:rsidDel="00000000" w:rsidP="00000000" w:rsidRDefault="00000000" w:rsidRPr="00000000" w14:paraId="00000026">
      <w:pPr>
        <w:rPr>
          <w:rFonts w:ascii="Arial" w:cs="Arial" w:eastAsia="Arial" w:hAnsi="Arial"/>
        </w:rPr>
      </w:pPr>
      <w:bookmarkStart w:colFirst="0" w:colLast="0" w:name="_heading=h.u6rms4dt53bn" w:id="2"/>
      <w:bookmarkEnd w:id="2"/>
      <w:r w:rsidDel="00000000" w:rsidR="00000000" w:rsidRPr="00000000">
        <w:rPr>
          <w:rtl w:val="0"/>
        </w:rPr>
      </w:r>
    </w:p>
    <w:p w:rsidR="00000000" w:rsidDel="00000000" w:rsidP="00000000" w:rsidRDefault="00000000" w:rsidRPr="00000000" w14:paraId="00000027">
      <w:pPr>
        <w:rPr>
          <w:rFonts w:ascii="Arial" w:cs="Arial" w:eastAsia="Arial" w:hAnsi="Arial"/>
        </w:rPr>
      </w:pPr>
      <w:bookmarkStart w:colFirst="0" w:colLast="0" w:name="_heading=h.8quy35u8btvz" w:id="3"/>
      <w:bookmarkEnd w:id="3"/>
      <w:r w:rsidDel="00000000" w:rsidR="00000000" w:rsidRPr="00000000">
        <w:rPr>
          <w:rFonts w:ascii="Arial" w:cs="Arial" w:eastAsia="Arial" w:hAnsi="Arial"/>
          <w:rtl w:val="0"/>
        </w:rPr>
        <w:t xml:space="preserve">Whilst the parameters remain broadly the same the landscape is different  and we have more understanding of the potential need, therefore we would like to undertake a new market engagement exercise to test the outputs from the feasibility study, and understand who in the market could potentially support us as a programme to take this forward. Whilst we have the feasibility study, based on one model we believe there may be other innovative solutions to deliver this programme hence our request for the market to re-engage with us.</w:t>
      </w:r>
    </w:p>
    <w:p w:rsidR="00000000" w:rsidDel="00000000" w:rsidP="00000000" w:rsidRDefault="00000000" w:rsidRPr="00000000" w14:paraId="00000028">
      <w:pPr>
        <w:rPr>
          <w:rFonts w:ascii="Arial" w:cs="Arial" w:eastAsia="Arial" w:hAnsi="Arial"/>
        </w:rPr>
      </w:pPr>
      <w:r w:rsidDel="00000000" w:rsidR="00000000" w:rsidRPr="00000000">
        <w:rPr>
          <w:rtl w:val="0"/>
        </w:rPr>
      </w:r>
    </w:p>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rtl w:val="0"/>
        </w:rPr>
        <w:t xml:space="preserve">Next steps would be to develop a specification that we can take to market and establish if there is a new appetite to offer solutions. Before we engage in a formal procurement, we would like to understand further whether there is renewed interest in our programme given the tangible data now available.   Therefore we would like to seek expressions of interest from the market  and whether organisations would be happy to attend a webinar of 3rd March 2022 (further details to follow)</w:t>
      </w:r>
    </w:p>
    <w:p w:rsidR="00000000" w:rsidDel="00000000" w:rsidP="00000000" w:rsidRDefault="00000000" w:rsidRPr="00000000" w14:paraId="0000002A">
      <w:pPr>
        <w:rPr>
          <w:rFonts w:ascii="Arial" w:cs="Arial" w:eastAsia="Arial" w:hAnsi="Arial"/>
        </w:rPr>
      </w:pPr>
      <w:r w:rsidDel="00000000" w:rsidR="00000000" w:rsidRPr="00000000">
        <w:rPr>
          <w:rtl w:val="0"/>
        </w:rPr>
      </w:r>
    </w:p>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rtl w:val="0"/>
        </w:rPr>
        <w:t xml:space="preserve">To express an interest in potentially engaging in future dialogue for this programme and to receive an invite to the webinar  please contact us via email at </w:t>
      </w:r>
      <w:hyperlink r:id="rId12">
        <w:r w:rsidDel="00000000" w:rsidR="00000000" w:rsidRPr="00000000">
          <w:rPr>
            <w:rFonts w:ascii="Arial" w:cs="Arial" w:eastAsia="Arial" w:hAnsi="Arial"/>
            <w:color w:val="0000ff"/>
            <w:u w:val="single"/>
            <w:rtl w:val="0"/>
          </w:rPr>
          <w:t xml:space="preserve">england.digitalmaternitynhsx@nhs.net</w:t>
        </w:r>
      </w:hyperlink>
      <w:r w:rsidDel="00000000" w:rsidR="00000000" w:rsidRPr="00000000">
        <w:rPr>
          <w:rFonts w:ascii="Arial" w:cs="Arial" w:eastAsia="Arial" w:hAnsi="Arial"/>
          <w:rtl w:val="0"/>
        </w:rPr>
        <w:t xml:space="preserve">  with the following information</w:t>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ind w:left="720" w:firstLine="0"/>
        <w:rPr>
          <w:rFonts w:ascii="Arial" w:cs="Arial" w:eastAsia="Arial" w:hAnsi="Arial"/>
        </w:rPr>
      </w:pPr>
      <w:r w:rsidDel="00000000" w:rsidR="00000000" w:rsidRPr="00000000">
        <w:rPr>
          <w:rFonts w:ascii="Arial" w:cs="Arial" w:eastAsia="Arial" w:hAnsi="Arial"/>
          <w:rtl w:val="0"/>
        </w:rPr>
        <w:t xml:space="preserve">Organisation Name</w:t>
      </w:r>
    </w:p>
    <w:p w:rsidR="00000000" w:rsidDel="00000000" w:rsidP="00000000" w:rsidRDefault="00000000" w:rsidRPr="00000000" w14:paraId="0000002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2F">
      <w:pPr>
        <w:ind w:left="720" w:firstLine="0"/>
        <w:rPr>
          <w:rFonts w:ascii="Arial" w:cs="Arial" w:eastAsia="Arial" w:hAnsi="Arial"/>
        </w:rPr>
      </w:pPr>
      <w:r w:rsidDel="00000000" w:rsidR="00000000" w:rsidRPr="00000000">
        <w:rPr>
          <w:rFonts w:ascii="Arial" w:cs="Arial" w:eastAsia="Arial" w:hAnsi="Arial"/>
          <w:rtl w:val="0"/>
        </w:rPr>
        <w:t xml:space="preserve">Contact person</w:t>
      </w:r>
    </w:p>
    <w:p w:rsidR="00000000" w:rsidDel="00000000" w:rsidP="00000000" w:rsidRDefault="00000000" w:rsidRPr="00000000" w14:paraId="00000030">
      <w:pPr>
        <w:ind w:left="720" w:firstLine="0"/>
        <w:rPr>
          <w:rFonts w:ascii="Arial" w:cs="Arial" w:eastAsia="Arial" w:hAnsi="Arial"/>
        </w:rPr>
      </w:pPr>
      <w:r w:rsidDel="00000000" w:rsidR="00000000" w:rsidRPr="00000000">
        <w:rPr>
          <w:rFonts w:ascii="Arial" w:cs="Arial" w:eastAsia="Arial" w:hAnsi="Arial"/>
          <w:rtl w:val="0"/>
        </w:rPr>
        <w:t xml:space="preserve">Contact details Phone  &amp; Email. </w:t>
      </w:r>
    </w:p>
    <w:p w:rsidR="00000000" w:rsidDel="00000000" w:rsidP="00000000" w:rsidRDefault="00000000" w:rsidRPr="00000000" w14:paraId="00000031">
      <w:pPr>
        <w:ind w:left="720" w:firstLine="0"/>
        <w:rPr>
          <w:rFonts w:ascii="Arial" w:cs="Arial" w:eastAsia="Arial" w:hAnsi="Arial"/>
        </w:rPr>
      </w:pPr>
      <w:r w:rsidDel="00000000" w:rsidR="00000000" w:rsidRPr="00000000">
        <w:rPr>
          <w:rFonts w:ascii="Arial" w:cs="Arial" w:eastAsia="Arial" w:hAnsi="Arial"/>
          <w:rtl w:val="0"/>
        </w:rPr>
        <w:t xml:space="preserve">1-2 sentences on what your organisation delivers.</w:t>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rtl w:val="0"/>
        </w:rPr>
        <w:t xml:space="preserve">Please note by expressing an interest in potentially engaging with this programme you are not committing to actively engaging nor to participate in any future dialogue. </w:t>
      </w:r>
    </w:p>
    <w:p w:rsidR="00000000" w:rsidDel="00000000" w:rsidP="00000000" w:rsidRDefault="00000000" w:rsidRPr="00000000" w14:paraId="00000034">
      <w:pPr>
        <w:rPr>
          <w:rFonts w:ascii="Arial" w:cs="Arial" w:eastAsia="Arial" w:hAnsi="Arial"/>
        </w:rPr>
      </w:pPr>
      <w:r w:rsidDel="00000000" w:rsidR="00000000" w:rsidRPr="00000000">
        <w:rPr>
          <w:rtl w:val="0"/>
        </w:rPr>
      </w:r>
    </w:p>
    <w:p w:rsidR="00000000" w:rsidDel="00000000" w:rsidP="00000000" w:rsidRDefault="00000000" w:rsidRPr="00000000" w14:paraId="00000035">
      <w:pPr>
        <w:rPr>
          <w:rFonts w:ascii="Arial" w:cs="Arial" w:eastAsia="Arial" w:hAnsi="Arial"/>
        </w:rPr>
      </w:pPr>
      <w:r w:rsidDel="00000000" w:rsidR="00000000" w:rsidRPr="00000000">
        <w:rPr>
          <w:rFonts w:ascii="Arial" w:cs="Arial" w:eastAsia="Arial" w:hAnsi="Arial"/>
          <w:rtl w:val="0"/>
        </w:rPr>
        <w:t xml:space="preserve">Any questions please contact at the email above.</w:t>
      </w:r>
    </w:p>
    <w:sectPr>
      <w:footerReference r:id="rId13" w:type="default"/>
      <w:pgSz w:h="16838" w:w="11906" w:orient="portrait"/>
      <w:pgMar w:bottom="1440" w:top="993" w:left="1440" w:right="144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pos="4513"/>
        <w:tab w:val="right" w:pos="9026"/>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pos="4513"/>
        <w:tab w:val="right" w:pos="9026"/>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rsid w:val="00E4613D"/>
    <w:pPr>
      <w:ind w:left="720"/>
      <w:contextualSpacing w:val="1"/>
    </w:pPr>
  </w:style>
  <w:style w:type="character" w:styleId="CommentReference">
    <w:name w:val="annotation reference"/>
    <w:basedOn w:val="DefaultParagraphFont"/>
    <w:uiPriority w:val="99"/>
    <w:semiHidden w:val="1"/>
    <w:unhideWhenUsed w:val="1"/>
    <w:rsid w:val="00F64D31"/>
    <w:rPr>
      <w:sz w:val="16"/>
      <w:szCs w:val="16"/>
    </w:rPr>
  </w:style>
  <w:style w:type="paragraph" w:styleId="CommentText">
    <w:name w:val="annotation text"/>
    <w:basedOn w:val="Normal"/>
    <w:link w:val="CommentTextChar"/>
    <w:uiPriority w:val="99"/>
    <w:semiHidden w:val="1"/>
    <w:unhideWhenUsed w:val="1"/>
    <w:rsid w:val="00F64D31"/>
    <w:rPr>
      <w:sz w:val="20"/>
      <w:szCs w:val="20"/>
    </w:rPr>
  </w:style>
  <w:style w:type="character" w:styleId="CommentTextChar" w:customStyle="1">
    <w:name w:val="Comment Text Char"/>
    <w:basedOn w:val="DefaultParagraphFont"/>
    <w:link w:val="CommentText"/>
    <w:uiPriority w:val="99"/>
    <w:semiHidden w:val="1"/>
    <w:rsid w:val="00F64D31"/>
    <w:rPr>
      <w:sz w:val="20"/>
      <w:szCs w:val="20"/>
    </w:rPr>
  </w:style>
  <w:style w:type="paragraph" w:styleId="CommentSubject">
    <w:name w:val="annotation subject"/>
    <w:basedOn w:val="CommentText"/>
    <w:next w:val="CommentText"/>
    <w:link w:val="CommentSubjectChar"/>
    <w:uiPriority w:val="99"/>
    <w:semiHidden w:val="1"/>
    <w:unhideWhenUsed w:val="1"/>
    <w:rsid w:val="00F64D31"/>
    <w:rPr>
      <w:b w:val="1"/>
      <w:bCs w:val="1"/>
    </w:rPr>
  </w:style>
  <w:style w:type="character" w:styleId="CommentSubjectChar" w:customStyle="1">
    <w:name w:val="Comment Subject Char"/>
    <w:basedOn w:val="CommentTextChar"/>
    <w:link w:val="CommentSubject"/>
    <w:uiPriority w:val="99"/>
    <w:semiHidden w:val="1"/>
    <w:rsid w:val="00F64D31"/>
    <w:rPr>
      <w:b w:val="1"/>
      <w:bCs w:val="1"/>
      <w:sz w:val="20"/>
      <w:szCs w:val="20"/>
    </w:rPr>
  </w:style>
  <w:style w:type="paragraph" w:styleId="BalloonText">
    <w:name w:val="Balloon Text"/>
    <w:basedOn w:val="Normal"/>
    <w:link w:val="BalloonTextChar"/>
    <w:uiPriority w:val="99"/>
    <w:semiHidden w:val="1"/>
    <w:unhideWhenUsed w:val="1"/>
    <w:rsid w:val="00F64D31"/>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64D31"/>
    <w:rPr>
      <w:rFonts w:ascii="Segoe UI" w:cs="Segoe UI" w:hAnsi="Segoe UI"/>
      <w:sz w:val="18"/>
      <w:szCs w:val="18"/>
    </w:rPr>
  </w:style>
  <w:style w:type="paragraph" w:styleId="Revision">
    <w:name w:val="Revision"/>
    <w:hidden w:val="1"/>
    <w:uiPriority w:val="99"/>
    <w:semiHidden w:val="1"/>
    <w:rsid w:val="0008277A"/>
  </w:style>
  <w:style w:type="paragraph" w:styleId="Header">
    <w:name w:val="header"/>
    <w:basedOn w:val="Normal"/>
    <w:link w:val="HeaderChar"/>
    <w:uiPriority w:val="99"/>
    <w:unhideWhenUsed w:val="1"/>
    <w:rsid w:val="00440355"/>
    <w:pPr>
      <w:tabs>
        <w:tab w:val="center" w:pos="4513"/>
        <w:tab w:val="right" w:pos="9026"/>
      </w:tabs>
    </w:pPr>
  </w:style>
  <w:style w:type="character" w:styleId="HeaderChar" w:customStyle="1">
    <w:name w:val="Header Char"/>
    <w:basedOn w:val="DefaultParagraphFont"/>
    <w:link w:val="Header"/>
    <w:uiPriority w:val="99"/>
    <w:rsid w:val="00440355"/>
  </w:style>
  <w:style w:type="paragraph" w:styleId="Footer">
    <w:name w:val="footer"/>
    <w:basedOn w:val="Normal"/>
    <w:link w:val="FooterChar"/>
    <w:uiPriority w:val="99"/>
    <w:unhideWhenUsed w:val="1"/>
    <w:rsid w:val="00440355"/>
    <w:pPr>
      <w:tabs>
        <w:tab w:val="center" w:pos="4513"/>
        <w:tab w:val="right" w:pos="9026"/>
      </w:tabs>
    </w:pPr>
  </w:style>
  <w:style w:type="character" w:styleId="FooterChar" w:customStyle="1">
    <w:name w:val="Footer Char"/>
    <w:basedOn w:val="DefaultParagraphFont"/>
    <w:link w:val="Footer"/>
    <w:uiPriority w:val="99"/>
    <w:rsid w:val="00440355"/>
  </w:style>
  <w:style w:type="table" w:styleId="TableGrid">
    <w:name w:val="Table Grid"/>
    <w:basedOn w:val="TableNormal"/>
    <w:uiPriority w:val="39"/>
    <w:rsid w:val="00BB3F0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70366A"/>
    <w:rPr>
      <w:color w:val="0563c1" w:themeColor="hyperlink"/>
      <w:u w:val="single"/>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UnresolvedMention">
    <w:name w:val="Unresolved Mention"/>
    <w:basedOn w:val="DefaultParagraphFont"/>
    <w:uiPriority w:val="99"/>
    <w:semiHidden w:val="1"/>
    <w:unhideWhenUsed w:val="1"/>
    <w:rsid w:val="00030587"/>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4.png"/><Relationship Id="rId13" Type="http://schemas.openxmlformats.org/officeDocument/2006/relationships/footer" Target="footer1.xml"/><Relationship Id="rId12" Type="http://schemas.openxmlformats.org/officeDocument/2006/relationships/hyperlink" Target="mailto:england.digitalmaternitynhsx@nhs.ne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rcog.org.uk/globalassets/documents/members/membership-news/og-magazine/december-2016/montgomer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wyYnenQ408FiGhw7xDqSx1DZGg==">AMUW2mWO3G4mu/RSI3jGyybxcORCx7by/E+DQBlqbb2rk/SKF4l81FkmjfLbGwpuxnfQe+H1SxlLUzhRYf06cZbseN2SNiNQEkUQpNAyzZKJw66agZD81stObjfg/jFyyGu+nOAFGTE94LeU82MMrFJH5IMVJ9K/Zj4VPV3uYzrrAHi0SwugXHA=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2021-12-15T10:54:00Z</dcterms:created>
  <dc:creator>christian Barnick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0x010100B248815FB67CC44F9D697A17B377D451</vt:lpwstr>
  </property>
</Properties>
</file>