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7 (Financial Difficulties)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560.0" w:type="dxa"/>
        <w:jc w:val="left"/>
        <w:tblInd w:w="1008.0" w:type="dxa"/>
        <w:tblLayout w:type="fixed"/>
        <w:tblLook w:val="0000"/>
      </w:tblPr>
      <w:tblGrid>
        <w:gridCol w:w="2462"/>
        <w:gridCol w:w="5098"/>
        <w:tblGridChange w:id="0">
          <w:tblGrid>
            <w:gridCol w:w="2462"/>
            <w:gridCol w:w="5098"/>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Threshold"</w:t>
            </w:r>
          </w:p>
        </w:tc>
        <w:tc>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minimum credit rating level for the Monitored Company as set out in Annex 2 and</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Event"</w:t>
            </w:r>
          </w:p>
        </w:tc>
        <w:tc>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occurrence or one or more of the following events: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credit rating of the Monitored Company dropping below the applicable Credit Rating Threshold;</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Monitored Company issuing a profits warning to a stock exchange or making any other public announcement about a material deterioration in its financial position or prospects;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being a public investigation into improper financial accounting and reporting, suspected fraud or any other impropriety of the Monitored Party;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Monitored Company committing a material breach of covenant to its lenders;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Key Subcontractor (where applicable) notifying CCS that the Supplier has not satisfied any sums properly due under a specified invoice and not subject to a genuine dispute; or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commencement of any litigation against the Monitored Company with respect to financial indebtedness or obligations under a contract;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non-payment by the Monitored Company of any financial indebtedness;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financial indebtedness of the Monitored Company becoming due as a result of an event of default; or</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cancellation or suspension of any financial indebtedness in respect of the Monitored Company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case which CCS reasonably believes (or would be likely reasonably to believe) could directly impact on the continued performance of any Contract and delivery of the Deliverables in accordance with any Call-Off Contract;</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Service Continuity Plan"</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plan setting out how the Supplier will ensure the continued performance and delivery of the Deliverables in accordance with [each Call-Off] Contract in the event that a Financial Distress Event occurs;</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“Monitored Company”</w:t>
            </w:r>
          </w:p>
        </w:tc>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w:t>
            </w:r>
            <w:r w:rsidDel="00000000" w:rsidR="00000000" w:rsidRPr="00000000">
              <w:rPr>
                <w:rFonts w:ascii="Arial" w:cs="Arial" w:eastAsia="Arial" w:hAnsi="Arial"/>
                <w:sz w:val="24"/>
                <w:szCs w:val="24"/>
                <w:rtl w:val="0"/>
              </w:rPr>
              <w:t xml:space="preserve">er </w:t>
            </w:r>
            <w:r w:rsidDel="00000000" w:rsidR="00000000" w:rsidRPr="00000000">
              <w:rPr>
                <w:rFonts w:ascii="Arial" w:cs="Arial" w:eastAsia="Arial" w:hAnsi="Arial"/>
                <w:sz w:val="24"/>
                <w:szCs w:val="24"/>
                <w:rtl w:val="0"/>
              </w:rPr>
              <w:t xml:space="preserve">or any Key Subcontractor</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"Rating Agencies"</w:t>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rating agencies listed in Annex 1.</w:t>
            </w:r>
          </w:p>
        </w:tc>
      </w:tr>
    </w:tbl>
    <w:p w:rsidR="00000000" w:rsidDel="00000000" w:rsidP="00000000" w:rsidRDefault="00000000" w:rsidRPr="00000000" w14:paraId="0000001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this Schedule applies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comply with the provisions of this Schedule in relation to the assessment of the financial standing of the Monitored Companies and the consequences of a change to that financial standing.</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of this Schedule shall survive: </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Call-Off Contract until the termination or expiry of the Call-Off Contract.</w:t>
      </w:r>
    </w:p>
    <w:p w:rsidR="00000000" w:rsidDel="00000000" w:rsidP="00000000" w:rsidRDefault="00000000" w:rsidRPr="00000000" w14:paraId="0000001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happens when your credit rating changes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and represents to CCS that as at the Start Date the long term credit ratings issued for the Monitored Companies by each of the Rating Agencies are as set out in Annex 2.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(and in any event within five (5) Working Days) notify CCS in writing if there is any downgrade in the credit rating issued by any Rating Agency for a Monitored Company.</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rsidR="00000000" w:rsidDel="00000000" w:rsidP="00000000" w:rsidRDefault="00000000" w:rsidRPr="00000000" w14:paraId="00000022">
      <w:pPr>
        <w:ind w:firstLine="1134"/>
        <w:jc w:val="left"/>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09600" cy="16319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9600" cy="163195"/>
                    </a:xfrm>
                    <a:prstGeom prst="rect"/>
                    <a:ln/>
                  </pic:spPr>
                </pic:pic>
              </a:graphicData>
            </a:graphic>
          </wp:inline>
        </w:drawing>
      </w:r>
      <w:r w:rsidDel="00000000" w:rsidR="00000000" w:rsidRPr="00000000">
        <w:rPr>
          <w:rFonts w:ascii="Arial" w:cs="Arial" w:eastAsia="Arial" w:hAnsi="Arial"/>
          <w:sz w:val="24"/>
          <w:szCs w:val="24"/>
        </w:rPr>
        <w:drawing>
          <wp:inline distB="0" distT="0" distL="0" distR="0">
            <wp:extent cx="609600" cy="31559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9600" cy="3155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w:t>
      </w:r>
    </w:p>
    <w:tbl>
      <w:tblPr>
        <w:tblStyle w:val="Table2"/>
        <w:tblW w:w="8317.0" w:type="dxa"/>
        <w:jc w:val="left"/>
        <w:tblInd w:w="709.0" w:type="dxa"/>
        <w:tblLayout w:type="fixed"/>
        <w:tblLook w:val="0400"/>
      </w:tblPr>
      <w:tblGrid>
        <w:gridCol w:w="1524"/>
        <w:gridCol w:w="6793"/>
        <w:tblGridChange w:id="0">
          <w:tblGrid>
            <w:gridCol w:w="1524"/>
            <w:gridCol w:w="6793"/>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cash in hand and at the bank of the Monitored Company];</w:t>
            </w: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of all marketable securities held by the Supplier the Monitored Company determined using closing prices on the Working Day preceding the relevant date; </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account receivables of the Monitored]; and</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the current liabilities of the Monitored Company].</w:t>
            </w:r>
          </w:p>
        </w:tc>
      </w:tr>
    </w:tbl>
    <w:p w:rsidR="00000000" w:rsidDel="00000000" w:rsidP="00000000" w:rsidRDefault="00000000" w:rsidRPr="00000000" w14:paraId="0000002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monitor the credit ratings of each Monitored Company with the Rating Agencies; and </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000000" w:rsidDel="00000000" w:rsidP="00000000" w:rsidRDefault="00000000" w:rsidRPr="00000000" w14:paraId="0000003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financial distress event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rectify such late or non-payment; or </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to CCS's reasonable satisfaction that there is a valid reason for late or non-payment.</w:t>
      </w:r>
    </w:p>
    <w:p w:rsidR="00000000" w:rsidDel="00000000" w:rsidP="00000000" w:rsidRDefault="00000000" w:rsidRPr="00000000" w14:paraId="0000003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other Monitored Companies shall:</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rsidR="00000000" w:rsidDel="00000000" w:rsidP="00000000" w:rsidRDefault="00000000" w:rsidRPr="00000000" w14:paraId="0000003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to CCS for its Approval, a draft Financial Distress Service Continuity Plan as soon as reasonably practicable (and in any event, within ten (10) Working Days of the initial notification (or awareness) of the Financial Distress Event); and</w:t>
      </w:r>
    </w:p>
    <w:p w:rsidR="00000000" w:rsidDel="00000000" w:rsidP="00000000" w:rsidRDefault="00000000" w:rsidRPr="00000000" w14:paraId="0000003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such financial information relating to the Monitored Company as CCS may reasonably require.</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000000" w:rsidDel="00000000" w:rsidP="00000000" w:rsidRDefault="00000000" w:rsidRPr="00000000" w14:paraId="0000003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Approval of the Financial Distress Service Continuity Plan by CCS, the Supplier shall:</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Financial Distress Service Continuity Plan (including any updated Financial Distress Service Continuity Plan).</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able to share any information it receives from the Buyer in accordance with this Paragraph with any Buyer who has entered into a Call-Off Contract with the Supplier.</w:t>
      </w:r>
    </w:p>
    <w:p w:rsidR="00000000" w:rsidDel="00000000" w:rsidP="00000000" w:rsidRDefault="00000000" w:rsidRPr="00000000" w14:paraId="0000004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CCS or the Buyer can terminate for financial distress </w:t>
      </w:r>
      <w:r w:rsidDel="00000000" w:rsidR="00000000" w:rsidRPr="00000000">
        <w:rPr>
          <w:rtl w:val="0"/>
        </w:rPr>
      </w:r>
    </w:p>
    <w:p w:rsidR="00000000" w:rsidDel="00000000" w:rsidP="00000000" w:rsidRDefault="00000000" w:rsidRPr="00000000" w14:paraId="0000004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entitled to terminate this Contract and Buyers shall be entitled to terminate their Call-Off Contracts for material Default if: </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notify CCS of a Financial Distress Event in accordance with Paragraph 3.4; </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Supplier fail to agree a Financial Distress Service Continuity Plan (or any updated Financial Distress Service Continuity Plan) in accordance with Paragraphs 4.3 to 4.5; and/or</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comply with the terms of the Financial Distress Service Continuity Plan (or any updated Financial Distress Service Continuity Plan) in accordance with Paragraph 4.6.3.</w:t>
      </w:r>
    </w:p>
    <w:p w:rsidR="00000000" w:rsidDel="00000000" w:rsidP="00000000" w:rsidRDefault="00000000" w:rsidRPr="00000000" w14:paraId="0000004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your credit rating is still good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relieved automatically of its obligations under Paragraphs 4.3 to 4.6; and</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not be entitled to require the Supplier to provide financial information in accordance with Paragraph 4.3.2(b).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1: RATING AGENCIES</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&amp; Bradstreet </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Agency 2]</w:t>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1y810tw" w:id="20"/>
      <w:bookmarkEnd w:id="20"/>
      <w:r w:rsidDel="00000000" w:rsidR="00000000" w:rsidRPr="00000000">
        <w:br w:type="page"/>
      </w: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2: CREDIT RATINGS &amp; CREDIT RATING THRESHOLDS</w:t>
      </w: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1: Current Rating</w:t>
      </w:r>
      <w:r w:rsidDel="00000000" w:rsidR="00000000" w:rsidRPr="00000000">
        <w:rPr>
          <w:rtl w:val="0"/>
        </w:rPr>
      </w:r>
    </w:p>
    <w:tbl>
      <w:tblPr>
        <w:tblStyle w:val="Table3"/>
        <w:tblW w:w="6161.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080"/>
        <w:gridCol w:w="3081"/>
        <w:tblGridChange w:id="0">
          <w:tblGrid>
            <w:gridCol w:w="3080"/>
            <w:gridCol w:w="3081"/>
          </w:tblGrid>
        </w:tblGridChange>
      </w:tblGrid>
      <w:tr>
        <w:trPr>
          <w:cantSplit w:val="0"/>
          <w:tblHeader w:val="0"/>
        </w:trPr>
        <w:tc>
          <w:tcPr>
            <w:tcBorders>
              <w:top w:color="000000" w:space="0" w:sz="4" w:val="single"/>
            </w:tcBorders>
            <w:shd w:fill="ffffff" w:val="clear"/>
          </w:tcPr>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Entity</w:t>
            </w:r>
          </w:p>
        </w:tc>
        <w:tc>
          <w:tcPr>
            <w:tcBorders>
              <w:top w:color="000000" w:space="0" w:sz="4" w:val="single"/>
            </w:tcBorders>
            <w:shd w:fill="ffffff" w:val="clear"/>
          </w:tcPr>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(long term)</w:t>
            </w:r>
          </w:p>
        </w:tc>
      </w:tr>
      <w:tr>
        <w:trPr>
          <w:cantSplit w:val="0"/>
          <w:tblHeader w:val="0"/>
        </w:trPr>
        <w:tc>
          <w:tcPr>
            <w:shd w:fill="ffffff" w:val="clear"/>
          </w:tcPr>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p>
        </w:tc>
        <w:tc>
          <w:tcPr>
            <w:shd w:fill="ffffff" w:val="clear"/>
          </w:tcPr>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D&amp;B Threshold 30</w:t>
            </w:r>
          </w:p>
        </w:tc>
      </w:tr>
      <w:tr>
        <w:trPr>
          <w:cantSplit w:val="0"/>
          <w:tblHeader w:val="0"/>
        </w:trPr>
        <w:tc>
          <w:tcPr>
            <w:tcBorders>
              <w:bottom w:color="000000" w:space="0" w:sz="4" w:val="single"/>
            </w:tcBorders>
            <w:shd w:fill="ffffff" w:val="clear"/>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Subcontractor</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sz w:val="24"/>
                <w:szCs w:val="24"/>
                <w:rtl w:val="0"/>
              </w:rPr>
              <w:t xml:space="preserve">Not Applicable</w:t>
            </w:r>
            <w:r w:rsidDel="00000000" w:rsidR="00000000" w:rsidRPr="00000000">
              <w:rPr>
                <w:rtl w:val="0"/>
              </w:rPr>
            </w:r>
          </w:p>
        </w:tc>
      </w:tr>
    </w:tbl>
    <w:p w:rsidR="00000000" w:rsidDel="00000000" w:rsidP="00000000" w:rsidRDefault="00000000" w:rsidRPr="00000000" w14:paraId="00000058">
      <w:pPr>
        <w:spacing w:after="0" w:lineRule="auto"/>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Calibri" w:cs="Calibri" w:eastAsia="Calibri" w:hAnsi="Calibri"/>
        <w:b w:val="0"/>
        <w:i w:val="0"/>
        <w:smallCaps w:val="0"/>
        <w:strike w:val="0"/>
        <w:color w:val="bfbfbf"/>
        <w:sz w:val="22"/>
        <w:szCs w:val="22"/>
        <w:u w:val="none"/>
        <w:shd w:fill="auto" w:val="clear"/>
        <w:vertAlign w:val="baseline"/>
        <w:rtl w:val="0"/>
      </w:rPr>
      <w:t xml:space="preserve">Project Version: v1.0</w:t>
      <w:tab/>
      <w:tab/>
      <w:tab/>
      <w:t xml:space="preserve"> </w:t>
    </w:r>
    <w:r w:rsidDel="00000000" w:rsidR="00000000" w:rsidRPr="00000000">
      <w:rPr>
        <w:rFonts w:ascii="Calibri" w:cs="Calibri" w:eastAsia="Calibri" w:hAnsi="Calibri"/>
        <w:b w:val="0"/>
        <w:i w:val="0"/>
        <w:smallCaps w:val="0"/>
        <w:strike w:val="0"/>
        <w:color w:val="bfbfb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color w:val="bfbfbf"/>
        <w:sz w:val="20"/>
        <w:szCs w:val="20"/>
      </w:rPr>
    </w:pPr>
    <w:r w:rsidDel="00000000" w:rsidR="00000000" w:rsidRPr="00000000">
      <w:rPr>
        <w:color w:val="bfbfbf"/>
        <w:rtl w:val="0"/>
      </w:rPr>
      <w:t xml:space="preserve">Model Version : v3.0</w:t>
      <w:tab/>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7 (Financial Difficulties)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2"/>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outlineLvl w:val="9"/>
    </w:p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3Indent" w:customStyle="1">
    <w:name w:val="GPS L3 Indent"/>
    <w:basedOn w:val="Normal"/>
    <w:link w:val="GPSL3IndentChar"/>
    <w:pPr>
      <w:overflowPunct w:val="1"/>
      <w:autoSpaceDE w:val="1"/>
      <w:autoSpaceDN w:val="1"/>
      <w:spacing w:after="120" w:before="120"/>
      <w:ind w:left="1985"/>
      <w:textAlignment w:val="auto"/>
    </w:pPr>
    <w:rPr>
      <w:lang w:eastAsia="zh-CN" w:val="en-US"/>
    </w:rPr>
  </w:style>
  <w:style w:type="paragraph" w:styleId="GPSmacrorestart" w:customStyle="1">
    <w:name w:val="GPS macro restart"/>
    <w:basedOn w:val="Normal"/>
    <w:qFormat w:val="1"/>
    <w:pPr>
      <w:spacing w:after="0"/>
    </w:pPr>
    <w:rPr>
      <w:color w:val="ffffff"/>
      <w:sz w:val="16"/>
      <w:szCs w:val="16"/>
    </w:rPr>
  </w:style>
  <w:style w:type="paragraph" w:styleId="GPSSchAnnexname" w:customStyle="1">
    <w:name w:val="GPS Sch Annex name"/>
    <w:basedOn w:val="Normal"/>
    <w:link w:val="GPSSchAnnexnameChar"/>
    <w:qFormat w:val="1"/>
    <w:pPr>
      <w:keepNext w:val="1"/>
      <w:overflowPunct w:val="1"/>
      <w:autoSpaceDE w:val="1"/>
      <w:autoSpaceDN w:val="1"/>
      <w:ind w:firstLine="426"/>
      <w:jc w:val="center"/>
      <w:textAlignment w:val="auto"/>
      <w:outlineLvl w:val="1"/>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3IndentChar" w:customStyle="1">
    <w:name w:val="GPS L3 Indent Char"/>
    <w:link w:val="GPSL3Indent"/>
    <w:locked w:val="1"/>
    <w:rPr>
      <w:rFonts w:ascii="Calibri" w:cs="Arial" w:eastAsia="Times New Roman" w:hAnsi="Calibri"/>
      <w:lang w:eastAsia="zh-CN" w:val="en-US"/>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2IndentChar" w:customStyle="1">
    <w:name w:val="GPS L2 Indent Char"/>
    <w:link w:val="GPSL2Indent"/>
    <w:rPr>
      <w:rFonts w:ascii="Calibri" w:cs="Arial" w:eastAsia="Times New Roman" w:hAnsi="Calibri"/>
      <w:szCs w:val="24"/>
    </w:rPr>
  </w:style>
  <w:style w:type="character" w:styleId="GPSSchAnnexnameChar" w:customStyle="1">
    <w:name w:val="GPS Sch Annex name Char"/>
    <w:link w:val="GPSSchAnnexname"/>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character" w:styleId="Hyperlink">
    <w:name w:val="Hyperlink"/>
    <w:basedOn w:val="DefaultParagraphFont"/>
    <w:uiPriority w:val="99"/>
    <w:semiHidden w:val="1"/>
    <w:unhideWhenUsed w:val="1"/>
    <w:rPr>
      <w:color w:val="0000ff"/>
      <w:u w:val="single"/>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imzsumdslhALyueic8x8HVjSg==">AMUW2mUSeVvJIXFXDI7N8JAs0d3oTkPyqUl5zKwvJMQG2E+xmWc87lPEGpwkrN5BWLR1rZFc22Byt4ZNXUNeaxqfH9Ca0Met5jVTaG69YWfmPsSDl1/C4+EHpbWRVg+71H73sRkkb5EEWxaJhswor5Wz35+DIGEJZfFHar8zyjdmaUlhJLxIMULMAhS2IJGgst0vIJt+COu9OQ79Wkg3lNBQzNjpCNuD+SlBTboP2585CTyCb6lWt9pfsoTqxAr2OePQPGhyxiLHGqauSaVpKnttWuyXdOTIFliduJ2kK7xq2sLQebbf79yseHQDOEOYEARUbmXnD+/T+D70K+WEFFNKgVvQOROnyLgXoDnrLLmV3099RpVxDYttMqcEzH5HkAKTjIrBhfy011t0FQ7uQcyr6GaPZfZ/ccgjnlaXpRy4VWf+ON2e5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