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0D533" w14:textId="77777777" w:rsidR="00BE5084" w:rsidRDefault="00BE5084" w:rsidP="00BE5084">
      <w:pPr>
        <w:jc w:val="center"/>
        <w:rPr>
          <w:rFonts w:ascii="Verdana" w:hAnsi="Verdana"/>
          <w:sz w:val="16"/>
          <w:szCs w:val="16"/>
        </w:rPr>
      </w:pPr>
    </w:p>
    <w:p w14:paraId="282FEF2E" w14:textId="77777777" w:rsidR="00BE5084" w:rsidRDefault="00BE5084" w:rsidP="00BE5084">
      <w:pPr>
        <w:jc w:val="center"/>
        <w:rPr>
          <w:rFonts w:ascii="Verdana" w:hAnsi="Verdana"/>
          <w:sz w:val="16"/>
          <w:szCs w:val="16"/>
        </w:rPr>
      </w:pPr>
    </w:p>
    <w:p w14:paraId="51F76F88" w14:textId="0D040306" w:rsidR="00BE5084" w:rsidRDefault="00BE5084" w:rsidP="00BE5084">
      <w:pPr>
        <w:jc w:val="center"/>
        <w:rPr>
          <w:rFonts w:ascii="Verdana" w:hAnsi="Verdana"/>
          <w:sz w:val="16"/>
          <w:szCs w:val="16"/>
        </w:rPr>
      </w:pPr>
      <w:r>
        <w:rPr>
          <w:noProof/>
        </w:rPr>
        <w:drawing>
          <wp:anchor distT="0" distB="0" distL="114300" distR="114300" simplePos="0" relativeHeight="251658240" behindDoc="0" locked="0" layoutInCell="1" allowOverlap="1" wp14:anchorId="4D7725C5" wp14:editId="3DC6C1C2">
            <wp:simplePos x="0" y="0"/>
            <wp:positionH relativeFrom="column">
              <wp:posOffset>1645920</wp:posOffset>
            </wp:positionH>
            <wp:positionV relativeFrom="paragraph">
              <wp:posOffset>553085</wp:posOffset>
            </wp:positionV>
            <wp:extent cx="2557780" cy="8191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1967" t="35928" r="50145" b="56122"/>
                    <a:stretch>
                      <a:fillRect/>
                    </a:stretch>
                  </pic:blipFill>
                  <pic:spPr bwMode="auto">
                    <a:xfrm>
                      <a:off x="0" y="0"/>
                      <a:ext cx="2557780" cy="819150"/>
                    </a:xfrm>
                    <a:prstGeom prst="rect">
                      <a:avLst/>
                    </a:prstGeom>
                    <a:noFill/>
                  </pic:spPr>
                </pic:pic>
              </a:graphicData>
            </a:graphic>
            <wp14:sizeRelH relativeFrom="page">
              <wp14:pctWidth>0</wp14:pctWidth>
            </wp14:sizeRelH>
            <wp14:sizeRelV relativeFrom="page">
              <wp14:pctHeight>0</wp14:pctHeight>
            </wp14:sizeRelV>
          </wp:anchor>
        </w:drawing>
      </w:r>
    </w:p>
    <w:p w14:paraId="1C7E9A9C" w14:textId="77777777" w:rsidR="00BE5084" w:rsidRDefault="00BE5084" w:rsidP="00BE5084">
      <w:pPr>
        <w:jc w:val="center"/>
        <w:rPr>
          <w:rFonts w:ascii="Verdana" w:hAnsi="Verdana"/>
          <w:sz w:val="16"/>
          <w:szCs w:val="16"/>
        </w:rPr>
      </w:pPr>
    </w:p>
    <w:p w14:paraId="3FFE2338" w14:textId="77777777" w:rsidR="00BE5084" w:rsidRDefault="00BE5084" w:rsidP="00BE5084">
      <w:pPr>
        <w:jc w:val="center"/>
        <w:rPr>
          <w:rFonts w:ascii="Verdana" w:hAnsi="Verdana"/>
          <w:sz w:val="16"/>
          <w:szCs w:val="16"/>
        </w:rPr>
      </w:pPr>
    </w:p>
    <w:p w14:paraId="1399FF4D" w14:textId="77777777" w:rsidR="00BE5084" w:rsidRDefault="00BE5084" w:rsidP="00BE5084">
      <w:pPr>
        <w:jc w:val="center"/>
        <w:rPr>
          <w:rFonts w:ascii="Calibri" w:hAnsi="Calibri" w:cs="Arial"/>
          <w:b/>
          <w:sz w:val="44"/>
          <w:szCs w:val="44"/>
        </w:rPr>
      </w:pPr>
    </w:p>
    <w:p w14:paraId="15E3EC4A" w14:textId="77777777" w:rsidR="00BE5084" w:rsidRDefault="00BE5084" w:rsidP="00BE5084">
      <w:pPr>
        <w:jc w:val="center"/>
        <w:rPr>
          <w:rFonts w:cs="Arial"/>
          <w:b/>
          <w:sz w:val="44"/>
          <w:szCs w:val="44"/>
        </w:rPr>
      </w:pPr>
    </w:p>
    <w:p w14:paraId="63EC9904" w14:textId="77777777" w:rsidR="00BE5084" w:rsidRDefault="00BE5084" w:rsidP="00BE5084">
      <w:pPr>
        <w:jc w:val="center"/>
        <w:rPr>
          <w:rFonts w:cs="Arial"/>
          <w:b/>
          <w:sz w:val="48"/>
          <w:szCs w:val="48"/>
        </w:rPr>
      </w:pPr>
      <w:r>
        <w:rPr>
          <w:rFonts w:cs="Arial"/>
          <w:b/>
          <w:sz w:val="48"/>
          <w:szCs w:val="48"/>
        </w:rPr>
        <w:t>Tunnels Outstation Maintenance</w:t>
      </w:r>
    </w:p>
    <w:p w14:paraId="06B708E5" w14:textId="77777777" w:rsidR="00BE5084" w:rsidRDefault="00BE5084" w:rsidP="00BE5084">
      <w:pPr>
        <w:jc w:val="center"/>
        <w:rPr>
          <w:rFonts w:cs="Arial"/>
          <w:b/>
          <w:sz w:val="48"/>
          <w:szCs w:val="48"/>
        </w:rPr>
      </w:pPr>
      <w:r>
        <w:rPr>
          <w:rFonts w:cs="Arial"/>
          <w:b/>
          <w:sz w:val="48"/>
          <w:szCs w:val="48"/>
        </w:rPr>
        <w:t>Services Agreement</w:t>
      </w:r>
    </w:p>
    <w:p w14:paraId="36DCF5E2" w14:textId="77777777" w:rsidR="00BE5084" w:rsidRDefault="00BE5084" w:rsidP="00BE5084">
      <w:pPr>
        <w:jc w:val="center"/>
        <w:rPr>
          <w:rFonts w:cs="Arial"/>
          <w:b/>
          <w:sz w:val="48"/>
          <w:szCs w:val="48"/>
        </w:rPr>
      </w:pPr>
    </w:p>
    <w:p w14:paraId="55D1BDE3" w14:textId="77777777" w:rsidR="00BE5084" w:rsidRDefault="00BE5084" w:rsidP="00BE5084">
      <w:pPr>
        <w:jc w:val="center"/>
        <w:rPr>
          <w:rFonts w:cs="Arial"/>
          <w:b/>
          <w:sz w:val="48"/>
          <w:szCs w:val="48"/>
        </w:rPr>
      </w:pPr>
    </w:p>
    <w:p w14:paraId="6A6E7EAF" w14:textId="5B84D441" w:rsidR="00BE5084" w:rsidRDefault="00BE5084" w:rsidP="00BE5084">
      <w:pPr>
        <w:jc w:val="center"/>
        <w:rPr>
          <w:rFonts w:cs="Arial"/>
          <w:b/>
          <w:sz w:val="44"/>
          <w:szCs w:val="44"/>
        </w:rPr>
      </w:pPr>
      <w:r>
        <w:rPr>
          <w:rFonts w:cs="Arial"/>
          <w:b/>
          <w:sz w:val="44"/>
          <w:szCs w:val="44"/>
        </w:rPr>
        <w:t>Schedule 7</w:t>
      </w:r>
    </w:p>
    <w:p w14:paraId="2BFEFBE2" w14:textId="77777777" w:rsidR="00BE5084" w:rsidRDefault="00BE5084" w:rsidP="00BE5084">
      <w:pPr>
        <w:jc w:val="center"/>
        <w:rPr>
          <w:rFonts w:cs="Arial"/>
          <w:b/>
          <w:sz w:val="48"/>
          <w:szCs w:val="44"/>
        </w:rPr>
      </w:pPr>
    </w:p>
    <w:p w14:paraId="7011CDB0" w14:textId="77777777" w:rsidR="00BE5084" w:rsidRDefault="00BE5084" w:rsidP="00BE5084">
      <w:pPr>
        <w:jc w:val="center"/>
        <w:rPr>
          <w:rFonts w:cs="Arial"/>
          <w:b/>
          <w:sz w:val="48"/>
          <w:szCs w:val="44"/>
        </w:rPr>
      </w:pPr>
    </w:p>
    <w:p w14:paraId="760CC8CD" w14:textId="4D275634" w:rsidR="00BE5084" w:rsidRDefault="00BE5084" w:rsidP="00BE5084">
      <w:pPr>
        <w:jc w:val="center"/>
        <w:rPr>
          <w:rFonts w:cs="Arial"/>
          <w:b/>
          <w:sz w:val="44"/>
          <w:szCs w:val="44"/>
        </w:rPr>
      </w:pPr>
      <w:r>
        <w:rPr>
          <w:rFonts w:cs="Arial"/>
          <w:b/>
          <w:sz w:val="44"/>
          <w:szCs w:val="44"/>
        </w:rPr>
        <w:t>Charging &amp; Operational Pricing</w:t>
      </w:r>
    </w:p>
    <w:p w14:paraId="63806804" w14:textId="77777777" w:rsidR="00BE5084" w:rsidRDefault="00BE5084" w:rsidP="00BE5084">
      <w:pPr>
        <w:jc w:val="center"/>
        <w:rPr>
          <w:rFonts w:cs="Arial"/>
          <w:b/>
          <w:sz w:val="32"/>
          <w:szCs w:val="32"/>
        </w:rPr>
      </w:pPr>
    </w:p>
    <w:p w14:paraId="502351EB" w14:textId="77777777" w:rsidR="00BE5084" w:rsidRDefault="00BE5084" w:rsidP="00BE5084">
      <w:pPr>
        <w:jc w:val="center"/>
        <w:rPr>
          <w:rFonts w:cs="Arial"/>
          <w:b/>
          <w:sz w:val="32"/>
          <w:szCs w:val="32"/>
        </w:rPr>
      </w:pPr>
    </w:p>
    <w:p w14:paraId="760A96DC" w14:textId="77777777" w:rsidR="00BE5084" w:rsidRDefault="00BE5084" w:rsidP="00BE5084">
      <w:pPr>
        <w:jc w:val="center"/>
        <w:rPr>
          <w:rFonts w:cs="Arial"/>
          <w:b/>
          <w:sz w:val="32"/>
          <w:szCs w:val="32"/>
        </w:rPr>
      </w:pPr>
    </w:p>
    <w:p w14:paraId="0F4A64BE" w14:textId="77777777" w:rsidR="00BE5084" w:rsidRDefault="00BE5084" w:rsidP="00BE5084">
      <w:pPr>
        <w:jc w:val="center"/>
        <w:rPr>
          <w:rFonts w:cs="Arial"/>
          <w:b/>
          <w:sz w:val="32"/>
          <w:szCs w:val="32"/>
        </w:rPr>
      </w:pPr>
    </w:p>
    <w:p w14:paraId="34079960" w14:textId="77777777" w:rsidR="00BE5084" w:rsidRDefault="00BE5084" w:rsidP="00BE5084">
      <w:pPr>
        <w:jc w:val="center"/>
        <w:rPr>
          <w:rFonts w:cs="Arial"/>
          <w:b/>
          <w:i/>
          <w:sz w:val="32"/>
          <w:szCs w:val="32"/>
        </w:rPr>
      </w:pPr>
    </w:p>
    <w:p w14:paraId="2293D53D" w14:textId="77777777" w:rsidR="00BE5084" w:rsidRDefault="00BE5084" w:rsidP="00BE5084">
      <w:pPr>
        <w:jc w:val="center"/>
        <w:rPr>
          <w:rFonts w:cs="Arial"/>
          <w:b/>
          <w:i/>
          <w:sz w:val="16"/>
          <w:szCs w:val="16"/>
        </w:rPr>
      </w:pPr>
    </w:p>
    <w:p w14:paraId="1C684514" w14:textId="77777777" w:rsidR="00BE5084" w:rsidRDefault="00BE5084" w:rsidP="00BE5084">
      <w:pPr>
        <w:jc w:val="center"/>
        <w:rPr>
          <w:rFonts w:cs="Arial"/>
          <w:b/>
          <w:i/>
          <w:sz w:val="16"/>
          <w:szCs w:val="16"/>
        </w:rPr>
      </w:pPr>
    </w:p>
    <w:p w14:paraId="672EC16B" w14:textId="77777777" w:rsidR="00BE5084" w:rsidRDefault="00BE5084" w:rsidP="00BE5084">
      <w:pPr>
        <w:jc w:val="center"/>
        <w:rPr>
          <w:rFonts w:cs="Arial"/>
          <w:b/>
          <w:i/>
          <w:sz w:val="16"/>
          <w:szCs w:val="16"/>
        </w:rPr>
      </w:pPr>
    </w:p>
    <w:p w14:paraId="07BF05B5" w14:textId="77777777" w:rsidR="00BE5084" w:rsidRDefault="00BE5084" w:rsidP="00BE5084">
      <w:pPr>
        <w:jc w:val="center"/>
        <w:rPr>
          <w:rFonts w:cs="Arial"/>
          <w:b/>
          <w:i/>
          <w:sz w:val="16"/>
          <w:szCs w:val="16"/>
        </w:rPr>
      </w:pPr>
    </w:p>
    <w:p w14:paraId="464AB071" w14:textId="77777777" w:rsidR="00BE5084" w:rsidRDefault="00BE5084" w:rsidP="00BE5084">
      <w:pPr>
        <w:jc w:val="center"/>
        <w:rPr>
          <w:rFonts w:cs="Arial"/>
          <w:b/>
          <w:i/>
          <w:sz w:val="16"/>
          <w:szCs w:val="16"/>
        </w:rPr>
      </w:pPr>
    </w:p>
    <w:p w14:paraId="3A5FC807" w14:textId="77777777" w:rsidR="00BE5084" w:rsidRDefault="00BE5084" w:rsidP="00BE5084">
      <w:pPr>
        <w:jc w:val="center"/>
        <w:rPr>
          <w:rFonts w:cs="Arial"/>
          <w:b/>
          <w:i/>
          <w:sz w:val="16"/>
          <w:szCs w:val="16"/>
        </w:rPr>
      </w:pPr>
    </w:p>
    <w:p w14:paraId="07897A61" w14:textId="77777777" w:rsidR="00BE5084" w:rsidRDefault="00BE5084" w:rsidP="00BE5084">
      <w:pPr>
        <w:jc w:val="center"/>
        <w:rPr>
          <w:rFonts w:cs="Arial"/>
          <w:b/>
          <w:i/>
          <w:sz w:val="16"/>
          <w:szCs w:val="16"/>
        </w:rPr>
      </w:pPr>
    </w:p>
    <w:p w14:paraId="402899CE" w14:textId="77777777" w:rsidR="00BE5084" w:rsidRDefault="00BE5084" w:rsidP="00BE5084">
      <w:pPr>
        <w:pStyle w:val="ssPara1"/>
        <w:jc w:val="center"/>
        <w:rPr>
          <w:b/>
        </w:rPr>
      </w:pPr>
    </w:p>
    <w:p w14:paraId="70A14102" w14:textId="77777777" w:rsidR="00BE5084" w:rsidRDefault="00BE5084" w:rsidP="00BE5084">
      <w:pPr>
        <w:pStyle w:val="ssPara1"/>
        <w:jc w:val="center"/>
        <w:rPr>
          <w:b/>
        </w:rPr>
      </w:pPr>
    </w:p>
    <w:p w14:paraId="7547ED5F" w14:textId="77777777" w:rsidR="00BE5084" w:rsidRDefault="00BE5084" w:rsidP="00BE5084">
      <w:pPr>
        <w:pStyle w:val="ssPara1"/>
        <w:jc w:val="center"/>
        <w:rPr>
          <w:b/>
        </w:rPr>
      </w:pPr>
    </w:p>
    <w:p w14:paraId="636A5B42" w14:textId="77777777" w:rsidR="00BE5084" w:rsidRDefault="00BE5084" w:rsidP="00BE5084">
      <w:pPr>
        <w:pStyle w:val="ssPara1"/>
        <w:jc w:val="center"/>
        <w:rPr>
          <w:b/>
        </w:rPr>
      </w:pPr>
    </w:p>
    <w:p w14:paraId="023BD5A9" w14:textId="77777777" w:rsidR="00BE5084" w:rsidRDefault="00BE5084" w:rsidP="00BE5084">
      <w:pPr>
        <w:pStyle w:val="ssPara1"/>
        <w:jc w:val="center"/>
        <w:rPr>
          <w:b/>
        </w:rPr>
      </w:pPr>
    </w:p>
    <w:p w14:paraId="4C807056" w14:textId="77777777" w:rsidR="00BE5084" w:rsidRDefault="00BE5084" w:rsidP="00BE5084">
      <w:pPr>
        <w:pStyle w:val="ssPara1"/>
        <w:jc w:val="center"/>
        <w:rPr>
          <w:b/>
        </w:rPr>
      </w:pPr>
    </w:p>
    <w:p w14:paraId="6D9C76E6" w14:textId="77777777" w:rsidR="005C57FB" w:rsidRDefault="005C57FB" w:rsidP="005C57FB">
      <w:pPr>
        <w:pStyle w:val="ssqSchedule"/>
        <w:numPr>
          <w:ilvl w:val="0"/>
          <w:numId w:val="0"/>
        </w:numPr>
      </w:pPr>
      <w:r>
        <w:lastRenderedPageBreak/>
        <w:t>SChedule 7</w:t>
      </w:r>
    </w:p>
    <w:p w14:paraId="6D9C76E7" w14:textId="77777777" w:rsidR="004E7099" w:rsidRPr="00A41A81" w:rsidRDefault="004E7099" w:rsidP="005C57FB">
      <w:pPr>
        <w:pStyle w:val="ssqSchedule"/>
        <w:numPr>
          <w:ilvl w:val="0"/>
          <w:numId w:val="0"/>
        </w:numPr>
      </w:pPr>
      <w:r>
        <w:t xml:space="preserve">Charging </w:t>
      </w:r>
      <w:r w:rsidR="00AF3180">
        <w:t>AND</w:t>
      </w:r>
      <w:r>
        <w:t xml:space="preserve"> Operational Pricing</w:t>
      </w:r>
    </w:p>
    <w:p w14:paraId="6D9C76E8" w14:textId="77777777" w:rsidR="004E7099" w:rsidRPr="005C57FB" w:rsidRDefault="004E7099" w:rsidP="00F20412">
      <w:pPr>
        <w:pStyle w:val="ssPara1"/>
        <w:rPr>
          <w:b/>
          <w:i/>
          <w:lang w:eastAsia="en-US"/>
        </w:rPr>
      </w:pPr>
      <w:r>
        <w:rPr>
          <w:lang w:eastAsia="en-US"/>
        </w:rPr>
        <w:t>This Schedule covers the following areas:</w:t>
      </w:r>
      <w:r w:rsidR="005C57FB">
        <w:rPr>
          <w:lang w:eastAsia="en-US"/>
        </w:rPr>
        <w:t xml:space="preserve"> </w:t>
      </w:r>
    </w:p>
    <w:p w14:paraId="6D9C76E9" w14:textId="77777777" w:rsidR="004E7099" w:rsidRPr="00933B9C" w:rsidRDefault="004E7099" w:rsidP="00F20412">
      <w:pPr>
        <w:pStyle w:val="ssPara1"/>
        <w:rPr>
          <w:b/>
          <w:lang w:eastAsia="en-US"/>
        </w:rPr>
      </w:pPr>
      <w:r w:rsidRPr="00933B9C">
        <w:rPr>
          <w:b/>
          <w:lang w:eastAsia="en-US"/>
        </w:rPr>
        <w:t xml:space="preserve">Part </w:t>
      </w:r>
      <w:r w:rsidR="00E35371">
        <w:rPr>
          <w:b/>
          <w:lang w:eastAsia="en-US"/>
        </w:rPr>
        <w:t>1</w:t>
      </w:r>
      <w:r w:rsidRPr="00933B9C">
        <w:rPr>
          <w:b/>
          <w:lang w:eastAsia="en-US"/>
        </w:rPr>
        <w:t xml:space="preserve"> - </w:t>
      </w:r>
      <w:r w:rsidR="00E35371">
        <w:rPr>
          <w:b/>
          <w:lang w:eastAsia="en-US"/>
        </w:rPr>
        <w:t>Preventative Maintenance a</w:t>
      </w:r>
      <w:r w:rsidR="00E35371" w:rsidRPr="00E35371">
        <w:rPr>
          <w:b/>
          <w:lang w:eastAsia="en-US"/>
        </w:rPr>
        <w:t>nd Fault Management Activities Payments</w:t>
      </w:r>
    </w:p>
    <w:p w14:paraId="6D9C76EA" w14:textId="77777777" w:rsidR="00DF70C7" w:rsidRDefault="004E7099">
      <w:pPr>
        <w:pStyle w:val="ssPara2"/>
        <w:numPr>
          <w:ilvl w:val="0"/>
          <w:numId w:val="22"/>
        </w:numPr>
        <w:ind w:left="426" w:hanging="426"/>
        <w:rPr>
          <w:lang w:eastAsia="en-US"/>
        </w:rPr>
      </w:pPr>
      <w:r>
        <w:t>Calculation of</w:t>
      </w:r>
      <w:r w:rsidR="00E35371">
        <w:t xml:space="preserve"> Total</w:t>
      </w:r>
      <w:r>
        <w:t xml:space="preserve"> Preventative</w:t>
      </w:r>
      <w:r w:rsidRPr="00B84BE2">
        <w:t xml:space="preserve"> Maintenance </w:t>
      </w:r>
      <w:r w:rsidR="00E35371">
        <w:t>Payment</w:t>
      </w:r>
    </w:p>
    <w:p w14:paraId="6D9C76EB" w14:textId="77777777" w:rsidR="00DF70C7" w:rsidRDefault="004E7099">
      <w:pPr>
        <w:pStyle w:val="ssPara2"/>
        <w:numPr>
          <w:ilvl w:val="0"/>
          <w:numId w:val="22"/>
        </w:numPr>
        <w:ind w:left="426" w:hanging="426"/>
        <w:rPr>
          <w:lang w:eastAsia="en-US"/>
        </w:rPr>
      </w:pPr>
      <w:r>
        <w:t xml:space="preserve">Calculation of </w:t>
      </w:r>
      <w:r w:rsidRPr="009B78D6">
        <w:t>Service Failure Abatement</w:t>
      </w:r>
    </w:p>
    <w:p w14:paraId="6D9C76EC" w14:textId="77777777" w:rsidR="00DF70C7" w:rsidRDefault="004E7099">
      <w:pPr>
        <w:pStyle w:val="ssPara2"/>
        <w:numPr>
          <w:ilvl w:val="0"/>
          <w:numId w:val="22"/>
        </w:numPr>
        <w:ind w:left="426" w:hanging="426"/>
        <w:rPr>
          <w:lang w:eastAsia="en-US"/>
        </w:rPr>
      </w:pPr>
      <w:r>
        <w:t>Calculation of Preventative Maintenance Abatement</w:t>
      </w:r>
    </w:p>
    <w:p w14:paraId="6D9C76ED" w14:textId="77777777" w:rsidR="00DF70C7" w:rsidRDefault="004E7099">
      <w:pPr>
        <w:pStyle w:val="ssPara2"/>
        <w:numPr>
          <w:ilvl w:val="0"/>
          <w:numId w:val="22"/>
        </w:numPr>
        <w:ind w:left="426" w:hanging="426"/>
        <w:rPr>
          <w:lang w:eastAsia="en-US"/>
        </w:rPr>
      </w:pPr>
      <w:r>
        <w:t>Adjustment Process</w:t>
      </w:r>
    </w:p>
    <w:p w14:paraId="6D9C76EE" w14:textId="77777777" w:rsidR="00DF70C7" w:rsidRDefault="004E7099">
      <w:pPr>
        <w:pStyle w:val="ssPara2"/>
        <w:numPr>
          <w:ilvl w:val="0"/>
          <w:numId w:val="22"/>
        </w:numPr>
        <w:ind w:left="426" w:hanging="426"/>
        <w:rPr>
          <w:lang w:eastAsia="en-US"/>
        </w:rPr>
      </w:pPr>
      <w:r>
        <w:rPr>
          <w:lang w:eastAsia="en-US"/>
        </w:rPr>
        <w:t>Process and Frequency of Invoicing</w:t>
      </w:r>
    </w:p>
    <w:p w14:paraId="6D9C76EF" w14:textId="77777777" w:rsidR="004E7099" w:rsidRPr="00933B9C" w:rsidRDefault="004E7099" w:rsidP="00F20412">
      <w:pPr>
        <w:pStyle w:val="ssPara1"/>
        <w:rPr>
          <w:b/>
          <w:lang w:eastAsia="en-US"/>
        </w:rPr>
      </w:pPr>
      <w:r w:rsidRPr="00933B9C">
        <w:rPr>
          <w:b/>
          <w:lang w:eastAsia="en-US"/>
        </w:rPr>
        <w:t xml:space="preserve">Part </w:t>
      </w:r>
      <w:r w:rsidR="00E35371">
        <w:rPr>
          <w:b/>
          <w:lang w:eastAsia="en-US"/>
        </w:rPr>
        <w:t>2</w:t>
      </w:r>
      <w:r w:rsidRPr="00933B9C">
        <w:rPr>
          <w:b/>
          <w:lang w:eastAsia="en-US"/>
        </w:rPr>
        <w:t xml:space="preserve"> - Capital Works Payments</w:t>
      </w:r>
    </w:p>
    <w:p w14:paraId="6D9C76F0" w14:textId="77777777" w:rsidR="00DF70C7" w:rsidRDefault="004E7099">
      <w:pPr>
        <w:pStyle w:val="ssPara2"/>
        <w:numPr>
          <w:ilvl w:val="0"/>
          <w:numId w:val="22"/>
        </w:numPr>
        <w:ind w:left="426" w:hanging="426"/>
      </w:pPr>
      <w:r>
        <w:t xml:space="preserve">Calculation of </w:t>
      </w:r>
      <w:r w:rsidR="00E35371">
        <w:t>Total Capital Works Payment</w:t>
      </w:r>
    </w:p>
    <w:p w14:paraId="6D9C76F1" w14:textId="77777777" w:rsidR="00DF70C7" w:rsidRDefault="004E7099">
      <w:pPr>
        <w:pStyle w:val="ssPara2"/>
        <w:numPr>
          <w:ilvl w:val="0"/>
          <w:numId w:val="22"/>
        </w:numPr>
        <w:ind w:left="426" w:hanging="426"/>
      </w:pPr>
      <w:r>
        <w:t>Calculation of Capital Works Abatement</w:t>
      </w:r>
      <w:r w:rsidRPr="004A0156">
        <w:t xml:space="preserve"> </w:t>
      </w:r>
    </w:p>
    <w:p w14:paraId="6D9C76F2" w14:textId="77777777" w:rsidR="00DF70C7" w:rsidRDefault="00E35371">
      <w:pPr>
        <w:pStyle w:val="ssPara2"/>
        <w:numPr>
          <w:ilvl w:val="0"/>
          <w:numId w:val="22"/>
        </w:numPr>
        <w:ind w:left="426" w:hanging="426"/>
        <w:rPr>
          <w:lang w:eastAsia="en-US"/>
        </w:rPr>
      </w:pPr>
      <w:r>
        <w:t>Adjustment Process</w:t>
      </w:r>
    </w:p>
    <w:p w14:paraId="6D9C76F3" w14:textId="77777777" w:rsidR="00DF70C7" w:rsidRDefault="004E7099">
      <w:pPr>
        <w:pStyle w:val="ssPara2"/>
        <w:numPr>
          <w:ilvl w:val="0"/>
          <w:numId w:val="22"/>
        </w:numPr>
        <w:ind w:left="426" w:hanging="426"/>
      </w:pPr>
      <w:r>
        <w:t>Process and Frequency of Invoicing</w:t>
      </w:r>
    </w:p>
    <w:p w14:paraId="6D9C76F4" w14:textId="77777777" w:rsidR="00DF70C7" w:rsidRDefault="00E35371">
      <w:pPr>
        <w:pStyle w:val="ssPara2"/>
        <w:numPr>
          <w:ilvl w:val="0"/>
          <w:numId w:val="22"/>
        </w:numPr>
        <w:ind w:left="426" w:hanging="426"/>
      </w:pPr>
      <w:r>
        <w:t>Equipment and Materials Supply</w:t>
      </w:r>
    </w:p>
    <w:p w14:paraId="6D9C76F5" w14:textId="77777777" w:rsidR="00DF70C7" w:rsidRDefault="00E35371">
      <w:pPr>
        <w:pStyle w:val="ssPara2"/>
        <w:numPr>
          <w:ilvl w:val="0"/>
          <w:numId w:val="22"/>
        </w:numPr>
        <w:ind w:left="426" w:hanging="426"/>
      </w:pPr>
      <w:r>
        <w:t>Supply of Services</w:t>
      </w:r>
    </w:p>
    <w:p w14:paraId="6D9C76F6" w14:textId="77777777" w:rsidR="00DF70C7" w:rsidRDefault="00E35371">
      <w:pPr>
        <w:pStyle w:val="ssPara2"/>
        <w:numPr>
          <w:ilvl w:val="0"/>
          <w:numId w:val="22"/>
        </w:numPr>
        <w:ind w:left="426" w:hanging="426"/>
      </w:pPr>
      <w:r>
        <w:t>Traffic Management for Capital Works</w:t>
      </w:r>
    </w:p>
    <w:p w14:paraId="6D9C76F7" w14:textId="77777777" w:rsidR="00DF70C7" w:rsidRDefault="00E35371">
      <w:pPr>
        <w:pStyle w:val="ssPara2"/>
        <w:numPr>
          <w:ilvl w:val="0"/>
          <w:numId w:val="22"/>
        </w:numPr>
        <w:ind w:left="426" w:hanging="426"/>
      </w:pPr>
      <w:r>
        <w:t>Payment Retention</w:t>
      </w:r>
    </w:p>
    <w:p w14:paraId="6D9C76F8" w14:textId="77777777" w:rsidR="004E7099" w:rsidRPr="00933B9C" w:rsidRDefault="004E7099" w:rsidP="00F20412">
      <w:pPr>
        <w:pStyle w:val="ssPara1"/>
        <w:rPr>
          <w:b/>
          <w:lang w:eastAsia="en-US"/>
        </w:rPr>
      </w:pPr>
      <w:r w:rsidRPr="00933B9C">
        <w:rPr>
          <w:b/>
          <w:lang w:eastAsia="en-US"/>
        </w:rPr>
        <w:t xml:space="preserve">Part </w:t>
      </w:r>
      <w:r w:rsidR="00E35371">
        <w:rPr>
          <w:b/>
          <w:lang w:eastAsia="en-US"/>
        </w:rPr>
        <w:t>3</w:t>
      </w:r>
      <w:r w:rsidRPr="00933B9C">
        <w:rPr>
          <w:b/>
          <w:lang w:eastAsia="en-US"/>
        </w:rPr>
        <w:t xml:space="preserve"> - General</w:t>
      </w:r>
    </w:p>
    <w:p w14:paraId="6D9C76F9" w14:textId="77777777" w:rsidR="00DF70C7" w:rsidRDefault="00E35371">
      <w:pPr>
        <w:pStyle w:val="ssPara2"/>
        <w:numPr>
          <w:ilvl w:val="0"/>
          <w:numId w:val="22"/>
        </w:numPr>
        <w:ind w:left="426" w:hanging="426"/>
        <w:rPr>
          <w:lang w:eastAsia="en-US"/>
        </w:rPr>
      </w:pPr>
      <w:r>
        <w:rPr>
          <w:lang w:eastAsia="en-US"/>
        </w:rPr>
        <w:t>Milestone Payments</w:t>
      </w:r>
    </w:p>
    <w:p w14:paraId="6D9C76FA" w14:textId="77777777" w:rsidR="00DF70C7" w:rsidRDefault="009C30EC">
      <w:pPr>
        <w:pStyle w:val="ssPara2"/>
        <w:numPr>
          <w:ilvl w:val="0"/>
          <w:numId w:val="22"/>
        </w:numPr>
        <w:ind w:left="426" w:hanging="426"/>
        <w:rPr>
          <w:lang w:eastAsia="en-US"/>
        </w:rPr>
      </w:pPr>
      <w:r>
        <w:rPr>
          <w:lang w:eastAsia="en-US"/>
        </w:rPr>
        <w:t>TUPE True-Up</w:t>
      </w:r>
    </w:p>
    <w:p w14:paraId="6D9C76FB" w14:textId="77777777" w:rsidR="00DF70C7" w:rsidRDefault="004E7099">
      <w:pPr>
        <w:pStyle w:val="ssPara2"/>
        <w:numPr>
          <w:ilvl w:val="0"/>
          <w:numId w:val="22"/>
        </w:numPr>
        <w:ind w:left="426" w:hanging="426"/>
        <w:rPr>
          <w:lang w:eastAsia="en-US"/>
        </w:rPr>
      </w:pPr>
      <w:r>
        <w:t>Application</w:t>
      </w:r>
      <w:r>
        <w:rPr>
          <w:lang w:eastAsia="en-US"/>
        </w:rPr>
        <w:t xml:space="preserve"> of </w:t>
      </w:r>
      <w:r w:rsidR="00E64FF8">
        <w:rPr>
          <w:lang w:eastAsia="en-US"/>
        </w:rPr>
        <w:t>Annual</w:t>
      </w:r>
      <w:r>
        <w:rPr>
          <w:lang w:eastAsia="en-US"/>
        </w:rPr>
        <w:t xml:space="preserve"> Indexation</w:t>
      </w:r>
    </w:p>
    <w:p w14:paraId="6D9C76FC" w14:textId="77777777" w:rsidR="004E7099" w:rsidRPr="00933B9C" w:rsidRDefault="004E7099" w:rsidP="00F20412">
      <w:pPr>
        <w:pStyle w:val="ssPara1"/>
        <w:rPr>
          <w:b/>
          <w:lang w:eastAsia="en-US"/>
        </w:rPr>
      </w:pPr>
      <w:r w:rsidRPr="00933B9C">
        <w:rPr>
          <w:b/>
          <w:lang w:eastAsia="en-US"/>
        </w:rPr>
        <w:t xml:space="preserve">Part </w:t>
      </w:r>
      <w:r w:rsidR="00E35371">
        <w:rPr>
          <w:b/>
          <w:lang w:eastAsia="en-US"/>
        </w:rPr>
        <w:t>4</w:t>
      </w:r>
      <w:r w:rsidRPr="00933B9C">
        <w:rPr>
          <w:b/>
          <w:lang w:eastAsia="en-US"/>
        </w:rPr>
        <w:t xml:space="preserve"> – Invoices</w:t>
      </w:r>
    </w:p>
    <w:p w14:paraId="6D9C76FD" w14:textId="77777777" w:rsidR="00DF70C7" w:rsidRDefault="004E7099">
      <w:pPr>
        <w:pStyle w:val="ssPara2"/>
        <w:numPr>
          <w:ilvl w:val="0"/>
          <w:numId w:val="22"/>
        </w:numPr>
        <w:ind w:left="426" w:hanging="426"/>
        <w:rPr>
          <w:lang w:eastAsia="en-US"/>
        </w:rPr>
      </w:pPr>
      <w:r>
        <w:t>Issuing</w:t>
      </w:r>
      <w:r>
        <w:rPr>
          <w:lang w:eastAsia="en-US"/>
        </w:rPr>
        <w:t xml:space="preserve"> Invoices</w:t>
      </w:r>
    </w:p>
    <w:p w14:paraId="6D9C76FE" w14:textId="77777777" w:rsidR="004E7099" w:rsidRPr="008F270D" w:rsidRDefault="004E7099" w:rsidP="00F20412">
      <w:pPr>
        <w:pStyle w:val="ssqPart"/>
        <w:tabs>
          <w:tab w:val="clear" w:pos="360"/>
        </w:tabs>
      </w:pPr>
      <w:r>
        <w:br w:type="page"/>
      </w:r>
      <w:r>
        <w:lastRenderedPageBreak/>
        <w:t xml:space="preserve"> : </w:t>
      </w:r>
      <w:r w:rsidRPr="008F270D">
        <w:t>Preventative Maintenance and Fault Management Activities Payments</w:t>
      </w:r>
    </w:p>
    <w:p w14:paraId="6D9C76FF" w14:textId="77777777" w:rsidR="004E7099" w:rsidRDefault="004E7099" w:rsidP="00F20412">
      <w:pPr>
        <w:pStyle w:val="Heading1"/>
        <w:numPr>
          <w:ilvl w:val="1"/>
          <w:numId w:val="14"/>
        </w:numPr>
      </w:pPr>
      <w:bookmarkStart w:id="0" w:name="_Ref402161319"/>
      <w:r w:rsidRPr="000D127D">
        <w:t>Total</w:t>
      </w:r>
      <w:r>
        <w:t xml:space="preserve"> Preventative </w:t>
      </w:r>
      <w:r w:rsidRPr="000D127D">
        <w:t>Maintenance Payment</w:t>
      </w:r>
      <w:r>
        <w:t xml:space="preserve"> (T</w:t>
      </w:r>
      <w:r w:rsidR="005B5368">
        <w:t>P</w:t>
      </w:r>
      <w:r>
        <w:t>MP)</w:t>
      </w:r>
      <w:bookmarkEnd w:id="0"/>
    </w:p>
    <w:p w14:paraId="6D9C7700" w14:textId="77777777" w:rsidR="004E7099" w:rsidRDefault="004E7099" w:rsidP="00F20412">
      <w:pPr>
        <w:pStyle w:val="ssNoHeading2"/>
      </w:pPr>
      <w:r>
        <w:t>TfL</w:t>
      </w:r>
      <w:r w:rsidRPr="00255BB4">
        <w:t xml:space="preserve"> shall pay the </w:t>
      </w:r>
      <w:r>
        <w:t>Service Provider</w:t>
      </w:r>
      <w:r w:rsidRPr="00255BB4">
        <w:t xml:space="preserve"> </w:t>
      </w:r>
      <w:r w:rsidR="00E929E8">
        <w:t>the Total Preventative Maintenance Payment (“</w:t>
      </w:r>
      <w:r w:rsidR="00E929E8" w:rsidRPr="005B5368">
        <w:rPr>
          <w:b/>
        </w:rPr>
        <w:t>TPMP</w:t>
      </w:r>
      <w:r w:rsidR="00E929E8">
        <w:t xml:space="preserve">”) pursuant to </w:t>
      </w:r>
      <w:r w:rsidR="008E1316">
        <w:t>t</w:t>
      </w:r>
      <w:r w:rsidR="00E929E8">
        <w:t xml:space="preserve">his paragraph </w:t>
      </w:r>
      <w:r w:rsidR="008F5AB6">
        <w:fldChar w:fldCharType="begin"/>
      </w:r>
      <w:r w:rsidR="002D2034">
        <w:instrText xml:space="preserve"> REF _Ref402161319 \r \h </w:instrText>
      </w:r>
      <w:r w:rsidR="008F5AB6">
        <w:fldChar w:fldCharType="separate"/>
      </w:r>
      <w:r w:rsidR="00F342D7">
        <w:t>1</w:t>
      </w:r>
      <w:r w:rsidR="008F5AB6">
        <w:fldChar w:fldCharType="end"/>
      </w:r>
      <w:r w:rsidR="00E929E8">
        <w:t xml:space="preserve"> </w:t>
      </w:r>
      <w:r w:rsidRPr="00255BB4">
        <w:t xml:space="preserve">for all </w:t>
      </w:r>
      <w:r>
        <w:t xml:space="preserve">Preventative </w:t>
      </w:r>
      <w:r w:rsidRPr="00E54259">
        <w:t>Maintenance</w:t>
      </w:r>
      <w:r w:rsidRPr="00255BB4">
        <w:t xml:space="preserve"> carried out in </w:t>
      </w:r>
      <w:r>
        <w:t xml:space="preserve">a given Reporting Period </w:t>
      </w:r>
      <w:r w:rsidR="00E64FF8">
        <w:t xml:space="preserve">during the Operational Phase </w:t>
      </w:r>
      <w:r>
        <w:t xml:space="preserve">as detailed in Annex </w:t>
      </w:r>
      <w:r w:rsidR="00596268">
        <w:t>3</w:t>
      </w:r>
      <w:r>
        <w:t xml:space="preserve"> (</w:t>
      </w:r>
      <w:r w:rsidRPr="00675185">
        <w:rPr>
          <w:i/>
        </w:rPr>
        <w:t>Financial Period Calendar</w:t>
      </w:r>
      <w:r w:rsidR="00AD662A">
        <w:t>) to this Schedule</w:t>
      </w:r>
      <w:r w:rsidR="00F415C0">
        <w:t>,</w:t>
      </w:r>
      <w:r w:rsidR="00AD662A">
        <w:t xml:space="preserve"> </w:t>
      </w:r>
      <w:r>
        <w:t xml:space="preserve">adjusted for any Abatements and/or </w:t>
      </w:r>
      <w:r w:rsidR="004B519C">
        <w:t>Adjustments</w:t>
      </w:r>
      <w:r>
        <w:t xml:space="preserve">: </w:t>
      </w:r>
    </w:p>
    <w:tbl>
      <w:tblPr>
        <w:tblW w:w="5324" w:type="pct"/>
        <w:tblLayout w:type="fixed"/>
        <w:tblLook w:val="04A0" w:firstRow="1" w:lastRow="0" w:firstColumn="1" w:lastColumn="0" w:noHBand="0" w:noVBand="1"/>
      </w:tblPr>
      <w:tblGrid>
        <w:gridCol w:w="3228"/>
        <w:gridCol w:w="6661"/>
      </w:tblGrid>
      <w:tr w:rsidR="007F213B" w:rsidRPr="00562F79" w14:paraId="6D9C7704" w14:textId="77777777" w:rsidTr="00CD4461">
        <w:trPr>
          <w:trHeight w:val="390"/>
        </w:trPr>
        <w:tc>
          <w:tcPr>
            <w:tcW w:w="1632" w:type="pct"/>
            <w:vMerge w:val="restart"/>
            <w:tcBorders>
              <w:top w:val="single" w:sz="4" w:space="0" w:color="auto"/>
              <w:left w:val="single" w:sz="4" w:space="0" w:color="auto"/>
              <w:right w:val="single" w:sz="4" w:space="0" w:color="auto"/>
            </w:tcBorders>
            <w:shd w:val="clear" w:color="000000" w:fill="FFFFFF"/>
            <w:noWrap/>
            <w:vAlign w:val="center"/>
            <w:hideMark/>
          </w:tcPr>
          <w:p w14:paraId="6D9C7701" w14:textId="77777777" w:rsidR="007F213B" w:rsidRDefault="007F213B" w:rsidP="00CD4461">
            <w:pPr>
              <w:jc w:val="center"/>
              <w:outlineLvl w:val="0"/>
              <w:rPr>
                <w:rFonts w:ascii="Cambria" w:hAnsi="Cambria" w:cs="Arial"/>
                <w:i/>
                <w:iCs/>
                <w:color w:val="000000"/>
                <w:szCs w:val="24"/>
              </w:rPr>
            </w:pPr>
            <w:r w:rsidRPr="00562F79">
              <w:rPr>
                <w:rFonts w:ascii="Cambria" w:hAnsi="Cambria" w:cs="Arial"/>
                <w:i/>
                <w:iCs/>
                <w:color w:val="000000"/>
                <w:szCs w:val="24"/>
              </w:rPr>
              <w:t xml:space="preserve">Total </w:t>
            </w:r>
            <w:r>
              <w:rPr>
                <w:rFonts w:ascii="Cambria" w:hAnsi="Cambria" w:cs="Arial"/>
                <w:i/>
                <w:iCs/>
                <w:color w:val="000000"/>
                <w:szCs w:val="24"/>
              </w:rPr>
              <w:t xml:space="preserve">Preventative </w:t>
            </w:r>
            <w:r w:rsidRPr="00562F79">
              <w:rPr>
                <w:rFonts w:ascii="Cambria" w:hAnsi="Cambria" w:cs="Arial"/>
                <w:i/>
                <w:iCs/>
                <w:color w:val="000000"/>
                <w:szCs w:val="24"/>
              </w:rPr>
              <w:t>Maintenance Payment</w:t>
            </w:r>
            <w:r>
              <w:rPr>
                <w:rFonts w:ascii="Cambria" w:hAnsi="Cambria" w:cs="Arial"/>
                <w:i/>
                <w:iCs/>
                <w:color w:val="000000"/>
                <w:szCs w:val="24"/>
              </w:rPr>
              <w:t xml:space="preserve"> =</w:t>
            </w:r>
          </w:p>
          <w:p w14:paraId="6D9C7702" w14:textId="77777777" w:rsidR="007F213B" w:rsidRPr="00562F79" w:rsidRDefault="007F213B" w:rsidP="00CD4461">
            <w:pPr>
              <w:jc w:val="center"/>
              <w:outlineLvl w:val="0"/>
              <w:rPr>
                <w:rFonts w:ascii="Cambria" w:hAnsi="Cambria" w:cs="Arial"/>
                <w:i/>
                <w:iCs/>
                <w:color w:val="000000"/>
                <w:szCs w:val="24"/>
              </w:rPr>
            </w:pPr>
            <w:r w:rsidRPr="00562F79">
              <w:rPr>
                <w:rFonts w:ascii="Cambria" w:hAnsi="Cambria" w:cs="Arial"/>
                <w:i/>
                <w:iCs/>
                <w:color w:val="000000"/>
                <w:szCs w:val="24"/>
              </w:rPr>
              <w:t>(T</w:t>
            </w:r>
            <w:r>
              <w:rPr>
                <w:rFonts w:ascii="Cambria" w:hAnsi="Cambria" w:cs="Arial"/>
                <w:i/>
                <w:iCs/>
                <w:color w:val="000000"/>
                <w:szCs w:val="24"/>
              </w:rPr>
              <w:t>P</w:t>
            </w:r>
            <w:r w:rsidRPr="00562F79">
              <w:rPr>
                <w:rFonts w:ascii="Cambria" w:hAnsi="Cambria" w:cs="Arial"/>
                <w:i/>
                <w:iCs/>
                <w:color w:val="000000"/>
                <w:szCs w:val="24"/>
              </w:rPr>
              <w:t>MP)</w:t>
            </w:r>
          </w:p>
        </w:tc>
        <w:tc>
          <w:tcPr>
            <w:tcW w:w="3368" w:type="pct"/>
            <w:tcBorders>
              <w:top w:val="single" w:sz="4" w:space="0" w:color="auto"/>
              <w:left w:val="nil"/>
              <w:bottom w:val="single" w:sz="4" w:space="0" w:color="auto"/>
              <w:right w:val="single" w:sz="4" w:space="0" w:color="auto"/>
            </w:tcBorders>
            <w:shd w:val="clear" w:color="000000" w:fill="FFFFFF"/>
            <w:noWrap/>
            <w:vAlign w:val="center"/>
            <w:hideMark/>
          </w:tcPr>
          <w:p w14:paraId="6D9C7703" w14:textId="77777777" w:rsidR="007F213B" w:rsidRPr="00562F79" w:rsidRDefault="007F213B" w:rsidP="008C3D60">
            <w:pPr>
              <w:jc w:val="left"/>
              <w:outlineLvl w:val="0"/>
              <w:rPr>
                <w:rFonts w:ascii="Cambria" w:hAnsi="Cambria" w:cs="Arial"/>
                <w:i/>
                <w:iCs/>
                <w:color w:val="000000"/>
                <w:szCs w:val="24"/>
              </w:rPr>
            </w:pPr>
            <w:r>
              <w:rPr>
                <w:rFonts w:ascii="Cambria" w:hAnsi="Cambria" w:cs="Arial"/>
                <w:i/>
                <w:iCs/>
                <w:color w:val="000000"/>
                <w:szCs w:val="24"/>
              </w:rPr>
              <w:t xml:space="preserve">Preventative </w:t>
            </w:r>
            <w:r w:rsidRPr="00562F79">
              <w:rPr>
                <w:rFonts w:ascii="Cambria" w:hAnsi="Cambria" w:cs="Arial"/>
                <w:i/>
                <w:iCs/>
                <w:color w:val="000000"/>
                <w:szCs w:val="24"/>
              </w:rPr>
              <w:t>Maintenance Paymen</w:t>
            </w:r>
            <w:r>
              <w:rPr>
                <w:rFonts w:ascii="Cambria" w:hAnsi="Cambria" w:cs="Arial"/>
                <w:i/>
                <w:iCs/>
                <w:color w:val="000000"/>
                <w:szCs w:val="24"/>
              </w:rPr>
              <w:t>t (P</w:t>
            </w:r>
            <w:r w:rsidRPr="00562F79">
              <w:rPr>
                <w:rFonts w:ascii="Cambria" w:hAnsi="Cambria" w:cs="Arial"/>
                <w:i/>
                <w:iCs/>
                <w:color w:val="000000"/>
                <w:szCs w:val="24"/>
              </w:rPr>
              <w:t>M</w:t>
            </w:r>
            <w:r>
              <w:rPr>
                <w:rFonts w:ascii="Cambria" w:hAnsi="Cambria" w:cs="Arial"/>
                <w:i/>
                <w:iCs/>
                <w:color w:val="000000"/>
                <w:szCs w:val="24"/>
              </w:rPr>
              <w:t>P</w:t>
            </w:r>
            <w:r w:rsidRPr="00562F79">
              <w:rPr>
                <w:rFonts w:ascii="Cambria" w:hAnsi="Cambria" w:cs="Arial"/>
                <w:i/>
                <w:iCs/>
                <w:color w:val="000000"/>
                <w:szCs w:val="24"/>
              </w:rPr>
              <w:t>)</w:t>
            </w:r>
          </w:p>
        </w:tc>
      </w:tr>
      <w:tr w:rsidR="007F213B" w:rsidRPr="00562F79" w14:paraId="6D9C7707" w14:textId="77777777" w:rsidTr="00CD4461">
        <w:trPr>
          <w:trHeight w:val="390"/>
        </w:trPr>
        <w:tc>
          <w:tcPr>
            <w:tcW w:w="1632" w:type="pct"/>
            <w:vMerge/>
            <w:tcBorders>
              <w:left w:val="single" w:sz="4" w:space="0" w:color="auto"/>
              <w:right w:val="single" w:sz="4" w:space="0" w:color="auto"/>
            </w:tcBorders>
            <w:vAlign w:val="center"/>
            <w:hideMark/>
          </w:tcPr>
          <w:p w14:paraId="6D9C7705" w14:textId="77777777" w:rsidR="007F213B" w:rsidRPr="00562F79" w:rsidRDefault="007F213B" w:rsidP="008C3D60">
            <w:pPr>
              <w:jc w:val="left"/>
              <w:rPr>
                <w:rFonts w:ascii="Cambria" w:hAnsi="Cambria" w:cs="Arial"/>
                <w:i/>
                <w:iCs/>
                <w:color w:val="000000"/>
                <w:szCs w:val="24"/>
              </w:rPr>
            </w:pPr>
          </w:p>
        </w:tc>
        <w:tc>
          <w:tcPr>
            <w:tcW w:w="3368" w:type="pct"/>
            <w:tcBorders>
              <w:top w:val="nil"/>
              <w:left w:val="nil"/>
              <w:bottom w:val="single" w:sz="4" w:space="0" w:color="auto"/>
              <w:right w:val="single" w:sz="4" w:space="0" w:color="auto"/>
            </w:tcBorders>
            <w:shd w:val="clear" w:color="000000" w:fill="FFFFFF"/>
            <w:noWrap/>
            <w:vAlign w:val="center"/>
          </w:tcPr>
          <w:p w14:paraId="6D9C7706" w14:textId="77777777" w:rsidR="007F213B" w:rsidRPr="00562F79" w:rsidRDefault="007F213B" w:rsidP="008C3D60">
            <w:pPr>
              <w:jc w:val="left"/>
              <w:outlineLvl w:val="0"/>
              <w:rPr>
                <w:rFonts w:ascii="Cambria" w:hAnsi="Cambria" w:cs="Arial"/>
                <w:i/>
                <w:iCs/>
                <w:color w:val="000000"/>
                <w:szCs w:val="24"/>
              </w:rPr>
            </w:pPr>
            <w:r w:rsidRPr="00562F79">
              <w:rPr>
                <w:rFonts w:ascii="Cambria" w:hAnsi="Cambria" w:cs="Arial"/>
                <w:i/>
                <w:iCs/>
                <w:color w:val="000000"/>
                <w:szCs w:val="24"/>
              </w:rPr>
              <w:t xml:space="preserve">   </w:t>
            </w:r>
            <w:r>
              <w:rPr>
                <w:rFonts w:ascii="Cambria" w:hAnsi="Cambria" w:cs="Arial"/>
                <w:i/>
                <w:iCs/>
                <w:color w:val="000000"/>
                <w:szCs w:val="24"/>
              </w:rPr>
              <w:t xml:space="preserve">Plus/Less        PMP </w:t>
            </w:r>
            <w:r w:rsidRPr="00A41A81">
              <w:rPr>
                <w:rFonts w:ascii="Cambria" w:hAnsi="Cambria" w:cs="Arial"/>
                <w:i/>
                <w:iCs/>
                <w:color w:val="000000"/>
                <w:szCs w:val="24"/>
              </w:rPr>
              <w:t>Adjustments</w:t>
            </w:r>
          </w:p>
        </w:tc>
      </w:tr>
      <w:tr w:rsidR="007F213B" w:rsidRPr="00562F79" w14:paraId="6D9C770A" w14:textId="77777777" w:rsidTr="00CD4461">
        <w:trPr>
          <w:trHeight w:val="390"/>
        </w:trPr>
        <w:tc>
          <w:tcPr>
            <w:tcW w:w="1632" w:type="pct"/>
            <w:vMerge/>
            <w:tcBorders>
              <w:left w:val="single" w:sz="4" w:space="0" w:color="auto"/>
              <w:right w:val="single" w:sz="4" w:space="0" w:color="auto"/>
            </w:tcBorders>
            <w:vAlign w:val="center"/>
            <w:hideMark/>
          </w:tcPr>
          <w:p w14:paraId="6D9C7708" w14:textId="77777777" w:rsidR="007F213B" w:rsidRPr="00562F79" w:rsidRDefault="007F213B" w:rsidP="008C3D60">
            <w:pPr>
              <w:jc w:val="left"/>
              <w:rPr>
                <w:rFonts w:ascii="Cambria" w:hAnsi="Cambria" w:cs="Arial"/>
                <w:i/>
                <w:iCs/>
                <w:color w:val="000000"/>
                <w:szCs w:val="24"/>
              </w:rPr>
            </w:pPr>
          </w:p>
        </w:tc>
        <w:tc>
          <w:tcPr>
            <w:tcW w:w="3368" w:type="pct"/>
            <w:tcBorders>
              <w:top w:val="nil"/>
              <w:left w:val="nil"/>
              <w:bottom w:val="single" w:sz="4" w:space="0" w:color="auto"/>
              <w:right w:val="single" w:sz="4" w:space="0" w:color="auto"/>
            </w:tcBorders>
            <w:shd w:val="clear" w:color="000000" w:fill="FFFFFF"/>
            <w:noWrap/>
            <w:vAlign w:val="center"/>
          </w:tcPr>
          <w:p w14:paraId="6D9C7709" w14:textId="77777777" w:rsidR="007F213B" w:rsidRPr="00562F79" w:rsidRDefault="007F213B" w:rsidP="008C3D60">
            <w:pPr>
              <w:jc w:val="left"/>
              <w:outlineLvl w:val="0"/>
              <w:rPr>
                <w:rFonts w:ascii="Cambria" w:hAnsi="Cambria" w:cs="Arial"/>
                <w:i/>
                <w:iCs/>
                <w:color w:val="000000"/>
                <w:szCs w:val="24"/>
              </w:rPr>
            </w:pPr>
            <w:r>
              <w:rPr>
                <w:rFonts w:ascii="Cambria" w:hAnsi="Cambria" w:cs="Arial"/>
                <w:i/>
                <w:iCs/>
                <w:color w:val="000000"/>
                <w:szCs w:val="24"/>
              </w:rPr>
              <w:t xml:space="preserve">   Less                 </w:t>
            </w:r>
            <w:r w:rsidRPr="00562F79">
              <w:rPr>
                <w:rFonts w:ascii="Cambria" w:hAnsi="Cambria" w:cs="Arial"/>
                <w:i/>
                <w:iCs/>
                <w:color w:val="000000"/>
                <w:szCs w:val="24"/>
              </w:rPr>
              <w:t>Service Failure Abatements (SFA)</w:t>
            </w:r>
          </w:p>
        </w:tc>
      </w:tr>
      <w:tr w:rsidR="007F213B" w:rsidRPr="00562F79" w14:paraId="6D9C770D" w14:textId="77777777" w:rsidTr="00CD4461">
        <w:trPr>
          <w:trHeight w:val="390"/>
        </w:trPr>
        <w:tc>
          <w:tcPr>
            <w:tcW w:w="1632" w:type="pct"/>
            <w:vMerge/>
            <w:tcBorders>
              <w:left w:val="single" w:sz="4" w:space="0" w:color="auto"/>
              <w:right w:val="single" w:sz="4" w:space="0" w:color="auto"/>
            </w:tcBorders>
            <w:vAlign w:val="center"/>
            <w:hideMark/>
          </w:tcPr>
          <w:p w14:paraId="6D9C770B" w14:textId="77777777" w:rsidR="007F213B" w:rsidRPr="00562F79" w:rsidRDefault="007F213B" w:rsidP="008C3D60">
            <w:pPr>
              <w:jc w:val="left"/>
              <w:rPr>
                <w:rFonts w:ascii="Cambria" w:hAnsi="Cambria" w:cs="Arial"/>
                <w:i/>
                <w:iCs/>
                <w:color w:val="000000"/>
                <w:szCs w:val="24"/>
              </w:rPr>
            </w:pPr>
          </w:p>
        </w:tc>
        <w:tc>
          <w:tcPr>
            <w:tcW w:w="3368" w:type="pct"/>
            <w:tcBorders>
              <w:top w:val="nil"/>
              <w:left w:val="nil"/>
              <w:bottom w:val="single" w:sz="4" w:space="0" w:color="auto"/>
              <w:right w:val="single" w:sz="4" w:space="0" w:color="auto"/>
            </w:tcBorders>
            <w:shd w:val="clear" w:color="000000" w:fill="FFFFFF"/>
            <w:noWrap/>
            <w:vAlign w:val="center"/>
          </w:tcPr>
          <w:p w14:paraId="6D9C770C" w14:textId="77777777" w:rsidR="007F213B" w:rsidRPr="00562F79" w:rsidRDefault="007F213B" w:rsidP="008C3D60">
            <w:pPr>
              <w:jc w:val="left"/>
              <w:outlineLvl w:val="0"/>
              <w:rPr>
                <w:rFonts w:ascii="Cambria" w:hAnsi="Cambria" w:cs="Arial"/>
                <w:i/>
                <w:iCs/>
                <w:color w:val="000000"/>
                <w:szCs w:val="24"/>
              </w:rPr>
            </w:pPr>
            <w:r w:rsidRPr="00562F79">
              <w:rPr>
                <w:rFonts w:ascii="Cambria" w:hAnsi="Cambria" w:cs="Arial"/>
                <w:i/>
                <w:iCs/>
                <w:color w:val="000000"/>
                <w:szCs w:val="24"/>
              </w:rPr>
              <w:t xml:space="preserve">   </w:t>
            </w:r>
            <w:r>
              <w:rPr>
                <w:rFonts w:ascii="Cambria" w:hAnsi="Cambria" w:cs="Arial"/>
                <w:i/>
                <w:iCs/>
                <w:color w:val="000000"/>
                <w:szCs w:val="24"/>
              </w:rPr>
              <w:t xml:space="preserve">Less                 </w:t>
            </w:r>
            <w:r w:rsidRPr="00562F79">
              <w:rPr>
                <w:rFonts w:ascii="Cambria" w:hAnsi="Cambria" w:cs="Arial"/>
                <w:i/>
                <w:iCs/>
                <w:color w:val="000000"/>
                <w:szCs w:val="24"/>
              </w:rPr>
              <w:t>Preventative Maintenance Abatements (PMA)</w:t>
            </w:r>
          </w:p>
        </w:tc>
      </w:tr>
      <w:tr w:rsidR="007F213B" w:rsidRPr="00562F79" w14:paraId="6D9C7710" w14:textId="77777777" w:rsidTr="00CD4461">
        <w:trPr>
          <w:trHeight w:val="390"/>
        </w:trPr>
        <w:tc>
          <w:tcPr>
            <w:tcW w:w="1632" w:type="pct"/>
            <w:vMerge/>
            <w:tcBorders>
              <w:left w:val="single" w:sz="4" w:space="0" w:color="auto"/>
              <w:bottom w:val="single" w:sz="4" w:space="0" w:color="auto"/>
              <w:right w:val="single" w:sz="4" w:space="0" w:color="auto"/>
            </w:tcBorders>
            <w:vAlign w:val="center"/>
          </w:tcPr>
          <w:p w14:paraId="6D9C770E" w14:textId="77777777" w:rsidR="007F213B" w:rsidRPr="00562F79" w:rsidRDefault="007F213B" w:rsidP="008C3D60">
            <w:pPr>
              <w:jc w:val="left"/>
              <w:rPr>
                <w:rFonts w:ascii="Cambria" w:hAnsi="Cambria" w:cs="Arial"/>
                <w:i/>
                <w:iCs/>
                <w:color w:val="000000"/>
                <w:szCs w:val="24"/>
              </w:rPr>
            </w:pPr>
          </w:p>
        </w:tc>
        <w:tc>
          <w:tcPr>
            <w:tcW w:w="3368" w:type="pct"/>
            <w:tcBorders>
              <w:top w:val="single" w:sz="4" w:space="0" w:color="auto"/>
              <w:left w:val="nil"/>
              <w:bottom w:val="single" w:sz="4" w:space="0" w:color="auto"/>
              <w:right w:val="single" w:sz="4" w:space="0" w:color="auto"/>
            </w:tcBorders>
            <w:shd w:val="clear" w:color="000000" w:fill="FFFFFF"/>
            <w:noWrap/>
            <w:vAlign w:val="center"/>
          </w:tcPr>
          <w:p w14:paraId="6D9C770F" w14:textId="77777777" w:rsidR="007F213B" w:rsidRPr="00562F79" w:rsidRDefault="007F213B" w:rsidP="008C3D60">
            <w:pPr>
              <w:jc w:val="left"/>
              <w:outlineLvl w:val="0"/>
              <w:rPr>
                <w:rFonts w:ascii="Cambria" w:hAnsi="Cambria" w:cs="Arial"/>
                <w:i/>
                <w:iCs/>
                <w:color w:val="000000"/>
                <w:szCs w:val="24"/>
              </w:rPr>
            </w:pPr>
            <w:r>
              <w:rPr>
                <w:rFonts w:ascii="Cambria" w:hAnsi="Cambria" w:cs="Arial"/>
                <w:i/>
                <w:iCs/>
                <w:color w:val="000000"/>
                <w:szCs w:val="24"/>
              </w:rPr>
              <w:t xml:space="preserve">   </w:t>
            </w:r>
            <w:r w:rsidRPr="007F213B">
              <w:rPr>
                <w:rFonts w:ascii="Cambria" w:hAnsi="Cambria" w:cs="Arial"/>
                <w:i/>
                <w:iCs/>
                <w:color w:val="000000"/>
                <w:szCs w:val="24"/>
              </w:rPr>
              <w:t xml:space="preserve">Plus/Less        SFA and/or PMA </w:t>
            </w:r>
            <w:r>
              <w:rPr>
                <w:rFonts w:ascii="Cambria" w:hAnsi="Cambria" w:cs="Arial"/>
                <w:i/>
                <w:iCs/>
                <w:color w:val="000000"/>
                <w:szCs w:val="24"/>
              </w:rPr>
              <w:t>A</w:t>
            </w:r>
            <w:r w:rsidRPr="007F213B">
              <w:rPr>
                <w:rFonts w:ascii="Cambria" w:hAnsi="Cambria" w:cs="Arial"/>
                <w:i/>
                <w:iCs/>
                <w:color w:val="000000"/>
                <w:szCs w:val="24"/>
              </w:rPr>
              <w:t>djustments</w:t>
            </w:r>
          </w:p>
        </w:tc>
      </w:tr>
    </w:tbl>
    <w:p w14:paraId="6D9C7711" w14:textId="77777777" w:rsidR="004E7099" w:rsidRDefault="004E7099" w:rsidP="00F20412">
      <w:pPr>
        <w:tabs>
          <w:tab w:val="left" w:pos="0"/>
        </w:tabs>
      </w:pPr>
    </w:p>
    <w:p w14:paraId="6D9C7712" w14:textId="77777777" w:rsidR="004E7099" w:rsidRPr="00A41A81" w:rsidRDefault="004E7099" w:rsidP="00F20412">
      <w:pPr>
        <w:pStyle w:val="ssNoHeading2"/>
      </w:pPr>
      <w:r w:rsidRPr="00A41A81">
        <w:t xml:space="preserve">The sum of </w:t>
      </w:r>
      <w:r w:rsidR="007F213B">
        <w:t>(</w:t>
      </w:r>
      <w:r w:rsidRPr="00A41A81">
        <w:t>SFA</w:t>
      </w:r>
      <w:r w:rsidR="007F213B">
        <w:t>,</w:t>
      </w:r>
      <w:r w:rsidRPr="00A41A81">
        <w:t xml:space="preserve"> PMA </w:t>
      </w:r>
      <w:r w:rsidR="007F213B">
        <w:t xml:space="preserve">and SFA and/or PMA Adjustments) </w:t>
      </w:r>
      <w:r w:rsidRPr="00A41A81">
        <w:t xml:space="preserve">in any given Reporting Period is capped at twenty five per cent (25%) of </w:t>
      </w:r>
      <w:r w:rsidR="00BF34CD">
        <w:t>P</w:t>
      </w:r>
      <w:r w:rsidRPr="00A41A81">
        <w:t>MP</w:t>
      </w:r>
      <w:r w:rsidR="007F213B">
        <w:t xml:space="preserve"> and PMP Adjustments.  Therefore</w:t>
      </w:r>
      <w:r w:rsidRPr="00A41A81">
        <w:t xml:space="preserve">, where </w:t>
      </w:r>
      <w:r w:rsidR="007F213B">
        <w:t>(</w:t>
      </w:r>
      <w:r w:rsidRPr="00A41A81">
        <w:t xml:space="preserve">SFA + PMA </w:t>
      </w:r>
      <w:r w:rsidR="007F213B">
        <w:t xml:space="preserve">+ SFA and/or PMA Adjustments) </w:t>
      </w:r>
      <w:r w:rsidRPr="00A41A81">
        <w:t xml:space="preserve">&gt; 25% of </w:t>
      </w:r>
      <w:r w:rsidR="007F213B">
        <w:t>(</w:t>
      </w:r>
      <w:r w:rsidR="00BF34CD">
        <w:t>P</w:t>
      </w:r>
      <w:r w:rsidRPr="00A41A81">
        <w:t xml:space="preserve">MP </w:t>
      </w:r>
      <w:r w:rsidR="007F213B">
        <w:t xml:space="preserve">+ PMP Adjustments), </w:t>
      </w:r>
      <w:r w:rsidRPr="00A41A81">
        <w:t>then T</w:t>
      </w:r>
      <w:r w:rsidR="00E929E8">
        <w:t>P</w:t>
      </w:r>
      <w:r w:rsidRPr="00A41A81">
        <w:t>MP is calculated as</w:t>
      </w:r>
      <w:r w:rsidR="007F213B">
        <w:t xml:space="preserve"> follows</w:t>
      </w:r>
      <w:r w:rsidRPr="00A41A81">
        <w:t xml:space="preserve">: </w:t>
      </w:r>
    </w:p>
    <w:tbl>
      <w:tblPr>
        <w:tblW w:w="5324" w:type="pct"/>
        <w:tblLayout w:type="fixed"/>
        <w:tblLook w:val="04A0" w:firstRow="1" w:lastRow="0" w:firstColumn="1" w:lastColumn="0" w:noHBand="0" w:noVBand="1"/>
      </w:tblPr>
      <w:tblGrid>
        <w:gridCol w:w="3228"/>
        <w:gridCol w:w="6661"/>
      </w:tblGrid>
      <w:tr w:rsidR="004E7099" w:rsidRPr="00106FBE" w14:paraId="6D9C7716" w14:textId="77777777" w:rsidTr="00CD4461">
        <w:trPr>
          <w:trHeight w:val="390"/>
        </w:trPr>
        <w:tc>
          <w:tcPr>
            <w:tcW w:w="1632"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D9C7713" w14:textId="77777777" w:rsidR="004E7099" w:rsidRDefault="004E7099" w:rsidP="00CD4461">
            <w:pPr>
              <w:jc w:val="center"/>
              <w:outlineLvl w:val="0"/>
              <w:rPr>
                <w:rFonts w:ascii="Cambria" w:hAnsi="Cambria" w:cs="Arial"/>
                <w:i/>
                <w:iCs/>
                <w:color w:val="000000"/>
                <w:szCs w:val="24"/>
              </w:rPr>
            </w:pPr>
            <w:r w:rsidRPr="00562F79">
              <w:rPr>
                <w:rFonts w:ascii="Cambria" w:hAnsi="Cambria" w:cs="Arial"/>
                <w:i/>
                <w:iCs/>
                <w:color w:val="000000"/>
                <w:szCs w:val="24"/>
              </w:rPr>
              <w:t xml:space="preserve">Total </w:t>
            </w:r>
            <w:r>
              <w:rPr>
                <w:rFonts w:ascii="Cambria" w:hAnsi="Cambria" w:cs="Arial"/>
                <w:i/>
                <w:iCs/>
                <w:color w:val="000000"/>
                <w:szCs w:val="24"/>
              </w:rPr>
              <w:t xml:space="preserve">Preventative </w:t>
            </w:r>
            <w:r w:rsidRPr="00562F79">
              <w:rPr>
                <w:rFonts w:ascii="Cambria" w:hAnsi="Cambria" w:cs="Arial"/>
                <w:i/>
                <w:iCs/>
                <w:color w:val="000000"/>
                <w:szCs w:val="24"/>
              </w:rPr>
              <w:t>Maintenance Payment</w:t>
            </w:r>
            <w:r>
              <w:rPr>
                <w:rFonts w:ascii="Cambria" w:hAnsi="Cambria" w:cs="Arial"/>
                <w:i/>
                <w:iCs/>
                <w:color w:val="000000"/>
                <w:szCs w:val="24"/>
              </w:rPr>
              <w:t xml:space="preserve"> =</w:t>
            </w:r>
          </w:p>
          <w:p w14:paraId="6D9C7714" w14:textId="77777777" w:rsidR="004E7099" w:rsidRPr="00106FBE" w:rsidRDefault="004E7099" w:rsidP="00CD4461">
            <w:pPr>
              <w:jc w:val="center"/>
              <w:outlineLvl w:val="0"/>
              <w:rPr>
                <w:rFonts w:ascii="Cambria" w:hAnsi="Cambria" w:cs="Arial"/>
                <w:i/>
                <w:iCs/>
                <w:color w:val="000000"/>
                <w:szCs w:val="24"/>
              </w:rPr>
            </w:pPr>
            <w:r w:rsidRPr="00562F79">
              <w:rPr>
                <w:rFonts w:ascii="Cambria" w:hAnsi="Cambria" w:cs="Arial"/>
                <w:i/>
                <w:iCs/>
                <w:color w:val="000000"/>
                <w:szCs w:val="24"/>
              </w:rPr>
              <w:t>(T</w:t>
            </w:r>
            <w:r w:rsidR="00E929E8">
              <w:rPr>
                <w:rFonts w:ascii="Cambria" w:hAnsi="Cambria" w:cs="Arial"/>
                <w:i/>
                <w:iCs/>
                <w:color w:val="000000"/>
                <w:szCs w:val="24"/>
              </w:rPr>
              <w:t>P</w:t>
            </w:r>
            <w:r w:rsidRPr="00562F79">
              <w:rPr>
                <w:rFonts w:ascii="Cambria" w:hAnsi="Cambria" w:cs="Arial"/>
                <w:i/>
                <w:iCs/>
                <w:color w:val="000000"/>
                <w:szCs w:val="24"/>
              </w:rPr>
              <w:t>MP)</w:t>
            </w:r>
          </w:p>
        </w:tc>
        <w:tc>
          <w:tcPr>
            <w:tcW w:w="3368" w:type="pct"/>
            <w:tcBorders>
              <w:top w:val="single" w:sz="4" w:space="0" w:color="auto"/>
              <w:left w:val="nil"/>
              <w:bottom w:val="single" w:sz="4" w:space="0" w:color="auto"/>
              <w:right w:val="single" w:sz="4" w:space="0" w:color="auto"/>
            </w:tcBorders>
            <w:shd w:val="clear" w:color="000000" w:fill="FFFFFF"/>
            <w:noWrap/>
            <w:vAlign w:val="center"/>
            <w:hideMark/>
          </w:tcPr>
          <w:p w14:paraId="6D9C7715" w14:textId="77777777" w:rsidR="004E7099" w:rsidRPr="00106FBE" w:rsidRDefault="004E7099" w:rsidP="008C3D60">
            <w:pPr>
              <w:jc w:val="left"/>
              <w:outlineLvl w:val="0"/>
              <w:rPr>
                <w:rFonts w:ascii="Cambria" w:hAnsi="Cambria" w:cs="Arial"/>
                <w:i/>
                <w:iCs/>
                <w:color w:val="000000"/>
                <w:szCs w:val="24"/>
              </w:rPr>
            </w:pPr>
            <w:r>
              <w:rPr>
                <w:rFonts w:ascii="Cambria" w:hAnsi="Cambria" w:cs="Arial"/>
                <w:i/>
                <w:iCs/>
                <w:color w:val="000000"/>
                <w:szCs w:val="24"/>
              </w:rPr>
              <w:t xml:space="preserve">Preventative </w:t>
            </w:r>
            <w:r w:rsidRPr="00562F79">
              <w:rPr>
                <w:rFonts w:ascii="Cambria" w:hAnsi="Cambria" w:cs="Arial"/>
                <w:i/>
                <w:iCs/>
                <w:color w:val="000000"/>
                <w:szCs w:val="24"/>
              </w:rPr>
              <w:t>Maintenance Paymen</w:t>
            </w:r>
            <w:r>
              <w:rPr>
                <w:rFonts w:ascii="Cambria" w:hAnsi="Cambria" w:cs="Arial"/>
                <w:i/>
                <w:iCs/>
                <w:color w:val="000000"/>
                <w:szCs w:val="24"/>
              </w:rPr>
              <w:t>t (</w:t>
            </w:r>
            <w:r w:rsidR="00BF34CD">
              <w:rPr>
                <w:rFonts w:ascii="Cambria" w:hAnsi="Cambria" w:cs="Arial"/>
                <w:i/>
                <w:iCs/>
                <w:color w:val="000000"/>
                <w:szCs w:val="24"/>
              </w:rPr>
              <w:t>P</w:t>
            </w:r>
            <w:r w:rsidRPr="00562F79">
              <w:rPr>
                <w:rFonts w:ascii="Cambria" w:hAnsi="Cambria" w:cs="Arial"/>
                <w:i/>
                <w:iCs/>
                <w:color w:val="000000"/>
                <w:szCs w:val="24"/>
              </w:rPr>
              <w:t>M</w:t>
            </w:r>
            <w:r>
              <w:rPr>
                <w:rFonts w:ascii="Cambria" w:hAnsi="Cambria" w:cs="Arial"/>
                <w:i/>
                <w:iCs/>
                <w:color w:val="000000"/>
                <w:szCs w:val="24"/>
              </w:rPr>
              <w:t>P</w:t>
            </w:r>
            <w:r w:rsidRPr="00562F79">
              <w:rPr>
                <w:rFonts w:ascii="Cambria" w:hAnsi="Cambria" w:cs="Arial"/>
                <w:i/>
                <w:iCs/>
                <w:color w:val="000000"/>
                <w:szCs w:val="24"/>
              </w:rPr>
              <w:t>)</w:t>
            </w:r>
            <w:r w:rsidR="007F213B">
              <w:rPr>
                <w:rFonts w:ascii="Cambria" w:hAnsi="Cambria" w:cs="Arial"/>
                <w:i/>
                <w:iCs/>
                <w:color w:val="000000"/>
                <w:szCs w:val="24"/>
              </w:rPr>
              <w:t>, plus</w:t>
            </w:r>
            <w:r w:rsidR="00CD4461">
              <w:rPr>
                <w:rFonts w:ascii="Cambria" w:hAnsi="Cambria" w:cs="Arial"/>
                <w:i/>
                <w:iCs/>
                <w:color w:val="000000"/>
                <w:szCs w:val="24"/>
              </w:rPr>
              <w:t>/less</w:t>
            </w:r>
            <w:r w:rsidR="007F213B">
              <w:rPr>
                <w:rFonts w:ascii="Cambria" w:hAnsi="Cambria" w:cs="Arial"/>
                <w:i/>
                <w:iCs/>
                <w:color w:val="000000"/>
                <w:szCs w:val="24"/>
              </w:rPr>
              <w:t xml:space="preserve"> PMP Adjustment</w:t>
            </w:r>
          </w:p>
        </w:tc>
      </w:tr>
      <w:tr w:rsidR="004E7099" w:rsidRPr="00106FBE" w14:paraId="6D9C7719" w14:textId="77777777" w:rsidTr="00CD4461">
        <w:trPr>
          <w:trHeight w:val="491"/>
        </w:trPr>
        <w:tc>
          <w:tcPr>
            <w:tcW w:w="1632" w:type="pct"/>
            <w:vMerge/>
            <w:tcBorders>
              <w:top w:val="single" w:sz="4" w:space="0" w:color="auto"/>
              <w:left w:val="single" w:sz="4" w:space="0" w:color="auto"/>
              <w:bottom w:val="single" w:sz="4" w:space="0" w:color="000000"/>
              <w:right w:val="single" w:sz="4" w:space="0" w:color="auto"/>
            </w:tcBorders>
            <w:vAlign w:val="center"/>
            <w:hideMark/>
          </w:tcPr>
          <w:p w14:paraId="6D9C7717" w14:textId="77777777" w:rsidR="004E7099" w:rsidRPr="00106FBE" w:rsidRDefault="004E7099" w:rsidP="008C3D60">
            <w:pPr>
              <w:jc w:val="left"/>
              <w:rPr>
                <w:rFonts w:ascii="Cambria" w:hAnsi="Cambria" w:cs="Arial"/>
                <w:i/>
                <w:iCs/>
                <w:color w:val="000000"/>
                <w:szCs w:val="24"/>
              </w:rPr>
            </w:pPr>
          </w:p>
        </w:tc>
        <w:tc>
          <w:tcPr>
            <w:tcW w:w="3368" w:type="pct"/>
            <w:tcBorders>
              <w:top w:val="nil"/>
              <w:left w:val="nil"/>
              <w:bottom w:val="single" w:sz="4" w:space="0" w:color="auto"/>
              <w:right w:val="single" w:sz="4" w:space="0" w:color="auto"/>
            </w:tcBorders>
            <w:shd w:val="clear" w:color="000000" w:fill="FFFFFF"/>
            <w:noWrap/>
            <w:vAlign w:val="center"/>
            <w:hideMark/>
          </w:tcPr>
          <w:p w14:paraId="6D9C7718" w14:textId="77777777" w:rsidR="004E7099" w:rsidRPr="00106FBE" w:rsidRDefault="004E7099" w:rsidP="008C3D60">
            <w:pPr>
              <w:jc w:val="left"/>
              <w:outlineLvl w:val="0"/>
              <w:rPr>
                <w:rFonts w:ascii="Cambria" w:hAnsi="Cambria" w:cs="Arial"/>
                <w:i/>
                <w:iCs/>
                <w:color w:val="000000"/>
                <w:szCs w:val="24"/>
              </w:rPr>
            </w:pPr>
            <w:r>
              <w:rPr>
                <w:rFonts w:ascii="Cambria" w:hAnsi="Cambria" w:cs="Arial"/>
                <w:i/>
                <w:iCs/>
                <w:color w:val="000000"/>
                <w:szCs w:val="24"/>
              </w:rPr>
              <w:t xml:space="preserve">   Multiplied by    </w:t>
            </w:r>
            <w:r w:rsidRPr="00106FBE">
              <w:rPr>
                <w:rFonts w:ascii="Cambria" w:hAnsi="Cambria" w:cs="Arial"/>
                <w:i/>
                <w:iCs/>
                <w:color w:val="000000"/>
                <w:szCs w:val="24"/>
              </w:rPr>
              <w:t>Seventy five per cent (75%)</w:t>
            </w:r>
          </w:p>
        </w:tc>
      </w:tr>
    </w:tbl>
    <w:p w14:paraId="6D9C771A" w14:textId="77777777" w:rsidR="004E7099" w:rsidRDefault="004E7099" w:rsidP="00F20412">
      <w:pPr>
        <w:rPr>
          <w:rFonts w:ascii="Cambria Math" w:hAnsi="Cambria Math"/>
        </w:rPr>
      </w:pPr>
    </w:p>
    <w:p w14:paraId="6D9C771B" w14:textId="77777777" w:rsidR="004E7099" w:rsidRDefault="004E7099" w:rsidP="00F20412">
      <w:pPr>
        <w:pStyle w:val="ssPara1"/>
        <w:rPr>
          <w:b/>
        </w:rPr>
      </w:pPr>
      <w:r w:rsidRPr="00933B9C">
        <w:rPr>
          <w:b/>
        </w:rPr>
        <w:t>Pre</w:t>
      </w:r>
      <w:r w:rsidR="00BF34CD">
        <w:rPr>
          <w:b/>
        </w:rPr>
        <w:t>ventative Maintenance Payment (P</w:t>
      </w:r>
      <w:r w:rsidRPr="00933B9C">
        <w:rPr>
          <w:b/>
        </w:rPr>
        <w:t>MP)</w:t>
      </w:r>
      <w:r w:rsidR="00B678F2">
        <w:rPr>
          <w:b/>
        </w:rPr>
        <w:t>.</w:t>
      </w:r>
    </w:p>
    <w:p w14:paraId="6D9C771C" w14:textId="77777777" w:rsidR="004E7099" w:rsidRDefault="00E52AB9" w:rsidP="00F20412">
      <w:pPr>
        <w:pStyle w:val="ssNoHeading2"/>
      </w:pPr>
      <w:r>
        <w:t>The “</w:t>
      </w:r>
      <w:r w:rsidRPr="00E52AB9">
        <w:rPr>
          <w:b/>
        </w:rPr>
        <w:t>Preventative Maintenance Payment</w:t>
      </w:r>
      <w:r>
        <w:t>” and “</w:t>
      </w:r>
      <w:r w:rsidR="00BF34CD" w:rsidRPr="00E52AB9">
        <w:rPr>
          <w:b/>
        </w:rPr>
        <w:t>P</w:t>
      </w:r>
      <w:r w:rsidR="004E7099" w:rsidRPr="00E52AB9">
        <w:rPr>
          <w:b/>
        </w:rPr>
        <w:t>MP</w:t>
      </w:r>
      <w:r>
        <w:t>”</w:t>
      </w:r>
      <w:r w:rsidR="004E7099">
        <w:t xml:space="preserve"> is the product of </w:t>
      </w:r>
      <w:r w:rsidR="005B5368">
        <w:t xml:space="preserve">the </w:t>
      </w:r>
      <w:r w:rsidR="002E4BAB">
        <w:t>EMC</w:t>
      </w:r>
      <w:r w:rsidR="004E7099">
        <w:t xml:space="preserve"> Unit Rates and the average volume of each EMC that is in service in the relevant Reporting Period.</w:t>
      </w:r>
    </w:p>
    <w:p w14:paraId="6D9C771D" w14:textId="77777777" w:rsidR="004E7099" w:rsidRPr="00933B9C" w:rsidRDefault="007D286B" w:rsidP="00F20412">
      <w:pPr>
        <w:jc w:val="center"/>
      </w:pPr>
      <m:oMath>
        <m:r>
          <w:rPr>
            <w:rFonts w:ascii="Cambria Math" w:hAnsi="Cambria Math" w:cs="Arial"/>
            <w:sz w:val="28"/>
            <w:szCs w:val="24"/>
          </w:rPr>
          <m:t>PMP =(</m:t>
        </m:r>
        <m:nary>
          <m:naryPr>
            <m:chr m:val="∑"/>
            <m:limLoc m:val="undOvr"/>
            <m:subHide m:val="1"/>
            <m:supHide m:val="1"/>
            <m:ctrlPr>
              <w:rPr>
                <w:rFonts w:ascii="Cambria Math" w:hAnsi="Cambria Math" w:cs="Arial"/>
                <w:i/>
                <w:sz w:val="28"/>
                <w:szCs w:val="24"/>
              </w:rPr>
            </m:ctrlPr>
          </m:naryPr>
          <m:sub/>
          <m:sup/>
          <m:e>
            <m:sSub>
              <m:sSubPr>
                <m:ctrlPr>
                  <w:rPr>
                    <w:rFonts w:ascii="Cambria Math" w:hAnsi="Cambria Math" w:cs="Arial"/>
                    <w:i/>
                    <w:sz w:val="28"/>
                    <w:szCs w:val="24"/>
                  </w:rPr>
                </m:ctrlPr>
              </m:sSubPr>
              <m:e>
                <m:r>
                  <w:rPr>
                    <w:rFonts w:ascii="Cambria Math" w:hAnsi="Cambria Math" w:cs="Arial"/>
                    <w:sz w:val="28"/>
                    <w:szCs w:val="24"/>
                  </w:rPr>
                  <m:t>EMC</m:t>
                </m:r>
              </m:e>
              <m:sub>
                <m:r>
                  <w:rPr>
                    <w:rFonts w:ascii="Cambria Math" w:hAnsi="Cambria Math" w:cs="Arial"/>
                    <w:sz w:val="28"/>
                    <w:szCs w:val="24"/>
                  </w:rPr>
                  <m:t>pb</m:t>
                </m:r>
              </m:sub>
            </m:sSub>
          </m:e>
        </m:nary>
        <m:r>
          <w:rPr>
            <w:rFonts w:ascii="Cambria Math" w:hAnsi="Cambria Math" w:cs="Arial"/>
            <w:sz w:val="28"/>
            <w:szCs w:val="24"/>
          </w:rPr>
          <m:t>×</m:t>
        </m:r>
        <m:sSub>
          <m:sSubPr>
            <m:ctrlPr>
              <w:rPr>
                <w:rFonts w:ascii="Cambria Math" w:hAnsi="Cambria Math" w:cs="Arial"/>
                <w:i/>
                <w:sz w:val="28"/>
                <w:szCs w:val="24"/>
              </w:rPr>
            </m:ctrlPr>
          </m:sSubPr>
          <m:e>
            <m:r>
              <w:rPr>
                <w:rFonts w:ascii="Cambria Math" w:hAnsi="Cambria Math" w:cs="Arial"/>
                <w:sz w:val="28"/>
                <w:szCs w:val="24"/>
              </w:rPr>
              <m:t>EMC</m:t>
            </m:r>
          </m:e>
          <m:sub>
            <m:r>
              <w:rPr>
                <w:rFonts w:ascii="Cambria Math" w:hAnsi="Cambria Math" w:cs="Arial"/>
                <w:sz w:val="28"/>
                <w:szCs w:val="24"/>
              </w:rPr>
              <m:t>vb</m:t>
            </m:r>
          </m:sub>
        </m:sSub>
        <m:r>
          <w:rPr>
            <w:rFonts w:ascii="Cambria Math" w:hAnsi="Cambria Math" w:cs="Arial"/>
            <w:sz w:val="28"/>
            <w:szCs w:val="24"/>
          </w:rPr>
          <m:t>+</m:t>
        </m:r>
        <m:nary>
          <m:naryPr>
            <m:chr m:val="∑"/>
            <m:limLoc m:val="undOvr"/>
            <m:subHide m:val="1"/>
            <m:supHide m:val="1"/>
            <m:ctrlPr>
              <w:rPr>
                <w:rFonts w:ascii="Cambria Math" w:hAnsi="Cambria Math" w:cs="Arial"/>
                <w:i/>
                <w:sz w:val="28"/>
                <w:szCs w:val="24"/>
              </w:rPr>
            </m:ctrlPr>
          </m:naryPr>
          <m:sub/>
          <m:sup/>
          <m:e>
            <m:sSub>
              <m:sSubPr>
                <m:ctrlPr>
                  <w:rPr>
                    <w:rFonts w:ascii="Cambria Math" w:hAnsi="Cambria Math" w:cs="Arial"/>
                    <w:i/>
                    <w:sz w:val="28"/>
                    <w:szCs w:val="24"/>
                  </w:rPr>
                </m:ctrlPr>
              </m:sSubPr>
              <m:e>
                <m:r>
                  <w:rPr>
                    <w:rFonts w:ascii="Cambria Math" w:hAnsi="Cambria Math" w:cs="Arial"/>
                    <w:sz w:val="28"/>
                    <w:szCs w:val="24"/>
                  </w:rPr>
                  <m:t>EMC</m:t>
                </m:r>
              </m:e>
              <m:sub>
                <m:r>
                  <w:rPr>
                    <w:rFonts w:ascii="Cambria Math" w:hAnsi="Cambria Math" w:cs="Arial"/>
                    <w:sz w:val="28"/>
                    <w:szCs w:val="24"/>
                  </w:rPr>
                  <m:t>pc</m:t>
                </m:r>
              </m:sub>
            </m:sSub>
          </m:e>
        </m:nary>
        <m:r>
          <w:rPr>
            <w:rFonts w:ascii="Cambria Math" w:hAnsi="Cambria Math" w:cs="Arial"/>
            <w:sz w:val="28"/>
            <w:szCs w:val="24"/>
          </w:rPr>
          <m:t>×</m:t>
        </m:r>
        <m:sSub>
          <m:sSubPr>
            <m:ctrlPr>
              <w:rPr>
                <w:rFonts w:ascii="Cambria Math" w:hAnsi="Cambria Math" w:cs="Arial"/>
                <w:i/>
                <w:sz w:val="28"/>
                <w:szCs w:val="24"/>
              </w:rPr>
            </m:ctrlPr>
          </m:sSubPr>
          <m:e>
            <m:r>
              <w:rPr>
                <w:rFonts w:ascii="Cambria Math" w:hAnsi="Cambria Math" w:cs="Arial"/>
                <w:sz w:val="28"/>
                <w:szCs w:val="24"/>
              </w:rPr>
              <m:t>EMC</m:t>
            </m:r>
          </m:e>
          <m:sub>
            <m:r>
              <w:rPr>
                <w:rFonts w:ascii="Cambria Math" w:hAnsi="Cambria Math" w:cs="Arial"/>
                <w:sz w:val="28"/>
                <w:szCs w:val="24"/>
              </w:rPr>
              <m:t>vc</m:t>
            </m:r>
          </m:sub>
        </m:sSub>
        <m:r>
          <w:rPr>
            <w:rFonts w:ascii="Cambria Math" w:hAnsi="Cambria Math" w:cs="Arial"/>
            <w:sz w:val="28"/>
            <w:szCs w:val="24"/>
          </w:rPr>
          <m:t>)×</m:t>
        </m:r>
        <m:d>
          <m:dPr>
            <m:ctrlPr>
              <w:rPr>
                <w:rFonts w:ascii="Cambria Math" w:hAnsi="Cambria Math" w:cs="Arial"/>
                <w:i/>
                <w:sz w:val="28"/>
                <w:szCs w:val="24"/>
              </w:rPr>
            </m:ctrlPr>
          </m:dPr>
          <m:e>
            <m:f>
              <m:fPr>
                <m:ctrlPr>
                  <w:rPr>
                    <w:rFonts w:ascii="Cambria Math" w:hAnsi="Cambria Math" w:cs="Arial"/>
                    <w:i/>
                    <w:sz w:val="28"/>
                    <w:szCs w:val="24"/>
                  </w:rPr>
                </m:ctrlPr>
              </m:fPr>
              <m:num>
                <m:sSub>
                  <m:sSubPr>
                    <m:ctrlPr>
                      <w:rPr>
                        <w:rFonts w:ascii="Cambria Math" w:hAnsi="Cambria Math" w:cs="Arial"/>
                        <w:i/>
                        <w:sz w:val="28"/>
                        <w:szCs w:val="24"/>
                      </w:rPr>
                    </m:ctrlPr>
                  </m:sSubPr>
                  <m:e>
                    <m:r>
                      <w:rPr>
                        <w:rFonts w:ascii="Cambria Math" w:hAnsi="Cambria Math" w:cs="Arial"/>
                        <w:sz w:val="28"/>
                        <w:szCs w:val="24"/>
                      </w:rPr>
                      <m:t>N</m:t>
                    </m:r>
                  </m:e>
                  <m:sub>
                    <m:r>
                      <w:rPr>
                        <w:rFonts w:ascii="Cambria Math" w:hAnsi="Cambria Math" w:cs="Arial"/>
                        <w:sz w:val="28"/>
                        <w:szCs w:val="24"/>
                      </w:rPr>
                      <m:t>i</m:t>
                    </m:r>
                  </m:sub>
                </m:sSub>
              </m:num>
              <m:den>
                <m:sSub>
                  <m:sSubPr>
                    <m:ctrlPr>
                      <w:rPr>
                        <w:rFonts w:ascii="Cambria Math" w:hAnsi="Cambria Math" w:cs="Arial"/>
                        <w:i/>
                        <w:sz w:val="28"/>
                        <w:szCs w:val="24"/>
                      </w:rPr>
                    </m:ctrlPr>
                  </m:sSubPr>
                  <m:e>
                    <m:r>
                      <w:rPr>
                        <w:rFonts w:ascii="Cambria Math" w:hAnsi="Cambria Math" w:cs="Arial"/>
                        <w:sz w:val="28"/>
                        <w:szCs w:val="24"/>
                      </w:rPr>
                      <m:t>N</m:t>
                    </m:r>
                  </m:e>
                  <m:sub>
                    <m:r>
                      <w:rPr>
                        <w:rFonts w:ascii="Cambria Math" w:hAnsi="Cambria Math" w:cs="Arial"/>
                        <w:sz w:val="28"/>
                        <w:szCs w:val="24"/>
                      </w:rPr>
                      <m:t>y</m:t>
                    </m:r>
                  </m:sub>
                </m:sSub>
              </m:den>
            </m:f>
          </m:e>
        </m:d>
        <m:r>
          <w:rPr>
            <w:rFonts w:ascii="Cambria Math" w:hAnsi="Cambria Math" w:cs="Arial"/>
            <w:sz w:val="28"/>
            <w:szCs w:val="24"/>
          </w:rPr>
          <m:t>×AI</m:t>
        </m:r>
      </m:oMath>
      <w:r w:rsidR="009C30EC" w:rsidRPr="00F20412">
        <w:t xml:space="preserve"> </w:t>
      </w:r>
    </w:p>
    <w:p w14:paraId="6D9C771E" w14:textId="77777777" w:rsidR="004E7099" w:rsidRPr="006670DE" w:rsidRDefault="00241198" w:rsidP="006670DE">
      <w:pPr>
        <w:pStyle w:val="ssPara2"/>
        <w:rPr>
          <w:rStyle w:val="StyleArial"/>
          <w:rFonts w:cs="Arial"/>
          <w:szCs w:val="24"/>
        </w:rPr>
      </w:pPr>
      <w:r w:rsidRPr="00DB6F36">
        <w:rPr>
          <w:rStyle w:val="StyleArial"/>
          <w:rFonts w:cs="Arial"/>
          <w:szCs w:val="24"/>
        </w:rPr>
        <w:t>W</w:t>
      </w:r>
      <w:r w:rsidR="004E7099" w:rsidRPr="00DB6F36">
        <w:rPr>
          <w:rStyle w:val="StyleArial"/>
          <w:rFonts w:cs="Arial"/>
          <w:szCs w:val="24"/>
        </w:rPr>
        <w:t>here:</w:t>
      </w:r>
    </w:p>
    <w:p w14:paraId="6D9C771F" w14:textId="77777777" w:rsidR="004E7099" w:rsidRPr="00C4246C" w:rsidRDefault="004E7099" w:rsidP="00BF34CD">
      <w:pPr>
        <w:pStyle w:val="ssNoHeading3"/>
        <w:rPr>
          <w:rStyle w:val="StyleArial"/>
          <w:rFonts w:cs="Arial"/>
          <w:szCs w:val="24"/>
        </w:rPr>
      </w:pPr>
      <w:r w:rsidRPr="00A970C4">
        <w:rPr>
          <w:rFonts w:ascii="Cambria Math" w:hAnsi="Cambria Math"/>
          <w:i/>
        </w:rPr>
        <w:t>AI</w:t>
      </w:r>
      <w:r w:rsidRPr="00A970C4">
        <w:rPr>
          <w:rStyle w:val="StyleArial"/>
          <w:rFonts w:cs="Arial"/>
          <w:szCs w:val="24"/>
        </w:rPr>
        <w:t xml:space="preserve"> </w:t>
      </w:r>
      <w:r w:rsidRPr="00A970C4">
        <w:rPr>
          <w:rStyle w:val="StyleArial"/>
          <w:rFonts w:cs="Arial"/>
          <w:szCs w:val="24"/>
        </w:rPr>
        <w:tab/>
      </w:r>
      <w:r w:rsidRPr="00F9666A">
        <w:rPr>
          <w:rStyle w:val="StyleArial"/>
          <w:rFonts w:cs="Arial"/>
          <w:szCs w:val="24"/>
        </w:rPr>
        <w:t>means Annual Indexation</w:t>
      </w:r>
      <w:r w:rsidRPr="00A970C4">
        <w:rPr>
          <w:rStyle w:val="StyleArial"/>
          <w:rFonts w:cs="Arial"/>
          <w:szCs w:val="24"/>
        </w:rPr>
        <w:t>;</w:t>
      </w:r>
    </w:p>
    <w:p w14:paraId="6D9C7720" w14:textId="77777777" w:rsidR="004E7099" w:rsidRPr="00C4246C" w:rsidRDefault="004E7099" w:rsidP="00BF34CD">
      <w:pPr>
        <w:pStyle w:val="ssNoHeading3"/>
        <w:rPr>
          <w:rStyle w:val="StyleArial"/>
          <w:rFonts w:cs="Arial"/>
          <w:szCs w:val="24"/>
        </w:rPr>
      </w:pPr>
      <w:proofErr w:type="spellStart"/>
      <w:r w:rsidRPr="00C4246C">
        <w:rPr>
          <w:rFonts w:ascii="Cambria Math" w:hAnsi="Cambria Math"/>
          <w:i/>
        </w:rPr>
        <w:t>Ny</w:t>
      </w:r>
      <w:proofErr w:type="spellEnd"/>
      <w:r w:rsidRPr="00C4246C">
        <w:rPr>
          <w:rStyle w:val="StyleArial"/>
          <w:rFonts w:cs="Arial"/>
          <w:szCs w:val="24"/>
        </w:rPr>
        <w:t xml:space="preserve"> </w:t>
      </w:r>
      <w:r>
        <w:rPr>
          <w:rStyle w:val="StyleArial"/>
          <w:rFonts w:cs="Arial"/>
          <w:szCs w:val="24"/>
        </w:rPr>
        <w:tab/>
      </w:r>
      <w:r w:rsidRPr="00C4246C">
        <w:rPr>
          <w:rStyle w:val="StyleArial"/>
          <w:rFonts w:cs="Arial"/>
          <w:szCs w:val="24"/>
        </w:rPr>
        <w:t xml:space="preserve">means 365 (or 366 in any </w:t>
      </w:r>
      <w:r w:rsidR="003102BE">
        <w:rPr>
          <w:rStyle w:val="StyleArial"/>
          <w:rFonts w:cs="Arial"/>
          <w:szCs w:val="24"/>
        </w:rPr>
        <w:t>l</w:t>
      </w:r>
      <w:r w:rsidRPr="00C4246C">
        <w:rPr>
          <w:rStyle w:val="StyleArial"/>
          <w:rFonts w:cs="Arial"/>
          <w:szCs w:val="24"/>
        </w:rPr>
        <w:t xml:space="preserve">eap </w:t>
      </w:r>
      <w:r w:rsidR="003102BE">
        <w:rPr>
          <w:rStyle w:val="StyleArial"/>
          <w:rFonts w:cs="Arial"/>
          <w:szCs w:val="24"/>
        </w:rPr>
        <w:t>y</w:t>
      </w:r>
      <w:r w:rsidRPr="00C4246C">
        <w:rPr>
          <w:rStyle w:val="StyleArial"/>
          <w:rFonts w:cs="Arial"/>
          <w:szCs w:val="24"/>
        </w:rPr>
        <w:t>ear);</w:t>
      </w:r>
    </w:p>
    <w:p w14:paraId="6D9C7721" w14:textId="77777777" w:rsidR="004E7099" w:rsidRPr="00255BB4" w:rsidRDefault="004E7099" w:rsidP="00BF34CD">
      <w:pPr>
        <w:pStyle w:val="ssNoHeading3"/>
        <w:rPr>
          <w:rStyle w:val="StyleArial"/>
          <w:rFonts w:cs="Arial"/>
          <w:szCs w:val="24"/>
        </w:rPr>
      </w:pPr>
      <w:r w:rsidRPr="00C4246C">
        <w:rPr>
          <w:rFonts w:ascii="Cambria Math" w:hAnsi="Cambria Math"/>
          <w:i/>
        </w:rPr>
        <w:t>Ni</w:t>
      </w:r>
      <w:r w:rsidRPr="00C4246C">
        <w:rPr>
          <w:rStyle w:val="StyleArial"/>
          <w:rFonts w:cs="Arial"/>
          <w:szCs w:val="24"/>
        </w:rPr>
        <w:t xml:space="preserve"> </w:t>
      </w:r>
      <w:r>
        <w:rPr>
          <w:rStyle w:val="StyleArial"/>
          <w:rFonts w:cs="Arial"/>
          <w:szCs w:val="24"/>
        </w:rPr>
        <w:tab/>
      </w:r>
      <w:r w:rsidRPr="00C4246C">
        <w:rPr>
          <w:rStyle w:val="StyleArial"/>
          <w:rFonts w:cs="Arial"/>
          <w:szCs w:val="24"/>
        </w:rPr>
        <w:t>means t</w:t>
      </w:r>
      <w:r w:rsidRPr="00255BB4">
        <w:rPr>
          <w:rStyle w:val="StyleArial"/>
          <w:rFonts w:cs="Arial"/>
          <w:szCs w:val="24"/>
        </w:rPr>
        <w:t xml:space="preserve">he number of calendar days in the relevant Reporting Period; </w:t>
      </w:r>
    </w:p>
    <w:p w14:paraId="6D9C7722" w14:textId="43783A59" w:rsidR="00842DE0" w:rsidRPr="00842DE0" w:rsidRDefault="004E7099" w:rsidP="00842DE0">
      <w:pPr>
        <w:pStyle w:val="ssNoHeading3"/>
        <w:tabs>
          <w:tab w:val="left" w:pos="2410"/>
        </w:tabs>
        <w:rPr>
          <w:rStyle w:val="StyleArial"/>
          <w:rFonts w:cs="Arial"/>
          <w:szCs w:val="24"/>
        </w:rPr>
      </w:pPr>
      <w:proofErr w:type="spellStart"/>
      <w:r w:rsidRPr="00241198">
        <w:rPr>
          <w:rFonts w:ascii="Cambria Math" w:hAnsi="Cambria Math"/>
          <w:i/>
          <w:sz w:val="28"/>
        </w:rPr>
        <w:t>EMC</w:t>
      </w:r>
      <w:r w:rsidRPr="00842DE0">
        <w:rPr>
          <w:rFonts w:ascii="Cambria Math" w:hAnsi="Cambria Math"/>
          <w:i/>
          <w:sz w:val="24"/>
        </w:rPr>
        <w:t>p</w:t>
      </w:r>
      <w:r w:rsidR="00241198" w:rsidRPr="00842DE0">
        <w:rPr>
          <w:rFonts w:ascii="Cambria Math" w:hAnsi="Cambria Math"/>
          <w:i/>
          <w:sz w:val="24"/>
        </w:rPr>
        <w:t>b</w:t>
      </w:r>
      <w:proofErr w:type="spellEnd"/>
      <w:r w:rsidRPr="00241198">
        <w:rPr>
          <w:rStyle w:val="StyleArial"/>
          <w:rFonts w:cs="Arial"/>
          <w:sz w:val="28"/>
          <w:szCs w:val="24"/>
        </w:rPr>
        <w:t xml:space="preserve"> </w:t>
      </w:r>
      <w:r>
        <w:rPr>
          <w:rStyle w:val="StyleArial"/>
          <w:rFonts w:cs="Arial"/>
          <w:szCs w:val="24"/>
        </w:rPr>
        <w:tab/>
      </w:r>
      <w:r w:rsidRPr="00C4246C">
        <w:rPr>
          <w:rStyle w:val="StyleArial"/>
          <w:rFonts w:cs="Arial"/>
          <w:szCs w:val="24"/>
        </w:rPr>
        <w:t xml:space="preserve">means </w:t>
      </w:r>
      <w:r w:rsidRPr="00F9666A">
        <w:rPr>
          <w:rStyle w:val="StyleArial"/>
          <w:rFonts w:cs="Arial"/>
          <w:szCs w:val="24"/>
        </w:rPr>
        <w:t xml:space="preserve">the </w:t>
      </w:r>
      <w:r w:rsidR="002E4BAB">
        <w:rPr>
          <w:rStyle w:val="StyleArial"/>
          <w:rFonts w:cs="Arial"/>
          <w:szCs w:val="24"/>
        </w:rPr>
        <w:t>EMC</w:t>
      </w:r>
      <w:r w:rsidRPr="00F9666A">
        <w:rPr>
          <w:rStyle w:val="StyleArial"/>
          <w:rFonts w:cs="Arial"/>
          <w:szCs w:val="24"/>
        </w:rPr>
        <w:t xml:space="preserve"> </w:t>
      </w:r>
      <w:r w:rsidR="00241198">
        <w:rPr>
          <w:rStyle w:val="StyleArial"/>
          <w:rFonts w:cs="Arial"/>
          <w:szCs w:val="24"/>
        </w:rPr>
        <w:t xml:space="preserve">Fixed </w:t>
      </w:r>
      <w:r w:rsidRPr="00F9666A">
        <w:rPr>
          <w:rStyle w:val="StyleArial"/>
          <w:rFonts w:cs="Arial"/>
          <w:szCs w:val="24"/>
        </w:rPr>
        <w:t>Unit Rate</w:t>
      </w:r>
      <w:r w:rsidR="00842DE0">
        <w:rPr>
          <w:rStyle w:val="StyleArial"/>
          <w:rFonts w:cs="Arial"/>
          <w:szCs w:val="24"/>
        </w:rPr>
        <w:t xml:space="preserve"> </w:t>
      </w:r>
      <w:r w:rsidRPr="00C4246C">
        <w:rPr>
          <w:rStyle w:val="StyleArial"/>
          <w:rFonts w:cs="Arial"/>
          <w:szCs w:val="24"/>
        </w:rPr>
        <w:t xml:space="preserve">for the </w:t>
      </w:r>
      <w:r w:rsidRPr="00F9666A">
        <w:rPr>
          <w:rStyle w:val="StyleArial"/>
          <w:rFonts w:cs="Arial"/>
          <w:szCs w:val="24"/>
        </w:rPr>
        <w:t xml:space="preserve">relevant </w:t>
      </w:r>
      <w:r w:rsidR="003102BE">
        <w:rPr>
          <w:rStyle w:val="StyleArial"/>
          <w:rFonts w:cs="Arial"/>
          <w:szCs w:val="24"/>
        </w:rPr>
        <w:t>EMC</w:t>
      </w:r>
      <w:r w:rsidR="00842DE0">
        <w:rPr>
          <w:rStyle w:val="StyleArial"/>
          <w:rFonts w:cs="Arial"/>
          <w:szCs w:val="24"/>
        </w:rPr>
        <w:t>;</w:t>
      </w:r>
    </w:p>
    <w:p w14:paraId="6D9C7723" w14:textId="77777777" w:rsidR="00842DE0" w:rsidRPr="00842DE0" w:rsidRDefault="00842DE0" w:rsidP="00842DE0">
      <w:pPr>
        <w:pStyle w:val="ssNoHeading3"/>
        <w:tabs>
          <w:tab w:val="left" w:pos="2410"/>
        </w:tabs>
        <w:rPr>
          <w:rStyle w:val="StyleArial"/>
          <w:rFonts w:cs="Arial"/>
          <w:i/>
          <w:szCs w:val="24"/>
        </w:rPr>
      </w:pPr>
      <w:proofErr w:type="spellStart"/>
      <w:r w:rsidRPr="00842DE0">
        <w:rPr>
          <w:rFonts w:ascii="Cambria Math" w:hAnsi="Cambria Math" w:cs="Arial"/>
          <w:i/>
          <w:sz w:val="28"/>
          <w:szCs w:val="24"/>
        </w:rPr>
        <w:t>E</w:t>
      </w:r>
      <w:r w:rsidRPr="00842DE0">
        <w:rPr>
          <w:rFonts w:ascii="Cambria Math" w:hAnsi="Cambria Math"/>
          <w:i/>
          <w:sz w:val="28"/>
        </w:rPr>
        <w:t>MC</w:t>
      </w:r>
      <w:r w:rsidRPr="00842DE0">
        <w:rPr>
          <w:rFonts w:ascii="Cambria Math" w:hAnsi="Cambria Math"/>
          <w:i/>
          <w:sz w:val="24"/>
          <w:szCs w:val="24"/>
        </w:rPr>
        <w:t>vb</w:t>
      </w:r>
      <w:proofErr w:type="spellEnd"/>
      <w:r w:rsidRPr="00842DE0">
        <w:rPr>
          <w:rStyle w:val="StyleArial"/>
          <w:rFonts w:ascii="Cambria Math" w:hAnsi="Cambria Math" w:cs="Arial"/>
          <w:i/>
          <w:sz w:val="28"/>
          <w:szCs w:val="24"/>
        </w:rPr>
        <w:tab/>
      </w:r>
      <w:r w:rsidRPr="00842DE0">
        <w:rPr>
          <w:rStyle w:val="StyleArial"/>
          <w:rFonts w:cs="Arial"/>
          <w:szCs w:val="24"/>
        </w:rPr>
        <w:t>means the</w:t>
      </w:r>
      <w:r w:rsidRPr="00842DE0">
        <w:rPr>
          <w:rFonts w:cs="Arial"/>
          <w:szCs w:val="24"/>
        </w:rPr>
        <w:t xml:space="preserve"> </w:t>
      </w:r>
      <w:r w:rsidR="001E0223">
        <w:rPr>
          <w:rStyle w:val="StyleArial"/>
          <w:rFonts w:cs="Arial"/>
          <w:szCs w:val="24"/>
        </w:rPr>
        <w:t>Baseline Equipment Count (Dec 2014)</w:t>
      </w:r>
      <w:r w:rsidR="001E0223">
        <w:rPr>
          <w:rStyle w:val="StyleArial"/>
          <w:rFonts w:cs="Arial"/>
          <w:i/>
          <w:szCs w:val="24"/>
        </w:rPr>
        <w:t xml:space="preserve"> </w:t>
      </w:r>
      <w:r w:rsidR="001E0223" w:rsidRPr="001E0223">
        <w:rPr>
          <w:rStyle w:val="StyleArial"/>
          <w:rFonts w:cs="Arial"/>
          <w:szCs w:val="24"/>
        </w:rPr>
        <w:t>for the relevant EMC</w:t>
      </w:r>
      <w:r w:rsidR="0092485E">
        <w:rPr>
          <w:rStyle w:val="StyleArial"/>
          <w:rFonts w:cs="Arial"/>
          <w:szCs w:val="24"/>
        </w:rPr>
        <w:t>;</w:t>
      </w:r>
      <w:r w:rsidRPr="00842DE0">
        <w:rPr>
          <w:rStyle w:val="StyleArial"/>
          <w:rFonts w:cs="Arial"/>
          <w:i/>
          <w:szCs w:val="24"/>
        </w:rPr>
        <w:t xml:space="preserve"> </w:t>
      </w:r>
    </w:p>
    <w:p w14:paraId="6D9C7724" w14:textId="77777777" w:rsidR="00842DE0" w:rsidRPr="001E0223" w:rsidRDefault="00842DE0" w:rsidP="00842DE0">
      <w:pPr>
        <w:pStyle w:val="ssNoHeading3"/>
        <w:tabs>
          <w:tab w:val="left" w:pos="2410"/>
        </w:tabs>
        <w:rPr>
          <w:rStyle w:val="StyleArial"/>
          <w:rFonts w:cs="Arial"/>
          <w:i/>
          <w:szCs w:val="24"/>
        </w:rPr>
      </w:pPr>
      <w:proofErr w:type="spellStart"/>
      <w:r w:rsidRPr="00842DE0">
        <w:rPr>
          <w:rFonts w:ascii="Cambria Math" w:hAnsi="Cambria Math"/>
          <w:i/>
          <w:sz w:val="28"/>
        </w:rPr>
        <w:t>EMC</w:t>
      </w:r>
      <w:r w:rsidRPr="00842DE0">
        <w:rPr>
          <w:rFonts w:ascii="Cambria Math" w:hAnsi="Cambria Math"/>
          <w:i/>
          <w:sz w:val="24"/>
        </w:rPr>
        <w:t>pc</w:t>
      </w:r>
      <w:proofErr w:type="spellEnd"/>
      <w:r w:rsidRPr="00842DE0">
        <w:rPr>
          <w:rStyle w:val="StyleArial"/>
          <w:rFonts w:cs="Arial"/>
          <w:sz w:val="28"/>
          <w:szCs w:val="24"/>
        </w:rPr>
        <w:t xml:space="preserve"> </w:t>
      </w:r>
      <w:r w:rsidRPr="00842DE0">
        <w:rPr>
          <w:rStyle w:val="StyleArial"/>
          <w:rFonts w:cs="Arial"/>
          <w:szCs w:val="24"/>
        </w:rPr>
        <w:tab/>
        <w:t xml:space="preserve">means the EMC Accrual and De-Accrual Rate </w:t>
      </w:r>
      <w:r w:rsidR="0092485E">
        <w:rPr>
          <w:rStyle w:val="StyleArial"/>
          <w:rFonts w:cs="Arial"/>
          <w:szCs w:val="24"/>
        </w:rPr>
        <w:t xml:space="preserve">for the relevant EMC; and </w:t>
      </w:r>
    </w:p>
    <w:p w14:paraId="6D9C7725" w14:textId="77777777" w:rsidR="0092485E" w:rsidRPr="0092485E" w:rsidRDefault="00842DE0" w:rsidP="0092485E">
      <w:pPr>
        <w:pStyle w:val="ssNoHeading3"/>
        <w:tabs>
          <w:tab w:val="left" w:pos="2410"/>
        </w:tabs>
        <w:spacing w:after="120"/>
        <w:rPr>
          <w:rStyle w:val="StyleArial"/>
          <w:rFonts w:cs="Arial"/>
          <w:i/>
          <w:szCs w:val="24"/>
        </w:rPr>
      </w:pPr>
      <w:proofErr w:type="spellStart"/>
      <w:r w:rsidRPr="006E0947">
        <w:rPr>
          <w:rFonts w:ascii="Cambria Math" w:hAnsi="Cambria Math" w:cs="Arial"/>
          <w:i/>
          <w:sz w:val="28"/>
          <w:szCs w:val="24"/>
        </w:rPr>
        <w:lastRenderedPageBreak/>
        <w:t>E</w:t>
      </w:r>
      <w:r w:rsidRPr="006E0947">
        <w:rPr>
          <w:rFonts w:ascii="Cambria Math" w:hAnsi="Cambria Math"/>
          <w:i/>
          <w:sz w:val="28"/>
        </w:rPr>
        <w:t>MC</w:t>
      </w:r>
      <w:r w:rsidRPr="006E0947">
        <w:rPr>
          <w:rFonts w:ascii="Cambria Math" w:hAnsi="Cambria Math"/>
          <w:i/>
          <w:sz w:val="24"/>
        </w:rPr>
        <w:t>v</w:t>
      </w:r>
      <w:r w:rsidR="001E0223" w:rsidRPr="006E0947">
        <w:rPr>
          <w:rFonts w:ascii="Cambria Math" w:hAnsi="Cambria Math"/>
          <w:i/>
          <w:sz w:val="24"/>
        </w:rPr>
        <w:t>c</w:t>
      </w:r>
      <w:proofErr w:type="spellEnd"/>
      <w:r w:rsidRPr="006E0947">
        <w:rPr>
          <w:rStyle w:val="StyleArial"/>
          <w:rFonts w:cs="Arial"/>
          <w:sz w:val="28"/>
          <w:szCs w:val="24"/>
        </w:rPr>
        <w:tab/>
      </w:r>
      <w:r w:rsidRPr="006E0947">
        <w:rPr>
          <w:rStyle w:val="StyleArial"/>
          <w:rFonts w:cs="Arial"/>
          <w:szCs w:val="24"/>
        </w:rPr>
        <w:t>means the</w:t>
      </w:r>
      <w:r w:rsidRPr="006E0947">
        <w:rPr>
          <w:rFonts w:cs="Arial"/>
          <w:szCs w:val="24"/>
        </w:rPr>
        <w:t xml:space="preserve"> </w:t>
      </w:r>
      <w:r w:rsidR="001E0223" w:rsidRPr="006E0947">
        <w:rPr>
          <w:rFonts w:cs="Arial"/>
          <w:szCs w:val="24"/>
        </w:rPr>
        <w:t xml:space="preserve">difference between </w:t>
      </w:r>
      <w:proofErr w:type="spellStart"/>
      <w:r w:rsidR="001E0223" w:rsidRPr="006E0947">
        <w:rPr>
          <w:rFonts w:ascii="Cambria Math" w:hAnsi="Cambria Math" w:cs="Arial"/>
          <w:i/>
          <w:sz w:val="28"/>
          <w:szCs w:val="24"/>
        </w:rPr>
        <w:t>E</w:t>
      </w:r>
      <w:r w:rsidR="001E0223" w:rsidRPr="006E0947">
        <w:rPr>
          <w:rFonts w:ascii="Cambria Math" w:hAnsi="Cambria Math"/>
          <w:i/>
          <w:sz w:val="28"/>
        </w:rPr>
        <w:t>MC</w:t>
      </w:r>
      <w:r w:rsidR="001E0223" w:rsidRPr="006E0947">
        <w:rPr>
          <w:rFonts w:ascii="Cambria Math" w:hAnsi="Cambria Math"/>
          <w:i/>
          <w:sz w:val="24"/>
          <w:szCs w:val="24"/>
        </w:rPr>
        <w:t>vb</w:t>
      </w:r>
      <w:proofErr w:type="spellEnd"/>
      <w:r w:rsidR="001E0223" w:rsidRPr="006E0947">
        <w:rPr>
          <w:rFonts w:cs="Arial"/>
          <w:szCs w:val="24"/>
        </w:rPr>
        <w:t xml:space="preserve"> and t</w:t>
      </w:r>
      <w:r w:rsidR="001E0223" w:rsidRPr="006E0947">
        <w:rPr>
          <w:rStyle w:val="StyleArial"/>
          <w:rFonts w:cs="Arial"/>
          <w:szCs w:val="24"/>
        </w:rPr>
        <w:t xml:space="preserve">he </w:t>
      </w:r>
      <w:r w:rsidR="0092485E">
        <w:rPr>
          <w:rStyle w:val="StyleArial"/>
          <w:rFonts w:cs="Arial"/>
          <w:szCs w:val="24"/>
        </w:rPr>
        <w:t xml:space="preserve">count of the </w:t>
      </w:r>
      <w:r w:rsidR="001E0223" w:rsidRPr="006E0947">
        <w:rPr>
          <w:rStyle w:val="StyleArial"/>
          <w:rFonts w:cs="Arial"/>
          <w:i/>
          <w:szCs w:val="24"/>
        </w:rPr>
        <w:t xml:space="preserve">number of units </w:t>
      </w:r>
      <w:r w:rsidRPr="006E0947">
        <w:rPr>
          <w:rStyle w:val="StyleArial"/>
          <w:rFonts w:cs="Arial"/>
          <w:i/>
          <w:szCs w:val="24"/>
        </w:rPr>
        <w:t>in the relevant EMC that were in service</w:t>
      </w:r>
      <w:r w:rsidRPr="006E0947">
        <w:rPr>
          <w:rStyle w:val="StyleArial"/>
          <w:rFonts w:cs="Arial"/>
          <w:szCs w:val="24"/>
        </w:rPr>
        <w:t xml:space="preserve"> </w:t>
      </w:r>
      <w:r w:rsidR="001E0223" w:rsidRPr="006E0947">
        <w:rPr>
          <w:rStyle w:val="StyleArial"/>
          <w:rFonts w:cs="Arial"/>
          <w:i/>
          <w:szCs w:val="24"/>
        </w:rPr>
        <w:t>in the Reporting Period</w:t>
      </w:r>
      <w:r w:rsidR="0092485E">
        <w:rPr>
          <w:rStyle w:val="StyleArial"/>
          <w:rFonts w:cs="Arial"/>
          <w:i/>
          <w:szCs w:val="24"/>
        </w:rPr>
        <w:t xml:space="preserve">. </w:t>
      </w:r>
    </w:p>
    <w:p w14:paraId="6D9C7726" w14:textId="77777777" w:rsidR="00842DE0" w:rsidRPr="003B7835" w:rsidRDefault="0092485E" w:rsidP="0092485E">
      <w:pPr>
        <w:pStyle w:val="ssNoHeading3"/>
        <w:numPr>
          <w:ilvl w:val="0"/>
          <w:numId w:val="0"/>
        </w:numPr>
        <w:tabs>
          <w:tab w:val="left" w:pos="2410"/>
        </w:tabs>
        <w:ind w:left="1418"/>
        <w:rPr>
          <w:rStyle w:val="StyleArial"/>
          <w:rFonts w:cs="Arial"/>
          <w:szCs w:val="24"/>
        </w:rPr>
      </w:pPr>
      <w:r>
        <w:rPr>
          <w:rStyle w:val="StyleArial"/>
          <w:rFonts w:cs="Arial"/>
          <w:szCs w:val="24"/>
        </w:rPr>
        <w:t xml:space="preserve">This is an Accrual where the units in service in the Reporting Period is greater than </w:t>
      </w:r>
      <w:proofErr w:type="spellStart"/>
      <w:r w:rsidRPr="006E0947">
        <w:rPr>
          <w:rFonts w:ascii="Cambria Math" w:hAnsi="Cambria Math" w:cs="Arial"/>
          <w:i/>
          <w:sz w:val="28"/>
          <w:szCs w:val="24"/>
        </w:rPr>
        <w:t>E</w:t>
      </w:r>
      <w:r w:rsidRPr="006E0947">
        <w:rPr>
          <w:rFonts w:ascii="Cambria Math" w:hAnsi="Cambria Math"/>
          <w:i/>
          <w:sz w:val="28"/>
        </w:rPr>
        <w:t>MC</w:t>
      </w:r>
      <w:r w:rsidRPr="006E0947">
        <w:rPr>
          <w:rFonts w:ascii="Cambria Math" w:hAnsi="Cambria Math"/>
          <w:i/>
          <w:sz w:val="24"/>
          <w:szCs w:val="24"/>
        </w:rPr>
        <w:t>vb</w:t>
      </w:r>
      <w:proofErr w:type="spellEnd"/>
      <w:r w:rsidR="003B7835">
        <w:rPr>
          <w:rFonts w:ascii="Cambria Math" w:hAnsi="Cambria Math"/>
          <w:i/>
          <w:sz w:val="24"/>
          <w:szCs w:val="24"/>
        </w:rPr>
        <w:t xml:space="preserve">, </w:t>
      </w:r>
      <w:r w:rsidR="003B7835" w:rsidRPr="003B7835">
        <w:rPr>
          <w:rStyle w:val="StyleArial"/>
          <w:rFonts w:cs="Arial"/>
        </w:rPr>
        <w:t>otherwise</w:t>
      </w:r>
      <w:r w:rsidR="003B7835">
        <w:rPr>
          <w:rStyle w:val="StyleArial"/>
          <w:rFonts w:cs="Arial"/>
        </w:rPr>
        <w:t xml:space="preserve"> a</w:t>
      </w:r>
      <w:r w:rsidR="003B7835" w:rsidRPr="003B7835">
        <w:rPr>
          <w:rStyle w:val="StyleArial"/>
          <w:rFonts w:cs="Arial"/>
        </w:rPr>
        <w:t xml:space="preserve"> De-accrual</w:t>
      </w:r>
      <w:r w:rsidR="003B7835">
        <w:rPr>
          <w:rStyle w:val="StyleArial"/>
          <w:rFonts w:cs="Arial"/>
        </w:rPr>
        <w:t>.</w:t>
      </w:r>
    </w:p>
    <w:p w14:paraId="6D9C7727" w14:textId="77777777" w:rsidR="006E0947" w:rsidRPr="006E0947" w:rsidRDefault="006E0947" w:rsidP="006E0947">
      <w:pPr>
        <w:pStyle w:val="ssNoHeading3"/>
        <w:numPr>
          <w:ilvl w:val="0"/>
          <w:numId w:val="0"/>
        </w:numPr>
        <w:ind w:left="709"/>
        <w:rPr>
          <w:rStyle w:val="StyleArial"/>
          <w:rFonts w:cs="Arial"/>
          <w:szCs w:val="24"/>
        </w:rPr>
      </w:pPr>
      <w:r>
        <w:rPr>
          <w:rStyle w:val="StyleArial"/>
          <w:rFonts w:cs="Arial"/>
          <w:szCs w:val="24"/>
        </w:rPr>
        <w:t xml:space="preserve">Items (D), (E) and (F) are </w:t>
      </w:r>
      <w:r w:rsidRPr="00F9666A">
        <w:rPr>
          <w:rStyle w:val="StyleArial"/>
          <w:rFonts w:cs="Arial"/>
          <w:szCs w:val="24"/>
        </w:rPr>
        <w:t>as</w:t>
      </w:r>
      <w:r w:rsidRPr="00C4246C">
        <w:rPr>
          <w:rStyle w:val="StyleArial"/>
          <w:rFonts w:cs="Arial"/>
          <w:szCs w:val="24"/>
        </w:rPr>
        <w:t xml:space="preserve"> stated in Annex </w:t>
      </w:r>
      <w:r>
        <w:rPr>
          <w:rStyle w:val="StyleArial"/>
          <w:rFonts w:cs="Arial"/>
          <w:szCs w:val="24"/>
        </w:rPr>
        <w:t>1</w:t>
      </w:r>
      <w:r w:rsidRPr="00C4246C">
        <w:rPr>
          <w:rStyle w:val="StyleArial"/>
          <w:rFonts w:cs="Arial"/>
          <w:szCs w:val="24"/>
        </w:rPr>
        <w:t xml:space="preserve"> </w:t>
      </w:r>
      <w:r>
        <w:rPr>
          <w:rStyle w:val="StyleArial"/>
          <w:rFonts w:cs="Arial"/>
          <w:szCs w:val="24"/>
        </w:rPr>
        <w:t>(</w:t>
      </w:r>
      <w:r w:rsidRPr="00241198">
        <w:rPr>
          <w:i/>
          <w:szCs w:val="24"/>
        </w:rPr>
        <w:t>Equipment Maintenance Categories Unit Rates</w:t>
      </w:r>
      <w:r>
        <w:rPr>
          <w:rStyle w:val="StyleArial"/>
          <w:rFonts w:cs="Arial"/>
          <w:szCs w:val="24"/>
        </w:rPr>
        <w:t>) to this Schedule.</w:t>
      </w:r>
    </w:p>
    <w:p w14:paraId="6D9C772A" w14:textId="22E8ECF5" w:rsidR="006E0947" w:rsidRPr="006E0947" w:rsidRDefault="004E7099" w:rsidP="006670DE">
      <w:pPr>
        <w:pStyle w:val="ssNoHeading2"/>
        <w:spacing w:after="120"/>
      </w:pPr>
      <w:r w:rsidRPr="00842DE0">
        <w:rPr>
          <w:i/>
          <w:szCs w:val="24"/>
        </w:rPr>
        <w:t xml:space="preserve">The </w:t>
      </w:r>
      <w:r w:rsidR="00C0559D">
        <w:rPr>
          <w:i/>
          <w:szCs w:val="24"/>
        </w:rPr>
        <w:t xml:space="preserve">count of the </w:t>
      </w:r>
      <w:r w:rsidRPr="00842DE0">
        <w:rPr>
          <w:i/>
          <w:szCs w:val="24"/>
        </w:rPr>
        <w:t>numbe</w:t>
      </w:r>
      <w:r w:rsidRPr="00842DE0">
        <w:rPr>
          <w:rFonts w:cs="Arial"/>
          <w:i/>
        </w:rPr>
        <w:t xml:space="preserve">r of units </w:t>
      </w:r>
      <w:r w:rsidR="006670DE">
        <w:rPr>
          <w:rFonts w:cs="Arial"/>
          <w:i/>
        </w:rPr>
        <w:t>of</w:t>
      </w:r>
      <w:r w:rsidR="006E0947">
        <w:rPr>
          <w:rFonts w:cs="Arial"/>
          <w:i/>
        </w:rPr>
        <w:t xml:space="preserve"> an </w:t>
      </w:r>
      <w:r w:rsidRPr="00842DE0">
        <w:rPr>
          <w:rFonts w:cs="Arial"/>
          <w:i/>
        </w:rPr>
        <w:t>EMC</w:t>
      </w:r>
      <w:r w:rsidR="006E0947">
        <w:rPr>
          <w:rFonts w:cs="Arial"/>
          <w:i/>
        </w:rPr>
        <w:t xml:space="preserve"> that are in Service in a Reporting </w:t>
      </w:r>
      <w:r w:rsidR="006E0947">
        <w:rPr>
          <w:rFonts w:cs="Arial"/>
        </w:rPr>
        <w:t xml:space="preserve">Period </w:t>
      </w:r>
      <w:r w:rsidRPr="006E0947">
        <w:rPr>
          <w:rFonts w:cs="Arial"/>
        </w:rPr>
        <w:t>is calculated as</w:t>
      </w:r>
      <w:r w:rsidR="006E0947">
        <w:rPr>
          <w:rFonts w:cs="Arial"/>
        </w:rPr>
        <w:t>:</w:t>
      </w:r>
    </w:p>
    <w:p w14:paraId="6D9C772B" w14:textId="77777777" w:rsidR="004E7099" w:rsidRPr="0092485E" w:rsidRDefault="004E7099" w:rsidP="0092485E">
      <w:pPr>
        <w:pStyle w:val="ssNoHeading2"/>
        <w:numPr>
          <w:ilvl w:val="0"/>
          <w:numId w:val="0"/>
        </w:numPr>
        <w:ind w:left="709"/>
      </w:pPr>
      <w:r w:rsidRPr="0092485E">
        <w:t xml:space="preserve">the </w:t>
      </w:r>
      <w:r w:rsidR="0092485E">
        <w:t xml:space="preserve">sum of the </w:t>
      </w:r>
      <w:r w:rsidRPr="0092485E">
        <w:t xml:space="preserve">count of units of the relevant EMC </w:t>
      </w:r>
      <w:r w:rsidR="0092485E">
        <w:t>i</w:t>
      </w:r>
      <w:r w:rsidR="006E0947" w:rsidRPr="0092485E">
        <w:t xml:space="preserve">n service </w:t>
      </w:r>
      <w:r w:rsidRPr="0092485E">
        <w:t xml:space="preserve"> at t</w:t>
      </w:r>
      <w:r w:rsidRPr="00A41A81">
        <w:t>h</w:t>
      </w:r>
      <w:r w:rsidRPr="0092485E">
        <w:t>e commencement of the Reporting Period and the count of units of the relevant EMC in servic</w:t>
      </w:r>
      <w:r w:rsidRPr="00A41A81">
        <w:t>e at the end of the Reporting Period divided by two (2)</w:t>
      </w:r>
      <w:r>
        <w:t>.</w:t>
      </w:r>
    </w:p>
    <w:p w14:paraId="6D9C772C" w14:textId="77777777" w:rsidR="004E7099" w:rsidRDefault="004E7099" w:rsidP="00F20412">
      <w:pPr>
        <w:pStyle w:val="ssNoHeading2"/>
      </w:pPr>
      <w:r w:rsidRPr="002F0B70">
        <w:t xml:space="preserve">The count of the number of units in each </w:t>
      </w:r>
      <w:r>
        <w:t>EMC</w:t>
      </w:r>
      <w:r w:rsidRPr="002F0B70">
        <w:t xml:space="preserve"> </w:t>
      </w:r>
      <w:r w:rsidR="00091819">
        <w:t>is</w:t>
      </w:r>
      <w:r w:rsidRPr="002F0B70">
        <w:t xml:space="preserve"> automatically calculated in SFM from data associated with the Agreement at 00:00 hours on the first day of the relevant Reporting Period.</w:t>
      </w:r>
    </w:p>
    <w:p w14:paraId="6D9C772D" w14:textId="77777777" w:rsidR="004E7099" w:rsidRPr="00933B9C" w:rsidRDefault="004E7099" w:rsidP="00F20412">
      <w:pPr>
        <w:pStyle w:val="ssPara1"/>
        <w:keepNext/>
        <w:rPr>
          <w:b/>
        </w:rPr>
      </w:pPr>
      <w:r w:rsidRPr="00933B9C">
        <w:rPr>
          <w:b/>
        </w:rPr>
        <w:t>Service Failure Abatement (SFA)</w:t>
      </w:r>
    </w:p>
    <w:p w14:paraId="6D9C772E" w14:textId="77777777" w:rsidR="004E7099" w:rsidRPr="009B78D6" w:rsidRDefault="004E7099" w:rsidP="00F20412">
      <w:pPr>
        <w:pStyle w:val="ssNoHeading2"/>
      </w:pPr>
      <w:r w:rsidRPr="009B78D6">
        <w:t xml:space="preserve">Service Failure Abatements </w:t>
      </w:r>
      <w:r>
        <w:t>accrue</w:t>
      </w:r>
      <w:r w:rsidRPr="009B78D6">
        <w:t>:</w:t>
      </w:r>
    </w:p>
    <w:p w14:paraId="6D9C772F" w14:textId="77777777" w:rsidR="004E7099" w:rsidRPr="009B78D6" w:rsidRDefault="005426C8" w:rsidP="00F20412">
      <w:pPr>
        <w:pStyle w:val="ssNoHeading3"/>
        <w:tabs>
          <w:tab w:val="left" w:pos="1418"/>
        </w:tabs>
      </w:pPr>
      <w:r>
        <w:t xml:space="preserve">through </w:t>
      </w:r>
      <w:r w:rsidR="004E7099" w:rsidRPr="0006315A">
        <w:t>Fault Response and Resolution</w:t>
      </w:r>
      <w:r>
        <w:t xml:space="preserve"> not meeting the relevant target Response Time or target Resolution Time for Faults assigned as FSL C or FSL 1</w:t>
      </w:r>
      <w:r w:rsidR="004E7099" w:rsidRPr="0006315A">
        <w:t>;</w:t>
      </w:r>
      <w:r w:rsidR="004E7099" w:rsidRPr="009B78D6">
        <w:t xml:space="preserve"> and</w:t>
      </w:r>
    </w:p>
    <w:p w14:paraId="6D9C7730" w14:textId="77777777" w:rsidR="004E7099" w:rsidRPr="009B78D6" w:rsidRDefault="005426C8" w:rsidP="00F20412">
      <w:pPr>
        <w:pStyle w:val="ssNoHeading3"/>
        <w:tabs>
          <w:tab w:val="left" w:pos="1418"/>
        </w:tabs>
      </w:pPr>
      <w:r>
        <w:t xml:space="preserve">through the aggregation of Service Failure Points in respect of </w:t>
      </w:r>
      <w:r w:rsidR="003102BE">
        <w:t>Service Level Indicators</w:t>
      </w:r>
      <w:r w:rsidR="004E7099" w:rsidRPr="009B78D6">
        <w:t>.</w:t>
      </w:r>
    </w:p>
    <w:p w14:paraId="6D9C7731" w14:textId="77777777" w:rsidR="004E7099" w:rsidRPr="00FB75AA" w:rsidRDefault="004E7099" w:rsidP="00F20412">
      <w:pPr>
        <w:pStyle w:val="ssNoHeading2"/>
      </w:pPr>
      <w:r w:rsidRPr="00FB75AA">
        <w:t>T</w:t>
      </w:r>
      <w:r>
        <w:t>he t</w:t>
      </w:r>
      <w:r w:rsidRPr="00FB75AA">
        <w:t>otal Service Failure Abatement</w:t>
      </w:r>
      <w:r>
        <w:t xml:space="preserve"> for a given Reporting Period</w:t>
      </w:r>
      <w:r w:rsidRPr="00FB75AA">
        <w:t xml:space="preserve"> is</w:t>
      </w:r>
      <w:r>
        <w:t xml:space="preserve"> calculated as</w:t>
      </w:r>
      <w:r w:rsidRPr="00FB75AA">
        <w:t>:</w:t>
      </w:r>
    </w:p>
    <w:p w14:paraId="6D9C7732" w14:textId="44190448" w:rsidR="004E7099" w:rsidRPr="00933B9C" w:rsidRDefault="007D286B" w:rsidP="00AD662A">
      <w:pPr>
        <w:jc w:val="center"/>
      </w:pPr>
      <m:oMath>
        <m:r>
          <w:rPr>
            <w:rFonts w:ascii="Cambria Math" w:hAnsi="Cambria Math" w:cs="Arial"/>
            <w:sz w:val="24"/>
            <w:szCs w:val="24"/>
          </w:rPr>
          <m:t>SFA=</m:t>
        </m:r>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SFA</m:t>
                </m:r>
              </m:e>
              <m:sub>
                <m:r>
                  <w:rPr>
                    <w:rFonts w:ascii="Cambria Math" w:hAnsi="Cambria Math" w:cs="Arial"/>
                    <w:sz w:val="24"/>
                    <w:szCs w:val="24"/>
                  </w:rPr>
                  <m:t>FR</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SFA</m:t>
                </m:r>
              </m:e>
              <m:sub>
                <m:r>
                  <w:rPr>
                    <w:rFonts w:ascii="Cambria Math" w:hAnsi="Cambria Math" w:cs="Arial"/>
                    <w:sz w:val="24"/>
                    <w:szCs w:val="24"/>
                  </w:rPr>
                  <m:t>SLI</m:t>
                </m:r>
              </m:sub>
            </m:sSub>
          </m:e>
        </m:d>
        <m:r>
          <w:rPr>
            <w:rFonts w:ascii="Cambria Math" w:hAnsi="Cambria Math" w:cs="Arial"/>
            <w:sz w:val="24"/>
            <w:szCs w:val="24"/>
          </w:rPr>
          <m:t>×£600×AI</m:t>
        </m:r>
      </m:oMath>
      <w:r w:rsidR="009C30EC" w:rsidRPr="009C30EC">
        <w:t xml:space="preserve"> </w:t>
      </w:r>
    </w:p>
    <w:p w14:paraId="6D9C7733" w14:textId="77777777" w:rsidR="004E7099" w:rsidRPr="005426C8" w:rsidRDefault="004E7099" w:rsidP="005426C8">
      <w:pPr>
        <w:pStyle w:val="ssPara2"/>
        <w:rPr>
          <w:b/>
          <w:i/>
        </w:rPr>
      </w:pPr>
      <w:r w:rsidRPr="00810CF7">
        <w:t>where:</w:t>
      </w:r>
      <w:r w:rsidR="005426C8">
        <w:t xml:space="preserve"> </w:t>
      </w:r>
    </w:p>
    <w:p w14:paraId="6D9C7734" w14:textId="13C66476" w:rsidR="00BF34CD" w:rsidRPr="00810CF7" w:rsidRDefault="00BF34CD" w:rsidP="00BF34CD">
      <w:pPr>
        <w:pStyle w:val="ssNoHeading3"/>
      </w:pPr>
      <w:r>
        <w:t>the value of each Service Failure Abatement is £600;</w:t>
      </w:r>
    </w:p>
    <w:p w14:paraId="6D9C7735" w14:textId="77777777" w:rsidR="004E7099" w:rsidRPr="0006315A" w:rsidRDefault="004E7099" w:rsidP="00BF34CD">
      <w:pPr>
        <w:pStyle w:val="ssNoHeading3"/>
      </w:pPr>
      <w:r w:rsidRPr="00BF34CD">
        <w:rPr>
          <w:rFonts w:ascii="Cambria Math" w:hAnsi="Cambria Math"/>
          <w:i/>
        </w:rPr>
        <w:t>AI</w:t>
      </w:r>
      <w:r w:rsidRPr="00C4246C">
        <w:rPr>
          <w:rStyle w:val="StyleArial"/>
          <w:rFonts w:cs="Arial"/>
          <w:szCs w:val="24"/>
        </w:rPr>
        <w:t xml:space="preserve"> </w:t>
      </w:r>
      <w:r>
        <w:rPr>
          <w:rStyle w:val="StyleArial"/>
          <w:rFonts w:cs="Arial"/>
          <w:szCs w:val="24"/>
        </w:rPr>
        <w:tab/>
      </w:r>
      <w:r w:rsidRPr="00F9666A">
        <w:t>means Annual Indexation</w:t>
      </w:r>
      <w:r w:rsidRPr="0006315A">
        <w:t>;</w:t>
      </w:r>
    </w:p>
    <w:p w14:paraId="6D9C7736" w14:textId="77777777" w:rsidR="004E7099" w:rsidRPr="00725508" w:rsidRDefault="004E7099" w:rsidP="00BF34CD">
      <w:pPr>
        <w:pStyle w:val="ssNoHeading3"/>
        <w:rPr>
          <w:rStyle w:val="StyleArial"/>
          <w:rFonts w:cs="Arial"/>
          <w:szCs w:val="24"/>
        </w:rPr>
      </w:pPr>
      <w:r w:rsidRPr="00725508">
        <w:rPr>
          <w:rFonts w:ascii="Cambria Math" w:hAnsi="Cambria Math"/>
          <w:i/>
        </w:rPr>
        <w:t>SF</w:t>
      </w:r>
      <w:r w:rsidR="00725508" w:rsidRPr="00725508">
        <w:rPr>
          <w:rFonts w:ascii="Cambria Math" w:hAnsi="Cambria Math"/>
          <w:i/>
        </w:rPr>
        <w:t>A</w:t>
      </w:r>
      <w:r w:rsidRPr="00725508">
        <w:rPr>
          <w:rFonts w:ascii="Cambria Math" w:hAnsi="Cambria Math"/>
          <w:i/>
          <w:vertAlign w:val="subscript"/>
        </w:rPr>
        <w:t>FR</w:t>
      </w:r>
      <w:r w:rsidRPr="00725508">
        <w:t xml:space="preserve"> </w:t>
      </w:r>
      <w:r w:rsidRPr="00725508">
        <w:tab/>
      </w:r>
      <w:r w:rsidRPr="00725508">
        <w:rPr>
          <w:rStyle w:val="StyleArial"/>
          <w:rFonts w:cs="Arial"/>
          <w:szCs w:val="24"/>
        </w:rPr>
        <w:t>means the number of SF</w:t>
      </w:r>
      <w:r w:rsidR="005426C8" w:rsidRPr="00725508">
        <w:rPr>
          <w:rStyle w:val="StyleArial"/>
          <w:rFonts w:cs="Arial"/>
          <w:szCs w:val="24"/>
        </w:rPr>
        <w:t>A</w:t>
      </w:r>
      <w:r w:rsidRPr="00725508">
        <w:rPr>
          <w:rStyle w:val="StyleArial"/>
          <w:rFonts w:cs="Arial"/>
          <w:szCs w:val="24"/>
        </w:rPr>
        <w:t xml:space="preserve">s for Fault Response and Resolution </w:t>
      </w:r>
      <w:r w:rsidR="005426C8" w:rsidRPr="00725508">
        <w:t xml:space="preserve">for Faults assigned as FSL C or FSL 1 </w:t>
      </w:r>
      <w:r w:rsidRPr="00725508">
        <w:rPr>
          <w:rStyle w:val="StyleArial"/>
          <w:rFonts w:cs="Arial"/>
          <w:szCs w:val="24"/>
        </w:rPr>
        <w:t xml:space="preserve">in the Reporting Period calculated in accordance with </w:t>
      </w:r>
      <w:r w:rsidR="005426C8" w:rsidRPr="00725508">
        <w:rPr>
          <w:rStyle w:val="StyleArial"/>
          <w:rFonts w:cs="Arial"/>
          <w:szCs w:val="24"/>
        </w:rPr>
        <w:t>Appendix 3 (</w:t>
      </w:r>
      <w:r w:rsidR="005426C8" w:rsidRPr="00725508">
        <w:rPr>
          <w:rStyle w:val="StyleArial"/>
          <w:rFonts w:cs="Arial"/>
          <w:i/>
          <w:szCs w:val="24"/>
        </w:rPr>
        <w:t>Fault Management Process</w:t>
      </w:r>
      <w:r w:rsidR="005426C8" w:rsidRPr="00725508">
        <w:rPr>
          <w:rStyle w:val="StyleArial"/>
          <w:rFonts w:cs="Arial"/>
          <w:szCs w:val="24"/>
        </w:rPr>
        <w:t>) to Schedule 2 (</w:t>
      </w:r>
      <w:r w:rsidR="005426C8" w:rsidRPr="00725508">
        <w:rPr>
          <w:rStyle w:val="StyleArial"/>
          <w:rFonts w:cs="Arial"/>
          <w:i/>
          <w:szCs w:val="24"/>
        </w:rPr>
        <w:t>Statement of Requirements</w:t>
      </w:r>
      <w:r w:rsidR="005426C8" w:rsidRPr="00725508">
        <w:rPr>
          <w:rStyle w:val="StyleArial"/>
          <w:rFonts w:cs="Arial"/>
          <w:szCs w:val="24"/>
        </w:rPr>
        <w:t>)</w:t>
      </w:r>
      <w:r w:rsidRPr="00725508">
        <w:rPr>
          <w:rStyle w:val="StyleArial"/>
          <w:rFonts w:cs="Arial"/>
          <w:szCs w:val="24"/>
        </w:rPr>
        <w:t>;</w:t>
      </w:r>
      <w:r w:rsidR="001E62C9" w:rsidRPr="00725508">
        <w:rPr>
          <w:rStyle w:val="StyleArial"/>
          <w:rFonts w:cs="Arial"/>
          <w:szCs w:val="24"/>
        </w:rPr>
        <w:t xml:space="preserve"> and</w:t>
      </w:r>
      <w:r w:rsidR="005426C8" w:rsidRPr="00725508">
        <w:rPr>
          <w:rStyle w:val="StyleArial"/>
          <w:rFonts w:cs="Arial"/>
          <w:szCs w:val="24"/>
        </w:rPr>
        <w:t xml:space="preserve"> </w:t>
      </w:r>
    </w:p>
    <w:p w14:paraId="6D9C7737" w14:textId="77777777" w:rsidR="004E7099" w:rsidRDefault="004E7099" w:rsidP="00BF34CD">
      <w:pPr>
        <w:pStyle w:val="ssNoHeading3"/>
        <w:rPr>
          <w:rStyle w:val="StyleArial"/>
          <w:rFonts w:cs="Arial"/>
          <w:szCs w:val="24"/>
        </w:rPr>
      </w:pPr>
      <w:r w:rsidRPr="00BF34CD">
        <w:rPr>
          <w:rFonts w:ascii="Cambria Math" w:hAnsi="Cambria Math"/>
          <w:i/>
        </w:rPr>
        <w:t>SF</w:t>
      </w:r>
      <w:r w:rsidR="009C30EC">
        <w:rPr>
          <w:rFonts w:ascii="Cambria Math" w:hAnsi="Cambria Math"/>
          <w:i/>
        </w:rPr>
        <w:t>A</w:t>
      </w:r>
      <w:r w:rsidRPr="00BF34CD">
        <w:rPr>
          <w:rFonts w:ascii="Cambria Math" w:hAnsi="Cambria Math"/>
          <w:i/>
          <w:vertAlign w:val="subscript"/>
        </w:rPr>
        <w:t>SLI</w:t>
      </w:r>
      <w:r w:rsidRPr="00810CF7">
        <w:t xml:space="preserve"> </w:t>
      </w:r>
      <w:r>
        <w:tab/>
        <w:t>means</w:t>
      </w:r>
      <w:r w:rsidRPr="00810CF7">
        <w:t xml:space="preserve"> the </w:t>
      </w:r>
      <w:r w:rsidR="009C30EC">
        <w:t xml:space="preserve">number of SFAs for the </w:t>
      </w:r>
      <w:r w:rsidRPr="00810CF7">
        <w:t xml:space="preserve">number of </w:t>
      </w:r>
      <w:r>
        <w:t>SFP</w:t>
      </w:r>
      <w:r w:rsidRPr="00810CF7">
        <w:t>s</w:t>
      </w:r>
      <w:r>
        <w:t xml:space="preserve"> </w:t>
      </w:r>
      <w:r w:rsidR="009C30EC">
        <w:t xml:space="preserve">accrued </w:t>
      </w:r>
      <w:r>
        <w:t>for Service Level Indicators</w:t>
      </w:r>
      <w:r w:rsidRPr="00810CF7">
        <w:t xml:space="preserve"> in the Reporting Period calculated in accordance </w:t>
      </w:r>
      <w:r w:rsidRPr="00F9666A">
        <w:t xml:space="preserve">with </w:t>
      </w:r>
      <w:r w:rsidRPr="00F9666A">
        <w:rPr>
          <w:rStyle w:val="StyleArial"/>
          <w:rFonts w:cs="Arial"/>
          <w:szCs w:val="24"/>
        </w:rPr>
        <w:t>Schedule 5 (</w:t>
      </w:r>
      <w:r w:rsidRPr="00F9666A">
        <w:rPr>
          <w:rStyle w:val="StyleArial"/>
          <w:rFonts w:cs="Arial"/>
          <w:i/>
          <w:szCs w:val="24"/>
        </w:rPr>
        <w:t>Service Level Agreement</w:t>
      </w:r>
      <w:r w:rsidR="001E62C9">
        <w:rPr>
          <w:rStyle w:val="StyleArial"/>
          <w:rFonts w:cs="Arial"/>
          <w:szCs w:val="24"/>
        </w:rPr>
        <w:t>).</w:t>
      </w:r>
    </w:p>
    <w:p w14:paraId="6D9C7738" w14:textId="77777777" w:rsidR="004E7099" w:rsidRPr="006F6FFB" w:rsidRDefault="004E7099" w:rsidP="006F6FFB">
      <w:pPr>
        <w:pStyle w:val="ssNoHeading2"/>
      </w:pPr>
      <w:r w:rsidRPr="009B78D6">
        <w:t xml:space="preserve">The </w:t>
      </w:r>
      <w:r>
        <w:t>Service Provider</w:t>
      </w:r>
      <w:r w:rsidRPr="009B78D6">
        <w:t xml:space="preserve"> may raise</w:t>
      </w:r>
      <w:r>
        <w:t xml:space="preserve"> </w:t>
      </w:r>
      <w:r w:rsidRPr="009B78D6">
        <w:t xml:space="preserve">queries regarding performance, </w:t>
      </w:r>
      <w:r w:rsidRPr="00F9666A">
        <w:t>payment and Abatement records at each Periodic Review</w:t>
      </w:r>
      <w:r w:rsidRPr="009B78D6">
        <w:t xml:space="preserve"> </w:t>
      </w:r>
      <w:r>
        <w:t>M</w:t>
      </w:r>
      <w:r w:rsidRPr="009B78D6">
        <w:t xml:space="preserve">eeting provided that these queries relate to </w:t>
      </w:r>
      <w:r w:rsidRPr="00F9666A">
        <w:t>unresolved</w:t>
      </w:r>
      <w:r w:rsidR="006F6FFB">
        <w:t xml:space="preserve"> TPMP</w:t>
      </w:r>
      <w:r w:rsidRPr="00F9666A">
        <w:t xml:space="preserve"> Objections raised under</w:t>
      </w:r>
      <w:r w:rsidRPr="009B78D6">
        <w:t xml:space="preserve"> the provisions of </w:t>
      </w:r>
      <w:r w:rsidR="006F6FFB">
        <w:t xml:space="preserve">paragraph </w:t>
      </w:r>
      <w:r w:rsidR="008F5AB6">
        <w:fldChar w:fldCharType="begin"/>
      </w:r>
      <w:r w:rsidR="002D2034">
        <w:instrText xml:space="preserve"> REF _Ref402164080 \r \h </w:instrText>
      </w:r>
      <w:r w:rsidR="008F5AB6">
        <w:fldChar w:fldCharType="separate"/>
      </w:r>
      <w:r w:rsidR="00F342D7">
        <w:t>1.13</w:t>
      </w:r>
      <w:r w:rsidR="008F5AB6">
        <w:fldChar w:fldCharType="end"/>
      </w:r>
      <w:r w:rsidRPr="00A970C4">
        <w:rPr>
          <w:highlight w:val="yellow"/>
        </w:rPr>
        <w:t xml:space="preserve"> </w:t>
      </w:r>
      <w:r w:rsidRPr="006F6FFB">
        <w:t>(</w:t>
      </w:r>
      <w:r w:rsidR="006F6FFB" w:rsidRPr="006F6FFB">
        <w:rPr>
          <w:i/>
        </w:rPr>
        <w:t>Invoicing for Preventative Maintenance and Fault Management Activities</w:t>
      </w:r>
      <w:r w:rsidRPr="006F6FFB">
        <w:t>). Where no queries are raised the Service Provider shall be deemed to have accepted the records for the preceding Reporting Periods.</w:t>
      </w:r>
    </w:p>
    <w:p w14:paraId="6D9C7739" w14:textId="77777777" w:rsidR="004E7099" w:rsidRPr="00933B9C" w:rsidRDefault="004E7099" w:rsidP="002758D1">
      <w:pPr>
        <w:pStyle w:val="ssPara1"/>
        <w:keepNext/>
        <w:rPr>
          <w:b/>
        </w:rPr>
      </w:pPr>
      <w:r w:rsidRPr="00933B9C">
        <w:rPr>
          <w:b/>
        </w:rPr>
        <w:lastRenderedPageBreak/>
        <w:t>Preventive Maintenance Abatement (PMA)</w:t>
      </w:r>
    </w:p>
    <w:p w14:paraId="6D9C773A" w14:textId="77777777" w:rsidR="004E7099" w:rsidRPr="00AB1484" w:rsidRDefault="004E7099" w:rsidP="00F20412">
      <w:pPr>
        <w:pStyle w:val="ssNoHeading2"/>
      </w:pPr>
      <w:r w:rsidRPr="009B78D6">
        <w:t xml:space="preserve">Preventive Maintenance Abatements will apply where the following </w:t>
      </w:r>
      <w:r>
        <w:t>activities</w:t>
      </w:r>
      <w:r w:rsidRPr="009B78D6">
        <w:t xml:space="preserve"> are not carr</w:t>
      </w:r>
      <w:r w:rsidRPr="00AB1484">
        <w:t>ied out on time:</w:t>
      </w:r>
    </w:p>
    <w:p w14:paraId="6D9C773B" w14:textId="77777777" w:rsidR="004E7099" w:rsidRPr="006E70AB" w:rsidRDefault="004E7099" w:rsidP="00F20412">
      <w:pPr>
        <w:pStyle w:val="ssNoHeading3"/>
        <w:tabs>
          <w:tab w:val="left" w:pos="1418"/>
        </w:tabs>
      </w:pPr>
      <w:r w:rsidRPr="006E70AB">
        <w:t>Electrical Periodic Inspections;</w:t>
      </w:r>
    </w:p>
    <w:p w14:paraId="6D9C773C" w14:textId="77777777" w:rsidR="004E7099" w:rsidRPr="00AB1484" w:rsidRDefault="004E7099" w:rsidP="00F20412">
      <w:pPr>
        <w:pStyle w:val="ssNoHeading3"/>
        <w:tabs>
          <w:tab w:val="left" w:pos="1418"/>
        </w:tabs>
      </w:pPr>
      <w:r w:rsidRPr="00AB1484">
        <w:t xml:space="preserve">Annual Preventive Maintenance </w:t>
      </w:r>
      <w:r w:rsidR="006F6FFB">
        <w:t>Events</w:t>
      </w:r>
      <w:r>
        <w:t>.</w:t>
      </w:r>
    </w:p>
    <w:p w14:paraId="6D9C773D" w14:textId="77777777" w:rsidR="004E7099" w:rsidRPr="00AB1484" w:rsidRDefault="004E7099" w:rsidP="00F20412">
      <w:pPr>
        <w:pStyle w:val="ssNoHeading2"/>
      </w:pPr>
      <w:r w:rsidRPr="00AB1484">
        <w:t>The total Preventive Maintenance Abatement for a Reporting Period is calculated as:</w:t>
      </w:r>
    </w:p>
    <w:p w14:paraId="6D9C773E" w14:textId="77777777" w:rsidR="00763A2B" w:rsidRPr="00250897" w:rsidRDefault="007D286B" w:rsidP="00763A2B">
      <w:pPr>
        <w:jc w:val="center"/>
        <w:rPr>
          <w:rFonts w:cs="Arial"/>
          <w:sz w:val="24"/>
          <w:szCs w:val="24"/>
        </w:rPr>
      </w:pPr>
      <m:oMathPara>
        <m:oMath>
          <m:r>
            <w:rPr>
              <w:rFonts w:ascii="Cambria Math" w:hAnsi="Cambria Math" w:cs="Arial"/>
              <w:sz w:val="24"/>
              <w:szCs w:val="24"/>
            </w:rPr>
            <m:t>PMA=</m:t>
          </m:r>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EPI</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APM</m:t>
                  </m:r>
                </m:sub>
              </m:sSub>
            </m:e>
          </m:d>
          <m:r>
            <w:rPr>
              <w:rFonts w:ascii="Cambria Math" w:hAnsi="Cambria Math" w:cs="Arial"/>
              <w:sz w:val="24"/>
              <w:szCs w:val="24"/>
            </w:rPr>
            <m:t>×AI</m:t>
          </m:r>
        </m:oMath>
      </m:oMathPara>
    </w:p>
    <w:p w14:paraId="6D9C773F" w14:textId="77777777" w:rsidR="00763A2B" w:rsidRPr="00BF34CD" w:rsidRDefault="00763A2B" w:rsidP="00BF34CD">
      <w:pPr>
        <w:jc w:val="center"/>
        <w:rPr>
          <w:highlight w:val="yellow"/>
        </w:rPr>
      </w:pPr>
    </w:p>
    <w:p w14:paraId="6D9C7740" w14:textId="77777777" w:rsidR="004E7099" w:rsidRDefault="00BF34CD" w:rsidP="00BF34CD">
      <w:pPr>
        <w:pStyle w:val="ssPara2"/>
      </w:pPr>
      <w:r>
        <w:t>w</w:t>
      </w:r>
      <w:r w:rsidR="004E7099" w:rsidRPr="001F2C7E">
        <w:t>here</w:t>
      </w:r>
      <w:r w:rsidR="004E7099">
        <w:t>:</w:t>
      </w:r>
    </w:p>
    <w:p w14:paraId="6D9C7741" w14:textId="77777777" w:rsidR="004E7099" w:rsidRPr="0006315A" w:rsidRDefault="004E7099" w:rsidP="00BF34CD">
      <w:pPr>
        <w:pStyle w:val="ssNoHeading3"/>
      </w:pPr>
      <w:r w:rsidRPr="00C4246C">
        <w:rPr>
          <w:rFonts w:ascii="Cambria Math" w:hAnsi="Cambria Math"/>
          <w:i/>
        </w:rPr>
        <w:t>A</w:t>
      </w:r>
      <w:r>
        <w:rPr>
          <w:rFonts w:ascii="Cambria Math" w:hAnsi="Cambria Math"/>
          <w:i/>
        </w:rPr>
        <w:t>I</w:t>
      </w:r>
      <w:r w:rsidRPr="00C4246C">
        <w:rPr>
          <w:rStyle w:val="StyleArial"/>
          <w:rFonts w:cs="Arial"/>
          <w:szCs w:val="24"/>
        </w:rPr>
        <w:t xml:space="preserve"> </w:t>
      </w:r>
      <w:r>
        <w:rPr>
          <w:rStyle w:val="StyleArial"/>
          <w:rFonts w:cs="Arial"/>
          <w:szCs w:val="24"/>
        </w:rPr>
        <w:tab/>
      </w:r>
      <w:r w:rsidRPr="0006315A">
        <w:t>means Annual Indexation;</w:t>
      </w:r>
    </w:p>
    <w:p w14:paraId="6D9C7742" w14:textId="77777777" w:rsidR="004E7099" w:rsidRPr="00933B9C" w:rsidRDefault="00A26558" w:rsidP="00BF34CD">
      <w:pPr>
        <w:pStyle w:val="ssNoHeading3"/>
      </w:pPr>
      <m:oMath>
        <m:sSub>
          <m:sSubPr>
            <m:ctrlPr>
              <w:rPr>
                <w:rFonts w:ascii="Cambria Math" w:eastAsia="Calibri" w:hAnsi="Cambria Math" w:cs="Arial"/>
                <w:i/>
                <w:szCs w:val="24"/>
                <w:lang w:eastAsia="en-US"/>
              </w:rPr>
            </m:ctrlPr>
          </m:sSubPr>
          <m:e>
            <m:r>
              <w:rPr>
                <w:rFonts w:ascii="Cambria Math" w:hAnsi="Cambria Math" w:cs="Arial"/>
                <w:szCs w:val="24"/>
              </w:rPr>
              <m:t>A</m:t>
            </m:r>
          </m:e>
          <m:sub>
            <m:r>
              <w:rPr>
                <w:rFonts w:ascii="Cambria Math" w:hAnsi="Cambria Math" w:cs="Arial"/>
                <w:szCs w:val="24"/>
              </w:rPr>
              <m:t>EPI</m:t>
            </m:r>
          </m:sub>
        </m:sSub>
        <m:r>
          <w:rPr>
            <w:rFonts w:ascii="Cambria Math" w:hAnsi="Cambria Math" w:cs="Arial"/>
            <w:szCs w:val="24"/>
          </w:rPr>
          <m:t>=</m:t>
        </m:r>
        <m:nary>
          <m:naryPr>
            <m:chr m:val="∑"/>
            <m:limLoc m:val="undOvr"/>
            <m:subHide m:val="1"/>
            <m:supHide m:val="1"/>
            <m:ctrlPr>
              <w:rPr>
                <w:rFonts w:ascii="Cambria Math" w:eastAsia="Calibri" w:hAnsi="Cambria Math" w:cs="Arial"/>
                <w:i/>
                <w:szCs w:val="24"/>
                <w:lang w:eastAsia="en-US"/>
              </w:rPr>
            </m:ctrlPr>
          </m:naryPr>
          <m:sub/>
          <m:sup/>
          <m:e>
            <m:d>
              <m:dPr>
                <m:begChr m:val="["/>
                <m:endChr m:val="]"/>
                <m:ctrlPr>
                  <w:rPr>
                    <w:rFonts w:ascii="Cambria Math" w:eastAsia="Calibri" w:hAnsi="Cambria Math" w:cs="Arial"/>
                    <w:i/>
                    <w:szCs w:val="24"/>
                    <w:lang w:eastAsia="en-US"/>
                  </w:rPr>
                </m:ctrlPr>
              </m:dPr>
              <m:e>
                <m:sSub>
                  <m:sSubPr>
                    <m:ctrlPr>
                      <w:rPr>
                        <w:rFonts w:ascii="Cambria Math" w:eastAsia="Calibri" w:hAnsi="Cambria Math" w:cs="Arial"/>
                        <w:i/>
                        <w:szCs w:val="24"/>
                        <w:lang w:eastAsia="en-US"/>
                      </w:rPr>
                    </m:ctrlPr>
                  </m:sSubPr>
                  <m:e>
                    <m:r>
                      <w:rPr>
                        <w:rFonts w:ascii="Cambria Math" w:hAnsi="Cambria Math" w:cs="Arial"/>
                        <w:szCs w:val="24"/>
                      </w:rPr>
                      <m:t>EMC</m:t>
                    </m:r>
                  </m:e>
                  <m:sub>
                    <m:r>
                      <w:rPr>
                        <w:rFonts w:ascii="Cambria Math" w:hAnsi="Cambria Math" w:cs="Arial"/>
                        <w:szCs w:val="24"/>
                      </w:rPr>
                      <m:t>P</m:t>
                    </m:r>
                  </m:sub>
                </m:sSub>
                <m:r>
                  <w:rPr>
                    <w:rFonts w:ascii="Cambria Math" w:hAnsi="Cambria Math" w:cs="Arial"/>
                    <w:szCs w:val="24"/>
                  </w:rPr>
                  <m:t>×Electrical PI Failure Count ×20%</m:t>
                </m:r>
              </m:e>
            </m:d>
          </m:e>
        </m:nary>
      </m:oMath>
      <w:r w:rsidR="006F6FFB">
        <w:t xml:space="preserve">; </w:t>
      </w:r>
    </w:p>
    <w:p w14:paraId="6D9C7743" w14:textId="77777777" w:rsidR="004E7099" w:rsidRDefault="008F5AB6" w:rsidP="00BF34CD">
      <w:pPr>
        <w:pStyle w:val="ssNoHeading3"/>
      </w:pPr>
      <w:r w:rsidRPr="00A01BC4">
        <w:fldChar w:fldCharType="begin"/>
      </w:r>
      <w:r w:rsidR="00A01BC4" w:rsidRPr="00A01BC4">
        <w:instrText xml:space="preserve"> QUOTE </w:instrText>
      </w:r>
      <m:oMath>
        <m:sSub>
          <m:sSubPr>
            <m:ctrlPr>
              <w:rPr>
                <w:rFonts w:ascii="Cambria Math" w:hAnsi="Cambria Math" w:cs="Arial"/>
                <w:i/>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EPI</m:t>
            </m:r>
          </m:sub>
        </m:sSub>
        <m:r>
          <m:rPr>
            <m:sty m:val="p"/>
          </m:rPr>
          <w:rPr>
            <w:rFonts w:ascii="Cambria Math" w:hAnsi="Cambria Math" w:cs="Arial"/>
            <w:sz w:val="24"/>
            <w:szCs w:val="24"/>
          </w:rPr>
          <m:t>=</m:t>
        </m:r>
        <m:nary>
          <m:naryPr>
            <m:chr m:val="∑"/>
            <m:limLoc m:val="undOvr"/>
            <m:subHide m:val="1"/>
            <m:supHide m:val="1"/>
            <m:ctrlPr>
              <w:rPr>
                <w:rFonts w:ascii="Cambria Math" w:hAnsi="Cambria Math" w:cs="Arial"/>
                <w:i/>
                <w:sz w:val="24"/>
                <w:szCs w:val="24"/>
              </w:rPr>
            </m:ctrlPr>
          </m:naryPr>
          <m:sub/>
          <m:sup/>
          <m:e>
            <m:r>
              <m:rPr>
                <m:sty m:val="p"/>
              </m:rPr>
              <w:rPr>
                <w:rFonts w:ascii="Cambria Math" w:hAnsi="Cambria Math" w:cs="Arial"/>
                <w:sz w:val="24"/>
                <w:szCs w:val="24"/>
              </w:rPr>
              <m:t>[Electrical Pi Faliure Count ×20%</m:t>
            </m:r>
          </m:e>
        </m:nary>
      </m:oMath>
      <w:r w:rsidR="00A01BC4" w:rsidRPr="00A01BC4">
        <w:instrText xml:space="preserve"> </w:instrText>
      </w:r>
      <w:r w:rsidRPr="00A01BC4">
        <w:fldChar w:fldCharType="end"/>
      </w:r>
      <m:oMath>
        <m:sSub>
          <m:sSubPr>
            <m:ctrlPr>
              <w:rPr>
                <w:rFonts w:ascii="Cambria Math" w:eastAsia="Calibri" w:hAnsi="Cambria Math" w:cs="Arial"/>
                <w:i/>
                <w:szCs w:val="24"/>
                <w:lang w:eastAsia="en-US"/>
              </w:rPr>
            </m:ctrlPr>
          </m:sSubPr>
          <m:e>
            <m:r>
              <w:rPr>
                <w:rFonts w:ascii="Cambria Math" w:hAnsi="Cambria Math" w:cs="Arial"/>
                <w:szCs w:val="24"/>
              </w:rPr>
              <m:t>A</m:t>
            </m:r>
          </m:e>
          <m:sub>
            <m:r>
              <w:rPr>
                <w:rFonts w:ascii="Cambria Math" w:hAnsi="Cambria Math" w:cs="Arial"/>
                <w:szCs w:val="24"/>
              </w:rPr>
              <m:t>APM</m:t>
            </m:r>
          </m:sub>
        </m:sSub>
        <m:r>
          <w:rPr>
            <w:rFonts w:ascii="Cambria Math" w:hAnsi="Cambria Math" w:cs="Arial"/>
            <w:szCs w:val="24"/>
          </w:rPr>
          <m:t>=</m:t>
        </m:r>
        <m:nary>
          <m:naryPr>
            <m:chr m:val="∑"/>
            <m:limLoc m:val="undOvr"/>
            <m:subHide m:val="1"/>
            <m:supHide m:val="1"/>
            <m:ctrlPr>
              <w:rPr>
                <w:rFonts w:ascii="Cambria Math" w:eastAsia="Calibri" w:hAnsi="Cambria Math" w:cs="Arial"/>
                <w:i/>
                <w:szCs w:val="24"/>
                <w:lang w:eastAsia="en-US"/>
              </w:rPr>
            </m:ctrlPr>
          </m:naryPr>
          <m:sub/>
          <m:sup/>
          <m:e>
            <m:d>
              <m:dPr>
                <m:begChr m:val="["/>
                <m:endChr m:val="]"/>
                <m:ctrlPr>
                  <w:rPr>
                    <w:rFonts w:ascii="Cambria Math" w:eastAsia="Calibri" w:hAnsi="Cambria Math" w:cs="Arial"/>
                    <w:i/>
                    <w:szCs w:val="24"/>
                    <w:lang w:eastAsia="en-US"/>
                  </w:rPr>
                </m:ctrlPr>
              </m:dPr>
              <m:e>
                <m:sSub>
                  <m:sSubPr>
                    <m:ctrlPr>
                      <w:rPr>
                        <w:rFonts w:ascii="Cambria Math" w:eastAsia="Calibri" w:hAnsi="Cambria Math" w:cs="Arial"/>
                        <w:i/>
                        <w:szCs w:val="24"/>
                        <w:lang w:eastAsia="en-US"/>
                      </w:rPr>
                    </m:ctrlPr>
                  </m:sSubPr>
                  <m:e>
                    <m:r>
                      <w:rPr>
                        <w:rFonts w:ascii="Cambria Math" w:hAnsi="Cambria Math" w:cs="Arial"/>
                        <w:szCs w:val="24"/>
                      </w:rPr>
                      <m:t>EMC</m:t>
                    </m:r>
                  </m:e>
                  <m:sub>
                    <m:r>
                      <w:rPr>
                        <w:rFonts w:ascii="Cambria Math" w:hAnsi="Cambria Math" w:cs="Arial"/>
                        <w:szCs w:val="24"/>
                      </w:rPr>
                      <m:t>P</m:t>
                    </m:r>
                  </m:sub>
                </m:sSub>
                <m:r>
                  <w:rPr>
                    <w:rFonts w:ascii="Cambria Math" w:hAnsi="Cambria Math" w:cs="Arial"/>
                    <w:szCs w:val="24"/>
                  </w:rPr>
                  <m:t>×Annual PM Failure Count ×20%</m:t>
                </m:r>
              </m:e>
            </m:d>
          </m:e>
        </m:nary>
      </m:oMath>
      <w:r w:rsidR="00BF34CD">
        <w:t>;</w:t>
      </w:r>
      <w:r w:rsidR="00BF34CD" w:rsidRPr="00BF34CD">
        <w:t xml:space="preserve"> </w:t>
      </w:r>
    </w:p>
    <w:p w14:paraId="6D9C7744" w14:textId="77777777" w:rsidR="004E7099" w:rsidRPr="002758D1" w:rsidRDefault="004E7099" w:rsidP="00BF34CD">
      <w:pPr>
        <w:pStyle w:val="ssNoHeading3"/>
        <w:rPr>
          <w:rFonts w:cs="Arial"/>
          <w:b/>
          <w:szCs w:val="24"/>
        </w:rPr>
      </w:pPr>
      <w:proofErr w:type="spellStart"/>
      <w:r w:rsidRPr="00BF34CD">
        <w:rPr>
          <w:rFonts w:ascii="Cambria Math" w:hAnsi="Cambria Math"/>
          <w:i/>
        </w:rPr>
        <w:t>EMC</w:t>
      </w:r>
      <w:r w:rsidRPr="00BF34CD">
        <w:rPr>
          <w:rFonts w:ascii="Cambria Math" w:hAnsi="Cambria Math"/>
          <w:i/>
          <w:vertAlign w:val="subscript"/>
        </w:rPr>
        <w:t>p</w:t>
      </w:r>
      <w:proofErr w:type="spellEnd"/>
      <w:r w:rsidRPr="00BF34CD">
        <w:rPr>
          <w:rStyle w:val="StyleArial"/>
          <w:rFonts w:cs="Arial"/>
          <w:szCs w:val="24"/>
        </w:rPr>
        <w:t xml:space="preserve"> </w:t>
      </w:r>
      <w:r w:rsidRPr="00BF34CD">
        <w:rPr>
          <w:rStyle w:val="StyleArial"/>
          <w:rFonts w:cs="Arial"/>
          <w:szCs w:val="24"/>
        </w:rPr>
        <w:tab/>
        <w:t xml:space="preserve">means the </w:t>
      </w:r>
      <w:r w:rsidR="002E4BAB">
        <w:rPr>
          <w:rStyle w:val="StyleArial"/>
          <w:rFonts w:cs="Arial"/>
          <w:szCs w:val="24"/>
        </w:rPr>
        <w:t>EMC Unit</w:t>
      </w:r>
      <w:r w:rsidRPr="00BF34CD">
        <w:rPr>
          <w:rStyle w:val="StyleArial"/>
          <w:rFonts w:cs="Arial"/>
          <w:szCs w:val="24"/>
        </w:rPr>
        <w:t xml:space="preserve"> Rate for the relevant EMCs </w:t>
      </w:r>
      <w:r w:rsidR="006F6FFB" w:rsidRPr="00BF34CD">
        <w:rPr>
          <w:rStyle w:val="StyleArial"/>
          <w:rFonts w:cs="Arial"/>
          <w:szCs w:val="24"/>
        </w:rPr>
        <w:t>as stated in Annex 1 (</w:t>
      </w:r>
      <w:r w:rsidR="006F6FFB" w:rsidRPr="00BF34CD">
        <w:rPr>
          <w:rStyle w:val="StyleArial"/>
          <w:rFonts w:cs="Arial"/>
          <w:i/>
        </w:rPr>
        <w:t>Equipment Maintenance Categories Fixed Unit Rate (</w:t>
      </w:r>
      <w:proofErr w:type="spellStart"/>
      <w:r w:rsidR="006F6FFB" w:rsidRPr="00BF34CD">
        <w:rPr>
          <w:rStyle w:val="StyleArial"/>
          <w:rFonts w:cs="Arial"/>
          <w:i/>
        </w:rPr>
        <w:t>EMCp</w:t>
      </w:r>
      <w:proofErr w:type="spellEnd"/>
      <w:r w:rsidR="006F6FFB" w:rsidRPr="00BF34CD">
        <w:rPr>
          <w:rStyle w:val="StyleArial"/>
          <w:rFonts w:cs="Arial"/>
          <w:i/>
        </w:rPr>
        <w:t>)</w:t>
      </w:r>
      <w:r w:rsidR="006F6FFB" w:rsidRPr="00BF34CD">
        <w:rPr>
          <w:rStyle w:val="StyleArial"/>
          <w:rFonts w:cs="Arial"/>
          <w:szCs w:val="24"/>
        </w:rPr>
        <w:t>) to this Schedule</w:t>
      </w:r>
      <w:r w:rsidR="002758D1">
        <w:rPr>
          <w:rStyle w:val="StyleArial"/>
          <w:rFonts w:cs="Arial"/>
          <w:szCs w:val="24"/>
        </w:rPr>
        <w:t>;</w:t>
      </w:r>
      <w:r w:rsidR="002758D1" w:rsidRPr="002758D1">
        <w:t xml:space="preserve"> </w:t>
      </w:r>
      <w:r w:rsidR="002758D1">
        <w:t>and</w:t>
      </w:r>
    </w:p>
    <w:p w14:paraId="6D9C7745" w14:textId="77777777" w:rsidR="002758D1" w:rsidRPr="00BF34CD" w:rsidRDefault="002758D1" w:rsidP="00BF34CD">
      <w:pPr>
        <w:pStyle w:val="ssNoHeading3"/>
        <w:rPr>
          <w:rStyle w:val="StyleArial"/>
          <w:rFonts w:cs="Arial"/>
          <w:b/>
          <w:szCs w:val="24"/>
        </w:rPr>
      </w:pPr>
      <w:r>
        <w:rPr>
          <w:rFonts w:ascii="Cambria Math" w:hAnsi="Cambria Math"/>
          <w:i/>
        </w:rPr>
        <w:t>Electrical PI Failure Count</w:t>
      </w:r>
      <w:r w:rsidRPr="002758D1">
        <w:rPr>
          <w:rStyle w:val="StyleArial"/>
          <w:rFonts w:cs="Arial"/>
          <w:szCs w:val="24"/>
        </w:rPr>
        <w:t xml:space="preserve"> and </w:t>
      </w:r>
      <w:r>
        <w:rPr>
          <w:rFonts w:ascii="Cambria Math" w:hAnsi="Cambria Math"/>
          <w:i/>
        </w:rPr>
        <w:t>Annual PM Failure Count</w:t>
      </w:r>
      <w:r>
        <w:rPr>
          <w:rFonts w:ascii="Cambria Math" w:hAnsi="Cambria Math"/>
          <w:i/>
        </w:rPr>
        <w:tab/>
      </w:r>
      <w:r>
        <w:rPr>
          <w:rStyle w:val="StyleArial"/>
          <w:rFonts w:cs="Arial"/>
          <w:szCs w:val="24"/>
        </w:rPr>
        <w:t xml:space="preserve">are </w:t>
      </w:r>
      <w:r w:rsidR="00725508">
        <w:rPr>
          <w:rStyle w:val="StyleArial"/>
          <w:rFonts w:cs="Arial"/>
          <w:szCs w:val="24"/>
        </w:rPr>
        <w:t>each defined in</w:t>
      </w:r>
      <w:r>
        <w:rPr>
          <w:rStyle w:val="StyleArial"/>
          <w:rFonts w:cs="Arial"/>
          <w:szCs w:val="24"/>
        </w:rPr>
        <w:t xml:space="preserve"> Schedule </w:t>
      </w:r>
      <w:r w:rsidR="00725508">
        <w:rPr>
          <w:rStyle w:val="StyleArial"/>
          <w:rFonts w:cs="Arial"/>
          <w:szCs w:val="24"/>
        </w:rPr>
        <w:t>1</w:t>
      </w:r>
      <w:r>
        <w:rPr>
          <w:rStyle w:val="StyleArial"/>
          <w:rFonts w:cs="Arial"/>
          <w:szCs w:val="24"/>
        </w:rPr>
        <w:t xml:space="preserve"> (</w:t>
      </w:r>
      <w:r w:rsidR="00725508" w:rsidRPr="00725508">
        <w:rPr>
          <w:rStyle w:val="StyleArial"/>
          <w:rFonts w:cs="Arial"/>
          <w:i/>
          <w:szCs w:val="24"/>
        </w:rPr>
        <w:t>Definitions</w:t>
      </w:r>
      <w:r>
        <w:rPr>
          <w:rStyle w:val="StyleArial"/>
          <w:rFonts w:cs="Arial"/>
          <w:szCs w:val="24"/>
        </w:rPr>
        <w:t>).</w:t>
      </w:r>
    </w:p>
    <w:p w14:paraId="6D9C7746" w14:textId="77777777" w:rsidR="004E7099" w:rsidRPr="00933B9C" w:rsidRDefault="004E7099" w:rsidP="00F20412">
      <w:pPr>
        <w:pStyle w:val="Paratitle"/>
      </w:pPr>
      <w:r w:rsidRPr="00933B9C">
        <w:t>Adjustment</w:t>
      </w:r>
    </w:p>
    <w:p w14:paraId="6D9C7747" w14:textId="77777777" w:rsidR="004E7099" w:rsidRDefault="004E7099" w:rsidP="00F20412">
      <w:pPr>
        <w:pStyle w:val="ssNoHeading2"/>
      </w:pPr>
      <w:r>
        <w:t xml:space="preserve">TfL may apply </w:t>
      </w:r>
      <w:r w:rsidR="004B519C">
        <w:t>an A</w:t>
      </w:r>
      <w:r w:rsidRPr="00680F25">
        <w:t xml:space="preserve">djustment to correct discrepancies in respect of payments </w:t>
      </w:r>
      <w:r w:rsidR="006F6FFB">
        <w:t xml:space="preserve">of TPMP </w:t>
      </w:r>
      <w:r w:rsidRPr="00680F25">
        <w:t>made in previous Reporting Periods or in the calculation of payments</w:t>
      </w:r>
      <w:r w:rsidR="006F6FFB" w:rsidRPr="006F6FFB">
        <w:t xml:space="preserve"> </w:t>
      </w:r>
      <w:r w:rsidR="006F6FFB">
        <w:t>of TPMP</w:t>
      </w:r>
      <w:r w:rsidRPr="00680F25">
        <w:t xml:space="preserve"> due for the current Reporting Period which, for the avoidance of doubt, may be positive or negative.</w:t>
      </w:r>
      <w:r w:rsidR="00B678F2">
        <w:t xml:space="preserve"> </w:t>
      </w:r>
    </w:p>
    <w:p w14:paraId="6D9C7748" w14:textId="77777777" w:rsidR="004E7099" w:rsidRPr="00933B9C" w:rsidRDefault="004E7099" w:rsidP="00F20412">
      <w:pPr>
        <w:pStyle w:val="Paratitle"/>
      </w:pPr>
      <w:r w:rsidRPr="00933B9C">
        <w:t>Invoicing for Preventative Maintenance and Fault Management Activities</w:t>
      </w:r>
    </w:p>
    <w:p w14:paraId="6D9C7749" w14:textId="77777777" w:rsidR="004E7099" w:rsidRDefault="00713FAF" w:rsidP="00F20412">
      <w:pPr>
        <w:pStyle w:val="ssNoHeading2"/>
      </w:pPr>
      <w:r>
        <w:t xml:space="preserve">Within five (5) </w:t>
      </w:r>
      <w:r w:rsidR="00D37E7F">
        <w:t>Business</w:t>
      </w:r>
      <w:r>
        <w:t xml:space="preserve"> Days of the end of each Reporting Period, </w:t>
      </w:r>
      <w:r w:rsidR="004E7099">
        <w:t>TfL will notify the Service Provider</w:t>
      </w:r>
      <w:r>
        <w:t xml:space="preserve"> of</w:t>
      </w:r>
      <w:r w:rsidR="004E7099">
        <w:t xml:space="preserve"> the Total Preventative Maintenance Payment due and detailing all component parts of this payment.</w:t>
      </w:r>
    </w:p>
    <w:p w14:paraId="6D9C774A" w14:textId="77777777" w:rsidR="004E7099" w:rsidRDefault="004E7099" w:rsidP="00F20412">
      <w:pPr>
        <w:pStyle w:val="ssNoHeading2"/>
      </w:pPr>
      <w:bookmarkStart w:id="1" w:name="_Ref402164080"/>
      <w:r>
        <w:t>The Service Provider shall review the Total Preventative Maintenance Payment, calculated by TfL within two</w:t>
      </w:r>
      <w:r w:rsidR="00713FAF">
        <w:t xml:space="preserve"> (2</w:t>
      </w:r>
      <w:r>
        <w:t xml:space="preserve">) </w:t>
      </w:r>
      <w:r w:rsidR="00D37E7F">
        <w:t>Business Day</w:t>
      </w:r>
      <w:r>
        <w:t>s of receiving such calculations and shall n</w:t>
      </w:r>
      <w:r w:rsidR="00A15972">
        <w:t>otify TfL whether it accepts (a</w:t>
      </w:r>
      <w:r>
        <w:t xml:space="preserve"> </w:t>
      </w:r>
      <w:r w:rsidRPr="00A970C4">
        <w:t>“</w:t>
      </w:r>
      <w:r w:rsidR="00A15972" w:rsidRPr="006F6FFB">
        <w:rPr>
          <w:b/>
        </w:rPr>
        <w:t xml:space="preserve">TPMP </w:t>
      </w:r>
      <w:r w:rsidRPr="006F6FFB">
        <w:rPr>
          <w:b/>
        </w:rPr>
        <w:t>Acceptance</w:t>
      </w:r>
      <w:r w:rsidR="00A15972">
        <w:t>”) or disputes (a</w:t>
      </w:r>
      <w:r>
        <w:t xml:space="preserve"> “</w:t>
      </w:r>
      <w:r w:rsidR="00A15972" w:rsidRPr="006F6FFB">
        <w:rPr>
          <w:b/>
        </w:rPr>
        <w:t xml:space="preserve">TPMP </w:t>
      </w:r>
      <w:r w:rsidRPr="006F6FFB">
        <w:rPr>
          <w:b/>
        </w:rPr>
        <w:t>Objection</w:t>
      </w:r>
      <w:r w:rsidRPr="00A970C4">
        <w:t>”</w:t>
      </w:r>
      <w:r>
        <w:t>) TfL’s calculations, stating clearly why it reasonably believes such calculations are incorrect and providing evidence in support of such assertion. If the Service Provider fails to provide clear explanations or satisfactory supporting evidence, TfL shall request the Service Provider to provide this.</w:t>
      </w:r>
      <w:bookmarkEnd w:id="1"/>
    </w:p>
    <w:p w14:paraId="6D9C774B" w14:textId="77777777" w:rsidR="004E7099" w:rsidRDefault="004E7099" w:rsidP="00F20412">
      <w:pPr>
        <w:pStyle w:val="ssNoHeading2"/>
      </w:pPr>
      <w:bookmarkStart w:id="2" w:name="_Ref358273224"/>
      <w:r>
        <w:t>If the Service Provider noti</w:t>
      </w:r>
      <w:r w:rsidR="00A15972">
        <w:t>fies TfL of a TPMP</w:t>
      </w:r>
      <w:r>
        <w:t xml:space="preserve"> </w:t>
      </w:r>
      <w:r w:rsidRPr="00F9666A">
        <w:t>Acceptance</w:t>
      </w:r>
      <w:r w:rsidR="00713FAF">
        <w:t>, then the Service Provider</w:t>
      </w:r>
      <w:r w:rsidRPr="00F9666A">
        <w:t xml:space="preserve"> sh</w:t>
      </w:r>
      <w:r>
        <w:t>all submit an invoice to TfL for the agreed amount</w:t>
      </w:r>
      <w:r w:rsidR="00713FAF">
        <w:t xml:space="preserve"> of the TPMP for a Reporting Period</w:t>
      </w:r>
      <w:r>
        <w:t xml:space="preserve"> in the required format and in accordance with </w:t>
      </w:r>
      <w:r w:rsidRPr="00241FA7">
        <w:t xml:space="preserve">paragraph </w:t>
      </w:r>
      <w:r w:rsidR="008F5AB6">
        <w:fldChar w:fldCharType="begin"/>
      </w:r>
      <w:r w:rsidR="002D2034">
        <w:instrText xml:space="preserve"> REF _Ref402118550 \r \h </w:instrText>
      </w:r>
      <w:r w:rsidR="008F5AB6">
        <w:fldChar w:fldCharType="separate"/>
      </w:r>
      <w:r w:rsidR="00F342D7">
        <w:t>6.3</w:t>
      </w:r>
      <w:r w:rsidR="008F5AB6">
        <w:fldChar w:fldCharType="end"/>
      </w:r>
      <w:r w:rsidR="00A15972">
        <w:t xml:space="preserve"> (</w:t>
      </w:r>
      <w:r w:rsidR="00A15972" w:rsidRPr="00A15972">
        <w:rPr>
          <w:i/>
        </w:rPr>
        <w:t>Issuing Invoices</w:t>
      </w:r>
      <w:r w:rsidR="00A15972">
        <w:t>)</w:t>
      </w:r>
      <w:r w:rsidRPr="00241FA7">
        <w:t>.</w:t>
      </w:r>
      <w:bookmarkEnd w:id="2"/>
    </w:p>
    <w:p w14:paraId="6D9C774C" w14:textId="77777777" w:rsidR="004E7099" w:rsidRDefault="004E7099" w:rsidP="00F20412">
      <w:pPr>
        <w:pStyle w:val="ssNoHeading2"/>
      </w:pPr>
      <w:bookmarkStart w:id="3" w:name="_Ref358277923"/>
      <w:r>
        <w:lastRenderedPageBreak/>
        <w:t xml:space="preserve">If the Service Provider submits </w:t>
      </w:r>
      <w:r w:rsidRPr="00445521">
        <w:t>a</w:t>
      </w:r>
      <w:r w:rsidR="004C6080">
        <w:t xml:space="preserve"> TPMP</w:t>
      </w:r>
      <w:r w:rsidRPr="00445521">
        <w:t xml:space="preserve"> Objection to TfL, TfL shall, within five</w:t>
      </w:r>
      <w:r w:rsidR="00713FAF" w:rsidRPr="00445521">
        <w:t xml:space="preserve"> (5</w:t>
      </w:r>
      <w:r w:rsidRPr="00445521">
        <w:t xml:space="preserve">) </w:t>
      </w:r>
      <w:r w:rsidR="00D37E7F">
        <w:t>Business Day</w:t>
      </w:r>
      <w:r w:rsidRPr="00445521">
        <w:t xml:space="preserve">s of receiving such </w:t>
      </w:r>
      <w:r w:rsidR="004C6080">
        <w:t xml:space="preserve">TPMP </w:t>
      </w:r>
      <w:r w:rsidRPr="00445521">
        <w:t>Objection or within</w:t>
      </w:r>
      <w:r>
        <w:t xml:space="preserve"> </w:t>
      </w:r>
      <w:r w:rsidR="00713FAF" w:rsidRPr="00445521">
        <w:t xml:space="preserve">five (5) </w:t>
      </w:r>
      <w:r w:rsidR="00D37E7F">
        <w:t>Business Day</w:t>
      </w:r>
      <w:r>
        <w:t>s of receiving a clear explanation or satisfactory supporting evidence notify the Service Provider whether</w:t>
      </w:r>
      <w:r w:rsidR="004C6080">
        <w:t xml:space="preserve"> it</w:t>
      </w:r>
      <w:r>
        <w:t>:</w:t>
      </w:r>
      <w:bookmarkEnd w:id="3"/>
    </w:p>
    <w:p w14:paraId="6D9C774D" w14:textId="77777777" w:rsidR="004E7099" w:rsidRDefault="004E7099" w:rsidP="00F20412">
      <w:pPr>
        <w:pStyle w:val="ssNoHeading3"/>
        <w:tabs>
          <w:tab w:val="left" w:pos="1418"/>
        </w:tabs>
      </w:pPr>
      <w:bookmarkStart w:id="4" w:name="_Ref402118631"/>
      <w:r w:rsidRPr="00680F25">
        <w:t xml:space="preserve">agrees with the </w:t>
      </w:r>
      <w:r w:rsidR="004C6080">
        <w:t xml:space="preserve">TPMP </w:t>
      </w:r>
      <w:r w:rsidRPr="00680F25">
        <w:t>Objection; or</w:t>
      </w:r>
      <w:bookmarkEnd w:id="4"/>
    </w:p>
    <w:p w14:paraId="6D9C774E" w14:textId="77777777" w:rsidR="004E7099" w:rsidRDefault="004E7099" w:rsidP="00F20412">
      <w:pPr>
        <w:pStyle w:val="ssNoHeading3"/>
        <w:tabs>
          <w:tab w:val="left" w:pos="1418"/>
        </w:tabs>
      </w:pPr>
      <w:r w:rsidRPr="00680F25">
        <w:t xml:space="preserve">disagrees with the </w:t>
      </w:r>
      <w:r w:rsidR="004C6080">
        <w:t xml:space="preserve">TPMP </w:t>
      </w:r>
      <w:r w:rsidRPr="00680F25">
        <w:t>Objection.</w:t>
      </w:r>
    </w:p>
    <w:p w14:paraId="6D9C774F" w14:textId="77777777" w:rsidR="004E7099" w:rsidRDefault="004E7099" w:rsidP="00F20412">
      <w:pPr>
        <w:pStyle w:val="ssNoHeading2"/>
      </w:pPr>
      <w:bookmarkStart w:id="5" w:name="_Ref358278102"/>
      <w:r>
        <w:t xml:space="preserve">On receipt of a notification by TfL </w:t>
      </w:r>
      <w:r w:rsidRPr="00241FA7">
        <w:t>pursuant to paragraph</w:t>
      </w:r>
      <w:r w:rsidR="004C6080">
        <w:t xml:space="preserve"> </w:t>
      </w:r>
      <w:r w:rsidR="008F5AB6">
        <w:fldChar w:fldCharType="begin"/>
      </w:r>
      <w:r w:rsidR="002D2034">
        <w:instrText xml:space="preserve"> REF _Ref402118631 \r \h </w:instrText>
      </w:r>
      <w:r w:rsidR="008F5AB6">
        <w:fldChar w:fldCharType="separate"/>
      </w:r>
      <w:r w:rsidR="00F342D7">
        <w:t>1.15(A)</w:t>
      </w:r>
      <w:r w:rsidR="008F5AB6">
        <w:fldChar w:fldCharType="end"/>
      </w:r>
      <w:r w:rsidRPr="00241FA7">
        <w:t>, the Service Provi</w:t>
      </w:r>
      <w:r>
        <w:t>der will submit an invoice to TfL</w:t>
      </w:r>
      <w:r w:rsidR="00713FAF" w:rsidRPr="00713FAF">
        <w:t xml:space="preserve"> </w:t>
      </w:r>
      <w:r w:rsidR="00713FAF">
        <w:t>for the revised amount of the TPMP</w:t>
      </w:r>
      <w:r>
        <w:t xml:space="preserve"> in the required format and in accordance </w:t>
      </w:r>
      <w:r w:rsidRPr="00241FA7">
        <w:t xml:space="preserve">with paragraph </w:t>
      </w:r>
      <w:r w:rsidR="008F5AB6">
        <w:fldChar w:fldCharType="begin"/>
      </w:r>
      <w:r w:rsidR="002D2034">
        <w:instrText xml:space="preserve"> REF _Ref402118550 \r \h </w:instrText>
      </w:r>
      <w:r w:rsidR="008F5AB6">
        <w:fldChar w:fldCharType="separate"/>
      </w:r>
      <w:r w:rsidR="00F342D7">
        <w:t>6.3</w:t>
      </w:r>
      <w:r w:rsidR="008F5AB6">
        <w:fldChar w:fldCharType="end"/>
      </w:r>
      <w:r w:rsidR="004C6080">
        <w:t xml:space="preserve"> (</w:t>
      </w:r>
      <w:r w:rsidR="004C6080" w:rsidRPr="00A15972">
        <w:rPr>
          <w:i/>
        </w:rPr>
        <w:t>Issuing Invoices</w:t>
      </w:r>
      <w:r w:rsidR="004C6080">
        <w:t>)</w:t>
      </w:r>
      <w:r w:rsidRPr="00241FA7">
        <w:t>. The Service Provider's in</w:t>
      </w:r>
      <w:r>
        <w:t>voice will specify the sum the Service Provider considers to be due at the payment due date and the basis on which that sum is calculated, whether or not that sum is zero.</w:t>
      </w:r>
      <w:bookmarkEnd w:id="5"/>
    </w:p>
    <w:p w14:paraId="6D9C7750" w14:textId="77777777" w:rsidR="004E7099" w:rsidRPr="00933B9C" w:rsidRDefault="004E7099" w:rsidP="00F20412">
      <w:pPr>
        <w:pStyle w:val="ssqPart"/>
        <w:tabs>
          <w:tab w:val="clear" w:pos="360"/>
        </w:tabs>
      </w:pPr>
      <w:r>
        <w:br w:type="page"/>
      </w:r>
      <w:r>
        <w:lastRenderedPageBreak/>
        <w:t xml:space="preserve"> :</w:t>
      </w:r>
      <w:r w:rsidRPr="00933B9C">
        <w:t xml:space="preserve"> Capital Works Payments</w:t>
      </w:r>
    </w:p>
    <w:p w14:paraId="6D9C7751" w14:textId="77777777" w:rsidR="004E7099" w:rsidRPr="005F0EA7" w:rsidRDefault="004E7099" w:rsidP="00F20412">
      <w:pPr>
        <w:pStyle w:val="Heading1"/>
        <w:rPr>
          <w:color w:val="000000"/>
        </w:rPr>
      </w:pPr>
      <w:bookmarkStart w:id="6" w:name="_Ref402165066"/>
      <w:r>
        <w:t xml:space="preserve">Total Capital Works Payment </w:t>
      </w:r>
      <w:r w:rsidR="005B5368">
        <w:t>(TCWP)</w:t>
      </w:r>
      <w:bookmarkEnd w:id="6"/>
    </w:p>
    <w:p w14:paraId="6D9C7752" w14:textId="77777777" w:rsidR="004E7099" w:rsidRDefault="004E7099" w:rsidP="00F20412">
      <w:pPr>
        <w:pStyle w:val="ssNoHeading2"/>
      </w:pPr>
      <w:r>
        <w:t>TfL</w:t>
      </w:r>
      <w:r w:rsidRPr="00255BB4">
        <w:t xml:space="preserve"> shall pay the </w:t>
      </w:r>
      <w:r>
        <w:t>Service Provider</w:t>
      </w:r>
      <w:r w:rsidRPr="00255BB4">
        <w:t xml:space="preserve"> </w:t>
      </w:r>
      <w:r w:rsidR="008E1316">
        <w:t>the Total Capital Works Payment (“</w:t>
      </w:r>
      <w:r w:rsidR="008E1316" w:rsidRPr="005B5368">
        <w:rPr>
          <w:b/>
        </w:rPr>
        <w:t>T</w:t>
      </w:r>
      <w:r w:rsidR="008E1316">
        <w:rPr>
          <w:b/>
        </w:rPr>
        <w:t>CW</w:t>
      </w:r>
      <w:r w:rsidR="008E1316" w:rsidRPr="005B5368">
        <w:rPr>
          <w:b/>
        </w:rPr>
        <w:t>P</w:t>
      </w:r>
      <w:r w:rsidR="008E1316">
        <w:t xml:space="preserve">”) pursuant to this paragraph </w:t>
      </w:r>
      <w:r w:rsidR="008F5AB6">
        <w:fldChar w:fldCharType="begin"/>
      </w:r>
      <w:r w:rsidR="002D2034">
        <w:instrText xml:space="preserve"> REF _Ref402165066 \r \h </w:instrText>
      </w:r>
      <w:r w:rsidR="008F5AB6">
        <w:fldChar w:fldCharType="separate"/>
      </w:r>
      <w:r w:rsidR="00F342D7">
        <w:t>2</w:t>
      </w:r>
      <w:r w:rsidR="008F5AB6">
        <w:fldChar w:fldCharType="end"/>
      </w:r>
      <w:r w:rsidR="008E1316">
        <w:t xml:space="preserve"> </w:t>
      </w:r>
      <w:r w:rsidRPr="00255BB4">
        <w:t xml:space="preserve">for all </w:t>
      </w:r>
      <w:r>
        <w:t xml:space="preserve">Capital Works completed </w:t>
      </w:r>
      <w:r w:rsidRPr="00255BB4">
        <w:t xml:space="preserve">in </w:t>
      </w:r>
      <w:r>
        <w:t xml:space="preserve">a given Reporting Period, less any Capital Works Abatements and/or </w:t>
      </w:r>
      <w:r w:rsidR="004B519C">
        <w:t>A</w:t>
      </w:r>
      <w:r>
        <w:t xml:space="preserve">djustments: </w:t>
      </w:r>
    </w:p>
    <w:tbl>
      <w:tblPr>
        <w:tblW w:w="5324" w:type="pct"/>
        <w:tblLook w:val="04A0" w:firstRow="1" w:lastRow="0" w:firstColumn="1" w:lastColumn="0" w:noHBand="0" w:noVBand="1"/>
      </w:tblPr>
      <w:tblGrid>
        <w:gridCol w:w="3085"/>
        <w:gridCol w:w="6804"/>
      </w:tblGrid>
      <w:tr w:rsidR="004E7099" w:rsidRPr="00562F79" w14:paraId="6D9C7756" w14:textId="77777777" w:rsidTr="00CD4461">
        <w:trPr>
          <w:trHeight w:val="390"/>
        </w:trPr>
        <w:tc>
          <w:tcPr>
            <w:tcW w:w="156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C7753" w14:textId="77777777" w:rsidR="004E7099" w:rsidRDefault="004E7099" w:rsidP="00CD4461">
            <w:pPr>
              <w:jc w:val="center"/>
              <w:outlineLvl w:val="0"/>
              <w:rPr>
                <w:rFonts w:ascii="Cambria" w:hAnsi="Cambria" w:cs="Arial"/>
                <w:i/>
                <w:iCs/>
                <w:color w:val="000000"/>
                <w:szCs w:val="24"/>
              </w:rPr>
            </w:pPr>
            <w:r w:rsidRPr="00562F79">
              <w:rPr>
                <w:rFonts w:ascii="Cambria" w:hAnsi="Cambria" w:cs="Arial"/>
                <w:i/>
                <w:iCs/>
                <w:color w:val="000000"/>
                <w:szCs w:val="24"/>
              </w:rPr>
              <w:t xml:space="preserve">Total </w:t>
            </w:r>
            <w:r>
              <w:rPr>
                <w:rFonts w:ascii="Cambria" w:hAnsi="Cambria" w:cs="Arial"/>
                <w:i/>
                <w:iCs/>
                <w:color w:val="000000"/>
                <w:szCs w:val="24"/>
              </w:rPr>
              <w:t>Capital Works</w:t>
            </w:r>
            <w:r w:rsidRPr="00562F79">
              <w:rPr>
                <w:rFonts w:ascii="Cambria" w:hAnsi="Cambria" w:cs="Arial"/>
                <w:i/>
                <w:iCs/>
                <w:color w:val="000000"/>
                <w:szCs w:val="24"/>
              </w:rPr>
              <w:t xml:space="preserve"> Payment</w:t>
            </w:r>
            <w:r>
              <w:rPr>
                <w:rFonts w:ascii="Cambria" w:hAnsi="Cambria" w:cs="Arial"/>
                <w:i/>
                <w:iCs/>
                <w:color w:val="000000"/>
                <w:szCs w:val="24"/>
              </w:rPr>
              <w:t xml:space="preserve"> =</w:t>
            </w:r>
          </w:p>
          <w:p w14:paraId="6D9C7754" w14:textId="77777777" w:rsidR="004E7099" w:rsidRPr="00562F79" w:rsidRDefault="004E7099" w:rsidP="00CD4461">
            <w:pPr>
              <w:jc w:val="center"/>
              <w:outlineLvl w:val="0"/>
              <w:rPr>
                <w:rFonts w:ascii="Cambria" w:hAnsi="Cambria" w:cs="Arial"/>
                <w:i/>
                <w:iCs/>
                <w:color w:val="000000"/>
                <w:szCs w:val="24"/>
              </w:rPr>
            </w:pPr>
            <w:r w:rsidRPr="00562F79">
              <w:rPr>
                <w:rFonts w:ascii="Cambria" w:hAnsi="Cambria" w:cs="Arial"/>
                <w:i/>
                <w:iCs/>
                <w:color w:val="000000"/>
                <w:szCs w:val="24"/>
              </w:rPr>
              <w:t>(</w:t>
            </w:r>
            <w:r>
              <w:rPr>
                <w:rFonts w:ascii="Cambria" w:hAnsi="Cambria" w:cs="Arial"/>
                <w:i/>
                <w:iCs/>
                <w:color w:val="000000"/>
                <w:szCs w:val="24"/>
              </w:rPr>
              <w:t>TCW</w:t>
            </w:r>
            <w:r w:rsidRPr="00562F79">
              <w:rPr>
                <w:rFonts w:ascii="Cambria" w:hAnsi="Cambria" w:cs="Arial"/>
                <w:i/>
                <w:iCs/>
                <w:color w:val="000000"/>
                <w:szCs w:val="24"/>
              </w:rPr>
              <w:t>P)</w:t>
            </w:r>
          </w:p>
        </w:tc>
        <w:tc>
          <w:tcPr>
            <w:tcW w:w="3440" w:type="pct"/>
            <w:tcBorders>
              <w:top w:val="single" w:sz="4" w:space="0" w:color="auto"/>
              <w:left w:val="nil"/>
              <w:bottom w:val="single" w:sz="4" w:space="0" w:color="auto"/>
              <w:right w:val="single" w:sz="4" w:space="0" w:color="auto"/>
            </w:tcBorders>
            <w:shd w:val="clear" w:color="000000" w:fill="FFFFFF"/>
            <w:noWrap/>
            <w:vAlign w:val="center"/>
            <w:hideMark/>
          </w:tcPr>
          <w:p w14:paraId="6D9C7755" w14:textId="77777777" w:rsidR="004E7099" w:rsidRPr="00562F79" w:rsidRDefault="004E7099" w:rsidP="00CD4461">
            <w:pPr>
              <w:jc w:val="left"/>
              <w:outlineLvl w:val="0"/>
              <w:rPr>
                <w:rFonts w:ascii="Cambria" w:hAnsi="Cambria" w:cs="Arial"/>
                <w:i/>
                <w:iCs/>
                <w:color w:val="000000"/>
                <w:szCs w:val="24"/>
              </w:rPr>
            </w:pPr>
            <w:r>
              <w:rPr>
                <w:rFonts w:ascii="Cambria" w:hAnsi="Cambria" w:cs="Arial"/>
                <w:i/>
                <w:iCs/>
                <w:color w:val="000000"/>
                <w:szCs w:val="24"/>
              </w:rPr>
              <w:t>Capital Works Payment (CWP</w:t>
            </w:r>
            <w:r w:rsidRPr="00562F79">
              <w:rPr>
                <w:rFonts w:ascii="Cambria" w:hAnsi="Cambria" w:cs="Arial"/>
                <w:i/>
                <w:iCs/>
                <w:color w:val="000000"/>
                <w:szCs w:val="24"/>
              </w:rPr>
              <w:t>)</w:t>
            </w:r>
          </w:p>
        </w:tc>
      </w:tr>
      <w:tr w:rsidR="004E7099" w:rsidRPr="00562F79" w14:paraId="6D9C7759" w14:textId="77777777" w:rsidTr="00CD4461">
        <w:trPr>
          <w:trHeight w:val="390"/>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6D9C7757" w14:textId="77777777" w:rsidR="004E7099" w:rsidRPr="00562F79" w:rsidRDefault="004E7099" w:rsidP="00F20412">
            <w:pPr>
              <w:jc w:val="left"/>
              <w:rPr>
                <w:rFonts w:ascii="Cambria" w:hAnsi="Cambria" w:cs="Arial"/>
                <w:i/>
                <w:iCs/>
                <w:color w:val="000000"/>
                <w:szCs w:val="24"/>
              </w:rPr>
            </w:pPr>
          </w:p>
        </w:tc>
        <w:tc>
          <w:tcPr>
            <w:tcW w:w="3440" w:type="pct"/>
            <w:tcBorders>
              <w:top w:val="nil"/>
              <w:left w:val="nil"/>
              <w:bottom w:val="single" w:sz="4" w:space="0" w:color="auto"/>
              <w:right w:val="single" w:sz="4" w:space="0" w:color="auto"/>
            </w:tcBorders>
            <w:shd w:val="clear" w:color="000000" w:fill="FFFFFF"/>
            <w:noWrap/>
            <w:vAlign w:val="center"/>
            <w:hideMark/>
          </w:tcPr>
          <w:p w14:paraId="6D9C7758" w14:textId="2FAAD3A2" w:rsidR="004E7099" w:rsidRPr="00562F79" w:rsidRDefault="00A26558" w:rsidP="00A26558">
            <w:pPr>
              <w:jc w:val="left"/>
              <w:outlineLvl w:val="0"/>
              <w:rPr>
                <w:rFonts w:ascii="Cambria" w:hAnsi="Cambria" w:cs="Arial"/>
                <w:i/>
                <w:iCs/>
                <w:color w:val="000000"/>
                <w:szCs w:val="24"/>
              </w:rPr>
            </w:pPr>
            <w:r>
              <w:rPr>
                <w:rFonts w:ascii="Cambria" w:hAnsi="Cambria" w:cs="Arial"/>
                <w:i/>
                <w:iCs/>
                <w:color w:val="000000"/>
                <w:szCs w:val="24"/>
              </w:rPr>
              <w:t xml:space="preserve">Less </w:t>
            </w:r>
            <w:r w:rsidR="004E7099">
              <w:rPr>
                <w:rFonts w:ascii="Cambria" w:hAnsi="Cambria" w:cs="Arial"/>
                <w:i/>
                <w:iCs/>
                <w:color w:val="000000"/>
                <w:szCs w:val="24"/>
              </w:rPr>
              <w:t xml:space="preserve"> Capital Works Abatements</w:t>
            </w:r>
            <w:r w:rsidR="004E7099" w:rsidRPr="00562F79">
              <w:rPr>
                <w:rFonts w:ascii="Cambria" w:hAnsi="Cambria" w:cs="Arial"/>
                <w:i/>
                <w:iCs/>
                <w:color w:val="000000"/>
                <w:szCs w:val="24"/>
              </w:rPr>
              <w:t xml:space="preserve"> (</w:t>
            </w:r>
            <w:r w:rsidR="004E7099">
              <w:rPr>
                <w:rFonts w:ascii="Cambria" w:hAnsi="Cambria" w:cs="Arial"/>
                <w:i/>
                <w:iCs/>
                <w:color w:val="000000"/>
                <w:szCs w:val="24"/>
              </w:rPr>
              <w:t>CWA</w:t>
            </w:r>
            <w:r w:rsidR="004E7099" w:rsidRPr="00562F79">
              <w:rPr>
                <w:rFonts w:ascii="Cambria" w:hAnsi="Cambria" w:cs="Arial"/>
                <w:i/>
                <w:iCs/>
                <w:color w:val="000000"/>
                <w:szCs w:val="24"/>
              </w:rPr>
              <w:t>)</w:t>
            </w:r>
          </w:p>
        </w:tc>
      </w:tr>
      <w:tr w:rsidR="004E7099" w:rsidRPr="00562F79" w14:paraId="6D9C775C" w14:textId="77777777" w:rsidTr="00CD4461">
        <w:trPr>
          <w:trHeight w:val="390"/>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6D9C775A" w14:textId="77777777" w:rsidR="004E7099" w:rsidRPr="00562F79" w:rsidRDefault="004E7099" w:rsidP="00F20412">
            <w:pPr>
              <w:jc w:val="left"/>
              <w:rPr>
                <w:rFonts w:ascii="Cambria" w:hAnsi="Cambria" w:cs="Arial"/>
                <w:i/>
                <w:iCs/>
                <w:color w:val="000000"/>
                <w:szCs w:val="24"/>
              </w:rPr>
            </w:pPr>
          </w:p>
        </w:tc>
        <w:tc>
          <w:tcPr>
            <w:tcW w:w="3440" w:type="pct"/>
            <w:tcBorders>
              <w:top w:val="nil"/>
              <w:left w:val="nil"/>
              <w:bottom w:val="single" w:sz="4" w:space="0" w:color="auto"/>
              <w:right w:val="single" w:sz="4" w:space="0" w:color="auto"/>
            </w:tcBorders>
            <w:shd w:val="clear" w:color="000000" w:fill="FFFFFF"/>
            <w:noWrap/>
            <w:vAlign w:val="center"/>
            <w:hideMark/>
          </w:tcPr>
          <w:p w14:paraId="6D9C775B" w14:textId="498441D1" w:rsidR="004E7099" w:rsidRPr="00562F79" w:rsidRDefault="00A26558" w:rsidP="00A26558">
            <w:pPr>
              <w:jc w:val="left"/>
              <w:outlineLvl w:val="0"/>
              <w:rPr>
                <w:rFonts w:ascii="Cambria" w:hAnsi="Cambria" w:cs="Arial"/>
                <w:i/>
                <w:iCs/>
                <w:color w:val="000000"/>
                <w:szCs w:val="24"/>
              </w:rPr>
            </w:pPr>
            <w:r>
              <w:rPr>
                <w:rFonts w:ascii="Cambria" w:hAnsi="Cambria" w:cs="Arial"/>
                <w:i/>
                <w:iCs/>
                <w:color w:val="000000"/>
                <w:szCs w:val="24"/>
              </w:rPr>
              <w:t xml:space="preserve">Plus/Less </w:t>
            </w:r>
            <w:r w:rsidR="004E7099" w:rsidRPr="00562F79">
              <w:rPr>
                <w:rFonts w:ascii="Cambria" w:hAnsi="Cambria" w:cs="Arial"/>
                <w:i/>
                <w:iCs/>
                <w:color w:val="000000"/>
                <w:szCs w:val="24"/>
              </w:rPr>
              <w:t>Adjustments</w:t>
            </w:r>
          </w:p>
        </w:tc>
      </w:tr>
    </w:tbl>
    <w:p w14:paraId="6D9C775D" w14:textId="77777777" w:rsidR="004E7099" w:rsidRDefault="004E7099" w:rsidP="00F20412">
      <w:pPr>
        <w:pStyle w:val="NoSpacing"/>
      </w:pPr>
    </w:p>
    <w:p w14:paraId="6D9C775E" w14:textId="77777777" w:rsidR="004E7099" w:rsidRPr="00933B9C" w:rsidRDefault="007B6DDC" w:rsidP="00F20412">
      <w:pPr>
        <w:pStyle w:val="ssPara1"/>
        <w:rPr>
          <w:b/>
        </w:rPr>
      </w:pPr>
      <w:r>
        <w:rPr>
          <w:b/>
        </w:rPr>
        <w:t>Capital Works Payment</w:t>
      </w:r>
    </w:p>
    <w:p w14:paraId="6D9C775F" w14:textId="77777777" w:rsidR="004E7099" w:rsidRDefault="00431243" w:rsidP="00F20412">
      <w:pPr>
        <w:pStyle w:val="ssNoHeading2"/>
      </w:pPr>
      <w:bookmarkStart w:id="7" w:name="_Ref402165344"/>
      <w:r>
        <w:t xml:space="preserve">Subject to paragraph </w:t>
      </w:r>
      <w:r w:rsidR="008F5AB6">
        <w:fldChar w:fldCharType="begin"/>
      </w:r>
      <w:r w:rsidR="002D2034">
        <w:instrText xml:space="preserve"> REF _Ref404258106 \r \h </w:instrText>
      </w:r>
      <w:r w:rsidR="008F5AB6">
        <w:fldChar w:fldCharType="separate"/>
      </w:r>
      <w:r w:rsidR="00F342D7">
        <w:t>2.3</w:t>
      </w:r>
      <w:r w:rsidR="008F5AB6">
        <w:fldChar w:fldCharType="end"/>
      </w:r>
      <w:r>
        <w:t>, t</w:t>
      </w:r>
      <w:r w:rsidR="004E7099">
        <w:t>he total amount that TfL will pay to the Service Provider for an item of Capital Works shall be the value of the Quotation for the Works Instruction, unless such Quotation is amended by Compensation Events</w:t>
      </w:r>
      <w:r w:rsidR="00B678F2" w:rsidRPr="00431243">
        <w:t xml:space="preserve">, and for the avoidance of doubt the value of the Quotation will include any </w:t>
      </w:r>
      <w:r w:rsidR="008B5A82">
        <w:t xml:space="preserve">reasonable </w:t>
      </w:r>
      <w:r w:rsidR="00B678F2" w:rsidRPr="00431243">
        <w:t>costs associated with the preparation of the Quotation detailed in such Quotation</w:t>
      </w:r>
      <w:r w:rsidRPr="00431243">
        <w:t xml:space="preserve"> </w:t>
      </w:r>
      <w:r>
        <w:t>provided that such costs</w:t>
      </w:r>
      <w:r w:rsidRPr="00431243">
        <w:t xml:space="preserve"> are</w:t>
      </w:r>
      <w:r>
        <w:t xml:space="preserve"> evidenced and</w:t>
      </w:r>
      <w:r w:rsidRPr="00431243">
        <w:t xml:space="preserve"> based on the Capital Works Rates</w:t>
      </w:r>
      <w:r w:rsidR="004E7099" w:rsidRPr="00431243">
        <w:t>.</w:t>
      </w:r>
      <w:bookmarkEnd w:id="7"/>
      <w:r w:rsidR="00B678F2">
        <w:t xml:space="preserve">  </w:t>
      </w:r>
    </w:p>
    <w:p w14:paraId="6D9C7760" w14:textId="77777777" w:rsidR="00431243" w:rsidRDefault="00431243" w:rsidP="00F20412">
      <w:pPr>
        <w:pStyle w:val="ssNoHeading2"/>
      </w:pPr>
      <w:bookmarkStart w:id="8" w:name="_Ref404258106"/>
      <w:r>
        <w:t xml:space="preserve">If TfL decides not to proceed with </w:t>
      </w:r>
      <w:r w:rsidR="00777352">
        <w:t xml:space="preserve">the Capital Works described in </w:t>
      </w:r>
      <w:r>
        <w:t xml:space="preserve">a Quotation, TfL will pay to the Service Provider </w:t>
      </w:r>
      <w:r w:rsidRPr="00431243">
        <w:t>any</w:t>
      </w:r>
      <w:r w:rsidR="008B5A82">
        <w:t xml:space="preserve"> reasonable</w:t>
      </w:r>
      <w:r w:rsidRPr="00431243">
        <w:t xml:space="preserve"> costs associated with the preparation of the</w:t>
      </w:r>
      <w:r>
        <w:t xml:space="preserve"> relevant</w:t>
      </w:r>
      <w:r w:rsidRPr="00431243">
        <w:t xml:space="preserve"> Quotation detailed in such Quotation </w:t>
      </w:r>
      <w:r>
        <w:t>provided that such costs</w:t>
      </w:r>
      <w:r w:rsidRPr="00431243">
        <w:t xml:space="preserve"> are</w:t>
      </w:r>
      <w:r>
        <w:t xml:space="preserve"> evidenced and</w:t>
      </w:r>
      <w:r w:rsidRPr="00431243">
        <w:t xml:space="preserve"> based on the Capital Works Rates</w:t>
      </w:r>
      <w:r w:rsidR="00777352">
        <w:t>.</w:t>
      </w:r>
    </w:p>
    <w:bookmarkEnd w:id="8"/>
    <w:p w14:paraId="6D9C7761" w14:textId="77777777" w:rsidR="004E7099" w:rsidRDefault="008E1316" w:rsidP="00F20412">
      <w:pPr>
        <w:pStyle w:val="ssNoHeading2"/>
      </w:pPr>
      <w:r>
        <w:t xml:space="preserve">Subject to paragraph </w:t>
      </w:r>
      <w:r w:rsidR="008F5AB6">
        <w:fldChar w:fldCharType="begin"/>
      </w:r>
      <w:r w:rsidR="002D2034">
        <w:instrText xml:space="preserve"> REF _Ref402165344 \r \h </w:instrText>
      </w:r>
      <w:r w:rsidR="008F5AB6">
        <w:fldChar w:fldCharType="separate"/>
      </w:r>
      <w:r w:rsidR="00F342D7">
        <w:t>2.2</w:t>
      </w:r>
      <w:r w:rsidR="008F5AB6">
        <w:fldChar w:fldCharType="end"/>
      </w:r>
      <w:r>
        <w:t>, t</w:t>
      </w:r>
      <w:r w:rsidR="004E7099" w:rsidRPr="008A61A4">
        <w:t xml:space="preserve">he </w:t>
      </w:r>
      <w:r>
        <w:t>T</w:t>
      </w:r>
      <w:r w:rsidR="004E7099" w:rsidRPr="008A61A4">
        <w:t xml:space="preserve">CWP </w:t>
      </w:r>
      <w:r w:rsidR="004E7099">
        <w:t xml:space="preserve">due each Reporting Period is the sum of the </w:t>
      </w:r>
      <w:r>
        <w:t>“</w:t>
      </w:r>
      <w:r w:rsidR="004E7099" w:rsidRPr="008E1316">
        <w:rPr>
          <w:b/>
        </w:rPr>
        <w:t>Value of Work Done</w:t>
      </w:r>
      <w:r>
        <w:t>” or “</w:t>
      </w:r>
      <w:proofErr w:type="spellStart"/>
      <w:r w:rsidR="004E7099" w:rsidRPr="008E1316">
        <w:rPr>
          <w:b/>
        </w:rPr>
        <w:t>VoWD</w:t>
      </w:r>
      <w:proofErr w:type="spellEnd"/>
      <w:r>
        <w:t>”</w:t>
      </w:r>
      <w:r w:rsidR="004E7099">
        <w:t xml:space="preserve"> by the Service Provider in relation to the Capital Works completed for each Works Instruction</w:t>
      </w:r>
      <w:r w:rsidR="004E7099" w:rsidRPr="00A31257">
        <w:t xml:space="preserve"> </w:t>
      </w:r>
      <w:r w:rsidR="004E7099">
        <w:t>in the Reporting P</w:t>
      </w:r>
      <w:r w:rsidR="004E7099" w:rsidRPr="00241FA7">
        <w:t>eriod</w:t>
      </w:r>
      <w:r>
        <w:t xml:space="preserve"> as determined by paragraphs </w:t>
      </w:r>
      <w:r w:rsidR="008F5AB6">
        <w:fldChar w:fldCharType="begin"/>
      </w:r>
      <w:r w:rsidR="002D2034">
        <w:instrText xml:space="preserve"> REF _Ref402165148 \r \h </w:instrText>
      </w:r>
      <w:r w:rsidR="008F5AB6">
        <w:fldChar w:fldCharType="separate"/>
      </w:r>
      <w:r w:rsidR="00F342D7">
        <w:t>2.5</w:t>
      </w:r>
      <w:r w:rsidR="008F5AB6">
        <w:fldChar w:fldCharType="end"/>
      </w:r>
      <w:r>
        <w:t xml:space="preserve"> to </w:t>
      </w:r>
      <w:r w:rsidR="008F5AB6">
        <w:fldChar w:fldCharType="begin"/>
      </w:r>
      <w:r w:rsidR="002D2034">
        <w:instrText xml:space="preserve"> REF _Ref402165151 \r \h </w:instrText>
      </w:r>
      <w:r w:rsidR="008F5AB6">
        <w:fldChar w:fldCharType="separate"/>
      </w:r>
      <w:r w:rsidR="00F342D7">
        <w:t>2.8</w:t>
      </w:r>
      <w:r w:rsidR="008F5AB6">
        <w:fldChar w:fldCharType="end"/>
      </w:r>
      <w:r>
        <w:t xml:space="preserve"> (inclusive)</w:t>
      </w:r>
      <w:r w:rsidR="004E7099">
        <w:t>.</w:t>
      </w:r>
    </w:p>
    <w:p w14:paraId="6D9C7762" w14:textId="77777777" w:rsidR="004E7099" w:rsidRDefault="004E7099" w:rsidP="00F20412">
      <w:pPr>
        <w:pStyle w:val="ssNoHeading2"/>
      </w:pPr>
      <w:bookmarkStart w:id="9" w:name="_Ref402165148"/>
      <w:r>
        <w:t xml:space="preserve">The Service Provider shall submit to TfL on or before </w:t>
      </w:r>
      <w:r w:rsidR="008E1316">
        <w:t>the</w:t>
      </w:r>
      <w:r>
        <w:t xml:space="preserve"> 15</w:t>
      </w:r>
      <w:r w:rsidR="008E1316" w:rsidRPr="008E1316">
        <w:rPr>
          <w:vertAlign w:val="superscript"/>
        </w:rPr>
        <w:t>th</w:t>
      </w:r>
      <w:r w:rsidR="008E1316">
        <w:t xml:space="preserve"> day</w:t>
      </w:r>
      <w:r>
        <w:t xml:space="preserve"> of the Reporting Period its estimate of the </w:t>
      </w:r>
      <w:proofErr w:type="spellStart"/>
      <w:r>
        <w:t>VoWD</w:t>
      </w:r>
      <w:proofErr w:type="spellEnd"/>
      <w:r>
        <w:t xml:space="preserve"> in relation to the Capital Works completed for each Works Instruction</w:t>
      </w:r>
      <w:r w:rsidRPr="00A31257">
        <w:t xml:space="preserve"> </w:t>
      </w:r>
      <w:r>
        <w:t>in the Reporting P</w:t>
      </w:r>
      <w:r w:rsidRPr="00241FA7">
        <w:t>eriod</w:t>
      </w:r>
      <w:r>
        <w:t>.</w:t>
      </w:r>
      <w:bookmarkEnd w:id="9"/>
    </w:p>
    <w:p w14:paraId="6D9C7763" w14:textId="77777777" w:rsidR="004E7099" w:rsidRDefault="004E7099" w:rsidP="00F20412">
      <w:pPr>
        <w:pStyle w:val="ssNoHeading2"/>
      </w:pPr>
      <w:r>
        <w:t xml:space="preserve">TfL will review the Service Provider’s estimated </w:t>
      </w:r>
      <w:proofErr w:type="spellStart"/>
      <w:r>
        <w:t>VoWD</w:t>
      </w:r>
      <w:proofErr w:type="spellEnd"/>
      <w:r>
        <w:t xml:space="preserve"> and shall notify the Service Provider if it accepts or disputes the Service Provider’s estimate.</w:t>
      </w:r>
    </w:p>
    <w:p w14:paraId="6D9C7764" w14:textId="77777777" w:rsidR="004E7099" w:rsidRDefault="004E7099" w:rsidP="00F20412">
      <w:pPr>
        <w:pStyle w:val="ssNoHeading2"/>
      </w:pPr>
      <w:r>
        <w:t xml:space="preserve">If TfL accepts the Service Provider’s estimated </w:t>
      </w:r>
      <w:proofErr w:type="spellStart"/>
      <w:r>
        <w:t>VoWD</w:t>
      </w:r>
      <w:proofErr w:type="spellEnd"/>
      <w:r>
        <w:t xml:space="preserve">, this value shall become the </w:t>
      </w:r>
      <w:r w:rsidR="008E1316">
        <w:t>T</w:t>
      </w:r>
      <w:r>
        <w:t>CWP for the Reporting Period.</w:t>
      </w:r>
    </w:p>
    <w:p w14:paraId="6D9C7765" w14:textId="77777777" w:rsidR="004E7099" w:rsidRDefault="004E7099" w:rsidP="00F20412">
      <w:pPr>
        <w:pStyle w:val="ssNoHeading2"/>
      </w:pPr>
      <w:bookmarkStart w:id="10" w:name="_Ref402165151"/>
      <w:r>
        <w:t xml:space="preserve">If TfL disputes the Service Provider’s estimated </w:t>
      </w:r>
      <w:proofErr w:type="spellStart"/>
      <w:r>
        <w:t>VoWD</w:t>
      </w:r>
      <w:proofErr w:type="spellEnd"/>
      <w:r>
        <w:t xml:space="preserve"> for one or more Work Instructions, TfL will state why it reasonably believes the estimate is incorrect. If the Service Provider fails to provide clear explanations or satisfactory supporting evidence to support the estimated </w:t>
      </w:r>
      <w:proofErr w:type="spellStart"/>
      <w:r>
        <w:t>VoWD</w:t>
      </w:r>
      <w:proofErr w:type="spellEnd"/>
      <w:r>
        <w:t xml:space="preserve">, TfL shall revise the value of the estimated </w:t>
      </w:r>
      <w:proofErr w:type="spellStart"/>
      <w:r>
        <w:t>VoWD</w:t>
      </w:r>
      <w:proofErr w:type="spellEnd"/>
      <w:r>
        <w:t xml:space="preserve"> to a figure which TfL believes is a fair reflection of the value of Capital Work</w:t>
      </w:r>
      <w:r w:rsidR="008E1316">
        <w:t>s</w:t>
      </w:r>
      <w:r>
        <w:t xml:space="preserve"> completed by the Service Provider in the Reporting Period.  The Service Provider shall then use the revised figure as the </w:t>
      </w:r>
      <w:r w:rsidR="008E1316">
        <w:t>T</w:t>
      </w:r>
      <w:r>
        <w:t>CWP for that Reporting Period.</w:t>
      </w:r>
      <w:bookmarkEnd w:id="10"/>
    </w:p>
    <w:p w14:paraId="6D9C7766" w14:textId="77777777" w:rsidR="004E7099" w:rsidRPr="008A61A4" w:rsidRDefault="004E7099" w:rsidP="00F20412">
      <w:pPr>
        <w:pStyle w:val="Paratitle"/>
      </w:pPr>
      <w:r w:rsidRPr="008A61A4">
        <w:t>Capital Works Abatement (CWA)</w:t>
      </w:r>
    </w:p>
    <w:p w14:paraId="6D9C7767" w14:textId="77777777" w:rsidR="004E7099" w:rsidRPr="000D127D" w:rsidRDefault="004E7099" w:rsidP="004C6080">
      <w:pPr>
        <w:pStyle w:val="ssNoHeading2"/>
      </w:pPr>
      <w:r>
        <w:t xml:space="preserve">TfL may apply </w:t>
      </w:r>
      <w:r w:rsidRPr="000D127D">
        <w:t>Capital Works Abatement</w:t>
      </w:r>
      <w:r>
        <w:t>s</w:t>
      </w:r>
      <w:r w:rsidRPr="000D127D">
        <w:t xml:space="preserve"> </w:t>
      </w:r>
      <w:r>
        <w:t xml:space="preserve">against the Capital Works carried out under each Works Instruction should the </w:t>
      </w:r>
      <w:r w:rsidR="004C6080">
        <w:t xml:space="preserve">Capital Works </w:t>
      </w:r>
      <w:r>
        <w:t xml:space="preserve">provided by the Service Provider fail </w:t>
      </w:r>
      <w:r>
        <w:lastRenderedPageBreak/>
        <w:t>to meet the requirements of any of the criteria listed in paragraph 4 (</w:t>
      </w:r>
      <w:r w:rsidRPr="005E25D6">
        <w:rPr>
          <w:i/>
        </w:rPr>
        <w:t>Capital Works Abatements</w:t>
      </w:r>
      <w:r>
        <w:t>) in Schedule 8 (</w:t>
      </w:r>
      <w:r w:rsidRPr="005E25D6">
        <w:rPr>
          <w:i/>
        </w:rPr>
        <w:t>Capital Works</w:t>
      </w:r>
      <w:r>
        <w:t>).</w:t>
      </w:r>
    </w:p>
    <w:p w14:paraId="6D9C7768" w14:textId="77777777" w:rsidR="004E7099" w:rsidRDefault="004E7099" w:rsidP="00F20412">
      <w:pPr>
        <w:pStyle w:val="ssNoHeading2"/>
      </w:pPr>
      <w:bookmarkStart w:id="11" w:name="_Toc252486029"/>
      <w:bookmarkStart w:id="12" w:name="_Toc252486131"/>
      <w:bookmarkStart w:id="13" w:name="_Toc252489569"/>
      <w:bookmarkStart w:id="14" w:name="_Toc254159591"/>
      <w:bookmarkStart w:id="15" w:name="_Toc254384251"/>
      <w:bookmarkStart w:id="16" w:name="_Toc254398995"/>
      <w:bookmarkStart w:id="17" w:name="_Toc254399226"/>
      <w:bookmarkStart w:id="18" w:name="_Toc254399372"/>
      <w:bookmarkStart w:id="19" w:name="_Toc254402144"/>
      <w:bookmarkStart w:id="20" w:name="_Toc254681237"/>
      <w:bookmarkStart w:id="21" w:name="_Toc254696638"/>
      <w:bookmarkStart w:id="22" w:name="_Toc254774894"/>
      <w:bookmarkStart w:id="23" w:name="_Toc254775050"/>
      <w:bookmarkStart w:id="24" w:name="_Toc254801392"/>
      <w:bookmarkStart w:id="25" w:name="_Toc252486036"/>
      <w:bookmarkStart w:id="26" w:name="_Toc252486138"/>
      <w:bookmarkStart w:id="27" w:name="_Toc25248957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 xml:space="preserve">The value of </w:t>
      </w:r>
      <w:r w:rsidR="008E1316">
        <w:t>one (1) CWA</w:t>
      </w:r>
      <w:r w:rsidR="008E1316" w:rsidRPr="000D127D">
        <w:t xml:space="preserve"> </w:t>
      </w:r>
      <w:r>
        <w:t>for the Capital Works ordered under a Works Instruction shall be calculated as one percent (1%) of the Quotation value for that Work Instruction excluding the cost for the purchase of any Equipment.</w:t>
      </w:r>
    </w:p>
    <w:p w14:paraId="6D9C7769" w14:textId="77777777" w:rsidR="004E7099" w:rsidRDefault="004E7099" w:rsidP="00F20412">
      <w:pPr>
        <w:pStyle w:val="ssNoHeading2"/>
      </w:pPr>
      <w:r>
        <w:t>TfL may apply more tha</w:t>
      </w:r>
      <w:r w:rsidR="008E1316">
        <w:t>n</w:t>
      </w:r>
      <w:r>
        <w:t xml:space="preserve"> one </w:t>
      </w:r>
      <w:r w:rsidR="008E1316">
        <w:t xml:space="preserve">(1) </w:t>
      </w:r>
      <w:r>
        <w:t>CWA to the Capital Works carried out under one Works Instruction.</w:t>
      </w:r>
    </w:p>
    <w:p w14:paraId="6D9C776A" w14:textId="77777777" w:rsidR="004E7099" w:rsidRDefault="004E7099" w:rsidP="00F20412">
      <w:pPr>
        <w:pStyle w:val="ssNoHeading2"/>
      </w:pPr>
      <w:r>
        <w:t>The total value of the CWA</w:t>
      </w:r>
      <w:r w:rsidR="008E1316">
        <w:t>s</w:t>
      </w:r>
      <w:r>
        <w:t xml:space="preserve"> which can be applied to the Capital Works carried out under any one Works Instruction is capped at twenty per cent (20%) of </w:t>
      </w:r>
      <w:r w:rsidRPr="000D127D">
        <w:t xml:space="preserve">the </w:t>
      </w:r>
      <w:r>
        <w:t xml:space="preserve">value of the </w:t>
      </w:r>
      <w:r w:rsidRPr="008A61A4">
        <w:t>Quotation for that Works Instruction</w:t>
      </w:r>
      <w:r w:rsidRPr="005E6B31">
        <w:t xml:space="preserve"> </w:t>
      </w:r>
      <w:r>
        <w:t>excluding the cost for the purchase of any Equipment</w:t>
      </w:r>
      <w:r w:rsidRPr="008A61A4">
        <w:t>.</w:t>
      </w:r>
    </w:p>
    <w:p w14:paraId="6D9C776B" w14:textId="77777777" w:rsidR="004E7099" w:rsidRDefault="004E7099" w:rsidP="00F20412">
      <w:pPr>
        <w:pStyle w:val="ssNoHeading2"/>
      </w:pPr>
      <w:r>
        <w:t>TfL may allow e</w:t>
      </w:r>
      <w:r w:rsidRPr="000D127D">
        <w:t xml:space="preserve">xceptions </w:t>
      </w:r>
      <w:r>
        <w:t xml:space="preserve">to the application of CWA </w:t>
      </w:r>
      <w:r w:rsidRPr="000D127D">
        <w:t xml:space="preserve">for </w:t>
      </w:r>
      <w:r>
        <w:t xml:space="preserve">Compensation Events as described in </w:t>
      </w:r>
      <w:r w:rsidR="008E1316">
        <w:t>Annex 3 (</w:t>
      </w:r>
      <w:r w:rsidR="008E1316" w:rsidRPr="008E1316">
        <w:rPr>
          <w:i/>
        </w:rPr>
        <w:t>Compensation Process</w:t>
      </w:r>
      <w:r w:rsidR="008E1316">
        <w:t xml:space="preserve">) to </w:t>
      </w:r>
      <w:r w:rsidR="004C6080">
        <w:t>Schedule</w:t>
      </w:r>
      <w:r>
        <w:t xml:space="preserve"> 8 (</w:t>
      </w:r>
      <w:r w:rsidRPr="003B11CA">
        <w:rPr>
          <w:i/>
        </w:rPr>
        <w:t>Capital Works</w:t>
      </w:r>
      <w:r>
        <w:t>)</w:t>
      </w:r>
      <w:r w:rsidRPr="000D127D">
        <w:t xml:space="preserve"> provided that the </w:t>
      </w:r>
      <w:r>
        <w:t>Service Provider</w:t>
      </w:r>
      <w:r w:rsidRPr="000D127D">
        <w:t xml:space="preserve"> </w:t>
      </w:r>
      <w:r>
        <w:t xml:space="preserve">has raised an appropriate Early Warning Notice and </w:t>
      </w:r>
      <w:r w:rsidRPr="000D127D">
        <w:t xml:space="preserve">can demonstrate that </w:t>
      </w:r>
      <w:r w:rsidR="004C6080">
        <w:t>it has</w:t>
      </w:r>
      <w:r w:rsidRPr="000D127D">
        <w:t xml:space="preserve"> taken all reasonable care to avoid such issues and to mitigate their </w:t>
      </w:r>
      <w:r w:rsidR="008E1316">
        <w:t>e</w:t>
      </w:r>
      <w:r w:rsidRPr="000D127D">
        <w:t>ffect on the</w:t>
      </w:r>
      <w:r w:rsidR="008E1316">
        <w:t xml:space="preserve"> applicable Capital Works</w:t>
      </w:r>
      <w:r w:rsidRPr="000D127D">
        <w:t>.</w:t>
      </w:r>
    </w:p>
    <w:p w14:paraId="6D9C776C" w14:textId="77777777" w:rsidR="004E7099" w:rsidRPr="00C57D54" w:rsidRDefault="004E7099" w:rsidP="00F20412">
      <w:pPr>
        <w:pStyle w:val="ssNoHeading2"/>
      </w:pPr>
      <w:r w:rsidRPr="00445521">
        <w:t xml:space="preserve">If the </w:t>
      </w:r>
      <w:r>
        <w:t xml:space="preserve">total value of </w:t>
      </w:r>
      <w:r w:rsidR="004C6080">
        <w:t>CWAs</w:t>
      </w:r>
      <w:r w:rsidRPr="00445521">
        <w:t xml:space="preserve"> due in respect</w:t>
      </w:r>
      <w:r w:rsidRPr="000D127D">
        <w:t xml:space="preserve"> of a </w:t>
      </w:r>
      <w:r>
        <w:t xml:space="preserve">Works Instruction </w:t>
      </w:r>
      <w:r w:rsidRPr="000D127D">
        <w:t xml:space="preserve">exceed the balance otherwise due to the </w:t>
      </w:r>
      <w:r>
        <w:t>Service Provider</w:t>
      </w:r>
      <w:r w:rsidRPr="000D127D">
        <w:t xml:space="preserve"> in respect of that </w:t>
      </w:r>
      <w:r>
        <w:t>Works Instruction</w:t>
      </w:r>
      <w:r w:rsidRPr="000D127D">
        <w:t xml:space="preserve">, for example if stage payments have been made in respect of the </w:t>
      </w:r>
      <w:r>
        <w:t>Works Instruction</w:t>
      </w:r>
      <w:r w:rsidRPr="000D127D">
        <w:t xml:space="preserve">, </w:t>
      </w:r>
      <w:r>
        <w:t>TfL</w:t>
      </w:r>
      <w:r w:rsidRPr="000D127D">
        <w:t xml:space="preserve"> will invoice the </w:t>
      </w:r>
      <w:r>
        <w:t>Service Provider</w:t>
      </w:r>
      <w:r w:rsidRPr="000D127D">
        <w:t xml:space="preserve"> for the balance due and be entitled to offset the invoice against </w:t>
      </w:r>
      <w:r w:rsidR="004C6080">
        <w:t xml:space="preserve">other </w:t>
      </w:r>
      <w:r w:rsidRPr="000D127D">
        <w:t xml:space="preserve">payments </w:t>
      </w:r>
      <w:r w:rsidRPr="00C57D54">
        <w:t>due under the Agreement</w:t>
      </w:r>
      <w:r w:rsidR="004C6080">
        <w:t>,</w:t>
      </w:r>
      <w:r w:rsidRPr="00C57D54">
        <w:t xml:space="preserve"> including payment for </w:t>
      </w:r>
      <w:r w:rsidR="00330DDD">
        <w:t>TPMP</w:t>
      </w:r>
      <w:r w:rsidRPr="00C57D54">
        <w:t xml:space="preserve">. </w:t>
      </w:r>
    </w:p>
    <w:p w14:paraId="6D9C776D" w14:textId="77777777" w:rsidR="004E7099" w:rsidRPr="00A970C4" w:rsidRDefault="004E7099" w:rsidP="00F20412">
      <w:pPr>
        <w:pStyle w:val="Paratitle"/>
      </w:pPr>
      <w:bookmarkStart w:id="28" w:name="_DV_M1028"/>
      <w:bookmarkStart w:id="29" w:name="_DV_M1033"/>
      <w:bookmarkStart w:id="30" w:name="_Toc254895053"/>
      <w:bookmarkEnd w:id="28"/>
      <w:bookmarkEnd w:id="29"/>
      <w:r w:rsidRPr="00A970C4">
        <w:t>Adjustment</w:t>
      </w:r>
    </w:p>
    <w:p w14:paraId="6D9C776E" w14:textId="77777777" w:rsidR="004E7099" w:rsidRDefault="004E7099" w:rsidP="00F20412">
      <w:pPr>
        <w:pStyle w:val="ssNoHeading2"/>
      </w:pPr>
      <w:r>
        <w:t xml:space="preserve">TfL may apply </w:t>
      </w:r>
      <w:r w:rsidR="00330DDD">
        <w:t>an A</w:t>
      </w:r>
      <w:r w:rsidRPr="00680F25">
        <w:t xml:space="preserve">djustment to correct discrepancies in respect of payments </w:t>
      </w:r>
      <w:r w:rsidR="00330DDD">
        <w:t xml:space="preserve">of TCWP </w:t>
      </w:r>
      <w:r w:rsidRPr="00680F25">
        <w:t xml:space="preserve">made in previous Reporting Periods or in the calculation of payments </w:t>
      </w:r>
      <w:r w:rsidR="00330DDD">
        <w:t xml:space="preserve">of TCWP </w:t>
      </w:r>
      <w:r w:rsidRPr="00680F25">
        <w:t>due for the current Reporting Period which, for the avoidance of doubt, may be positive or negative.</w:t>
      </w:r>
    </w:p>
    <w:p w14:paraId="6D9C776F" w14:textId="77777777" w:rsidR="004E7099" w:rsidRPr="00E6342B" w:rsidRDefault="004E7099" w:rsidP="00F20412">
      <w:pPr>
        <w:pStyle w:val="Paratitle"/>
      </w:pPr>
      <w:r w:rsidRPr="00E6342B">
        <w:t>Invoicing For Capital Works</w:t>
      </w:r>
    </w:p>
    <w:p w14:paraId="6D9C7770" w14:textId="77777777" w:rsidR="004E7099" w:rsidRDefault="004E7099" w:rsidP="00F20412">
      <w:pPr>
        <w:pStyle w:val="ssNoHeading2"/>
      </w:pPr>
      <w:r>
        <w:t xml:space="preserve">The Service Provider shall collate the </w:t>
      </w:r>
      <w:r w:rsidR="005868F4">
        <w:t>T</w:t>
      </w:r>
      <w:r>
        <w:t xml:space="preserve">CWP for the Reporting Period, including a breakdown of the </w:t>
      </w:r>
      <w:proofErr w:type="spellStart"/>
      <w:r>
        <w:t>VoWD</w:t>
      </w:r>
      <w:proofErr w:type="spellEnd"/>
      <w:r>
        <w:t xml:space="preserve"> for each Works Instruction clearly showing any CWA and/or </w:t>
      </w:r>
      <w:r w:rsidR="007B6DDC">
        <w:t>A</w:t>
      </w:r>
      <w:r>
        <w:t xml:space="preserve">djustment applied, on an </w:t>
      </w:r>
      <w:r w:rsidR="005868F4">
        <w:t>i</w:t>
      </w:r>
      <w:r>
        <w:t xml:space="preserve">nterim </w:t>
      </w:r>
      <w:r w:rsidR="005868F4">
        <w:t>c</w:t>
      </w:r>
      <w:r>
        <w:t>ertificate</w:t>
      </w:r>
      <w:r w:rsidR="005868F4">
        <w:t xml:space="preserve"> (“</w:t>
      </w:r>
      <w:r w:rsidR="005868F4" w:rsidRPr="005868F4">
        <w:rPr>
          <w:b/>
        </w:rPr>
        <w:t>Interim Certificate</w:t>
      </w:r>
      <w:r w:rsidR="005868F4">
        <w:t>”)</w:t>
      </w:r>
      <w:r>
        <w:t xml:space="preserve"> and shall submit this Interim Certificate to TfL for review.</w:t>
      </w:r>
    </w:p>
    <w:p w14:paraId="6D9C7771" w14:textId="77777777" w:rsidR="004E7099" w:rsidRDefault="004E7099" w:rsidP="00F20412">
      <w:pPr>
        <w:pStyle w:val="ssNoHeading2"/>
      </w:pPr>
      <w:r>
        <w:t xml:space="preserve">TfL will check the Interim Certificate against the </w:t>
      </w:r>
      <w:proofErr w:type="spellStart"/>
      <w:r>
        <w:t>VoWD</w:t>
      </w:r>
      <w:proofErr w:type="spellEnd"/>
      <w:r>
        <w:t xml:space="preserve"> and will return a signed copy of the Interim Certificate to the Service Provider.</w:t>
      </w:r>
    </w:p>
    <w:p w14:paraId="6D9C7772" w14:textId="77777777" w:rsidR="004E7099" w:rsidRDefault="004E7099" w:rsidP="00F20412">
      <w:pPr>
        <w:pStyle w:val="ssNoHeading2"/>
      </w:pPr>
      <w:r>
        <w:t>The Service Provider may then submit</w:t>
      </w:r>
      <w:r w:rsidRPr="00241FA7">
        <w:t xml:space="preserve"> </w:t>
      </w:r>
      <w:r>
        <w:t xml:space="preserve">an </w:t>
      </w:r>
      <w:r w:rsidRPr="00241FA7">
        <w:t>invoice</w:t>
      </w:r>
      <w:r w:rsidR="007B6DDC" w:rsidRPr="007B6DDC">
        <w:t xml:space="preserve"> </w:t>
      </w:r>
      <w:r w:rsidR="007B6DDC">
        <w:t xml:space="preserve">in accordance </w:t>
      </w:r>
      <w:r w:rsidR="007B6DDC" w:rsidRPr="00241FA7">
        <w:t xml:space="preserve">with paragraph </w:t>
      </w:r>
      <w:r w:rsidR="008F5AB6">
        <w:fldChar w:fldCharType="begin"/>
      </w:r>
      <w:r w:rsidR="002D2034">
        <w:instrText xml:space="preserve"> REF _Ref402118550 \r \h </w:instrText>
      </w:r>
      <w:r w:rsidR="008F5AB6">
        <w:fldChar w:fldCharType="separate"/>
      </w:r>
      <w:r w:rsidR="00F342D7">
        <w:t>6.3</w:t>
      </w:r>
      <w:r w:rsidR="008F5AB6">
        <w:fldChar w:fldCharType="end"/>
      </w:r>
      <w:r w:rsidR="007B6DDC">
        <w:t xml:space="preserve"> (</w:t>
      </w:r>
      <w:r w:rsidR="007B6DDC" w:rsidRPr="00A15972">
        <w:rPr>
          <w:i/>
        </w:rPr>
        <w:t>Issuing Invoices</w:t>
      </w:r>
      <w:r w:rsidR="007B6DDC">
        <w:t>)</w:t>
      </w:r>
      <w:r w:rsidRPr="00241FA7">
        <w:t xml:space="preserve"> </w:t>
      </w:r>
      <w:r>
        <w:t>for the value of the Interim Certificate for that Reporting Period</w:t>
      </w:r>
      <w:r w:rsidR="005868F4">
        <w:t>.</w:t>
      </w:r>
    </w:p>
    <w:p w14:paraId="6D9C7773" w14:textId="77777777" w:rsidR="004E7099" w:rsidRPr="00364BFD" w:rsidRDefault="004E7099" w:rsidP="00F20412">
      <w:pPr>
        <w:pStyle w:val="ssNoHeading2"/>
      </w:pPr>
      <w:r>
        <w:t>TfL w</w:t>
      </w:r>
      <w:r w:rsidR="005868F4">
        <w:t>i</w:t>
      </w:r>
      <w:r>
        <w:t xml:space="preserve">ll pay invoices </w:t>
      </w:r>
      <w:r w:rsidR="007B6DDC">
        <w:t xml:space="preserve">for TCWP </w:t>
      </w:r>
      <w:r>
        <w:t xml:space="preserve">up to a maximum of 80% of the value of the Quotation for Capital Works completed on each Works Instruction up to and including the LAT with the remaining 20% only becoming payable on Take-Over.  </w:t>
      </w:r>
    </w:p>
    <w:p w14:paraId="6D9C7774" w14:textId="77777777" w:rsidR="004E7099" w:rsidRPr="008A61A4" w:rsidRDefault="004E7099" w:rsidP="00F20412">
      <w:pPr>
        <w:pStyle w:val="Paratitle"/>
      </w:pPr>
      <w:r w:rsidRPr="008A61A4">
        <w:lastRenderedPageBreak/>
        <w:t>Equipment and Materials Supply</w:t>
      </w:r>
      <w:bookmarkEnd w:id="30"/>
    </w:p>
    <w:p w14:paraId="6D9C7775" w14:textId="77777777" w:rsidR="004E7099" w:rsidRPr="00241FA7" w:rsidRDefault="004E7099" w:rsidP="00F20412">
      <w:pPr>
        <w:pStyle w:val="ssNoHeading2"/>
      </w:pPr>
      <w:r>
        <w:t xml:space="preserve">Where the Service Provider needs to purchase Equipment and materials for the execution of Capital Works, </w:t>
      </w:r>
      <w:r w:rsidRPr="00241FA7">
        <w:t xml:space="preserve">TfL will pay the Service Provider </w:t>
      </w:r>
      <w:r>
        <w:t xml:space="preserve">the cost </w:t>
      </w:r>
      <w:r w:rsidRPr="00241FA7">
        <w:t xml:space="preserve">for </w:t>
      </w:r>
      <w:r>
        <w:t xml:space="preserve">the </w:t>
      </w:r>
      <w:r w:rsidRPr="00241FA7">
        <w:t xml:space="preserve">materials and Equipment </w:t>
      </w:r>
      <w:r>
        <w:t>plus a mark-up</w:t>
      </w:r>
      <w:r w:rsidRPr="00241FA7">
        <w:t xml:space="preserve"> at the rates set out in Annex 2 (</w:t>
      </w:r>
      <w:r w:rsidRPr="005868F4">
        <w:rPr>
          <w:i/>
        </w:rPr>
        <w:t>Capital Works Rates</w:t>
      </w:r>
      <w:r w:rsidR="005868F4">
        <w:t>) to this Schedule</w:t>
      </w:r>
      <w:r w:rsidRPr="00241FA7">
        <w:t>.</w:t>
      </w:r>
    </w:p>
    <w:p w14:paraId="6D9C7776" w14:textId="77777777" w:rsidR="004E7099" w:rsidRPr="000D127D" w:rsidRDefault="004E7099" w:rsidP="00F20412">
      <w:pPr>
        <w:pStyle w:val="ssNoHeading2"/>
      </w:pPr>
      <w:r w:rsidRPr="000D127D">
        <w:t xml:space="preserve">The </w:t>
      </w:r>
      <w:r>
        <w:t>Service Provider shall include the cost</w:t>
      </w:r>
      <w:r w:rsidRPr="000D127D">
        <w:t xml:space="preserve"> for such materials and </w:t>
      </w:r>
      <w:r w:rsidRPr="008A61A4">
        <w:t>Equipment</w:t>
      </w:r>
      <w:r w:rsidRPr="000D127D">
        <w:t xml:space="preserve"> </w:t>
      </w:r>
      <w:r>
        <w:t>including the mark-up at the appropriate rate in the Quotation provided for the Works Instruction</w:t>
      </w:r>
      <w:r w:rsidRPr="000D127D">
        <w:t>.</w:t>
      </w:r>
    </w:p>
    <w:p w14:paraId="6D9C7777" w14:textId="77777777" w:rsidR="004E7099" w:rsidRDefault="004E7099" w:rsidP="00F20412">
      <w:pPr>
        <w:pStyle w:val="ssNoHeading2"/>
      </w:pPr>
      <w:r>
        <w:t>TfL</w:t>
      </w:r>
      <w:r w:rsidRPr="000D127D">
        <w:t xml:space="preserve"> reserves the right to </w:t>
      </w:r>
      <w:r>
        <w:t xml:space="preserve">instruct the Service Provider to procure particular types or makes of Equipment and materials, or to </w:t>
      </w:r>
      <w:r w:rsidRPr="00445521">
        <w:t xml:space="preserve">source </w:t>
      </w:r>
      <w:r>
        <w:t xml:space="preserve">the </w:t>
      </w:r>
      <w:r w:rsidRPr="00445521">
        <w:t>Equipment and</w:t>
      </w:r>
      <w:r w:rsidRPr="000D127D">
        <w:t xml:space="preserve"> materials </w:t>
      </w:r>
      <w:r w:rsidR="007B6DDC">
        <w:t>itself</w:t>
      </w:r>
      <w:r w:rsidRPr="000D127D">
        <w:t xml:space="preserve"> in order to obtain best value. </w:t>
      </w:r>
    </w:p>
    <w:p w14:paraId="6D9C7778" w14:textId="77777777" w:rsidR="004E7099" w:rsidRPr="003C1877" w:rsidRDefault="004E7099" w:rsidP="003C1877">
      <w:pPr>
        <w:pStyle w:val="Paratitle"/>
      </w:pPr>
      <w:r w:rsidRPr="003C1877">
        <w:t xml:space="preserve">Supply of Services </w:t>
      </w:r>
    </w:p>
    <w:p w14:paraId="6D9C7779" w14:textId="77777777" w:rsidR="004E7099" w:rsidRPr="00241FA7" w:rsidRDefault="004E7099" w:rsidP="00F20412">
      <w:pPr>
        <w:pStyle w:val="ssNoHeading2"/>
      </w:pPr>
      <w:r>
        <w:t xml:space="preserve">Where the Service Provider needs to purchase the services of specialist companies or contractors for the execution of Capital Works, </w:t>
      </w:r>
      <w:r w:rsidRPr="00241FA7">
        <w:t xml:space="preserve">TfL will pay the Service Provider </w:t>
      </w:r>
      <w:r>
        <w:t xml:space="preserve">the cost </w:t>
      </w:r>
      <w:r w:rsidRPr="00241FA7">
        <w:t xml:space="preserve">for </w:t>
      </w:r>
      <w:r>
        <w:t>the specialist services</w:t>
      </w:r>
      <w:r w:rsidRPr="00241FA7">
        <w:t xml:space="preserve"> </w:t>
      </w:r>
      <w:r>
        <w:t>plus a mark-up</w:t>
      </w:r>
      <w:r w:rsidRPr="00241FA7">
        <w:t xml:space="preserve"> at the rates set out in Annex 2 (</w:t>
      </w:r>
      <w:r w:rsidRPr="005868F4">
        <w:rPr>
          <w:i/>
        </w:rPr>
        <w:t>Capital Works Rates</w:t>
      </w:r>
      <w:r w:rsidR="005868F4">
        <w:t>) to this Schedule</w:t>
      </w:r>
      <w:r w:rsidRPr="00241FA7">
        <w:t>.</w:t>
      </w:r>
    </w:p>
    <w:p w14:paraId="6D9C777A" w14:textId="77777777" w:rsidR="004E7099" w:rsidRDefault="004E7099" w:rsidP="00F20412">
      <w:pPr>
        <w:pStyle w:val="ssNoHeading2"/>
      </w:pPr>
      <w:r w:rsidRPr="000D127D">
        <w:t xml:space="preserve">The </w:t>
      </w:r>
      <w:r>
        <w:t>Service Provider shall include the cost</w:t>
      </w:r>
      <w:r w:rsidRPr="000D127D">
        <w:t xml:space="preserve"> for such </w:t>
      </w:r>
      <w:r>
        <w:t>specialist services</w:t>
      </w:r>
      <w:r w:rsidRPr="000D127D">
        <w:t xml:space="preserve"> </w:t>
      </w:r>
      <w:r>
        <w:t xml:space="preserve">including the mark-up at the appropriate rate in </w:t>
      </w:r>
      <w:r w:rsidR="005868F4">
        <w:t xml:space="preserve">the Quotation provided for the </w:t>
      </w:r>
      <w:r>
        <w:t>Works Instruction.</w:t>
      </w:r>
    </w:p>
    <w:p w14:paraId="6D9C777B" w14:textId="77777777" w:rsidR="004E7099" w:rsidRPr="000D127D" w:rsidRDefault="004E7099" w:rsidP="00F20412">
      <w:pPr>
        <w:pStyle w:val="ssNoHeading2"/>
      </w:pPr>
      <w:r>
        <w:t>TfL</w:t>
      </w:r>
      <w:r w:rsidRPr="000D127D">
        <w:t xml:space="preserve"> reserves the right to </w:t>
      </w:r>
      <w:r>
        <w:t xml:space="preserve">instruct the Service Provider to use the services of particular companies or specialist contractors, or to </w:t>
      </w:r>
      <w:r w:rsidRPr="00445521">
        <w:t xml:space="preserve">source </w:t>
      </w:r>
      <w:r>
        <w:t>the services</w:t>
      </w:r>
      <w:r w:rsidRPr="000D127D">
        <w:t xml:space="preserve"> </w:t>
      </w:r>
      <w:r w:rsidR="007B6DDC">
        <w:t>itself</w:t>
      </w:r>
      <w:r w:rsidRPr="000D127D">
        <w:t xml:space="preserve"> in order to obtain best value. </w:t>
      </w:r>
    </w:p>
    <w:p w14:paraId="6D9C777C" w14:textId="77777777" w:rsidR="004E7099" w:rsidRPr="008A61A4" w:rsidRDefault="004E7099" w:rsidP="00F20412">
      <w:pPr>
        <w:pStyle w:val="Paratitle"/>
      </w:pPr>
      <w:r w:rsidRPr="008A61A4">
        <w:t>Traffic Management for Capital Works</w:t>
      </w:r>
    </w:p>
    <w:p w14:paraId="6D9C777D" w14:textId="77777777" w:rsidR="004E7099" w:rsidRPr="004C0883" w:rsidRDefault="004E7099" w:rsidP="00F20412">
      <w:pPr>
        <w:pStyle w:val="ssNoHeading2"/>
      </w:pPr>
      <w:r w:rsidRPr="004C0883">
        <w:t xml:space="preserve">Where Traffic Management is required for Capital Works, the Service Provider shall use the agreed rates given by the Service Provider in </w:t>
      </w:r>
      <w:r w:rsidR="005868F4" w:rsidRPr="00241FA7">
        <w:t>Annex 2 (</w:t>
      </w:r>
      <w:r w:rsidR="005868F4" w:rsidRPr="005868F4">
        <w:rPr>
          <w:i/>
        </w:rPr>
        <w:t>Capital Works Rates</w:t>
      </w:r>
      <w:r w:rsidR="005868F4">
        <w:t>) to this Schedule</w:t>
      </w:r>
      <w:r w:rsidRPr="00E6342B">
        <w:t>.</w:t>
      </w:r>
      <w:r w:rsidRPr="004C0883">
        <w:t xml:space="preserve"> </w:t>
      </w:r>
      <w:r>
        <w:t xml:space="preserve">All </w:t>
      </w:r>
      <w:r w:rsidRPr="004C0883">
        <w:t xml:space="preserve">Traffic Management costs </w:t>
      </w:r>
      <w:r>
        <w:t xml:space="preserve">are to be </w:t>
      </w:r>
      <w:r w:rsidRPr="004C0883">
        <w:t>in</w:t>
      </w:r>
      <w:r>
        <w:t>cluded in</w:t>
      </w:r>
      <w:r w:rsidRPr="004C0883">
        <w:t xml:space="preserve"> the </w:t>
      </w:r>
      <w:r w:rsidRPr="008A61A4">
        <w:t>Quotation</w:t>
      </w:r>
      <w:r>
        <w:t>s</w:t>
      </w:r>
      <w:r w:rsidRPr="008A61A4">
        <w:t xml:space="preserve"> for th</w:t>
      </w:r>
      <w:r>
        <w:t>e</w:t>
      </w:r>
      <w:r w:rsidRPr="008A61A4">
        <w:t xml:space="preserve"> Works Instruction</w:t>
      </w:r>
      <w:r>
        <w:t>s</w:t>
      </w:r>
      <w:r w:rsidRPr="008A61A4">
        <w:t>.</w:t>
      </w:r>
      <w:r>
        <w:t xml:space="preserve"> </w:t>
      </w:r>
      <w:r w:rsidRPr="004C0883">
        <w:t>No payment shall be due to the Service Provider in instances where the Service Provider does not need to arrange the Traffic Management, for example, for planned overnight Tunnel closures where this is arranged by the Tunnel management team</w:t>
      </w:r>
      <w:r>
        <w:t xml:space="preserve"> or L</w:t>
      </w:r>
      <w:r w:rsidR="00E52AB9">
        <w:t>o</w:t>
      </w:r>
      <w:r w:rsidR="005868F4">
        <w:t>HAC c</w:t>
      </w:r>
      <w:r>
        <w:t>ontractor</w:t>
      </w:r>
      <w:r w:rsidRPr="004C0883">
        <w:t>.</w:t>
      </w:r>
    </w:p>
    <w:p w14:paraId="6D9C777E" w14:textId="77777777" w:rsidR="004E7099" w:rsidRPr="00E6342B" w:rsidRDefault="004E7099" w:rsidP="00F20412">
      <w:pPr>
        <w:pStyle w:val="Paratitle"/>
      </w:pPr>
      <w:bookmarkStart w:id="31" w:name="_Toc254384232"/>
      <w:bookmarkStart w:id="32" w:name="_Toc254398978"/>
      <w:bookmarkStart w:id="33" w:name="_Toc254399209"/>
      <w:bookmarkStart w:id="34" w:name="_Toc254399355"/>
      <w:bookmarkStart w:id="35" w:name="_Toc254402127"/>
      <w:bookmarkStart w:id="36" w:name="_Toc254681220"/>
      <w:bookmarkStart w:id="37" w:name="_Toc254696621"/>
      <w:bookmarkStart w:id="38" w:name="_Toc254774877"/>
      <w:bookmarkStart w:id="39" w:name="_Toc254775033"/>
      <w:bookmarkStart w:id="40" w:name="_Toc254801375"/>
      <w:bookmarkStart w:id="41" w:name="_Toc254384233"/>
      <w:bookmarkStart w:id="42" w:name="_Toc254398979"/>
      <w:bookmarkStart w:id="43" w:name="_Toc254399210"/>
      <w:bookmarkStart w:id="44" w:name="_Toc254399356"/>
      <w:bookmarkStart w:id="45" w:name="_Toc254402128"/>
      <w:bookmarkStart w:id="46" w:name="_Toc254681221"/>
      <w:bookmarkStart w:id="47" w:name="_Toc254696622"/>
      <w:bookmarkStart w:id="48" w:name="_Toc254774878"/>
      <w:bookmarkStart w:id="49" w:name="_Toc254775034"/>
      <w:bookmarkStart w:id="50" w:name="_Toc25480137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E6342B">
        <w:t>Payment Retention</w:t>
      </w:r>
    </w:p>
    <w:p w14:paraId="6D9C777F" w14:textId="77777777" w:rsidR="004E7099" w:rsidRDefault="004E7099" w:rsidP="00F20412">
      <w:pPr>
        <w:pStyle w:val="ssNoHeading2"/>
      </w:pPr>
      <w:r w:rsidRPr="000D127D">
        <w:t xml:space="preserve">Where </w:t>
      </w:r>
      <w:r>
        <w:t>Capital W</w:t>
      </w:r>
      <w:r w:rsidRPr="000D127D">
        <w:t>ork</w:t>
      </w:r>
      <w:r w:rsidR="007B6DDC">
        <w:t>s</w:t>
      </w:r>
      <w:r w:rsidR="00F415C0">
        <w:t xml:space="preserve"> are</w:t>
      </w:r>
      <w:r w:rsidRPr="000D127D">
        <w:t xml:space="preserve"> completed during the </w:t>
      </w:r>
      <w:r w:rsidR="00E52AB9">
        <w:t>final</w:t>
      </w:r>
      <w:r w:rsidRPr="000D127D">
        <w:t xml:space="preserve"> </w:t>
      </w:r>
      <w:r w:rsidR="005868F4">
        <w:t>Contract Y</w:t>
      </w:r>
      <w:r w:rsidRPr="000D127D">
        <w:t>ear</w:t>
      </w:r>
      <w:r>
        <w:t>, a sum of</w:t>
      </w:r>
      <w:r w:rsidRPr="000D127D">
        <w:t xml:space="preserve"> five percent</w:t>
      </w:r>
      <w:r w:rsidR="007B6DDC" w:rsidRPr="000D127D">
        <w:t xml:space="preserve"> (5%</w:t>
      </w:r>
      <w:r w:rsidRPr="000D127D">
        <w:t xml:space="preserve">) of the </w:t>
      </w:r>
      <w:r>
        <w:t>value of the Quotation for the</w:t>
      </w:r>
      <w:r w:rsidRPr="000D127D">
        <w:t xml:space="preserve"> </w:t>
      </w:r>
      <w:r w:rsidRPr="00E6342B">
        <w:t xml:space="preserve">Works Instruction </w:t>
      </w:r>
      <w:r w:rsidRPr="000D127D">
        <w:t xml:space="preserve">will be retained by </w:t>
      </w:r>
      <w:r>
        <w:t>TfL</w:t>
      </w:r>
      <w:r w:rsidRPr="000D127D">
        <w:t xml:space="preserve"> </w:t>
      </w:r>
      <w:r>
        <w:t xml:space="preserve">for a period of two (2) years </w:t>
      </w:r>
      <w:r w:rsidRPr="000D127D">
        <w:t xml:space="preserve">to cover </w:t>
      </w:r>
      <w:r>
        <w:t xml:space="preserve">the </w:t>
      </w:r>
      <w:r w:rsidRPr="000D127D">
        <w:t>potential cost of warrant</w:t>
      </w:r>
      <w:r>
        <w:t>y</w:t>
      </w:r>
      <w:r w:rsidRPr="000D127D">
        <w:t xml:space="preserve"> claims or correction of defects that are the responsibility of the </w:t>
      </w:r>
      <w:r>
        <w:t>Service Provider</w:t>
      </w:r>
      <w:r w:rsidRPr="000D127D">
        <w:t xml:space="preserve"> as detailed in </w:t>
      </w:r>
      <w:r>
        <w:t>paragraph</w:t>
      </w:r>
      <w:r w:rsidR="005868F4">
        <w:t>s 3.4</w:t>
      </w:r>
      <w:r w:rsidR="00E52AB9">
        <w:t>3</w:t>
      </w:r>
      <w:r w:rsidR="005868F4">
        <w:t xml:space="preserve"> to 3.4</w:t>
      </w:r>
      <w:r w:rsidR="00E52AB9">
        <w:t>5</w:t>
      </w:r>
      <w:r w:rsidR="005868F4">
        <w:t xml:space="preserve"> (inclusive) </w:t>
      </w:r>
      <w:r>
        <w:t>(</w:t>
      </w:r>
      <w:r w:rsidRPr="003B11CA">
        <w:rPr>
          <w:i/>
        </w:rPr>
        <w:t>Warranty and Defect Liability Period</w:t>
      </w:r>
      <w:r>
        <w:t>) of Schedule 8 (</w:t>
      </w:r>
      <w:r w:rsidRPr="003B11CA">
        <w:rPr>
          <w:i/>
        </w:rPr>
        <w:t>Capital Works</w:t>
      </w:r>
      <w:r>
        <w:t>).</w:t>
      </w:r>
    </w:p>
    <w:p w14:paraId="6D9C7780" w14:textId="77777777" w:rsidR="00664377" w:rsidRDefault="004E7099" w:rsidP="00664377">
      <w:pPr>
        <w:pStyle w:val="ssqPart"/>
        <w:tabs>
          <w:tab w:val="clear" w:pos="360"/>
        </w:tabs>
      </w:pPr>
      <w:r>
        <w:br w:type="page"/>
      </w:r>
      <w:r>
        <w:lastRenderedPageBreak/>
        <w:t xml:space="preserve"> : General</w:t>
      </w:r>
    </w:p>
    <w:p w14:paraId="6D9C7781" w14:textId="77777777" w:rsidR="00664377" w:rsidRDefault="00664377" w:rsidP="00664377">
      <w:pPr>
        <w:pStyle w:val="Heading1"/>
        <w:rPr>
          <w:lang w:eastAsia="en-US"/>
        </w:rPr>
      </w:pPr>
      <w:bookmarkStart w:id="51" w:name="_Ref403488338"/>
      <w:r>
        <w:rPr>
          <w:lang w:eastAsia="en-US"/>
        </w:rPr>
        <w:t>Milestone Payments</w:t>
      </w:r>
      <w:bookmarkEnd w:id="51"/>
    </w:p>
    <w:p w14:paraId="6D9C7782" w14:textId="77777777" w:rsidR="00664377" w:rsidRPr="00664377" w:rsidRDefault="00664377" w:rsidP="00664377">
      <w:pPr>
        <w:pStyle w:val="ssNoHeading2"/>
        <w:rPr>
          <w:lang w:eastAsia="en-US"/>
        </w:rPr>
      </w:pPr>
      <w:r w:rsidRPr="005D1CF9">
        <w:t>When payab</w:t>
      </w:r>
      <w:r>
        <w:t xml:space="preserve">le in accordance </w:t>
      </w:r>
      <w:r w:rsidRPr="00790149">
        <w:t>with paragraph 10 (</w:t>
      </w:r>
      <w:r w:rsidRPr="00790149">
        <w:rPr>
          <w:i/>
        </w:rPr>
        <w:t>Payment in respect of Milestones</w:t>
      </w:r>
      <w:r w:rsidRPr="00790149">
        <w:t>) of Schedule 3 (</w:t>
      </w:r>
      <w:r w:rsidRPr="00790149">
        <w:rPr>
          <w:i/>
        </w:rPr>
        <w:t>Milestones and Deliverables</w:t>
      </w:r>
      <w:r w:rsidRPr="00790149">
        <w:t>), the Service Provider shall submit an invoice for a Milestone Payment in</w:t>
      </w:r>
      <w:r w:rsidRPr="005D1CF9">
        <w:t xml:space="preserve"> accordance with paragraph </w:t>
      </w:r>
      <w:r w:rsidR="008F5AB6">
        <w:fldChar w:fldCharType="begin"/>
      </w:r>
      <w:r w:rsidR="002D2034">
        <w:instrText xml:space="preserve"> REF _Ref402170268 \w \h </w:instrText>
      </w:r>
      <w:r w:rsidR="008F5AB6">
        <w:fldChar w:fldCharType="separate"/>
      </w:r>
      <w:r w:rsidR="00F342D7">
        <w:t>6</w:t>
      </w:r>
      <w:r w:rsidR="008F5AB6">
        <w:fldChar w:fldCharType="end"/>
      </w:r>
      <w:r w:rsidRPr="005D1CF9">
        <w:t xml:space="preserve"> (</w:t>
      </w:r>
      <w:r>
        <w:rPr>
          <w:i/>
        </w:rPr>
        <w:t>Issuing Invoices</w:t>
      </w:r>
      <w:r w:rsidRPr="005D1CF9">
        <w:t>) below.</w:t>
      </w:r>
      <w:r w:rsidR="00391D41">
        <w:t xml:space="preserve"> </w:t>
      </w:r>
    </w:p>
    <w:p w14:paraId="6D9C7783" w14:textId="77777777" w:rsidR="00664377" w:rsidRDefault="00664377" w:rsidP="00664377">
      <w:pPr>
        <w:pStyle w:val="Heading1"/>
      </w:pPr>
      <w:bookmarkStart w:id="52" w:name="_Ref347574571"/>
      <w:bookmarkStart w:id="53" w:name="_Ref346649176"/>
      <w:r w:rsidRPr="005D1CF9">
        <w:t>TUPE True-Up</w:t>
      </w:r>
      <w:bookmarkEnd w:id="52"/>
    </w:p>
    <w:bookmarkEnd w:id="53"/>
    <w:p w14:paraId="6D9C7784" w14:textId="5E7098A8" w:rsidR="00664377" w:rsidRPr="005D1CF9" w:rsidRDefault="00664377" w:rsidP="00664377">
      <w:pPr>
        <w:pStyle w:val="ssNoHeading2"/>
      </w:pPr>
      <w:r w:rsidRPr="005D1CF9">
        <w:t xml:space="preserve">TfL shall pay to the Service </w:t>
      </w:r>
      <w:r w:rsidR="008903B4">
        <w:t xml:space="preserve">Provider an amount equal to </w:t>
      </w:r>
      <w:r w:rsidR="00EF1673" w:rsidRPr="006F5667">
        <w:rPr>
          <w:b/>
        </w:rPr>
        <w:t>REDACTED</w:t>
      </w:r>
      <w:r w:rsidRPr="005D1CF9">
        <w:t xml:space="preserve"> on or before the date which is ten (10) </w:t>
      </w:r>
      <w:r w:rsidR="00D37E7F">
        <w:t>Business Day</w:t>
      </w:r>
      <w:r w:rsidRPr="005D1CF9">
        <w:t xml:space="preserve">s after the Relevant Transfer Date, as an estimate of the Redundancy Costs and Direct Staff Costs expected to be incurred in the three (3) Month period immediately following the Relevant Transfer Date in respect of Transferring Employees made redundant by the Service Provider within that period (the </w:t>
      </w:r>
      <w:r w:rsidRPr="005D1CF9">
        <w:rPr>
          <w:b/>
        </w:rPr>
        <w:t>"Estimated TUPE Costs"</w:t>
      </w:r>
      <w:r w:rsidR="008903B4">
        <w:t>).</w:t>
      </w:r>
    </w:p>
    <w:p w14:paraId="6D9C7785" w14:textId="06E77E08" w:rsidR="00664377" w:rsidRPr="005D1CF9" w:rsidRDefault="00664377" w:rsidP="00664377">
      <w:pPr>
        <w:pStyle w:val="ssNoHeading2"/>
      </w:pPr>
      <w:r w:rsidRPr="005D1CF9">
        <w:t xml:space="preserve">Three (3) Months after the Relevant Transfer Date, TfL and the Service Provider will work together to calculate the actual Redundancy Costs and actual Direct Staff Costs that the Service Provider has incurred in the three (3) Month period immediately following the Relevant Transfer Date in respect of Transferring Employees made redundant by the Service Provider within that period, including any such costs which have been incurred but which have not been paid by or on behalf of the Service Provider (the </w:t>
      </w:r>
      <w:r w:rsidRPr="005D1CF9">
        <w:rPr>
          <w:b/>
        </w:rPr>
        <w:t>"Actual TUPE Costs"</w:t>
      </w:r>
      <w:r w:rsidR="008903B4">
        <w:t xml:space="preserve">). </w:t>
      </w:r>
    </w:p>
    <w:p w14:paraId="6D9C7786" w14:textId="77777777" w:rsidR="00664377" w:rsidRPr="005D1CF9" w:rsidRDefault="00664377" w:rsidP="00664377">
      <w:pPr>
        <w:pStyle w:val="ssNoHeading2"/>
      </w:pPr>
      <w:r w:rsidRPr="005D1CF9">
        <w:t>As soon as reasonably practicable following agreement as to the calculation of the Actual TUPE Costs:</w:t>
      </w:r>
    </w:p>
    <w:p w14:paraId="6D9C7787" w14:textId="77777777" w:rsidR="00664377" w:rsidRPr="005D1CF9" w:rsidRDefault="00664377" w:rsidP="00664377">
      <w:pPr>
        <w:pStyle w:val="ssNoHeading3"/>
      </w:pPr>
      <w:r w:rsidRPr="005D1CF9">
        <w:t>if the Actual TUPE Costs exceed the Estimated TUPE Costs, and provided that the Service Provider has provided to TfL such evidence of payment of the Actual TUPE Costs as TfL may reasonably request TfL shall pay to the Service Provider an amount equal to the difference between the Actual TUPE Costs and the Estimated TUPE Costs; or</w:t>
      </w:r>
    </w:p>
    <w:p w14:paraId="6D9C7788" w14:textId="77777777" w:rsidR="00664377" w:rsidRPr="005D1CF9" w:rsidRDefault="00664377" w:rsidP="00664377">
      <w:pPr>
        <w:pStyle w:val="ssNoHeading3"/>
      </w:pPr>
      <w:r w:rsidRPr="005D1CF9">
        <w:t>if the Estimated TUPE Costs exceed the Actual TUPE Costs, the Service Provider shall pay to TfL an amount equal to the difference between the Actual TUPE Costs and the Estimated TUPE Costs.</w:t>
      </w:r>
    </w:p>
    <w:p w14:paraId="6D9C7789" w14:textId="77777777" w:rsidR="00664377" w:rsidRPr="005D1CF9" w:rsidRDefault="00664377" w:rsidP="00664377">
      <w:pPr>
        <w:pStyle w:val="ssNoHeading2"/>
      </w:pPr>
      <w:r w:rsidRPr="005D1CF9">
        <w:t xml:space="preserve">The Service Provider shall provide such evidence of the Actual TUPE Costs as is reasonably requested by TfL to verify the figures being calculated.  </w:t>
      </w:r>
    </w:p>
    <w:p w14:paraId="6D9C778A" w14:textId="77777777" w:rsidR="00664377" w:rsidRPr="005D1CF9" w:rsidRDefault="00664377" w:rsidP="00664377">
      <w:pPr>
        <w:pStyle w:val="ssNoHeading2"/>
      </w:pPr>
      <w:r w:rsidRPr="005D1CF9">
        <w:t>The Service Provider agrees to make reasonable efforts and to take any such steps as may be reasonable in the circumstances to minimise the number and extent of any redundancies of Transferring Employees and to minimise the Actual TUPE Costs.</w:t>
      </w:r>
    </w:p>
    <w:p w14:paraId="6D9C778B" w14:textId="77777777" w:rsidR="00664377" w:rsidRPr="005D1CF9" w:rsidRDefault="00664377" w:rsidP="00664377">
      <w:pPr>
        <w:pStyle w:val="ssNoHeading2"/>
      </w:pPr>
      <w:r w:rsidRPr="005D1CF9">
        <w:t xml:space="preserve">For the purposes of this paragraph </w:t>
      </w:r>
      <w:r w:rsidR="009F5B96">
        <w:fldChar w:fldCharType="begin"/>
      </w:r>
      <w:r w:rsidR="009F5B96">
        <w:instrText xml:space="preserve"> REF _Ref347574571 \w \h  \* MERGEFORMAT </w:instrText>
      </w:r>
      <w:r w:rsidR="009F5B96">
        <w:fldChar w:fldCharType="separate"/>
      </w:r>
      <w:r w:rsidR="00F342D7">
        <w:t>4</w:t>
      </w:r>
      <w:r w:rsidR="009F5B96">
        <w:fldChar w:fldCharType="end"/>
      </w:r>
      <w:r w:rsidRPr="005D1CF9">
        <w:t>:</w:t>
      </w:r>
    </w:p>
    <w:p w14:paraId="6D9C778C" w14:textId="77777777" w:rsidR="00664377" w:rsidRPr="005D1CF9" w:rsidRDefault="00664377" w:rsidP="00664377">
      <w:pPr>
        <w:pStyle w:val="ssNoHeading3"/>
      </w:pPr>
      <w:r w:rsidRPr="005D1CF9">
        <w:rPr>
          <w:b/>
        </w:rPr>
        <w:t>"Direct Staff Costs"</w:t>
      </w:r>
      <w:r w:rsidRPr="005D1CF9">
        <w:t xml:space="preserve"> means, in respect of a Transferring Employee, the salary, benefits and associated payroll-related taxes (including all employer and employee National Insurance Contributions) of such Transferring Employees; and</w:t>
      </w:r>
    </w:p>
    <w:p w14:paraId="6D9C778D" w14:textId="77777777" w:rsidR="00664377" w:rsidRPr="005D1CF9" w:rsidRDefault="00664377" w:rsidP="00664377">
      <w:pPr>
        <w:pStyle w:val="ssNoHeading3"/>
      </w:pPr>
      <w:r w:rsidRPr="005D1CF9">
        <w:rPr>
          <w:b/>
        </w:rPr>
        <w:lastRenderedPageBreak/>
        <w:t>"Redundancy Costs"</w:t>
      </w:r>
      <w:r w:rsidRPr="005D1CF9">
        <w:t xml:space="preserve"> means, in respect of a Transferring Employee, the redundancy sums reasonably incurred by the Service Provider within three (3) Months of the Relevant Transfer Date being:</w:t>
      </w:r>
    </w:p>
    <w:p w14:paraId="6D9C778E" w14:textId="77777777" w:rsidR="00664377" w:rsidRPr="005D1CF9" w:rsidRDefault="00664377" w:rsidP="00664377">
      <w:pPr>
        <w:pStyle w:val="ssNoHeading4"/>
      </w:pPr>
      <w:r w:rsidRPr="005D1CF9">
        <w:t>notice monies (to the extent it was not reasonably practicable for notice to be worked and not including amounts payable by TfL as Direct Staff Costs);</w:t>
      </w:r>
    </w:p>
    <w:p w14:paraId="6D9C778F" w14:textId="77777777" w:rsidR="00664377" w:rsidRPr="005D1CF9" w:rsidRDefault="00664377" w:rsidP="00664377">
      <w:pPr>
        <w:pStyle w:val="ssNoHeading4"/>
      </w:pPr>
      <w:r w:rsidRPr="005D1CF9">
        <w:t>statutory and contractual redundancy pay; and</w:t>
      </w:r>
    </w:p>
    <w:p w14:paraId="6D9C7790" w14:textId="77777777" w:rsidR="00664377" w:rsidRPr="005D1CF9" w:rsidRDefault="00664377" w:rsidP="00664377">
      <w:pPr>
        <w:pStyle w:val="ssNoHeading4"/>
      </w:pPr>
      <w:r w:rsidRPr="005D1CF9">
        <w:t>any pension scheme related costs,</w:t>
      </w:r>
    </w:p>
    <w:p w14:paraId="6D9C7791" w14:textId="77777777" w:rsidR="00664377" w:rsidRPr="005D1CF9" w:rsidRDefault="00664377" w:rsidP="00664377">
      <w:pPr>
        <w:pStyle w:val="ssPara3"/>
      </w:pPr>
      <w:r w:rsidRPr="005D1CF9">
        <w:t>for such Transferring Employee, provided that such Transferring Employee is dismissed solely on grounds of redundancy (within the meaning of section 139 Employment Rights Act 1996) and provided that the Service Provider has not amended, so as to be more favourable to such Transferring Employee, any terms related to redundancy,</w:t>
      </w:r>
    </w:p>
    <w:p w14:paraId="6D9C7792" w14:textId="77777777" w:rsidR="00664377" w:rsidRPr="005D1CF9" w:rsidRDefault="00664377" w:rsidP="00664377">
      <w:pPr>
        <w:pStyle w:val="ssPara3"/>
      </w:pPr>
      <w:r w:rsidRPr="005D1CF9">
        <w:t>but excluding:</w:t>
      </w:r>
    </w:p>
    <w:p w14:paraId="6D9C7793" w14:textId="77777777" w:rsidR="00664377" w:rsidRPr="005D1CF9" w:rsidRDefault="00664377" w:rsidP="00664377">
      <w:pPr>
        <w:pStyle w:val="ssNoHeading4"/>
      </w:pPr>
      <w:r w:rsidRPr="005D1CF9">
        <w:t>any payments made pursuant to a settlement or compromise agreement; and</w:t>
      </w:r>
    </w:p>
    <w:p w14:paraId="6D9C7794" w14:textId="77777777" w:rsidR="00664377" w:rsidRPr="005D1CF9" w:rsidRDefault="00664377" w:rsidP="00664377">
      <w:pPr>
        <w:pStyle w:val="ssNoHeading4"/>
      </w:pPr>
      <w:r w:rsidRPr="005D1CF9">
        <w:t>any payments ordered  to be paid by a court or tribunal of competent jurisdiction in respect of any breach of the Transferring Employee's rights, including without limitation any payments or awards made in respect of unfair dismissal, unlawful discrimination and/or failure to inform and consult.</w:t>
      </w:r>
    </w:p>
    <w:p w14:paraId="6D9C7795" w14:textId="77777777" w:rsidR="00664377" w:rsidRPr="00664377" w:rsidRDefault="00664377" w:rsidP="00664377">
      <w:pPr>
        <w:pStyle w:val="ssNoHeading2"/>
      </w:pPr>
      <w:r w:rsidRPr="005D1CF9">
        <w:t xml:space="preserve">Any issue or dispute in relation to this paragraph </w:t>
      </w:r>
      <w:r w:rsidR="009F5B96">
        <w:fldChar w:fldCharType="begin"/>
      </w:r>
      <w:r w:rsidR="009F5B96">
        <w:instrText xml:space="preserve"> REF _Ref347574571 \w \h  \* MERGEFORMAT </w:instrText>
      </w:r>
      <w:r w:rsidR="009F5B96">
        <w:fldChar w:fldCharType="separate"/>
      </w:r>
      <w:r w:rsidR="00F342D7">
        <w:t>4</w:t>
      </w:r>
      <w:r w:rsidR="009F5B96">
        <w:fldChar w:fldCharType="end"/>
      </w:r>
      <w:r w:rsidRPr="005D1CF9">
        <w:t xml:space="preserve"> (including the calculation of the Actual TUPE Costs) shall be resolved in accordance with the Dispute Resolution Procedure.</w:t>
      </w:r>
    </w:p>
    <w:p w14:paraId="6D9C7796" w14:textId="77777777" w:rsidR="004E7099" w:rsidRDefault="004E7099" w:rsidP="00F20412">
      <w:pPr>
        <w:pStyle w:val="Heading1"/>
        <w:rPr>
          <w:lang w:eastAsia="en-US"/>
        </w:rPr>
      </w:pPr>
      <w:r>
        <w:rPr>
          <w:lang w:eastAsia="en-US"/>
        </w:rPr>
        <w:t xml:space="preserve">Application of </w:t>
      </w:r>
      <w:r w:rsidR="00110295">
        <w:rPr>
          <w:lang w:eastAsia="en-US"/>
        </w:rPr>
        <w:t>Annual</w:t>
      </w:r>
      <w:r>
        <w:rPr>
          <w:lang w:eastAsia="en-US"/>
        </w:rPr>
        <w:t xml:space="preserve"> Indexation</w:t>
      </w:r>
    </w:p>
    <w:p w14:paraId="6D9C7797" w14:textId="77777777" w:rsidR="004E7099" w:rsidRDefault="004E7099" w:rsidP="00F20412">
      <w:pPr>
        <w:pStyle w:val="ssNoHeading2"/>
      </w:pPr>
      <w:r w:rsidRPr="003C7AB1">
        <w:t xml:space="preserve">Where </w:t>
      </w:r>
      <w:r w:rsidRPr="004C0883">
        <w:t xml:space="preserve">an amount </w:t>
      </w:r>
      <w:r w:rsidR="003C1877" w:rsidRPr="003C7AB1">
        <w:t xml:space="preserve">under </w:t>
      </w:r>
      <w:r w:rsidR="003C1877" w:rsidRPr="004C0883">
        <w:t xml:space="preserve">this Agreement </w:t>
      </w:r>
      <w:r w:rsidRPr="004C0883">
        <w:t>is to be adjusted for changes in indexation</w:t>
      </w:r>
      <w:r w:rsidR="00110295">
        <w:t xml:space="preserve"> (“</w:t>
      </w:r>
      <w:r w:rsidR="00110295" w:rsidRPr="00110295">
        <w:rPr>
          <w:b/>
        </w:rPr>
        <w:t>Annual Indexation</w:t>
      </w:r>
      <w:r w:rsidR="00110295">
        <w:t>” or “</w:t>
      </w:r>
      <w:r w:rsidR="00110295" w:rsidRPr="00110295">
        <w:rPr>
          <w:b/>
        </w:rPr>
        <w:t>AI</w:t>
      </w:r>
      <w:r w:rsidR="00110295">
        <w:t>”)</w:t>
      </w:r>
      <w:r w:rsidRPr="004C0883">
        <w:t>, the</w:t>
      </w:r>
      <w:r>
        <w:t xml:space="preserve"> following formula will be applied:</w:t>
      </w:r>
    </w:p>
    <w:p w14:paraId="6D9C7798" w14:textId="77777777" w:rsidR="004E7099" w:rsidRPr="0041158A" w:rsidRDefault="004E7099" w:rsidP="005868F4">
      <w:pPr>
        <w:pStyle w:val="ssPara1"/>
        <w:jc w:val="center"/>
        <w:rPr>
          <w:rStyle w:val="StyleArial"/>
          <w:rFonts w:ascii="Cambria Math" w:hAnsi="Cambria Math" w:cs="Arial"/>
          <w:b/>
          <w:i/>
          <w:szCs w:val="24"/>
        </w:rPr>
      </w:pPr>
      <w:r w:rsidRPr="0041158A">
        <w:rPr>
          <w:rStyle w:val="StyleArial"/>
          <w:rFonts w:ascii="Cambria Math" w:hAnsi="Cambria Math" w:cs="Arial"/>
          <w:i/>
          <w:szCs w:val="24"/>
        </w:rPr>
        <w:t>AI = (</w:t>
      </w:r>
      <w:proofErr w:type="spellStart"/>
      <w:r w:rsidR="00E073CC" w:rsidRPr="00E073CC">
        <w:rPr>
          <w:rStyle w:val="StyleArial"/>
          <w:rFonts w:ascii="Cambria Math" w:hAnsi="Cambria Math" w:cs="Arial"/>
          <w:i/>
          <w:szCs w:val="24"/>
        </w:rPr>
        <w:t>BEAMA</w:t>
      </w:r>
      <w:r w:rsidRPr="00E073CC">
        <w:rPr>
          <w:rStyle w:val="StyleArial"/>
          <w:rFonts w:ascii="Cambria Math" w:hAnsi="Cambria Math" w:cs="Arial"/>
          <w:i/>
          <w:szCs w:val="24"/>
        </w:rPr>
        <w:t>n</w:t>
      </w:r>
      <w:proofErr w:type="spellEnd"/>
      <w:r w:rsidRPr="00E073CC">
        <w:rPr>
          <w:rStyle w:val="StyleArial"/>
          <w:rFonts w:ascii="Cambria Math" w:hAnsi="Cambria Math" w:cs="Arial"/>
          <w:i/>
          <w:szCs w:val="24"/>
        </w:rPr>
        <w:t xml:space="preserve"> / </w:t>
      </w:r>
      <w:proofErr w:type="spellStart"/>
      <w:r w:rsidR="00E073CC" w:rsidRPr="00E073CC">
        <w:rPr>
          <w:rStyle w:val="StyleArial"/>
          <w:rFonts w:ascii="Cambria Math" w:hAnsi="Cambria Math" w:cs="Arial"/>
          <w:i/>
          <w:szCs w:val="24"/>
        </w:rPr>
        <w:t>BEAMA</w:t>
      </w:r>
      <w:r w:rsidRPr="00E073CC">
        <w:rPr>
          <w:rStyle w:val="StyleArial"/>
          <w:rFonts w:ascii="Cambria Math" w:hAnsi="Cambria Math" w:cs="Arial"/>
          <w:i/>
          <w:szCs w:val="24"/>
        </w:rPr>
        <w:t>o</w:t>
      </w:r>
      <w:proofErr w:type="spellEnd"/>
      <w:r w:rsidRPr="0041158A">
        <w:rPr>
          <w:rStyle w:val="StyleArial"/>
          <w:rFonts w:ascii="Cambria Math" w:hAnsi="Cambria Math" w:cs="Arial"/>
          <w:i/>
          <w:szCs w:val="24"/>
        </w:rPr>
        <w:t>)</w:t>
      </w:r>
    </w:p>
    <w:p w14:paraId="6D9C7799" w14:textId="77777777" w:rsidR="004E7099" w:rsidRDefault="004E7099" w:rsidP="005868F4">
      <w:pPr>
        <w:pStyle w:val="ssPara2"/>
      </w:pPr>
      <w:r>
        <w:t>Where,</w:t>
      </w:r>
    </w:p>
    <w:p w14:paraId="6D9C779A" w14:textId="360EB0E5" w:rsidR="004E7099" w:rsidRPr="008903B4" w:rsidRDefault="004E7099" w:rsidP="005868F4">
      <w:pPr>
        <w:pStyle w:val="ssPara2"/>
      </w:pPr>
      <w:r w:rsidRPr="008903B4">
        <w:rPr>
          <w:i/>
        </w:rPr>
        <w:t>AI</w:t>
      </w:r>
      <w:r w:rsidRPr="008903B4">
        <w:t xml:space="preserve"> shall be automatically applied </w:t>
      </w:r>
      <w:r w:rsidR="00E61F36" w:rsidRPr="008903B4">
        <w:t xml:space="preserve">from and with effect on </w:t>
      </w:r>
      <w:r w:rsidR="00E36DBD" w:rsidRPr="008903B4">
        <w:t>day 1 (one) Reporting Period 11 (eleven) each year</w:t>
      </w:r>
      <w:r w:rsidRPr="008903B4">
        <w:t xml:space="preserve">, </w:t>
      </w:r>
      <w:r w:rsidR="005868F4" w:rsidRPr="008903B4">
        <w:t xml:space="preserve">but </w:t>
      </w:r>
      <w:r w:rsidR="003C1877" w:rsidRPr="008903B4">
        <w:t xml:space="preserve">first </w:t>
      </w:r>
      <w:r w:rsidRPr="008903B4">
        <w:t xml:space="preserve">commencing </w:t>
      </w:r>
      <w:r w:rsidR="00E61F36" w:rsidRPr="008903B4">
        <w:t xml:space="preserve">on </w:t>
      </w:r>
      <w:r w:rsidR="00E36DBD" w:rsidRPr="008903B4">
        <w:t>08</w:t>
      </w:r>
      <w:r w:rsidR="00E61F36" w:rsidRPr="008903B4">
        <w:t xml:space="preserve"> January </w:t>
      </w:r>
      <w:r w:rsidRPr="008903B4">
        <w:t>2017.</w:t>
      </w:r>
    </w:p>
    <w:p w14:paraId="6D9C779B" w14:textId="5EA47BB0" w:rsidR="004E7099" w:rsidRPr="008903B4" w:rsidRDefault="00E073CC" w:rsidP="005868F4">
      <w:pPr>
        <w:pStyle w:val="ssPara2"/>
        <w:rPr>
          <w:rStyle w:val="StyleArial"/>
          <w:rFonts w:cs="Arial"/>
          <w:b/>
          <w:i/>
          <w:szCs w:val="24"/>
        </w:rPr>
      </w:pPr>
      <w:proofErr w:type="spellStart"/>
      <w:r w:rsidRPr="008903B4">
        <w:rPr>
          <w:rStyle w:val="StyleArial"/>
          <w:rFonts w:cs="Arial"/>
          <w:i/>
          <w:szCs w:val="24"/>
        </w:rPr>
        <w:t>BEAMA</w:t>
      </w:r>
      <w:r w:rsidR="004E7099" w:rsidRPr="008903B4">
        <w:rPr>
          <w:rStyle w:val="StyleArial"/>
          <w:rFonts w:cs="Arial"/>
          <w:i/>
          <w:szCs w:val="24"/>
        </w:rPr>
        <w:t>n</w:t>
      </w:r>
      <w:proofErr w:type="spellEnd"/>
      <w:r w:rsidR="004E7099" w:rsidRPr="008903B4">
        <w:rPr>
          <w:rStyle w:val="StyleArial"/>
          <w:rFonts w:cs="Arial"/>
          <w:szCs w:val="24"/>
        </w:rPr>
        <w:t xml:space="preserve"> is </w:t>
      </w:r>
      <w:r w:rsidR="00E36DBD" w:rsidRPr="008903B4">
        <w:t>the index value</w:t>
      </w:r>
      <w:r w:rsidR="008965F8" w:rsidRPr="008903B4">
        <w:rPr>
          <w:rStyle w:val="StyleArial"/>
          <w:rFonts w:cs="Arial"/>
          <w:szCs w:val="24"/>
        </w:rPr>
        <w:t xml:space="preserve"> </w:t>
      </w:r>
      <w:r w:rsidRPr="008903B4">
        <w:rPr>
          <w:rStyle w:val="StyleArial"/>
          <w:rFonts w:cs="Arial"/>
          <w:szCs w:val="24"/>
        </w:rPr>
        <w:t xml:space="preserve">of the Mechanical Engineering Labour Rate and Electrical Engineering Labour Rate </w:t>
      </w:r>
      <w:r w:rsidR="004E7099" w:rsidRPr="008903B4">
        <w:rPr>
          <w:rStyle w:val="StyleArial"/>
          <w:rFonts w:cs="Arial"/>
          <w:szCs w:val="24"/>
        </w:rPr>
        <w:t xml:space="preserve">with respect to the month of </w:t>
      </w:r>
      <w:r w:rsidR="00E36DBD" w:rsidRPr="008903B4">
        <w:t>November of the year preceding AI application date. For the avoidance of doubt the first increase in January 2017 will use November 2016 BEAMA index value.</w:t>
      </w:r>
      <w:r w:rsidR="004E7099" w:rsidRPr="008903B4">
        <w:rPr>
          <w:rStyle w:val="StyleArial"/>
          <w:rFonts w:cs="Arial"/>
          <w:szCs w:val="24"/>
        </w:rPr>
        <w:t>; and</w:t>
      </w:r>
    </w:p>
    <w:p w14:paraId="6D9C779C" w14:textId="663E5476" w:rsidR="004E7099" w:rsidRPr="008903B4" w:rsidRDefault="00E073CC" w:rsidP="005868F4">
      <w:pPr>
        <w:pStyle w:val="ssPara2"/>
        <w:rPr>
          <w:rStyle w:val="StyleArial"/>
          <w:rFonts w:cs="Arial"/>
          <w:b/>
          <w:i/>
          <w:szCs w:val="24"/>
        </w:rPr>
      </w:pPr>
      <w:proofErr w:type="spellStart"/>
      <w:r w:rsidRPr="008903B4">
        <w:rPr>
          <w:rStyle w:val="StyleArial"/>
          <w:rFonts w:cs="Arial"/>
          <w:i/>
          <w:szCs w:val="24"/>
        </w:rPr>
        <w:t>BEAMA</w:t>
      </w:r>
      <w:r w:rsidR="004E7099" w:rsidRPr="008903B4">
        <w:rPr>
          <w:rStyle w:val="StyleArial"/>
          <w:rFonts w:cs="Arial"/>
          <w:i/>
          <w:szCs w:val="24"/>
        </w:rPr>
        <w:t>o</w:t>
      </w:r>
      <w:proofErr w:type="spellEnd"/>
      <w:r w:rsidR="004E7099" w:rsidRPr="008903B4">
        <w:rPr>
          <w:rStyle w:val="StyleArial"/>
          <w:rFonts w:cs="Arial"/>
          <w:szCs w:val="24"/>
        </w:rPr>
        <w:t xml:space="preserve"> is </w:t>
      </w:r>
      <w:r w:rsidR="00E36DBD" w:rsidRPr="008903B4">
        <w:t xml:space="preserve">the index value </w:t>
      </w:r>
      <w:r w:rsidRPr="008903B4">
        <w:rPr>
          <w:rStyle w:val="StyleArial"/>
          <w:rFonts w:cs="Arial"/>
          <w:szCs w:val="24"/>
        </w:rPr>
        <w:t xml:space="preserve">of the Mechanical Engineering Labour Rate and Electrical Engineering Labour Rate </w:t>
      </w:r>
      <w:r w:rsidR="00E36DBD" w:rsidRPr="008903B4">
        <w:t>for November 2015.</w:t>
      </w:r>
    </w:p>
    <w:p w14:paraId="6D9C779D" w14:textId="77777777" w:rsidR="004E7099" w:rsidRDefault="004E7099" w:rsidP="00E073CC">
      <w:pPr>
        <w:pStyle w:val="ssNoHeading2"/>
      </w:pPr>
      <w:r w:rsidRPr="00680F25">
        <w:lastRenderedPageBreak/>
        <w:t xml:space="preserve">For the avoidance of doubt the </w:t>
      </w:r>
      <w:r w:rsidR="00E073CC" w:rsidRPr="00E073CC">
        <w:rPr>
          <w:rStyle w:val="StyleArial"/>
          <w:rFonts w:cs="Arial"/>
          <w:szCs w:val="24"/>
        </w:rPr>
        <w:t xml:space="preserve">Mechanical Engineering Labour Rate and Electrical Engineering Labour Rate </w:t>
      </w:r>
      <w:r w:rsidR="00E073CC">
        <w:t>are the values</w:t>
      </w:r>
      <w:r w:rsidRPr="00680F25">
        <w:t xml:space="preserve"> as published by the </w:t>
      </w:r>
      <w:proofErr w:type="spellStart"/>
      <w:r w:rsidR="00E073CC" w:rsidRPr="00E073CC">
        <w:t>The</w:t>
      </w:r>
      <w:proofErr w:type="spellEnd"/>
      <w:r w:rsidR="00E073CC" w:rsidRPr="00E073CC">
        <w:t xml:space="preserve"> British </w:t>
      </w:r>
      <w:proofErr w:type="spellStart"/>
      <w:r w:rsidR="00E073CC" w:rsidRPr="00E073CC">
        <w:t>Electrotechnical</w:t>
      </w:r>
      <w:proofErr w:type="spellEnd"/>
      <w:r w:rsidR="00E073CC" w:rsidRPr="00E073CC">
        <w:t xml:space="preserve"> </w:t>
      </w:r>
      <w:r w:rsidR="00E073CC">
        <w:t>a</w:t>
      </w:r>
      <w:r w:rsidR="00E073CC" w:rsidRPr="00E073CC">
        <w:t xml:space="preserve">nd Allied Manufacturers’ Association </w:t>
      </w:r>
      <w:r w:rsidR="00F8032B">
        <w:t>or any replacement body thereof</w:t>
      </w:r>
      <w:r>
        <w:t>.</w:t>
      </w:r>
    </w:p>
    <w:p w14:paraId="6D9C779E" w14:textId="77777777" w:rsidR="003C1877" w:rsidRDefault="004E7099" w:rsidP="00F20412">
      <w:pPr>
        <w:pStyle w:val="ssNoHeading2"/>
      </w:pPr>
      <w:r>
        <w:t>AI</w:t>
      </w:r>
      <w:r w:rsidRPr="00680F25">
        <w:t xml:space="preserve"> shall apply to each of the </w:t>
      </w:r>
      <w:r w:rsidRPr="00CA77FA">
        <w:t>following:</w:t>
      </w:r>
      <w:r w:rsidRPr="00680F25">
        <w:t xml:space="preserve"> </w:t>
      </w:r>
    </w:p>
    <w:p w14:paraId="6D9C779F" w14:textId="77777777" w:rsidR="003C1877" w:rsidRDefault="003C1877" w:rsidP="003C1877">
      <w:pPr>
        <w:pStyle w:val="ssNoHeading3"/>
      </w:pPr>
      <w:r>
        <w:t>the Preventative Maintenance Payment;</w:t>
      </w:r>
    </w:p>
    <w:p w14:paraId="6D9C77A0" w14:textId="77777777" w:rsidR="003C1877" w:rsidRDefault="003C1877" w:rsidP="003C1877">
      <w:pPr>
        <w:pStyle w:val="ssNoHeading3"/>
      </w:pPr>
      <w:r>
        <w:t>Service Failure</w:t>
      </w:r>
      <w:r w:rsidRPr="00CE7FFD">
        <w:t xml:space="preserve"> Abatements</w:t>
      </w:r>
      <w:r>
        <w:t>;</w:t>
      </w:r>
    </w:p>
    <w:p w14:paraId="6D9C77A1" w14:textId="77777777" w:rsidR="003C1877" w:rsidRDefault="003C1877" w:rsidP="003C1877">
      <w:pPr>
        <w:pStyle w:val="ssNoHeading3"/>
      </w:pPr>
      <w:r>
        <w:t>Preventative Maintenance Abatements; and</w:t>
      </w:r>
    </w:p>
    <w:p w14:paraId="6D9C77A2" w14:textId="77777777" w:rsidR="003C1877" w:rsidRDefault="004E7099" w:rsidP="003C1877">
      <w:pPr>
        <w:pStyle w:val="ssNoHeading3"/>
      </w:pPr>
      <w:r w:rsidRPr="00CE7FFD">
        <w:t>Capital Works Rates</w:t>
      </w:r>
      <w:r>
        <w:t xml:space="preserve"> as detailed in Annex 2 (</w:t>
      </w:r>
      <w:r w:rsidRPr="00F8032B">
        <w:rPr>
          <w:i/>
        </w:rPr>
        <w:t>Capital Works Rates</w:t>
      </w:r>
      <w:r w:rsidR="00F8032B">
        <w:t>) to this Schedule</w:t>
      </w:r>
      <w:r w:rsidR="00BA6CF8">
        <w:t xml:space="preserve">. </w:t>
      </w:r>
    </w:p>
    <w:p w14:paraId="6D9C77A3" w14:textId="77777777" w:rsidR="004E7099" w:rsidRPr="008C3F8C" w:rsidRDefault="004E7099" w:rsidP="00F20412">
      <w:pPr>
        <w:pStyle w:val="ssNoHeading2"/>
      </w:pPr>
      <w:r w:rsidRPr="008C3F8C">
        <w:t xml:space="preserve">If </w:t>
      </w:r>
      <w:r w:rsidR="00E073CC" w:rsidRPr="00680F25">
        <w:t xml:space="preserve">the </w:t>
      </w:r>
      <w:r w:rsidR="00E073CC" w:rsidRPr="00E073CC">
        <w:rPr>
          <w:rStyle w:val="StyleArial"/>
          <w:rFonts w:cs="Arial"/>
          <w:szCs w:val="24"/>
        </w:rPr>
        <w:t xml:space="preserve">Mechanical Engineering Labour Rate </w:t>
      </w:r>
      <w:r w:rsidR="00E073CC">
        <w:rPr>
          <w:rStyle w:val="StyleArial"/>
          <w:rFonts w:cs="Arial"/>
          <w:szCs w:val="24"/>
        </w:rPr>
        <w:t>and/or</w:t>
      </w:r>
      <w:r w:rsidR="00E073CC" w:rsidRPr="00E073CC">
        <w:rPr>
          <w:rStyle w:val="StyleArial"/>
          <w:rFonts w:cs="Arial"/>
          <w:szCs w:val="24"/>
        </w:rPr>
        <w:t xml:space="preserve"> Electrical Engineering Labour Rate </w:t>
      </w:r>
      <w:r w:rsidRPr="008C3F8C">
        <w:t xml:space="preserve">ceases to be published or is compiled in a manner which is materially different to the way it was compiled as at the Effective Date, the Parties will agree upon an alternative index which as nearly as possible replicates </w:t>
      </w:r>
      <w:r w:rsidR="00E073CC" w:rsidRPr="00680F25">
        <w:t xml:space="preserve">the </w:t>
      </w:r>
      <w:r w:rsidR="00E073CC" w:rsidRPr="00E073CC">
        <w:rPr>
          <w:rStyle w:val="StyleArial"/>
          <w:rFonts w:cs="Arial"/>
          <w:szCs w:val="24"/>
        </w:rPr>
        <w:t>Mechanical Engineering Labour Rate and</w:t>
      </w:r>
      <w:r w:rsidR="00E073CC">
        <w:rPr>
          <w:rStyle w:val="StyleArial"/>
          <w:rFonts w:cs="Arial"/>
          <w:szCs w:val="24"/>
        </w:rPr>
        <w:t>/or</w:t>
      </w:r>
      <w:r w:rsidR="00E073CC" w:rsidRPr="00E073CC">
        <w:rPr>
          <w:rStyle w:val="StyleArial"/>
          <w:rFonts w:cs="Arial"/>
          <w:szCs w:val="24"/>
        </w:rPr>
        <w:t xml:space="preserve"> Electrical Engineering Labour Rate</w:t>
      </w:r>
      <w:r w:rsidR="00E073CC">
        <w:rPr>
          <w:rStyle w:val="StyleArial"/>
          <w:rFonts w:cs="Arial"/>
          <w:szCs w:val="24"/>
        </w:rPr>
        <w:t xml:space="preserve"> (as applicable)</w:t>
      </w:r>
      <w:r w:rsidRPr="008C3F8C">
        <w:t>. If the Parties are unable to agree upon an alternative index, the dispute will be referred to an independent chartered accountant of not less than ten (10) years standing (the “</w:t>
      </w:r>
      <w:r w:rsidRPr="008C3F8C">
        <w:rPr>
          <w:b/>
        </w:rPr>
        <w:t>Charges Expert</w:t>
      </w:r>
      <w:r w:rsidRPr="008C3F8C">
        <w:t xml:space="preserve">”) and the Parties agree that the decision of the Charges Expert as to the alternative index which shall apply shall be binding on both Parties provided that whilst any </w:t>
      </w:r>
      <w:r w:rsidR="008C3F8C">
        <w:t>decision is pending the rate</w:t>
      </w:r>
      <w:r w:rsidR="00E073CC">
        <w:t>s</w:t>
      </w:r>
      <w:r w:rsidR="008C3F8C">
        <w:t xml:space="preserve"> of </w:t>
      </w:r>
      <w:r w:rsidR="00E073CC" w:rsidRPr="00680F25">
        <w:t xml:space="preserve">the </w:t>
      </w:r>
      <w:r w:rsidR="00E073CC" w:rsidRPr="00E073CC">
        <w:rPr>
          <w:rStyle w:val="StyleArial"/>
          <w:rFonts w:cs="Arial"/>
          <w:szCs w:val="24"/>
        </w:rPr>
        <w:t xml:space="preserve">Mechanical Engineering Labour Rate and Electrical Engineering Labour Rate </w:t>
      </w:r>
      <w:r w:rsidRPr="008C3F8C">
        <w:t>which applied previously shall continue to apply for any subsequent twelve (12) month period.</w:t>
      </w:r>
    </w:p>
    <w:p w14:paraId="6D9C77A4" w14:textId="77777777" w:rsidR="004E7099" w:rsidRPr="00734D54" w:rsidRDefault="004E7099" w:rsidP="00F20412">
      <w:pPr>
        <w:pStyle w:val="ssqPart"/>
        <w:tabs>
          <w:tab w:val="clear" w:pos="360"/>
        </w:tabs>
      </w:pPr>
      <w:r>
        <w:br w:type="page"/>
      </w:r>
      <w:bookmarkStart w:id="54" w:name="_DV_M14"/>
      <w:bookmarkStart w:id="55" w:name="_DV_M15"/>
      <w:bookmarkStart w:id="56" w:name="_DV_M16"/>
      <w:bookmarkStart w:id="57" w:name="_DV_M22"/>
      <w:bookmarkStart w:id="58" w:name="_DV_M23"/>
      <w:bookmarkStart w:id="59" w:name="_DV_M24"/>
      <w:bookmarkStart w:id="60" w:name="_DV_M25"/>
      <w:bookmarkStart w:id="61" w:name="_DV_M26"/>
      <w:bookmarkStart w:id="62" w:name="_DV_M27"/>
      <w:bookmarkStart w:id="63" w:name="_DV_M28"/>
      <w:bookmarkStart w:id="64" w:name="_DV_M29"/>
      <w:bookmarkEnd w:id="54"/>
      <w:bookmarkEnd w:id="55"/>
      <w:bookmarkEnd w:id="56"/>
      <w:bookmarkEnd w:id="57"/>
      <w:bookmarkEnd w:id="58"/>
      <w:bookmarkEnd w:id="59"/>
      <w:bookmarkEnd w:id="60"/>
      <w:bookmarkEnd w:id="61"/>
      <w:bookmarkEnd w:id="62"/>
      <w:bookmarkEnd w:id="63"/>
      <w:bookmarkEnd w:id="64"/>
      <w:r>
        <w:lastRenderedPageBreak/>
        <w:t xml:space="preserve"> : Invoices</w:t>
      </w:r>
    </w:p>
    <w:p w14:paraId="6D9C77A5" w14:textId="77777777" w:rsidR="004E7099" w:rsidRDefault="004E7099" w:rsidP="00F20412">
      <w:pPr>
        <w:pStyle w:val="Heading1"/>
      </w:pPr>
      <w:bookmarkStart w:id="65" w:name="_Ref402170268"/>
      <w:r>
        <w:t>Issuing Invoices</w:t>
      </w:r>
      <w:bookmarkEnd w:id="65"/>
    </w:p>
    <w:p w14:paraId="6D9C77A6" w14:textId="77777777" w:rsidR="004E7099" w:rsidRDefault="00F8032B" w:rsidP="00F20412">
      <w:pPr>
        <w:pStyle w:val="ssNoHeading2"/>
      </w:pPr>
      <w:bookmarkStart w:id="66" w:name="_Ref358273065"/>
      <w:r>
        <w:t xml:space="preserve">Subject to paragraph </w:t>
      </w:r>
      <w:r w:rsidR="008F5AB6">
        <w:fldChar w:fldCharType="begin"/>
      </w:r>
      <w:r w:rsidR="002D2034">
        <w:instrText xml:space="preserve"> REF _Ref402119739 \r \h </w:instrText>
      </w:r>
      <w:r w:rsidR="008F5AB6">
        <w:fldChar w:fldCharType="separate"/>
      </w:r>
      <w:r w:rsidR="00F342D7">
        <w:t>6.2</w:t>
      </w:r>
      <w:r w:rsidR="008F5AB6">
        <w:fldChar w:fldCharType="end"/>
      </w:r>
      <w:r>
        <w:t>, t</w:t>
      </w:r>
      <w:r w:rsidR="004E7099" w:rsidRPr="00DB6F36">
        <w:t xml:space="preserve">he </w:t>
      </w:r>
      <w:r w:rsidR="004E7099">
        <w:t>Service Provider</w:t>
      </w:r>
      <w:r w:rsidR="004E7099" w:rsidRPr="00DB6F36">
        <w:t xml:space="preserve"> will submit its invoices</w:t>
      </w:r>
      <w:r w:rsidR="004E7099">
        <w:t xml:space="preserve"> by post</w:t>
      </w:r>
      <w:r w:rsidR="004E7099" w:rsidRPr="00DB6F36">
        <w:t xml:space="preserve"> to t</w:t>
      </w:r>
      <w:r w:rsidR="004E7099">
        <w:t>he address set out below</w:t>
      </w:r>
      <w:r w:rsidR="004E7099" w:rsidRPr="00DB6F36">
        <w:t xml:space="preserve">.  </w:t>
      </w:r>
    </w:p>
    <w:p w14:paraId="6D9C77A7" w14:textId="601D889C" w:rsidR="004E7099" w:rsidRDefault="004E7099" w:rsidP="00F20412">
      <w:pPr>
        <w:pStyle w:val="ssPara2"/>
        <w:jc w:val="left"/>
      </w:pPr>
      <w:r>
        <w:t>Accounts Payable,</w:t>
      </w:r>
      <w:r>
        <w:br/>
        <w:t xml:space="preserve">Transport for London (TFL), </w:t>
      </w:r>
      <w:r>
        <w:br/>
        <w:t xml:space="preserve">Financial Service Centre (FSC), </w:t>
      </w:r>
      <w:r>
        <w:br/>
        <w:t xml:space="preserve">PO Box 45276, </w:t>
      </w:r>
      <w:r>
        <w:br/>
        <w:t xml:space="preserve">14 Pier Walk, </w:t>
      </w:r>
      <w:r>
        <w:br/>
        <w:t>London, SE10 1AJ</w:t>
      </w:r>
    </w:p>
    <w:p w14:paraId="6D9C77A8" w14:textId="77777777" w:rsidR="004E7099" w:rsidRDefault="00F8032B" w:rsidP="00F20412">
      <w:pPr>
        <w:pStyle w:val="ssNoHeading2"/>
      </w:pPr>
      <w:bookmarkStart w:id="67" w:name="_Ref402119739"/>
      <w:r>
        <w:t xml:space="preserve">The Service Provider may submit its invoices in </w:t>
      </w:r>
      <w:r w:rsidR="004E7099">
        <w:t>PDF format via email to the following email address:</w:t>
      </w:r>
      <w:bookmarkEnd w:id="67"/>
    </w:p>
    <w:p w14:paraId="6D9C77A9" w14:textId="0EC614ED" w:rsidR="004E7099" w:rsidRDefault="00113EEC" w:rsidP="00F20412">
      <w:pPr>
        <w:pStyle w:val="ssPara2"/>
      </w:pPr>
      <w:hyperlink r:id="rId14" w:history="1">
        <w:r w:rsidR="001964D7" w:rsidRPr="003D472A">
          <w:rPr>
            <w:rStyle w:val="Hyperlink"/>
          </w:rPr>
          <w:t>Accountspayable@tfl.gov.uk</w:t>
        </w:r>
      </w:hyperlink>
      <w:r w:rsidR="001964D7">
        <w:t xml:space="preserve"> </w:t>
      </w:r>
    </w:p>
    <w:p w14:paraId="6D9C77AA" w14:textId="77777777" w:rsidR="004E7099" w:rsidRDefault="004E7099" w:rsidP="00F20412">
      <w:pPr>
        <w:pStyle w:val="ssNoHeading2"/>
      </w:pPr>
      <w:bookmarkStart w:id="68" w:name="_Ref402118550"/>
      <w:r w:rsidRPr="00DB6F36">
        <w:t xml:space="preserve">Each such invoice will contain all information required by </w:t>
      </w:r>
      <w:r>
        <w:t>TfL</w:t>
      </w:r>
      <w:r w:rsidRPr="00DB6F36">
        <w:t xml:space="preserve"> as specified i</w:t>
      </w:r>
      <w:r w:rsidRPr="00E369F8">
        <w:t xml:space="preserve">n this </w:t>
      </w:r>
      <w:r w:rsidRPr="008B2F01">
        <w:t xml:space="preserve">Schedule </w:t>
      </w:r>
      <w:r w:rsidRPr="00255BB4">
        <w:t xml:space="preserve">together with </w:t>
      </w:r>
      <w:r w:rsidRPr="00241FA7">
        <w:t>this Agreement's Reference Number, SAP</w:t>
      </w:r>
      <w:r w:rsidRPr="00255BB4">
        <w:t xml:space="preserve"> purchase order number, the </w:t>
      </w:r>
      <w:r>
        <w:t>Service Provider</w:t>
      </w:r>
      <w:r w:rsidRPr="00255BB4">
        <w:t xml:space="preserve">'s name and address and a separate calculation of VAT. The </w:t>
      </w:r>
      <w:r>
        <w:t>Service Provider</w:t>
      </w:r>
      <w:r w:rsidRPr="00255BB4">
        <w:t xml:space="preserve"> will not make any separate charge for submitting such invoices. If an invoice does not contain the required information or is not in the specified format, </w:t>
      </w:r>
      <w:r>
        <w:t>TfL</w:t>
      </w:r>
      <w:r w:rsidRPr="00255BB4">
        <w:t xml:space="preserve"> will notify the </w:t>
      </w:r>
      <w:r>
        <w:t>Service Provider</w:t>
      </w:r>
      <w:r w:rsidRPr="00255BB4">
        <w:t xml:space="preserve"> and the </w:t>
      </w:r>
      <w:r>
        <w:t>Service Provider</w:t>
      </w:r>
      <w:r w:rsidRPr="00255BB4">
        <w:t xml:space="preserve"> will issue a revised invoice.</w:t>
      </w:r>
      <w:bookmarkEnd w:id="66"/>
      <w:bookmarkEnd w:id="68"/>
    </w:p>
    <w:p w14:paraId="6D9C77AB" w14:textId="77777777" w:rsidR="004E7099" w:rsidRDefault="004E7099" w:rsidP="00F20412">
      <w:pPr>
        <w:pStyle w:val="ssNoHeading2"/>
      </w:pPr>
      <w:r w:rsidRPr="00255BB4">
        <w:t>Invoices submitted prematurely or which do not comply with</w:t>
      </w:r>
      <w:r>
        <w:t xml:space="preserve"> the </w:t>
      </w:r>
      <w:r w:rsidRPr="00241FA7">
        <w:t xml:space="preserve">requirements of paragraph </w:t>
      </w:r>
      <w:r w:rsidR="008F5AB6">
        <w:fldChar w:fldCharType="begin"/>
      </w:r>
      <w:r w:rsidR="002D2034">
        <w:instrText xml:space="preserve"> REF _Ref402118550 \r \h </w:instrText>
      </w:r>
      <w:r w:rsidR="008F5AB6">
        <w:fldChar w:fldCharType="separate"/>
      </w:r>
      <w:r w:rsidR="00F342D7">
        <w:t>6.3</w:t>
      </w:r>
      <w:r w:rsidR="008F5AB6">
        <w:fldChar w:fldCharType="end"/>
      </w:r>
      <w:r w:rsidR="00F8032B">
        <w:t xml:space="preserve"> </w:t>
      </w:r>
      <w:r w:rsidRPr="00255BB4">
        <w:t>will not be valid and will be resubmitted in the proper form at the proper time.</w:t>
      </w:r>
    </w:p>
    <w:p w14:paraId="6D9C77AC" w14:textId="77777777" w:rsidR="004E7099" w:rsidRDefault="004E7099" w:rsidP="00F20412">
      <w:pPr>
        <w:pStyle w:val="ssNoHeading2"/>
      </w:pPr>
      <w:bookmarkStart w:id="69" w:name="_Ref402119884"/>
      <w:r w:rsidRPr="00255BB4">
        <w:t xml:space="preserve">The </w:t>
      </w:r>
      <w:r w:rsidR="00F041E8" w:rsidRPr="00255BB4">
        <w:t xml:space="preserve">due date </w:t>
      </w:r>
      <w:r w:rsidRPr="00255BB4">
        <w:t xml:space="preserve">for payment in respect of each invoice will be </w:t>
      </w:r>
      <w:r>
        <w:t>twenty-eight (28) calendar</w:t>
      </w:r>
      <w:r w:rsidRPr="00255BB4">
        <w:t xml:space="preserve"> days from the end of the Reporting Period to which the invoice relates or fifteen (15) </w:t>
      </w:r>
      <w:r>
        <w:t xml:space="preserve">calendar </w:t>
      </w:r>
      <w:r w:rsidRPr="00255BB4">
        <w:t>days from the receipt of the invoice, whichever is later.</w:t>
      </w:r>
      <w:bookmarkEnd w:id="69"/>
    </w:p>
    <w:p w14:paraId="6D9C77AD" w14:textId="77777777" w:rsidR="004E7099" w:rsidRPr="00F041E8" w:rsidRDefault="004E7099" w:rsidP="00F20412">
      <w:pPr>
        <w:pStyle w:val="ssNoHeading2"/>
      </w:pPr>
      <w:bookmarkStart w:id="70" w:name="_Ref402168553"/>
      <w:r w:rsidRPr="00F041E8">
        <w:t>Subject to paragraph</w:t>
      </w:r>
      <w:r w:rsidR="00F041E8">
        <w:t>s</w:t>
      </w:r>
      <w:r w:rsidRPr="00F041E8">
        <w:t xml:space="preserve"> </w:t>
      </w:r>
      <w:r w:rsidR="008F5AB6">
        <w:fldChar w:fldCharType="begin"/>
      </w:r>
      <w:r w:rsidR="002D2034">
        <w:instrText xml:space="preserve"> REF _Ref358278723 \r \h </w:instrText>
      </w:r>
      <w:r w:rsidR="008F5AB6">
        <w:fldChar w:fldCharType="separate"/>
      </w:r>
      <w:r w:rsidR="00F342D7">
        <w:t>6.7</w:t>
      </w:r>
      <w:r w:rsidR="008F5AB6">
        <w:fldChar w:fldCharType="end"/>
      </w:r>
      <w:r w:rsidR="00F041E8">
        <w:t xml:space="preserve">, </w:t>
      </w:r>
      <w:r w:rsidR="008F5AB6">
        <w:fldChar w:fldCharType="begin"/>
      </w:r>
      <w:r w:rsidR="002D2034">
        <w:instrText xml:space="preserve"> REF _Ref402166552 \r \h </w:instrText>
      </w:r>
      <w:r w:rsidR="008F5AB6">
        <w:fldChar w:fldCharType="separate"/>
      </w:r>
      <w:r w:rsidR="00F342D7">
        <w:t>6.11</w:t>
      </w:r>
      <w:r w:rsidR="008F5AB6">
        <w:fldChar w:fldCharType="end"/>
      </w:r>
      <w:r w:rsidR="00F041E8">
        <w:t xml:space="preserve"> and </w:t>
      </w:r>
      <w:r w:rsidR="008F5AB6">
        <w:fldChar w:fldCharType="begin"/>
      </w:r>
      <w:r w:rsidR="002D2034">
        <w:instrText xml:space="preserve"> REF _Ref402166577 \r \h </w:instrText>
      </w:r>
      <w:r w:rsidR="008F5AB6">
        <w:fldChar w:fldCharType="separate"/>
      </w:r>
      <w:r w:rsidR="00F342D7">
        <w:t>6.13</w:t>
      </w:r>
      <w:r w:rsidR="008F5AB6">
        <w:fldChar w:fldCharType="end"/>
      </w:r>
      <w:r w:rsidRPr="00F041E8">
        <w:t>, TfL will pay the Service Provider the sum referred to in the Service Provider's properly submitted invoice (the “</w:t>
      </w:r>
      <w:r w:rsidRPr="00F041E8">
        <w:rPr>
          <w:b/>
        </w:rPr>
        <w:t>Notified Sum</w:t>
      </w:r>
      <w:r w:rsidRPr="00F041E8">
        <w:t xml:space="preserve">”) on or before the </w:t>
      </w:r>
      <w:r w:rsidR="00F041E8">
        <w:t>due</w:t>
      </w:r>
      <w:r w:rsidRPr="00F041E8">
        <w:t xml:space="preserve"> date for payment of each invoice in accordance with paragraph </w:t>
      </w:r>
      <w:r w:rsidR="009F5B96">
        <w:fldChar w:fldCharType="begin"/>
      </w:r>
      <w:r w:rsidR="009F5B96">
        <w:instrText xml:space="preserve"> REF _Ref402119884 \r \h  \* MERGEFORMAT </w:instrText>
      </w:r>
      <w:r w:rsidR="009F5B96">
        <w:fldChar w:fldCharType="separate"/>
      </w:r>
      <w:r w:rsidR="00F342D7">
        <w:t>6.5</w:t>
      </w:r>
      <w:r w:rsidR="009F5B96">
        <w:fldChar w:fldCharType="end"/>
      </w:r>
      <w:r w:rsidRPr="00F041E8">
        <w:t>.</w:t>
      </w:r>
      <w:bookmarkEnd w:id="70"/>
    </w:p>
    <w:p w14:paraId="6D9C77AE" w14:textId="77777777" w:rsidR="004E7099" w:rsidRDefault="004E7099" w:rsidP="00F20412">
      <w:pPr>
        <w:pStyle w:val="ssNoHeading2"/>
      </w:pPr>
      <w:bookmarkStart w:id="71" w:name="_Ref358278723"/>
      <w:r>
        <w:t>TfL</w:t>
      </w:r>
      <w:r w:rsidRPr="00255BB4">
        <w:t xml:space="preserve"> may give the </w:t>
      </w:r>
      <w:r>
        <w:t>Service Provider</w:t>
      </w:r>
      <w:r w:rsidRPr="00255BB4">
        <w:t xml:space="preserve"> a notice in writing specifying </w:t>
      </w:r>
      <w:r>
        <w:t>TfL</w:t>
      </w:r>
      <w:r w:rsidRPr="00255BB4">
        <w:t xml:space="preserve">'s intention to pay less than </w:t>
      </w:r>
      <w:r w:rsidRPr="00CE7FFD">
        <w:t>the Notified Sum (the "</w:t>
      </w:r>
      <w:r w:rsidRPr="00F041E8">
        <w:rPr>
          <w:b/>
        </w:rPr>
        <w:t>Pay Less Notice</w:t>
      </w:r>
      <w:r w:rsidRPr="00CE7FFD">
        <w:t>"). The Pay</w:t>
      </w:r>
      <w:r w:rsidRPr="00255BB4">
        <w:t xml:space="preserve"> Less Notice will specify:</w:t>
      </w:r>
      <w:bookmarkEnd w:id="71"/>
    </w:p>
    <w:p w14:paraId="6D9C77AF" w14:textId="77777777" w:rsidR="004E7099" w:rsidRDefault="004E7099" w:rsidP="00F20412">
      <w:pPr>
        <w:pStyle w:val="ssNoHeading3"/>
        <w:tabs>
          <w:tab w:val="left" w:pos="1418"/>
        </w:tabs>
      </w:pPr>
      <w:r w:rsidRPr="00255BB4">
        <w:t xml:space="preserve">the sum that </w:t>
      </w:r>
      <w:r>
        <w:t>TfL</w:t>
      </w:r>
      <w:r w:rsidRPr="00255BB4">
        <w:t xml:space="preserve"> considers to be due on the date the notice is served, whether or not that sum is zero; and</w:t>
      </w:r>
    </w:p>
    <w:p w14:paraId="6D9C77B0" w14:textId="77777777" w:rsidR="004E7099" w:rsidRDefault="004E7099" w:rsidP="00F20412">
      <w:pPr>
        <w:pStyle w:val="ssNoHeading3"/>
        <w:tabs>
          <w:tab w:val="left" w:pos="1418"/>
        </w:tabs>
      </w:pPr>
      <w:r w:rsidRPr="00255BB4">
        <w:t>the basis on which that sum is calculated,</w:t>
      </w:r>
    </w:p>
    <w:p w14:paraId="6D9C77B1" w14:textId="77777777" w:rsidR="004E7099" w:rsidRDefault="004E7099" w:rsidP="00F20412">
      <w:pPr>
        <w:pStyle w:val="ssPara2"/>
      </w:pPr>
      <w:r w:rsidRPr="00255BB4">
        <w:t xml:space="preserve">and that sum will become the amount payable.  </w:t>
      </w:r>
    </w:p>
    <w:p w14:paraId="6D9C77B2" w14:textId="77777777" w:rsidR="004E7099" w:rsidRPr="00CE7FFD" w:rsidRDefault="004E7099" w:rsidP="00F20412">
      <w:pPr>
        <w:pStyle w:val="ssNoHeading2"/>
      </w:pPr>
      <w:r w:rsidRPr="00CE7FFD">
        <w:t>The Pay Less Notice must be given no later than one (1) calendar day before the final date for payment of the Notified Sum (the "</w:t>
      </w:r>
      <w:r w:rsidRPr="00F041E8">
        <w:rPr>
          <w:b/>
        </w:rPr>
        <w:t>Prescribed Period</w:t>
      </w:r>
      <w:r w:rsidRPr="00CE7FFD">
        <w:t>").</w:t>
      </w:r>
    </w:p>
    <w:p w14:paraId="6D9C77B3" w14:textId="77777777" w:rsidR="004E7099" w:rsidRDefault="004E7099" w:rsidP="00F20412">
      <w:pPr>
        <w:pStyle w:val="ssNoHeading2"/>
      </w:pPr>
      <w:r w:rsidRPr="00255BB4">
        <w:lastRenderedPageBreak/>
        <w:t xml:space="preserve">In respect of the </w:t>
      </w:r>
      <w:r>
        <w:t>difference between the Notified Sum and the Pay Less Notice</w:t>
      </w:r>
      <w:r w:rsidRPr="00255BB4">
        <w:t xml:space="preserve">, </w:t>
      </w:r>
      <w:r>
        <w:t>TfL</w:t>
      </w:r>
      <w:r w:rsidRPr="00255BB4">
        <w:t xml:space="preserve"> and the </w:t>
      </w:r>
      <w:r>
        <w:t>Service Provider</w:t>
      </w:r>
      <w:r w:rsidRPr="00255BB4">
        <w:t xml:space="preserve"> shall use their reasonable endeavours to try to resolve the dispute. If resolved the </w:t>
      </w:r>
      <w:r>
        <w:t>Service Provider</w:t>
      </w:r>
      <w:r w:rsidRPr="00255BB4">
        <w:t xml:space="preserve"> shall invoice </w:t>
      </w:r>
      <w:r>
        <w:t xml:space="preserve">TfL for the agreed </w:t>
      </w:r>
      <w:r w:rsidRPr="00CE7FFD">
        <w:t xml:space="preserve">amount (complying with the requirements of paragraph </w:t>
      </w:r>
      <w:r w:rsidR="008F5AB6">
        <w:fldChar w:fldCharType="begin"/>
      </w:r>
      <w:r w:rsidR="002D2034">
        <w:instrText xml:space="preserve"> REF _Ref402118550 \r \h </w:instrText>
      </w:r>
      <w:r w:rsidR="008F5AB6">
        <w:fldChar w:fldCharType="separate"/>
      </w:r>
      <w:r w:rsidR="00F342D7">
        <w:t>6.3</w:t>
      </w:r>
      <w:r w:rsidR="008F5AB6">
        <w:fldChar w:fldCharType="end"/>
      </w:r>
      <w:r w:rsidRPr="00CE7FFD">
        <w:t>).</w:t>
      </w:r>
    </w:p>
    <w:p w14:paraId="6D9C77B4" w14:textId="77777777" w:rsidR="004E7099" w:rsidRDefault="004E7099" w:rsidP="00F20412">
      <w:pPr>
        <w:pStyle w:val="ssNoHeading2"/>
      </w:pPr>
      <w:r w:rsidRPr="00255BB4">
        <w:t xml:space="preserve">If the dispute is not resolved between the parties within ten (10) </w:t>
      </w:r>
      <w:r w:rsidR="00D37E7F">
        <w:t>Business Day</w:t>
      </w:r>
      <w:r w:rsidRPr="00255BB4">
        <w:t>s then the dispute shall be referred to the Dispute Resolution Process.</w:t>
      </w:r>
    </w:p>
    <w:p w14:paraId="6D9C77B5" w14:textId="77777777" w:rsidR="004E7099" w:rsidRDefault="004E7099" w:rsidP="00F20412">
      <w:pPr>
        <w:pStyle w:val="ssNoHeading2"/>
      </w:pPr>
      <w:bookmarkStart w:id="72" w:name="_Ref402166552"/>
      <w:r w:rsidRPr="00255BB4">
        <w:t xml:space="preserve">Notwithstanding </w:t>
      </w:r>
      <w:r w:rsidRPr="00CE7FFD">
        <w:t xml:space="preserve">paragraphs </w:t>
      </w:r>
      <w:r w:rsidR="009F5B96">
        <w:fldChar w:fldCharType="begin"/>
      </w:r>
      <w:r w:rsidR="009F5B96">
        <w:instrText xml:space="preserve"> REF _Ref402119884 \r \h  \* MERGEFORMAT </w:instrText>
      </w:r>
      <w:r w:rsidR="009F5B96">
        <w:fldChar w:fldCharType="separate"/>
      </w:r>
      <w:r w:rsidR="00F342D7">
        <w:t>6.5</w:t>
      </w:r>
      <w:r w:rsidR="009F5B96">
        <w:fldChar w:fldCharType="end"/>
      </w:r>
      <w:r w:rsidRPr="00CE7FFD">
        <w:t xml:space="preserve"> and </w:t>
      </w:r>
      <w:r w:rsidR="008F5AB6">
        <w:fldChar w:fldCharType="begin"/>
      </w:r>
      <w:r w:rsidR="002D2034">
        <w:instrText xml:space="preserve"> REF _Ref402168553 \r \h </w:instrText>
      </w:r>
      <w:r w:rsidR="008F5AB6">
        <w:fldChar w:fldCharType="separate"/>
      </w:r>
      <w:r w:rsidR="00F342D7">
        <w:t>6.6</w:t>
      </w:r>
      <w:r w:rsidR="008F5AB6">
        <w:fldChar w:fldCharType="end"/>
      </w:r>
      <w:r w:rsidRPr="00CE7FFD">
        <w:t>, if the Service Provider suffers an Insolvency Event after the</w:t>
      </w:r>
      <w:r w:rsidRPr="00255BB4">
        <w:t xml:space="preserve"> </w:t>
      </w:r>
      <w:r w:rsidRPr="00CE7FFD">
        <w:t>Prescribed Period, TfL will not be required to pay the Service Provider the Notified Sum on or before</w:t>
      </w:r>
      <w:r w:rsidRPr="00255BB4">
        <w:t xml:space="preserve"> the </w:t>
      </w:r>
      <w:r w:rsidR="002E391A">
        <w:t>due date</w:t>
      </w:r>
      <w:r w:rsidRPr="00255BB4">
        <w:t xml:space="preserve"> </w:t>
      </w:r>
      <w:r w:rsidR="002E391A">
        <w:t xml:space="preserve">for </w:t>
      </w:r>
      <w:r w:rsidRPr="00255BB4">
        <w:t>payment.</w:t>
      </w:r>
      <w:bookmarkEnd w:id="72"/>
    </w:p>
    <w:p w14:paraId="6D9C77B6" w14:textId="77777777" w:rsidR="004E7099" w:rsidRDefault="004E7099" w:rsidP="00F20412">
      <w:pPr>
        <w:pStyle w:val="ssNoHeading2"/>
      </w:pPr>
      <w:r w:rsidRPr="00255BB4">
        <w:t xml:space="preserve">Payments will be made by bank transfer (Bank Automated Clearance System (BACS)) or such other method as </w:t>
      </w:r>
      <w:r>
        <w:t>TfL</w:t>
      </w:r>
      <w:r w:rsidRPr="00255BB4">
        <w:t xml:space="preserve"> may choose from time to time.</w:t>
      </w:r>
    </w:p>
    <w:p w14:paraId="6D9C77B7" w14:textId="77777777" w:rsidR="004E7099" w:rsidRDefault="004E7099" w:rsidP="00F20412">
      <w:pPr>
        <w:pStyle w:val="ssNoHeading2"/>
      </w:pPr>
      <w:bookmarkStart w:id="73" w:name="_Ref402166577"/>
      <w:r w:rsidRPr="00255BB4">
        <w:t xml:space="preserve">If </w:t>
      </w:r>
      <w:r>
        <w:t>TfL</w:t>
      </w:r>
      <w:r w:rsidRPr="00255BB4">
        <w:t xml:space="preserve"> considers that the sum claimed by the </w:t>
      </w:r>
      <w:r>
        <w:t>Service Provider</w:t>
      </w:r>
      <w:r w:rsidRPr="00255BB4">
        <w:t xml:space="preserve"> in any invoice has not been calculated correctly and/or if the invoice contains any other error or inadequacy, </w:t>
      </w:r>
      <w:r>
        <w:t>TfL</w:t>
      </w:r>
      <w:r w:rsidRPr="00255BB4">
        <w:t xml:space="preserve"> will notify the </w:t>
      </w:r>
      <w:r>
        <w:t>Service Provider</w:t>
      </w:r>
      <w:r w:rsidRPr="00255BB4">
        <w:t xml:space="preserve"> and the Parties will work together to resolve the error or inadequacy. Upon resolution or determination, the </w:t>
      </w:r>
      <w:r>
        <w:t>Service Provider</w:t>
      </w:r>
      <w:r w:rsidRPr="00255BB4">
        <w:t xml:space="preserve"> will submit a revised invoice to </w:t>
      </w:r>
      <w:r>
        <w:t>TfL</w:t>
      </w:r>
      <w:r w:rsidRPr="00255BB4">
        <w:t xml:space="preserve"> in accordance </w:t>
      </w:r>
      <w:r w:rsidRPr="00CE7FFD">
        <w:t xml:space="preserve">with </w:t>
      </w:r>
      <w:r w:rsidR="002E391A">
        <w:t xml:space="preserve">the </w:t>
      </w:r>
      <w:r w:rsidR="002E391A" w:rsidRPr="00CE7FFD">
        <w:t xml:space="preserve">requirements of paragraph </w:t>
      </w:r>
      <w:r w:rsidR="008F5AB6">
        <w:fldChar w:fldCharType="begin"/>
      </w:r>
      <w:r w:rsidR="002D2034">
        <w:instrText xml:space="preserve"> REF _Ref402118550 \r \h </w:instrText>
      </w:r>
      <w:r w:rsidR="008F5AB6">
        <w:fldChar w:fldCharType="separate"/>
      </w:r>
      <w:r w:rsidR="00F342D7">
        <w:t>6.3</w:t>
      </w:r>
      <w:r w:rsidR="008F5AB6">
        <w:fldChar w:fldCharType="end"/>
      </w:r>
      <w:r w:rsidRPr="00CE7FFD">
        <w:t>.</w:t>
      </w:r>
      <w:bookmarkEnd w:id="73"/>
    </w:p>
    <w:p w14:paraId="6D9C77B8" w14:textId="77777777" w:rsidR="004E7099" w:rsidRDefault="004E7099" w:rsidP="00F20412">
      <w:pPr>
        <w:pStyle w:val="ssNoHeading2"/>
      </w:pPr>
      <w:r w:rsidRPr="00255BB4">
        <w:t xml:space="preserve">No payment made by </w:t>
      </w:r>
      <w:r>
        <w:t>TfL</w:t>
      </w:r>
      <w:r w:rsidRPr="00255BB4">
        <w:t xml:space="preserve"> (including any final payment) or act or omission or approval by </w:t>
      </w:r>
      <w:r>
        <w:t>TfL</w:t>
      </w:r>
      <w:r w:rsidRPr="00255BB4">
        <w:t xml:space="preserve"> or the Engineer (whether related to payment or otherwise) will:</w:t>
      </w:r>
    </w:p>
    <w:p w14:paraId="6D9C77B9" w14:textId="77777777" w:rsidR="004E7099" w:rsidRDefault="004E7099" w:rsidP="00F20412">
      <w:pPr>
        <w:pStyle w:val="ssNoHeading3"/>
        <w:tabs>
          <w:tab w:val="left" w:pos="1418"/>
        </w:tabs>
      </w:pPr>
      <w:r w:rsidRPr="00255BB4">
        <w:t xml:space="preserve">indicate or be taken to indicate </w:t>
      </w:r>
      <w:r>
        <w:t>TfL</w:t>
      </w:r>
      <w:r w:rsidRPr="00255BB4">
        <w:t xml:space="preserve">'s acceptance or </w:t>
      </w:r>
      <w:r>
        <w:t>A</w:t>
      </w:r>
      <w:r w:rsidRPr="00255BB4">
        <w:t xml:space="preserve">pproval of the Services or any part of them or any act or omission of the </w:t>
      </w:r>
      <w:r>
        <w:t>Service Provider</w:t>
      </w:r>
      <w:r w:rsidRPr="00255BB4">
        <w:t xml:space="preserve">, or otherwise prejudice any rights, powers or remedies which </w:t>
      </w:r>
      <w:r>
        <w:t>TfL</w:t>
      </w:r>
      <w:r w:rsidRPr="00255BB4">
        <w:t xml:space="preserve"> may have against the </w:t>
      </w:r>
      <w:r>
        <w:t>Service Provider</w:t>
      </w:r>
      <w:r w:rsidRPr="00255BB4">
        <w:t xml:space="preserve">, or absolve the </w:t>
      </w:r>
      <w:r>
        <w:t>Service Provider</w:t>
      </w:r>
      <w:r w:rsidRPr="00255BB4">
        <w:t xml:space="preserve"> from any obligation or liability imposed on the </w:t>
      </w:r>
      <w:r>
        <w:t>Service Provider</w:t>
      </w:r>
      <w:r w:rsidRPr="00255BB4">
        <w:t xml:space="preserve"> under or by virtue of this </w:t>
      </w:r>
      <w:r>
        <w:t>Agreement</w:t>
      </w:r>
      <w:r w:rsidRPr="00255BB4">
        <w:t>; or</w:t>
      </w:r>
    </w:p>
    <w:p w14:paraId="6D9C77BA" w14:textId="77777777" w:rsidR="004E7099" w:rsidRDefault="004E7099" w:rsidP="00F20412">
      <w:pPr>
        <w:pStyle w:val="ssNoHeading3"/>
        <w:tabs>
          <w:tab w:val="left" w:pos="1418"/>
        </w:tabs>
      </w:pPr>
      <w:r w:rsidRPr="00255BB4">
        <w:t xml:space="preserve">prevent </w:t>
      </w:r>
      <w:r>
        <w:t>TfL</w:t>
      </w:r>
      <w:r w:rsidRPr="00255BB4">
        <w:t xml:space="preserve"> from recovering any amount overpaid or wrongfully paid including payments made to the </w:t>
      </w:r>
      <w:r>
        <w:t>Se</w:t>
      </w:r>
      <w:r w:rsidRPr="00BA6CF8">
        <w:t>rvice Provider by mistake of law or fact. Without prejudice to Clause</w:t>
      </w:r>
      <w:r w:rsidR="00BA6CF8" w:rsidRPr="00BA6CF8">
        <w:t xml:space="preserve"> 66.1 (</w:t>
      </w:r>
      <w:r w:rsidR="00BA6CF8" w:rsidRPr="00BA6CF8">
        <w:rPr>
          <w:i/>
        </w:rPr>
        <w:t>Recovery of Sums Due and Set-Off</w:t>
      </w:r>
      <w:r w:rsidR="00BA6CF8">
        <w:t>)</w:t>
      </w:r>
      <w:r w:rsidR="004F1B0B">
        <w:t>,</w:t>
      </w:r>
      <w:r w:rsidRPr="00DB6F36">
        <w:t xml:space="preserve"> </w:t>
      </w:r>
      <w:r>
        <w:t>TfL</w:t>
      </w:r>
      <w:r w:rsidRPr="00DB6F36">
        <w:t xml:space="preserve"> will be entitle</w:t>
      </w:r>
      <w:r>
        <w:t>d</w:t>
      </w:r>
      <w:r w:rsidRPr="00DB6F36">
        <w:t xml:space="preserve"> to withhold such amount from any sums due or which may be</w:t>
      </w:r>
      <w:r w:rsidRPr="00E369F8">
        <w:t xml:space="preserve">come due to the </w:t>
      </w:r>
      <w:r>
        <w:t>Service Provider</w:t>
      </w:r>
      <w:r w:rsidRPr="00E369F8">
        <w:t xml:space="preserve"> or </w:t>
      </w:r>
      <w:r>
        <w:t>TfL</w:t>
      </w:r>
      <w:r w:rsidRPr="00E369F8">
        <w:t xml:space="preserve"> may recover such amount as debt.</w:t>
      </w:r>
      <w:r w:rsidR="002E391A">
        <w:t xml:space="preserve"> </w:t>
      </w:r>
    </w:p>
    <w:p w14:paraId="6D9C77BB" w14:textId="77777777" w:rsidR="004E7099" w:rsidRDefault="004E7099" w:rsidP="00F20412">
      <w:pPr>
        <w:pStyle w:val="ssNoHeading2"/>
      </w:pPr>
      <w:r w:rsidRPr="00E369F8">
        <w:t xml:space="preserve">All amounts exclude any VAT which may be chargeable, which will be payable in addition to the sum in question at the rate and in the manner for the time being prescribed by law on delivery of a valid VAT invoice. </w:t>
      </w:r>
      <w:r w:rsidRPr="00255BB4">
        <w:t xml:space="preserve">The </w:t>
      </w:r>
      <w:r>
        <w:t>Service Provider</w:t>
      </w:r>
      <w:r w:rsidRPr="00255BB4">
        <w:t xml:space="preserve"> shall, if so requested by </w:t>
      </w:r>
      <w:r>
        <w:t>TfL</w:t>
      </w:r>
      <w:r w:rsidRPr="00255BB4">
        <w:t xml:space="preserve">, furnish such information as may reasonably be required by </w:t>
      </w:r>
      <w:r>
        <w:t>TfL</w:t>
      </w:r>
      <w:r w:rsidRPr="00255BB4">
        <w:t xml:space="preserve"> as to the amount of VAT chargeable on the goods and services supplied in accordance with the </w:t>
      </w:r>
      <w:r>
        <w:t>Agreement</w:t>
      </w:r>
      <w:r w:rsidRPr="00255BB4">
        <w:t xml:space="preserve"> and payable by </w:t>
      </w:r>
      <w:r>
        <w:t>TfL</w:t>
      </w:r>
      <w:r w:rsidRPr="00255BB4">
        <w:t xml:space="preserve"> to the </w:t>
      </w:r>
      <w:r>
        <w:t>Service Provider</w:t>
      </w:r>
      <w:r w:rsidRPr="00255BB4">
        <w:t xml:space="preserve">. Any overpayment by </w:t>
      </w:r>
      <w:r>
        <w:t>TfL</w:t>
      </w:r>
      <w:r w:rsidRPr="00255BB4">
        <w:t xml:space="preserve"> to the </w:t>
      </w:r>
      <w:r>
        <w:t>Service Provider</w:t>
      </w:r>
      <w:r w:rsidRPr="00255BB4">
        <w:t xml:space="preserve"> shall be a sum of money recoverable from the </w:t>
      </w:r>
      <w:r>
        <w:t>Service Provider</w:t>
      </w:r>
      <w:r w:rsidRPr="00255BB4">
        <w:t xml:space="preserve">. </w:t>
      </w:r>
    </w:p>
    <w:p w14:paraId="6D9C77BC" w14:textId="77777777" w:rsidR="004E7099" w:rsidRDefault="004E7099" w:rsidP="00F20412">
      <w:pPr>
        <w:pStyle w:val="ssNoHeading2"/>
      </w:pPr>
      <w:r w:rsidRPr="00255BB4">
        <w:t xml:space="preserve">When the </w:t>
      </w:r>
      <w:r>
        <w:t>Service Provider</w:t>
      </w:r>
      <w:r w:rsidRPr="00255BB4">
        <w:t xml:space="preserve"> enters into any </w:t>
      </w:r>
      <w:r>
        <w:t>S</w:t>
      </w:r>
      <w:r w:rsidRPr="00255BB4">
        <w:t>ub-</w:t>
      </w:r>
      <w:r>
        <w:t>C</w:t>
      </w:r>
      <w:r w:rsidRPr="00255BB4">
        <w:t xml:space="preserve">ontract in accordance with </w:t>
      </w:r>
      <w:r w:rsidRPr="004F1B0B">
        <w:t xml:space="preserve">Clause </w:t>
      </w:r>
      <w:r w:rsidR="00BA6CF8">
        <w:rPr>
          <w:rFonts w:cs="Arial"/>
        </w:rPr>
        <w:t>24 (</w:t>
      </w:r>
      <w:r w:rsidR="00BA6CF8" w:rsidRPr="00BA6CF8">
        <w:rPr>
          <w:rFonts w:cs="Arial"/>
          <w:i/>
        </w:rPr>
        <w:t>Sub-Contractors and Key Sub-Contractors</w:t>
      </w:r>
      <w:r w:rsidR="00BA6CF8">
        <w:rPr>
          <w:rFonts w:cs="Arial"/>
        </w:rPr>
        <w:t>)</w:t>
      </w:r>
      <w:r w:rsidRPr="00DB6F36">
        <w:t xml:space="preserve">, it will incorporate </w:t>
      </w:r>
      <w:r w:rsidRPr="00CE7FFD">
        <w:t>into such contract a term which</w:t>
      </w:r>
      <w:r w:rsidRPr="00DB6F36">
        <w:t xml:space="preserve"> requires payment to be made to the </w:t>
      </w:r>
      <w:r>
        <w:t>Sub-Contractor</w:t>
      </w:r>
      <w:r w:rsidRPr="00DB6F36">
        <w:t xml:space="preserve"> within not more than </w:t>
      </w:r>
      <w:r>
        <w:t>twenty-eight</w:t>
      </w:r>
      <w:r w:rsidRPr="00DB6F36">
        <w:t xml:space="preserve"> (</w:t>
      </w:r>
      <w:r>
        <w:t>28</w:t>
      </w:r>
      <w:r w:rsidRPr="00DB6F36">
        <w:t xml:space="preserve">) </w:t>
      </w:r>
      <w:r>
        <w:t xml:space="preserve">calendar </w:t>
      </w:r>
      <w:r w:rsidRPr="00DB6F36">
        <w:t xml:space="preserve">days of receipt of the </w:t>
      </w:r>
      <w:r>
        <w:t>S</w:t>
      </w:r>
      <w:r w:rsidRPr="00DB6F36">
        <w:t>ub-</w:t>
      </w:r>
      <w:r>
        <w:t>C</w:t>
      </w:r>
      <w:r w:rsidRPr="00DB6F36">
        <w:t xml:space="preserve">ontractor’s invoice (or ten (10) </w:t>
      </w:r>
      <w:r>
        <w:t xml:space="preserve">calendar </w:t>
      </w:r>
      <w:r w:rsidRPr="00DB6F36">
        <w:t xml:space="preserve">days of receipt of invoice if the </w:t>
      </w:r>
      <w:r>
        <w:t>S</w:t>
      </w:r>
      <w:r w:rsidRPr="00DB6F36">
        <w:t>ub-</w:t>
      </w:r>
      <w:r>
        <w:t>C</w:t>
      </w:r>
      <w:r w:rsidRPr="00DB6F36">
        <w:t>ontractor is an SME</w:t>
      </w:r>
      <w:r w:rsidRPr="00E369F8">
        <w:t xml:space="preserve"> as defined in Schedule </w:t>
      </w:r>
      <w:r w:rsidR="004F1B0B">
        <w:t>15</w:t>
      </w:r>
      <w:r>
        <w:t xml:space="preserve"> (</w:t>
      </w:r>
      <w:r>
        <w:rPr>
          <w:i/>
        </w:rPr>
        <w:t>Responsible Procurement</w:t>
      </w:r>
      <w:r>
        <w:t>)</w:t>
      </w:r>
      <w:r w:rsidR="00BA6CF8">
        <w:t>.</w:t>
      </w:r>
    </w:p>
    <w:p w14:paraId="6D9C77BD" w14:textId="77777777" w:rsidR="004E7099" w:rsidRDefault="004E7099" w:rsidP="00900ECD">
      <w:pPr>
        <w:pStyle w:val="ssNoHeading2"/>
      </w:pPr>
      <w:bookmarkStart w:id="74" w:name="_Ref358282964"/>
      <w:r w:rsidRPr="008B2F01">
        <w:t xml:space="preserve">If any sum due to the </w:t>
      </w:r>
      <w:r>
        <w:t>Service Provider</w:t>
      </w:r>
      <w:r w:rsidRPr="008B2F01">
        <w:t xml:space="preserve"> under th</w:t>
      </w:r>
      <w:r w:rsidRPr="00255BB4">
        <w:t xml:space="preserve">is </w:t>
      </w:r>
      <w:r>
        <w:t>Agreement</w:t>
      </w:r>
      <w:r w:rsidRPr="00255BB4">
        <w:t xml:space="preserve"> shall be delayed by </w:t>
      </w:r>
      <w:r>
        <w:t>TfL</w:t>
      </w:r>
      <w:r w:rsidR="00F415C0">
        <w:t xml:space="preserve"> other than in accordance with this Agreement</w:t>
      </w:r>
      <w:r w:rsidRPr="00255BB4">
        <w:t xml:space="preserve"> an additional charge for interest</w:t>
      </w:r>
      <w:r w:rsidR="00710F85" w:rsidRPr="00710F85">
        <w:t xml:space="preserve"> </w:t>
      </w:r>
      <w:r w:rsidR="00710F85" w:rsidRPr="00255BB4">
        <w:t xml:space="preserve">on the </w:t>
      </w:r>
      <w:r w:rsidR="00710F85" w:rsidRPr="00255BB4">
        <w:lastRenderedPageBreak/>
        <w:t>payment</w:t>
      </w:r>
      <w:r w:rsidRPr="00255BB4">
        <w:t xml:space="preserve">, calculated on a daily basis at </w:t>
      </w:r>
      <w:r w:rsidR="00F415C0">
        <w:t xml:space="preserve">an annual rate of </w:t>
      </w:r>
      <w:r w:rsidRPr="00255BB4">
        <w:t xml:space="preserve">2% above HSBC Bank </w:t>
      </w:r>
      <w:r>
        <w:t>PLC</w:t>
      </w:r>
      <w:r w:rsidRPr="00255BB4">
        <w:t xml:space="preserve">’s base rate from time to time in force </w:t>
      </w:r>
      <w:r w:rsidR="00900ECD" w:rsidRPr="00900ECD">
        <w:t>from the due date until the date of actual payment (both before and after judgment)</w:t>
      </w:r>
      <w:r w:rsidRPr="00255BB4">
        <w:t xml:space="preserve">, shall be payable to the </w:t>
      </w:r>
      <w:r>
        <w:t>Service Provider</w:t>
      </w:r>
      <w:r w:rsidRPr="00255BB4">
        <w:t xml:space="preserve"> by </w:t>
      </w:r>
      <w:r>
        <w:t>TfL</w:t>
      </w:r>
      <w:r w:rsidRPr="00255BB4">
        <w:t xml:space="preserve">. </w:t>
      </w:r>
      <w:r w:rsidR="00900ECD" w:rsidRPr="00900ECD">
        <w:t xml:space="preserve"> All such interest shall be calculated on the basis of the actual number of days elapsed, over a three hundred and sixty-five (365) day year and compounded at monthly intervals</w:t>
      </w:r>
      <w:r w:rsidR="00900ECD">
        <w:t>.</w:t>
      </w:r>
      <w:r w:rsidR="00900ECD" w:rsidRPr="00900ECD">
        <w:t xml:space="preserve"> </w:t>
      </w:r>
      <w:r w:rsidRPr="00255BB4">
        <w:t xml:space="preserve">The </w:t>
      </w:r>
      <w:r>
        <w:t>P</w:t>
      </w:r>
      <w:r w:rsidRPr="00255BB4">
        <w:t xml:space="preserve">arties </w:t>
      </w:r>
      <w:r w:rsidRPr="00CE7FFD">
        <w:t xml:space="preserve">agree that this paragraph </w:t>
      </w:r>
      <w:r w:rsidR="008F5AB6">
        <w:fldChar w:fldCharType="begin"/>
      </w:r>
      <w:r w:rsidR="002D2034">
        <w:instrText xml:space="preserve"> REF _Ref358282964 \r \h </w:instrText>
      </w:r>
      <w:r w:rsidR="008F5AB6">
        <w:fldChar w:fldCharType="separate"/>
      </w:r>
      <w:r w:rsidR="00F342D7">
        <w:t>6.17</w:t>
      </w:r>
      <w:r w:rsidR="008F5AB6">
        <w:fldChar w:fldCharType="end"/>
      </w:r>
      <w:r w:rsidRPr="00CE7FFD">
        <w:t xml:space="preserve"> is a substantial</w:t>
      </w:r>
      <w:r w:rsidRPr="00255BB4">
        <w:t xml:space="preserve"> remedy for late payment of any sum payable under this </w:t>
      </w:r>
      <w:r>
        <w:t>Agreement</w:t>
      </w:r>
      <w:r w:rsidRPr="00255BB4">
        <w:t xml:space="preserve"> in accordance with s.8(2) of the Late Payment of Commercial Debts (Interest) Act 1998.</w:t>
      </w:r>
      <w:bookmarkEnd w:id="74"/>
      <w:r w:rsidRPr="00255BB4">
        <w:t xml:space="preserve"> </w:t>
      </w:r>
    </w:p>
    <w:p w14:paraId="6D9C77BE" w14:textId="77777777" w:rsidR="004E7099" w:rsidRDefault="004E7099" w:rsidP="00F20412">
      <w:pPr>
        <w:pStyle w:val="ssNoHeading2"/>
      </w:pPr>
      <w:r>
        <w:t>TfL</w:t>
      </w:r>
      <w:r w:rsidRPr="00255BB4">
        <w:t xml:space="preserve"> shall have the right to audit the </w:t>
      </w:r>
      <w:r>
        <w:t>Service Provider</w:t>
      </w:r>
      <w:r w:rsidRPr="00255BB4">
        <w:t xml:space="preserve">’s compliance with the provisions of this Schedule at any time in accordance with </w:t>
      </w:r>
      <w:r w:rsidRPr="004F1B0B">
        <w:t xml:space="preserve">Clause </w:t>
      </w:r>
      <w:r w:rsidR="00BA6CF8">
        <w:rPr>
          <w:rFonts w:cs="Arial"/>
        </w:rPr>
        <w:t>26 (</w:t>
      </w:r>
      <w:r w:rsidR="00BA6CF8">
        <w:rPr>
          <w:rFonts w:cs="Arial"/>
          <w:i/>
        </w:rPr>
        <w:t>Audit and Inspection</w:t>
      </w:r>
      <w:r w:rsidR="00BA6CF8">
        <w:rPr>
          <w:rFonts w:cs="Arial"/>
        </w:rPr>
        <w:t>)</w:t>
      </w:r>
      <w:r w:rsidRPr="00E369F8">
        <w:t>.</w:t>
      </w:r>
    </w:p>
    <w:p w14:paraId="6D9C77BF" w14:textId="77777777" w:rsidR="000645ED" w:rsidRDefault="000645ED" w:rsidP="000645ED">
      <w:pPr>
        <w:pStyle w:val="ssNoHeading2"/>
        <w:numPr>
          <w:ilvl w:val="0"/>
          <w:numId w:val="0"/>
        </w:numPr>
        <w:sectPr w:rsidR="000645ED" w:rsidSect="00BE5084">
          <w:footerReference w:type="even" r:id="rId15"/>
          <w:footerReference w:type="default" r:id="rId16"/>
          <w:pgSz w:w="11907" w:h="16840" w:code="9"/>
          <w:pgMar w:top="1418" w:right="1418" w:bottom="1418" w:left="1418" w:header="567" w:footer="556" w:gutter="0"/>
          <w:cols w:space="708"/>
          <w:titlePg/>
          <w:docGrid w:linePitch="299"/>
        </w:sectPr>
      </w:pPr>
    </w:p>
    <w:p w14:paraId="6D9C77C1" w14:textId="78D2BA57" w:rsidR="004E7099" w:rsidRPr="00241198" w:rsidRDefault="004E7099" w:rsidP="00F20412">
      <w:pPr>
        <w:pStyle w:val="ssPara1"/>
        <w:rPr>
          <w:b/>
        </w:rPr>
      </w:pPr>
      <w:r w:rsidRPr="008061E0">
        <w:rPr>
          <w:b/>
        </w:rPr>
        <w:lastRenderedPageBreak/>
        <w:t>Annex 1</w:t>
      </w:r>
    </w:p>
    <w:p w14:paraId="6D9C77C2" w14:textId="73FA4B9F" w:rsidR="004E7099" w:rsidRPr="00241198" w:rsidRDefault="004E7099" w:rsidP="00F20412">
      <w:pPr>
        <w:pStyle w:val="ssPara1"/>
        <w:rPr>
          <w:b/>
          <w:szCs w:val="24"/>
        </w:rPr>
      </w:pPr>
      <w:r w:rsidRPr="008061E0">
        <w:rPr>
          <w:b/>
          <w:szCs w:val="24"/>
        </w:rPr>
        <w:t>Equipment Maintenance Categories Unit Rate</w:t>
      </w:r>
      <w:r w:rsidR="00A966DE">
        <w:rPr>
          <w:b/>
          <w:szCs w:val="24"/>
        </w:rPr>
        <w:t>s</w:t>
      </w:r>
    </w:p>
    <w:p w14:paraId="6D9C77C3" w14:textId="3C8F5A04" w:rsidR="009817DE" w:rsidRPr="003B1539" w:rsidRDefault="006C233B" w:rsidP="00F20412">
      <w:pPr>
        <w:pStyle w:val="ssPara1"/>
        <w:rPr>
          <w:szCs w:val="24"/>
        </w:rPr>
      </w:pPr>
      <w:r>
        <w:rPr>
          <w:szCs w:val="24"/>
        </w:rPr>
        <w:t>NOTE</w:t>
      </w:r>
      <w:r w:rsidR="003B1539">
        <w:rPr>
          <w:szCs w:val="24"/>
        </w:rPr>
        <w:t xml:space="preserve">: these are </w:t>
      </w:r>
      <w:r w:rsidR="008F5AB6" w:rsidRPr="00830B06">
        <w:rPr>
          <w:szCs w:val="24"/>
        </w:rPr>
        <w:t>EMC Unit Rates from the ITT Pricing Template</w:t>
      </w:r>
      <w:r>
        <w:rPr>
          <w:szCs w:val="24"/>
        </w:rPr>
        <w:t xml:space="preserve"> submission.</w:t>
      </w:r>
    </w:p>
    <w:p w14:paraId="6D9C7923" w14:textId="19E72EE4" w:rsidR="00986280" w:rsidRPr="006F5667" w:rsidRDefault="00DC3378" w:rsidP="00F20412">
      <w:pPr>
        <w:pStyle w:val="ssPara1"/>
        <w:rPr>
          <w:b/>
        </w:rPr>
        <w:sectPr w:rsidR="00986280" w:rsidRPr="006F5667" w:rsidSect="00830B06">
          <w:pgSz w:w="16840" w:h="11907" w:orient="landscape" w:code="9"/>
          <w:pgMar w:top="993" w:right="1418" w:bottom="993" w:left="1418" w:header="567" w:footer="557" w:gutter="0"/>
          <w:cols w:space="708"/>
          <w:docGrid w:linePitch="299"/>
        </w:sectPr>
      </w:pPr>
      <w:r w:rsidRPr="006F5667">
        <w:rPr>
          <w:b/>
        </w:rPr>
        <w:t>REDACTED</w:t>
      </w:r>
    </w:p>
    <w:p w14:paraId="6D9C7924" w14:textId="77777777" w:rsidR="004E7099" w:rsidRPr="00CC08AA" w:rsidRDefault="004E7099" w:rsidP="00F20412">
      <w:pPr>
        <w:pStyle w:val="ssPara1"/>
        <w:rPr>
          <w:b/>
          <w:sz w:val="24"/>
        </w:rPr>
      </w:pPr>
      <w:r w:rsidRPr="00CC08AA">
        <w:rPr>
          <w:b/>
          <w:sz w:val="24"/>
        </w:rPr>
        <w:lastRenderedPageBreak/>
        <w:t>Annex 2</w:t>
      </w:r>
    </w:p>
    <w:p w14:paraId="6D9C792D" w14:textId="77777777" w:rsidR="006C233B" w:rsidRDefault="006C233B" w:rsidP="00F20412">
      <w:pPr>
        <w:pStyle w:val="ssPara1"/>
        <w:rPr>
          <w:rFonts w:cs="Arial"/>
          <w:b/>
          <w:bCs/>
          <w:color w:val="000000"/>
          <w:sz w:val="24"/>
          <w:szCs w:val="24"/>
        </w:rPr>
      </w:pPr>
      <w:r>
        <w:rPr>
          <w:rFonts w:cs="Arial"/>
          <w:b/>
          <w:bCs/>
          <w:color w:val="000000"/>
          <w:sz w:val="24"/>
          <w:szCs w:val="24"/>
        </w:rPr>
        <w:t>Labour Rates</w:t>
      </w:r>
    </w:p>
    <w:p w14:paraId="6D9C792E" w14:textId="77777777" w:rsidR="00CC08AA" w:rsidRDefault="00CC08AA" w:rsidP="00F20412">
      <w:pPr>
        <w:pStyle w:val="ssPara1"/>
        <w:rPr>
          <w:b/>
          <w:i/>
        </w:rPr>
      </w:pPr>
      <w:r w:rsidRPr="00167678">
        <w:rPr>
          <w:b/>
          <w:bCs/>
        </w:rPr>
        <w:t>Hourly Labour Rates</w:t>
      </w:r>
      <w:r w:rsidRPr="00167678">
        <w:t xml:space="preserve"> for works not included in the tasks or specialist work listed above (</w:t>
      </w:r>
      <w:r w:rsidRPr="00167678">
        <w:rPr>
          <w:bCs/>
        </w:rPr>
        <w:t>inclusive of all associated costs)</w:t>
      </w:r>
    </w:p>
    <w:tbl>
      <w:tblPr>
        <w:tblW w:w="534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2"/>
        <w:gridCol w:w="4394"/>
        <w:gridCol w:w="1135"/>
        <w:gridCol w:w="1701"/>
        <w:gridCol w:w="1842"/>
      </w:tblGrid>
      <w:tr w:rsidR="006F5667" w14:paraId="6D9C7933" w14:textId="77777777" w:rsidTr="006F5667">
        <w:trPr>
          <w:trHeight w:val="321"/>
        </w:trPr>
        <w:tc>
          <w:tcPr>
            <w:tcW w:w="429" w:type="pct"/>
            <w:vMerge w:val="restart"/>
            <w:shd w:val="clear" w:color="auto" w:fill="auto"/>
            <w:tcMar>
              <w:top w:w="0" w:type="dxa"/>
              <w:left w:w="108" w:type="dxa"/>
              <w:bottom w:w="0" w:type="dxa"/>
              <w:right w:w="108" w:type="dxa"/>
            </w:tcMar>
            <w:vAlign w:val="center"/>
            <w:hideMark/>
          </w:tcPr>
          <w:p w14:paraId="6D9C792F" w14:textId="77777777" w:rsidR="0035109B" w:rsidRDefault="0035109B" w:rsidP="001964D7">
            <w:pPr>
              <w:jc w:val="center"/>
              <w:rPr>
                <w:rFonts w:eastAsiaTheme="minorHAnsi" w:cs="Arial"/>
                <w:b/>
                <w:bCs/>
                <w:sz w:val="20"/>
                <w:szCs w:val="20"/>
              </w:rPr>
            </w:pPr>
            <w:r>
              <w:rPr>
                <w:rFonts w:cs="Arial"/>
                <w:b/>
                <w:bCs/>
                <w:sz w:val="20"/>
                <w:szCs w:val="20"/>
              </w:rPr>
              <w:t>Code</w:t>
            </w:r>
          </w:p>
        </w:tc>
        <w:tc>
          <w:tcPr>
            <w:tcW w:w="2214" w:type="pct"/>
            <w:vMerge w:val="restart"/>
            <w:shd w:val="clear" w:color="auto" w:fill="auto"/>
            <w:tcMar>
              <w:top w:w="0" w:type="dxa"/>
              <w:left w:w="108" w:type="dxa"/>
              <w:bottom w:w="0" w:type="dxa"/>
              <w:right w:w="108" w:type="dxa"/>
            </w:tcMar>
            <w:vAlign w:val="center"/>
            <w:hideMark/>
          </w:tcPr>
          <w:p w14:paraId="6D9C7930" w14:textId="77777777" w:rsidR="0035109B" w:rsidRDefault="0035109B" w:rsidP="001964D7">
            <w:pPr>
              <w:jc w:val="center"/>
              <w:rPr>
                <w:rFonts w:eastAsiaTheme="minorHAnsi" w:cs="Arial"/>
                <w:b/>
                <w:bCs/>
                <w:sz w:val="20"/>
                <w:szCs w:val="20"/>
              </w:rPr>
            </w:pPr>
            <w:r>
              <w:rPr>
                <w:rFonts w:cs="Arial"/>
                <w:b/>
                <w:bCs/>
                <w:sz w:val="20"/>
                <w:szCs w:val="20"/>
              </w:rPr>
              <w:t>Description</w:t>
            </w:r>
          </w:p>
        </w:tc>
        <w:tc>
          <w:tcPr>
            <w:tcW w:w="572" w:type="pct"/>
            <w:vMerge w:val="restart"/>
            <w:shd w:val="clear" w:color="auto" w:fill="auto"/>
            <w:tcMar>
              <w:top w:w="0" w:type="dxa"/>
              <w:left w:w="108" w:type="dxa"/>
              <w:bottom w:w="0" w:type="dxa"/>
              <w:right w:w="108" w:type="dxa"/>
            </w:tcMar>
            <w:vAlign w:val="center"/>
            <w:hideMark/>
          </w:tcPr>
          <w:p w14:paraId="6D9C7931" w14:textId="77777777" w:rsidR="0035109B" w:rsidRDefault="0035109B" w:rsidP="001964D7">
            <w:pPr>
              <w:jc w:val="center"/>
              <w:rPr>
                <w:rFonts w:eastAsiaTheme="minorHAnsi" w:cs="Arial"/>
                <w:b/>
                <w:bCs/>
                <w:sz w:val="20"/>
                <w:szCs w:val="20"/>
              </w:rPr>
            </w:pPr>
            <w:r>
              <w:rPr>
                <w:rFonts w:cs="Arial"/>
                <w:b/>
                <w:bCs/>
                <w:sz w:val="20"/>
                <w:szCs w:val="20"/>
              </w:rPr>
              <w:t>Duration</w:t>
            </w:r>
          </w:p>
        </w:tc>
        <w:tc>
          <w:tcPr>
            <w:tcW w:w="1785" w:type="pct"/>
            <w:gridSpan w:val="2"/>
            <w:shd w:val="clear" w:color="auto" w:fill="auto"/>
            <w:tcMar>
              <w:top w:w="0" w:type="dxa"/>
              <w:left w:w="108" w:type="dxa"/>
              <w:bottom w:w="0" w:type="dxa"/>
              <w:right w:w="108" w:type="dxa"/>
            </w:tcMar>
            <w:vAlign w:val="center"/>
            <w:hideMark/>
          </w:tcPr>
          <w:p w14:paraId="6D9C7932" w14:textId="230AAC05" w:rsidR="0035109B" w:rsidRDefault="0035109B" w:rsidP="0035109B">
            <w:pPr>
              <w:jc w:val="center"/>
              <w:rPr>
                <w:rFonts w:eastAsiaTheme="minorHAnsi" w:cs="Arial"/>
                <w:b/>
                <w:bCs/>
                <w:sz w:val="20"/>
                <w:szCs w:val="20"/>
              </w:rPr>
            </w:pPr>
            <w:r>
              <w:rPr>
                <w:rFonts w:cs="Arial"/>
                <w:b/>
                <w:bCs/>
                <w:sz w:val="20"/>
                <w:szCs w:val="20"/>
              </w:rPr>
              <w:t>Rate of Pay</w:t>
            </w:r>
          </w:p>
        </w:tc>
      </w:tr>
      <w:tr w:rsidR="006F5667" w14:paraId="6D9C7939" w14:textId="77777777" w:rsidTr="006F5667">
        <w:trPr>
          <w:trHeight w:val="655"/>
        </w:trPr>
        <w:tc>
          <w:tcPr>
            <w:tcW w:w="429" w:type="pct"/>
            <w:vMerge/>
            <w:shd w:val="clear" w:color="auto" w:fill="auto"/>
            <w:tcMar>
              <w:top w:w="0" w:type="dxa"/>
              <w:left w:w="108" w:type="dxa"/>
              <w:bottom w:w="0" w:type="dxa"/>
              <w:right w:w="108" w:type="dxa"/>
            </w:tcMar>
            <w:vAlign w:val="center"/>
            <w:hideMark/>
          </w:tcPr>
          <w:p w14:paraId="6D9C7934" w14:textId="77777777" w:rsidR="0035109B" w:rsidRDefault="0035109B" w:rsidP="001964D7">
            <w:pPr>
              <w:jc w:val="center"/>
              <w:rPr>
                <w:rFonts w:cs="Arial"/>
                <w:b/>
                <w:bCs/>
                <w:sz w:val="20"/>
                <w:szCs w:val="20"/>
              </w:rPr>
            </w:pPr>
          </w:p>
        </w:tc>
        <w:tc>
          <w:tcPr>
            <w:tcW w:w="2214" w:type="pct"/>
            <w:vMerge/>
            <w:shd w:val="clear" w:color="auto" w:fill="auto"/>
            <w:tcMar>
              <w:top w:w="0" w:type="dxa"/>
              <w:left w:w="108" w:type="dxa"/>
              <w:bottom w:w="0" w:type="dxa"/>
              <w:right w:w="108" w:type="dxa"/>
            </w:tcMar>
            <w:vAlign w:val="center"/>
            <w:hideMark/>
          </w:tcPr>
          <w:p w14:paraId="6D9C7935" w14:textId="77777777" w:rsidR="0035109B" w:rsidRDefault="0035109B" w:rsidP="006C233B">
            <w:pPr>
              <w:jc w:val="left"/>
              <w:rPr>
                <w:rFonts w:cs="Arial"/>
                <w:b/>
                <w:bCs/>
                <w:sz w:val="20"/>
                <w:szCs w:val="20"/>
              </w:rPr>
            </w:pPr>
          </w:p>
        </w:tc>
        <w:tc>
          <w:tcPr>
            <w:tcW w:w="572" w:type="pct"/>
            <w:vMerge/>
            <w:shd w:val="clear" w:color="auto" w:fill="auto"/>
            <w:tcMar>
              <w:top w:w="0" w:type="dxa"/>
              <w:left w:w="108" w:type="dxa"/>
              <w:bottom w:w="0" w:type="dxa"/>
              <w:right w:w="108" w:type="dxa"/>
            </w:tcMar>
            <w:vAlign w:val="center"/>
            <w:hideMark/>
          </w:tcPr>
          <w:p w14:paraId="6D9C7936" w14:textId="77777777" w:rsidR="0035109B" w:rsidRDefault="0035109B" w:rsidP="001964D7">
            <w:pPr>
              <w:jc w:val="center"/>
              <w:rPr>
                <w:rFonts w:cs="Arial"/>
                <w:b/>
                <w:bCs/>
                <w:sz w:val="20"/>
                <w:szCs w:val="20"/>
              </w:rPr>
            </w:pPr>
          </w:p>
        </w:tc>
        <w:tc>
          <w:tcPr>
            <w:tcW w:w="857" w:type="pct"/>
            <w:shd w:val="clear" w:color="auto" w:fill="auto"/>
            <w:tcMar>
              <w:top w:w="0" w:type="dxa"/>
              <w:left w:w="108" w:type="dxa"/>
              <w:bottom w:w="0" w:type="dxa"/>
              <w:right w:w="108" w:type="dxa"/>
            </w:tcMar>
            <w:vAlign w:val="center"/>
            <w:hideMark/>
          </w:tcPr>
          <w:p w14:paraId="6D9C7937" w14:textId="77777777" w:rsidR="0035109B" w:rsidRDefault="0035109B" w:rsidP="001964D7">
            <w:pPr>
              <w:jc w:val="center"/>
              <w:rPr>
                <w:rFonts w:cs="Arial"/>
                <w:b/>
                <w:bCs/>
                <w:sz w:val="20"/>
                <w:szCs w:val="20"/>
              </w:rPr>
            </w:pPr>
            <w:r>
              <w:rPr>
                <w:rFonts w:cs="Arial"/>
                <w:b/>
                <w:bCs/>
                <w:sz w:val="20"/>
                <w:szCs w:val="20"/>
              </w:rPr>
              <w:t>In Normal Working Hours</w:t>
            </w:r>
          </w:p>
        </w:tc>
        <w:tc>
          <w:tcPr>
            <w:tcW w:w="928" w:type="pct"/>
            <w:shd w:val="clear" w:color="auto" w:fill="auto"/>
            <w:tcMar>
              <w:top w:w="0" w:type="dxa"/>
              <w:left w:w="108" w:type="dxa"/>
              <w:bottom w:w="0" w:type="dxa"/>
              <w:right w:w="108" w:type="dxa"/>
            </w:tcMar>
            <w:vAlign w:val="center"/>
            <w:hideMark/>
          </w:tcPr>
          <w:p w14:paraId="6D9C7938" w14:textId="77777777" w:rsidR="0035109B" w:rsidRDefault="0035109B" w:rsidP="001964D7">
            <w:pPr>
              <w:jc w:val="center"/>
              <w:rPr>
                <w:rFonts w:cs="Arial"/>
                <w:b/>
                <w:bCs/>
                <w:sz w:val="20"/>
                <w:szCs w:val="20"/>
              </w:rPr>
            </w:pPr>
            <w:r>
              <w:rPr>
                <w:rFonts w:cs="Arial"/>
                <w:b/>
                <w:bCs/>
                <w:sz w:val="20"/>
                <w:szCs w:val="20"/>
              </w:rPr>
              <w:t>Outside Normal Working Hours</w:t>
            </w:r>
          </w:p>
        </w:tc>
      </w:tr>
      <w:tr w:rsidR="006F5667" w14:paraId="6D9C793F"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3A" w14:textId="77777777" w:rsidR="006C233B" w:rsidRDefault="006C233B" w:rsidP="001964D7">
            <w:pPr>
              <w:jc w:val="center"/>
              <w:rPr>
                <w:rFonts w:eastAsiaTheme="minorHAnsi" w:cs="Arial"/>
                <w:sz w:val="20"/>
                <w:szCs w:val="20"/>
              </w:rPr>
            </w:pPr>
            <w:r>
              <w:rPr>
                <w:rFonts w:cs="Arial"/>
                <w:sz w:val="20"/>
                <w:szCs w:val="20"/>
              </w:rPr>
              <w:t>A.1</w:t>
            </w:r>
          </w:p>
        </w:tc>
        <w:tc>
          <w:tcPr>
            <w:tcW w:w="2214" w:type="pct"/>
            <w:shd w:val="clear" w:color="auto" w:fill="auto"/>
            <w:noWrap/>
            <w:tcMar>
              <w:top w:w="0" w:type="dxa"/>
              <w:left w:w="108" w:type="dxa"/>
              <w:bottom w:w="0" w:type="dxa"/>
              <w:right w:w="108" w:type="dxa"/>
            </w:tcMar>
            <w:vAlign w:val="bottom"/>
            <w:hideMark/>
          </w:tcPr>
          <w:p w14:paraId="6D9C793B" w14:textId="77777777" w:rsidR="006C233B" w:rsidRDefault="006C233B">
            <w:pPr>
              <w:rPr>
                <w:rFonts w:eastAsiaTheme="minorHAnsi" w:cs="Arial"/>
                <w:sz w:val="20"/>
                <w:szCs w:val="20"/>
              </w:rPr>
            </w:pPr>
            <w:r>
              <w:rPr>
                <w:rFonts w:cs="Arial"/>
                <w:sz w:val="20"/>
                <w:szCs w:val="20"/>
              </w:rPr>
              <w:t>Contract Manager</w:t>
            </w:r>
          </w:p>
        </w:tc>
        <w:tc>
          <w:tcPr>
            <w:tcW w:w="572" w:type="pct"/>
            <w:shd w:val="clear" w:color="auto" w:fill="auto"/>
            <w:noWrap/>
            <w:tcMar>
              <w:top w:w="0" w:type="dxa"/>
              <w:left w:w="108" w:type="dxa"/>
              <w:bottom w:w="0" w:type="dxa"/>
              <w:right w:w="108" w:type="dxa"/>
            </w:tcMar>
            <w:vAlign w:val="center"/>
            <w:hideMark/>
          </w:tcPr>
          <w:p w14:paraId="6D9C793C"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3D" w14:textId="209D3C2D"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3E" w14:textId="4B1A4757"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45"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40" w14:textId="77777777" w:rsidR="006C233B" w:rsidRDefault="006C233B" w:rsidP="001964D7">
            <w:pPr>
              <w:jc w:val="center"/>
              <w:rPr>
                <w:rFonts w:eastAsiaTheme="minorHAnsi" w:cs="Arial"/>
                <w:sz w:val="20"/>
                <w:szCs w:val="20"/>
              </w:rPr>
            </w:pPr>
            <w:r>
              <w:rPr>
                <w:rFonts w:cs="Arial"/>
                <w:sz w:val="20"/>
                <w:szCs w:val="20"/>
              </w:rPr>
              <w:t>A.2</w:t>
            </w:r>
          </w:p>
        </w:tc>
        <w:tc>
          <w:tcPr>
            <w:tcW w:w="2214" w:type="pct"/>
            <w:shd w:val="clear" w:color="auto" w:fill="auto"/>
            <w:noWrap/>
            <w:tcMar>
              <w:top w:w="0" w:type="dxa"/>
              <w:left w:w="108" w:type="dxa"/>
              <w:bottom w:w="0" w:type="dxa"/>
              <w:right w:w="108" w:type="dxa"/>
            </w:tcMar>
            <w:vAlign w:val="bottom"/>
            <w:hideMark/>
          </w:tcPr>
          <w:p w14:paraId="6D9C7941" w14:textId="77777777" w:rsidR="006C233B" w:rsidRDefault="006C233B">
            <w:pPr>
              <w:rPr>
                <w:rFonts w:eastAsiaTheme="minorHAnsi" w:cs="Arial"/>
                <w:sz w:val="20"/>
                <w:szCs w:val="20"/>
              </w:rPr>
            </w:pPr>
            <w:r>
              <w:rPr>
                <w:rFonts w:cs="Arial"/>
                <w:sz w:val="20"/>
                <w:szCs w:val="20"/>
              </w:rPr>
              <w:t>Project Manager</w:t>
            </w:r>
          </w:p>
        </w:tc>
        <w:tc>
          <w:tcPr>
            <w:tcW w:w="572" w:type="pct"/>
            <w:shd w:val="clear" w:color="auto" w:fill="auto"/>
            <w:noWrap/>
            <w:tcMar>
              <w:top w:w="0" w:type="dxa"/>
              <w:left w:w="108" w:type="dxa"/>
              <w:bottom w:w="0" w:type="dxa"/>
              <w:right w:w="108" w:type="dxa"/>
            </w:tcMar>
            <w:vAlign w:val="center"/>
            <w:hideMark/>
          </w:tcPr>
          <w:p w14:paraId="6D9C7942"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43" w14:textId="4A2FA8E6"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44" w14:textId="49C21279" w:rsidR="006C233B" w:rsidRPr="006F5667" w:rsidRDefault="00DC3378" w:rsidP="00DC3378">
            <w:pPr>
              <w:jc w:val="center"/>
              <w:rPr>
                <w:rFonts w:eastAsiaTheme="minorHAnsi" w:cs="Arial"/>
                <w:b/>
                <w:sz w:val="20"/>
                <w:szCs w:val="20"/>
              </w:rPr>
            </w:pPr>
            <w:r w:rsidRPr="006F5667">
              <w:rPr>
                <w:rFonts w:cs="Arial"/>
                <w:b/>
                <w:sz w:val="20"/>
                <w:szCs w:val="20"/>
              </w:rPr>
              <w:t>REDACTED</w:t>
            </w:r>
          </w:p>
        </w:tc>
      </w:tr>
      <w:tr w:rsidR="006F5667" w14:paraId="6D9C794B"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46" w14:textId="77777777" w:rsidR="006C233B" w:rsidRDefault="006C233B" w:rsidP="001964D7">
            <w:pPr>
              <w:jc w:val="center"/>
              <w:rPr>
                <w:rFonts w:eastAsiaTheme="minorHAnsi" w:cs="Arial"/>
                <w:sz w:val="20"/>
                <w:szCs w:val="20"/>
              </w:rPr>
            </w:pPr>
            <w:r>
              <w:rPr>
                <w:rFonts w:cs="Arial"/>
                <w:sz w:val="20"/>
                <w:szCs w:val="20"/>
              </w:rPr>
              <w:t>A.3</w:t>
            </w:r>
          </w:p>
        </w:tc>
        <w:tc>
          <w:tcPr>
            <w:tcW w:w="2214" w:type="pct"/>
            <w:shd w:val="clear" w:color="auto" w:fill="auto"/>
            <w:noWrap/>
            <w:tcMar>
              <w:top w:w="0" w:type="dxa"/>
              <w:left w:w="108" w:type="dxa"/>
              <w:bottom w:w="0" w:type="dxa"/>
              <w:right w:w="108" w:type="dxa"/>
            </w:tcMar>
            <w:vAlign w:val="bottom"/>
            <w:hideMark/>
          </w:tcPr>
          <w:p w14:paraId="6D9C7947" w14:textId="77777777" w:rsidR="006C233B" w:rsidRDefault="006C233B">
            <w:pPr>
              <w:rPr>
                <w:rFonts w:eastAsiaTheme="minorHAnsi" w:cs="Arial"/>
                <w:sz w:val="20"/>
                <w:szCs w:val="20"/>
              </w:rPr>
            </w:pPr>
            <w:r>
              <w:rPr>
                <w:rFonts w:cs="Arial"/>
                <w:sz w:val="20"/>
                <w:szCs w:val="20"/>
              </w:rPr>
              <w:t>Installation Manager</w:t>
            </w:r>
          </w:p>
        </w:tc>
        <w:tc>
          <w:tcPr>
            <w:tcW w:w="572" w:type="pct"/>
            <w:shd w:val="clear" w:color="auto" w:fill="auto"/>
            <w:noWrap/>
            <w:tcMar>
              <w:top w:w="0" w:type="dxa"/>
              <w:left w:w="108" w:type="dxa"/>
              <w:bottom w:w="0" w:type="dxa"/>
              <w:right w:w="108" w:type="dxa"/>
            </w:tcMar>
            <w:vAlign w:val="center"/>
            <w:hideMark/>
          </w:tcPr>
          <w:p w14:paraId="6D9C7948"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49" w14:textId="354B84D3"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4A" w14:textId="2D335677"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51"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4C" w14:textId="77777777" w:rsidR="006C233B" w:rsidRDefault="006C233B" w:rsidP="001964D7">
            <w:pPr>
              <w:jc w:val="center"/>
              <w:rPr>
                <w:rFonts w:eastAsiaTheme="minorHAnsi" w:cs="Arial"/>
                <w:sz w:val="20"/>
                <w:szCs w:val="20"/>
              </w:rPr>
            </w:pPr>
            <w:r>
              <w:rPr>
                <w:rFonts w:cs="Arial"/>
                <w:sz w:val="20"/>
                <w:szCs w:val="20"/>
              </w:rPr>
              <w:t>A.4</w:t>
            </w:r>
          </w:p>
        </w:tc>
        <w:tc>
          <w:tcPr>
            <w:tcW w:w="2214" w:type="pct"/>
            <w:shd w:val="clear" w:color="auto" w:fill="auto"/>
            <w:noWrap/>
            <w:tcMar>
              <w:top w:w="0" w:type="dxa"/>
              <w:left w:w="108" w:type="dxa"/>
              <w:bottom w:w="0" w:type="dxa"/>
              <w:right w:w="108" w:type="dxa"/>
            </w:tcMar>
            <w:vAlign w:val="bottom"/>
            <w:hideMark/>
          </w:tcPr>
          <w:p w14:paraId="6D9C794D" w14:textId="77777777" w:rsidR="006C233B" w:rsidRDefault="006C233B">
            <w:pPr>
              <w:rPr>
                <w:rFonts w:eastAsiaTheme="minorHAnsi" w:cs="Arial"/>
                <w:sz w:val="20"/>
                <w:szCs w:val="20"/>
              </w:rPr>
            </w:pPr>
            <w:r>
              <w:rPr>
                <w:rFonts w:cs="Arial"/>
                <w:sz w:val="20"/>
                <w:szCs w:val="20"/>
              </w:rPr>
              <w:t>Senior Electrical/Electronic Design Engineer</w:t>
            </w:r>
          </w:p>
        </w:tc>
        <w:tc>
          <w:tcPr>
            <w:tcW w:w="572" w:type="pct"/>
            <w:shd w:val="clear" w:color="auto" w:fill="auto"/>
            <w:noWrap/>
            <w:tcMar>
              <w:top w:w="0" w:type="dxa"/>
              <w:left w:w="108" w:type="dxa"/>
              <w:bottom w:w="0" w:type="dxa"/>
              <w:right w:w="108" w:type="dxa"/>
            </w:tcMar>
            <w:vAlign w:val="center"/>
            <w:hideMark/>
          </w:tcPr>
          <w:p w14:paraId="6D9C794E"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4F" w14:textId="2588D578"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50" w14:textId="0D7225F4"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57"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52" w14:textId="77777777" w:rsidR="006C233B" w:rsidRDefault="006C233B" w:rsidP="001964D7">
            <w:pPr>
              <w:jc w:val="center"/>
              <w:rPr>
                <w:rFonts w:eastAsiaTheme="minorHAnsi" w:cs="Arial"/>
                <w:sz w:val="20"/>
                <w:szCs w:val="20"/>
              </w:rPr>
            </w:pPr>
            <w:r>
              <w:rPr>
                <w:rFonts w:cs="Arial"/>
                <w:sz w:val="20"/>
                <w:szCs w:val="20"/>
              </w:rPr>
              <w:t>A.5</w:t>
            </w:r>
          </w:p>
        </w:tc>
        <w:tc>
          <w:tcPr>
            <w:tcW w:w="2214" w:type="pct"/>
            <w:shd w:val="clear" w:color="auto" w:fill="auto"/>
            <w:noWrap/>
            <w:tcMar>
              <w:top w:w="0" w:type="dxa"/>
              <w:left w:w="108" w:type="dxa"/>
              <w:bottom w:w="0" w:type="dxa"/>
              <w:right w:w="108" w:type="dxa"/>
            </w:tcMar>
            <w:vAlign w:val="bottom"/>
            <w:hideMark/>
          </w:tcPr>
          <w:p w14:paraId="6D9C7953" w14:textId="77777777" w:rsidR="006C233B" w:rsidRDefault="006C233B">
            <w:pPr>
              <w:rPr>
                <w:rFonts w:eastAsiaTheme="minorHAnsi" w:cs="Arial"/>
                <w:sz w:val="20"/>
                <w:szCs w:val="20"/>
              </w:rPr>
            </w:pPr>
            <w:r>
              <w:rPr>
                <w:rFonts w:cs="Arial"/>
                <w:sz w:val="20"/>
                <w:szCs w:val="20"/>
              </w:rPr>
              <w:t>Electrical/Electronic Design Engineer</w:t>
            </w:r>
          </w:p>
        </w:tc>
        <w:tc>
          <w:tcPr>
            <w:tcW w:w="572" w:type="pct"/>
            <w:shd w:val="clear" w:color="auto" w:fill="auto"/>
            <w:noWrap/>
            <w:tcMar>
              <w:top w:w="0" w:type="dxa"/>
              <w:left w:w="108" w:type="dxa"/>
              <w:bottom w:w="0" w:type="dxa"/>
              <w:right w:w="108" w:type="dxa"/>
            </w:tcMar>
            <w:vAlign w:val="center"/>
            <w:hideMark/>
          </w:tcPr>
          <w:p w14:paraId="6D9C7954"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55" w14:textId="6F26AE72"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56" w14:textId="39FF3D15"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5D"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58" w14:textId="77777777" w:rsidR="006C233B" w:rsidRDefault="006C233B" w:rsidP="001964D7">
            <w:pPr>
              <w:jc w:val="center"/>
              <w:rPr>
                <w:rFonts w:eastAsiaTheme="minorHAnsi" w:cs="Arial"/>
                <w:sz w:val="20"/>
                <w:szCs w:val="20"/>
              </w:rPr>
            </w:pPr>
            <w:r>
              <w:rPr>
                <w:rFonts w:cs="Arial"/>
                <w:sz w:val="20"/>
                <w:szCs w:val="20"/>
              </w:rPr>
              <w:t>A.6</w:t>
            </w:r>
          </w:p>
        </w:tc>
        <w:tc>
          <w:tcPr>
            <w:tcW w:w="2214" w:type="pct"/>
            <w:shd w:val="clear" w:color="auto" w:fill="auto"/>
            <w:noWrap/>
            <w:tcMar>
              <w:top w:w="0" w:type="dxa"/>
              <w:left w:w="108" w:type="dxa"/>
              <w:bottom w:w="0" w:type="dxa"/>
              <w:right w:w="108" w:type="dxa"/>
            </w:tcMar>
            <w:vAlign w:val="bottom"/>
            <w:hideMark/>
          </w:tcPr>
          <w:p w14:paraId="6D9C7959" w14:textId="77777777" w:rsidR="006C233B" w:rsidRDefault="006C233B">
            <w:pPr>
              <w:rPr>
                <w:rFonts w:eastAsiaTheme="minorHAnsi" w:cs="Arial"/>
                <w:sz w:val="20"/>
                <w:szCs w:val="20"/>
              </w:rPr>
            </w:pPr>
            <w:r>
              <w:rPr>
                <w:rFonts w:cs="Arial"/>
                <w:sz w:val="20"/>
                <w:szCs w:val="20"/>
              </w:rPr>
              <w:t>Senior Software/IT/IP Design Engineer</w:t>
            </w:r>
          </w:p>
        </w:tc>
        <w:tc>
          <w:tcPr>
            <w:tcW w:w="572" w:type="pct"/>
            <w:shd w:val="clear" w:color="auto" w:fill="auto"/>
            <w:noWrap/>
            <w:tcMar>
              <w:top w:w="0" w:type="dxa"/>
              <w:left w:w="108" w:type="dxa"/>
              <w:bottom w:w="0" w:type="dxa"/>
              <w:right w:w="108" w:type="dxa"/>
            </w:tcMar>
            <w:vAlign w:val="center"/>
            <w:hideMark/>
          </w:tcPr>
          <w:p w14:paraId="6D9C795A"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5B" w14:textId="0FD7173D"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5C" w14:textId="49A33303"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63"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5E" w14:textId="77777777" w:rsidR="006C233B" w:rsidRDefault="006C233B" w:rsidP="001964D7">
            <w:pPr>
              <w:jc w:val="center"/>
              <w:rPr>
                <w:rFonts w:eastAsiaTheme="minorHAnsi" w:cs="Arial"/>
                <w:sz w:val="20"/>
                <w:szCs w:val="20"/>
              </w:rPr>
            </w:pPr>
            <w:r>
              <w:rPr>
                <w:rFonts w:cs="Arial"/>
                <w:sz w:val="20"/>
                <w:szCs w:val="20"/>
              </w:rPr>
              <w:t>A.7</w:t>
            </w:r>
          </w:p>
        </w:tc>
        <w:tc>
          <w:tcPr>
            <w:tcW w:w="2214" w:type="pct"/>
            <w:shd w:val="clear" w:color="auto" w:fill="auto"/>
            <w:noWrap/>
            <w:tcMar>
              <w:top w:w="0" w:type="dxa"/>
              <w:left w:w="108" w:type="dxa"/>
              <w:bottom w:w="0" w:type="dxa"/>
              <w:right w:w="108" w:type="dxa"/>
            </w:tcMar>
            <w:vAlign w:val="bottom"/>
            <w:hideMark/>
          </w:tcPr>
          <w:p w14:paraId="6D9C795F" w14:textId="77777777" w:rsidR="006C233B" w:rsidRDefault="006C233B">
            <w:pPr>
              <w:rPr>
                <w:rFonts w:eastAsiaTheme="minorHAnsi" w:cs="Arial"/>
                <w:sz w:val="20"/>
                <w:szCs w:val="20"/>
              </w:rPr>
            </w:pPr>
            <w:r>
              <w:rPr>
                <w:rFonts w:cs="Arial"/>
                <w:sz w:val="20"/>
                <w:szCs w:val="20"/>
              </w:rPr>
              <w:t>Software/IT/IP Design Engineer</w:t>
            </w:r>
          </w:p>
        </w:tc>
        <w:tc>
          <w:tcPr>
            <w:tcW w:w="572" w:type="pct"/>
            <w:shd w:val="clear" w:color="auto" w:fill="auto"/>
            <w:noWrap/>
            <w:tcMar>
              <w:top w:w="0" w:type="dxa"/>
              <w:left w:w="108" w:type="dxa"/>
              <w:bottom w:w="0" w:type="dxa"/>
              <w:right w:w="108" w:type="dxa"/>
            </w:tcMar>
            <w:vAlign w:val="center"/>
            <w:hideMark/>
          </w:tcPr>
          <w:p w14:paraId="6D9C7960"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61" w14:textId="14E8C83E"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62" w14:textId="4156B74F"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69"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64" w14:textId="77777777" w:rsidR="006C233B" w:rsidRDefault="006C233B" w:rsidP="001964D7">
            <w:pPr>
              <w:jc w:val="center"/>
              <w:rPr>
                <w:rFonts w:eastAsiaTheme="minorHAnsi" w:cs="Arial"/>
                <w:sz w:val="20"/>
                <w:szCs w:val="20"/>
              </w:rPr>
            </w:pPr>
            <w:r>
              <w:rPr>
                <w:rFonts w:cs="Arial"/>
                <w:sz w:val="20"/>
                <w:szCs w:val="20"/>
              </w:rPr>
              <w:t>A.8</w:t>
            </w:r>
          </w:p>
        </w:tc>
        <w:tc>
          <w:tcPr>
            <w:tcW w:w="2214" w:type="pct"/>
            <w:shd w:val="clear" w:color="auto" w:fill="auto"/>
            <w:noWrap/>
            <w:tcMar>
              <w:top w:w="0" w:type="dxa"/>
              <w:left w:w="108" w:type="dxa"/>
              <w:bottom w:w="0" w:type="dxa"/>
              <w:right w:w="108" w:type="dxa"/>
            </w:tcMar>
            <w:vAlign w:val="bottom"/>
            <w:hideMark/>
          </w:tcPr>
          <w:p w14:paraId="6D9C7965" w14:textId="77777777" w:rsidR="006C233B" w:rsidRDefault="006C233B">
            <w:pPr>
              <w:rPr>
                <w:rFonts w:eastAsiaTheme="minorHAnsi" w:cs="Arial"/>
                <w:sz w:val="20"/>
                <w:szCs w:val="20"/>
              </w:rPr>
            </w:pPr>
            <w:r>
              <w:rPr>
                <w:rFonts w:cs="Arial"/>
                <w:sz w:val="20"/>
                <w:szCs w:val="20"/>
              </w:rPr>
              <w:t>Senior Civil Design Engineer</w:t>
            </w:r>
          </w:p>
        </w:tc>
        <w:tc>
          <w:tcPr>
            <w:tcW w:w="572" w:type="pct"/>
            <w:shd w:val="clear" w:color="auto" w:fill="auto"/>
            <w:noWrap/>
            <w:tcMar>
              <w:top w:w="0" w:type="dxa"/>
              <w:left w:w="108" w:type="dxa"/>
              <w:bottom w:w="0" w:type="dxa"/>
              <w:right w:w="108" w:type="dxa"/>
            </w:tcMar>
            <w:vAlign w:val="center"/>
            <w:hideMark/>
          </w:tcPr>
          <w:p w14:paraId="6D9C7966"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67" w14:textId="36C321CC"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68" w14:textId="76F46F9D"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6F"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6A" w14:textId="77777777" w:rsidR="006C233B" w:rsidRDefault="006C233B" w:rsidP="001964D7">
            <w:pPr>
              <w:jc w:val="center"/>
              <w:rPr>
                <w:rFonts w:eastAsiaTheme="minorHAnsi" w:cs="Arial"/>
                <w:sz w:val="20"/>
                <w:szCs w:val="20"/>
              </w:rPr>
            </w:pPr>
            <w:r>
              <w:rPr>
                <w:rFonts w:cs="Arial"/>
                <w:sz w:val="20"/>
                <w:szCs w:val="20"/>
              </w:rPr>
              <w:t>A.9</w:t>
            </w:r>
          </w:p>
        </w:tc>
        <w:tc>
          <w:tcPr>
            <w:tcW w:w="2214" w:type="pct"/>
            <w:shd w:val="clear" w:color="auto" w:fill="auto"/>
            <w:noWrap/>
            <w:tcMar>
              <w:top w:w="0" w:type="dxa"/>
              <w:left w:w="108" w:type="dxa"/>
              <w:bottom w:w="0" w:type="dxa"/>
              <w:right w:w="108" w:type="dxa"/>
            </w:tcMar>
            <w:vAlign w:val="bottom"/>
            <w:hideMark/>
          </w:tcPr>
          <w:p w14:paraId="6D9C796B" w14:textId="77777777" w:rsidR="006C233B" w:rsidRDefault="006C233B">
            <w:pPr>
              <w:rPr>
                <w:rFonts w:eastAsiaTheme="minorHAnsi" w:cs="Arial"/>
                <w:sz w:val="20"/>
                <w:szCs w:val="20"/>
              </w:rPr>
            </w:pPr>
            <w:r>
              <w:rPr>
                <w:rFonts w:cs="Arial"/>
                <w:sz w:val="20"/>
                <w:szCs w:val="20"/>
              </w:rPr>
              <w:t>Civil Design Engineer</w:t>
            </w:r>
          </w:p>
        </w:tc>
        <w:tc>
          <w:tcPr>
            <w:tcW w:w="572" w:type="pct"/>
            <w:shd w:val="clear" w:color="auto" w:fill="auto"/>
            <w:noWrap/>
            <w:tcMar>
              <w:top w:w="0" w:type="dxa"/>
              <w:left w:w="108" w:type="dxa"/>
              <w:bottom w:w="0" w:type="dxa"/>
              <w:right w:w="108" w:type="dxa"/>
            </w:tcMar>
            <w:vAlign w:val="center"/>
            <w:hideMark/>
          </w:tcPr>
          <w:p w14:paraId="6D9C796C"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6D" w14:textId="1A6AD871"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6E" w14:textId="0FFE2B04"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75"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70" w14:textId="77777777" w:rsidR="006C233B" w:rsidRDefault="006C233B" w:rsidP="001964D7">
            <w:pPr>
              <w:jc w:val="center"/>
              <w:rPr>
                <w:rFonts w:eastAsiaTheme="minorHAnsi" w:cs="Arial"/>
                <w:sz w:val="20"/>
                <w:szCs w:val="20"/>
              </w:rPr>
            </w:pPr>
            <w:r>
              <w:rPr>
                <w:rFonts w:cs="Arial"/>
                <w:sz w:val="20"/>
                <w:szCs w:val="20"/>
              </w:rPr>
              <w:t>A.10</w:t>
            </w:r>
          </w:p>
        </w:tc>
        <w:tc>
          <w:tcPr>
            <w:tcW w:w="2214" w:type="pct"/>
            <w:shd w:val="clear" w:color="auto" w:fill="auto"/>
            <w:noWrap/>
            <w:tcMar>
              <w:top w:w="0" w:type="dxa"/>
              <w:left w:w="108" w:type="dxa"/>
              <w:bottom w:w="0" w:type="dxa"/>
              <w:right w:w="108" w:type="dxa"/>
            </w:tcMar>
            <w:vAlign w:val="bottom"/>
            <w:hideMark/>
          </w:tcPr>
          <w:p w14:paraId="6D9C7971" w14:textId="77777777" w:rsidR="006C233B" w:rsidRDefault="006C233B">
            <w:pPr>
              <w:rPr>
                <w:rFonts w:eastAsiaTheme="minorHAnsi" w:cs="Arial"/>
                <w:sz w:val="20"/>
                <w:szCs w:val="20"/>
              </w:rPr>
            </w:pPr>
            <w:r>
              <w:rPr>
                <w:rFonts w:cs="Arial"/>
                <w:sz w:val="20"/>
                <w:szCs w:val="20"/>
              </w:rPr>
              <w:t>Senior Structural/Mechanical Design Engineer</w:t>
            </w:r>
          </w:p>
        </w:tc>
        <w:tc>
          <w:tcPr>
            <w:tcW w:w="572" w:type="pct"/>
            <w:shd w:val="clear" w:color="auto" w:fill="auto"/>
            <w:noWrap/>
            <w:tcMar>
              <w:top w:w="0" w:type="dxa"/>
              <w:left w:w="108" w:type="dxa"/>
              <w:bottom w:w="0" w:type="dxa"/>
              <w:right w:w="108" w:type="dxa"/>
            </w:tcMar>
            <w:vAlign w:val="center"/>
            <w:hideMark/>
          </w:tcPr>
          <w:p w14:paraId="6D9C7972"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73" w14:textId="24C4E244"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74" w14:textId="30290BD1"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7B"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76" w14:textId="77777777" w:rsidR="006C233B" w:rsidRDefault="006C233B" w:rsidP="001964D7">
            <w:pPr>
              <w:jc w:val="center"/>
              <w:rPr>
                <w:rFonts w:eastAsiaTheme="minorHAnsi" w:cs="Arial"/>
                <w:sz w:val="20"/>
                <w:szCs w:val="20"/>
              </w:rPr>
            </w:pPr>
            <w:r>
              <w:rPr>
                <w:rFonts w:cs="Arial"/>
                <w:sz w:val="20"/>
                <w:szCs w:val="20"/>
              </w:rPr>
              <w:t>A.11</w:t>
            </w:r>
          </w:p>
        </w:tc>
        <w:tc>
          <w:tcPr>
            <w:tcW w:w="2214" w:type="pct"/>
            <w:shd w:val="clear" w:color="auto" w:fill="auto"/>
            <w:noWrap/>
            <w:tcMar>
              <w:top w:w="0" w:type="dxa"/>
              <w:left w:w="108" w:type="dxa"/>
              <w:bottom w:w="0" w:type="dxa"/>
              <w:right w:w="108" w:type="dxa"/>
            </w:tcMar>
            <w:vAlign w:val="bottom"/>
            <w:hideMark/>
          </w:tcPr>
          <w:p w14:paraId="6D9C7977" w14:textId="77777777" w:rsidR="006C233B" w:rsidRDefault="006C233B">
            <w:pPr>
              <w:rPr>
                <w:rFonts w:eastAsiaTheme="minorHAnsi" w:cs="Arial"/>
                <w:sz w:val="20"/>
                <w:szCs w:val="20"/>
              </w:rPr>
            </w:pPr>
            <w:r>
              <w:rPr>
                <w:rFonts w:cs="Arial"/>
                <w:sz w:val="20"/>
                <w:szCs w:val="20"/>
              </w:rPr>
              <w:t>Structural/Mechanical Design Engineer</w:t>
            </w:r>
          </w:p>
        </w:tc>
        <w:tc>
          <w:tcPr>
            <w:tcW w:w="572" w:type="pct"/>
            <w:shd w:val="clear" w:color="auto" w:fill="auto"/>
            <w:noWrap/>
            <w:tcMar>
              <w:top w:w="0" w:type="dxa"/>
              <w:left w:w="108" w:type="dxa"/>
              <w:bottom w:w="0" w:type="dxa"/>
              <w:right w:w="108" w:type="dxa"/>
            </w:tcMar>
            <w:vAlign w:val="center"/>
            <w:hideMark/>
          </w:tcPr>
          <w:p w14:paraId="6D9C7978"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79" w14:textId="31B724D9"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7A" w14:textId="5A0D5D17"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81"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7C" w14:textId="77777777" w:rsidR="006C233B" w:rsidRDefault="006C233B" w:rsidP="001964D7">
            <w:pPr>
              <w:jc w:val="center"/>
              <w:rPr>
                <w:rFonts w:eastAsiaTheme="minorHAnsi" w:cs="Arial"/>
                <w:sz w:val="20"/>
                <w:szCs w:val="20"/>
              </w:rPr>
            </w:pPr>
            <w:r>
              <w:rPr>
                <w:rFonts w:cs="Arial"/>
                <w:sz w:val="20"/>
                <w:szCs w:val="20"/>
              </w:rPr>
              <w:t>A.12</w:t>
            </w:r>
          </w:p>
        </w:tc>
        <w:tc>
          <w:tcPr>
            <w:tcW w:w="2214" w:type="pct"/>
            <w:shd w:val="clear" w:color="auto" w:fill="auto"/>
            <w:noWrap/>
            <w:tcMar>
              <w:top w:w="0" w:type="dxa"/>
              <w:left w:w="108" w:type="dxa"/>
              <w:bottom w:w="0" w:type="dxa"/>
              <w:right w:w="108" w:type="dxa"/>
            </w:tcMar>
            <w:vAlign w:val="bottom"/>
            <w:hideMark/>
          </w:tcPr>
          <w:p w14:paraId="6D9C797D" w14:textId="77777777" w:rsidR="006C233B" w:rsidRDefault="006C233B">
            <w:pPr>
              <w:rPr>
                <w:rFonts w:eastAsiaTheme="minorHAnsi" w:cs="Arial"/>
                <w:sz w:val="20"/>
                <w:szCs w:val="20"/>
              </w:rPr>
            </w:pPr>
            <w:r>
              <w:rPr>
                <w:rFonts w:cs="Arial"/>
                <w:sz w:val="20"/>
                <w:szCs w:val="20"/>
              </w:rPr>
              <w:t>Senior Radio System Design Engineer</w:t>
            </w:r>
          </w:p>
        </w:tc>
        <w:tc>
          <w:tcPr>
            <w:tcW w:w="572" w:type="pct"/>
            <w:shd w:val="clear" w:color="auto" w:fill="auto"/>
            <w:noWrap/>
            <w:tcMar>
              <w:top w:w="0" w:type="dxa"/>
              <w:left w:w="108" w:type="dxa"/>
              <w:bottom w:w="0" w:type="dxa"/>
              <w:right w:w="108" w:type="dxa"/>
            </w:tcMar>
            <w:vAlign w:val="center"/>
            <w:hideMark/>
          </w:tcPr>
          <w:p w14:paraId="6D9C797E"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7F" w14:textId="4DB92767"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80" w14:textId="53297169"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87"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82" w14:textId="77777777" w:rsidR="006C233B" w:rsidRDefault="006C233B" w:rsidP="001964D7">
            <w:pPr>
              <w:jc w:val="center"/>
              <w:rPr>
                <w:rFonts w:eastAsiaTheme="minorHAnsi" w:cs="Arial"/>
                <w:sz w:val="20"/>
                <w:szCs w:val="20"/>
              </w:rPr>
            </w:pPr>
            <w:r>
              <w:rPr>
                <w:rFonts w:cs="Arial"/>
                <w:sz w:val="20"/>
                <w:szCs w:val="20"/>
              </w:rPr>
              <w:t>A.13</w:t>
            </w:r>
          </w:p>
        </w:tc>
        <w:tc>
          <w:tcPr>
            <w:tcW w:w="2214" w:type="pct"/>
            <w:shd w:val="clear" w:color="auto" w:fill="auto"/>
            <w:noWrap/>
            <w:tcMar>
              <w:top w:w="0" w:type="dxa"/>
              <w:left w:w="108" w:type="dxa"/>
              <w:bottom w:w="0" w:type="dxa"/>
              <w:right w:w="108" w:type="dxa"/>
            </w:tcMar>
            <w:vAlign w:val="bottom"/>
            <w:hideMark/>
          </w:tcPr>
          <w:p w14:paraId="6D9C7983" w14:textId="77777777" w:rsidR="006C233B" w:rsidRDefault="006C233B">
            <w:pPr>
              <w:rPr>
                <w:rFonts w:eastAsiaTheme="minorHAnsi" w:cs="Arial"/>
                <w:sz w:val="20"/>
                <w:szCs w:val="20"/>
              </w:rPr>
            </w:pPr>
            <w:r>
              <w:rPr>
                <w:rFonts w:cs="Arial"/>
                <w:sz w:val="20"/>
                <w:szCs w:val="20"/>
              </w:rPr>
              <w:t>Radio System Design Engineer</w:t>
            </w:r>
          </w:p>
        </w:tc>
        <w:tc>
          <w:tcPr>
            <w:tcW w:w="572" w:type="pct"/>
            <w:shd w:val="clear" w:color="auto" w:fill="auto"/>
            <w:noWrap/>
            <w:tcMar>
              <w:top w:w="0" w:type="dxa"/>
              <w:left w:w="108" w:type="dxa"/>
              <w:bottom w:w="0" w:type="dxa"/>
              <w:right w:w="108" w:type="dxa"/>
            </w:tcMar>
            <w:vAlign w:val="center"/>
            <w:hideMark/>
          </w:tcPr>
          <w:p w14:paraId="6D9C7984"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85" w14:textId="77F09E8F"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86" w14:textId="64FFD6D9"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8D"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88" w14:textId="77777777" w:rsidR="006C233B" w:rsidRDefault="006C233B" w:rsidP="001964D7">
            <w:pPr>
              <w:jc w:val="center"/>
              <w:rPr>
                <w:rFonts w:eastAsiaTheme="minorHAnsi" w:cs="Arial"/>
                <w:sz w:val="20"/>
                <w:szCs w:val="20"/>
              </w:rPr>
            </w:pPr>
            <w:r>
              <w:rPr>
                <w:rFonts w:cs="Arial"/>
                <w:sz w:val="20"/>
                <w:szCs w:val="20"/>
              </w:rPr>
              <w:t>A.14</w:t>
            </w:r>
          </w:p>
        </w:tc>
        <w:tc>
          <w:tcPr>
            <w:tcW w:w="2214" w:type="pct"/>
            <w:shd w:val="clear" w:color="auto" w:fill="auto"/>
            <w:noWrap/>
            <w:tcMar>
              <w:top w:w="0" w:type="dxa"/>
              <w:left w:w="108" w:type="dxa"/>
              <w:bottom w:w="0" w:type="dxa"/>
              <w:right w:w="108" w:type="dxa"/>
            </w:tcMar>
            <w:vAlign w:val="bottom"/>
            <w:hideMark/>
          </w:tcPr>
          <w:p w14:paraId="6D9C7989" w14:textId="77777777" w:rsidR="006C233B" w:rsidRDefault="006C233B">
            <w:pPr>
              <w:rPr>
                <w:rFonts w:eastAsiaTheme="minorHAnsi" w:cs="Arial"/>
                <w:sz w:val="20"/>
                <w:szCs w:val="20"/>
              </w:rPr>
            </w:pPr>
            <w:r>
              <w:rPr>
                <w:rFonts w:cs="Arial"/>
                <w:sz w:val="20"/>
                <w:szCs w:val="20"/>
              </w:rPr>
              <w:t>Technical Author</w:t>
            </w:r>
          </w:p>
        </w:tc>
        <w:tc>
          <w:tcPr>
            <w:tcW w:w="572" w:type="pct"/>
            <w:shd w:val="clear" w:color="auto" w:fill="auto"/>
            <w:noWrap/>
            <w:tcMar>
              <w:top w:w="0" w:type="dxa"/>
              <w:left w:w="108" w:type="dxa"/>
              <w:bottom w:w="0" w:type="dxa"/>
              <w:right w:w="108" w:type="dxa"/>
            </w:tcMar>
            <w:vAlign w:val="center"/>
            <w:hideMark/>
          </w:tcPr>
          <w:p w14:paraId="6D9C798A"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8B" w14:textId="45E22942"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8C" w14:textId="1055AE6F"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93"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8E" w14:textId="77777777" w:rsidR="006C233B" w:rsidRDefault="006C233B" w:rsidP="001964D7">
            <w:pPr>
              <w:jc w:val="center"/>
              <w:rPr>
                <w:rFonts w:eastAsiaTheme="minorHAnsi" w:cs="Arial"/>
                <w:sz w:val="20"/>
                <w:szCs w:val="20"/>
              </w:rPr>
            </w:pPr>
            <w:r>
              <w:rPr>
                <w:rFonts w:cs="Arial"/>
                <w:sz w:val="20"/>
                <w:szCs w:val="20"/>
              </w:rPr>
              <w:t>A.15</w:t>
            </w:r>
          </w:p>
        </w:tc>
        <w:tc>
          <w:tcPr>
            <w:tcW w:w="2214" w:type="pct"/>
            <w:shd w:val="clear" w:color="auto" w:fill="auto"/>
            <w:noWrap/>
            <w:tcMar>
              <w:top w:w="0" w:type="dxa"/>
              <w:left w:w="108" w:type="dxa"/>
              <w:bottom w:w="0" w:type="dxa"/>
              <w:right w:w="108" w:type="dxa"/>
            </w:tcMar>
            <w:vAlign w:val="bottom"/>
            <w:hideMark/>
          </w:tcPr>
          <w:p w14:paraId="6D9C798F" w14:textId="77777777" w:rsidR="006C233B" w:rsidRDefault="006C233B">
            <w:pPr>
              <w:rPr>
                <w:rFonts w:eastAsiaTheme="minorHAnsi" w:cs="Arial"/>
                <w:sz w:val="20"/>
                <w:szCs w:val="20"/>
              </w:rPr>
            </w:pPr>
            <w:r>
              <w:rPr>
                <w:rFonts w:cs="Arial"/>
                <w:sz w:val="20"/>
                <w:szCs w:val="20"/>
              </w:rPr>
              <w:t>Drawing Office Staff</w:t>
            </w:r>
          </w:p>
        </w:tc>
        <w:tc>
          <w:tcPr>
            <w:tcW w:w="572" w:type="pct"/>
            <w:shd w:val="clear" w:color="auto" w:fill="auto"/>
            <w:noWrap/>
            <w:tcMar>
              <w:top w:w="0" w:type="dxa"/>
              <w:left w:w="108" w:type="dxa"/>
              <w:bottom w:w="0" w:type="dxa"/>
              <w:right w:w="108" w:type="dxa"/>
            </w:tcMar>
            <w:vAlign w:val="center"/>
            <w:hideMark/>
          </w:tcPr>
          <w:p w14:paraId="6D9C7990"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91" w14:textId="4211898D"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92" w14:textId="35D6CD06"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99"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94" w14:textId="77777777" w:rsidR="006C233B" w:rsidRDefault="006C233B" w:rsidP="001964D7">
            <w:pPr>
              <w:jc w:val="center"/>
              <w:rPr>
                <w:rFonts w:eastAsiaTheme="minorHAnsi" w:cs="Arial"/>
                <w:sz w:val="20"/>
                <w:szCs w:val="20"/>
              </w:rPr>
            </w:pPr>
            <w:r>
              <w:rPr>
                <w:rFonts w:cs="Arial"/>
                <w:sz w:val="20"/>
                <w:szCs w:val="20"/>
              </w:rPr>
              <w:t>A.16</w:t>
            </w:r>
          </w:p>
        </w:tc>
        <w:tc>
          <w:tcPr>
            <w:tcW w:w="2214" w:type="pct"/>
            <w:shd w:val="clear" w:color="auto" w:fill="auto"/>
            <w:noWrap/>
            <w:tcMar>
              <w:top w:w="0" w:type="dxa"/>
              <w:left w:w="108" w:type="dxa"/>
              <w:bottom w:w="0" w:type="dxa"/>
              <w:right w:w="108" w:type="dxa"/>
            </w:tcMar>
            <w:vAlign w:val="bottom"/>
            <w:hideMark/>
          </w:tcPr>
          <w:p w14:paraId="6D9C7995" w14:textId="77777777" w:rsidR="006C233B" w:rsidRDefault="006C233B">
            <w:pPr>
              <w:rPr>
                <w:rFonts w:eastAsiaTheme="minorHAnsi" w:cs="Arial"/>
                <w:sz w:val="20"/>
                <w:szCs w:val="20"/>
              </w:rPr>
            </w:pPr>
            <w:r>
              <w:rPr>
                <w:rFonts w:cs="Arial"/>
                <w:sz w:val="20"/>
                <w:szCs w:val="20"/>
              </w:rPr>
              <w:t>Admin Support Staff</w:t>
            </w:r>
          </w:p>
        </w:tc>
        <w:tc>
          <w:tcPr>
            <w:tcW w:w="572" w:type="pct"/>
            <w:shd w:val="clear" w:color="auto" w:fill="auto"/>
            <w:noWrap/>
            <w:tcMar>
              <w:top w:w="0" w:type="dxa"/>
              <w:left w:w="108" w:type="dxa"/>
              <w:bottom w:w="0" w:type="dxa"/>
              <w:right w:w="108" w:type="dxa"/>
            </w:tcMar>
            <w:vAlign w:val="center"/>
            <w:hideMark/>
          </w:tcPr>
          <w:p w14:paraId="6D9C7996"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97" w14:textId="0C84411D"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98" w14:textId="48C2B885"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9F"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9A" w14:textId="77777777" w:rsidR="006C233B" w:rsidRDefault="006C233B" w:rsidP="001964D7">
            <w:pPr>
              <w:jc w:val="center"/>
              <w:rPr>
                <w:rFonts w:eastAsiaTheme="minorHAnsi" w:cs="Arial"/>
                <w:sz w:val="20"/>
                <w:szCs w:val="20"/>
              </w:rPr>
            </w:pPr>
            <w:r>
              <w:rPr>
                <w:rFonts w:cs="Arial"/>
                <w:sz w:val="20"/>
                <w:szCs w:val="20"/>
              </w:rPr>
              <w:t>A.17</w:t>
            </w:r>
          </w:p>
        </w:tc>
        <w:tc>
          <w:tcPr>
            <w:tcW w:w="2214" w:type="pct"/>
            <w:shd w:val="clear" w:color="auto" w:fill="auto"/>
            <w:noWrap/>
            <w:tcMar>
              <w:top w:w="0" w:type="dxa"/>
              <w:left w:w="108" w:type="dxa"/>
              <w:bottom w:w="0" w:type="dxa"/>
              <w:right w:w="108" w:type="dxa"/>
            </w:tcMar>
            <w:vAlign w:val="bottom"/>
            <w:hideMark/>
          </w:tcPr>
          <w:p w14:paraId="6D9C799B" w14:textId="77777777" w:rsidR="006C233B" w:rsidRDefault="006C233B">
            <w:pPr>
              <w:rPr>
                <w:rFonts w:eastAsiaTheme="minorHAnsi" w:cs="Arial"/>
                <w:sz w:val="20"/>
                <w:szCs w:val="20"/>
              </w:rPr>
            </w:pPr>
            <w:r>
              <w:rPr>
                <w:rFonts w:cs="Arial"/>
                <w:sz w:val="20"/>
                <w:szCs w:val="20"/>
              </w:rPr>
              <w:t>Health and Safety Advisor</w:t>
            </w:r>
          </w:p>
        </w:tc>
        <w:tc>
          <w:tcPr>
            <w:tcW w:w="572" w:type="pct"/>
            <w:shd w:val="clear" w:color="auto" w:fill="auto"/>
            <w:noWrap/>
            <w:tcMar>
              <w:top w:w="0" w:type="dxa"/>
              <w:left w:w="108" w:type="dxa"/>
              <w:bottom w:w="0" w:type="dxa"/>
              <w:right w:w="108" w:type="dxa"/>
            </w:tcMar>
            <w:vAlign w:val="center"/>
            <w:hideMark/>
          </w:tcPr>
          <w:p w14:paraId="6D9C799C"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9D" w14:textId="712DAEFD"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9E" w14:textId="009F169A"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A5"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A0" w14:textId="77777777" w:rsidR="006C233B" w:rsidRDefault="006C233B" w:rsidP="001964D7">
            <w:pPr>
              <w:jc w:val="center"/>
              <w:rPr>
                <w:rFonts w:eastAsiaTheme="minorHAnsi" w:cs="Arial"/>
                <w:sz w:val="20"/>
                <w:szCs w:val="20"/>
              </w:rPr>
            </w:pPr>
            <w:r>
              <w:rPr>
                <w:rFonts w:cs="Arial"/>
                <w:sz w:val="20"/>
                <w:szCs w:val="20"/>
              </w:rPr>
              <w:t>A.18</w:t>
            </w:r>
          </w:p>
        </w:tc>
        <w:tc>
          <w:tcPr>
            <w:tcW w:w="2214" w:type="pct"/>
            <w:shd w:val="clear" w:color="auto" w:fill="auto"/>
            <w:noWrap/>
            <w:tcMar>
              <w:top w:w="0" w:type="dxa"/>
              <w:left w:w="108" w:type="dxa"/>
              <w:bottom w:w="0" w:type="dxa"/>
              <w:right w:w="108" w:type="dxa"/>
            </w:tcMar>
            <w:vAlign w:val="bottom"/>
            <w:hideMark/>
          </w:tcPr>
          <w:p w14:paraId="6D9C79A1" w14:textId="77777777" w:rsidR="006C233B" w:rsidRDefault="006C233B">
            <w:pPr>
              <w:rPr>
                <w:rFonts w:eastAsiaTheme="minorHAnsi" w:cs="Arial"/>
                <w:sz w:val="20"/>
                <w:szCs w:val="20"/>
              </w:rPr>
            </w:pPr>
            <w:r>
              <w:rPr>
                <w:rFonts w:cs="Arial"/>
                <w:sz w:val="20"/>
                <w:szCs w:val="20"/>
              </w:rPr>
              <w:t>Traffic Management Advisor</w:t>
            </w:r>
          </w:p>
        </w:tc>
        <w:tc>
          <w:tcPr>
            <w:tcW w:w="572" w:type="pct"/>
            <w:shd w:val="clear" w:color="auto" w:fill="auto"/>
            <w:noWrap/>
            <w:tcMar>
              <w:top w:w="0" w:type="dxa"/>
              <w:left w:w="108" w:type="dxa"/>
              <w:bottom w:w="0" w:type="dxa"/>
              <w:right w:w="108" w:type="dxa"/>
            </w:tcMar>
            <w:vAlign w:val="center"/>
            <w:hideMark/>
          </w:tcPr>
          <w:p w14:paraId="6D9C79A2"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A3" w14:textId="7232BAA1"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A4" w14:textId="1F2EA488"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AB"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A6" w14:textId="77777777" w:rsidR="006C233B" w:rsidRDefault="006C233B" w:rsidP="001964D7">
            <w:pPr>
              <w:jc w:val="center"/>
              <w:rPr>
                <w:rFonts w:eastAsiaTheme="minorHAnsi" w:cs="Arial"/>
                <w:sz w:val="20"/>
                <w:szCs w:val="20"/>
              </w:rPr>
            </w:pPr>
            <w:r>
              <w:rPr>
                <w:rFonts w:cs="Arial"/>
                <w:sz w:val="20"/>
                <w:szCs w:val="20"/>
              </w:rPr>
              <w:t>A.19</w:t>
            </w:r>
          </w:p>
        </w:tc>
        <w:tc>
          <w:tcPr>
            <w:tcW w:w="2214" w:type="pct"/>
            <w:shd w:val="clear" w:color="auto" w:fill="auto"/>
            <w:noWrap/>
            <w:tcMar>
              <w:top w:w="0" w:type="dxa"/>
              <w:left w:w="108" w:type="dxa"/>
              <w:bottom w:w="0" w:type="dxa"/>
              <w:right w:w="108" w:type="dxa"/>
            </w:tcMar>
            <w:vAlign w:val="bottom"/>
            <w:hideMark/>
          </w:tcPr>
          <w:p w14:paraId="6D9C79A7" w14:textId="77777777" w:rsidR="006C233B" w:rsidRDefault="006C233B">
            <w:pPr>
              <w:rPr>
                <w:rFonts w:eastAsiaTheme="minorHAnsi" w:cs="Arial"/>
                <w:sz w:val="20"/>
                <w:szCs w:val="20"/>
              </w:rPr>
            </w:pPr>
            <w:r>
              <w:rPr>
                <w:rFonts w:cs="Arial"/>
                <w:sz w:val="20"/>
                <w:szCs w:val="20"/>
              </w:rPr>
              <w:t>Site Engineer (Site Supervision)</w:t>
            </w:r>
          </w:p>
        </w:tc>
        <w:tc>
          <w:tcPr>
            <w:tcW w:w="572" w:type="pct"/>
            <w:shd w:val="clear" w:color="auto" w:fill="auto"/>
            <w:noWrap/>
            <w:tcMar>
              <w:top w:w="0" w:type="dxa"/>
              <w:left w:w="108" w:type="dxa"/>
              <w:bottom w:w="0" w:type="dxa"/>
              <w:right w:w="108" w:type="dxa"/>
            </w:tcMar>
            <w:vAlign w:val="center"/>
            <w:hideMark/>
          </w:tcPr>
          <w:p w14:paraId="6D9C79A8"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A9" w14:textId="5B6AC5F4"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AA" w14:textId="2A390599"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B1"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AC" w14:textId="77777777" w:rsidR="006C233B" w:rsidRDefault="006C233B" w:rsidP="001964D7">
            <w:pPr>
              <w:jc w:val="center"/>
              <w:rPr>
                <w:rFonts w:eastAsiaTheme="minorHAnsi" w:cs="Arial"/>
                <w:sz w:val="20"/>
                <w:szCs w:val="20"/>
              </w:rPr>
            </w:pPr>
            <w:r>
              <w:rPr>
                <w:rFonts w:cs="Arial"/>
                <w:sz w:val="20"/>
                <w:szCs w:val="20"/>
              </w:rPr>
              <w:t>A.20</w:t>
            </w:r>
          </w:p>
        </w:tc>
        <w:tc>
          <w:tcPr>
            <w:tcW w:w="2214" w:type="pct"/>
            <w:shd w:val="clear" w:color="auto" w:fill="auto"/>
            <w:noWrap/>
            <w:tcMar>
              <w:top w:w="0" w:type="dxa"/>
              <w:left w:w="108" w:type="dxa"/>
              <w:bottom w:w="0" w:type="dxa"/>
              <w:right w:w="108" w:type="dxa"/>
            </w:tcMar>
            <w:vAlign w:val="bottom"/>
            <w:hideMark/>
          </w:tcPr>
          <w:p w14:paraId="6D9C79AD" w14:textId="77777777" w:rsidR="006C233B" w:rsidRDefault="006C233B">
            <w:pPr>
              <w:rPr>
                <w:rFonts w:eastAsiaTheme="minorHAnsi" w:cs="Arial"/>
                <w:sz w:val="20"/>
                <w:szCs w:val="20"/>
              </w:rPr>
            </w:pPr>
            <w:r>
              <w:rPr>
                <w:rFonts w:cs="Arial"/>
                <w:sz w:val="20"/>
                <w:szCs w:val="20"/>
              </w:rPr>
              <w:t>Installation Engineer (Mechanical)</w:t>
            </w:r>
          </w:p>
        </w:tc>
        <w:tc>
          <w:tcPr>
            <w:tcW w:w="572" w:type="pct"/>
            <w:shd w:val="clear" w:color="auto" w:fill="auto"/>
            <w:noWrap/>
            <w:tcMar>
              <w:top w:w="0" w:type="dxa"/>
              <w:left w:w="108" w:type="dxa"/>
              <w:bottom w:w="0" w:type="dxa"/>
              <w:right w:w="108" w:type="dxa"/>
            </w:tcMar>
            <w:vAlign w:val="center"/>
            <w:hideMark/>
          </w:tcPr>
          <w:p w14:paraId="6D9C79AE"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AF" w14:textId="68987DE5"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B0" w14:textId="3D22A6B0"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rsidRPr="006F5667" w14:paraId="6D9C79B7"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B2" w14:textId="77777777" w:rsidR="006C233B" w:rsidRDefault="006C233B" w:rsidP="001964D7">
            <w:pPr>
              <w:jc w:val="center"/>
              <w:rPr>
                <w:rFonts w:eastAsiaTheme="minorHAnsi" w:cs="Arial"/>
                <w:sz w:val="20"/>
                <w:szCs w:val="20"/>
              </w:rPr>
            </w:pPr>
            <w:r>
              <w:rPr>
                <w:rFonts w:cs="Arial"/>
                <w:sz w:val="20"/>
                <w:szCs w:val="20"/>
              </w:rPr>
              <w:t>A.21</w:t>
            </w:r>
          </w:p>
        </w:tc>
        <w:tc>
          <w:tcPr>
            <w:tcW w:w="2214" w:type="pct"/>
            <w:shd w:val="clear" w:color="auto" w:fill="auto"/>
            <w:noWrap/>
            <w:tcMar>
              <w:top w:w="0" w:type="dxa"/>
              <w:left w:w="108" w:type="dxa"/>
              <w:bottom w:w="0" w:type="dxa"/>
              <w:right w:w="108" w:type="dxa"/>
            </w:tcMar>
            <w:vAlign w:val="bottom"/>
            <w:hideMark/>
          </w:tcPr>
          <w:p w14:paraId="6D9C79B3" w14:textId="77777777" w:rsidR="006C233B" w:rsidRDefault="006C233B">
            <w:pPr>
              <w:rPr>
                <w:rFonts w:eastAsiaTheme="minorHAnsi" w:cs="Arial"/>
                <w:sz w:val="20"/>
                <w:szCs w:val="20"/>
              </w:rPr>
            </w:pPr>
            <w:r>
              <w:rPr>
                <w:rFonts w:cs="Arial"/>
                <w:sz w:val="20"/>
                <w:szCs w:val="20"/>
              </w:rPr>
              <w:t>Installation Engineer (Electrical/Electronic)</w:t>
            </w:r>
          </w:p>
        </w:tc>
        <w:tc>
          <w:tcPr>
            <w:tcW w:w="572" w:type="pct"/>
            <w:shd w:val="clear" w:color="auto" w:fill="auto"/>
            <w:noWrap/>
            <w:tcMar>
              <w:top w:w="0" w:type="dxa"/>
              <w:left w:w="108" w:type="dxa"/>
              <w:bottom w:w="0" w:type="dxa"/>
              <w:right w:w="108" w:type="dxa"/>
            </w:tcMar>
            <w:vAlign w:val="center"/>
            <w:hideMark/>
          </w:tcPr>
          <w:p w14:paraId="6D9C79B4"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B5" w14:textId="7561885F"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B6" w14:textId="39B9ADEE"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BD"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B8" w14:textId="77777777" w:rsidR="006C233B" w:rsidRDefault="006C233B" w:rsidP="001964D7">
            <w:pPr>
              <w:jc w:val="center"/>
              <w:rPr>
                <w:rFonts w:eastAsiaTheme="minorHAnsi" w:cs="Arial"/>
                <w:sz w:val="20"/>
                <w:szCs w:val="20"/>
              </w:rPr>
            </w:pPr>
            <w:r>
              <w:rPr>
                <w:rFonts w:cs="Arial"/>
                <w:sz w:val="20"/>
                <w:szCs w:val="20"/>
              </w:rPr>
              <w:t>A.22</w:t>
            </w:r>
          </w:p>
        </w:tc>
        <w:tc>
          <w:tcPr>
            <w:tcW w:w="2214" w:type="pct"/>
            <w:shd w:val="clear" w:color="auto" w:fill="auto"/>
            <w:noWrap/>
            <w:tcMar>
              <w:top w:w="0" w:type="dxa"/>
              <w:left w:w="108" w:type="dxa"/>
              <w:bottom w:w="0" w:type="dxa"/>
              <w:right w:w="108" w:type="dxa"/>
            </w:tcMar>
            <w:vAlign w:val="bottom"/>
            <w:hideMark/>
          </w:tcPr>
          <w:p w14:paraId="6D9C79B9" w14:textId="77777777" w:rsidR="006C233B" w:rsidRDefault="006C233B">
            <w:pPr>
              <w:rPr>
                <w:rFonts w:eastAsiaTheme="minorHAnsi" w:cs="Arial"/>
                <w:sz w:val="20"/>
                <w:szCs w:val="20"/>
              </w:rPr>
            </w:pPr>
            <w:r>
              <w:rPr>
                <w:rFonts w:cs="Arial"/>
                <w:sz w:val="20"/>
                <w:szCs w:val="20"/>
              </w:rPr>
              <w:t>Electrician (Testing/Certification)</w:t>
            </w:r>
          </w:p>
        </w:tc>
        <w:tc>
          <w:tcPr>
            <w:tcW w:w="572" w:type="pct"/>
            <w:shd w:val="clear" w:color="auto" w:fill="auto"/>
            <w:noWrap/>
            <w:tcMar>
              <w:top w:w="0" w:type="dxa"/>
              <w:left w:w="108" w:type="dxa"/>
              <w:bottom w:w="0" w:type="dxa"/>
              <w:right w:w="108" w:type="dxa"/>
            </w:tcMar>
            <w:vAlign w:val="center"/>
            <w:hideMark/>
          </w:tcPr>
          <w:p w14:paraId="6D9C79BA"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BB" w14:textId="2352623F"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BC" w14:textId="2A8FDC1C"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C3"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BE" w14:textId="77777777" w:rsidR="006C233B" w:rsidRDefault="006C233B" w:rsidP="001964D7">
            <w:pPr>
              <w:jc w:val="center"/>
              <w:rPr>
                <w:rFonts w:eastAsiaTheme="minorHAnsi" w:cs="Arial"/>
                <w:sz w:val="20"/>
                <w:szCs w:val="20"/>
              </w:rPr>
            </w:pPr>
            <w:r>
              <w:rPr>
                <w:rFonts w:cs="Arial"/>
                <w:sz w:val="20"/>
                <w:szCs w:val="20"/>
              </w:rPr>
              <w:t>A.23</w:t>
            </w:r>
          </w:p>
        </w:tc>
        <w:tc>
          <w:tcPr>
            <w:tcW w:w="2214" w:type="pct"/>
            <w:shd w:val="clear" w:color="auto" w:fill="auto"/>
            <w:noWrap/>
            <w:tcMar>
              <w:top w:w="0" w:type="dxa"/>
              <w:left w:w="108" w:type="dxa"/>
              <w:bottom w:w="0" w:type="dxa"/>
              <w:right w:w="108" w:type="dxa"/>
            </w:tcMar>
            <w:vAlign w:val="bottom"/>
            <w:hideMark/>
          </w:tcPr>
          <w:p w14:paraId="6D9C79BF" w14:textId="77777777" w:rsidR="006C233B" w:rsidRDefault="006C233B">
            <w:pPr>
              <w:rPr>
                <w:rFonts w:eastAsiaTheme="minorHAnsi" w:cs="Arial"/>
                <w:sz w:val="20"/>
                <w:szCs w:val="20"/>
              </w:rPr>
            </w:pPr>
            <w:r>
              <w:rPr>
                <w:rFonts w:cs="Arial"/>
                <w:sz w:val="20"/>
                <w:szCs w:val="20"/>
              </w:rPr>
              <w:t>Fibre-Optic Cable Splicer/Tester</w:t>
            </w:r>
          </w:p>
        </w:tc>
        <w:tc>
          <w:tcPr>
            <w:tcW w:w="572" w:type="pct"/>
            <w:shd w:val="clear" w:color="auto" w:fill="auto"/>
            <w:noWrap/>
            <w:tcMar>
              <w:top w:w="0" w:type="dxa"/>
              <w:left w:w="108" w:type="dxa"/>
              <w:bottom w:w="0" w:type="dxa"/>
              <w:right w:w="108" w:type="dxa"/>
            </w:tcMar>
            <w:vAlign w:val="center"/>
            <w:hideMark/>
          </w:tcPr>
          <w:p w14:paraId="6D9C79C0"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C1" w14:textId="6BFBF41D"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C2" w14:textId="3BD0E37D"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C9"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C4" w14:textId="77777777" w:rsidR="006C233B" w:rsidRDefault="006C233B" w:rsidP="001964D7">
            <w:pPr>
              <w:jc w:val="center"/>
              <w:rPr>
                <w:rFonts w:eastAsiaTheme="minorHAnsi" w:cs="Arial"/>
                <w:sz w:val="20"/>
                <w:szCs w:val="20"/>
              </w:rPr>
            </w:pPr>
            <w:r>
              <w:rPr>
                <w:rFonts w:cs="Arial"/>
                <w:sz w:val="20"/>
                <w:szCs w:val="20"/>
              </w:rPr>
              <w:t>A.24</w:t>
            </w:r>
          </w:p>
        </w:tc>
        <w:tc>
          <w:tcPr>
            <w:tcW w:w="2214" w:type="pct"/>
            <w:shd w:val="clear" w:color="auto" w:fill="auto"/>
            <w:noWrap/>
            <w:tcMar>
              <w:top w:w="0" w:type="dxa"/>
              <w:left w:w="108" w:type="dxa"/>
              <w:bottom w:w="0" w:type="dxa"/>
              <w:right w:w="108" w:type="dxa"/>
            </w:tcMar>
            <w:vAlign w:val="bottom"/>
            <w:hideMark/>
          </w:tcPr>
          <w:p w14:paraId="6D9C79C5" w14:textId="77777777" w:rsidR="006C233B" w:rsidRDefault="006C233B">
            <w:pPr>
              <w:rPr>
                <w:rFonts w:eastAsiaTheme="minorHAnsi" w:cs="Arial"/>
                <w:sz w:val="20"/>
                <w:szCs w:val="20"/>
              </w:rPr>
            </w:pPr>
            <w:r>
              <w:rPr>
                <w:rFonts w:cs="Arial"/>
                <w:sz w:val="20"/>
                <w:szCs w:val="20"/>
              </w:rPr>
              <w:t>Senior Maintenance Engineer</w:t>
            </w:r>
          </w:p>
        </w:tc>
        <w:tc>
          <w:tcPr>
            <w:tcW w:w="572" w:type="pct"/>
            <w:shd w:val="clear" w:color="auto" w:fill="auto"/>
            <w:noWrap/>
            <w:tcMar>
              <w:top w:w="0" w:type="dxa"/>
              <w:left w:w="108" w:type="dxa"/>
              <w:bottom w:w="0" w:type="dxa"/>
              <w:right w:w="108" w:type="dxa"/>
            </w:tcMar>
            <w:vAlign w:val="center"/>
            <w:hideMark/>
          </w:tcPr>
          <w:p w14:paraId="6D9C79C6"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C7" w14:textId="57B3FBEA"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C8" w14:textId="2ED4211E"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CF"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CA" w14:textId="77777777" w:rsidR="006C233B" w:rsidRDefault="006C233B" w:rsidP="001964D7">
            <w:pPr>
              <w:jc w:val="center"/>
              <w:rPr>
                <w:rFonts w:eastAsiaTheme="minorHAnsi" w:cs="Arial"/>
                <w:sz w:val="20"/>
                <w:szCs w:val="20"/>
              </w:rPr>
            </w:pPr>
            <w:r>
              <w:rPr>
                <w:rFonts w:cs="Arial"/>
                <w:sz w:val="20"/>
                <w:szCs w:val="20"/>
              </w:rPr>
              <w:t>A.25</w:t>
            </w:r>
          </w:p>
        </w:tc>
        <w:tc>
          <w:tcPr>
            <w:tcW w:w="2214" w:type="pct"/>
            <w:shd w:val="clear" w:color="auto" w:fill="auto"/>
            <w:noWrap/>
            <w:tcMar>
              <w:top w:w="0" w:type="dxa"/>
              <w:left w:w="108" w:type="dxa"/>
              <w:bottom w:w="0" w:type="dxa"/>
              <w:right w:w="108" w:type="dxa"/>
            </w:tcMar>
            <w:vAlign w:val="bottom"/>
            <w:hideMark/>
          </w:tcPr>
          <w:p w14:paraId="6D9C79CB" w14:textId="77777777" w:rsidR="006C233B" w:rsidRDefault="006C233B">
            <w:pPr>
              <w:rPr>
                <w:rFonts w:eastAsiaTheme="minorHAnsi" w:cs="Arial"/>
                <w:sz w:val="20"/>
                <w:szCs w:val="20"/>
              </w:rPr>
            </w:pPr>
            <w:r>
              <w:rPr>
                <w:rFonts w:cs="Arial"/>
                <w:sz w:val="20"/>
                <w:szCs w:val="20"/>
              </w:rPr>
              <w:t>Maintenance Engineer</w:t>
            </w:r>
          </w:p>
        </w:tc>
        <w:tc>
          <w:tcPr>
            <w:tcW w:w="572" w:type="pct"/>
            <w:shd w:val="clear" w:color="auto" w:fill="auto"/>
            <w:noWrap/>
            <w:tcMar>
              <w:top w:w="0" w:type="dxa"/>
              <w:left w:w="108" w:type="dxa"/>
              <w:bottom w:w="0" w:type="dxa"/>
              <w:right w:w="108" w:type="dxa"/>
            </w:tcMar>
            <w:vAlign w:val="center"/>
            <w:hideMark/>
          </w:tcPr>
          <w:p w14:paraId="6D9C79CC"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CD" w14:textId="1B073EF6"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CE" w14:textId="00072CA7" w:rsidR="006C233B" w:rsidRPr="006F5667" w:rsidRDefault="00DC3378" w:rsidP="001964D7">
            <w:pPr>
              <w:jc w:val="center"/>
              <w:rPr>
                <w:rFonts w:eastAsiaTheme="minorHAnsi" w:cs="Arial"/>
                <w:b/>
                <w:sz w:val="20"/>
                <w:szCs w:val="20"/>
              </w:rPr>
            </w:pPr>
            <w:r w:rsidRPr="006F5667">
              <w:rPr>
                <w:rFonts w:cs="Arial"/>
                <w:b/>
                <w:sz w:val="20"/>
                <w:szCs w:val="20"/>
              </w:rPr>
              <w:t>REDACTED</w:t>
            </w:r>
          </w:p>
        </w:tc>
      </w:tr>
      <w:tr w:rsidR="006F5667" w14:paraId="6D9C79D5" w14:textId="77777777" w:rsidTr="006F5667">
        <w:trPr>
          <w:trHeight w:val="255"/>
        </w:trPr>
        <w:tc>
          <w:tcPr>
            <w:tcW w:w="429" w:type="pct"/>
            <w:shd w:val="clear" w:color="auto" w:fill="auto"/>
            <w:noWrap/>
            <w:tcMar>
              <w:top w:w="0" w:type="dxa"/>
              <w:left w:w="108" w:type="dxa"/>
              <w:bottom w:w="0" w:type="dxa"/>
              <w:right w:w="108" w:type="dxa"/>
            </w:tcMar>
            <w:vAlign w:val="center"/>
            <w:hideMark/>
          </w:tcPr>
          <w:p w14:paraId="6D9C79D0" w14:textId="77777777" w:rsidR="006C233B" w:rsidRDefault="006C233B" w:rsidP="001964D7">
            <w:pPr>
              <w:jc w:val="center"/>
              <w:rPr>
                <w:rFonts w:eastAsiaTheme="minorHAnsi" w:cs="Arial"/>
                <w:sz w:val="20"/>
                <w:szCs w:val="20"/>
              </w:rPr>
            </w:pPr>
            <w:r>
              <w:rPr>
                <w:rFonts w:cs="Arial"/>
                <w:sz w:val="20"/>
                <w:szCs w:val="20"/>
              </w:rPr>
              <w:t>A.26</w:t>
            </w:r>
          </w:p>
        </w:tc>
        <w:tc>
          <w:tcPr>
            <w:tcW w:w="2214" w:type="pct"/>
            <w:shd w:val="clear" w:color="auto" w:fill="auto"/>
            <w:noWrap/>
            <w:tcMar>
              <w:top w:w="0" w:type="dxa"/>
              <w:left w:w="108" w:type="dxa"/>
              <w:bottom w:w="0" w:type="dxa"/>
              <w:right w:w="108" w:type="dxa"/>
            </w:tcMar>
            <w:vAlign w:val="bottom"/>
            <w:hideMark/>
          </w:tcPr>
          <w:p w14:paraId="6D9C79D1" w14:textId="77777777" w:rsidR="006C233B" w:rsidRDefault="006C233B">
            <w:pPr>
              <w:rPr>
                <w:rFonts w:eastAsiaTheme="minorHAnsi" w:cs="Arial"/>
                <w:sz w:val="20"/>
                <w:szCs w:val="20"/>
              </w:rPr>
            </w:pPr>
            <w:r>
              <w:rPr>
                <w:rFonts w:cs="Arial"/>
                <w:sz w:val="20"/>
                <w:szCs w:val="20"/>
              </w:rPr>
              <w:t>Maintenance Technician</w:t>
            </w:r>
          </w:p>
        </w:tc>
        <w:tc>
          <w:tcPr>
            <w:tcW w:w="572" w:type="pct"/>
            <w:shd w:val="clear" w:color="auto" w:fill="auto"/>
            <w:noWrap/>
            <w:tcMar>
              <w:top w:w="0" w:type="dxa"/>
              <w:left w:w="108" w:type="dxa"/>
              <w:bottom w:w="0" w:type="dxa"/>
              <w:right w:w="108" w:type="dxa"/>
            </w:tcMar>
            <w:vAlign w:val="center"/>
            <w:hideMark/>
          </w:tcPr>
          <w:p w14:paraId="6D9C79D2" w14:textId="77777777" w:rsidR="006C233B" w:rsidRDefault="006C233B" w:rsidP="001964D7">
            <w:pPr>
              <w:jc w:val="center"/>
              <w:rPr>
                <w:rFonts w:eastAsiaTheme="minorHAnsi" w:cs="Arial"/>
                <w:sz w:val="20"/>
                <w:szCs w:val="20"/>
              </w:rPr>
            </w:pPr>
            <w:r>
              <w:rPr>
                <w:rFonts w:cs="Arial"/>
                <w:sz w:val="20"/>
                <w:szCs w:val="20"/>
              </w:rPr>
              <w:t>Hour</w:t>
            </w:r>
          </w:p>
        </w:tc>
        <w:tc>
          <w:tcPr>
            <w:tcW w:w="857" w:type="pct"/>
            <w:shd w:val="clear" w:color="auto" w:fill="auto"/>
            <w:noWrap/>
            <w:tcMar>
              <w:top w:w="0" w:type="dxa"/>
              <w:left w:w="108" w:type="dxa"/>
              <w:bottom w:w="0" w:type="dxa"/>
              <w:right w:w="108" w:type="dxa"/>
            </w:tcMar>
            <w:vAlign w:val="center"/>
            <w:hideMark/>
          </w:tcPr>
          <w:p w14:paraId="6D9C79D3" w14:textId="2E48A882" w:rsidR="006C233B" w:rsidRPr="006F5667" w:rsidRDefault="00DC3378" w:rsidP="001964D7">
            <w:pPr>
              <w:jc w:val="center"/>
              <w:rPr>
                <w:rFonts w:eastAsiaTheme="minorHAnsi" w:cs="Arial"/>
                <w:b/>
                <w:sz w:val="20"/>
                <w:szCs w:val="20"/>
              </w:rPr>
            </w:pPr>
            <w:r w:rsidRPr="006F5667">
              <w:rPr>
                <w:rFonts w:cs="Arial"/>
                <w:b/>
                <w:sz w:val="20"/>
                <w:szCs w:val="20"/>
              </w:rPr>
              <w:t>REDACTED</w:t>
            </w:r>
          </w:p>
        </w:tc>
        <w:tc>
          <w:tcPr>
            <w:tcW w:w="928" w:type="pct"/>
            <w:shd w:val="clear" w:color="auto" w:fill="auto"/>
            <w:noWrap/>
            <w:tcMar>
              <w:top w:w="0" w:type="dxa"/>
              <w:left w:w="108" w:type="dxa"/>
              <w:bottom w:w="0" w:type="dxa"/>
              <w:right w:w="108" w:type="dxa"/>
            </w:tcMar>
            <w:vAlign w:val="center"/>
            <w:hideMark/>
          </w:tcPr>
          <w:p w14:paraId="6D9C79D4" w14:textId="347552A7" w:rsidR="006C233B" w:rsidRPr="006F5667" w:rsidRDefault="00DC3378" w:rsidP="001964D7">
            <w:pPr>
              <w:jc w:val="center"/>
              <w:rPr>
                <w:rFonts w:eastAsiaTheme="minorHAnsi" w:cs="Arial"/>
                <w:b/>
                <w:sz w:val="20"/>
                <w:szCs w:val="20"/>
              </w:rPr>
            </w:pPr>
            <w:r w:rsidRPr="006F5667">
              <w:rPr>
                <w:rFonts w:cs="Arial"/>
                <w:b/>
                <w:sz w:val="20"/>
                <w:szCs w:val="20"/>
              </w:rPr>
              <w:t>REDACTED</w:t>
            </w:r>
          </w:p>
        </w:tc>
      </w:tr>
    </w:tbl>
    <w:p w14:paraId="6D9C79D6" w14:textId="77777777" w:rsidR="006C233B" w:rsidRDefault="006C233B" w:rsidP="00F20412">
      <w:pPr>
        <w:pStyle w:val="ssPara1"/>
        <w:rPr>
          <w:b/>
          <w:i/>
        </w:rPr>
      </w:pPr>
    </w:p>
    <w:p w14:paraId="6D9C79D7" w14:textId="77777777" w:rsidR="006C233B" w:rsidRDefault="006C233B">
      <w:pPr>
        <w:jc w:val="left"/>
        <w:rPr>
          <w:b/>
          <w:i/>
        </w:rPr>
      </w:pPr>
      <w:r>
        <w:rPr>
          <w:b/>
          <w:i/>
        </w:rPr>
        <w:br w:type="page"/>
      </w:r>
    </w:p>
    <w:p w14:paraId="6D9C79D8" w14:textId="77777777" w:rsidR="006C233B" w:rsidRDefault="0035109B" w:rsidP="00F20412">
      <w:pPr>
        <w:pStyle w:val="ssPara1"/>
        <w:rPr>
          <w:rFonts w:cs="Arial"/>
          <w:b/>
          <w:bCs/>
          <w:color w:val="000000"/>
          <w:sz w:val="24"/>
          <w:szCs w:val="24"/>
        </w:rPr>
      </w:pPr>
      <w:r>
        <w:rPr>
          <w:rFonts w:cs="Arial"/>
          <w:b/>
          <w:bCs/>
          <w:color w:val="000000"/>
          <w:sz w:val="24"/>
          <w:szCs w:val="24"/>
        </w:rPr>
        <w:lastRenderedPageBreak/>
        <w:t>Services Rates</w:t>
      </w:r>
    </w:p>
    <w:p w14:paraId="6D9C79D9" w14:textId="77777777" w:rsidR="00061416" w:rsidRDefault="00061416" w:rsidP="00061416">
      <w:pPr>
        <w:pStyle w:val="ssPara1"/>
        <w:rPr>
          <w:rFonts w:cs="Arial"/>
          <w:sz w:val="20"/>
        </w:rPr>
      </w:pPr>
      <w:r w:rsidRPr="00B80D2B">
        <w:rPr>
          <w:rFonts w:cs="Arial"/>
          <w:sz w:val="20"/>
        </w:rPr>
        <w:t xml:space="preserve">To cover extra-ordinary requirements only. </w:t>
      </w:r>
    </w:p>
    <w:p w14:paraId="6D9C79DA" w14:textId="77777777" w:rsidR="00061416" w:rsidRDefault="00061416" w:rsidP="00061416">
      <w:pPr>
        <w:pStyle w:val="ssPara1"/>
        <w:rPr>
          <w:b/>
          <w:i/>
        </w:rPr>
      </w:pPr>
      <w:r w:rsidRPr="00B80D2B">
        <w:rPr>
          <w:rFonts w:cs="Arial"/>
          <w:sz w:val="20"/>
        </w:rPr>
        <w:t xml:space="preserve">Units needed for routine </w:t>
      </w:r>
      <w:r>
        <w:rPr>
          <w:rFonts w:cs="Arial"/>
          <w:sz w:val="20"/>
        </w:rPr>
        <w:t>Preventative</w:t>
      </w:r>
      <w:r w:rsidRPr="00B80D2B">
        <w:rPr>
          <w:rFonts w:cs="Arial"/>
          <w:sz w:val="20"/>
        </w:rPr>
        <w:t xml:space="preserve"> Maintenance should be covered in the Equipment Maintenance Rates</w:t>
      </w:r>
    </w:p>
    <w:tbl>
      <w:tblPr>
        <w:tblW w:w="89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
        <w:gridCol w:w="4461"/>
        <w:gridCol w:w="1087"/>
        <w:gridCol w:w="1328"/>
        <w:gridCol w:w="1328"/>
      </w:tblGrid>
      <w:tr w:rsidR="00CC08AA" w14:paraId="6D9C79DF" w14:textId="77777777" w:rsidTr="001964D7">
        <w:trPr>
          <w:trHeight w:val="366"/>
        </w:trPr>
        <w:tc>
          <w:tcPr>
            <w:tcW w:w="716" w:type="dxa"/>
            <w:vMerge w:val="restart"/>
            <w:shd w:val="clear" w:color="auto" w:fill="auto"/>
            <w:tcMar>
              <w:top w:w="0" w:type="dxa"/>
              <w:left w:w="108" w:type="dxa"/>
              <w:bottom w:w="0" w:type="dxa"/>
              <w:right w:w="108" w:type="dxa"/>
            </w:tcMar>
            <w:vAlign w:val="center"/>
            <w:hideMark/>
          </w:tcPr>
          <w:p w14:paraId="6D9C79DB" w14:textId="77777777" w:rsidR="00CC08AA" w:rsidRDefault="00CC08AA" w:rsidP="001964D7">
            <w:pPr>
              <w:jc w:val="center"/>
              <w:rPr>
                <w:rFonts w:eastAsiaTheme="minorHAnsi" w:cs="Arial"/>
                <w:b/>
                <w:bCs/>
                <w:sz w:val="20"/>
                <w:szCs w:val="20"/>
              </w:rPr>
            </w:pPr>
            <w:r>
              <w:rPr>
                <w:rFonts w:cs="Arial"/>
                <w:b/>
                <w:bCs/>
                <w:sz w:val="20"/>
                <w:szCs w:val="20"/>
              </w:rPr>
              <w:t>Code</w:t>
            </w:r>
          </w:p>
        </w:tc>
        <w:tc>
          <w:tcPr>
            <w:tcW w:w="4820" w:type="dxa"/>
            <w:vMerge w:val="restart"/>
            <w:shd w:val="clear" w:color="auto" w:fill="auto"/>
            <w:tcMar>
              <w:top w:w="0" w:type="dxa"/>
              <w:left w:w="108" w:type="dxa"/>
              <w:bottom w:w="0" w:type="dxa"/>
              <w:right w:w="108" w:type="dxa"/>
            </w:tcMar>
            <w:vAlign w:val="center"/>
            <w:hideMark/>
          </w:tcPr>
          <w:p w14:paraId="6D9C79DC" w14:textId="77777777" w:rsidR="00CC08AA" w:rsidRDefault="00CC08AA" w:rsidP="001964D7">
            <w:pPr>
              <w:jc w:val="center"/>
              <w:rPr>
                <w:rFonts w:eastAsiaTheme="minorHAnsi" w:cs="Arial"/>
                <w:b/>
                <w:bCs/>
                <w:sz w:val="20"/>
                <w:szCs w:val="20"/>
              </w:rPr>
            </w:pPr>
            <w:r>
              <w:rPr>
                <w:rFonts w:cs="Arial"/>
                <w:b/>
                <w:bCs/>
                <w:sz w:val="20"/>
                <w:szCs w:val="20"/>
              </w:rPr>
              <w:t>Description</w:t>
            </w:r>
          </w:p>
        </w:tc>
        <w:tc>
          <w:tcPr>
            <w:tcW w:w="1093" w:type="dxa"/>
            <w:vMerge w:val="restart"/>
            <w:shd w:val="clear" w:color="auto" w:fill="auto"/>
            <w:tcMar>
              <w:top w:w="0" w:type="dxa"/>
              <w:left w:w="108" w:type="dxa"/>
              <w:bottom w:w="0" w:type="dxa"/>
              <w:right w:w="108" w:type="dxa"/>
            </w:tcMar>
            <w:vAlign w:val="center"/>
            <w:hideMark/>
          </w:tcPr>
          <w:p w14:paraId="6D9C79DD" w14:textId="77777777" w:rsidR="00CC08AA" w:rsidRDefault="00CC08AA" w:rsidP="001964D7">
            <w:pPr>
              <w:jc w:val="center"/>
              <w:rPr>
                <w:rFonts w:eastAsiaTheme="minorHAnsi" w:cs="Arial"/>
                <w:b/>
                <w:bCs/>
                <w:sz w:val="20"/>
                <w:szCs w:val="20"/>
              </w:rPr>
            </w:pPr>
            <w:r>
              <w:rPr>
                <w:rFonts w:cs="Arial"/>
                <w:b/>
                <w:bCs/>
                <w:sz w:val="20"/>
                <w:szCs w:val="20"/>
              </w:rPr>
              <w:t>Duration</w:t>
            </w:r>
          </w:p>
        </w:tc>
        <w:tc>
          <w:tcPr>
            <w:tcW w:w="2291" w:type="dxa"/>
            <w:gridSpan w:val="2"/>
            <w:shd w:val="clear" w:color="auto" w:fill="auto"/>
            <w:tcMar>
              <w:top w:w="0" w:type="dxa"/>
              <w:left w:w="108" w:type="dxa"/>
              <w:bottom w:w="0" w:type="dxa"/>
              <w:right w:w="108" w:type="dxa"/>
            </w:tcMar>
            <w:vAlign w:val="center"/>
            <w:hideMark/>
          </w:tcPr>
          <w:p w14:paraId="6D9C79DE" w14:textId="77777777" w:rsidR="00CC08AA" w:rsidRDefault="00CC08AA" w:rsidP="001964D7">
            <w:pPr>
              <w:jc w:val="center"/>
              <w:rPr>
                <w:rFonts w:eastAsiaTheme="minorHAnsi" w:cs="Arial"/>
                <w:b/>
                <w:bCs/>
                <w:sz w:val="20"/>
                <w:szCs w:val="20"/>
              </w:rPr>
            </w:pPr>
            <w:r>
              <w:rPr>
                <w:rFonts w:cs="Arial"/>
                <w:b/>
                <w:bCs/>
                <w:sz w:val="20"/>
                <w:szCs w:val="20"/>
              </w:rPr>
              <w:t>Rate of Pay</w:t>
            </w:r>
          </w:p>
        </w:tc>
      </w:tr>
      <w:tr w:rsidR="00CC08AA" w14:paraId="6D9C79E5" w14:textId="77777777" w:rsidTr="001964D7">
        <w:trPr>
          <w:trHeight w:val="365"/>
        </w:trPr>
        <w:tc>
          <w:tcPr>
            <w:tcW w:w="716" w:type="dxa"/>
            <w:vMerge/>
            <w:shd w:val="clear" w:color="auto" w:fill="auto"/>
            <w:tcMar>
              <w:top w:w="0" w:type="dxa"/>
              <w:left w:w="108" w:type="dxa"/>
              <w:bottom w:w="0" w:type="dxa"/>
              <w:right w:w="108" w:type="dxa"/>
            </w:tcMar>
            <w:vAlign w:val="center"/>
            <w:hideMark/>
          </w:tcPr>
          <w:p w14:paraId="6D9C79E0" w14:textId="77777777" w:rsidR="00CC08AA" w:rsidRDefault="00CC08AA" w:rsidP="001964D7">
            <w:pPr>
              <w:jc w:val="center"/>
              <w:rPr>
                <w:rFonts w:cs="Arial"/>
                <w:b/>
                <w:bCs/>
                <w:sz w:val="20"/>
                <w:szCs w:val="20"/>
              </w:rPr>
            </w:pPr>
          </w:p>
        </w:tc>
        <w:tc>
          <w:tcPr>
            <w:tcW w:w="4820" w:type="dxa"/>
            <w:vMerge/>
            <w:shd w:val="clear" w:color="auto" w:fill="auto"/>
            <w:tcMar>
              <w:top w:w="0" w:type="dxa"/>
              <w:left w:w="108" w:type="dxa"/>
              <w:bottom w:w="0" w:type="dxa"/>
              <w:right w:w="108" w:type="dxa"/>
            </w:tcMar>
            <w:vAlign w:val="center"/>
            <w:hideMark/>
          </w:tcPr>
          <w:p w14:paraId="6D9C79E1" w14:textId="77777777" w:rsidR="00CC08AA" w:rsidRDefault="00CC08AA" w:rsidP="001964D7">
            <w:pPr>
              <w:jc w:val="center"/>
              <w:rPr>
                <w:rFonts w:cs="Arial"/>
                <w:b/>
                <w:bCs/>
                <w:sz w:val="20"/>
                <w:szCs w:val="20"/>
              </w:rPr>
            </w:pPr>
          </w:p>
        </w:tc>
        <w:tc>
          <w:tcPr>
            <w:tcW w:w="1093" w:type="dxa"/>
            <w:vMerge/>
            <w:shd w:val="clear" w:color="auto" w:fill="auto"/>
            <w:tcMar>
              <w:top w:w="0" w:type="dxa"/>
              <w:left w:w="108" w:type="dxa"/>
              <w:bottom w:w="0" w:type="dxa"/>
              <w:right w:w="108" w:type="dxa"/>
            </w:tcMar>
            <w:vAlign w:val="center"/>
            <w:hideMark/>
          </w:tcPr>
          <w:p w14:paraId="6D9C79E2" w14:textId="77777777" w:rsidR="00CC08AA" w:rsidRDefault="00CC08AA" w:rsidP="001964D7">
            <w:pPr>
              <w:jc w:val="center"/>
              <w:rPr>
                <w:rFonts w:cs="Arial"/>
                <w:b/>
                <w:bCs/>
                <w:sz w:val="20"/>
                <w:szCs w:val="20"/>
              </w:rPr>
            </w:pPr>
          </w:p>
        </w:tc>
        <w:tc>
          <w:tcPr>
            <w:tcW w:w="1016" w:type="dxa"/>
            <w:shd w:val="clear" w:color="auto" w:fill="auto"/>
            <w:tcMar>
              <w:top w:w="0" w:type="dxa"/>
              <w:left w:w="108" w:type="dxa"/>
              <w:bottom w:w="0" w:type="dxa"/>
              <w:right w:w="108" w:type="dxa"/>
            </w:tcMar>
            <w:vAlign w:val="center"/>
            <w:hideMark/>
          </w:tcPr>
          <w:p w14:paraId="6D9C79E3" w14:textId="77777777" w:rsidR="00CC08AA" w:rsidRDefault="00CC08AA" w:rsidP="001964D7">
            <w:pPr>
              <w:jc w:val="center"/>
              <w:rPr>
                <w:rFonts w:cs="Arial"/>
                <w:b/>
                <w:bCs/>
                <w:sz w:val="20"/>
                <w:szCs w:val="20"/>
              </w:rPr>
            </w:pPr>
            <w:r>
              <w:rPr>
                <w:rFonts w:cs="Arial"/>
                <w:b/>
                <w:bCs/>
                <w:sz w:val="20"/>
                <w:szCs w:val="20"/>
              </w:rPr>
              <w:t>In Normal Working Hours</w:t>
            </w:r>
          </w:p>
        </w:tc>
        <w:tc>
          <w:tcPr>
            <w:tcW w:w="1275" w:type="dxa"/>
            <w:shd w:val="clear" w:color="auto" w:fill="auto"/>
            <w:vAlign w:val="center"/>
          </w:tcPr>
          <w:p w14:paraId="6D9C79E4" w14:textId="77777777" w:rsidR="00CC08AA" w:rsidRDefault="00CC08AA" w:rsidP="001964D7">
            <w:pPr>
              <w:jc w:val="center"/>
              <w:rPr>
                <w:rFonts w:cs="Arial"/>
                <w:b/>
                <w:bCs/>
                <w:sz w:val="20"/>
                <w:szCs w:val="20"/>
              </w:rPr>
            </w:pPr>
            <w:r>
              <w:rPr>
                <w:rFonts w:cs="Arial"/>
                <w:b/>
                <w:bCs/>
                <w:sz w:val="20"/>
                <w:szCs w:val="20"/>
              </w:rPr>
              <w:t>Outside Normal Working Hours</w:t>
            </w:r>
          </w:p>
        </w:tc>
      </w:tr>
      <w:tr w:rsidR="00115A12" w14:paraId="6D9C79EB" w14:textId="77777777" w:rsidTr="001964D7">
        <w:trPr>
          <w:trHeight w:val="510"/>
        </w:trPr>
        <w:tc>
          <w:tcPr>
            <w:tcW w:w="716" w:type="dxa"/>
            <w:shd w:val="clear" w:color="auto" w:fill="auto"/>
            <w:noWrap/>
            <w:tcMar>
              <w:top w:w="0" w:type="dxa"/>
              <w:left w:w="108" w:type="dxa"/>
              <w:bottom w:w="0" w:type="dxa"/>
              <w:right w:w="108" w:type="dxa"/>
            </w:tcMar>
            <w:vAlign w:val="center"/>
            <w:hideMark/>
          </w:tcPr>
          <w:p w14:paraId="6D9C79E6" w14:textId="77777777" w:rsidR="0035109B" w:rsidRDefault="0035109B" w:rsidP="001964D7">
            <w:pPr>
              <w:jc w:val="center"/>
              <w:rPr>
                <w:rFonts w:eastAsiaTheme="minorHAnsi" w:cs="Arial"/>
                <w:sz w:val="20"/>
                <w:szCs w:val="20"/>
              </w:rPr>
            </w:pPr>
            <w:r>
              <w:rPr>
                <w:rFonts w:cs="Arial"/>
                <w:sz w:val="20"/>
                <w:szCs w:val="20"/>
              </w:rPr>
              <w:t>B.1</w:t>
            </w:r>
          </w:p>
        </w:tc>
        <w:tc>
          <w:tcPr>
            <w:tcW w:w="4820" w:type="dxa"/>
            <w:shd w:val="clear" w:color="auto" w:fill="auto"/>
            <w:tcMar>
              <w:top w:w="0" w:type="dxa"/>
              <w:left w:w="108" w:type="dxa"/>
              <w:bottom w:w="0" w:type="dxa"/>
              <w:right w:w="108" w:type="dxa"/>
            </w:tcMar>
            <w:hideMark/>
          </w:tcPr>
          <w:p w14:paraId="6D9C79E7" w14:textId="77777777" w:rsidR="0035109B" w:rsidRDefault="0035109B" w:rsidP="0035109B">
            <w:pPr>
              <w:jc w:val="left"/>
              <w:rPr>
                <w:rFonts w:eastAsiaTheme="minorHAnsi" w:cs="Arial"/>
                <w:sz w:val="20"/>
                <w:szCs w:val="20"/>
              </w:rPr>
            </w:pPr>
            <w:r>
              <w:rPr>
                <w:rFonts w:cs="Arial"/>
                <w:sz w:val="20"/>
                <w:szCs w:val="20"/>
              </w:rPr>
              <w:t>Provision of elevated work platform, “cherry picker” or other similar access equipment with driver/operator. Per Half Day</w:t>
            </w:r>
          </w:p>
        </w:tc>
        <w:tc>
          <w:tcPr>
            <w:tcW w:w="1093" w:type="dxa"/>
            <w:shd w:val="clear" w:color="auto" w:fill="auto"/>
            <w:tcMar>
              <w:top w:w="0" w:type="dxa"/>
              <w:left w:w="108" w:type="dxa"/>
              <w:bottom w:w="0" w:type="dxa"/>
              <w:right w:w="108" w:type="dxa"/>
            </w:tcMar>
            <w:vAlign w:val="center"/>
            <w:hideMark/>
          </w:tcPr>
          <w:p w14:paraId="6D9C79E8" w14:textId="77777777" w:rsidR="0035109B" w:rsidRDefault="0035109B" w:rsidP="001964D7">
            <w:pPr>
              <w:jc w:val="center"/>
              <w:rPr>
                <w:rFonts w:eastAsiaTheme="minorHAnsi" w:cs="Arial"/>
                <w:sz w:val="20"/>
                <w:szCs w:val="20"/>
              </w:rPr>
            </w:pPr>
            <w:r>
              <w:rPr>
                <w:rFonts w:cs="Arial"/>
                <w:sz w:val="20"/>
                <w:szCs w:val="20"/>
              </w:rPr>
              <w:t>Half Day</w:t>
            </w:r>
          </w:p>
        </w:tc>
        <w:tc>
          <w:tcPr>
            <w:tcW w:w="1016" w:type="dxa"/>
            <w:shd w:val="clear" w:color="auto" w:fill="auto"/>
            <w:noWrap/>
            <w:tcMar>
              <w:top w:w="0" w:type="dxa"/>
              <w:left w:w="108" w:type="dxa"/>
              <w:bottom w:w="0" w:type="dxa"/>
              <w:right w:w="108" w:type="dxa"/>
            </w:tcMar>
            <w:vAlign w:val="center"/>
            <w:hideMark/>
          </w:tcPr>
          <w:p w14:paraId="6D9C79E9" w14:textId="13F0A677"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9EA" w14:textId="122ED5E3"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9F1" w14:textId="77777777" w:rsidTr="001964D7">
        <w:trPr>
          <w:trHeight w:val="510"/>
        </w:trPr>
        <w:tc>
          <w:tcPr>
            <w:tcW w:w="716" w:type="dxa"/>
            <w:shd w:val="clear" w:color="auto" w:fill="auto"/>
            <w:noWrap/>
            <w:tcMar>
              <w:top w:w="0" w:type="dxa"/>
              <w:left w:w="108" w:type="dxa"/>
              <w:bottom w:w="0" w:type="dxa"/>
              <w:right w:w="108" w:type="dxa"/>
            </w:tcMar>
            <w:vAlign w:val="center"/>
            <w:hideMark/>
          </w:tcPr>
          <w:p w14:paraId="6D9C79EC" w14:textId="77777777" w:rsidR="0035109B" w:rsidRDefault="0035109B" w:rsidP="001964D7">
            <w:pPr>
              <w:jc w:val="center"/>
              <w:rPr>
                <w:rFonts w:eastAsiaTheme="minorHAnsi" w:cs="Arial"/>
                <w:sz w:val="20"/>
                <w:szCs w:val="20"/>
              </w:rPr>
            </w:pPr>
            <w:r>
              <w:rPr>
                <w:rFonts w:cs="Arial"/>
                <w:sz w:val="20"/>
                <w:szCs w:val="20"/>
              </w:rPr>
              <w:t>B.2</w:t>
            </w:r>
          </w:p>
        </w:tc>
        <w:tc>
          <w:tcPr>
            <w:tcW w:w="4820" w:type="dxa"/>
            <w:shd w:val="clear" w:color="auto" w:fill="auto"/>
            <w:tcMar>
              <w:top w:w="0" w:type="dxa"/>
              <w:left w:w="108" w:type="dxa"/>
              <w:bottom w:w="0" w:type="dxa"/>
              <w:right w:w="108" w:type="dxa"/>
            </w:tcMar>
            <w:hideMark/>
          </w:tcPr>
          <w:p w14:paraId="6D9C79ED" w14:textId="77777777" w:rsidR="0035109B" w:rsidRDefault="0035109B" w:rsidP="0035109B">
            <w:pPr>
              <w:jc w:val="left"/>
              <w:rPr>
                <w:rFonts w:eastAsiaTheme="minorHAnsi" w:cs="Arial"/>
                <w:sz w:val="20"/>
                <w:szCs w:val="20"/>
              </w:rPr>
            </w:pPr>
            <w:r>
              <w:rPr>
                <w:rFonts w:cs="Arial"/>
                <w:sz w:val="20"/>
                <w:szCs w:val="20"/>
              </w:rPr>
              <w:t>Provision of elevated work platform, “cherry picker” or other similar access equipment with driver/operator. Per Full Day</w:t>
            </w:r>
          </w:p>
        </w:tc>
        <w:tc>
          <w:tcPr>
            <w:tcW w:w="1093" w:type="dxa"/>
            <w:shd w:val="clear" w:color="auto" w:fill="auto"/>
            <w:tcMar>
              <w:top w:w="0" w:type="dxa"/>
              <w:left w:w="108" w:type="dxa"/>
              <w:bottom w:w="0" w:type="dxa"/>
              <w:right w:w="108" w:type="dxa"/>
            </w:tcMar>
            <w:vAlign w:val="center"/>
            <w:hideMark/>
          </w:tcPr>
          <w:p w14:paraId="6D9C79EE" w14:textId="77777777" w:rsidR="0035109B" w:rsidRDefault="0035109B" w:rsidP="001964D7">
            <w:pPr>
              <w:jc w:val="center"/>
              <w:rPr>
                <w:rFonts w:eastAsiaTheme="minorHAnsi" w:cs="Arial"/>
                <w:sz w:val="20"/>
                <w:szCs w:val="20"/>
              </w:rPr>
            </w:pPr>
            <w:r>
              <w:rPr>
                <w:rFonts w:cs="Arial"/>
                <w:sz w:val="20"/>
                <w:szCs w:val="20"/>
              </w:rPr>
              <w:t>Full Day</w:t>
            </w:r>
          </w:p>
        </w:tc>
        <w:tc>
          <w:tcPr>
            <w:tcW w:w="1016" w:type="dxa"/>
            <w:shd w:val="clear" w:color="auto" w:fill="auto"/>
            <w:noWrap/>
            <w:tcMar>
              <w:top w:w="0" w:type="dxa"/>
              <w:left w:w="108" w:type="dxa"/>
              <w:bottom w:w="0" w:type="dxa"/>
              <w:right w:w="108" w:type="dxa"/>
            </w:tcMar>
            <w:vAlign w:val="center"/>
            <w:hideMark/>
          </w:tcPr>
          <w:p w14:paraId="6D9C79EF" w14:textId="29D010DA"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9F0" w14:textId="2E233531"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9F7" w14:textId="77777777" w:rsidTr="001964D7">
        <w:trPr>
          <w:trHeight w:val="255"/>
        </w:trPr>
        <w:tc>
          <w:tcPr>
            <w:tcW w:w="716" w:type="dxa"/>
            <w:shd w:val="clear" w:color="auto" w:fill="auto"/>
            <w:noWrap/>
            <w:tcMar>
              <w:top w:w="0" w:type="dxa"/>
              <w:left w:w="108" w:type="dxa"/>
              <w:bottom w:w="0" w:type="dxa"/>
              <w:right w:w="108" w:type="dxa"/>
            </w:tcMar>
            <w:vAlign w:val="center"/>
            <w:hideMark/>
          </w:tcPr>
          <w:p w14:paraId="6D9C79F2" w14:textId="77777777" w:rsidR="0035109B" w:rsidRDefault="0035109B" w:rsidP="001964D7">
            <w:pPr>
              <w:jc w:val="center"/>
              <w:rPr>
                <w:rFonts w:eastAsiaTheme="minorHAnsi" w:cs="Arial"/>
                <w:sz w:val="20"/>
                <w:szCs w:val="20"/>
              </w:rPr>
            </w:pPr>
            <w:r>
              <w:rPr>
                <w:rFonts w:cs="Arial"/>
                <w:sz w:val="20"/>
                <w:szCs w:val="20"/>
              </w:rPr>
              <w:t>B.3</w:t>
            </w:r>
          </w:p>
        </w:tc>
        <w:tc>
          <w:tcPr>
            <w:tcW w:w="4820" w:type="dxa"/>
            <w:shd w:val="clear" w:color="auto" w:fill="auto"/>
            <w:tcMar>
              <w:top w:w="0" w:type="dxa"/>
              <w:left w:w="108" w:type="dxa"/>
              <w:bottom w:w="0" w:type="dxa"/>
              <w:right w:w="108" w:type="dxa"/>
            </w:tcMar>
            <w:hideMark/>
          </w:tcPr>
          <w:p w14:paraId="6D9C79F3" w14:textId="77777777" w:rsidR="0035109B" w:rsidRDefault="0035109B" w:rsidP="0035109B">
            <w:pPr>
              <w:jc w:val="left"/>
              <w:rPr>
                <w:rFonts w:eastAsiaTheme="minorHAnsi" w:cs="Arial"/>
                <w:sz w:val="20"/>
                <w:szCs w:val="20"/>
              </w:rPr>
            </w:pPr>
            <w:r>
              <w:rPr>
                <w:rFonts w:cs="Arial"/>
                <w:sz w:val="20"/>
                <w:szCs w:val="20"/>
              </w:rPr>
              <w:t xml:space="preserve">Provision of </w:t>
            </w:r>
            <w:proofErr w:type="spellStart"/>
            <w:r>
              <w:rPr>
                <w:rFonts w:cs="Arial"/>
                <w:sz w:val="20"/>
                <w:szCs w:val="20"/>
              </w:rPr>
              <w:t>Hiab</w:t>
            </w:r>
            <w:proofErr w:type="spellEnd"/>
            <w:r>
              <w:rPr>
                <w:rFonts w:cs="Arial"/>
                <w:sz w:val="20"/>
                <w:szCs w:val="20"/>
              </w:rPr>
              <w:t xml:space="preserve"> lorry with driver/operator. Per Half Day</w:t>
            </w:r>
          </w:p>
        </w:tc>
        <w:tc>
          <w:tcPr>
            <w:tcW w:w="1093" w:type="dxa"/>
            <w:shd w:val="clear" w:color="auto" w:fill="auto"/>
            <w:tcMar>
              <w:top w:w="0" w:type="dxa"/>
              <w:left w:w="108" w:type="dxa"/>
              <w:bottom w:w="0" w:type="dxa"/>
              <w:right w:w="108" w:type="dxa"/>
            </w:tcMar>
            <w:vAlign w:val="center"/>
            <w:hideMark/>
          </w:tcPr>
          <w:p w14:paraId="6D9C79F4" w14:textId="77777777" w:rsidR="0035109B" w:rsidRDefault="0035109B" w:rsidP="001964D7">
            <w:pPr>
              <w:jc w:val="center"/>
              <w:rPr>
                <w:rFonts w:eastAsiaTheme="minorHAnsi" w:cs="Arial"/>
                <w:sz w:val="20"/>
                <w:szCs w:val="20"/>
              </w:rPr>
            </w:pPr>
            <w:r>
              <w:rPr>
                <w:rFonts w:cs="Arial"/>
                <w:sz w:val="20"/>
                <w:szCs w:val="20"/>
              </w:rPr>
              <w:t>Half Day</w:t>
            </w:r>
          </w:p>
        </w:tc>
        <w:tc>
          <w:tcPr>
            <w:tcW w:w="1016" w:type="dxa"/>
            <w:shd w:val="clear" w:color="auto" w:fill="auto"/>
            <w:noWrap/>
            <w:tcMar>
              <w:top w:w="0" w:type="dxa"/>
              <w:left w:w="108" w:type="dxa"/>
              <w:bottom w:w="0" w:type="dxa"/>
              <w:right w:w="108" w:type="dxa"/>
            </w:tcMar>
            <w:vAlign w:val="center"/>
            <w:hideMark/>
          </w:tcPr>
          <w:p w14:paraId="6D9C79F5" w14:textId="6006C699"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9F6" w14:textId="7EFDCE38"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9FD" w14:textId="77777777" w:rsidTr="001964D7">
        <w:trPr>
          <w:trHeight w:val="255"/>
        </w:trPr>
        <w:tc>
          <w:tcPr>
            <w:tcW w:w="716" w:type="dxa"/>
            <w:shd w:val="clear" w:color="auto" w:fill="auto"/>
            <w:noWrap/>
            <w:tcMar>
              <w:top w:w="0" w:type="dxa"/>
              <w:left w:w="108" w:type="dxa"/>
              <w:bottom w:w="0" w:type="dxa"/>
              <w:right w:w="108" w:type="dxa"/>
            </w:tcMar>
            <w:vAlign w:val="center"/>
            <w:hideMark/>
          </w:tcPr>
          <w:p w14:paraId="6D9C79F8" w14:textId="77777777" w:rsidR="0035109B" w:rsidRDefault="0035109B" w:rsidP="001964D7">
            <w:pPr>
              <w:jc w:val="center"/>
              <w:rPr>
                <w:rFonts w:eastAsiaTheme="minorHAnsi" w:cs="Arial"/>
                <w:sz w:val="20"/>
                <w:szCs w:val="20"/>
              </w:rPr>
            </w:pPr>
            <w:r>
              <w:rPr>
                <w:rFonts w:cs="Arial"/>
                <w:sz w:val="20"/>
                <w:szCs w:val="20"/>
              </w:rPr>
              <w:t>B.4</w:t>
            </w:r>
          </w:p>
        </w:tc>
        <w:tc>
          <w:tcPr>
            <w:tcW w:w="4820" w:type="dxa"/>
            <w:shd w:val="clear" w:color="auto" w:fill="auto"/>
            <w:tcMar>
              <w:top w:w="0" w:type="dxa"/>
              <w:left w:w="108" w:type="dxa"/>
              <w:bottom w:w="0" w:type="dxa"/>
              <w:right w:w="108" w:type="dxa"/>
            </w:tcMar>
            <w:hideMark/>
          </w:tcPr>
          <w:p w14:paraId="6D9C79F9" w14:textId="77777777" w:rsidR="0035109B" w:rsidRDefault="0035109B" w:rsidP="0035109B">
            <w:pPr>
              <w:jc w:val="left"/>
              <w:rPr>
                <w:rFonts w:eastAsiaTheme="minorHAnsi" w:cs="Arial"/>
                <w:sz w:val="20"/>
                <w:szCs w:val="20"/>
              </w:rPr>
            </w:pPr>
            <w:r>
              <w:rPr>
                <w:rFonts w:cs="Arial"/>
                <w:sz w:val="20"/>
                <w:szCs w:val="20"/>
              </w:rPr>
              <w:t xml:space="preserve">Provision of </w:t>
            </w:r>
            <w:proofErr w:type="spellStart"/>
            <w:r>
              <w:rPr>
                <w:rFonts w:cs="Arial"/>
                <w:sz w:val="20"/>
                <w:szCs w:val="20"/>
              </w:rPr>
              <w:t>Hiab</w:t>
            </w:r>
            <w:proofErr w:type="spellEnd"/>
            <w:r>
              <w:rPr>
                <w:rFonts w:cs="Arial"/>
                <w:sz w:val="20"/>
                <w:szCs w:val="20"/>
              </w:rPr>
              <w:t xml:space="preserve"> lorry with driver/operator. Per Full Day</w:t>
            </w:r>
          </w:p>
        </w:tc>
        <w:tc>
          <w:tcPr>
            <w:tcW w:w="1093" w:type="dxa"/>
            <w:shd w:val="clear" w:color="auto" w:fill="auto"/>
            <w:tcMar>
              <w:top w:w="0" w:type="dxa"/>
              <w:left w:w="108" w:type="dxa"/>
              <w:bottom w:w="0" w:type="dxa"/>
              <w:right w:w="108" w:type="dxa"/>
            </w:tcMar>
            <w:vAlign w:val="center"/>
            <w:hideMark/>
          </w:tcPr>
          <w:p w14:paraId="6D9C79FA" w14:textId="77777777" w:rsidR="0035109B" w:rsidRDefault="0035109B" w:rsidP="001964D7">
            <w:pPr>
              <w:jc w:val="center"/>
              <w:rPr>
                <w:rFonts w:eastAsiaTheme="minorHAnsi" w:cs="Arial"/>
                <w:sz w:val="20"/>
                <w:szCs w:val="20"/>
              </w:rPr>
            </w:pPr>
            <w:r>
              <w:rPr>
                <w:rFonts w:cs="Arial"/>
                <w:sz w:val="20"/>
                <w:szCs w:val="20"/>
              </w:rPr>
              <w:t>Full Day</w:t>
            </w:r>
          </w:p>
        </w:tc>
        <w:tc>
          <w:tcPr>
            <w:tcW w:w="1016" w:type="dxa"/>
            <w:shd w:val="clear" w:color="auto" w:fill="auto"/>
            <w:noWrap/>
            <w:tcMar>
              <w:top w:w="0" w:type="dxa"/>
              <w:left w:w="108" w:type="dxa"/>
              <w:bottom w:w="0" w:type="dxa"/>
              <w:right w:w="108" w:type="dxa"/>
            </w:tcMar>
            <w:vAlign w:val="center"/>
            <w:hideMark/>
          </w:tcPr>
          <w:p w14:paraId="6D9C79FB" w14:textId="69DD3719"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9FC" w14:textId="6697A48E"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A03" w14:textId="77777777" w:rsidTr="001964D7">
        <w:trPr>
          <w:trHeight w:val="255"/>
        </w:trPr>
        <w:tc>
          <w:tcPr>
            <w:tcW w:w="716" w:type="dxa"/>
            <w:shd w:val="clear" w:color="auto" w:fill="auto"/>
            <w:noWrap/>
            <w:tcMar>
              <w:top w:w="0" w:type="dxa"/>
              <w:left w:w="108" w:type="dxa"/>
              <w:bottom w:w="0" w:type="dxa"/>
              <w:right w:w="108" w:type="dxa"/>
            </w:tcMar>
            <w:vAlign w:val="center"/>
            <w:hideMark/>
          </w:tcPr>
          <w:p w14:paraId="6D9C79FE" w14:textId="77777777" w:rsidR="0035109B" w:rsidRDefault="0035109B" w:rsidP="001964D7">
            <w:pPr>
              <w:jc w:val="center"/>
              <w:rPr>
                <w:rFonts w:eastAsiaTheme="minorHAnsi" w:cs="Arial"/>
                <w:sz w:val="20"/>
                <w:szCs w:val="20"/>
              </w:rPr>
            </w:pPr>
            <w:r>
              <w:rPr>
                <w:rFonts w:cs="Arial"/>
                <w:sz w:val="20"/>
                <w:szCs w:val="20"/>
              </w:rPr>
              <w:t>B.5</w:t>
            </w:r>
          </w:p>
        </w:tc>
        <w:tc>
          <w:tcPr>
            <w:tcW w:w="4820" w:type="dxa"/>
            <w:shd w:val="clear" w:color="auto" w:fill="auto"/>
            <w:tcMar>
              <w:top w:w="0" w:type="dxa"/>
              <w:left w:w="108" w:type="dxa"/>
              <w:bottom w:w="0" w:type="dxa"/>
              <w:right w:w="108" w:type="dxa"/>
            </w:tcMar>
            <w:hideMark/>
          </w:tcPr>
          <w:p w14:paraId="6D9C79FF" w14:textId="77777777" w:rsidR="0035109B" w:rsidRDefault="0035109B" w:rsidP="0035109B">
            <w:pPr>
              <w:jc w:val="left"/>
              <w:rPr>
                <w:rFonts w:eastAsiaTheme="minorHAnsi" w:cs="Arial"/>
                <w:sz w:val="20"/>
                <w:szCs w:val="20"/>
              </w:rPr>
            </w:pPr>
            <w:r>
              <w:rPr>
                <w:rFonts w:cs="Arial"/>
                <w:sz w:val="20"/>
                <w:szCs w:val="20"/>
              </w:rPr>
              <w:t>Provision of flat bed lorry with driver. Per Half Day</w:t>
            </w:r>
          </w:p>
        </w:tc>
        <w:tc>
          <w:tcPr>
            <w:tcW w:w="1093" w:type="dxa"/>
            <w:shd w:val="clear" w:color="auto" w:fill="auto"/>
            <w:tcMar>
              <w:top w:w="0" w:type="dxa"/>
              <w:left w:w="108" w:type="dxa"/>
              <w:bottom w:w="0" w:type="dxa"/>
              <w:right w:w="108" w:type="dxa"/>
            </w:tcMar>
            <w:vAlign w:val="center"/>
            <w:hideMark/>
          </w:tcPr>
          <w:p w14:paraId="6D9C7A00" w14:textId="77777777" w:rsidR="0035109B" w:rsidRDefault="0035109B" w:rsidP="001964D7">
            <w:pPr>
              <w:jc w:val="center"/>
              <w:rPr>
                <w:rFonts w:eastAsiaTheme="minorHAnsi" w:cs="Arial"/>
                <w:sz w:val="20"/>
                <w:szCs w:val="20"/>
              </w:rPr>
            </w:pPr>
            <w:r>
              <w:rPr>
                <w:rFonts w:cs="Arial"/>
                <w:sz w:val="20"/>
                <w:szCs w:val="20"/>
              </w:rPr>
              <w:t>Half Day</w:t>
            </w:r>
          </w:p>
        </w:tc>
        <w:tc>
          <w:tcPr>
            <w:tcW w:w="1016" w:type="dxa"/>
            <w:shd w:val="clear" w:color="auto" w:fill="auto"/>
            <w:noWrap/>
            <w:tcMar>
              <w:top w:w="0" w:type="dxa"/>
              <w:left w:w="108" w:type="dxa"/>
              <w:bottom w:w="0" w:type="dxa"/>
              <w:right w:w="108" w:type="dxa"/>
            </w:tcMar>
            <w:vAlign w:val="center"/>
            <w:hideMark/>
          </w:tcPr>
          <w:p w14:paraId="6D9C7A01" w14:textId="6290B9B2"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A02" w14:textId="6530C0E5"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A09" w14:textId="77777777" w:rsidTr="001964D7">
        <w:trPr>
          <w:trHeight w:val="255"/>
        </w:trPr>
        <w:tc>
          <w:tcPr>
            <w:tcW w:w="716" w:type="dxa"/>
            <w:shd w:val="clear" w:color="auto" w:fill="auto"/>
            <w:noWrap/>
            <w:tcMar>
              <w:top w:w="0" w:type="dxa"/>
              <w:left w:w="108" w:type="dxa"/>
              <w:bottom w:w="0" w:type="dxa"/>
              <w:right w:w="108" w:type="dxa"/>
            </w:tcMar>
            <w:vAlign w:val="center"/>
            <w:hideMark/>
          </w:tcPr>
          <w:p w14:paraId="6D9C7A04" w14:textId="77777777" w:rsidR="0035109B" w:rsidRDefault="0035109B" w:rsidP="001964D7">
            <w:pPr>
              <w:jc w:val="center"/>
              <w:rPr>
                <w:rFonts w:eastAsiaTheme="minorHAnsi" w:cs="Arial"/>
                <w:sz w:val="20"/>
                <w:szCs w:val="20"/>
              </w:rPr>
            </w:pPr>
            <w:r>
              <w:rPr>
                <w:rFonts w:cs="Arial"/>
                <w:sz w:val="20"/>
                <w:szCs w:val="20"/>
              </w:rPr>
              <w:t>B.6</w:t>
            </w:r>
          </w:p>
        </w:tc>
        <w:tc>
          <w:tcPr>
            <w:tcW w:w="4820" w:type="dxa"/>
            <w:shd w:val="clear" w:color="auto" w:fill="auto"/>
            <w:tcMar>
              <w:top w:w="0" w:type="dxa"/>
              <w:left w:w="108" w:type="dxa"/>
              <w:bottom w:w="0" w:type="dxa"/>
              <w:right w:w="108" w:type="dxa"/>
            </w:tcMar>
            <w:hideMark/>
          </w:tcPr>
          <w:p w14:paraId="6D9C7A05" w14:textId="77777777" w:rsidR="0035109B" w:rsidRDefault="0035109B" w:rsidP="0035109B">
            <w:pPr>
              <w:jc w:val="left"/>
              <w:rPr>
                <w:rFonts w:eastAsiaTheme="minorHAnsi" w:cs="Arial"/>
                <w:sz w:val="20"/>
                <w:szCs w:val="20"/>
              </w:rPr>
            </w:pPr>
            <w:r>
              <w:rPr>
                <w:rFonts w:cs="Arial"/>
                <w:sz w:val="20"/>
                <w:szCs w:val="20"/>
              </w:rPr>
              <w:t>Provision of flat bed lorry with driver. Per Full Day</w:t>
            </w:r>
          </w:p>
        </w:tc>
        <w:tc>
          <w:tcPr>
            <w:tcW w:w="1093" w:type="dxa"/>
            <w:shd w:val="clear" w:color="auto" w:fill="auto"/>
            <w:tcMar>
              <w:top w:w="0" w:type="dxa"/>
              <w:left w:w="108" w:type="dxa"/>
              <w:bottom w:w="0" w:type="dxa"/>
              <w:right w:w="108" w:type="dxa"/>
            </w:tcMar>
            <w:vAlign w:val="center"/>
            <w:hideMark/>
          </w:tcPr>
          <w:p w14:paraId="6D9C7A06" w14:textId="77777777" w:rsidR="0035109B" w:rsidRDefault="0035109B" w:rsidP="001964D7">
            <w:pPr>
              <w:jc w:val="center"/>
              <w:rPr>
                <w:rFonts w:eastAsiaTheme="minorHAnsi" w:cs="Arial"/>
                <w:sz w:val="20"/>
                <w:szCs w:val="20"/>
              </w:rPr>
            </w:pPr>
            <w:r>
              <w:rPr>
                <w:rFonts w:cs="Arial"/>
                <w:sz w:val="20"/>
                <w:szCs w:val="20"/>
              </w:rPr>
              <w:t>Full Day</w:t>
            </w:r>
          </w:p>
        </w:tc>
        <w:tc>
          <w:tcPr>
            <w:tcW w:w="1016" w:type="dxa"/>
            <w:shd w:val="clear" w:color="auto" w:fill="auto"/>
            <w:noWrap/>
            <w:tcMar>
              <w:top w:w="0" w:type="dxa"/>
              <w:left w:w="108" w:type="dxa"/>
              <w:bottom w:w="0" w:type="dxa"/>
              <w:right w:w="108" w:type="dxa"/>
            </w:tcMar>
            <w:vAlign w:val="center"/>
            <w:hideMark/>
          </w:tcPr>
          <w:p w14:paraId="6D9C7A07" w14:textId="1A650C3A"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A08" w14:textId="3192CA4A"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A0F" w14:textId="77777777" w:rsidTr="001964D7">
        <w:trPr>
          <w:trHeight w:val="255"/>
        </w:trPr>
        <w:tc>
          <w:tcPr>
            <w:tcW w:w="716" w:type="dxa"/>
            <w:shd w:val="clear" w:color="auto" w:fill="auto"/>
            <w:noWrap/>
            <w:tcMar>
              <w:top w:w="0" w:type="dxa"/>
              <w:left w:w="108" w:type="dxa"/>
              <w:bottom w:w="0" w:type="dxa"/>
              <w:right w:w="108" w:type="dxa"/>
            </w:tcMar>
            <w:vAlign w:val="center"/>
            <w:hideMark/>
          </w:tcPr>
          <w:p w14:paraId="6D9C7A0A" w14:textId="77777777" w:rsidR="0035109B" w:rsidRDefault="0035109B" w:rsidP="001964D7">
            <w:pPr>
              <w:jc w:val="center"/>
              <w:rPr>
                <w:rFonts w:eastAsiaTheme="minorHAnsi" w:cs="Arial"/>
                <w:sz w:val="20"/>
                <w:szCs w:val="20"/>
              </w:rPr>
            </w:pPr>
            <w:r>
              <w:rPr>
                <w:rFonts w:cs="Arial"/>
                <w:sz w:val="20"/>
                <w:szCs w:val="20"/>
              </w:rPr>
              <w:t>B.7</w:t>
            </w:r>
          </w:p>
        </w:tc>
        <w:tc>
          <w:tcPr>
            <w:tcW w:w="4820" w:type="dxa"/>
            <w:shd w:val="clear" w:color="auto" w:fill="auto"/>
            <w:tcMar>
              <w:top w:w="0" w:type="dxa"/>
              <w:left w:w="108" w:type="dxa"/>
              <w:bottom w:w="0" w:type="dxa"/>
              <w:right w:w="108" w:type="dxa"/>
            </w:tcMar>
            <w:hideMark/>
          </w:tcPr>
          <w:p w14:paraId="6D9C7A0B" w14:textId="77777777" w:rsidR="0035109B" w:rsidRDefault="0035109B" w:rsidP="0035109B">
            <w:pPr>
              <w:jc w:val="left"/>
              <w:rPr>
                <w:rFonts w:eastAsiaTheme="minorHAnsi" w:cs="Arial"/>
                <w:sz w:val="20"/>
                <w:szCs w:val="20"/>
              </w:rPr>
            </w:pPr>
            <w:r>
              <w:rPr>
                <w:rFonts w:cs="Arial"/>
                <w:sz w:val="20"/>
                <w:szCs w:val="20"/>
              </w:rPr>
              <w:t>Provision of van (Transit or similar) with driver. Per Half Day</w:t>
            </w:r>
          </w:p>
        </w:tc>
        <w:tc>
          <w:tcPr>
            <w:tcW w:w="1093" w:type="dxa"/>
            <w:shd w:val="clear" w:color="auto" w:fill="auto"/>
            <w:tcMar>
              <w:top w:w="0" w:type="dxa"/>
              <w:left w:w="108" w:type="dxa"/>
              <w:bottom w:w="0" w:type="dxa"/>
              <w:right w:w="108" w:type="dxa"/>
            </w:tcMar>
            <w:vAlign w:val="center"/>
            <w:hideMark/>
          </w:tcPr>
          <w:p w14:paraId="6D9C7A0C" w14:textId="77777777" w:rsidR="0035109B" w:rsidRDefault="0035109B" w:rsidP="001964D7">
            <w:pPr>
              <w:jc w:val="center"/>
              <w:rPr>
                <w:rFonts w:eastAsiaTheme="minorHAnsi" w:cs="Arial"/>
                <w:sz w:val="20"/>
                <w:szCs w:val="20"/>
              </w:rPr>
            </w:pPr>
            <w:r>
              <w:rPr>
                <w:rFonts w:cs="Arial"/>
                <w:sz w:val="20"/>
                <w:szCs w:val="20"/>
              </w:rPr>
              <w:t>Half Day</w:t>
            </w:r>
          </w:p>
        </w:tc>
        <w:tc>
          <w:tcPr>
            <w:tcW w:w="1016" w:type="dxa"/>
            <w:shd w:val="clear" w:color="auto" w:fill="auto"/>
            <w:noWrap/>
            <w:tcMar>
              <w:top w:w="0" w:type="dxa"/>
              <w:left w:w="108" w:type="dxa"/>
              <w:bottom w:w="0" w:type="dxa"/>
              <w:right w:w="108" w:type="dxa"/>
            </w:tcMar>
            <w:vAlign w:val="center"/>
            <w:hideMark/>
          </w:tcPr>
          <w:p w14:paraId="6D9C7A0D" w14:textId="67673BB7"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A0E" w14:textId="7E6ADC94"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A15" w14:textId="77777777" w:rsidTr="001964D7">
        <w:trPr>
          <w:trHeight w:val="255"/>
        </w:trPr>
        <w:tc>
          <w:tcPr>
            <w:tcW w:w="716" w:type="dxa"/>
            <w:shd w:val="clear" w:color="auto" w:fill="auto"/>
            <w:noWrap/>
            <w:tcMar>
              <w:top w:w="0" w:type="dxa"/>
              <w:left w:w="108" w:type="dxa"/>
              <w:bottom w:w="0" w:type="dxa"/>
              <w:right w:w="108" w:type="dxa"/>
            </w:tcMar>
            <w:vAlign w:val="center"/>
            <w:hideMark/>
          </w:tcPr>
          <w:p w14:paraId="6D9C7A10" w14:textId="77777777" w:rsidR="0035109B" w:rsidRDefault="0035109B" w:rsidP="001964D7">
            <w:pPr>
              <w:jc w:val="center"/>
              <w:rPr>
                <w:rFonts w:eastAsiaTheme="minorHAnsi" w:cs="Arial"/>
                <w:sz w:val="20"/>
                <w:szCs w:val="20"/>
              </w:rPr>
            </w:pPr>
            <w:r>
              <w:rPr>
                <w:rFonts w:cs="Arial"/>
                <w:sz w:val="20"/>
                <w:szCs w:val="20"/>
              </w:rPr>
              <w:t>B.8</w:t>
            </w:r>
          </w:p>
        </w:tc>
        <w:tc>
          <w:tcPr>
            <w:tcW w:w="4820" w:type="dxa"/>
            <w:shd w:val="clear" w:color="auto" w:fill="auto"/>
            <w:tcMar>
              <w:top w:w="0" w:type="dxa"/>
              <w:left w:w="108" w:type="dxa"/>
              <w:bottom w:w="0" w:type="dxa"/>
              <w:right w:w="108" w:type="dxa"/>
            </w:tcMar>
            <w:hideMark/>
          </w:tcPr>
          <w:p w14:paraId="6D9C7A11" w14:textId="77777777" w:rsidR="0035109B" w:rsidRDefault="0035109B" w:rsidP="0035109B">
            <w:pPr>
              <w:jc w:val="left"/>
              <w:rPr>
                <w:rFonts w:eastAsiaTheme="minorHAnsi" w:cs="Arial"/>
                <w:sz w:val="20"/>
                <w:szCs w:val="20"/>
              </w:rPr>
            </w:pPr>
            <w:r>
              <w:rPr>
                <w:rFonts w:cs="Arial"/>
                <w:sz w:val="20"/>
                <w:szCs w:val="20"/>
              </w:rPr>
              <w:t>Provision of van (Transit or similar) with driver. Per Full Day</w:t>
            </w:r>
          </w:p>
        </w:tc>
        <w:tc>
          <w:tcPr>
            <w:tcW w:w="1093" w:type="dxa"/>
            <w:shd w:val="clear" w:color="auto" w:fill="auto"/>
            <w:tcMar>
              <w:top w:w="0" w:type="dxa"/>
              <w:left w:w="108" w:type="dxa"/>
              <w:bottom w:w="0" w:type="dxa"/>
              <w:right w:w="108" w:type="dxa"/>
            </w:tcMar>
            <w:vAlign w:val="center"/>
            <w:hideMark/>
          </w:tcPr>
          <w:p w14:paraId="6D9C7A12" w14:textId="77777777" w:rsidR="0035109B" w:rsidRDefault="0035109B" w:rsidP="001964D7">
            <w:pPr>
              <w:jc w:val="center"/>
              <w:rPr>
                <w:rFonts w:eastAsiaTheme="minorHAnsi" w:cs="Arial"/>
                <w:sz w:val="20"/>
                <w:szCs w:val="20"/>
              </w:rPr>
            </w:pPr>
            <w:r>
              <w:rPr>
                <w:rFonts w:cs="Arial"/>
                <w:sz w:val="20"/>
                <w:szCs w:val="20"/>
              </w:rPr>
              <w:t>Full Day</w:t>
            </w:r>
          </w:p>
        </w:tc>
        <w:tc>
          <w:tcPr>
            <w:tcW w:w="1016" w:type="dxa"/>
            <w:shd w:val="clear" w:color="auto" w:fill="auto"/>
            <w:noWrap/>
            <w:tcMar>
              <w:top w:w="0" w:type="dxa"/>
              <w:left w:w="108" w:type="dxa"/>
              <w:bottom w:w="0" w:type="dxa"/>
              <w:right w:w="108" w:type="dxa"/>
            </w:tcMar>
            <w:vAlign w:val="center"/>
            <w:hideMark/>
          </w:tcPr>
          <w:p w14:paraId="6D9C7A13" w14:textId="649D18B1"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A14" w14:textId="79C932F6"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A1B" w14:textId="77777777" w:rsidTr="001964D7">
        <w:trPr>
          <w:trHeight w:val="765"/>
        </w:trPr>
        <w:tc>
          <w:tcPr>
            <w:tcW w:w="716" w:type="dxa"/>
            <w:shd w:val="clear" w:color="auto" w:fill="auto"/>
            <w:noWrap/>
            <w:tcMar>
              <w:top w:w="0" w:type="dxa"/>
              <w:left w:w="108" w:type="dxa"/>
              <w:bottom w:w="0" w:type="dxa"/>
              <w:right w:w="108" w:type="dxa"/>
            </w:tcMar>
            <w:vAlign w:val="center"/>
            <w:hideMark/>
          </w:tcPr>
          <w:p w14:paraId="6D9C7A16" w14:textId="77777777" w:rsidR="0035109B" w:rsidRDefault="0035109B" w:rsidP="001964D7">
            <w:pPr>
              <w:jc w:val="center"/>
              <w:rPr>
                <w:rFonts w:eastAsiaTheme="minorHAnsi" w:cs="Arial"/>
                <w:sz w:val="20"/>
                <w:szCs w:val="20"/>
              </w:rPr>
            </w:pPr>
            <w:r>
              <w:rPr>
                <w:rFonts w:cs="Arial"/>
                <w:sz w:val="20"/>
                <w:szCs w:val="20"/>
              </w:rPr>
              <w:t>B.9</w:t>
            </w:r>
          </w:p>
        </w:tc>
        <w:tc>
          <w:tcPr>
            <w:tcW w:w="4820" w:type="dxa"/>
            <w:shd w:val="clear" w:color="auto" w:fill="auto"/>
            <w:tcMar>
              <w:top w:w="0" w:type="dxa"/>
              <w:left w:w="108" w:type="dxa"/>
              <w:bottom w:w="0" w:type="dxa"/>
              <w:right w:w="108" w:type="dxa"/>
            </w:tcMar>
            <w:hideMark/>
          </w:tcPr>
          <w:p w14:paraId="6D9C7A17" w14:textId="77777777" w:rsidR="0035109B" w:rsidRDefault="0035109B" w:rsidP="0035109B">
            <w:pPr>
              <w:jc w:val="left"/>
              <w:rPr>
                <w:rFonts w:eastAsiaTheme="minorHAnsi" w:cs="Arial"/>
                <w:sz w:val="20"/>
                <w:szCs w:val="20"/>
              </w:rPr>
            </w:pPr>
            <w:r>
              <w:rPr>
                <w:rFonts w:cs="Arial"/>
                <w:sz w:val="20"/>
                <w:szCs w:val="20"/>
              </w:rPr>
              <w:t>Provision of a traffic management crew with transportation, signs and cones for a single lane closure on a 30mph road in accordance with the requirement of Chapter 8. Per Half Day</w:t>
            </w:r>
          </w:p>
        </w:tc>
        <w:tc>
          <w:tcPr>
            <w:tcW w:w="1093" w:type="dxa"/>
            <w:shd w:val="clear" w:color="auto" w:fill="auto"/>
            <w:tcMar>
              <w:top w:w="0" w:type="dxa"/>
              <w:left w:w="108" w:type="dxa"/>
              <w:bottom w:w="0" w:type="dxa"/>
              <w:right w:w="108" w:type="dxa"/>
            </w:tcMar>
            <w:vAlign w:val="center"/>
            <w:hideMark/>
          </w:tcPr>
          <w:p w14:paraId="6D9C7A18" w14:textId="77777777" w:rsidR="0035109B" w:rsidRDefault="0035109B" w:rsidP="001964D7">
            <w:pPr>
              <w:jc w:val="center"/>
              <w:rPr>
                <w:rFonts w:eastAsiaTheme="minorHAnsi" w:cs="Arial"/>
                <w:sz w:val="20"/>
                <w:szCs w:val="20"/>
              </w:rPr>
            </w:pPr>
            <w:r>
              <w:rPr>
                <w:rFonts w:cs="Arial"/>
                <w:sz w:val="20"/>
                <w:szCs w:val="20"/>
              </w:rPr>
              <w:t>Half Day</w:t>
            </w:r>
          </w:p>
        </w:tc>
        <w:tc>
          <w:tcPr>
            <w:tcW w:w="1016" w:type="dxa"/>
            <w:shd w:val="clear" w:color="auto" w:fill="auto"/>
            <w:noWrap/>
            <w:tcMar>
              <w:top w:w="0" w:type="dxa"/>
              <w:left w:w="108" w:type="dxa"/>
              <w:bottom w:w="0" w:type="dxa"/>
              <w:right w:w="108" w:type="dxa"/>
            </w:tcMar>
            <w:vAlign w:val="center"/>
            <w:hideMark/>
          </w:tcPr>
          <w:p w14:paraId="6D9C7A19" w14:textId="36B50074"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A1A" w14:textId="58DF29FF"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A21" w14:textId="77777777" w:rsidTr="001964D7">
        <w:trPr>
          <w:trHeight w:val="765"/>
        </w:trPr>
        <w:tc>
          <w:tcPr>
            <w:tcW w:w="716" w:type="dxa"/>
            <w:shd w:val="clear" w:color="auto" w:fill="auto"/>
            <w:noWrap/>
            <w:tcMar>
              <w:top w:w="0" w:type="dxa"/>
              <w:left w:w="108" w:type="dxa"/>
              <w:bottom w:w="0" w:type="dxa"/>
              <w:right w:w="108" w:type="dxa"/>
            </w:tcMar>
            <w:vAlign w:val="center"/>
            <w:hideMark/>
          </w:tcPr>
          <w:p w14:paraId="6D9C7A1C" w14:textId="77777777" w:rsidR="0035109B" w:rsidRDefault="0035109B" w:rsidP="001964D7">
            <w:pPr>
              <w:jc w:val="center"/>
              <w:rPr>
                <w:rFonts w:eastAsiaTheme="minorHAnsi" w:cs="Arial"/>
                <w:sz w:val="20"/>
                <w:szCs w:val="20"/>
              </w:rPr>
            </w:pPr>
            <w:r>
              <w:rPr>
                <w:rFonts w:cs="Arial"/>
                <w:sz w:val="20"/>
                <w:szCs w:val="20"/>
              </w:rPr>
              <w:t>B.10</w:t>
            </w:r>
          </w:p>
        </w:tc>
        <w:tc>
          <w:tcPr>
            <w:tcW w:w="4820" w:type="dxa"/>
            <w:shd w:val="clear" w:color="auto" w:fill="auto"/>
            <w:tcMar>
              <w:top w:w="0" w:type="dxa"/>
              <w:left w:w="108" w:type="dxa"/>
              <w:bottom w:w="0" w:type="dxa"/>
              <w:right w:w="108" w:type="dxa"/>
            </w:tcMar>
            <w:hideMark/>
          </w:tcPr>
          <w:p w14:paraId="6D9C7A1D" w14:textId="77777777" w:rsidR="0035109B" w:rsidRDefault="0035109B" w:rsidP="0035109B">
            <w:pPr>
              <w:jc w:val="left"/>
              <w:rPr>
                <w:rFonts w:eastAsiaTheme="minorHAnsi" w:cs="Arial"/>
                <w:sz w:val="20"/>
                <w:szCs w:val="20"/>
              </w:rPr>
            </w:pPr>
            <w:r>
              <w:rPr>
                <w:rFonts w:cs="Arial"/>
                <w:sz w:val="20"/>
                <w:szCs w:val="20"/>
              </w:rPr>
              <w:t>Provision of a traffic management crew with transportation, signs and cones for a single lane closure on a 30mph road in accordance with the requirement of Chapter 8. Per Full Day</w:t>
            </w:r>
          </w:p>
        </w:tc>
        <w:tc>
          <w:tcPr>
            <w:tcW w:w="1093" w:type="dxa"/>
            <w:shd w:val="clear" w:color="auto" w:fill="auto"/>
            <w:tcMar>
              <w:top w:w="0" w:type="dxa"/>
              <w:left w:w="108" w:type="dxa"/>
              <w:bottom w:w="0" w:type="dxa"/>
              <w:right w:w="108" w:type="dxa"/>
            </w:tcMar>
            <w:vAlign w:val="center"/>
            <w:hideMark/>
          </w:tcPr>
          <w:p w14:paraId="6D9C7A1E" w14:textId="77777777" w:rsidR="0035109B" w:rsidRDefault="0035109B" w:rsidP="001964D7">
            <w:pPr>
              <w:jc w:val="center"/>
              <w:rPr>
                <w:rFonts w:eastAsiaTheme="minorHAnsi" w:cs="Arial"/>
                <w:sz w:val="20"/>
                <w:szCs w:val="20"/>
              </w:rPr>
            </w:pPr>
            <w:r>
              <w:rPr>
                <w:rFonts w:cs="Arial"/>
                <w:sz w:val="20"/>
                <w:szCs w:val="20"/>
              </w:rPr>
              <w:t>Full Day</w:t>
            </w:r>
          </w:p>
        </w:tc>
        <w:tc>
          <w:tcPr>
            <w:tcW w:w="1016" w:type="dxa"/>
            <w:shd w:val="clear" w:color="auto" w:fill="auto"/>
            <w:noWrap/>
            <w:tcMar>
              <w:top w:w="0" w:type="dxa"/>
              <w:left w:w="108" w:type="dxa"/>
              <w:bottom w:w="0" w:type="dxa"/>
              <w:right w:w="108" w:type="dxa"/>
            </w:tcMar>
            <w:vAlign w:val="center"/>
            <w:hideMark/>
          </w:tcPr>
          <w:p w14:paraId="6D9C7A1F" w14:textId="045AFCE6"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A20" w14:textId="31A4AE31"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A27" w14:textId="77777777" w:rsidTr="001964D7">
        <w:trPr>
          <w:trHeight w:val="765"/>
        </w:trPr>
        <w:tc>
          <w:tcPr>
            <w:tcW w:w="716" w:type="dxa"/>
            <w:shd w:val="clear" w:color="auto" w:fill="auto"/>
            <w:noWrap/>
            <w:tcMar>
              <w:top w:w="0" w:type="dxa"/>
              <w:left w:w="108" w:type="dxa"/>
              <w:bottom w:w="0" w:type="dxa"/>
              <w:right w:w="108" w:type="dxa"/>
            </w:tcMar>
            <w:vAlign w:val="center"/>
            <w:hideMark/>
          </w:tcPr>
          <w:p w14:paraId="6D9C7A22" w14:textId="77777777" w:rsidR="0035109B" w:rsidRDefault="0035109B" w:rsidP="001964D7">
            <w:pPr>
              <w:jc w:val="center"/>
              <w:rPr>
                <w:rFonts w:eastAsiaTheme="minorHAnsi" w:cs="Arial"/>
                <w:sz w:val="20"/>
                <w:szCs w:val="20"/>
              </w:rPr>
            </w:pPr>
            <w:r>
              <w:rPr>
                <w:rFonts w:cs="Arial"/>
                <w:sz w:val="20"/>
                <w:szCs w:val="20"/>
              </w:rPr>
              <w:t>B.11</w:t>
            </w:r>
          </w:p>
        </w:tc>
        <w:tc>
          <w:tcPr>
            <w:tcW w:w="4820" w:type="dxa"/>
            <w:shd w:val="clear" w:color="auto" w:fill="auto"/>
            <w:tcMar>
              <w:top w:w="0" w:type="dxa"/>
              <w:left w:w="108" w:type="dxa"/>
              <w:bottom w:w="0" w:type="dxa"/>
              <w:right w:w="108" w:type="dxa"/>
            </w:tcMar>
            <w:hideMark/>
          </w:tcPr>
          <w:p w14:paraId="6D9C7A23" w14:textId="77777777" w:rsidR="0035109B" w:rsidRDefault="0035109B" w:rsidP="0035109B">
            <w:pPr>
              <w:jc w:val="left"/>
              <w:rPr>
                <w:rFonts w:eastAsiaTheme="minorHAnsi" w:cs="Arial"/>
                <w:sz w:val="20"/>
                <w:szCs w:val="20"/>
              </w:rPr>
            </w:pPr>
            <w:r>
              <w:rPr>
                <w:rFonts w:cs="Arial"/>
                <w:sz w:val="20"/>
                <w:szCs w:val="20"/>
              </w:rPr>
              <w:t>Provision of a traffic management crew with transportation, signs and cones for a single lane closure on a 50mph road in accordance with the requirement of Chapter 8. Per Half Day</w:t>
            </w:r>
          </w:p>
        </w:tc>
        <w:tc>
          <w:tcPr>
            <w:tcW w:w="1093" w:type="dxa"/>
            <w:shd w:val="clear" w:color="auto" w:fill="auto"/>
            <w:tcMar>
              <w:top w:w="0" w:type="dxa"/>
              <w:left w:w="108" w:type="dxa"/>
              <w:bottom w:w="0" w:type="dxa"/>
              <w:right w:w="108" w:type="dxa"/>
            </w:tcMar>
            <w:vAlign w:val="center"/>
            <w:hideMark/>
          </w:tcPr>
          <w:p w14:paraId="6D9C7A24" w14:textId="77777777" w:rsidR="0035109B" w:rsidRDefault="0035109B" w:rsidP="001964D7">
            <w:pPr>
              <w:jc w:val="center"/>
              <w:rPr>
                <w:rFonts w:eastAsiaTheme="minorHAnsi" w:cs="Arial"/>
                <w:sz w:val="20"/>
                <w:szCs w:val="20"/>
              </w:rPr>
            </w:pPr>
            <w:r>
              <w:rPr>
                <w:rFonts w:cs="Arial"/>
                <w:sz w:val="20"/>
                <w:szCs w:val="20"/>
              </w:rPr>
              <w:t>Half Day</w:t>
            </w:r>
          </w:p>
        </w:tc>
        <w:tc>
          <w:tcPr>
            <w:tcW w:w="1016" w:type="dxa"/>
            <w:shd w:val="clear" w:color="auto" w:fill="auto"/>
            <w:noWrap/>
            <w:tcMar>
              <w:top w:w="0" w:type="dxa"/>
              <w:left w:w="108" w:type="dxa"/>
              <w:bottom w:w="0" w:type="dxa"/>
              <w:right w:w="108" w:type="dxa"/>
            </w:tcMar>
            <w:vAlign w:val="center"/>
            <w:hideMark/>
          </w:tcPr>
          <w:p w14:paraId="6D9C7A25" w14:textId="15BB4ED7"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A26" w14:textId="4DCC5B0E"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A2D" w14:textId="77777777" w:rsidTr="001964D7">
        <w:trPr>
          <w:trHeight w:val="765"/>
        </w:trPr>
        <w:tc>
          <w:tcPr>
            <w:tcW w:w="716" w:type="dxa"/>
            <w:shd w:val="clear" w:color="auto" w:fill="auto"/>
            <w:noWrap/>
            <w:tcMar>
              <w:top w:w="0" w:type="dxa"/>
              <w:left w:w="108" w:type="dxa"/>
              <w:bottom w:w="0" w:type="dxa"/>
              <w:right w:w="108" w:type="dxa"/>
            </w:tcMar>
            <w:vAlign w:val="center"/>
            <w:hideMark/>
          </w:tcPr>
          <w:p w14:paraId="6D9C7A28" w14:textId="77777777" w:rsidR="0035109B" w:rsidRDefault="0035109B" w:rsidP="001964D7">
            <w:pPr>
              <w:jc w:val="center"/>
              <w:rPr>
                <w:rFonts w:eastAsiaTheme="minorHAnsi" w:cs="Arial"/>
                <w:sz w:val="20"/>
                <w:szCs w:val="20"/>
              </w:rPr>
            </w:pPr>
            <w:r>
              <w:rPr>
                <w:rFonts w:cs="Arial"/>
                <w:sz w:val="20"/>
                <w:szCs w:val="20"/>
              </w:rPr>
              <w:lastRenderedPageBreak/>
              <w:t>B.12</w:t>
            </w:r>
          </w:p>
        </w:tc>
        <w:tc>
          <w:tcPr>
            <w:tcW w:w="4820" w:type="dxa"/>
            <w:shd w:val="clear" w:color="auto" w:fill="auto"/>
            <w:tcMar>
              <w:top w:w="0" w:type="dxa"/>
              <w:left w:w="108" w:type="dxa"/>
              <w:bottom w:w="0" w:type="dxa"/>
              <w:right w:w="108" w:type="dxa"/>
            </w:tcMar>
            <w:hideMark/>
          </w:tcPr>
          <w:p w14:paraId="6D9C7A29" w14:textId="77777777" w:rsidR="0035109B" w:rsidRDefault="0035109B" w:rsidP="0035109B">
            <w:pPr>
              <w:jc w:val="left"/>
              <w:rPr>
                <w:rFonts w:eastAsiaTheme="minorHAnsi" w:cs="Arial"/>
                <w:sz w:val="20"/>
                <w:szCs w:val="20"/>
              </w:rPr>
            </w:pPr>
            <w:r>
              <w:rPr>
                <w:rFonts w:cs="Arial"/>
                <w:sz w:val="20"/>
                <w:szCs w:val="20"/>
              </w:rPr>
              <w:t>Provision of a traffic management crew with transportation, signs and cones for a single lane closure on a 50mph road in accordance with the requirement of Chapter 8. Per Full Day</w:t>
            </w:r>
          </w:p>
        </w:tc>
        <w:tc>
          <w:tcPr>
            <w:tcW w:w="1093" w:type="dxa"/>
            <w:shd w:val="clear" w:color="auto" w:fill="auto"/>
            <w:tcMar>
              <w:top w:w="0" w:type="dxa"/>
              <w:left w:w="108" w:type="dxa"/>
              <w:bottom w:w="0" w:type="dxa"/>
              <w:right w:w="108" w:type="dxa"/>
            </w:tcMar>
            <w:vAlign w:val="center"/>
            <w:hideMark/>
          </w:tcPr>
          <w:p w14:paraId="6D9C7A2A" w14:textId="77777777" w:rsidR="0035109B" w:rsidRDefault="0035109B" w:rsidP="001964D7">
            <w:pPr>
              <w:jc w:val="center"/>
              <w:rPr>
                <w:rFonts w:eastAsiaTheme="minorHAnsi" w:cs="Arial"/>
                <w:sz w:val="20"/>
                <w:szCs w:val="20"/>
              </w:rPr>
            </w:pPr>
            <w:r>
              <w:rPr>
                <w:rFonts w:cs="Arial"/>
                <w:sz w:val="20"/>
                <w:szCs w:val="20"/>
              </w:rPr>
              <w:t>Full Day</w:t>
            </w:r>
          </w:p>
        </w:tc>
        <w:tc>
          <w:tcPr>
            <w:tcW w:w="1016" w:type="dxa"/>
            <w:shd w:val="clear" w:color="auto" w:fill="auto"/>
            <w:noWrap/>
            <w:tcMar>
              <w:top w:w="0" w:type="dxa"/>
              <w:left w:w="108" w:type="dxa"/>
              <w:bottom w:w="0" w:type="dxa"/>
              <w:right w:w="108" w:type="dxa"/>
            </w:tcMar>
            <w:vAlign w:val="center"/>
            <w:hideMark/>
          </w:tcPr>
          <w:p w14:paraId="6D9C7A2B" w14:textId="33CE16D5"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A2C" w14:textId="044EAEB1"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A33" w14:textId="77777777" w:rsidTr="001964D7">
        <w:trPr>
          <w:trHeight w:val="1020"/>
        </w:trPr>
        <w:tc>
          <w:tcPr>
            <w:tcW w:w="716" w:type="dxa"/>
            <w:shd w:val="clear" w:color="auto" w:fill="auto"/>
            <w:noWrap/>
            <w:tcMar>
              <w:top w:w="0" w:type="dxa"/>
              <w:left w:w="108" w:type="dxa"/>
              <w:bottom w:w="0" w:type="dxa"/>
              <w:right w:w="108" w:type="dxa"/>
            </w:tcMar>
            <w:vAlign w:val="center"/>
            <w:hideMark/>
          </w:tcPr>
          <w:p w14:paraId="6D9C7A2E" w14:textId="77777777" w:rsidR="0035109B" w:rsidRDefault="0035109B" w:rsidP="001964D7">
            <w:pPr>
              <w:jc w:val="center"/>
              <w:rPr>
                <w:rFonts w:eastAsiaTheme="minorHAnsi" w:cs="Arial"/>
                <w:sz w:val="20"/>
                <w:szCs w:val="20"/>
              </w:rPr>
            </w:pPr>
            <w:r>
              <w:rPr>
                <w:rFonts w:cs="Arial"/>
                <w:sz w:val="20"/>
                <w:szCs w:val="20"/>
              </w:rPr>
              <w:t>B.13</w:t>
            </w:r>
          </w:p>
        </w:tc>
        <w:tc>
          <w:tcPr>
            <w:tcW w:w="4820" w:type="dxa"/>
            <w:shd w:val="clear" w:color="auto" w:fill="auto"/>
            <w:tcMar>
              <w:top w:w="0" w:type="dxa"/>
              <w:left w:w="108" w:type="dxa"/>
              <w:bottom w:w="0" w:type="dxa"/>
              <w:right w:w="108" w:type="dxa"/>
            </w:tcMar>
            <w:hideMark/>
          </w:tcPr>
          <w:p w14:paraId="6D9C7A2F" w14:textId="77777777" w:rsidR="0035109B" w:rsidRDefault="0035109B" w:rsidP="0035109B">
            <w:pPr>
              <w:jc w:val="left"/>
              <w:rPr>
                <w:rFonts w:eastAsiaTheme="minorHAnsi" w:cs="Arial"/>
                <w:sz w:val="20"/>
                <w:szCs w:val="20"/>
              </w:rPr>
            </w:pPr>
            <w:r>
              <w:rPr>
                <w:rFonts w:cs="Arial"/>
                <w:sz w:val="20"/>
                <w:szCs w:val="20"/>
              </w:rPr>
              <w:t>Provision of a civils crew with transportation and equipment for the purposes of excavating trial holes for base foundations; installing ducting and draw-pits and pulling cable. Per Half Day</w:t>
            </w:r>
          </w:p>
        </w:tc>
        <w:tc>
          <w:tcPr>
            <w:tcW w:w="1093" w:type="dxa"/>
            <w:shd w:val="clear" w:color="auto" w:fill="auto"/>
            <w:tcMar>
              <w:top w:w="0" w:type="dxa"/>
              <w:left w:w="108" w:type="dxa"/>
              <w:bottom w:w="0" w:type="dxa"/>
              <w:right w:w="108" w:type="dxa"/>
            </w:tcMar>
            <w:vAlign w:val="center"/>
            <w:hideMark/>
          </w:tcPr>
          <w:p w14:paraId="6D9C7A30" w14:textId="77777777" w:rsidR="0035109B" w:rsidRDefault="0035109B" w:rsidP="001964D7">
            <w:pPr>
              <w:jc w:val="center"/>
              <w:rPr>
                <w:rFonts w:eastAsiaTheme="minorHAnsi" w:cs="Arial"/>
                <w:sz w:val="20"/>
                <w:szCs w:val="20"/>
              </w:rPr>
            </w:pPr>
            <w:r>
              <w:rPr>
                <w:rFonts w:cs="Arial"/>
                <w:sz w:val="20"/>
                <w:szCs w:val="20"/>
              </w:rPr>
              <w:t>Half Day</w:t>
            </w:r>
          </w:p>
        </w:tc>
        <w:tc>
          <w:tcPr>
            <w:tcW w:w="1016" w:type="dxa"/>
            <w:shd w:val="clear" w:color="auto" w:fill="auto"/>
            <w:noWrap/>
            <w:tcMar>
              <w:top w:w="0" w:type="dxa"/>
              <w:left w:w="108" w:type="dxa"/>
              <w:bottom w:w="0" w:type="dxa"/>
              <w:right w:w="108" w:type="dxa"/>
            </w:tcMar>
            <w:vAlign w:val="center"/>
            <w:hideMark/>
          </w:tcPr>
          <w:p w14:paraId="6D9C7A31" w14:textId="59907073"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A32" w14:textId="1536D5CE" w:rsidR="0035109B" w:rsidRPr="006F5667" w:rsidRDefault="00DC3378" w:rsidP="001964D7">
            <w:pPr>
              <w:jc w:val="center"/>
              <w:rPr>
                <w:rFonts w:eastAsiaTheme="minorHAnsi" w:cs="Arial"/>
                <w:b/>
                <w:sz w:val="20"/>
                <w:szCs w:val="20"/>
              </w:rPr>
            </w:pPr>
            <w:r w:rsidRPr="006F5667">
              <w:rPr>
                <w:rFonts w:cs="Arial"/>
                <w:b/>
                <w:sz w:val="20"/>
                <w:szCs w:val="20"/>
              </w:rPr>
              <w:t>REDACTED</w:t>
            </w:r>
          </w:p>
        </w:tc>
      </w:tr>
      <w:tr w:rsidR="00115A12" w14:paraId="6D9C7A39" w14:textId="77777777" w:rsidTr="001964D7">
        <w:trPr>
          <w:trHeight w:val="1020"/>
        </w:trPr>
        <w:tc>
          <w:tcPr>
            <w:tcW w:w="716" w:type="dxa"/>
            <w:shd w:val="clear" w:color="auto" w:fill="auto"/>
            <w:noWrap/>
            <w:tcMar>
              <w:top w:w="0" w:type="dxa"/>
              <w:left w:w="108" w:type="dxa"/>
              <w:bottom w:w="0" w:type="dxa"/>
              <w:right w:w="108" w:type="dxa"/>
            </w:tcMar>
            <w:vAlign w:val="center"/>
            <w:hideMark/>
          </w:tcPr>
          <w:p w14:paraId="6D9C7A34" w14:textId="77777777" w:rsidR="0035109B" w:rsidRDefault="0035109B" w:rsidP="001964D7">
            <w:pPr>
              <w:jc w:val="center"/>
              <w:rPr>
                <w:rFonts w:eastAsiaTheme="minorHAnsi" w:cs="Arial"/>
                <w:sz w:val="20"/>
                <w:szCs w:val="20"/>
              </w:rPr>
            </w:pPr>
            <w:r>
              <w:rPr>
                <w:rFonts w:cs="Arial"/>
                <w:sz w:val="20"/>
                <w:szCs w:val="20"/>
              </w:rPr>
              <w:t>B.14</w:t>
            </w:r>
          </w:p>
        </w:tc>
        <w:tc>
          <w:tcPr>
            <w:tcW w:w="4820" w:type="dxa"/>
            <w:shd w:val="clear" w:color="auto" w:fill="auto"/>
            <w:tcMar>
              <w:top w:w="0" w:type="dxa"/>
              <w:left w:w="108" w:type="dxa"/>
              <w:bottom w:w="0" w:type="dxa"/>
              <w:right w:w="108" w:type="dxa"/>
            </w:tcMar>
            <w:hideMark/>
          </w:tcPr>
          <w:p w14:paraId="6D9C7A35" w14:textId="77777777" w:rsidR="0035109B" w:rsidRDefault="0035109B" w:rsidP="0035109B">
            <w:pPr>
              <w:jc w:val="left"/>
              <w:rPr>
                <w:rFonts w:eastAsiaTheme="minorHAnsi" w:cs="Arial"/>
                <w:sz w:val="20"/>
                <w:szCs w:val="20"/>
              </w:rPr>
            </w:pPr>
            <w:r>
              <w:rPr>
                <w:rFonts w:cs="Arial"/>
                <w:sz w:val="20"/>
                <w:szCs w:val="20"/>
              </w:rPr>
              <w:t>Provision of a civils crew with transportation and equipment for the purposes of excavating trial holes for base foundations; installing ducting and draw-pits and pulling cable. Per Full Day</w:t>
            </w:r>
          </w:p>
        </w:tc>
        <w:tc>
          <w:tcPr>
            <w:tcW w:w="1093" w:type="dxa"/>
            <w:shd w:val="clear" w:color="auto" w:fill="auto"/>
            <w:tcMar>
              <w:top w:w="0" w:type="dxa"/>
              <w:left w:w="108" w:type="dxa"/>
              <w:bottom w:w="0" w:type="dxa"/>
              <w:right w:w="108" w:type="dxa"/>
            </w:tcMar>
            <w:vAlign w:val="center"/>
            <w:hideMark/>
          </w:tcPr>
          <w:p w14:paraId="6D9C7A36" w14:textId="77777777" w:rsidR="0035109B" w:rsidRDefault="0035109B" w:rsidP="001964D7">
            <w:pPr>
              <w:jc w:val="center"/>
              <w:rPr>
                <w:rFonts w:eastAsiaTheme="minorHAnsi" w:cs="Arial"/>
                <w:sz w:val="20"/>
                <w:szCs w:val="20"/>
              </w:rPr>
            </w:pPr>
            <w:r>
              <w:rPr>
                <w:rFonts w:cs="Arial"/>
                <w:sz w:val="20"/>
                <w:szCs w:val="20"/>
              </w:rPr>
              <w:t>Full Day</w:t>
            </w:r>
          </w:p>
        </w:tc>
        <w:tc>
          <w:tcPr>
            <w:tcW w:w="1016" w:type="dxa"/>
            <w:shd w:val="clear" w:color="auto" w:fill="auto"/>
            <w:noWrap/>
            <w:tcMar>
              <w:top w:w="0" w:type="dxa"/>
              <w:left w:w="108" w:type="dxa"/>
              <w:bottom w:w="0" w:type="dxa"/>
              <w:right w:w="108" w:type="dxa"/>
            </w:tcMar>
            <w:vAlign w:val="center"/>
            <w:hideMark/>
          </w:tcPr>
          <w:p w14:paraId="6D9C7A37" w14:textId="73B4F422" w:rsidR="0035109B" w:rsidRPr="006F5667" w:rsidRDefault="00DC3378" w:rsidP="001964D7">
            <w:pPr>
              <w:jc w:val="center"/>
              <w:rPr>
                <w:rFonts w:eastAsiaTheme="minorHAnsi" w:cs="Arial"/>
                <w:b/>
                <w:sz w:val="20"/>
                <w:szCs w:val="20"/>
              </w:rPr>
            </w:pPr>
            <w:r w:rsidRPr="006F5667">
              <w:rPr>
                <w:rFonts w:cs="Arial"/>
                <w:b/>
                <w:sz w:val="20"/>
                <w:szCs w:val="20"/>
              </w:rPr>
              <w:t>REDACTED</w:t>
            </w:r>
          </w:p>
        </w:tc>
        <w:tc>
          <w:tcPr>
            <w:tcW w:w="1275" w:type="dxa"/>
            <w:shd w:val="clear" w:color="auto" w:fill="auto"/>
            <w:noWrap/>
            <w:tcMar>
              <w:top w:w="0" w:type="dxa"/>
              <w:left w:w="108" w:type="dxa"/>
              <w:bottom w:w="0" w:type="dxa"/>
              <w:right w:w="108" w:type="dxa"/>
            </w:tcMar>
            <w:vAlign w:val="center"/>
            <w:hideMark/>
          </w:tcPr>
          <w:p w14:paraId="6D9C7A38" w14:textId="0006B451" w:rsidR="0035109B" w:rsidRPr="006F5667" w:rsidRDefault="00DC3378" w:rsidP="001964D7">
            <w:pPr>
              <w:jc w:val="center"/>
              <w:rPr>
                <w:rFonts w:eastAsiaTheme="minorHAnsi" w:cs="Arial"/>
                <w:b/>
                <w:sz w:val="20"/>
                <w:szCs w:val="20"/>
              </w:rPr>
            </w:pPr>
            <w:r w:rsidRPr="006F5667">
              <w:rPr>
                <w:rFonts w:cs="Arial"/>
                <w:b/>
                <w:sz w:val="20"/>
                <w:szCs w:val="20"/>
              </w:rPr>
              <w:t>REDACTED</w:t>
            </w:r>
          </w:p>
        </w:tc>
      </w:tr>
    </w:tbl>
    <w:p w14:paraId="6D9C7A3B" w14:textId="77777777" w:rsidR="00CC08AA" w:rsidRDefault="00CC08AA">
      <w:pPr>
        <w:jc w:val="left"/>
        <w:rPr>
          <w:rFonts w:cs="Arial"/>
          <w:b/>
          <w:bCs/>
          <w:color w:val="000000"/>
          <w:sz w:val="24"/>
          <w:szCs w:val="24"/>
        </w:rPr>
      </w:pPr>
      <w:bookmarkStart w:id="78" w:name="_GoBack"/>
      <w:bookmarkEnd w:id="78"/>
      <w:r>
        <w:rPr>
          <w:rFonts w:cs="Arial"/>
          <w:b/>
          <w:bCs/>
          <w:color w:val="000000"/>
          <w:sz w:val="24"/>
          <w:szCs w:val="24"/>
        </w:rPr>
        <w:br w:type="page"/>
      </w:r>
    </w:p>
    <w:p w14:paraId="6D9C7A3C" w14:textId="77777777" w:rsidR="00CC08AA" w:rsidRPr="0035109B" w:rsidRDefault="00CC08AA" w:rsidP="00CC08AA">
      <w:pPr>
        <w:pStyle w:val="ssPara1"/>
        <w:rPr>
          <w:rFonts w:cs="Arial"/>
          <w:b/>
          <w:bCs/>
          <w:color w:val="000000"/>
          <w:sz w:val="24"/>
          <w:szCs w:val="24"/>
        </w:rPr>
      </w:pPr>
      <w:r>
        <w:rPr>
          <w:rFonts w:cs="Arial"/>
          <w:b/>
          <w:bCs/>
          <w:color w:val="000000"/>
          <w:sz w:val="24"/>
          <w:szCs w:val="24"/>
        </w:rPr>
        <w:lastRenderedPageBreak/>
        <w:t>One-off arrangement fees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1"/>
        <w:gridCol w:w="3969"/>
        <w:gridCol w:w="1328"/>
        <w:gridCol w:w="1560"/>
        <w:gridCol w:w="1417"/>
      </w:tblGrid>
      <w:tr w:rsidR="00CC08AA" w14:paraId="6D9C7A40" w14:textId="77777777" w:rsidTr="00C937F8">
        <w:trPr>
          <w:trHeight w:val="255"/>
        </w:trPr>
        <w:tc>
          <w:tcPr>
            <w:tcW w:w="1101" w:type="dxa"/>
            <w:tcBorders>
              <w:top w:val="nil"/>
              <w:left w:val="nil"/>
              <w:right w:val="nil"/>
            </w:tcBorders>
            <w:shd w:val="clear" w:color="auto" w:fill="auto"/>
            <w:noWrap/>
            <w:tcMar>
              <w:top w:w="0" w:type="dxa"/>
              <w:left w:w="108" w:type="dxa"/>
              <w:bottom w:w="0" w:type="dxa"/>
              <w:right w:w="108" w:type="dxa"/>
            </w:tcMar>
            <w:vAlign w:val="bottom"/>
            <w:hideMark/>
          </w:tcPr>
          <w:p w14:paraId="6D9C7A3D" w14:textId="77777777" w:rsidR="00CC08AA" w:rsidRDefault="00CC08AA">
            <w:pPr>
              <w:rPr>
                <w:rFonts w:asciiTheme="minorHAnsi" w:eastAsiaTheme="minorEastAsia" w:hAnsiTheme="minorHAnsi" w:cstheme="minorBidi"/>
              </w:rPr>
            </w:pPr>
          </w:p>
        </w:tc>
        <w:tc>
          <w:tcPr>
            <w:tcW w:w="3969" w:type="dxa"/>
            <w:tcBorders>
              <w:top w:val="nil"/>
              <w:left w:val="nil"/>
            </w:tcBorders>
            <w:shd w:val="clear" w:color="auto" w:fill="auto"/>
            <w:noWrap/>
            <w:tcMar>
              <w:top w:w="0" w:type="dxa"/>
              <w:left w:w="108" w:type="dxa"/>
              <w:bottom w:w="0" w:type="dxa"/>
              <w:right w:w="108" w:type="dxa"/>
            </w:tcMar>
            <w:vAlign w:val="bottom"/>
            <w:hideMark/>
          </w:tcPr>
          <w:p w14:paraId="6D9C7A3E" w14:textId="77777777" w:rsidR="00CC08AA" w:rsidRDefault="00CC08AA">
            <w:pPr>
              <w:rPr>
                <w:rFonts w:asciiTheme="minorHAnsi" w:eastAsiaTheme="minorEastAsia" w:hAnsiTheme="minorHAnsi" w:cstheme="minorBidi"/>
              </w:rPr>
            </w:pPr>
          </w:p>
        </w:tc>
        <w:tc>
          <w:tcPr>
            <w:tcW w:w="4252" w:type="dxa"/>
            <w:gridSpan w:val="3"/>
            <w:shd w:val="clear" w:color="auto" w:fill="auto"/>
            <w:noWrap/>
            <w:tcMar>
              <w:top w:w="0" w:type="dxa"/>
              <w:left w:w="108" w:type="dxa"/>
              <w:bottom w:w="0" w:type="dxa"/>
              <w:right w:w="108" w:type="dxa"/>
            </w:tcMar>
            <w:vAlign w:val="bottom"/>
            <w:hideMark/>
          </w:tcPr>
          <w:p w14:paraId="6D9C7A3F" w14:textId="77777777" w:rsidR="00CC08AA" w:rsidRDefault="00CC08AA">
            <w:pPr>
              <w:jc w:val="center"/>
              <w:rPr>
                <w:rFonts w:eastAsiaTheme="minorHAnsi" w:cs="Arial"/>
                <w:color w:val="000000"/>
                <w:sz w:val="20"/>
                <w:szCs w:val="20"/>
              </w:rPr>
            </w:pPr>
            <w:r>
              <w:rPr>
                <w:rFonts w:cs="Arial"/>
                <w:color w:val="000000"/>
                <w:sz w:val="20"/>
                <w:szCs w:val="20"/>
              </w:rPr>
              <w:t>For a value of:</w:t>
            </w:r>
          </w:p>
        </w:tc>
      </w:tr>
      <w:tr w:rsidR="00CC08AA" w14:paraId="6D9C7A46" w14:textId="77777777" w:rsidTr="001964D7">
        <w:trPr>
          <w:trHeight w:val="255"/>
        </w:trPr>
        <w:tc>
          <w:tcPr>
            <w:tcW w:w="1101" w:type="dxa"/>
            <w:shd w:val="clear" w:color="auto" w:fill="auto"/>
            <w:tcMar>
              <w:top w:w="0" w:type="dxa"/>
              <w:left w:w="108" w:type="dxa"/>
              <w:bottom w:w="0" w:type="dxa"/>
              <w:right w:w="108" w:type="dxa"/>
            </w:tcMar>
            <w:vAlign w:val="center"/>
            <w:hideMark/>
          </w:tcPr>
          <w:p w14:paraId="6D9C7A41" w14:textId="77777777" w:rsidR="00CC08AA" w:rsidRDefault="00CC08AA" w:rsidP="001964D7">
            <w:pPr>
              <w:jc w:val="center"/>
              <w:rPr>
                <w:rFonts w:eastAsiaTheme="minorHAnsi" w:cs="Arial"/>
                <w:b/>
                <w:bCs/>
                <w:sz w:val="20"/>
                <w:szCs w:val="20"/>
              </w:rPr>
            </w:pPr>
            <w:r>
              <w:rPr>
                <w:rFonts w:cs="Arial"/>
                <w:b/>
                <w:bCs/>
                <w:sz w:val="20"/>
                <w:szCs w:val="20"/>
              </w:rPr>
              <w:t>Code</w:t>
            </w:r>
          </w:p>
        </w:tc>
        <w:tc>
          <w:tcPr>
            <w:tcW w:w="3969" w:type="dxa"/>
            <w:shd w:val="clear" w:color="auto" w:fill="auto"/>
            <w:tcMar>
              <w:top w:w="0" w:type="dxa"/>
              <w:left w:w="108" w:type="dxa"/>
              <w:bottom w:w="0" w:type="dxa"/>
              <w:right w:w="108" w:type="dxa"/>
            </w:tcMar>
            <w:vAlign w:val="center"/>
            <w:hideMark/>
          </w:tcPr>
          <w:p w14:paraId="6D9C7A42" w14:textId="77777777" w:rsidR="00CC08AA" w:rsidRDefault="00CC08AA" w:rsidP="001964D7">
            <w:pPr>
              <w:jc w:val="center"/>
              <w:rPr>
                <w:rFonts w:eastAsiaTheme="minorHAnsi" w:cs="Arial"/>
                <w:b/>
                <w:bCs/>
                <w:sz w:val="20"/>
                <w:szCs w:val="20"/>
              </w:rPr>
            </w:pPr>
            <w:r>
              <w:rPr>
                <w:rFonts w:cs="Arial"/>
                <w:b/>
                <w:bCs/>
                <w:sz w:val="20"/>
                <w:szCs w:val="20"/>
              </w:rPr>
              <w:t>Description</w:t>
            </w:r>
          </w:p>
        </w:tc>
        <w:tc>
          <w:tcPr>
            <w:tcW w:w="1275" w:type="dxa"/>
            <w:shd w:val="clear" w:color="auto" w:fill="auto"/>
            <w:tcMar>
              <w:top w:w="0" w:type="dxa"/>
              <w:left w:w="108" w:type="dxa"/>
              <w:bottom w:w="0" w:type="dxa"/>
              <w:right w:w="108" w:type="dxa"/>
            </w:tcMar>
            <w:vAlign w:val="center"/>
            <w:hideMark/>
          </w:tcPr>
          <w:p w14:paraId="6D9C7A43" w14:textId="77777777" w:rsidR="00CC08AA" w:rsidRDefault="00CC08AA" w:rsidP="001964D7">
            <w:pPr>
              <w:jc w:val="center"/>
              <w:rPr>
                <w:rFonts w:eastAsiaTheme="minorHAnsi" w:cs="Arial"/>
                <w:b/>
                <w:bCs/>
                <w:sz w:val="20"/>
                <w:szCs w:val="20"/>
              </w:rPr>
            </w:pPr>
            <w:r>
              <w:rPr>
                <w:rFonts w:cs="Arial"/>
                <w:b/>
                <w:bCs/>
                <w:sz w:val="20"/>
                <w:szCs w:val="20"/>
              </w:rPr>
              <w:t>Up to £10k</w:t>
            </w:r>
          </w:p>
        </w:tc>
        <w:tc>
          <w:tcPr>
            <w:tcW w:w="1560" w:type="dxa"/>
            <w:shd w:val="clear" w:color="auto" w:fill="auto"/>
            <w:tcMar>
              <w:top w:w="0" w:type="dxa"/>
              <w:left w:w="108" w:type="dxa"/>
              <w:bottom w:w="0" w:type="dxa"/>
              <w:right w:w="108" w:type="dxa"/>
            </w:tcMar>
            <w:vAlign w:val="center"/>
            <w:hideMark/>
          </w:tcPr>
          <w:p w14:paraId="6D9C7A44" w14:textId="77777777" w:rsidR="00CC08AA" w:rsidRDefault="00CC08AA" w:rsidP="001964D7">
            <w:pPr>
              <w:jc w:val="center"/>
              <w:rPr>
                <w:rFonts w:eastAsiaTheme="minorHAnsi" w:cs="Arial"/>
                <w:b/>
                <w:bCs/>
                <w:sz w:val="20"/>
                <w:szCs w:val="20"/>
              </w:rPr>
            </w:pPr>
            <w:r>
              <w:rPr>
                <w:rFonts w:cs="Arial"/>
                <w:b/>
                <w:bCs/>
                <w:sz w:val="20"/>
                <w:szCs w:val="20"/>
              </w:rPr>
              <w:t>£10k to £100k</w:t>
            </w:r>
          </w:p>
        </w:tc>
        <w:tc>
          <w:tcPr>
            <w:tcW w:w="1417" w:type="dxa"/>
            <w:shd w:val="clear" w:color="auto" w:fill="auto"/>
            <w:tcMar>
              <w:top w:w="0" w:type="dxa"/>
              <w:left w:w="108" w:type="dxa"/>
              <w:bottom w:w="0" w:type="dxa"/>
              <w:right w:w="108" w:type="dxa"/>
            </w:tcMar>
            <w:vAlign w:val="center"/>
            <w:hideMark/>
          </w:tcPr>
          <w:p w14:paraId="6D9C7A45" w14:textId="77777777" w:rsidR="00CC08AA" w:rsidRDefault="00CC08AA" w:rsidP="001964D7">
            <w:pPr>
              <w:jc w:val="center"/>
              <w:rPr>
                <w:rFonts w:eastAsiaTheme="minorHAnsi" w:cs="Arial"/>
                <w:b/>
                <w:bCs/>
                <w:sz w:val="20"/>
                <w:szCs w:val="20"/>
              </w:rPr>
            </w:pPr>
            <w:r>
              <w:rPr>
                <w:rFonts w:cs="Arial"/>
                <w:b/>
                <w:bCs/>
                <w:sz w:val="20"/>
                <w:szCs w:val="20"/>
              </w:rPr>
              <w:t>Over £100k</w:t>
            </w:r>
          </w:p>
        </w:tc>
      </w:tr>
      <w:tr w:rsidR="00CC08AA" w14:paraId="6D9C7A4C" w14:textId="77777777" w:rsidTr="00C937F8">
        <w:trPr>
          <w:trHeight w:val="255"/>
        </w:trPr>
        <w:tc>
          <w:tcPr>
            <w:tcW w:w="1101" w:type="dxa"/>
            <w:shd w:val="clear" w:color="auto" w:fill="auto"/>
            <w:noWrap/>
            <w:tcMar>
              <w:top w:w="0" w:type="dxa"/>
              <w:left w:w="108" w:type="dxa"/>
              <w:bottom w:w="0" w:type="dxa"/>
              <w:right w:w="108" w:type="dxa"/>
            </w:tcMar>
            <w:vAlign w:val="center"/>
            <w:hideMark/>
          </w:tcPr>
          <w:p w14:paraId="6D9C7A47" w14:textId="77777777" w:rsidR="00CC08AA" w:rsidRDefault="00CC08AA" w:rsidP="00C937F8">
            <w:pPr>
              <w:jc w:val="center"/>
              <w:rPr>
                <w:rFonts w:eastAsiaTheme="minorHAnsi" w:cs="Arial"/>
                <w:sz w:val="20"/>
                <w:szCs w:val="20"/>
              </w:rPr>
            </w:pPr>
            <w:r>
              <w:rPr>
                <w:rFonts w:cs="Arial"/>
                <w:sz w:val="20"/>
                <w:szCs w:val="20"/>
              </w:rPr>
              <w:t>C.1</w:t>
            </w:r>
          </w:p>
        </w:tc>
        <w:tc>
          <w:tcPr>
            <w:tcW w:w="3969" w:type="dxa"/>
            <w:shd w:val="clear" w:color="auto" w:fill="auto"/>
            <w:noWrap/>
            <w:tcMar>
              <w:top w:w="0" w:type="dxa"/>
              <w:left w:w="108" w:type="dxa"/>
              <w:bottom w:w="0" w:type="dxa"/>
              <w:right w:w="108" w:type="dxa"/>
            </w:tcMar>
            <w:vAlign w:val="center"/>
            <w:hideMark/>
          </w:tcPr>
          <w:p w14:paraId="6D9C7A48" w14:textId="77777777" w:rsidR="00CC08AA" w:rsidRDefault="00CC08AA" w:rsidP="00C937F8">
            <w:pPr>
              <w:jc w:val="left"/>
              <w:rPr>
                <w:rFonts w:eastAsiaTheme="minorHAnsi" w:cs="Arial"/>
                <w:sz w:val="20"/>
                <w:szCs w:val="20"/>
              </w:rPr>
            </w:pPr>
            <w:r>
              <w:rPr>
                <w:rFonts w:cs="Arial"/>
                <w:sz w:val="20"/>
                <w:szCs w:val="20"/>
              </w:rPr>
              <w:t>Overhead rate (%) on bought in items of equipment</w:t>
            </w:r>
          </w:p>
        </w:tc>
        <w:tc>
          <w:tcPr>
            <w:tcW w:w="1275" w:type="dxa"/>
            <w:shd w:val="clear" w:color="auto" w:fill="auto"/>
            <w:noWrap/>
            <w:tcMar>
              <w:top w:w="0" w:type="dxa"/>
              <w:left w:w="108" w:type="dxa"/>
              <w:bottom w:w="0" w:type="dxa"/>
              <w:right w:w="108" w:type="dxa"/>
            </w:tcMar>
            <w:vAlign w:val="center"/>
            <w:hideMark/>
          </w:tcPr>
          <w:p w14:paraId="6D9C7A49" w14:textId="1C403390" w:rsidR="00CC08AA" w:rsidRPr="006F5667" w:rsidRDefault="00DC3378" w:rsidP="00C937F8">
            <w:pPr>
              <w:jc w:val="center"/>
              <w:rPr>
                <w:rFonts w:eastAsiaTheme="minorHAnsi" w:cs="Arial"/>
                <w:b/>
                <w:sz w:val="20"/>
                <w:szCs w:val="20"/>
              </w:rPr>
            </w:pPr>
            <w:r w:rsidRPr="006F5667">
              <w:rPr>
                <w:rFonts w:cs="Arial"/>
                <w:b/>
                <w:sz w:val="20"/>
                <w:szCs w:val="20"/>
              </w:rPr>
              <w:t>REDACTED</w:t>
            </w:r>
          </w:p>
        </w:tc>
        <w:tc>
          <w:tcPr>
            <w:tcW w:w="1560" w:type="dxa"/>
            <w:shd w:val="clear" w:color="auto" w:fill="auto"/>
            <w:noWrap/>
            <w:tcMar>
              <w:top w:w="0" w:type="dxa"/>
              <w:left w:w="108" w:type="dxa"/>
              <w:bottom w:w="0" w:type="dxa"/>
              <w:right w:w="108" w:type="dxa"/>
            </w:tcMar>
            <w:vAlign w:val="center"/>
            <w:hideMark/>
          </w:tcPr>
          <w:p w14:paraId="6D9C7A4A" w14:textId="6606CE43" w:rsidR="00CC08AA" w:rsidRPr="006F5667" w:rsidRDefault="00DC3378" w:rsidP="00C937F8">
            <w:pPr>
              <w:jc w:val="center"/>
              <w:rPr>
                <w:rFonts w:eastAsiaTheme="minorHAnsi" w:cs="Arial"/>
                <w:b/>
                <w:sz w:val="20"/>
                <w:szCs w:val="20"/>
              </w:rPr>
            </w:pPr>
            <w:r w:rsidRPr="006F5667">
              <w:rPr>
                <w:rFonts w:cs="Arial"/>
                <w:b/>
                <w:sz w:val="20"/>
                <w:szCs w:val="20"/>
              </w:rPr>
              <w:t>REDACTED</w:t>
            </w:r>
          </w:p>
        </w:tc>
        <w:tc>
          <w:tcPr>
            <w:tcW w:w="1417" w:type="dxa"/>
            <w:shd w:val="clear" w:color="auto" w:fill="auto"/>
            <w:noWrap/>
            <w:tcMar>
              <w:top w:w="0" w:type="dxa"/>
              <w:left w:w="108" w:type="dxa"/>
              <w:bottom w:w="0" w:type="dxa"/>
              <w:right w:w="108" w:type="dxa"/>
            </w:tcMar>
            <w:vAlign w:val="center"/>
            <w:hideMark/>
          </w:tcPr>
          <w:p w14:paraId="6D9C7A4B" w14:textId="2E23DB99" w:rsidR="00CC08AA" w:rsidRPr="006F5667" w:rsidRDefault="00DC3378" w:rsidP="00C937F8">
            <w:pPr>
              <w:jc w:val="center"/>
              <w:rPr>
                <w:rFonts w:eastAsiaTheme="minorHAnsi" w:cs="Arial"/>
                <w:b/>
                <w:sz w:val="20"/>
                <w:szCs w:val="20"/>
              </w:rPr>
            </w:pPr>
            <w:r w:rsidRPr="006F5667">
              <w:rPr>
                <w:rFonts w:cs="Arial"/>
                <w:b/>
                <w:sz w:val="20"/>
                <w:szCs w:val="20"/>
              </w:rPr>
              <w:t>REDACTED</w:t>
            </w:r>
          </w:p>
        </w:tc>
      </w:tr>
      <w:tr w:rsidR="00CC08AA" w14:paraId="6D9C7A52" w14:textId="77777777" w:rsidTr="00C937F8">
        <w:trPr>
          <w:trHeight w:val="255"/>
        </w:trPr>
        <w:tc>
          <w:tcPr>
            <w:tcW w:w="1101" w:type="dxa"/>
            <w:shd w:val="clear" w:color="auto" w:fill="auto"/>
            <w:noWrap/>
            <w:tcMar>
              <w:top w:w="0" w:type="dxa"/>
              <w:left w:w="108" w:type="dxa"/>
              <w:bottom w:w="0" w:type="dxa"/>
              <w:right w:w="108" w:type="dxa"/>
            </w:tcMar>
            <w:vAlign w:val="center"/>
            <w:hideMark/>
          </w:tcPr>
          <w:p w14:paraId="6D9C7A4D" w14:textId="77777777" w:rsidR="00CC08AA" w:rsidRDefault="00CC08AA" w:rsidP="00C937F8">
            <w:pPr>
              <w:jc w:val="center"/>
              <w:rPr>
                <w:rFonts w:eastAsiaTheme="minorHAnsi" w:cs="Arial"/>
                <w:sz w:val="20"/>
                <w:szCs w:val="20"/>
              </w:rPr>
            </w:pPr>
            <w:r>
              <w:rPr>
                <w:rFonts w:cs="Arial"/>
                <w:sz w:val="20"/>
                <w:szCs w:val="20"/>
              </w:rPr>
              <w:t>C.2</w:t>
            </w:r>
          </w:p>
        </w:tc>
        <w:tc>
          <w:tcPr>
            <w:tcW w:w="3969" w:type="dxa"/>
            <w:shd w:val="clear" w:color="auto" w:fill="auto"/>
            <w:noWrap/>
            <w:tcMar>
              <w:top w:w="0" w:type="dxa"/>
              <w:left w:w="108" w:type="dxa"/>
              <w:bottom w:w="0" w:type="dxa"/>
              <w:right w:w="108" w:type="dxa"/>
            </w:tcMar>
            <w:vAlign w:val="center"/>
            <w:hideMark/>
          </w:tcPr>
          <w:p w14:paraId="6D9C7A4E" w14:textId="77777777" w:rsidR="00CC08AA" w:rsidRDefault="00CC08AA" w:rsidP="00C937F8">
            <w:pPr>
              <w:jc w:val="left"/>
              <w:rPr>
                <w:rFonts w:eastAsiaTheme="minorHAnsi" w:cs="Arial"/>
                <w:sz w:val="20"/>
                <w:szCs w:val="20"/>
              </w:rPr>
            </w:pPr>
            <w:r>
              <w:rPr>
                <w:rFonts w:cs="Arial"/>
                <w:sz w:val="20"/>
                <w:szCs w:val="20"/>
              </w:rPr>
              <w:t>Overhead rate (%) on bought in services and specialist labour</w:t>
            </w:r>
          </w:p>
        </w:tc>
        <w:tc>
          <w:tcPr>
            <w:tcW w:w="1275" w:type="dxa"/>
            <w:shd w:val="clear" w:color="auto" w:fill="auto"/>
            <w:noWrap/>
            <w:tcMar>
              <w:top w:w="0" w:type="dxa"/>
              <w:left w:w="108" w:type="dxa"/>
              <w:bottom w:w="0" w:type="dxa"/>
              <w:right w:w="108" w:type="dxa"/>
            </w:tcMar>
            <w:vAlign w:val="center"/>
            <w:hideMark/>
          </w:tcPr>
          <w:p w14:paraId="6D9C7A4F" w14:textId="30AC4EB4" w:rsidR="00CC08AA" w:rsidRPr="006F5667" w:rsidRDefault="00DC3378" w:rsidP="00C937F8">
            <w:pPr>
              <w:jc w:val="center"/>
              <w:rPr>
                <w:rFonts w:eastAsiaTheme="minorHAnsi" w:cs="Arial"/>
                <w:b/>
                <w:sz w:val="20"/>
                <w:szCs w:val="20"/>
              </w:rPr>
            </w:pPr>
            <w:r w:rsidRPr="006F5667">
              <w:rPr>
                <w:rFonts w:cs="Arial"/>
                <w:b/>
                <w:sz w:val="20"/>
                <w:szCs w:val="20"/>
              </w:rPr>
              <w:t>REDACTED</w:t>
            </w:r>
          </w:p>
        </w:tc>
        <w:tc>
          <w:tcPr>
            <w:tcW w:w="1560" w:type="dxa"/>
            <w:shd w:val="clear" w:color="auto" w:fill="auto"/>
            <w:noWrap/>
            <w:tcMar>
              <w:top w:w="0" w:type="dxa"/>
              <w:left w:w="108" w:type="dxa"/>
              <w:bottom w:w="0" w:type="dxa"/>
              <w:right w:w="108" w:type="dxa"/>
            </w:tcMar>
            <w:vAlign w:val="center"/>
            <w:hideMark/>
          </w:tcPr>
          <w:p w14:paraId="6D9C7A50" w14:textId="5D542C3A" w:rsidR="00CC08AA" w:rsidRPr="006F5667" w:rsidRDefault="00DC3378" w:rsidP="00C937F8">
            <w:pPr>
              <w:jc w:val="center"/>
              <w:rPr>
                <w:rFonts w:eastAsiaTheme="minorHAnsi" w:cs="Arial"/>
                <w:b/>
                <w:sz w:val="20"/>
                <w:szCs w:val="20"/>
              </w:rPr>
            </w:pPr>
            <w:r w:rsidRPr="006F5667">
              <w:rPr>
                <w:rFonts w:cs="Arial"/>
                <w:b/>
                <w:sz w:val="20"/>
                <w:szCs w:val="20"/>
              </w:rPr>
              <w:t>REDACTED</w:t>
            </w:r>
          </w:p>
        </w:tc>
        <w:tc>
          <w:tcPr>
            <w:tcW w:w="1417" w:type="dxa"/>
            <w:shd w:val="clear" w:color="auto" w:fill="auto"/>
            <w:noWrap/>
            <w:tcMar>
              <w:top w:w="0" w:type="dxa"/>
              <w:left w:w="108" w:type="dxa"/>
              <w:bottom w:w="0" w:type="dxa"/>
              <w:right w:w="108" w:type="dxa"/>
            </w:tcMar>
            <w:vAlign w:val="center"/>
            <w:hideMark/>
          </w:tcPr>
          <w:p w14:paraId="6D9C7A51" w14:textId="013188F0" w:rsidR="00CC08AA" w:rsidRPr="006F5667" w:rsidRDefault="00DC3378" w:rsidP="00C937F8">
            <w:pPr>
              <w:jc w:val="center"/>
              <w:rPr>
                <w:rFonts w:eastAsiaTheme="minorHAnsi" w:cs="Arial"/>
                <w:b/>
                <w:sz w:val="20"/>
                <w:szCs w:val="20"/>
              </w:rPr>
            </w:pPr>
            <w:r w:rsidRPr="006F5667">
              <w:rPr>
                <w:rFonts w:cs="Arial"/>
                <w:b/>
                <w:sz w:val="20"/>
                <w:szCs w:val="20"/>
              </w:rPr>
              <w:t>REDACTED</w:t>
            </w:r>
          </w:p>
        </w:tc>
      </w:tr>
    </w:tbl>
    <w:p w14:paraId="6D9C7A53" w14:textId="77777777" w:rsidR="00CC08AA" w:rsidRDefault="00CC08AA" w:rsidP="00CC08AA">
      <w:pPr>
        <w:pStyle w:val="ssPara1"/>
        <w:spacing w:after="0"/>
      </w:pPr>
    </w:p>
    <w:p w14:paraId="6D9C7A54" w14:textId="77777777" w:rsidR="00CC08AA" w:rsidRDefault="00CC08AA" w:rsidP="00CC08AA">
      <w:pPr>
        <w:pStyle w:val="ssPara1"/>
        <w:spacing w:after="0"/>
      </w:pPr>
    </w:p>
    <w:p w14:paraId="6D9C7A55" w14:textId="77777777" w:rsidR="00CC08AA" w:rsidRPr="00061416" w:rsidRDefault="008F5AB6" w:rsidP="00CC08AA">
      <w:pPr>
        <w:pStyle w:val="ssPara1"/>
        <w:spacing w:after="120"/>
        <w:rPr>
          <w:b/>
          <w:sz w:val="24"/>
        </w:rPr>
      </w:pPr>
      <w:r w:rsidRPr="008F5AB6">
        <w:rPr>
          <w:b/>
          <w:sz w:val="24"/>
        </w:rPr>
        <w:t>Notes:</w:t>
      </w:r>
    </w:p>
    <w:p w14:paraId="6D9C7A56" w14:textId="77777777" w:rsidR="00CC08AA" w:rsidRPr="00994C47" w:rsidRDefault="00CC08AA" w:rsidP="00CC08AA">
      <w:pPr>
        <w:pStyle w:val="ssPara1"/>
        <w:spacing w:after="120"/>
      </w:pPr>
      <w:r w:rsidRPr="00994C47">
        <w:rPr>
          <w:bCs/>
        </w:rPr>
        <w:t>Hourly rates are inclusive of all associated costs.</w:t>
      </w:r>
    </w:p>
    <w:p w14:paraId="6D9C7A57" w14:textId="77777777" w:rsidR="00CC08AA" w:rsidRPr="00994C47" w:rsidRDefault="00CC08AA" w:rsidP="00CC08AA">
      <w:pPr>
        <w:pStyle w:val="ssPara1"/>
        <w:spacing w:after="120"/>
      </w:pPr>
      <w:r w:rsidRPr="00994C47">
        <w:t>Full day: any period of continuous work/use with a duration of 8 hours.</w:t>
      </w:r>
    </w:p>
    <w:p w14:paraId="6D9C7A58" w14:textId="77777777" w:rsidR="00CC08AA" w:rsidRPr="00783E7B" w:rsidRDefault="00CC08AA" w:rsidP="00CC08AA">
      <w:pPr>
        <w:pStyle w:val="ssPara1"/>
        <w:spacing w:after="120"/>
      </w:pPr>
      <w:r w:rsidRPr="00994C47">
        <w:t>Half day: any period of continuous work/use with a duration of 4 hours.</w:t>
      </w:r>
    </w:p>
    <w:p w14:paraId="6D9C7A59" w14:textId="77777777" w:rsidR="00CC08AA" w:rsidRDefault="00CC08AA" w:rsidP="00CC08AA">
      <w:pPr>
        <w:spacing w:after="60" w:line="312" w:lineRule="auto"/>
        <w:jc w:val="left"/>
        <w:outlineLvl w:val="1"/>
        <w:rPr>
          <w:b/>
          <w:bCs/>
        </w:rPr>
      </w:pPr>
      <w:r w:rsidRPr="00167678">
        <w:rPr>
          <w:b/>
          <w:bCs/>
        </w:rPr>
        <w:t xml:space="preserve">Activities in normal working hours </w:t>
      </w:r>
    </w:p>
    <w:p w14:paraId="6D9C7A5A" w14:textId="77777777" w:rsidR="00CC08AA" w:rsidRDefault="00CC08AA" w:rsidP="00CC08AA">
      <w:pPr>
        <w:spacing w:after="120" w:line="312" w:lineRule="auto"/>
        <w:ind w:left="720"/>
        <w:jc w:val="left"/>
        <w:outlineLvl w:val="1"/>
      </w:pPr>
      <w:r w:rsidRPr="00167678">
        <w:rPr>
          <w:bCs/>
        </w:rPr>
        <w:t>(</w:t>
      </w:r>
      <w:r w:rsidRPr="00167678">
        <w:t>06:00 – 20:00 Mon – Fri; excluding bank holidays).</w:t>
      </w:r>
    </w:p>
    <w:p w14:paraId="6D9C7A5B" w14:textId="77777777" w:rsidR="003365A6" w:rsidRDefault="00CC08AA">
      <w:pPr>
        <w:pStyle w:val="ssPara1"/>
        <w:spacing w:after="60"/>
        <w:rPr>
          <w:b/>
        </w:rPr>
      </w:pPr>
      <w:r w:rsidRPr="00167678">
        <w:rPr>
          <w:b/>
        </w:rPr>
        <w:t xml:space="preserve">Activities outside normal working hours </w:t>
      </w:r>
    </w:p>
    <w:p w14:paraId="6D9C7A5D" w14:textId="77777777" w:rsidR="003365A6" w:rsidRDefault="00CC08AA">
      <w:pPr>
        <w:pStyle w:val="ssPara1"/>
        <w:spacing w:after="120"/>
        <w:ind w:left="720"/>
      </w:pPr>
      <w:r w:rsidRPr="00167678">
        <w:t>(20:00 – 06:00 Mon – Fri; 00:00 – 24:00 Sat, Sun and bank holidays)</w:t>
      </w:r>
    </w:p>
    <w:p w14:paraId="6D9C7A5E" w14:textId="6B760E16" w:rsidR="000B16C9" w:rsidRPr="000B16C9" w:rsidRDefault="000B16C9" w:rsidP="00F20412">
      <w:pPr>
        <w:pStyle w:val="ssPara1"/>
        <w:rPr>
          <w:b/>
          <w:i/>
        </w:rPr>
      </w:pPr>
    </w:p>
    <w:p w14:paraId="6D9C7A5F" w14:textId="77777777" w:rsidR="00CC08AA" w:rsidRDefault="00CC08AA"/>
    <w:p w14:paraId="6D9C7A60" w14:textId="77777777" w:rsidR="00CC08AA" w:rsidRDefault="00CC08AA"/>
    <w:p w14:paraId="6D9C7A61" w14:textId="77777777" w:rsidR="001E14D0" w:rsidRDefault="001E14D0" w:rsidP="001E14D0">
      <w:pPr>
        <w:pStyle w:val="ssPara1"/>
        <w:spacing w:after="0"/>
      </w:pPr>
    </w:p>
    <w:p w14:paraId="6D9C7A62" w14:textId="77777777" w:rsidR="005868F4" w:rsidRPr="005868F4" w:rsidRDefault="005868F4" w:rsidP="00F20412">
      <w:pPr>
        <w:spacing w:line="312" w:lineRule="auto"/>
        <w:jc w:val="left"/>
        <w:outlineLvl w:val="1"/>
        <w:sectPr w:rsidR="005868F4" w:rsidRPr="005868F4" w:rsidSect="00986280">
          <w:pgSz w:w="11907" w:h="16840" w:code="9"/>
          <w:pgMar w:top="1418" w:right="1418" w:bottom="1418" w:left="1418" w:header="567" w:footer="557" w:gutter="0"/>
          <w:cols w:space="708"/>
          <w:docGrid w:linePitch="299"/>
        </w:sectPr>
      </w:pPr>
    </w:p>
    <w:p w14:paraId="6D9C7A63" w14:textId="77777777" w:rsidR="004E7099" w:rsidRDefault="004E7099" w:rsidP="00F20412">
      <w:pPr>
        <w:spacing w:line="312" w:lineRule="auto"/>
        <w:jc w:val="left"/>
        <w:outlineLvl w:val="1"/>
        <w:rPr>
          <w:b/>
        </w:rPr>
      </w:pPr>
      <w:r w:rsidRPr="00675185">
        <w:rPr>
          <w:b/>
        </w:rPr>
        <w:lastRenderedPageBreak/>
        <w:t>Annex 3</w:t>
      </w:r>
    </w:p>
    <w:p w14:paraId="6D9C7A64" w14:textId="77777777" w:rsidR="004E7099" w:rsidRDefault="004E7099" w:rsidP="00F20412">
      <w:pPr>
        <w:spacing w:line="312" w:lineRule="auto"/>
        <w:jc w:val="left"/>
        <w:outlineLvl w:val="1"/>
        <w:rPr>
          <w:b/>
        </w:rPr>
      </w:pPr>
      <w:r w:rsidRPr="00675185">
        <w:rPr>
          <w:b/>
        </w:rPr>
        <w:t>Financial Period Calendar</w:t>
      </w:r>
    </w:p>
    <w:p w14:paraId="6D9C7A65" w14:textId="77777777" w:rsidR="004E7099" w:rsidRDefault="004E7099"/>
    <w:tbl>
      <w:tblPr>
        <w:tblW w:w="1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00"/>
        <w:gridCol w:w="1036"/>
        <w:gridCol w:w="1000"/>
        <w:gridCol w:w="1000"/>
        <w:gridCol w:w="1000"/>
        <w:gridCol w:w="1000"/>
        <w:gridCol w:w="1000"/>
        <w:gridCol w:w="1000"/>
        <w:gridCol w:w="1000"/>
        <w:gridCol w:w="1000"/>
        <w:gridCol w:w="1000"/>
        <w:gridCol w:w="1000"/>
        <w:gridCol w:w="1000"/>
      </w:tblGrid>
      <w:tr w:rsidR="004B670B" w:rsidRPr="00CF1F48" w14:paraId="6D9C7A74" w14:textId="77777777" w:rsidTr="002E5DFD">
        <w:tc>
          <w:tcPr>
            <w:tcW w:w="900" w:type="dxa"/>
            <w:shd w:val="clear" w:color="auto" w:fill="E6E6E6"/>
            <w:tcMar>
              <w:top w:w="57" w:type="dxa"/>
              <w:left w:w="57" w:type="dxa"/>
              <w:bottom w:w="57" w:type="dxa"/>
              <w:right w:w="57" w:type="dxa"/>
            </w:tcMar>
          </w:tcPr>
          <w:p w14:paraId="6D9C7A66" w14:textId="77777777" w:rsidR="004B670B" w:rsidRPr="00ED1444" w:rsidRDefault="004B670B" w:rsidP="009F5B96">
            <w:pPr>
              <w:spacing w:before="40" w:afterLines="40" w:after="96"/>
              <w:jc w:val="center"/>
              <w:rPr>
                <w:b/>
                <w:bCs/>
                <w:sz w:val="16"/>
                <w:szCs w:val="16"/>
              </w:rPr>
            </w:pPr>
            <w:r w:rsidRPr="00ED1444">
              <w:rPr>
                <w:b/>
                <w:bCs/>
                <w:sz w:val="16"/>
                <w:szCs w:val="16"/>
              </w:rPr>
              <w:t>Financial Year</w:t>
            </w:r>
          </w:p>
        </w:tc>
        <w:tc>
          <w:tcPr>
            <w:tcW w:w="1000" w:type="dxa"/>
            <w:shd w:val="clear" w:color="auto" w:fill="E6E6E6"/>
            <w:tcMar>
              <w:top w:w="57" w:type="dxa"/>
              <w:left w:w="57" w:type="dxa"/>
              <w:bottom w:w="57" w:type="dxa"/>
              <w:right w:w="57" w:type="dxa"/>
            </w:tcMar>
          </w:tcPr>
          <w:p w14:paraId="6D9C7A67" w14:textId="77777777" w:rsidR="003365A6" w:rsidRDefault="004B670B">
            <w:pPr>
              <w:spacing w:before="40" w:afterLines="40" w:after="96"/>
              <w:jc w:val="center"/>
              <w:rPr>
                <w:b/>
                <w:bCs/>
                <w:kern w:val="32"/>
                <w:sz w:val="16"/>
                <w:szCs w:val="16"/>
                <w:u w:val="single"/>
              </w:rPr>
            </w:pPr>
            <w:r w:rsidRPr="00ED1444">
              <w:rPr>
                <w:b/>
                <w:bCs/>
                <w:sz w:val="16"/>
                <w:szCs w:val="16"/>
              </w:rPr>
              <w:t>Start of Period 1</w:t>
            </w:r>
          </w:p>
        </w:tc>
        <w:tc>
          <w:tcPr>
            <w:tcW w:w="1036" w:type="dxa"/>
            <w:shd w:val="clear" w:color="auto" w:fill="E6E6E6"/>
            <w:tcMar>
              <w:top w:w="57" w:type="dxa"/>
              <w:left w:w="57" w:type="dxa"/>
              <w:bottom w:w="57" w:type="dxa"/>
              <w:right w:w="57" w:type="dxa"/>
            </w:tcMar>
          </w:tcPr>
          <w:p w14:paraId="6D9C7A68" w14:textId="77777777" w:rsidR="003365A6" w:rsidRDefault="004B670B">
            <w:pPr>
              <w:spacing w:before="40" w:afterLines="40" w:after="96"/>
              <w:jc w:val="center"/>
              <w:rPr>
                <w:b/>
                <w:bCs/>
                <w:kern w:val="32"/>
                <w:sz w:val="16"/>
                <w:szCs w:val="16"/>
                <w:u w:val="single"/>
              </w:rPr>
            </w:pPr>
            <w:r w:rsidRPr="00ED1444">
              <w:rPr>
                <w:b/>
                <w:bCs/>
                <w:sz w:val="16"/>
                <w:szCs w:val="16"/>
              </w:rPr>
              <w:t>Start of Period 2</w:t>
            </w:r>
          </w:p>
        </w:tc>
        <w:tc>
          <w:tcPr>
            <w:tcW w:w="1000" w:type="dxa"/>
            <w:shd w:val="clear" w:color="auto" w:fill="E6E6E6"/>
            <w:tcMar>
              <w:top w:w="57" w:type="dxa"/>
              <w:left w:w="57" w:type="dxa"/>
              <w:bottom w:w="57" w:type="dxa"/>
              <w:right w:w="57" w:type="dxa"/>
            </w:tcMar>
          </w:tcPr>
          <w:p w14:paraId="6D9C7A69" w14:textId="77777777" w:rsidR="003365A6" w:rsidRDefault="004B670B">
            <w:pPr>
              <w:spacing w:before="40" w:afterLines="40" w:after="96"/>
              <w:jc w:val="center"/>
              <w:rPr>
                <w:b/>
                <w:bCs/>
                <w:kern w:val="32"/>
                <w:sz w:val="16"/>
                <w:szCs w:val="16"/>
                <w:u w:val="single"/>
              </w:rPr>
            </w:pPr>
            <w:r w:rsidRPr="00ED1444">
              <w:rPr>
                <w:b/>
                <w:bCs/>
                <w:sz w:val="16"/>
                <w:szCs w:val="16"/>
              </w:rPr>
              <w:t>Start of Period 3</w:t>
            </w:r>
          </w:p>
        </w:tc>
        <w:tc>
          <w:tcPr>
            <w:tcW w:w="1000" w:type="dxa"/>
            <w:shd w:val="clear" w:color="auto" w:fill="E6E6E6"/>
            <w:tcMar>
              <w:top w:w="57" w:type="dxa"/>
              <w:left w:w="57" w:type="dxa"/>
              <w:bottom w:w="57" w:type="dxa"/>
              <w:right w:w="57" w:type="dxa"/>
            </w:tcMar>
          </w:tcPr>
          <w:p w14:paraId="6D9C7A6A" w14:textId="77777777" w:rsidR="003365A6" w:rsidRDefault="004B670B">
            <w:pPr>
              <w:spacing w:before="40" w:afterLines="40" w:after="96"/>
              <w:jc w:val="center"/>
              <w:rPr>
                <w:b/>
                <w:bCs/>
                <w:kern w:val="32"/>
                <w:sz w:val="16"/>
                <w:szCs w:val="16"/>
                <w:u w:val="single"/>
              </w:rPr>
            </w:pPr>
            <w:r w:rsidRPr="00ED1444">
              <w:rPr>
                <w:b/>
                <w:bCs/>
                <w:sz w:val="16"/>
                <w:szCs w:val="16"/>
              </w:rPr>
              <w:t>Start of Period 4</w:t>
            </w:r>
          </w:p>
        </w:tc>
        <w:tc>
          <w:tcPr>
            <w:tcW w:w="1000" w:type="dxa"/>
            <w:shd w:val="clear" w:color="auto" w:fill="E6E6E6"/>
            <w:tcMar>
              <w:top w:w="57" w:type="dxa"/>
              <w:left w:w="57" w:type="dxa"/>
              <w:bottom w:w="57" w:type="dxa"/>
              <w:right w:w="57" w:type="dxa"/>
            </w:tcMar>
          </w:tcPr>
          <w:p w14:paraId="6D9C7A6B" w14:textId="77777777" w:rsidR="003365A6" w:rsidRDefault="004B670B">
            <w:pPr>
              <w:spacing w:before="40" w:afterLines="40" w:after="96"/>
              <w:jc w:val="center"/>
              <w:rPr>
                <w:b/>
                <w:bCs/>
                <w:kern w:val="32"/>
                <w:sz w:val="16"/>
                <w:szCs w:val="16"/>
                <w:u w:val="single"/>
              </w:rPr>
            </w:pPr>
            <w:r w:rsidRPr="00ED1444">
              <w:rPr>
                <w:b/>
                <w:bCs/>
                <w:sz w:val="16"/>
                <w:szCs w:val="16"/>
              </w:rPr>
              <w:t>Start of Period 5</w:t>
            </w:r>
          </w:p>
        </w:tc>
        <w:tc>
          <w:tcPr>
            <w:tcW w:w="1000" w:type="dxa"/>
            <w:shd w:val="clear" w:color="auto" w:fill="E6E6E6"/>
            <w:tcMar>
              <w:top w:w="57" w:type="dxa"/>
              <w:left w:w="57" w:type="dxa"/>
              <w:bottom w:w="57" w:type="dxa"/>
              <w:right w:w="57" w:type="dxa"/>
            </w:tcMar>
          </w:tcPr>
          <w:p w14:paraId="6D9C7A6C" w14:textId="77777777" w:rsidR="003365A6" w:rsidRDefault="004B670B">
            <w:pPr>
              <w:spacing w:before="40" w:afterLines="40" w:after="96"/>
              <w:jc w:val="center"/>
              <w:rPr>
                <w:b/>
                <w:bCs/>
                <w:kern w:val="32"/>
                <w:sz w:val="16"/>
                <w:szCs w:val="16"/>
                <w:u w:val="single"/>
              </w:rPr>
            </w:pPr>
            <w:r w:rsidRPr="00ED1444">
              <w:rPr>
                <w:b/>
                <w:bCs/>
                <w:sz w:val="16"/>
                <w:szCs w:val="16"/>
              </w:rPr>
              <w:t>Start of Period 6</w:t>
            </w:r>
          </w:p>
        </w:tc>
        <w:tc>
          <w:tcPr>
            <w:tcW w:w="1000" w:type="dxa"/>
            <w:shd w:val="clear" w:color="auto" w:fill="E6E6E6"/>
            <w:tcMar>
              <w:top w:w="57" w:type="dxa"/>
              <w:left w:w="57" w:type="dxa"/>
              <w:bottom w:w="57" w:type="dxa"/>
              <w:right w:w="57" w:type="dxa"/>
            </w:tcMar>
          </w:tcPr>
          <w:p w14:paraId="6D9C7A6D" w14:textId="77777777" w:rsidR="003365A6" w:rsidRDefault="004B670B">
            <w:pPr>
              <w:spacing w:before="40" w:afterLines="40" w:after="96"/>
              <w:jc w:val="center"/>
              <w:rPr>
                <w:b/>
                <w:bCs/>
                <w:kern w:val="32"/>
                <w:sz w:val="16"/>
                <w:szCs w:val="16"/>
                <w:u w:val="single"/>
              </w:rPr>
            </w:pPr>
            <w:r w:rsidRPr="00ED1444">
              <w:rPr>
                <w:b/>
                <w:bCs/>
                <w:sz w:val="16"/>
                <w:szCs w:val="16"/>
              </w:rPr>
              <w:t>Start of Period 7</w:t>
            </w:r>
          </w:p>
        </w:tc>
        <w:tc>
          <w:tcPr>
            <w:tcW w:w="1000" w:type="dxa"/>
            <w:shd w:val="clear" w:color="auto" w:fill="E6E6E6"/>
            <w:tcMar>
              <w:top w:w="57" w:type="dxa"/>
              <w:left w:w="57" w:type="dxa"/>
              <w:bottom w:w="57" w:type="dxa"/>
              <w:right w:w="57" w:type="dxa"/>
            </w:tcMar>
          </w:tcPr>
          <w:p w14:paraId="6D9C7A6E" w14:textId="77777777" w:rsidR="003365A6" w:rsidRDefault="004B670B">
            <w:pPr>
              <w:spacing w:before="40" w:afterLines="40" w:after="96"/>
              <w:jc w:val="center"/>
              <w:rPr>
                <w:b/>
                <w:bCs/>
                <w:kern w:val="32"/>
                <w:sz w:val="16"/>
                <w:szCs w:val="16"/>
                <w:u w:val="single"/>
              </w:rPr>
            </w:pPr>
            <w:r w:rsidRPr="00ED1444">
              <w:rPr>
                <w:b/>
                <w:bCs/>
                <w:sz w:val="16"/>
                <w:szCs w:val="16"/>
              </w:rPr>
              <w:t>Start of Period 8</w:t>
            </w:r>
          </w:p>
        </w:tc>
        <w:tc>
          <w:tcPr>
            <w:tcW w:w="1000" w:type="dxa"/>
            <w:shd w:val="clear" w:color="auto" w:fill="E6E6E6"/>
            <w:tcMar>
              <w:top w:w="57" w:type="dxa"/>
              <w:left w:w="57" w:type="dxa"/>
              <w:bottom w:w="57" w:type="dxa"/>
              <w:right w:w="57" w:type="dxa"/>
            </w:tcMar>
          </w:tcPr>
          <w:p w14:paraId="6D9C7A6F" w14:textId="77777777" w:rsidR="003365A6" w:rsidRDefault="004B670B">
            <w:pPr>
              <w:spacing w:before="40" w:afterLines="40" w:after="96"/>
              <w:jc w:val="center"/>
              <w:rPr>
                <w:b/>
                <w:bCs/>
                <w:kern w:val="32"/>
                <w:sz w:val="16"/>
                <w:szCs w:val="16"/>
                <w:u w:val="single"/>
              </w:rPr>
            </w:pPr>
            <w:r w:rsidRPr="00ED1444">
              <w:rPr>
                <w:b/>
                <w:bCs/>
                <w:sz w:val="16"/>
                <w:szCs w:val="16"/>
              </w:rPr>
              <w:t>Start of Period 9</w:t>
            </w:r>
          </w:p>
        </w:tc>
        <w:tc>
          <w:tcPr>
            <w:tcW w:w="1000" w:type="dxa"/>
            <w:shd w:val="clear" w:color="auto" w:fill="E6E6E6"/>
            <w:tcMar>
              <w:top w:w="57" w:type="dxa"/>
              <w:left w:w="57" w:type="dxa"/>
              <w:bottom w:w="57" w:type="dxa"/>
              <w:right w:w="57" w:type="dxa"/>
            </w:tcMar>
          </w:tcPr>
          <w:p w14:paraId="6D9C7A70" w14:textId="77777777" w:rsidR="003365A6" w:rsidRDefault="004B670B">
            <w:pPr>
              <w:spacing w:before="40" w:afterLines="40" w:after="96"/>
              <w:jc w:val="center"/>
              <w:rPr>
                <w:b/>
                <w:bCs/>
                <w:kern w:val="32"/>
                <w:sz w:val="16"/>
                <w:szCs w:val="16"/>
                <w:u w:val="single"/>
              </w:rPr>
            </w:pPr>
            <w:r w:rsidRPr="00ED1444">
              <w:rPr>
                <w:b/>
                <w:bCs/>
                <w:sz w:val="16"/>
                <w:szCs w:val="16"/>
              </w:rPr>
              <w:t>Start of Period 10</w:t>
            </w:r>
          </w:p>
        </w:tc>
        <w:tc>
          <w:tcPr>
            <w:tcW w:w="1000" w:type="dxa"/>
            <w:shd w:val="clear" w:color="auto" w:fill="E6E6E6"/>
            <w:tcMar>
              <w:top w:w="57" w:type="dxa"/>
              <w:left w:w="57" w:type="dxa"/>
              <w:bottom w:w="57" w:type="dxa"/>
              <w:right w:w="57" w:type="dxa"/>
            </w:tcMar>
          </w:tcPr>
          <w:p w14:paraId="6D9C7A71" w14:textId="77777777" w:rsidR="003365A6" w:rsidRDefault="004B670B">
            <w:pPr>
              <w:spacing w:before="40" w:afterLines="40" w:after="96"/>
              <w:jc w:val="center"/>
              <w:rPr>
                <w:b/>
                <w:bCs/>
                <w:kern w:val="32"/>
                <w:sz w:val="16"/>
                <w:szCs w:val="16"/>
                <w:u w:val="single"/>
              </w:rPr>
            </w:pPr>
            <w:r w:rsidRPr="00ED1444">
              <w:rPr>
                <w:b/>
                <w:bCs/>
                <w:sz w:val="16"/>
                <w:szCs w:val="16"/>
              </w:rPr>
              <w:t>Start of Period 11</w:t>
            </w:r>
          </w:p>
        </w:tc>
        <w:tc>
          <w:tcPr>
            <w:tcW w:w="1000" w:type="dxa"/>
            <w:shd w:val="clear" w:color="auto" w:fill="E6E6E6"/>
            <w:tcMar>
              <w:top w:w="57" w:type="dxa"/>
              <w:left w:w="57" w:type="dxa"/>
              <w:bottom w:w="57" w:type="dxa"/>
              <w:right w:w="57" w:type="dxa"/>
            </w:tcMar>
          </w:tcPr>
          <w:p w14:paraId="6D9C7A72" w14:textId="77777777" w:rsidR="003365A6" w:rsidRDefault="004B670B">
            <w:pPr>
              <w:spacing w:before="40" w:afterLines="40" w:after="96"/>
              <w:jc w:val="center"/>
              <w:rPr>
                <w:b/>
                <w:bCs/>
                <w:kern w:val="32"/>
                <w:sz w:val="16"/>
                <w:szCs w:val="16"/>
                <w:u w:val="single"/>
              </w:rPr>
            </w:pPr>
            <w:r w:rsidRPr="00ED1444">
              <w:rPr>
                <w:b/>
                <w:bCs/>
                <w:sz w:val="16"/>
                <w:szCs w:val="16"/>
              </w:rPr>
              <w:t>Start of Period 12</w:t>
            </w:r>
          </w:p>
        </w:tc>
        <w:tc>
          <w:tcPr>
            <w:tcW w:w="1000" w:type="dxa"/>
            <w:shd w:val="clear" w:color="auto" w:fill="E6E6E6"/>
            <w:tcMar>
              <w:top w:w="57" w:type="dxa"/>
              <w:left w:w="57" w:type="dxa"/>
              <w:bottom w:w="57" w:type="dxa"/>
              <w:right w:w="57" w:type="dxa"/>
            </w:tcMar>
          </w:tcPr>
          <w:p w14:paraId="6D9C7A73" w14:textId="77777777" w:rsidR="003365A6" w:rsidRDefault="004B670B">
            <w:pPr>
              <w:spacing w:before="40" w:afterLines="40" w:after="96"/>
              <w:jc w:val="center"/>
              <w:rPr>
                <w:b/>
                <w:bCs/>
                <w:kern w:val="32"/>
                <w:sz w:val="16"/>
                <w:szCs w:val="16"/>
                <w:u w:val="single"/>
              </w:rPr>
            </w:pPr>
            <w:r w:rsidRPr="00ED1444">
              <w:rPr>
                <w:b/>
                <w:bCs/>
                <w:sz w:val="16"/>
                <w:szCs w:val="16"/>
              </w:rPr>
              <w:t>Start of Period 13</w:t>
            </w:r>
          </w:p>
        </w:tc>
      </w:tr>
      <w:tr w:rsidR="004B670B" w:rsidRPr="00CF1F48" w14:paraId="6D9C7A83" w14:textId="77777777" w:rsidTr="002E5DFD">
        <w:tc>
          <w:tcPr>
            <w:tcW w:w="900" w:type="dxa"/>
            <w:shd w:val="clear" w:color="auto" w:fill="E6E6E6"/>
            <w:tcMar>
              <w:top w:w="57" w:type="dxa"/>
              <w:left w:w="57" w:type="dxa"/>
              <w:bottom w:w="57" w:type="dxa"/>
              <w:right w:w="57" w:type="dxa"/>
            </w:tcMar>
          </w:tcPr>
          <w:p w14:paraId="6D9C7A75" w14:textId="77777777" w:rsidR="004B670B" w:rsidRPr="004B670B" w:rsidRDefault="004B670B" w:rsidP="009F5B96">
            <w:pPr>
              <w:spacing w:before="40" w:afterLines="40" w:after="96"/>
              <w:jc w:val="center"/>
              <w:rPr>
                <w:b/>
                <w:bCs/>
                <w:sz w:val="16"/>
                <w:szCs w:val="16"/>
              </w:rPr>
            </w:pPr>
            <w:r w:rsidRPr="004B670B">
              <w:rPr>
                <w:b/>
                <w:bCs/>
                <w:sz w:val="16"/>
                <w:szCs w:val="16"/>
              </w:rPr>
              <w:t>2015-16</w:t>
            </w:r>
          </w:p>
        </w:tc>
        <w:tc>
          <w:tcPr>
            <w:tcW w:w="1000" w:type="dxa"/>
            <w:tcMar>
              <w:top w:w="57" w:type="dxa"/>
              <w:left w:w="57" w:type="dxa"/>
              <w:bottom w:w="57" w:type="dxa"/>
              <w:right w:w="57" w:type="dxa"/>
            </w:tcMar>
          </w:tcPr>
          <w:p w14:paraId="6D9C7A76" w14:textId="77777777" w:rsidR="003365A6" w:rsidRDefault="004B670B">
            <w:pPr>
              <w:spacing w:before="40" w:afterLines="40" w:after="96"/>
              <w:rPr>
                <w:b/>
                <w:bCs/>
                <w:kern w:val="32"/>
                <w:sz w:val="16"/>
                <w:szCs w:val="16"/>
                <w:u w:val="single"/>
              </w:rPr>
            </w:pPr>
            <w:r w:rsidRPr="004B670B">
              <w:rPr>
                <w:sz w:val="16"/>
                <w:szCs w:val="16"/>
              </w:rPr>
              <w:t>01-Apr-15</w:t>
            </w:r>
          </w:p>
        </w:tc>
        <w:tc>
          <w:tcPr>
            <w:tcW w:w="1036" w:type="dxa"/>
            <w:tcMar>
              <w:top w:w="57" w:type="dxa"/>
              <w:left w:w="57" w:type="dxa"/>
              <w:bottom w:w="57" w:type="dxa"/>
              <w:right w:w="57" w:type="dxa"/>
            </w:tcMar>
          </w:tcPr>
          <w:p w14:paraId="6D9C7A77" w14:textId="77777777" w:rsidR="003365A6" w:rsidRDefault="004B670B">
            <w:pPr>
              <w:spacing w:before="40" w:afterLines="40" w:after="96"/>
              <w:rPr>
                <w:b/>
                <w:bCs/>
                <w:kern w:val="32"/>
                <w:sz w:val="16"/>
                <w:szCs w:val="16"/>
                <w:u w:val="single"/>
              </w:rPr>
            </w:pPr>
            <w:r w:rsidRPr="004B670B">
              <w:rPr>
                <w:sz w:val="16"/>
                <w:szCs w:val="16"/>
              </w:rPr>
              <w:t>03-May-15</w:t>
            </w:r>
          </w:p>
        </w:tc>
        <w:tc>
          <w:tcPr>
            <w:tcW w:w="1000" w:type="dxa"/>
            <w:tcMar>
              <w:top w:w="57" w:type="dxa"/>
              <w:left w:w="57" w:type="dxa"/>
              <w:bottom w:w="57" w:type="dxa"/>
              <w:right w:w="57" w:type="dxa"/>
            </w:tcMar>
          </w:tcPr>
          <w:p w14:paraId="6D9C7A78" w14:textId="77777777" w:rsidR="003365A6" w:rsidRDefault="004B670B">
            <w:pPr>
              <w:spacing w:before="40" w:afterLines="40" w:after="96"/>
              <w:rPr>
                <w:b/>
                <w:bCs/>
                <w:kern w:val="32"/>
                <w:sz w:val="16"/>
                <w:szCs w:val="16"/>
                <w:u w:val="single"/>
              </w:rPr>
            </w:pPr>
            <w:r w:rsidRPr="004B670B">
              <w:rPr>
                <w:sz w:val="16"/>
                <w:szCs w:val="16"/>
              </w:rPr>
              <w:t>31-May-15</w:t>
            </w:r>
          </w:p>
        </w:tc>
        <w:tc>
          <w:tcPr>
            <w:tcW w:w="1000" w:type="dxa"/>
            <w:tcMar>
              <w:top w:w="57" w:type="dxa"/>
              <w:left w:w="57" w:type="dxa"/>
              <w:bottom w:w="57" w:type="dxa"/>
              <w:right w:w="57" w:type="dxa"/>
            </w:tcMar>
          </w:tcPr>
          <w:p w14:paraId="6D9C7A79" w14:textId="77777777" w:rsidR="003365A6" w:rsidRDefault="004B670B">
            <w:pPr>
              <w:spacing w:before="40" w:afterLines="40" w:after="96"/>
              <w:rPr>
                <w:b/>
                <w:bCs/>
                <w:kern w:val="32"/>
                <w:sz w:val="16"/>
                <w:szCs w:val="16"/>
                <w:u w:val="single"/>
              </w:rPr>
            </w:pPr>
            <w:r w:rsidRPr="004B670B">
              <w:rPr>
                <w:sz w:val="16"/>
                <w:szCs w:val="16"/>
              </w:rPr>
              <w:t>28-Jun-15</w:t>
            </w:r>
          </w:p>
        </w:tc>
        <w:tc>
          <w:tcPr>
            <w:tcW w:w="1000" w:type="dxa"/>
            <w:tcMar>
              <w:top w:w="57" w:type="dxa"/>
              <w:left w:w="57" w:type="dxa"/>
              <w:bottom w:w="57" w:type="dxa"/>
              <w:right w:w="57" w:type="dxa"/>
            </w:tcMar>
          </w:tcPr>
          <w:p w14:paraId="6D9C7A7A" w14:textId="77777777" w:rsidR="003365A6" w:rsidRDefault="004B670B">
            <w:pPr>
              <w:spacing w:before="40" w:afterLines="40" w:after="96"/>
              <w:rPr>
                <w:b/>
                <w:bCs/>
                <w:kern w:val="32"/>
                <w:sz w:val="16"/>
                <w:szCs w:val="16"/>
                <w:u w:val="single"/>
              </w:rPr>
            </w:pPr>
            <w:r w:rsidRPr="004B670B">
              <w:rPr>
                <w:sz w:val="16"/>
                <w:szCs w:val="16"/>
              </w:rPr>
              <w:t>26-Jul-15</w:t>
            </w:r>
          </w:p>
        </w:tc>
        <w:tc>
          <w:tcPr>
            <w:tcW w:w="1000" w:type="dxa"/>
            <w:tcMar>
              <w:top w:w="57" w:type="dxa"/>
              <w:left w:w="57" w:type="dxa"/>
              <w:bottom w:w="57" w:type="dxa"/>
              <w:right w:w="57" w:type="dxa"/>
            </w:tcMar>
          </w:tcPr>
          <w:p w14:paraId="6D9C7A7B" w14:textId="77777777" w:rsidR="003365A6" w:rsidRDefault="004B670B">
            <w:pPr>
              <w:spacing w:before="40" w:afterLines="40" w:after="96"/>
              <w:rPr>
                <w:b/>
                <w:bCs/>
                <w:kern w:val="32"/>
                <w:sz w:val="16"/>
                <w:szCs w:val="16"/>
                <w:u w:val="single"/>
              </w:rPr>
            </w:pPr>
            <w:r w:rsidRPr="004B670B">
              <w:rPr>
                <w:sz w:val="16"/>
                <w:szCs w:val="16"/>
              </w:rPr>
              <w:t>23-Aug-15</w:t>
            </w:r>
          </w:p>
        </w:tc>
        <w:tc>
          <w:tcPr>
            <w:tcW w:w="1000" w:type="dxa"/>
            <w:tcMar>
              <w:top w:w="57" w:type="dxa"/>
              <w:left w:w="57" w:type="dxa"/>
              <w:bottom w:w="57" w:type="dxa"/>
              <w:right w:w="57" w:type="dxa"/>
            </w:tcMar>
          </w:tcPr>
          <w:p w14:paraId="6D9C7A7C" w14:textId="77777777" w:rsidR="003365A6" w:rsidRDefault="004B670B">
            <w:pPr>
              <w:spacing w:before="40" w:afterLines="40" w:after="96"/>
              <w:rPr>
                <w:b/>
                <w:bCs/>
                <w:kern w:val="32"/>
                <w:sz w:val="16"/>
                <w:szCs w:val="16"/>
                <w:u w:val="single"/>
              </w:rPr>
            </w:pPr>
            <w:r w:rsidRPr="004B670B">
              <w:rPr>
                <w:sz w:val="16"/>
                <w:szCs w:val="16"/>
              </w:rPr>
              <w:t>20-Sep-15</w:t>
            </w:r>
          </w:p>
        </w:tc>
        <w:tc>
          <w:tcPr>
            <w:tcW w:w="1000" w:type="dxa"/>
            <w:tcMar>
              <w:top w:w="57" w:type="dxa"/>
              <w:left w:w="57" w:type="dxa"/>
              <w:bottom w:w="57" w:type="dxa"/>
              <w:right w:w="57" w:type="dxa"/>
            </w:tcMar>
          </w:tcPr>
          <w:p w14:paraId="6D9C7A7D" w14:textId="77777777" w:rsidR="003365A6" w:rsidRDefault="004B670B">
            <w:pPr>
              <w:spacing w:before="40" w:afterLines="40" w:after="96"/>
              <w:rPr>
                <w:b/>
                <w:bCs/>
                <w:kern w:val="32"/>
                <w:sz w:val="16"/>
                <w:szCs w:val="16"/>
                <w:u w:val="single"/>
              </w:rPr>
            </w:pPr>
            <w:r w:rsidRPr="004B670B">
              <w:rPr>
                <w:sz w:val="16"/>
                <w:szCs w:val="16"/>
              </w:rPr>
              <w:t>18-Oct-15</w:t>
            </w:r>
          </w:p>
        </w:tc>
        <w:tc>
          <w:tcPr>
            <w:tcW w:w="1000" w:type="dxa"/>
            <w:tcMar>
              <w:top w:w="57" w:type="dxa"/>
              <w:left w:w="57" w:type="dxa"/>
              <w:bottom w:w="57" w:type="dxa"/>
              <w:right w:w="57" w:type="dxa"/>
            </w:tcMar>
          </w:tcPr>
          <w:p w14:paraId="6D9C7A7E" w14:textId="77777777" w:rsidR="003365A6" w:rsidRDefault="004B670B">
            <w:pPr>
              <w:spacing w:before="40" w:afterLines="40" w:after="96"/>
              <w:rPr>
                <w:b/>
                <w:bCs/>
                <w:kern w:val="32"/>
                <w:sz w:val="16"/>
                <w:szCs w:val="16"/>
                <w:u w:val="single"/>
              </w:rPr>
            </w:pPr>
            <w:r w:rsidRPr="004B670B">
              <w:rPr>
                <w:sz w:val="16"/>
                <w:szCs w:val="16"/>
              </w:rPr>
              <w:t>15-Nov-15</w:t>
            </w:r>
          </w:p>
        </w:tc>
        <w:tc>
          <w:tcPr>
            <w:tcW w:w="1000" w:type="dxa"/>
            <w:tcMar>
              <w:top w:w="57" w:type="dxa"/>
              <w:left w:w="57" w:type="dxa"/>
              <w:bottom w:w="57" w:type="dxa"/>
              <w:right w:w="57" w:type="dxa"/>
            </w:tcMar>
          </w:tcPr>
          <w:p w14:paraId="6D9C7A7F" w14:textId="77777777" w:rsidR="003365A6" w:rsidRDefault="004B670B">
            <w:pPr>
              <w:spacing w:before="40" w:afterLines="40" w:after="96"/>
              <w:rPr>
                <w:b/>
                <w:bCs/>
                <w:kern w:val="32"/>
                <w:sz w:val="16"/>
                <w:szCs w:val="16"/>
                <w:u w:val="single"/>
              </w:rPr>
            </w:pPr>
            <w:r w:rsidRPr="004B670B">
              <w:rPr>
                <w:sz w:val="16"/>
                <w:szCs w:val="16"/>
              </w:rPr>
              <w:t>13-Dec-15</w:t>
            </w:r>
          </w:p>
        </w:tc>
        <w:tc>
          <w:tcPr>
            <w:tcW w:w="1000" w:type="dxa"/>
            <w:tcMar>
              <w:top w:w="57" w:type="dxa"/>
              <w:left w:w="57" w:type="dxa"/>
              <w:bottom w:w="57" w:type="dxa"/>
              <w:right w:w="57" w:type="dxa"/>
            </w:tcMar>
          </w:tcPr>
          <w:p w14:paraId="6D9C7A80" w14:textId="77777777" w:rsidR="003365A6" w:rsidRDefault="004B670B">
            <w:pPr>
              <w:spacing w:before="40" w:afterLines="40" w:after="96"/>
              <w:rPr>
                <w:b/>
                <w:bCs/>
                <w:kern w:val="32"/>
                <w:sz w:val="16"/>
                <w:szCs w:val="16"/>
                <w:u w:val="single"/>
              </w:rPr>
            </w:pPr>
            <w:r w:rsidRPr="004B670B">
              <w:rPr>
                <w:sz w:val="16"/>
                <w:szCs w:val="16"/>
              </w:rPr>
              <w:t>10-Jan-16</w:t>
            </w:r>
          </w:p>
        </w:tc>
        <w:tc>
          <w:tcPr>
            <w:tcW w:w="1000" w:type="dxa"/>
            <w:tcMar>
              <w:top w:w="57" w:type="dxa"/>
              <w:left w:w="57" w:type="dxa"/>
              <w:bottom w:w="57" w:type="dxa"/>
              <w:right w:w="57" w:type="dxa"/>
            </w:tcMar>
          </w:tcPr>
          <w:p w14:paraId="6D9C7A81" w14:textId="77777777" w:rsidR="003365A6" w:rsidRDefault="004B670B">
            <w:pPr>
              <w:spacing w:before="40" w:afterLines="40" w:after="96"/>
              <w:rPr>
                <w:b/>
                <w:bCs/>
                <w:kern w:val="32"/>
                <w:sz w:val="16"/>
                <w:szCs w:val="16"/>
                <w:u w:val="single"/>
              </w:rPr>
            </w:pPr>
            <w:r w:rsidRPr="004B670B">
              <w:rPr>
                <w:sz w:val="16"/>
                <w:szCs w:val="16"/>
              </w:rPr>
              <w:t>07-Feb-16</w:t>
            </w:r>
          </w:p>
        </w:tc>
        <w:tc>
          <w:tcPr>
            <w:tcW w:w="1000" w:type="dxa"/>
            <w:tcMar>
              <w:top w:w="57" w:type="dxa"/>
              <w:left w:w="57" w:type="dxa"/>
              <w:bottom w:w="57" w:type="dxa"/>
              <w:right w:w="57" w:type="dxa"/>
            </w:tcMar>
          </w:tcPr>
          <w:p w14:paraId="6D9C7A82" w14:textId="77777777" w:rsidR="003365A6" w:rsidRDefault="004B670B">
            <w:pPr>
              <w:spacing w:before="40" w:afterLines="40" w:after="96"/>
              <w:rPr>
                <w:b/>
                <w:bCs/>
                <w:kern w:val="32"/>
                <w:sz w:val="16"/>
                <w:szCs w:val="16"/>
                <w:u w:val="single"/>
              </w:rPr>
            </w:pPr>
            <w:r w:rsidRPr="004B670B">
              <w:rPr>
                <w:sz w:val="16"/>
                <w:szCs w:val="16"/>
              </w:rPr>
              <w:t>06-Mar-16</w:t>
            </w:r>
          </w:p>
        </w:tc>
      </w:tr>
      <w:tr w:rsidR="004B670B" w:rsidRPr="00CF1F48" w14:paraId="6D9C7A92" w14:textId="77777777" w:rsidTr="002E5DFD">
        <w:tc>
          <w:tcPr>
            <w:tcW w:w="900" w:type="dxa"/>
            <w:shd w:val="clear" w:color="auto" w:fill="E6E6E6"/>
            <w:tcMar>
              <w:top w:w="57" w:type="dxa"/>
              <w:left w:w="57" w:type="dxa"/>
              <w:bottom w:w="57" w:type="dxa"/>
              <w:right w:w="57" w:type="dxa"/>
            </w:tcMar>
          </w:tcPr>
          <w:p w14:paraId="6D9C7A84" w14:textId="77777777" w:rsidR="004B670B" w:rsidRPr="004B670B" w:rsidRDefault="004B670B" w:rsidP="009F5B96">
            <w:pPr>
              <w:spacing w:before="40" w:afterLines="40" w:after="96"/>
              <w:jc w:val="center"/>
              <w:rPr>
                <w:b/>
                <w:bCs/>
                <w:sz w:val="16"/>
                <w:szCs w:val="16"/>
              </w:rPr>
            </w:pPr>
            <w:r w:rsidRPr="004B670B">
              <w:rPr>
                <w:b/>
                <w:bCs/>
                <w:sz w:val="16"/>
                <w:szCs w:val="16"/>
              </w:rPr>
              <w:t>2016-17</w:t>
            </w:r>
          </w:p>
        </w:tc>
        <w:tc>
          <w:tcPr>
            <w:tcW w:w="1000" w:type="dxa"/>
            <w:tcMar>
              <w:top w:w="57" w:type="dxa"/>
              <w:left w:w="57" w:type="dxa"/>
              <w:bottom w:w="57" w:type="dxa"/>
              <w:right w:w="57" w:type="dxa"/>
            </w:tcMar>
          </w:tcPr>
          <w:p w14:paraId="6D9C7A85" w14:textId="77777777" w:rsidR="003365A6" w:rsidRDefault="004B670B">
            <w:pPr>
              <w:spacing w:before="40" w:afterLines="40" w:after="96"/>
              <w:rPr>
                <w:b/>
                <w:bCs/>
                <w:kern w:val="32"/>
                <w:sz w:val="16"/>
                <w:szCs w:val="16"/>
                <w:u w:val="single"/>
              </w:rPr>
            </w:pPr>
            <w:r w:rsidRPr="004B670B">
              <w:rPr>
                <w:sz w:val="16"/>
                <w:szCs w:val="16"/>
              </w:rPr>
              <w:t>01-Apr-16</w:t>
            </w:r>
          </w:p>
        </w:tc>
        <w:tc>
          <w:tcPr>
            <w:tcW w:w="1036" w:type="dxa"/>
            <w:tcMar>
              <w:top w:w="57" w:type="dxa"/>
              <w:left w:w="57" w:type="dxa"/>
              <w:bottom w:w="57" w:type="dxa"/>
              <w:right w:w="57" w:type="dxa"/>
            </w:tcMar>
          </w:tcPr>
          <w:p w14:paraId="6D9C7A86" w14:textId="77777777" w:rsidR="003365A6" w:rsidRDefault="004B670B">
            <w:pPr>
              <w:spacing w:before="40" w:afterLines="40" w:after="96"/>
              <w:rPr>
                <w:b/>
                <w:bCs/>
                <w:kern w:val="32"/>
                <w:sz w:val="16"/>
                <w:szCs w:val="16"/>
                <w:u w:val="single"/>
              </w:rPr>
            </w:pPr>
            <w:r w:rsidRPr="004B670B">
              <w:rPr>
                <w:sz w:val="16"/>
                <w:szCs w:val="16"/>
              </w:rPr>
              <w:t>01-May-16</w:t>
            </w:r>
          </w:p>
        </w:tc>
        <w:tc>
          <w:tcPr>
            <w:tcW w:w="1000" w:type="dxa"/>
            <w:tcMar>
              <w:top w:w="57" w:type="dxa"/>
              <w:left w:w="57" w:type="dxa"/>
              <w:bottom w:w="57" w:type="dxa"/>
              <w:right w:w="57" w:type="dxa"/>
            </w:tcMar>
          </w:tcPr>
          <w:p w14:paraId="6D9C7A87" w14:textId="77777777" w:rsidR="003365A6" w:rsidRDefault="004B670B">
            <w:pPr>
              <w:spacing w:before="40" w:afterLines="40" w:after="96"/>
              <w:rPr>
                <w:b/>
                <w:bCs/>
                <w:kern w:val="32"/>
                <w:sz w:val="16"/>
                <w:szCs w:val="16"/>
                <w:u w:val="single"/>
              </w:rPr>
            </w:pPr>
            <w:r w:rsidRPr="004B670B">
              <w:rPr>
                <w:sz w:val="16"/>
                <w:szCs w:val="16"/>
              </w:rPr>
              <w:t>29-May-16</w:t>
            </w:r>
          </w:p>
        </w:tc>
        <w:tc>
          <w:tcPr>
            <w:tcW w:w="1000" w:type="dxa"/>
            <w:tcMar>
              <w:top w:w="57" w:type="dxa"/>
              <w:left w:w="57" w:type="dxa"/>
              <w:bottom w:w="57" w:type="dxa"/>
              <w:right w:w="57" w:type="dxa"/>
            </w:tcMar>
          </w:tcPr>
          <w:p w14:paraId="6D9C7A88" w14:textId="77777777" w:rsidR="003365A6" w:rsidRDefault="004B670B">
            <w:pPr>
              <w:spacing w:before="40" w:afterLines="40" w:after="96"/>
              <w:rPr>
                <w:b/>
                <w:bCs/>
                <w:kern w:val="32"/>
                <w:sz w:val="16"/>
                <w:szCs w:val="16"/>
                <w:u w:val="single"/>
              </w:rPr>
            </w:pPr>
            <w:r w:rsidRPr="004B670B">
              <w:rPr>
                <w:sz w:val="16"/>
                <w:szCs w:val="16"/>
              </w:rPr>
              <w:t>26-Jun-16</w:t>
            </w:r>
          </w:p>
        </w:tc>
        <w:tc>
          <w:tcPr>
            <w:tcW w:w="1000" w:type="dxa"/>
            <w:tcMar>
              <w:top w:w="57" w:type="dxa"/>
              <w:left w:w="57" w:type="dxa"/>
              <w:bottom w:w="57" w:type="dxa"/>
              <w:right w:w="57" w:type="dxa"/>
            </w:tcMar>
          </w:tcPr>
          <w:p w14:paraId="6D9C7A89" w14:textId="77777777" w:rsidR="003365A6" w:rsidRDefault="004B670B">
            <w:pPr>
              <w:spacing w:before="40" w:afterLines="40" w:after="96"/>
              <w:rPr>
                <w:b/>
                <w:bCs/>
                <w:kern w:val="32"/>
                <w:sz w:val="16"/>
                <w:szCs w:val="16"/>
                <w:u w:val="single"/>
              </w:rPr>
            </w:pPr>
            <w:r w:rsidRPr="004B670B">
              <w:rPr>
                <w:sz w:val="16"/>
                <w:szCs w:val="16"/>
              </w:rPr>
              <w:t>24-Jul-16</w:t>
            </w:r>
          </w:p>
        </w:tc>
        <w:tc>
          <w:tcPr>
            <w:tcW w:w="1000" w:type="dxa"/>
            <w:tcMar>
              <w:top w:w="57" w:type="dxa"/>
              <w:left w:w="57" w:type="dxa"/>
              <w:bottom w:w="57" w:type="dxa"/>
              <w:right w:w="57" w:type="dxa"/>
            </w:tcMar>
          </w:tcPr>
          <w:p w14:paraId="6D9C7A8A" w14:textId="77777777" w:rsidR="003365A6" w:rsidRDefault="004B670B">
            <w:pPr>
              <w:spacing w:before="40" w:afterLines="40" w:after="96"/>
              <w:rPr>
                <w:b/>
                <w:bCs/>
                <w:kern w:val="32"/>
                <w:sz w:val="16"/>
                <w:szCs w:val="16"/>
                <w:u w:val="single"/>
              </w:rPr>
            </w:pPr>
            <w:r w:rsidRPr="004B670B">
              <w:rPr>
                <w:sz w:val="16"/>
                <w:szCs w:val="16"/>
              </w:rPr>
              <w:t>21-Aug-16</w:t>
            </w:r>
          </w:p>
        </w:tc>
        <w:tc>
          <w:tcPr>
            <w:tcW w:w="1000" w:type="dxa"/>
            <w:tcMar>
              <w:top w:w="57" w:type="dxa"/>
              <w:left w:w="57" w:type="dxa"/>
              <w:bottom w:w="57" w:type="dxa"/>
              <w:right w:w="57" w:type="dxa"/>
            </w:tcMar>
          </w:tcPr>
          <w:p w14:paraId="6D9C7A8B" w14:textId="77777777" w:rsidR="003365A6" w:rsidRDefault="004B670B">
            <w:pPr>
              <w:spacing w:before="40" w:afterLines="40" w:after="96"/>
              <w:rPr>
                <w:b/>
                <w:bCs/>
                <w:kern w:val="32"/>
                <w:sz w:val="16"/>
                <w:szCs w:val="16"/>
                <w:u w:val="single"/>
              </w:rPr>
            </w:pPr>
            <w:r w:rsidRPr="004B670B">
              <w:rPr>
                <w:sz w:val="16"/>
                <w:szCs w:val="16"/>
              </w:rPr>
              <w:t>18-Sep-16</w:t>
            </w:r>
          </w:p>
        </w:tc>
        <w:tc>
          <w:tcPr>
            <w:tcW w:w="1000" w:type="dxa"/>
            <w:tcMar>
              <w:top w:w="57" w:type="dxa"/>
              <w:left w:w="57" w:type="dxa"/>
              <w:bottom w:w="57" w:type="dxa"/>
              <w:right w:w="57" w:type="dxa"/>
            </w:tcMar>
          </w:tcPr>
          <w:p w14:paraId="6D9C7A8C" w14:textId="77777777" w:rsidR="003365A6" w:rsidRDefault="004B670B">
            <w:pPr>
              <w:spacing w:before="40" w:afterLines="40" w:after="96"/>
              <w:rPr>
                <w:b/>
                <w:bCs/>
                <w:kern w:val="32"/>
                <w:sz w:val="16"/>
                <w:szCs w:val="16"/>
                <w:u w:val="single"/>
              </w:rPr>
            </w:pPr>
            <w:r w:rsidRPr="004B670B">
              <w:rPr>
                <w:sz w:val="16"/>
                <w:szCs w:val="16"/>
              </w:rPr>
              <w:t>16-Oct-16</w:t>
            </w:r>
          </w:p>
        </w:tc>
        <w:tc>
          <w:tcPr>
            <w:tcW w:w="1000" w:type="dxa"/>
            <w:tcMar>
              <w:top w:w="57" w:type="dxa"/>
              <w:left w:w="57" w:type="dxa"/>
              <w:bottom w:w="57" w:type="dxa"/>
              <w:right w:w="57" w:type="dxa"/>
            </w:tcMar>
          </w:tcPr>
          <w:p w14:paraId="6D9C7A8D" w14:textId="77777777" w:rsidR="003365A6" w:rsidRDefault="004B670B">
            <w:pPr>
              <w:spacing w:before="40" w:afterLines="40" w:after="96"/>
              <w:rPr>
                <w:b/>
                <w:bCs/>
                <w:kern w:val="32"/>
                <w:sz w:val="16"/>
                <w:szCs w:val="16"/>
                <w:u w:val="single"/>
              </w:rPr>
            </w:pPr>
            <w:r w:rsidRPr="004B670B">
              <w:rPr>
                <w:sz w:val="16"/>
                <w:szCs w:val="16"/>
              </w:rPr>
              <w:t>13-Nov-16</w:t>
            </w:r>
          </w:p>
        </w:tc>
        <w:tc>
          <w:tcPr>
            <w:tcW w:w="1000" w:type="dxa"/>
            <w:tcMar>
              <w:top w:w="57" w:type="dxa"/>
              <w:left w:w="57" w:type="dxa"/>
              <w:bottom w:w="57" w:type="dxa"/>
              <w:right w:w="57" w:type="dxa"/>
            </w:tcMar>
          </w:tcPr>
          <w:p w14:paraId="6D9C7A8E" w14:textId="77777777" w:rsidR="003365A6" w:rsidRDefault="004B670B">
            <w:pPr>
              <w:spacing w:before="40" w:afterLines="40" w:after="96"/>
              <w:rPr>
                <w:b/>
                <w:bCs/>
                <w:kern w:val="32"/>
                <w:sz w:val="16"/>
                <w:szCs w:val="16"/>
                <w:u w:val="single"/>
              </w:rPr>
            </w:pPr>
            <w:r w:rsidRPr="004B670B">
              <w:rPr>
                <w:sz w:val="16"/>
                <w:szCs w:val="16"/>
              </w:rPr>
              <w:t>11-Dec-16</w:t>
            </w:r>
          </w:p>
        </w:tc>
        <w:tc>
          <w:tcPr>
            <w:tcW w:w="1000" w:type="dxa"/>
            <w:tcMar>
              <w:top w:w="57" w:type="dxa"/>
              <w:left w:w="57" w:type="dxa"/>
              <w:bottom w:w="57" w:type="dxa"/>
              <w:right w:w="57" w:type="dxa"/>
            </w:tcMar>
          </w:tcPr>
          <w:p w14:paraId="6D9C7A8F" w14:textId="77777777" w:rsidR="003365A6" w:rsidRDefault="004B670B">
            <w:pPr>
              <w:spacing w:before="40" w:afterLines="40" w:after="96"/>
              <w:rPr>
                <w:b/>
                <w:bCs/>
                <w:kern w:val="32"/>
                <w:sz w:val="16"/>
                <w:szCs w:val="16"/>
                <w:u w:val="single"/>
              </w:rPr>
            </w:pPr>
            <w:r w:rsidRPr="004B670B">
              <w:rPr>
                <w:sz w:val="16"/>
                <w:szCs w:val="16"/>
              </w:rPr>
              <w:t>08-Jan-17</w:t>
            </w:r>
          </w:p>
        </w:tc>
        <w:tc>
          <w:tcPr>
            <w:tcW w:w="1000" w:type="dxa"/>
            <w:tcMar>
              <w:top w:w="57" w:type="dxa"/>
              <w:left w:w="57" w:type="dxa"/>
              <w:bottom w:w="57" w:type="dxa"/>
              <w:right w:w="57" w:type="dxa"/>
            </w:tcMar>
          </w:tcPr>
          <w:p w14:paraId="6D9C7A90" w14:textId="77777777" w:rsidR="003365A6" w:rsidRDefault="004B670B">
            <w:pPr>
              <w:spacing w:before="40" w:afterLines="40" w:after="96"/>
              <w:rPr>
                <w:b/>
                <w:bCs/>
                <w:kern w:val="32"/>
                <w:sz w:val="16"/>
                <w:szCs w:val="16"/>
                <w:u w:val="single"/>
              </w:rPr>
            </w:pPr>
            <w:r w:rsidRPr="004B670B">
              <w:rPr>
                <w:sz w:val="16"/>
                <w:szCs w:val="16"/>
              </w:rPr>
              <w:t>05-Feb-17</w:t>
            </w:r>
          </w:p>
        </w:tc>
        <w:tc>
          <w:tcPr>
            <w:tcW w:w="1000" w:type="dxa"/>
            <w:tcMar>
              <w:top w:w="57" w:type="dxa"/>
              <w:left w:w="57" w:type="dxa"/>
              <w:bottom w:w="57" w:type="dxa"/>
              <w:right w:w="57" w:type="dxa"/>
            </w:tcMar>
          </w:tcPr>
          <w:p w14:paraId="6D9C7A91" w14:textId="77777777" w:rsidR="003365A6" w:rsidRDefault="004B670B">
            <w:pPr>
              <w:spacing w:before="40" w:afterLines="40" w:after="96"/>
              <w:rPr>
                <w:b/>
                <w:bCs/>
                <w:kern w:val="32"/>
                <w:sz w:val="16"/>
                <w:szCs w:val="16"/>
                <w:u w:val="single"/>
              </w:rPr>
            </w:pPr>
            <w:r w:rsidRPr="004B670B">
              <w:rPr>
                <w:sz w:val="16"/>
                <w:szCs w:val="16"/>
              </w:rPr>
              <w:t>05-Mar-17</w:t>
            </w:r>
          </w:p>
        </w:tc>
      </w:tr>
      <w:tr w:rsidR="004B670B" w:rsidRPr="00CF1F48" w14:paraId="6D9C7AA1" w14:textId="77777777" w:rsidTr="002E5DFD">
        <w:tc>
          <w:tcPr>
            <w:tcW w:w="900" w:type="dxa"/>
            <w:shd w:val="clear" w:color="auto" w:fill="E6E6E6"/>
            <w:tcMar>
              <w:top w:w="57" w:type="dxa"/>
              <w:left w:w="57" w:type="dxa"/>
              <w:bottom w:w="57" w:type="dxa"/>
              <w:right w:w="57" w:type="dxa"/>
            </w:tcMar>
          </w:tcPr>
          <w:p w14:paraId="6D9C7A93" w14:textId="77777777" w:rsidR="004B670B" w:rsidRPr="004B670B" w:rsidRDefault="004B670B" w:rsidP="009F5B96">
            <w:pPr>
              <w:spacing w:before="40" w:afterLines="40" w:after="96"/>
              <w:jc w:val="center"/>
              <w:rPr>
                <w:b/>
                <w:bCs/>
                <w:sz w:val="16"/>
                <w:szCs w:val="16"/>
              </w:rPr>
            </w:pPr>
            <w:r w:rsidRPr="004B670B">
              <w:rPr>
                <w:b/>
                <w:bCs/>
                <w:sz w:val="16"/>
                <w:szCs w:val="16"/>
              </w:rPr>
              <w:t>2017-18</w:t>
            </w:r>
          </w:p>
        </w:tc>
        <w:tc>
          <w:tcPr>
            <w:tcW w:w="1000" w:type="dxa"/>
            <w:tcMar>
              <w:top w:w="57" w:type="dxa"/>
              <w:left w:w="57" w:type="dxa"/>
              <w:bottom w:w="57" w:type="dxa"/>
              <w:right w:w="57" w:type="dxa"/>
            </w:tcMar>
          </w:tcPr>
          <w:p w14:paraId="6D9C7A94" w14:textId="77777777" w:rsidR="003365A6" w:rsidRDefault="004B670B">
            <w:pPr>
              <w:spacing w:before="40" w:afterLines="40" w:after="96"/>
              <w:rPr>
                <w:b/>
                <w:bCs/>
                <w:kern w:val="32"/>
                <w:sz w:val="16"/>
                <w:szCs w:val="16"/>
                <w:u w:val="single"/>
              </w:rPr>
            </w:pPr>
            <w:r w:rsidRPr="004B670B">
              <w:rPr>
                <w:sz w:val="16"/>
                <w:szCs w:val="16"/>
              </w:rPr>
              <w:t>01-Apr-17</w:t>
            </w:r>
          </w:p>
        </w:tc>
        <w:tc>
          <w:tcPr>
            <w:tcW w:w="1036" w:type="dxa"/>
            <w:tcMar>
              <w:top w:w="57" w:type="dxa"/>
              <w:left w:w="57" w:type="dxa"/>
              <w:bottom w:w="57" w:type="dxa"/>
              <w:right w:w="57" w:type="dxa"/>
            </w:tcMar>
          </w:tcPr>
          <w:p w14:paraId="6D9C7A95" w14:textId="77777777" w:rsidR="003365A6" w:rsidRDefault="004B670B">
            <w:pPr>
              <w:spacing w:before="40" w:afterLines="40" w:after="96"/>
              <w:rPr>
                <w:b/>
                <w:bCs/>
                <w:kern w:val="32"/>
                <w:sz w:val="16"/>
                <w:szCs w:val="16"/>
                <w:u w:val="single"/>
              </w:rPr>
            </w:pPr>
            <w:r w:rsidRPr="004B670B">
              <w:rPr>
                <w:sz w:val="16"/>
                <w:szCs w:val="16"/>
              </w:rPr>
              <w:t>30-Apr-17</w:t>
            </w:r>
          </w:p>
        </w:tc>
        <w:tc>
          <w:tcPr>
            <w:tcW w:w="1000" w:type="dxa"/>
            <w:tcMar>
              <w:top w:w="57" w:type="dxa"/>
              <w:left w:w="57" w:type="dxa"/>
              <w:bottom w:w="57" w:type="dxa"/>
              <w:right w:w="57" w:type="dxa"/>
            </w:tcMar>
          </w:tcPr>
          <w:p w14:paraId="6D9C7A96" w14:textId="77777777" w:rsidR="003365A6" w:rsidRDefault="004B670B">
            <w:pPr>
              <w:spacing w:before="40" w:afterLines="40" w:after="96"/>
              <w:rPr>
                <w:b/>
                <w:bCs/>
                <w:kern w:val="32"/>
                <w:sz w:val="16"/>
                <w:szCs w:val="16"/>
                <w:u w:val="single"/>
              </w:rPr>
            </w:pPr>
            <w:r w:rsidRPr="004B670B">
              <w:rPr>
                <w:sz w:val="16"/>
                <w:szCs w:val="16"/>
              </w:rPr>
              <w:t>28-May-17</w:t>
            </w:r>
          </w:p>
        </w:tc>
        <w:tc>
          <w:tcPr>
            <w:tcW w:w="1000" w:type="dxa"/>
            <w:tcMar>
              <w:top w:w="57" w:type="dxa"/>
              <w:left w:w="57" w:type="dxa"/>
              <w:bottom w:w="57" w:type="dxa"/>
              <w:right w:w="57" w:type="dxa"/>
            </w:tcMar>
          </w:tcPr>
          <w:p w14:paraId="6D9C7A97" w14:textId="77777777" w:rsidR="003365A6" w:rsidRDefault="004B670B">
            <w:pPr>
              <w:spacing w:before="40" w:afterLines="40" w:after="96"/>
              <w:rPr>
                <w:b/>
                <w:bCs/>
                <w:kern w:val="32"/>
                <w:sz w:val="16"/>
                <w:szCs w:val="16"/>
                <w:u w:val="single"/>
              </w:rPr>
            </w:pPr>
            <w:r w:rsidRPr="004B670B">
              <w:rPr>
                <w:sz w:val="16"/>
                <w:szCs w:val="16"/>
              </w:rPr>
              <w:t>25-Jun-17</w:t>
            </w:r>
          </w:p>
        </w:tc>
        <w:tc>
          <w:tcPr>
            <w:tcW w:w="1000" w:type="dxa"/>
            <w:tcMar>
              <w:top w:w="57" w:type="dxa"/>
              <w:left w:w="57" w:type="dxa"/>
              <w:bottom w:w="57" w:type="dxa"/>
              <w:right w:w="57" w:type="dxa"/>
            </w:tcMar>
          </w:tcPr>
          <w:p w14:paraId="6D9C7A98" w14:textId="77777777" w:rsidR="003365A6" w:rsidRDefault="004B670B">
            <w:pPr>
              <w:spacing w:before="40" w:afterLines="40" w:after="96"/>
              <w:rPr>
                <w:b/>
                <w:bCs/>
                <w:kern w:val="32"/>
                <w:sz w:val="16"/>
                <w:szCs w:val="16"/>
                <w:u w:val="single"/>
              </w:rPr>
            </w:pPr>
            <w:r w:rsidRPr="004B670B">
              <w:rPr>
                <w:sz w:val="16"/>
                <w:szCs w:val="16"/>
              </w:rPr>
              <w:t>23-Jul-17</w:t>
            </w:r>
          </w:p>
        </w:tc>
        <w:tc>
          <w:tcPr>
            <w:tcW w:w="1000" w:type="dxa"/>
            <w:tcMar>
              <w:top w:w="57" w:type="dxa"/>
              <w:left w:w="57" w:type="dxa"/>
              <w:bottom w:w="57" w:type="dxa"/>
              <w:right w:w="57" w:type="dxa"/>
            </w:tcMar>
          </w:tcPr>
          <w:p w14:paraId="6D9C7A99" w14:textId="77777777" w:rsidR="003365A6" w:rsidRDefault="004B670B">
            <w:pPr>
              <w:spacing w:before="40" w:afterLines="40" w:after="96"/>
              <w:rPr>
                <w:b/>
                <w:bCs/>
                <w:kern w:val="32"/>
                <w:sz w:val="16"/>
                <w:szCs w:val="16"/>
                <w:u w:val="single"/>
              </w:rPr>
            </w:pPr>
            <w:r w:rsidRPr="004B670B">
              <w:rPr>
                <w:sz w:val="16"/>
                <w:szCs w:val="16"/>
              </w:rPr>
              <w:t>20-Aug-17</w:t>
            </w:r>
          </w:p>
        </w:tc>
        <w:tc>
          <w:tcPr>
            <w:tcW w:w="1000" w:type="dxa"/>
            <w:tcMar>
              <w:top w:w="57" w:type="dxa"/>
              <w:left w:w="57" w:type="dxa"/>
              <w:bottom w:w="57" w:type="dxa"/>
              <w:right w:w="57" w:type="dxa"/>
            </w:tcMar>
          </w:tcPr>
          <w:p w14:paraId="6D9C7A9A" w14:textId="77777777" w:rsidR="003365A6" w:rsidRDefault="004B670B">
            <w:pPr>
              <w:spacing w:before="40" w:afterLines="40" w:after="96"/>
              <w:rPr>
                <w:b/>
                <w:bCs/>
                <w:kern w:val="32"/>
                <w:sz w:val="16"/>
                <w:szCs w:val="16"/>
                <w:u w:val="single"/>
              </w:rPr>
            </w:pPr>
            <w:r w:rsidRPr="004B670B">
              <w:rPr>
                <w:sz w:val="16"/>
                <w:szCs w:val="16"/>
              </w:rPr>
              <w:t>17-Sep-17</w:t>
            </w:r>
          </w:p>
        </w:tc>
        <w:tc>
          <w:tcPr>
            <w:tcW w:w="1000" w:type="dxa"/>
            <w:tcMar>
              <w:top w:w="57" w:type="dxa"/>
              <w:left w:w="57" w:type="dxa"/>
              <w:bottom w:w="57" w:type="dxa"/>
              <w:right w:w="57" w:type="dxa"/>
            </w:tcMar>
          </w:tcPr>
          <w:p w14:paraId="6D9C7A9B" w14:textId="77777777" w:rsidR="003365A6" w:rsidRDefault="004B670B">
            <w:pPr>
              <w:spacing w:before="40" w:afterLines="40" w:after="96"/>
              <w:rPr>
                <w:b/>
                <w:bCs/>
                <w:kern w:val="32"/>
                <w:sz w:val="16"/>
                <w:szCs w:val="16"/>
                <w:u w:val="single"/>
              </w:rPr>
            </w:pPr>
            <w:r w:rsidRPr="004B670B">
              <w:rPr>
                <w:sz w:val="16"/>
                <w:szCs w:val="16"/>
              </w:rPr>
              <w:t>15-Oct-17</w:t>
            </w:r>
          </w:p>
        </w:tc>
        <w:tc>
          <w:tcPr>
            <w:tcW w:w="1000" w:type="dxa"/>
            <w:tcMar>
              <w:top w:w="57" w:type="dxa"/>
              <w:left w:w="57" w:type="dxa"/>
              <w:bottom w:w="57" w:type="dxa"/>
              <w:right w:w="57" w:type="dxa"/>
            </w:tcMar>
          </w:tcPr>
          <w:p w14:paraId="6D9C7A9C" w14:textId="77777777" w:rsidR="003365A6" w:rsidRDefault="004B670B">
            <w:pPr>
              <w:spacing w:before="40" w:afterLines="40" w:after="96"/>
              <w:rPr>
                <w:b/>
                <w:bCs/>
                <w:kern w:val="32"/>
                <w:sz w:val="16"/>
                <w:szCs w:val="16"/>
                <w:u w:val="single"/>
              </w:rPr>
            </w:pPr>
            <w:r w:rsidRPr="004B670B">
              <w:rPr>
                <w:sz w:val="16"/>
                <w:szCs w:val="16"/>
              </w:rPr>
              <w:t>12-Nov-17</w:t>
            </w:r>
          </w:p>
        </w:tc>
        <w:tc>
          <w:tcPr>
            <w:tcW w:w="1000" w:type="dxa"/>
            <w:tcMar>
              <w:top w:w="57" w:type="dxa"/>
              <w:left w:w="57" w:type="dxa"/>
              <w:bottom w:w="57" w:type="dxa"/>
              <w:right w:w="57" w:type="dxa"/>
            </w:tcMar>
          </w:tcPr>
          <w:p w14:paraId="6D9C7A9D" w14:textId="77777777" w:rsidR="003365A6" w:rsidRDefault="004B670B">
            <w:pPr>
              <w:spacing w:before="40" w:afterLines="40" w:after="96"/>
              <w:rPr>
                <w:b/>
                <w:bCs/>
                <w:kern w:val="32"/>
                <w:sz w:val="16"/>
                <w:szCs w:val="16"/>
                <w:u w:val="single"/>
              </w:rPr>
            </w:pPr>
            <w:r w:rsidRPr="004B670B">
              <w:rPr>
                <w:sz w:val="16"/>
                <w:szCs w:val="16"/>
              </w:rPr>
              <w:t>10-Dec-17</w:t>
            </w:r>
          </w:p>
        </w:tc>
        <w:tc>
          <w:tcPr>
            <w:tcW w:w="1000" w:type="dxa"/>
            <w:tcMar>
              <w:top w:w="57" w:type="dxa"/>
              <w:left w:w="57" w:type="dxa"/>
              <w:bottom w:w="57" w:type="dxa"/>
              <w:right w:w="57" w:type="dxa"/>
            </w:tcMar>
          </w:tcPr>
          <w:p w14:paraId="6D9C7A9E" w14:textId="77777777" w:rsidR="003365A6" w:rsidRDefault="004B670B">
            <w:pPr>
              <w:spacing w:before="40" w:afterLines="40" w:after="96"/>
              <w:rPr>
                <w:b/>
                <w:bCs/>
                <w:kern w:val="32"/>
                <w:sz w:val="16"/>
                <w:szCs w:val="16"/>
                <w:u w:val="single"/>
              </w:rPr>
            </w:pPr>
            <w:r w:rsidRPr="004B670B">
              <w:rPr>
                <w:sz w:val="16"/>
                <w:szCs w:val="16"/>
              </w:rPr>
              <w:t>07-Jan-18</w:t>
            </w:r>
          </w:p>
        </w:tc>
        <w:tc>
          <w:tcPr>
            <w:tcW w:w="1000" w:type="dxa"/>
            <w:tcMar>
              <w:top w:w="57" w:type="dxa"/>
              <w:left w:w="57" w:type="dxa"/>
              <w:bottom w:w="57" w:type="dxa"/>
              <w:right w:w="57" w:type="dxa"/>
            </w:tcMar>
          </w:tcPr>
          <w:p w14:paraId="6D9C7A9F" w14:textId="77777777" w:rsidR="003365A6" w:rsidRDefault="004B670B">
            <w:pPr>
              <w:spacing w:before="40" w:afterLines="40" w:after="96"/>
              <w:rPr>
                <w:b/>
                <w:bCs/>
                <w:kern w:val="32"/>
                <w:sz w:val="16"/>
                <w:szCs w:val="16"/>
                <w:u w:val="single"/>
              </w:rPr>
            </w:pPr>
            <w:r w:rsidRPr="004B670B">
              <w:rPr>
                <w:sz w:val="16"/>
                <w:szCs w:val="16"/>
              </w:rPr>
              <w:t>04-Feb-18</w:t>
            </w:r>
          </w:p>
        </w:tc>
        <w:tc>
          <w:tcPr>
            <w:tcW w:w="1000" w:type="dxa"/>
            <w:tcMar>
              <w:top w:w="57" w:type="dxa"/>
              <w:left w:w="57" w:type="dxa"/>
              <w:bottom w:w="57" w:type="dxa"/>
              <w:right w:w="57" w:type="dxa"/>
            </w:tcMar>
          </w:tcPr>
          <w:p w14:paraId="6D9C7AA0" w14:textId="77777777" w:rsidR="003365A6" w:rsidRDefault="004B670B">
            <w:pPr>
              <w:spacing w:before="40" w:afterLines="40" w:after="96"/>
              <w:rPr>
                <w:b/>
                <w:bCs/>
                <w:kern w:val="32"/>
                <w:sz w:val="16"/>
                <w:szCs w:val="16"/>
                <w:u w:val="single"/>
              </w:rPr>
            </w:pPr>
            <w:r w:rsidRPr="004B670B">
              <w:rPr>
                <w:sz w:val="16"/>
                <w:szCs w:val="16"/>
              </w:rPr>
              <w:t>04-Mar-18</w:t>
            </w:r>
          </w:p>
        </w:tc>
      </w:tr>
      <w:tr w:rsidR="004B670B" w:rsidRPr="00CF1F48" w14:paraId="6D9C7AB0" w14:textId="77777777" w:rsidTr="002E5DFD">
        <w:tc>
          <w:tcPr>
            <w:tcW w:w="900" w:type="dxa"/>
            <w:shd w:val="clear" w:color="auto" w:fill="E6E6E6"/>
            <w:tcMar>
              <w:top w:w="57" w:type="dxa"/>
              <w:left w:w="57" w:type="dxa"/>
              <w:bottom w:w="57" w:type="dxa"/>
              <w:right w:w="57" w:type="dxa"/>
            </w:tcMar>
          </w:tcPr>
          <w:p w14:paraId="6D9C7AA2" w14:textId="77777777" w:rsidR="004B670B" w:rsidRPr="004B670B" w:rsidRDefault="004B670B" w:rsidP="009F5B96">
            <w:pPr>
              <w:spacing w:before="40" w:afterLines="40" w:after="96"/>
              <w:jc w:val="center"/>
              <w:rPr>
                <w:b/>
                <w:bCs/>
                <w:sz w:val="16"/>
                <w:szCs w:val="16"/>
              </w:rPr>
            </w:pPr>
            <w:r w:rsidRPr="004B670B">
              <w:rPr>
                <w:b/>
                <w:bCs/>
                <w:sz w:val="16"/>
                <w:szCs w:val="16"/>
              </w:rPr>
              <w:t>2018-19</w:t>
            </w:r>
          </w:p>
        </w:tc>
        <w:tc>
          <w:tcPr>
            <w:tcW w:w="1000" w:type="dxa"/>
            <w:tcMar>
              <w:top w:w="57" w:type="dxa"/>
              <w:left w:w="57" w:type="dxa"/>
              <w:bottom w:w="57" w:type="dxa"/>
              <w:right w:w="57" w:type="dxa"/>
            </w:tcMar>
          </w:tcPr>
          <w:p w14:paraId="6D9C7AA3" w14:textId="77777777" w:rsidR="003365A6" w:rsidRDefault="004B670B">
            <w:pPr>
              <w:spacing w:before="40" w:afterLines="40" w:after="96"/>
              <w:rPr>
                <w:b/>
                <w:bCs/>
                <w:kern w:val="32"/>
                <w:sz w:val="16"/>
                <w:szCs w:val="16"/>
                <w:u w:val="single"/>
              </w:rPr>
            </w:pPr>
            <w:r w:rsidRPr="004B670B">
              <w:rPr>
                <w:sz w:val="16"/>
                <w:szCs w:val="16"/>
              </w:rPr>
              <w:t>01-Apr-18</w:t>
            </w:r>
          </w:p>
        </w:tc>
        <w:tc>
          <w:tcPr>
            <w:tcW w:w="1036" w:type="dxa"/>
            <w:tcMar>
              <w:top w:w="57" w:type="dxa"/>
              <w:left w:w="57" w:type="dxa"/>
              <w:bottom w:w="57" w:type="dxa"/>
              <w:right w:w="57" w:type="dxa"/>
            </w:tcMar>
          </w:tcPr>
          <w:p w14:paraId="6D9C7AA4" w14:textId="77777777" w:rsidR="003365A6" w:rsidRDefault="004B670B">
            <w:pPr>
              <w:spacing w:before="40" w:afterLines="40" w:after="96"/>
              <w:rPr>
                <w:b/>
                <w:bCs/>
                <w:kern w:val="32"/>
                <w:sz w:val="16"/>
                <w:szCs w:val="16"/>
                <w:u w:val="single"/>
              </w:rPr>
            </w:pPr>
            <w:r w:rsidRPr="004B670B">
              <w:rPr>
                <w:sz w:val="16"/>
                <w:szCs w:val="16"/>
              </w:rPr>
              <w:t>29-Apr-18</w:t>
            </w:r>
          </w:p>
        </w:tc>
        <w:tc>
          <w:tcPr>
            <w:tcW w:w="1000" w:type="dxa"/>
            <w:tcMar>
              <w:top w:w="57" w:type="dxa"/>
              <w:left w:w="57" w:type="dxa"/>
              <w:bottom w:w="57" w:type="dxa"/>
              <w:right w:w="57" w:type="dxa"/>
            </w:tcMar>
          </w:tcPr>
          <w:p w14:paraId="6D9C7AA5" w14:textId="77777777" w:rsidR="003365A6" w:rsidRDefault="004B670B">
            <w:pPr>
              <w:spacing w:before="40" w:afterLines="40" w:after="96"/>
              <w:rPr>
                <w:b/>
                <w:bCs/>
                <w:kern w:val="32"/>
                <w:sz w:val="16"/>
                <w:szCs w:val="16"/>
                <w:u w:val="single"/>
              </w:rPr>
            </w:pPr>
            <w:r w:rsidRPr="004B670B">
              <w:rPr>
                <w:sz w:val="16"/>
                <w:szCs w:val="16"/>
              </w:rPr>
              <w:t>27-May-18</w:t>
            </w:r>
          </w:p>
        </w:tc>
        <w:tc>
          <w:tcPr>
            <w:tcW w:w="1000" w:type="dxa"/>
            <w:tcMar>
              <w:top w:w="57" w:type="dxa"/>
              <w:left w:w="57" w:type="dxa"/>
              <w:bottom w:w="57" w:type="dxa"/>
              <w:right w:w="57" w:type="dxa"/>
            </w:tcMar>
          </w:tcPr>
          <w:p w14:paraId="6D9C7AA6" w14:textId="77777777" w:rsidR="003365A6" w:rsidRDefault="004B670B">
            <w:pPr>
              <w:spacing w:before="40" w:afterLines="40" w:after="96"/>
              <w:rPr>
                <w:b/>
                <w:bCs/>
                <w:kern w:val="32"/>
                <w:sz w:val="16"/>
                <w:szCs w:val="16"/>
                <w:u w:val="single"/>
              </w:rPr>
            </w:pPr>
            <w:r w:rsidRPr="004B670B">
              <w:rPr>
                <w:sz w:val="16"/>
                <w:szCs w:val="16"/>
              </w:rPr>
              <w:t>24-Jun-18</w:t>
            </w:r>
          </w:p>
        </w:tc>
        <w:tc>
          <w:tcPr>
            <w:tcW w:w="1000" w:type="dxa"/>
            <w:tcMar>
              <w:top w:w="57" w:type="dxa"/>
              <w:left w:w="57" w:type="dxa"/>
              <w:bottom w:w="57" w:type="dxa"/>
              <w:right w:w="57" w:type="dxa"/>
            </w:tcMar>
          </w:tcPr>
          <w:p w14:paraId="6D9C7AA7" w14:textId="77777777" w:rsidR="003365A6" w:rsidRDefault="004B670B">
            <w:pPr>
              <w:spacing w:before="40" w:afterLines="40" w:after="96"/>
              <w:rPr>
                <w:b/>
                <w:bCs/>
                <w:kern w:val="32"/>
                <w:sz w:val="16"/>
                <w:szCs w:val="16"/>
                <w:u w:val="single"/>
              </w:rPr>
            </w:pPr>
            <w:r w:rsidRPr="004B670B">
              <w:rPr>
                <w:sz w:val="16"/>
                <w:szCs w:val="16"/>
              </w:rPr>
              <w:t>22-Jul-18</w:t>
            </w:r>
          </w:p>
        </w:tc>
        <w:tc>
          <w:tcPr>
            <w:tcW w:w="1000" w:type="dxa"/>
            <w:tcMar>
              <w:top w:w="57" w:type="dxa"/>
              <w:left w:w="57" w:type="dxa"/>
              <w:bottom w:w="57" w:type="dxa"/>
              <w:right w:w="57" w:type="dxa"/>
            </w:tcMar>
          </w:tcPr>
          <w:p w14:paraId="6D9C7AA8" w14:textId="77777777" w:rsidR="003365A6" w:rsidRDefault="004B670B">
            <w:pPr>
              <w:spacing w:before="40" w:afterLines="40" w:after="96"/>
              <w:rPr>
                <w:b/>
                <w:bCs/>
                <w:kern w:val="32"/>
                <w:sz w:val="16"/>
                <w:szCs w:val="16"/>
                <w:u w:val="single"/>
              </w:rPr>
            </w:pPr>
            <w:r w:rsidRPr="004B670B">
              <w:rPr>
                <w:sz w:val="16"/>
                <w:szCs w:val="16"/>
              </w:rPr>
              <w:t>19-Aug-18</w:t>
            </w:r>
          </w:p>
        </w:tc>
        <w:tc>
          <w:tcPr>
            <w:tcW w:w="1000" w:type="dxa"/>
            <w:tcMar>
              <w:top w:w="57" w:type="dxa"/>
              <w:left w:w="57" w:type="dxa"/>
              <w:bottom w:w="57" w:type="dxa"/>
              <w:right w:w="57" w:type="dxa"/>
            </w:tcMar>
          </w:tcPr>
          <w:p w14:paraId="6D9C7AA9" w14:textId="77777777" w:rsidR="003365A6" w:rsidRDefault="004B670B">
            <w:pPr>
              <w:spacing w:before="40" w:afterLines="40" w:after="96"/>
              <w:rPr>
                <w:b/>
                <w:bCs/>
                <w:kern w:val="32"/>
                <w:sz w:val="16"/>
                <w:szCs w:val="16"/>
                <w:u w:val="single"/>
              </w:rPr>
            </w:pPr>
            <w:r w:rsidRPr="004B670B">
              <w:rPr>
                <w:sz w:val="16"/>
                <w:szCs w:val="16"/>
              </w:rPr>
              <w:t>16-Sep-18</w:t>
            </w:r>
          </w:p>
        </w:tc>
        <w:tc>
          <w:tcPr>
            <w:tcW w:w="1000" w:type="dxa"/>
            <w:tcMar>
              <w:top w:w="57" w:type="dxa"/>
              <w:left w:w="57" w:type="dxa"/>
              <w:bottom w:w="57" w:type="dxa"/>
              <w:right w:w="57" w:type="dxa"/>
            </w:tcMar>
          </w:tcPr>
          <w:p w14:paraId="6D9C7AAA" w14:textId="77777777" w:rsidR="003365A6" w:rsidRDefault="004B670B">
            <w:pPr>
              <w:spacing w:before="40" w:afterLines="40" w:after="96"/>
              <w:rPr>
                <w:b/>
                <w:bCs/>
                <w:kern w:val="32"/>
                <w:sz w:val="16"/>
                <w:szCs w:val="16"/>
                <w:u w:val="single"/>
              </w:rPr>
            </w:pPr>
            <w:r w:rsidRPr="004B670B">
              <w:rPr>
                <w:sz w:val="16"/>
                <w:szCs w:val="16"/>
              </w:rPr>
              <w:t>14-Oct-18</w:t>
            </w:r>
          </w:p>
        </w:tc>
        <w:tc>
          <w:tcPr>
            <w:tcW w:w="1000" w:type="dxa"/>
            <w:tcMar>
              <w:top w:w="57" w:type="dxa"/>
              <w:left w:w="57" w:type="dxa"/>
              <w:bottom w:w="57" w:type="dxa"/>
              <w:right w:w="57" w:type="dxa"/>
            </w:tcMar>
          </w:tcPr>
          <w:p w14:paraId="6D9C7AAB" w14:textId="77777777" w:rsidR="003365A6" w:rsidRDefault="004B670B">
            <w:pPr>
              <w:spacing w:before="40" w:afterLines="40" w:after="96"/>
              <w:rPr>
                <w:b/>
                <w:bCs/>
                <w:kern w:val="32"/>
                <w:sz w:val="16"/>
                <w:szCs w:val="16"/>
                <w:u w:val="single"/>
              </w:rPr>
            </w:pPr>
            <w:r w:rsidRPr="004B670B">
              <w:rPr>
                <w:sz w:val="16"/>
                <w:szCs w:val="16"/>
              </w:rPr>
              <w:t>11-Nov-18</w:t>
            </w:r>
          </w:p>
        </w:tc>
        <w:tc>
          <w:tcPr>
            <w:tcW w:w="1000" w:type="dxa"/>
            <w:tcMar>
              <w:top w:w="57" w:type="dxa"/>
              <w:left w:w="57" w:type="dxa"/>
              <w:bottom w:w="57" w:type="dxa"/>
              <w:right w:w="57" w:type="dxa"/>
            </w:tcMar>
          </w:tcPr>
          <w:p w14:paraId="6D9C7AAC" w14:textId="77777777" w:rsidR="003365A6" w:rsidRDefault="004B670B">
            <w:pPr>
              <w:spacing w:before="40" w:afterLines="40" w:after="96"/>
              <w:rPr>
                <w:b/>
                <w:bCs/>
                <w:kern w:val="32"/>
                <w:sz w:val="16"/>
                <w:szCs w:val="16"/>
                <w:u w:val="single"/>
              </w:rPr>
            </w:pPr>
            <w:r w:rsidRPr="004B670B">
              <w:rPr>
                <w:sz w:val="16"/>
                <w:szCs w:val="16"/>
              </w:rPr>
              <w:t>09-Dec-18</w:t>
            </w:r>
          </w:p>
        </w:tc>
        <w:tc>
          <w:tcPr>
            <w:tcW w:w="1000" w:type="dxa"/>
            <w:tcMar>
              <w:top w:w="57" w:type="dxa"/>
              <w:left w:w="57" w:type="dxa"/>
              <w:bottom w:w="57" w:type="dxa"/>
              <w:right w:w="57" w:type="dxa"/>
            </w:tcMar>
          </w:tcPr>
          <w:p w14:paraId="6D9C7AAD" w14:textId="77777777" w:rsidR="003365A6" w:rsidRDefault="004B670B">
            <w:pPr>
              <w:spacing w:before="40" w:afterLines="40" w:after="96"/>
              <w:rPr>
                <w:b/>
                <w:bCs/>
                <w:kern w:val="32"/>
                <w:sz w:val="16"/>
                <w:szCs w:val="16"/>
                <w:u w:val="single"/>
              </w:rPr>
            </w:pPr>
            <w:r w:rsidRPr="004B670B">
              <w:rPr>
                <w:sz w:val="16"/>
                <w:szCs w:val="16"/>
              </w:rPr>
              <w:t>06-Jan-19</w:t>
            </w:r>
          </w:p>
        </w:tc>
        <w:tc>
          <w:tcPr>
            <w:tcW w:w="1000" w:type="dxa"/>
            <w:tcMar>
              <w:top w:w="57" w:type="dxa"/>
              <w:left w:w="57" w:type="dxa"/>
              <w:bottom w:w="57" w:type="dxa"/>
              <w:right w:w="57" w:type="dxa"/>
            </w:tcMar>
          </w:tcPr>
          <w:p w14:paraId="6D9C7AAE" w14:textId="77777777" w:rsidR="003365A6" w:rsidRDefault="004B670B">
            <w:pPr>
              <w:spacing w:before="40" w:afterLines="40" w:after="96"/>
              <w:rPr>
                <w:b/>
                <w:bCs/>
                <w:kern w:val="32"/>
                <w:sz w:val="16"/>
                <w:szCs w:val="16"/>
                <w:u w:val="single"/>
              </w:rPr>
            </w:pPr>
            <w:r w:rsidRPr="004B670B">
              <w:rPr>
                <w:sz w:val="16"/>
                <w:szCs w:val="16"/>
              </w:rPr>
              <w:t>03-Feb-19</w:t>
            </w:r>
          </w:p>
        </w:tc>
        <w:tc>
          <w:tcPr>
            <w:tcW w:w="1000" w:type="dxa"/>
            <w:tcMar>
              <w:top w:w="57" w:type="dxa"/>
              <w:left w:w="57" w:type="dxa"/>
              <w:bottom w:w="57" w:type="dxa"/>
              <w:right w:w="57" w:type="dxa"/>
            </w:tcMar>
          </w:tcPr>
          <w:p w14:paraId="6D9C7AAF" w14:textId="77777777" w:rsidR="003365A6" w:rsidRDefault="004B670B">
            <w:pPr>
              <w:spacing w:before="40" w:afterLines="40" w:after="96"/>
              <w:rPr>
                <w:b/>
                <w:bCs/>
                <w:kern w:val="32"/>
                <w:sz w:val="16"/>
                <w:szCs w:val="16"/>
                <w:u w:val="single"/>
              </w:rPr>
            </w:pPr>
            <w:r w:rsidRPr="004B670B">
              <w:rPr>
                <w:sz w:val="16"/>
                <w:szCs w:val="16"/>
              </w:rPr>
              <w:t>03-Mar-19</w:t>
            </w:r>
          </w:p>
        </w:tc>
      </w:tr>
      <w:tr w:rsidR="004B670B" w:rsidRPr="00CF1F48" w14:paraId="6D9C7ABF" w14:textId="77777777" w:rsidTr="002E5DFD">
        <w:tc>
          <w:tcPr>
            <w:tcW w:w="900" w:type="dxa"/>
            <w:shd w:val="clear" w:color="auto" w:fill="E6E6E6"/>
            <w:tcMar>
              <w:top w:w="57" w:type="dxa"/>
              <w:left w:w="57" w:type="dxa"/>
              <w:bottom w:w="57" w:type="dxa"/>
              <w:right w:w="57" w:type="dxa"/>
            </w:tcMar>
          </w:tcPr>
          <w:p w14:paraId="6D9C7AB1" w14:textId="77777777" w:rsidR="004B670B" w:rsidRPr="004B670B" w:rsidRDefault="004B670B" w:rsidP="009F5B96">
            <w:pPr>
              <w:spacing w:before="40" w:afterLines="40" w:after="96"/>
              <w:jc w:val="center"/>
              <w:rPr>
                <w:b/>
                <w:bCs/>
                <w:sz w:val="16"/>
                <w:szCs w:val="16"/>
              </w:rPr>
            </w:pPr>
            <w:r w:rsidRPr="004B670B">
              <w:rPr>
                <w:b/>
                <w:bCs/>
                <w:sz w:val="16"/>
                <w:szCs w:val="16"/>
              </w:rPr>
              <w:t>2019-20</w:t>
            </w:r>
          </w:p>
        </w:tc>
        <w:tc>
          <w:tcPr>
            <w:tcW w:w="1000" w:type="dxa"/>
            <w:tcMar>
              <w:top w:w="57" w:type="dxa"/>
              <w:left w:w="57" w:type="dxa"/>
              <w:bottom w:w="57" w:type="dxa"/>
              <w:right w:w="57" w:type="dxa"/>
            </w:tcMar>
          </w:tcPr>
          <w:p w14:paraId="6D9C7AB2" w14:textId="77777777" w:rsidR="003365A6" w:rsidRDefault="004B670B">
            <w:pPr>
              <w:spacing w:before="40" w:afterLines="40" w:after="96"/>
              <w:rPr>
                <w:b/>
                <w:bCs/>
                <w:kern w:val="32"/>
                <w:sz w:val="16"/>
                <w:szCs w:val="16"/>
                <w:u w:val="single"/>
              </w:rPr>
            </w:pPr>
            <w:r w:rsidRPr="004B670B">
              <w:rPr>
                <w:sz w:val="16"/>
                <w:szCs w:val="16"/>
              </w:rPr>
              <w:t>01-Apr-19</w:t>
            </w:r>
          </w:p>
        </w:tc>
        <w:tc>
          <w:tcPr>
            <w:tcW w:w="1036" w:type="dxa"/>
            <w:tcMar>
              <w:top w:w="57" w:type="dxa"/>
              <w:left w:w="57" w:type="dxa"/>
              <w:bottom w:w="57" w:type="dxa"/>
              <w:right w:w="57" w:type="dxa"/>
            </w:tcMar>
          </w:tcPr>
          <w:p w14:paraId="6D9C7AB3" w14:textId="77777777" w:rsidR="003365A6" w:rsidRDefault="004B670B">
            <w:pPr>
              <w:spacing w:before="40" w:afterLines="40" w:after="96"/>
              <w:rPr>
                <w:b/>
                <w:bCs/>
                <w:kern w:val="32"/>
                <w:sz w:val="16"/>
                <w:szCs w:val="16"/>
                <w:u w:val="single"/>
              </w:rPr>
            </w:pPr>
            <w:r w:rsidRPr="004B670B">
              <w:rPr>
                <w:sz w:val="16"/>
                <w:szCs w:val="16"/>
              </w:rPr>
              <w:t>28-Apr-19</w:t>
            </w:r>
          </w:p>
        </w:tc>
        <w:tc>
          <w:tcPr>
            <w:tcW w:w="1000" w:type="dxa"/>
            <w:tcMar>
              <w:top w:w="57" w:type="dxa"/>
              <w:left w:w="57" w:type="dxa"/>
              <w:bottom w:w="57" w:type="dxa"/>
              <w:right w:w="57" w:type="dxa"/>
            </w:tcMar>
          </w:tcPr>
          <w:p w14:paraId="6D9C7AB4" w14:textId="77777777" w:rsidR="003365A6" w:rsidRDefault="004B670B">
            <w:pPr>
              <w:spacing w:before="40" w:afterLines="40" w:after="96"/>
              <w:rPr>
                <w:b/>
                <w:bCs/>
                <w:kern w:val="32"/>
                <w:sz w:val="16"/>
                <w:szCs w:val="16"/>
                <w:u w:val="single"/>
              </w:rPr>
            </w:pPr>
            <w:r w:rsidRPr="004B670B">
              <w:rPr>
                <w:sz w:val="16"/>
                <w:szCs w:val="16"/>
              </w:rPr>
              <w:t>26-May-19</w:t>
            </w:r>
          </w:p>
        </w:tc>
        <w:tc>
          <w:tcPr>
            <w:tcW w:w="1000" w:type="dxa"/>
            <w:tcMar>
              <w:top w:w="57" w:type="dxa"/>
              <w:left w:w="57" w:type="dxa"/>
              <w:bottom w:w="57" w:type="dxa"/>
              <w:right w:w="57" w:type="dxa"/>
            </w:tcMar>
          </w:tcPr>
          <w:p w14:paraId="6D9C7AB5" w14:textId="77777777" w:rsidR="003365A6" w:rsidRDefault="004B670B">
            <w:pPr>
              <w:spacing w:before="40" w:afterLines="40" w:after="96"/>
              <w:rPr>
                <w:b/>
                <w:bCs/>
                <w:kern w:val="32"/>
                <w:sz w:val="16"/>
                <w:szCs w:val="16"/>
                <w:u w:val="single"/>
              </w:rPr>
            </w:pPr>
            <w:r w:rsidRPr="004B670B">
              <w:rPr>
                <w:sz w:val="16"/>
                <w:szCs w:val="16"/>
              </w:rPr>
              <w:t>23-Jun-19</w:t>
            </w:r>
          </w:p>
        </w:tc>
        <w:tc>
          <w:tcPr>
            <w:tcW w:w="1000" w:type="dxa"/>
            <w:tcMar>
              <w:top w:w="57" w:type="dxa"/>
              <w:left w:w="57" w:type="dxa"/>
              <w:bottom w:w="57" w:type="dxa"/>
              <w:right w:w="57" w:type="dxa"/>
            </w:tcMar>
          </w:tcPr>
          <w:p w14:paraId="6D9C7AB6" w14:textId="77777777" w:rsidR="003365A6" w:rsidRDefault="004B670B">
            <w:pPr>
              <w:spacing w:before="40" w:afterLines="40" w:after="96"/>
              <w:rPr>
                <w:b/>
                <w:bCs/>
                <w:kern w:val="32"/>
                <w:sz w:val="16"/>
                <w:szCs w:val="16"/>
                <w:u w:val="single"/>
              </w:rPr>
            </w:pPr>
            <w:r w:rsidRPr="004B670B">
              <w:rPr>
                <w:sz w:val="16"/>
                <w:szCs w:val="16"/>
              </w:rPr>
              <w:t>21-Jul-19</w:t>
            </w:r>
          </w:p>
        </w:tc>
        <w:tc>
          <w:tcPr>
            <w:tcW w:w="1000" w:type="dxa"/>
            <w:tcMar>
              <w:top w:w="57" w:type="dxa"/>
              <w:left w:w="57" w:type="dxa"/>
              <w:bottom w:w="57" w:type="dxa"/>
              <w:right w:w="57" w:type="dxa"/>
            </w:tcMar>
          </w:tcPr>
          <w:p w14:paraId="6D9C7AB7" w14:textId="77777777" w:rsidR="003365A6" w:rsidRDefault="004B670B">
            <w:pPr>
              <w:spacing w:before="40" w:afterLines="40" w:after="96"/>
              <w:rPr>
                <w:b/>
                <w:bCs/>
                <w:kern w:val="32"/>
                <w:sz w:val="16"/>
                <w:szCs w:val="16"/>
                <w:u w:val="single"/>
              </w:rPr>
            </w:pPr>
            <w:r w:rsidRPr="004B670B">
              <w:rPr>
                <w:sz w:val="16"/>
                <w:szCs w:val="16"/>
              </w:rPr>
              <w:t>18-Aug-19</w:t>
            </w:r>
          </w:p>
        </w:tc>
        <w:tc>
          <w:tcPr>
            <w:tcW w:w="1000" w:type="dxa"/>
            <w:tcMar>
              <w:top w:w="57" w:type="dxa"/>
              <w:left w:w="57" w:type="dxa"/>
              <w:bottom w:w="57" w:type="dxa"/>
              <w:right w:w="57" w:type="dxa"/>
            </w:tcMar>
          </w:tcPr>
          <w:p w14:paraId="6D9C7AB8" w14:textId="77777777" w:rsidR="003365A6" w:rsidRDefault="004B670B">
            <w:pPr>
              <w:spacing w:before="40" w:afterLines="40" w:after="96"/>
              <w:rPr>
                <w:b/>
                <w:bCs/>
                <w:kern w:val="32"/>
                <w:sz w:val="16"/>
                <w:szCs w:val="16"/>
                <w:u w:val="single"/>
              </w:rPr>
            </w:pPr>
            <w:r w:rsidRPr="004B670B">
              <w:rPr>
                <w:sz w:val="16"/>
                <w:szCs w:val="16"/>
              </w:rPr>
              <w:t>15-Sep-19</w:t>
            </w:r>
          </w:p>
        </w:tc>
        <w:tc>
          <w:tcPr>
            <w:tcW w:w="1000" w:type="dxa"/>
            <w:tcMar>
              <w:top w:w="57" w:type="dxa"/>
              <w:left w:w="57" w:type="dxa"/>
              <w:bottom w:w="57" w:type="dxa"/>
              <w:right w:w="57" w:type="dxa"/>
            </w:tcMar>
          </w:tcPr>
          <w:p w14:paraId="6D9C7AB9" w14:textId="77777777" w:rsidR="003365A6" w:rsidRDefault="004B670B">
            <w:pPr>
              <w:spacing w:before="40" w:afterLines="40" w:after="96"/>
              <w:rPr>
                <w:b/>
                <w:bCs/>
                <w:kern w:val="32"/>
                <w:sz w:val="16"/>
                <w:szCs w:val="16"/>
                <w:u w:val="single"/>
              </w:rPr>
            </w:pPr>
            <w:r w:rsidRPr="004B670B">
              <w:rPr>
                <w:sz w:val="16"/>
                <w:szCs w:val="16"/>
              </w:rPr>
              <w:t>13-Oct-19</w:t>
            </w:r>
          </w:p>
        </w:tc>
        <w:tc>
          <w:tcPr>
            <w:tcW w:w="1000" w:type="dxa"/>
            <w:tcMar>
              <w:top w:w="57" w:type="dxa"/>
              <w:left w:w="57" w:type="dxa"/>
              <w:bottom w:w="57" w:type="dxa"/>
              <w:right w:w="57" w:type="dxa"/>
            </w:tcMar>
          </w:tcPr>
          <w:p w14:paraId="6D9C7ABA" w14:textId="77777777" w:rsidR="003365A6" w:rsidRDefault="004B670B">
            <w:pPr>
              <w:spacing w:before="40" w:afterLines="40" w:after="96"/>
              <w:rPr>
                <w:b/>
                <w:bCs/>
                <w:kern w:val="32"/>
                <w:sz w:val="16"/>
                <w:szCs w:val="16"/>
                <w:u w:val="single"/>
              </w:rPr>
            </w:pPr>
            <w:r w:rsidRPr="004B670B">
              <w:rPr>
                <w:sz w:val="16"/>
                <w:szCs w:val="16"/>
              </w:rPr>
              <w:t>10-Nov-19</w:t>
            </w:r>
          </w:p>
        </w:tc>
        <w:tc>
          <w:tcPr>
            <w:tcW w:w="1000" w:type="dxa"/>
            <w:tcMar>
              <w:top w:w="57" w:type="dxa"/>
              <w:left w:w="57" w:type="dxa"/>
              <w:bottom w:w="57" w:type="dxa"/>
              <w:right w:w="57" w:type="dxa"/>
            </w:tcMar>
          </w:tcPr>
          <w:p w14:paraId="6D9C7ABB" w14:textId="77777777" w:rsidR="003365A6" w:rsidRDefault="004B670B">
            <w:pPr>
              <w:spacing w:before="40" w:afterLines="40" w:after="96"/>
              <w:rPr>
                <w:b/>
                <w:bCs/>
                <w:kern w:val="32"/>
                <w:sz w:val="16"/>
                <w:szCs w:val="16"/>
                <w:u w:val="single"/>
              </w:rPr>
            </w:pPr>
            <w:r w:rsidRPr="004B670B">
              <w:rPr>
                <w:sz w:val="16"/>
                <w:szCs w:val="16"/>
              </w:rPr>
              <w:t>08-Dec-19</w:t>
            </w:r>
          </w:p>
        </w:tc>
        <w:tc>
          <w:tcPr>
            <w:tcW w:w="1000" w:type="dxa"/>
            <w:tcMar>
              <w:top w:w="57" w:type="dxa"/>
              <w:left w:w="57" w:type="dxa"/>
              <w:bottom w:w="57" w:type="dxa"/>
              <w:right w:w="57" w:type="dxa"/>
            </w:tcMar>
          </w:tcPr>
          <w:p w14:paraId="6D9C7ABC" w14:textId="77777777" w:rsidR="003365A6" w:rsidRDefault="004B670B">
            <w:pPr>
              <w:spacing w:before="40" w:afterLines="40" w:after="96"/>
              <w:rPr>
                <w:b/>
                <w:bCs/>
                <w:kern w:val="32"/>
                <w:sz w:val="16"/>
                <w:szCs w:val="16"/>
                <w:u w:val="single"/>
              </w:rPr>
            </w:pPr>
            <w:r w:rsidRPr="004B670B">
              <w:rPr>
                <w:sz w:val="16"/>
                <w:szCs w:val="16"/>
              </w:rPr>
              <w:t>05-Jan-20</w:t>
            </w:r>
          </w:p>
        </w:tc>
        <w:tc>
          <w:tcPr>
            <w:tcW w:w="1000" w:type="dxa"/>
            <w:tcMar>
              <w:top w:w="57" w:type="dxa"/>
              <w:left w:w="57" w:type="dxa"/>
              <w:bottom w:w="57" w:type="dxa"/>
              <w:right w:w="57" w:type="dxa"/>
            </w:tcMar>
          </w:tcPr>
          <w:p w14:paraId="6D9C7ABD" w14:textId="77777777" w:rsidR="003365A6" w:rsidRDefault="004B670B">
            <w:pPr>
              <w:spacing w:before="40" w:afterLines="40" w:after="96"/>
              <w:rPr>
                <w:b/>
                <w:bCs/>
                <w:kern w:val="32"/>
                <w:sz w:val="16"/>
                <w:szCs w:val="16"/>
                <w:u w:val="single"/>
              </w:rPr>
            </w:pPr>
            <w:r w:rsidRPr="004B670B">
              <w:rPr>
                <w:sz w:val="16"/>
                <w:szCs w:val="16"/>
              </w:rPr>
              <w:t>02-Feb-20</w:t>
            </w:r>
          </w:p>
        </w:tc>
        <w:tc>
          <w:tcPr>
            <w:tcW w:w="1000" w:type="dxa"/>
            <w:tcMar>
              <w:top w:w="57" w:type="dxa"/>
              <w:left w:w="57" w:type="dxa"/>
              <w:bottom w:w="57" w:type="dxa"/>
              <w:right w:w="57" w:type="dxa"/>
            </w:tcMar>
          </w:tcPr>
          <w:p w14:paraId="6D9C7ABE" w14:textId="77777777" w:rsidR="003365A6" w:rsidRDefault="004B670B">
            <w:pPr>
              <w:spacing w:before="40" w:afterLines="40" w:after="96"/>
              <w:rPr>
                <w:b/>
                <w:bCs/>
                <w:kern w:val="32"/>
                <w:sz w:val="16"/>
                <w:szCs w:val="16"/>
                <w:u w:val="single"/>
              </w:rPr>
            </w:pPr>
            <w:r w:rsidRPr="004B670B">
              <w:rPr>
                <w:sz w:val="16"/>
                <w:szCs w:val="16"/>
              </w:rPr>
              <w:t>01-Mar-20</w:t>
            </w:r>
          </w:p>
        </w:tc>
      </w:tr>
      <w:tr w:rsidR="004B670B" w:rsidRPr="00CF1F48" w14:paraId="6D9C7ACE" w14:textId="77777777" w:rsidTr="002E5DFD">
        <w:tc>
          <w:tcPr>
            <w:tcW w:w="900" w:type="dxa"/>
            <w:shd w:val="clear" w:color="auto" w:fill="E6E6E6"/>
            <w:tcMar>
              <w:top w:w="57" w:type="dxa"/>
              <w:left w:w="57" w:type="dxa"/>
              <w:bottom w:w="57" w:type="dxa"/>
              <w:right w:w="57" w:type="dxa"/>
            </w:tcMar>
          </w:tcPr>
          <w:p w14:paraId="6D9C7AC0" w14:textId="77777777" w:rsidR="004B670B" w:rsidRPr="004B670B" w:rsidRDefault="004B670B" w:rsidP="009F5B96">
            <w:pPr>
              <w:spacing w:before="40" w:afterLines="40" w:after="96"/>
              <w:jc w:val="center"/>
              <w:rPr>
                <w:b/>
                <w:bCs/>
                <w:sz w:val="16"/>
                <w:szCs w:val="16"/>
              </w:rPr>
            </w:pPr>
            <w:r w:rsidRPr="004B670B">
              <w:rPr>
                <w:b/>
                <w:bCs/>
                <w:sz w:val="16"/>
                <w:szCs w:val="16"/>
              </w:rPr>
              <w:t>2020-21</w:t>
            </w:r>
          </w:p>
        </w:tc>
        <w:tc>
          <w:tcPr>
            <w:tcW w:w="1000" w:type="dxa"/>
            <w:tcMar>
              <w:top w:w="57" w:type="dxa"/>
              <w:left w:w="57" w:type="dxa"/>
              <w:bottom w:w="57" w:type="dxa"/>
              <w:right w:w="57" w:type="dxa"/>
            </w:tcMar>
          </w:tcPr>
          <w:p w14:paraId="6D9C7AC1" w14:textId="77777777" w:rsidR="003365A6" w:rsidRDefault="004B670B">
            <w:pPr>
              <w:spacing w:before="40" w:afterLines="40" w:after="96"/>
              <w:rPr>
                <w:b/>
                <w:bCs/>
                <w:kern w:val="32"/>
                <w:sz w:val="16"/>
                <w:szCs w:val="16"/>
                <w:u w:val="single"/>
              </w:rPr>
            </w:pPr>
            <w:r w:rsidRPr="004B670B">
              <w:rPr>
                <w:sz w:val="16"/>
                <w:szCs w:val="16"/>
              </w:rPr>
              <w:t>01-Apr-20</w:t>
            </w:r>
          </w:p>
        </w:tc>
        <w:tc>
          <w:tcPr>
            <w:tcW w:w="1036" w:type="dxa"/>
            <w:tcMar>
              <w:top w:w="57" w:type="dxa"/>
              <w:left w:w="57" w:type="dxa"/>
              <w:bottom w:w="57" w:type="dxa"/>
              <w:right w:w="57" w:type="dxa"/>
            </w:tcMar>
          </w:tcPr>
          <w:p w14:paraId="6D9C7AC2" w14:textId="77777777" w:rsidR="003365A6" w:rsidRDefault="004B670B">
            <w:pPr>
              <w:spacing w:before="40" w:afterLines="40" w:after="96"/>
              <w:rPr>
                <w:b/>
                <w:bCs/>
                <w:kern w:val="32"/>
                <w:sz w:val="16"/>
                <w:szCs w:val="16"/>
                <w:u w:val="single"/>
              </w:rPr>
            </w:pPr>
            <w:r w:rsidRPr="004B670B">
              <w:rPr>
                <w:sz w:val="16"/>
                <w:szCs w:val="16"/>
              </w:rPr>
              <w:t>03-May-20</w:t>
            </w:r>
          </w:p>
        </w:tc>
        <w:tc>
          <w:tcPr>
            <w:tcW w:w="1000" w:type="dxa"/>
            <w:tcMar>
              <w:top w:w="57" w:type="dxa"/>
              <w:left w:w="57" w:type="dxa"/>
              <w:bottom w:w="57" w:type="dxa"/>
              <w:right w:w="57" w:type="dxa"/>
            </w:tcMar>
          </w:tcPr>
          <w:p w14:paraId="6D9C7AC3" w14:textId="77777777" w:rsidR="003365A6" w:rsidRDefault="004B670B">
            <w:pPr>
              <w:spacing w:before="40" w:afterLines="40" w:after="96"/>
              <w:rPr>
                <w:b/>
                <w:bCs/>
                <w:kern w:val="32"/>
                <w:sz w:val="16"/>
                <w:szCs w:val="16"/>
                <w:u w:val="single"/>
              </w:rPr>
            </w:pPr>
            <w:r w:rsidRPr="004B670B">
              <w:rPr>
                <w:sz w:val="16"/>
                <w:szCs w:val="16"/>
              </w:rPr>
              <w:t>31-May-20</w:t>
            </w:r>
          </w:p>
        </w:tc>
        <w:tc>
          <w:tcPr>
            <w:tcW w:w="1000" w:type="dxa"/>
            <w:tcMar>
              <w:top w:w="57" w:type="dxa"/>
              <w:left w:w="57" w:type="dxa"/>
              <w:bottom w:w="57" w:type="dxa"/>
              <w:right w:w="57" w:type="dxa"/>
            </w:tcMar>
          </w:tcPr>
          <w:p w14:paraId="6D9C7AC4" w14:textId="77777777" w:rsidR="003365A6" w:rsidRDefault="004B670B">
            <w:pPr>
              <w:spacing w:before="40" w:afterLines="40" w:after="96"/>
              <w:rPr>
                <w:b/>
                <w:bCs/>
                <w:kern w:val="32"/>
                <w:sz w:val="16"/>
                <w:szCs w:val="16"/>
                <w:u w:val="single"/>
              </w:rPr>
            </w:pPr>
            <w:r w:rsidRPr="004B670B">
              <w:rPr>
                <w:sz w:val="16"/>
                <w:szCs w:val="16"/>
              </w:rPr>
              <w:t>28-Jun-20</w:t>
            </w:r>
          </w:p>
        </w:tc>
        <w:tc>
          <w:tcPr>
            <w:tcW w:w="1000" w:type="dxa"/>
            <w:tcMar>
              <w:top w:w="57" w:type="dxa"/>
              <w:left w:w="57" w:type="dxa"/>
              <w:bottom w:w="57" w:type="dxa"/>
              <w:right w:w="57" w:type="dxa"/>
            </w:tcMar>
          </w:tcPr>
          <w:p w14:paraId="6D9C7AC5" w14:textId="77777777" w:rsidR="003365A6" w:rsidRDefault="004B670B">
            <w:pPr>
              <w:spacing w:before="40" w:afterLines="40" w:after="96"/>
              <w:rPr>
                <w:b/>
                <w:bCs/>
                <w:kern w:val="32"/>
                <w:sz w:val="16"/>
                <w:szCs w:val="16"/>
                <w:u w:val="single"/>
              </w:rPr>
            </w:pPr>
            <w:r w:rsidRPr="004B670B">
              <w:rPr>
                <w:sz w:val="16"/>
                <w:szCs w:val="16"/>
              </w:rPr>
              <w:t>26-Jul-20</w:t>
            </w:r>
          </w:p>
        </w:tc>
        <w:tc>
          <w:tcPr>
            <w:tcW w:w="1000" w:type="dxa"/>
            <w:tcMar>
              <w:top w:w="57" w:type="dxa"/>
              <w:left w:w="57" w:type="dxa"/>
              <w:bottom w:w="57" w:type="dxa"/>
              <w:right w:w="57" w:type="dxa"/>
            </w:tcMar>
          </w:tcPr>
          <w:p w14:paraId="6D9C7AC6" w14:textId="77777777" w:rsidR="003365A6" w:rsidRDefault="004B670B">
            <w:pPr>
              <w:spacing w:before="40" w:afterLines="40" w:after="96"/>
              <w:rPr>
                <w:b/>
                <w:bCs/>
                <w:kern w:val="32"/>
                <w:sz w:val="16"/>
                <w:szCs w:val="16"/>
                <w:u w:val="single"/>
              </w:rPr>
            </w:pPr>
            <w:r w:rsidRPr="004B670B">
              <w:rPr>
                <w:sz w:val="16"/>
                <w:szCs w:val="16"/>
              </w:rPr>
              <w:t>23-Aug-20</w:t>
            </w:r>
          </w:p>
        </w:tc>
        <w:tc>
          <w:tcPr>
            <w:tcW w:w="1000" w:type="dxa"/>
            <w:tcMar>
              <w:top w:w="57" w:type="dxa"/>
              <w:left w:w="57" w:type="dxa"/>
              <w:bottom w:w="57" w:type="dxa"/>
              <w:right w:w="57" w:type="dxa"/>
            </w:tcMar>
          </w:tcPr>
          <w:p w14:paraId="6D9C7AC7" w14:textId="77777777" w:rsidR="003365A6" w:rsidRDefault="004B670B">
            <w:pPr>
              <w:spacing w:before="40" w:afterLines="40" w:after="96"/>
              <w:rPr>
                <w:b/>
                <w:bCs/>
                <w:kern w:val="32"/>
                <w:sz w:val="16"/>
                <w:szCs w:val="16"/>
                <w:u w:val="single"/>
              </w:rPr>
            </w:pPr>
            <w:r w:rsidRPr="004B670B">
              <w:rPr>
                <w:sz w:val="16"/>
                <w:szCs w:val="16"/>
              </w:rPr>
              <w:t>20-Sep-20</w:t>
            </w:r>
          </w:p>
        </w:tc>
        <w:tc>
          <w:tcPr>
            <w:tcW w:w="1000" w:type="dxa"/>
            <w:tcMar>
              <w:top w:w="57" w:type="dxa"/>
              <w:left w:w="57" w:type="dxa"/>
              <w:bottom w:w="57" w:type="dxa"/>
              <w:right w:w="57" w:type="dxa"/>
            </w:tcMar>
          </w:tcPr>
          <w:p w14:paraId="6D9C7AC8" w14:textId="77777777" w:rsidR="003365A6" w:rsidRDefault="004B670B">
            <w:pPr>
              <w:spacing w:before="40" w:afterLines="40" w:after="96"/>
              <w:rPr>
                <w:b/>
                <w:bCs/>
                <w:kern w:val="32"/>
                <w:sz w:val="16"/>
                <w:szCs w:val="16"/>
                <w:u w:val="single"/>
              </w:rPr>
            </w:pPr>
            <w:r w:rsidRPr="004B670B">
              <w:rPr>
                <w:sz w:val="16"/>
                <w:szCs w:val="16"/>
              </w:rPr>
              <w:t>18-Oct-20</w:t>
            </w:r>
          </w:p>
        </w:tc>
        <w:tc>
          <w:tcPr>
            <w:tcW w:w="1000" w:type="dxa"/>
            <w:tcMar>
              <w:top w:w="57" w:type="dxa"/>
              <w:left w:w="57" w:type="dxa"/>
              <w:bottom w:w="57" w:type="dxa"/>
              <w:right w:w="57" w:type="dxa"/>
            </w:tcMar>
          </w:tcPr>
          <w:p w14:paraId="6D9C7AC9" w14:textId="77777777" w:rsidR="003365A6" w:rsidRDefault="004B670B">
            <w:pPr>
              <w:spacing w:before="40" w:afterLines="40" w:after="96"/>
              <w:rPr>
                <w:b/>
                <w:bCs/>
                <w:kern w:val="32"/>
                <w:sz w:val="16"/>
                <w:szCs w:val="16"/>
                <w:u w:val="single"/>
              </w:rPr>
            </w:pPr>
            <w:r w:rsidRPr="004B670B">
              <w:rPr>
                <w:sz w:val="16"/>
                <w:szCs w:val="16"/>
              </w:rPr>
              <w:t>15-Nov-20</w:t>
            </w:r>
          </w:p>
        </w:tc>
        <w:tc>
          <w:tcPr>
            <w:tcW w:w="1000" w:type="dxa"/>
            <w:tcMar>
              <w:top w:w="57" w:type="dxa"/>
              <w:left w:w="57" w:type="dxa"/>
              <w:bottom w:w="57" w:type="dxa"/>
              <w:right w:w="57" w:type="dxa"/>
            </w:tcMar>
          </w:tcPr>
          <w:p w14:paraId="6D9C7ACA" w14:textId="77777777" w:rsidR="003365A6" w:rsidRDefault="004B670B">
            <w:pPr>
              <w:spacing w:before="40" w:afterLines="40" w:after="96"/>
              <w:rPr>
                <w:b/>
                <w:bCs/>
                <w:kern w:val="32"/>
                <w:sz w:val="16"/>
                <w:szCs w:val="16"/>
                <w:u w:val="single"/>
              </w:rPr>
            </w:pPr>
            <w:r w:rsidRPr="004B670B">
              <w:rPr>
                <w:sz w:val="16"/>
                <w:szCs w:val="16"/>
              </w:rPr>
              <w:t>13-Dec-20</w:t>
            </w:r>
          </w:p>
        </w:tc>
        <w:tc>
          <w:tcPr>
            <w:tcW w:w="1000" w:type="dxa"/>
            <w:tcMar>
              <w:top w:w="57" w:type="dxa"/>
              <w:left w:w="57" w:type="dxa"/>
              <w:bottom w:w="57" w:type="dxa"/>
              <w:right w:w="57" w:type="dxa"/>
            </w:tcMar>
          </w:tcPr>
          <w:p w14:paraId="6D9C7ACB" w14:textId="77777777" w:rsidR="003365A6" w:rsidRDefault="004B670B">
            <w:pPr>
              <w:spacing w:before="40" w:afterLines="40" w:after="96"/>
              <w:rPr>
                <w:b/>
                <w:bCs/>
                <w:kern w:val="32"/>
                <w:sz w:val="16"/>
                <w:szCs w:val="16"/>
                <w:u w:val="single"/>
              </w:rPr>
            </w:pPr>
            <w:r w:rsidRPr="004B670B">
              <w:rPr>
                <w:sz w:val="16"/>
                <w:szCs w:val="16"/>
              </w:rPr>
              <w:t>10-Jan-21</w:t>
            </w:r>
          </w:p>
        </w:tc>
        <w:tc>
          <w:tcPr>
            <w:tcW w:w="1000" w:type="dxa"/>
            <w:tcMar>
              <w:top w:w="57" w:type="dxa"/>
              <w:left w:w="57" w:type="dxa"/>
              <w:bottom w:w="57" w:type="dxa"/>
              <w:right w:w="57" w:type="dxa"/>
            </w:tcMar>
          </w:tcPr>
          <w:p w14:paraId="6D9C7ACC" w14:textId="77777777" w:rsidR="003365A6" w:rsidRDefault="004B670B">
            <w:pPr>
              <w:spacing w:before="40" w:afterLines="40" w:after="96"/>
              <w:rPr>
                <w:b/>
                <w:bCs/>
                <w:kern w:val="32"/>
                <w:sz w:val="16"/>
                <w:szCs w:val="16"/>
                <w:u w:val="single"/>
              </w:rPr>
            </w:pPr>
            <w:r w:rsidRPr="004B670B">
              <w:rPr>
                <w:sz w:val="16"/>
                <w:szCs w:val="16"/>
              </w:rPr>
              <w:t>07-Feb-21</w:t>
            </w:r>
          </w:p>
        </w:tc>
        <w:tc>
          <w:tcPr>
            <w:tcW w:w="1000" w:type="dxa"/>
            <w:tcMar>
              <w:top w:w="57" w:type="dxa"/>
              <w:left w:w="57" w:type="dxa"/>
              <w:bottom w:w="57" w:type="dxa"/>
              <w:right w:w="57" w:type="dxa"/>
            </w:tcMar>
          </w:tcPr>
          <w:p w14:paraId="6D9C7ACD" w14:textId="77777777" w:rsidR="003365A6" w:rsidRDefault="004B670B">
            <w:pPr>
              <w:spacing w:before="40" w:afterLines="40" w:after="96"/>
              <w:rPr>
                <w:b/>
                <w:bCs/>
                <w:kern w:val="32"/>
                <w:sz w:val="16"/>
                <w:szCs w:val="16"/>
                <w:u w:val="single"/>
              </w:rPr>
            </w:pPr>
            <w:r w:rsidRPr="004B670B">
              <w:rPr>
                <w:sz w:val="16"/>
                <w:szCs w:val="16"/>
              </w:rPr>
              <w:t>07-Mar-21</w:t>
            </w:r>
          </w:p>
        </w:tc>
      </w:tr>
      <w:tr w:rsidR="004B670B" w:rsidRPr="00CF1F48" w14:paraId="6D9C7ADD" w14:textId="77777777" w:rsidTr="002E5DFD">
        <w:tc>
          <w:tcPr>
            <w:tcW w:w="900" w:type="dxa"/>
            <w:shd w:val="clear" w:color="auto" w:fill="E6E6E6"/>
            <w:tcMar>
              <w:top w:w="57" w:type="dxa"/>
              <w:left w:w="57" w:type="dxa"/>
              <w:bottom w:w="57" w:type="dxa"/>
              <w:right w:w="57" w:type="dxa"/>
            </w:tcMar>
          </w:tcPr>
          <w:p w14:paraId="6D9C7ACF" w14:textId="77777777" w:rsidR="004B670B" w:rsidRPr="004B670B" w:rsidRDefault="004B670B" w:rsidP="009F5B96">
            <w:pPr>
              <w:spacing w:before="40" w:afterLines="40" w:after="96"/>
              <w:jc w:val="center"/>
              <w:rPr>
                <w:b/>
                <w:bCs/>
                <w:sz w:val="16"/>
                <w:szCs w:val="16"/>
              </w:rPr>
            </w:pPr>
            <w:r w:rsidRPr="004B670B">
              <w:rPr>
                <w:b/>
                <w:bCs/>
                <w:sz w:val="16"/>
                <w:szCs w:val="16"/>
              </w:rPr>
              <w:t>2021-22</w:t>
            </w:r>
          </w:p>
        </w:tc>
        <w:tc>
          <w:tcPr>
            <w:tcW w:w="1000" w:type="dxa"/>
            <w:tcMar>
              <w:top w:w="57" w:type="dxa"/>
              <w:left w:w="57" w:type="dxa"/>
              <w:bottom w:w="57" w:type="dxa"/>
              <w:right w:w="57" w:type="dxa"/>
            </w:tcMar>
          </w:tcPr>
          <w:p w14:paraId="6D9C7AD0" w14:textId="77777777" w:rsidR="003365A6" w:rsidRDefault="004B670B">
            <w:pPr>
              <w:spacing w:before="40" w:afterLines="40" w:after="96"/>
              <w:rPr>
                <w:b/>
                <w:bCs/>
                <w:kern w:val="32"/>
                <w:sz w:val="16"/>
                <w:szCs w:val="16"/>
                <w:u w:val="single"/>
              </w:rPr>
            </w:pPr>
            <w:r w:rsidRPr="004B670B">
              <w:rPr>
                <w:sz w:val="16"/>
                <w:szCs w:val="16"/>
              </w:rPr>
              <w:t>01-Apr-21</w:t>
            </w:r>
          </w:p>
        </w:tc>
        <w:tc>
          <w:tcPr>
            <w:tcW w:w="1036" w:type="dxa"/>
            <w:tcMar>
              <w:top w:w="57" w:type="dxa"/>
              <w:left w:w="57" w:type="dxa"/>
              <w:bottom w:w="57" w:type="dxa"/>
              <w:right w:w="57" w:type="dxa"/>
            </w:tcMar>
          </w:tcPr>
          <w:p w14:paraId="6D9C7AD1" w14:textId="77777777" w:rsidR="003365A6" w:rsidRDefault="004B670B">
            <w:pPr>
              <w:spacing w:before="40" w:afterLines="40" w:after="96"/>
              <w:rPr>
                <w:b/>
                <w:bCs/>
                <w:kern w:val="32"/>
                <w:sz w:val="16"/>
                <w:szCs w:val="16"/>
                <w:u w:val="single"/>
              </w:rPr>
            </w:pPr>
            <w:r w:rsidRPr="004B670B">
              <w:rPr>
                <w:sz w:val="16"/>
                <w:szCs w:val="16"/>
              </w:rPr>
              <w:t>02-May-21</w:t>
            </w:r>
          </w:p>
        </w:tc>
        <w:tc>
          <w:tcPr>
            <w:tcW w:w="1000" w:type="dxa"/>
            <w:tcMar>
              <w:top w:w="57" w:type="dxa"/>
              <w:left w:w="57" w:type="dxa"/>
              <w:bottom w:w="57" w:type="dxa"/>
              <w:right w:w="57" w:type="dxa"/>
            </w:tcMar>
          </w:tcPr>
          <w:p w14:paraId="6D9C7AD2" w14:textId="77777777" w:rsidR="003365A6" w:rsidRDefault="004B670B">
            <w:pPr>
              <w:spacing w:before="40" w:afterLines="40" w:after="96"/>
              <w:rPr>
                <w:b/>
                <w:bCs/>
                <w:kern w:val="32"/>
                <w:sz w:val="16"/>
                <w:szCs w:val="16"/>
                <w:u w:val="single"/>
              </w:rPr>
            </w:pPr>
            <w:r w:rsidRPr="004B670B">
              <w:rPr>
                <w:sz w:val="16"/>
                <w:szCs w:val="16"/>
              </w:rPr>
              <w:t>30-May-21</w:t>
            </w:r>
          </w:p>
        </w:tc>
        <w:tc>
          <w:tcPr>
            <w:tcW w:w="1000" w:type="dxa"/>
            <w:tcMar>
              <w:top w:w="57" w:type="dxa"/>
              <w:left w:w="57" w:type="dxa"/>
              <w:bottom w:w="57" w:type="dxa"/>
              <w:right w:w="57" w:type="dxa"/>
            </w:tcMar>
          </w:tcPr>
          <w:p w14:paraId="6D9C7AD3" w14:textId="77777777" w:rsidR="003365A6" w:rsidRDefault="004B670B">
            <w:pPr>
              <w:spacing w:before="40" w:afterLines="40" w:after="96"/>
              <w:rPr>
                <w:b/>
                <w:bCs/>
                <w:kern w:val="32"/>
                <w:sz w:val="16"/>
                <w:szCs w:val="16"/>
                <w:u w:val="single"/>
              </w:rPr>
            </w:pPr>
            <w:r w:rsidRPr="004B670B">
              <w:rPr>
                <w:sz w:val="16"/>
                <w:szCs w:val="16"/>
              </w:rPr>
              <w:t>27-Jun-21</w:t>
            </w:r>
          </w:p>
        </w:tc>
        <w:tc>
          <w:tcPr>
            <w:tcW w:w="1000" w:type="dxa"/>
            <w:tcMar>
              <w:top w:w="57" w:type="dxa"/>
              <w:left w:w="57" w:type="dxa"/>
              <w:bottom w:w="57" w:type="dxa"/>
              <w:right w:w="57" w:type="dxa"/>
            </w:tcMar>
          </w:tcPr>
          <w:p w14:paraId="6D9C7AD4" w14:textId="77777777" w:rsidR="003365A6" w:rsidRDefault="004B670B">
            <w:pPr>
              <w:spacing w:before="40" w:afterLines="40" w:after="96"/>
              <w:rPr>
                <w:b/>
                <w:bCs/>
                <w:kern w:val="32"/>
                <w:sz w:val="16"/>
                <w:szCs w:val="16"/>
                <w:u w:val="single"/>
              </w:rPr>
            </w:pPr>
            <w:r w:rsidRPr="004B670B">
              <w:rPr>
                <w:sz w:val="16"/>
                <w:szCs w:val="16"/>
              </w:rPr>
              <w:t>25-Jul-21</w:t>
            </w:r>
          </w:p>
        </w:tc>
        <w:tc>
          <w:tcPr>
            <w:tcW w:w="1000" w:type="dxa"/>
            <w:tcMar>
              <w:top w:w="57" w:type="dxa"/>
              <w:left w:w="57" w:type="dxa"/>
              <w:bottom w:w="57" w:type="dxa"/>
              <w:right w:w="57" w:type="dxa"/>
            </w:tcMar>
          </w:tcPr>
          <w:p w14:paraId="6D9C7AD5" w14:textId="77777777" w:rsidR="003365A6" w:rsidRDefault="004B670B">
            <w:pPr>
              <w:spacing w:before="40" w:afterLines="40" w:after="96"/>
              <w:rPr>
                <w:b/>
                <w:bCs/>
                <w:kern w:val="32"/>
                <w:sz w:val="16"/>
                <w:szCs w:val="16"/>
                <w:u w:val="single"/>
              </w:rPr>
            </w:pPr>
            <w:r w:rsidRPr="004B670B">
              <w:rPr>
                <w:sz w:val="16"/>
                <w:szCs w:val="16"/>
              </w:rPr>
              <w:t>22-Aug-21</w:t>
            </w:r>
          </w:p>
        </w:tc>
        <w:tc>
          <w:tcPr>
            <w:tcW w:w="1000" w:type="dxa"/>
            <w:tcMar>
              <w:top w:w="57" w:type="dxa"/>
              <w:left w:w="57" w:type="dxa"/>
              <w:bottom w:w="57" w:type="dxa"/>
              <w:right w:w="57" w:type="dxa"/>
            </w:tcMar>
          </w:tcPr>
          <w:p w14:paraId="6D9C7AD6" w14:textId="77777777" w:rsidR="003365A6" w:rsidRDefault="004B670B">
            <w:pPr>
              <w:spacing w:before="40" w:afterLines="40" w:after="96"/>
              <w:rPr>
                <w:b/>
                <w:bCs/>
                <w:kern w:val="32"/>
                <w:sz w:val="16"/>
                <w:szCs w:val="16"/>
                <w:u w:val="single"/>
              </w:rPr>
            </w:pPr>
            <w:r w:rsidRPr="004B670B">
              <w:rPr>
                <w:sz w:val="16"/>
                <w:szCs w:val="16"/>
              </w:rPr>
              <w:t>19-Sep-21</w:t>
            </w:r>
          </w:p>
        </w:tc>
        <w:tc>
          <w:tcPr>
            <w:tcW w:w="1000" w:type="dxa"/>
            <w:tcMar>
              <w:top w:w="57" w:type="dxa"/>
              <w:left w:w="57" w:type="dxa"/>
              <w:bottom w:w="57" w:type="dxa"/>
              <w:right w:w="57" w:type="dxa"/>
            </w:tcMar>
          </w:tcPr>
          <w:p w14:paraId="6D9C7AD7" w14:textId="77777777" w:rsidR="003365A6" w:rsidRDefault="004B670B">
            <w:pPr>
              <w:spacing w:before="40" w:afterLines="40" w:after="96"/>
              <w:rPr>
                <w:b/>
                <w:bCs/>
                <w:kern w:val="32"/>
                <w:sz w:val="16"/>
                <w:szCs w:val="16"/>
                <w:u w:val="single"/>
              </w:rPr>
            </w:pPr>
            <w:r w:rsidRPr="004B670B">
              <w:rPr>
                <w:sz w:val="16"/>
                <w:szCs w:val="16"/>
              </w:rPr>
              <w:t>17-Oct-21</w:t>
            </w:r>
          </w:p>
        </w:tc>
        <w:tc>
          <w:tcPr>
            <w:tcW w:w="1000" w:type="dxa"/>
            <w:tcMar>
              <w:top w:w="57" w:type="dxa"/>
              <w:left w:w="57" w:type="dxa"/>
              <w:bottom w:w="57" w:type="dxa"/>
              <w:right w:w="57" w:type="dxa"/>
            </w:tcMar>
          </w:tcPr>
          <w:p w14:paraId="6D9C7AD8" w14:textId="77777777" w:rsidR="003365A6" w:rsidRDefault="004B670B">
            <w:pPr>
              <w:spacing w:before="40" w:afterLines="40" w:after="96"/>
              <w:rPr>
                <w:b/>
                <w:bCs/>
                <w:kern w:val="32"/>
                <w:sz w:val="16"/>
                <w:szCs w:val="16"/>
                <w:u w:val="single"/>
              </w:rPr>
            </w:pPr>
            <w:r w:rsidRPr="004B670B">
              <w:rPr>
                <w:sz w:val="16"/>
                <w:szCs w:val="16"/>
              </w:rPr>
              <w:t>14-Nov-21</w:t>
            </w:r>
          </w:p>
        </w:tc>
        <w:tc>
          <w:tcPr>
            <w:tcW w:w="1000" w:type="dxa"/>
            <w:tcMar>
              <w:top w:w="57" w:type="dxa"/>
              <w:left w:w="57" w:type="dxa"/>
              <w:bottom w:w="57" w:type="dxa"/>
              <w:right w:w="57" w:type="dxa"/>
            </w:tcMar>
          </w:tcPr>
          <w:p w14:paraId="6D9C7AD9" w14:textId="77777777" w:rsidR="003365A6" w:rsidRDefault="004B670B">
            <w:pPr>
              <w:spacing w:before="40" w:afterLines="40" w:after="96"/>
              <w:rPr>
                <w:b/>
                <w:bCs/>
                <w:kern w:val="32"/>
                <w:sz w:val="16"/>
                <w:szCs w:val="16"/>
                <w:u w:val="single"/>
              </w:rPr>
            </w:pPr>
            <w:r w:rsidRPr="004B670B">
              <w:rPr>
                <w:sz w:val="16"/>
                <w:szCs w:val="16"/>
              </w:rPr>
              <w:t>12-Dec-21</w:t>
            </w:r>
          </w:p>
        </w:tc>
        <w:tc>
          <w:tcPr>
            <w:tcW w:w="1000" w:type="dxa"/>
            <w:tcMar>
              <w:top w:w="57" w:type="dxa"/>
              <w:left w:w="57" w:type="dxa"/>
              <w:bottom w:w="57" w:type="dxa"/>
              <w:right w:w="57" w:type="dxa"/>
            </w:tcMar>
          </w:tcPr>
          <w:p w14:paraId="6D9C7ADA" w14:textId="77777777" w:rsidR="003365A6" w:rsidRDefault="004B670B">
            <w:pPr>
              <w:spacing w:before="40" w:afterLines="40" w:after="96"/>
              <w:rPr>
                <w:b/>
                <w:bCs/>
                <w:kern w:val="32"/>
                <w:sz w:val="16"/>
                <w:szCs w:val="16"/>
                <w:u w:val="single"/>
              </w:rPr>
            </w:pPr>
            <w:r w:rsidRPr="004B670B">
              <w:rPr>
                <w:sz w:val="16"/>
                <w:szCs w:val="16"/>
              </w:rPr>
              <w:t>09-Jan-22</w:t>
            </w:r>
          </w:p>
        </w:tc>
        <w:tc>
          <w:tcPr>
            <w:tcW w:w="1000" w:type="dxa"/>
            <w:tcMar>
              <w:top w:w="57" w:type="dxa"/>
              <w:left w:w="57" w:type="dxa"/>
              <w:bottom w:w="57" w:type="dxa"/>
              <w:right w:w="57" w:type="dxa"/>
            </w:tcMar>
          </w:tcPr>
          <w:p w14:paraId="6D9C7ADB" w14:textId="77777777" w:rsidR="003365A6" w:rsidRDefault="004B670B">
            <w:pPr>
              <w:spacing w:before="40" w:afterLines="40" w:after="96"/>
              <w:rPr>
                <w:b/>
                <w:bCs/>
                <w:kern w:val="32"/>
                <w:sz w:val="16"/>
                <w:szCs w:val="16"/>
                <w:u w:val="single"/>
              </w:rPr>
            </w:pPr>
            <w:r w:rsidRPr="004B670B">
              <w:rPr>
                <w:sz w:val="16"/>
                <w:szCs w:val="16"/>
              </w:rPr>
              <w:t>06-Feb-22</w:t>
            </w:r>
          </w:p>
        </w:tc>
        <w:tc>
          <w:tcPr>
            <w:tcW w:w="1000" w:type="dxa"/>
            <w:tcMar>
              <w:top w:w="57" w:type="dxa"/>
              <w:left w:w="57" w:type="dxa"/>
              <w:bottom w:w="57" w:type="dxa"/>
              <w:right w:w="57" w:type="dxa"/>
            </w:tcMar>
          </w:tcPr>
          <w:p w14:paraId="6D9C7ADC" w14:textId="77777777" w:rsidR="003365A6" w:rsidRDefault="004B670B">
            <w:pPr>
              <w:spacing w:before="40" w:afterLines="40" w:after="96"/>
              <w:rPr>
                <w:b/>
                <w:bCs/>
                <w:kern w:val="32"/>
                <w:sz w:val="16"/>
                <w:szCs w:val="16"/>
                <w:u w:val="single"/>
              </w:rPr>
            </w:pPr>
            <w:r w:rsidRPr="004B670B">
              <w:rPr>
                <w:sz w:val="16"/>
                <w:szCs w:val="16"/>
              </w:rPr>
              <w:t>06-Mar-22</w:t>
            </w:r>
          </w:p>
        </w:tc>
      </w:tr>
      <w:tr w:rsidR="004B670B" w:rsidRPr="00CF1F48" w14:paraId="6D9C7AEC" w14:textId="77777777" w:rsidTr="002E5DFD">
        <w:tc>
          <w:tcPr>
            <w:tcW w:w="900" w:type="dxa"/>
            <w:shd w:val="clear" w:color="auto" w:fill="E6E6E6"/>
            <w:tcMar>
              <w:top w:w="57" w:type="dxa"/>
              <w:left w:w="57" w:type="dxa"/>
              <w:bottom w:w="57" w:type="dxa"/>
              <w:right w:w="57" w:type="dxa"/>
            </w:tcMar>
          </w:tcPr>
          <w:p w14:paraId="6D9C7ADE" w14:textId="77777777" w:rsidR="004B670B" w:rsidRPr="004B670B" w:rsidRDefault="004B670B" w:rsidP="009F5B96">
            <w:pPr>
              <w:spacing w:before="40" w:afterLines="40" w:after="96"/>
              <w:jc w:val="center"/>
              <w:rPr>
                <w:b/>
                <w:bCs/>
                <w:sz w:val="16"/>
                <w:szCs w:val="16"/>
              </w:rPr>
            </w:pPr>
            <w:r w:rsidRPr="004B670B">
              <w:rPr>
                <w:b/>
                <w:bCs/>
                <w:sz w:val="16"/>
                <w:szCs w:val="16"/>
              </w:rPr>
              <w:t>2022-23</w:t>
            </w:r>
          </w:p>
        </w:tc>
        <w:tc>
          <w:tcPr>
            <w:tcW w:w="1000" w:type="dxa"/>
            <w:tcMar>
              <w:top w:w="57" w:type="dxa"/>
              <w:left w:w="57" w:type="dxa"/>
              <w:bottom w:w="57" w:type="dxa"/>
              <w:right w:w="57" w:type="dxa"/>
            </w:tcMar>
          </w:tcPr>
          <w:p w14:paraId="6D9C7ADF" w14:textId="77777777" w:rsidR="003365A6" w:rsidRDefault="004B670B">
            <w:pPr>
              <w:spacing w:before="40" w:afterLines="40" w:after="96"/>
              <w:rPr>
                <w:b/>
                <w:bCs/>
                <w:kern w:val="32"/>
                <w:sz w:val="16"/>
                <w:szCs w:val="16"/>
                <w:u w:val="single"/>
              </w:rPr>
            </w:pPr>
            <w:r w:rsidRPr="004B670B">
              <w:rPr>
                <w:sz w:val="16"/>
                <w:szCs w:val="16"/>
              </w:rPr>
              <w:t>01-Apr-22</w:t>
            </w:r>
          </w:p>
        </w:tc>
        <w:tc>
          <w:tcPr>
            <w:tcW w:w="1036" w:type="dxa"/>
            <w:tcMar>
              <w:top w:w="57" w:type="dxa"/>
              <w:left w:w="57" w:type="dxa"/>
              <w:bottom w:w="57" w:type="dxa"/>
              <w:right w:w="57" w:type="dxa"/>
            </w:tcMar>
          </w:tcPr>
          <w:p w14:paraId="6D9C7AE0" w14:textId="77777777" w:rsidR="003365A6" w:rsidRDefault="004B670B">
            <w:pPr>
              <w:spacing w:before="40" w:afterLines="40" w:after="96"/>
              <w:rPr>
                <w:b/>
                <w:bCs/>
                <w:kern w:val="32"/>
                <w:sz w:val="16"/>
                <w:szCs w:val="16"/>
                <w:u w:val="single"/>
              </w:rPr>
            </w:pPr>
            <w:r w:rsidRPr="004B670B">
              <w:rPr>
                <w:sz w:val="16"/>
                <w:szCs w:val="16"/>
              </w:rPr>
              <w:t>01-May-22</w:t>
            </w:r>
          </w:p>
        </w:tc>
        <w:tc>
          <w:tcPr>
            <w:tcW w:w="1000" w:type="dxa"/>
            <w:tcMar>
              <w:top w:w="57" w:type="dxa"/>
              <w:left w:w="57" w:type="dxa"/>
              <w:bottom w:w="57" w:type="dxa"/>
              <w:right w:w="57" w:type="dxa"/>
            </w:tcMar>
          </w:tcPr>
          <w:p w14:paraId="6D9C7AE1" w14:textId="77777777" w:rsidR="003365A6" w:rsidRDefault="004B670B">
            <w:pPr>
              <w:spacing w:before="40" w:afterLines="40" w:after="96"/>
              <w:rPr>
                <w:b/>
                <w:bCs/>
                <w:kern w:val="32"/>
                <w:sz w:val="16"/>
                <w:szCs w:val="16"/>
                <w:u w:val="single"/>
              </w:rPr>
            </w:pPr>
            <w:r w:rsidRPr="004B670B">
              <w:rPr>
                <w:sz w:val="16"/>
                <w:szCs w:val="16"/>
              </w:rPr>
              <w:t>29-May-22</w:t>
            </w:r>
          </w:p>
        </w:tc>
        <w:tc>
          <w:tcPr>
            <w:tcW w:w="1000" w:type="dxa"/>
            <w:tcMar>
              <w:top w:w="57" w:type="dxa"/>
              <w:left w:w="57" w:type="dxa"/>
              <w:bottom w:w="57" w:type="dxa"/>
              <w:right w:w="57" w:type="dxa"/>
            </w:tcMar>
          </w:tcPr>
          <w:p w14:paraId="6D9C7AE2" w14:textId="77777777" w:rsidR="003365A6" w:rsidRDefault="004B670B">
            <w:pPr>
              <w:spacing w:before="40" w:afterLines="40" w:after="96"/>
              <w:rPr>
                <w:b/>
                <w:bCs/>
                <w:kern w:val="32"/>
                <w:sz w:val="16"/>
                <w:szCs w:val="16"/>
                <w:u w:val="single"/>
              </w:rPr>
            </w:pPr>
            <w:r w:rsidRPr="004B670B">
              <w:rPr>
                <w:sz w:val="16"/>
                <w:szCs w:val="16"/>
              </w:rPr>
              <w:t>26-Jun-22</w:t>
            </w:r>
          </w:p>
        </w:tc>
        <w:tc>
          <w:tcPr>
            <w:tcW w:w="1000" w:type="dxa"/>
            <w:tcMar>
              <w:top w:w="57" w:type="dxa"/>
              <w:left w:w="57" w:type="dxa"/>
              <w:bottom w:w="57" w:type="dxa"/>
              <w:right w:w="57" w:type="dxa"/>
            </w:tcMar>
          </w:tcPr>
          <w:p w14:paraId="6D9C7AE3" w14:textId="77777777" w:rsidR="003365A6" w:rsidRDefault="004B670B">
            <w:pPr>
              <w:spacing w:before="40" w:afterLines="40" w:after="96"/>
              <w:rPr>
                <w:b/>
                <w:bCs/>
                <w:kern w:val="32"/>
                <w:sz w:val="16"/>
                <w:szCs w:val="16"/>
                <w:u w:val="single"/>
              </w:rPr>
            </w:pPr>
            <w:r w:rsidRPr="004B670B">
              <w:rPr>
                <w:sz w:val="16"/>
                <w:szCs w:val="16"/>
              </w:rPr>
              <w:t>24-Jul-22</w:t>
            </w:r>
          </w:p>
        </w:tc>
        <w:tc>
          <w:tcPr>
            <w:tcW w:w="1000" w:type="dxa"/>
            <w:tcMar>
              <w:top w:w="57" w:type="dxa"/>
              <w:left w:w="57" w:type="dxa"/>
              <w:bottom w:w="57" w:type="dxa"/>
              <w:right w:w="57" w:type="dxa"/>
            </w:tcMar>
          </w:tcPr>
          <w:p w14:paraId="6D9C7AE4" w14:textId="77777777" w:rsidR="003365A6" w:rsidRDefault="004B670B">
            <w:pPr>
              <w:spacing w:before="40" w:afterLines="40" w:after="96"/>
              <w:rPr>
                <w:b/>
                <w:bCs/>
                <w:kern w:val="32"/>
                <w:sz w:val="16"/>
                <w:szCs w:val="16"/>
                <w:u w:val="single"/>
              </w:rPr>
            </w:pPr>
            <w:r w:rsidRPr="004B670B">
              <w:rPr>
                <w:sz w:val="16"/>
                <w:szCs w:val="16"/>
              </w:rPr>
              <w:t>21-Aug-22</w:t>
            </w:r>
          </w:p>
        </w:tc>
        <w:tc>
          <w:tcPr>
            <w:tcW w:w="1000" w:type="dxa"/>
            <w:tcMar>
              <w:top w:w="57" w:type="dxa"/>
              <w:left w:w="57" w:type="dxa"/>
              <w:bottom w:w="57" w:type="dxa"/>
              <w:right w:w="57" w:type="dxa"/>
            </w:tcMar>
          </w:tcPr>
          <w:p w14:paraId="6D9C7AE5" w14:textId="77777777" w:rsidR="003365A6" w:rsidRDefault="004B670B">
            <w:pPr>
              <w:spacing w:before="40" w:afterLines="40" w:after="96"/>
              <w:rPr>
                <w:b/>
                <w:bCs/>
                <w:kern w:val="32"/>
                <w:sz w:val="16"/>
                <w:szCs w:val="16"/>
                <w:u w:val="single"/>
              </w:rPr>
            </w:pPr>
            <w:r w:rsidRPr="004B670B">
              <w:rPr>
                <w:sz w:val="16"/>
                <w:szCs w:val="16"/>
              </w:rPr>
              <w:t>18-Sep-22</w:t>
            </w:r>
          </w:p>
        </w:tc>
        <w:tc>
          <w:tcPr>
            <w:tcW w:w="1000" w:type="dxa"/>
            <w:tcMar>
              <w:top w:w="57" w:type="dxa"/>
              <w:left w:w="57" w:type="dxa"/>
              <w:bottom w:w="57" w:type="dxa"/>
              <w:right w:w="57" w:type="dxa"/>
            </w:tcMar>
          </w:tcPr>
          <w:p w14:paraId="6D9C7AE6" w14:textId="77777777" w:rsidR="003365A6" w:rsidRDefault="004B670B">
            <w:pPr>
              <w:spacing w:before="40" w:afterLines="40" w:after="96"/>
              <w:rPr>
                <w:b/>
                <w:bCs/>
                <w:kern w:val="32"/>
                <w:sz w:val="16"/>
                <w:szCs w:val="16"/>
                <w:u w:val="single"/>
              </w:rPr>
            </w:pPr>
            <w:r w:rsidRPr="004B670B">
              <w:rPr>
                <w:sz w:val="16"/>
                <w:szCs w:val="16"/>
              </w:rPr>
              <w:t>16-Oct-22</w:t>
            </w:r>
          </w:p>
        </w:tc>
        <w:tc>
          <w:tcPr>
            <w:tcW w:w="1000" w:type="dxa"/>
            <w:tcMar>
              <w:top w:w="57" w:type="dxa"/>
              <w:left w:w="57" w:type="dxa"/>
              <w:bottom w:w="57" w:type="dxa"/>
              <w:right w:w="57" w:type="dxa"/>
            </w:tcMar>
          </w:tcPr>
          <w:p w14:paraId="6D9C7AE7" w14:textId="77777777" w:rsidR="003365A6" w:rsidRDefault="004B670B">
            <w:pPr>
              <w:spacing w:before="40" w:afterLines="40" w:after="96"/>
              <w:rPr>
                <w:b/>
                <w:bCs/>
                <w:kern w:val="32"/>
                <w:sz w:val="16"/>
                <w:szCs w:val="16"/>
                <w:u w:val="single"/>
              </w:rPr>
            </w:pPr>
            <w:r w:rsidRPr="004B670B">
              <w:rPr>
                <w:sz w:val="16"/>
                <w:szCs w:val="16"/>
              </w:rPr>
              <w:t>13-Nov-22</w:t>
            </w:r>
          </w:p>
        </w:tc>
        <w:tc>
          <w:tcPr>
            <w:tcW w:w="1000" w:type="dxa"/>
            <w:tcMar>
              <w:top w:w="57" w:type="dxa"/>
              <w:left w:w="57" w:type="dxa"/>
              <w:bottom w:w="57" w:type="dxa"/>
              <w:right w:w="57" w:type="dxa"/>
            </w:tcMar>
          </w:tcPr>
          <w:p w14:paraId="6D9C7AE8" w14:textId="77777777" w:rsidR="003365A6" w:rsidRDefault="004B670B">
            <w:pPr>
              <w:spacing w:before="40" w:afterLines="40" w:after="96"/>
              <w:rPr>
                <w:b/>
                <w:bCs/>
                <w:kern w:val="32"/>
                <w:sz w:val="16"/>
                <w:szCs w:val="16"/>
                <w:u w:val="single"/>
              </w:rPr>
            </w:pPr>
            <w:r w:rsidRPr="004B670B">
              <w:rPr>
                <w:sz w:val="16"/>
                <w:szCs w:val="16"/>
              </w:rPr>
              <w:t>11-Dec-22</w:t>
            </w:r>
          </w:p>
        </w:tc>
        <w:tc>
          <w:tcPr>
            <w:tcW w:w="1000" w:type="dxa"/>
            <w:tcMar>
              <w:top w:w="57" w:type="dxa"/>
              <w:left w:w="57" w:type="dxa"/>
              <w:bottom w:w="57" w:type="dxa"/>
              <w:right w:w="57" w:type="dxa"/>
            </w:tcMar>
          </w:tcPr>
          <w:p w14:paraId="6D9C7AE9" w14:textId="77777777" w:rsidR="003365A6" w:rsidRDefault="004B670B">
            <w:pPr>
              <w:spacing w:before="40" w:afterLines="40" w:after="96"/>
              <w:rPr>
                <w:b/>
                <w:bCs/>
                <w:kern w:val="32"/>
                <w:sz w:val="16"/>
                <w:szCs w:val="16"/>
                <w:u w:val="single"/>
              </w:rPr>
            </w:pPr>
            <w:r w:rsidRPr="004B670B">
              <w:rPr>
                <w:sz w:val="16"/>
                <w:szCs w:val="16"/>
              </w:rPr>
              <w:t>08-Jan-23</w:t>
            </w:r>
          </w:p>
        </w:tc>
        <w:tc>
          <w:tcPr>
            <w:tcW w:w="1000" w:type="dxa"/>
            <w:tcMar>
              <w:top w:w="57" w:type="dxa"/>
              <w:left w:w="57" w:type="dxa"/>
              <w:bottom w:w="57" w:type="dxa"/>
              <w:right w:w="57" w:type="dxa"/>
            </w:tcMar>
          </w:tcPr>
          <w:p w14:paraId="6D9C7AEA" w14:textId="77777777" w:rsidR="003365A6" w:rsidRDefault="004B670B">
            <w:pPr>
              <w:spacing w:before="40" w:afterLines="40" w:after="96"/>
              <w:rPr>
                <w:b/>
                <w:bCs/>
                <w:kern w:val="32"/>
                <w:sz w:val="16"/>
                <w:szCs w:val="16"/>
                <w:u w:val="single"/>
              </w:rPr>
            </w:pPr>
            <w:r w:rsidRPr="004B670B">
              <w:rPr>
                <w:sz w:val="16"/>
                <w:szCs w:val="16"/>
              </w:rPr>
              <w:t>05-Feb-23</w:t>
            </w:r>
          </w:p>
        </w:tc>
        <w:tc>
          <w:tcPr>
            <w:tcW w:w="1000" w:type="dxa"/>
            <w:tcMar>
              <w:top w:w="57" w:type="dxa"/>
              <w:left w:w="57" w:type="dxa"/>
              <w:bottom w:w="57" w:type="dxa"/>
              <w:right w:w="57" w:type="dxa"/>
            </w:tcMar>
          </w:tcPr>
          <w:p w14:paraId="6D9C7AEB" w14:textId="77777777" w:rsidR="003365A6" w:rsidRDefault="004B670B">
            <w:pPr>
              <w:spacing w:before="40" w:afterLines="40" w:after="96"/>
              <w:rPr>
                <w:b/>
                <w:bCs/>
                <w:kern w:val="32"/>
                <w:sz w:val="16"/>
                <w:szCs w:val="16"/>
                <w:u w:val="single"/>
              </w:rPr>
            </w:pPr>
            <w:r w:rsidRPr="004B670B">
              <w:rPr>
                <w:sz w:val="16"/>
                <w:szCs w:val="16"/>
              </w:rPr>
              <w:t>05-Mar-23</w:t>
            </w:r>
          </w:p>
        </w:tc>
      </w:tr>
      <w:tr w:rsidR="004B670B" w:rsidRPr="00CF1F48" w14:paraId="6D9C7AFB" w14:textId="77777777" w:rsidTr="002E5DFD">
        <w:tc>
          <w:tcPr>
            <w:tcW w:w="900" w:type="dxa"/>
            <w:shd w:val="clear" w:color="auto" w:fill="E6E6E6"/>
            <w:tcMar>
              <w:top w:w="57" w:type="dxa"/>
              <w:left w:w="57" w:type="dxa"/>
              <w:bottom w:w="57" w:type="dxa"/>
              <w:right w:w="57" w:type="dxa"/>
            </w:tcMar>
          </w:tcPr>
          <w:p w14:paraId="6D9C7AED" w14:textId="77777777" w:rsidR="004B670B" w:rsidRPr="004B670B" w:rsidRDefault="004B670B" w:rsidP="009F5B96">
            <w:pPr>
              <w:spacing w:before="40" w:afterLines="40" w:after="96"/>
              <w:jc w:val="center"/>
              <w:rPr>
                <w:b/>
                <w:bCs/>
                <w:sz w:val="16"/>
                <w:szCs w:val="16"/>
              </w:rPr>
            </w:pPr>
            <w:r w:rsidRPr="004B670B">
              <w:rPr>
                <w:b/>
                <w:bCs/>
                <w:sz w:val="16"/>
                <w:szCs w:val="16"/>
              </w:rPr>
              <w:t>2023-24</w:t>
            </w:r>
          </w:p>
        </w:tc>
        <w:tc>
          <w:tcPr>
            <w:tcW w:w="1000" w:type="dxa"/>
            <w:tcMar>
              <w:top w:w="57" w:type="dxa"/>
              <w:left w:w="57" w:type="dxa"/>
              <w:bottom w:w="57" w:type="dxa"/>
              <w:right w:w="57" w:type="dxa"/>
            </w:tcMar>
          </w:tcPr>
          <w:p w14:paraId="6D9C7AEE" w14:textId="77777777" w:rsidR="003365A6" w:rsidRDefault="004B670B">
            <w:pPr>
              <w:spacing w:before="40" w:afterLines="40" w:after="96"/>
              <w:rPr>
                <w:b/>
                <w:bCs/>
                <w:kern w:val="32"/>
                <w:sz w:val="16"/>
                <w:szCs w:val="16"/>
                <w:u w:val="single"/>
              </w:rPr>
            </w:pPr>
            <w:r w:rsidRPr="004B670B">
              <w:rPr>
                <w:sz w:val="16"/>
                <w:szCs w:val="16"/>
              </w:rPr>
              <w:t>01-Apr-23</w:t>
            </w:r>
          </w:p>
        </w:tc>
        <w:tc>
          <w:tcPr>
            <w:tcW w:w="1036" w:type="dxa"/>
            <w:tcMar>
              <w:top w:w="57" w:type="dxa"/>
              <w:left w:w="57" w:type="dxa"/>
              <w:bottom w:w="57" w:type="dxa"/>
              <w:right w:w="57" w:type="dxa"/>
            </w:tcMar>
          </w:tcPr>
          <w:p w14:paraId="6D9C7AEF" w14:textId="77777777" w:rsidR="003365A6" w:rsidRDefault="004B670B">
            <w:pPr>
              <w:spacing w:before="40" w:afterLines="40" w:after="96"/>
              <w:rPr>
                <w:b/>
                <w:bCs/>
                <w:kern w:val="32"/>
                <w:sz w:val="16"/>
                <w:szCs w:val="16"/>
                <w:u w:val="single"/>
              </w:rPr>
            </w:pPr>
            <w:r w:rsidRPr="004B670B">
              <w:rPr>
                <w:sz w:val="16"/>
                <w:szCs w:val="16"/>
              </w:rPr>
              <w:t>30-Apr-23</w:t>
            </w:r>
          </w:p>
        </w:tc>
        <w:tc>
          <w:tcPr>
            <w:tcW w:w="1000" w:type="dxa"/>
            <w:tcMar>
              <w:top w:w="57" w:type="dxa"/>
              <w:left w:w="57" w:type="dxa"/>
              <w:bottom w:w="57" w:type="dxa"/>
              <w:right w:w="57" w:type="dxa"/>
            </w:tcMar>
          </w:tcPr>
          <w:p w14:paraId="6D9C7AF0" w14:textId="77777777" w:rsidR="003365A6" w:rsidRDefault="004B670B">
            <w:pPr>
              <w:spacing w:before="40" w:afterLines="40" w:after="96"/>
              <w:rPr>
                <w:b/>
                <w:bCs/>
                <w:kern w:val="32"/>
                <w:sz w:val="16"/>
                <w:szCs w:val="16"/>
                <w:u w:val="single"/>
              </w:rPr>
            </w:pPr>
            <w:r w:rsidRPr="004B670B">
              <w:rPr>
                <w:sz w:val="16"/>
                <w:szCs w:val="16"/>
              </w:rPr>
              <w:t>28-May-23</w:t>
            </w:r>
          </w:p>
        </w:tc>
        <w:tc>
          <w:tcPr>
            <w:tcW w:w="1000" w:type="dxa"/>
            <w:tcMar>
              <w:top w:w="57" w:type="dxa"/>
              <w:left w:w="57" w:type="dxa"/>
              <w:bottom w:w="57" w:type="dxa"/>
              <w:right w:w="57" w:type="dxa"/>
            </w:tcMar>
          </w:tcPr>
          <w:p w14:paraId="6D9C7AF1" w14:textId="77777777" w:rsidR="003365A6" w:rsidRDefault="004B670B">
            <w:pPr>
              <w:spacing w:before="40" w:afterLines="40" w:after="96"/>
              <w:rPr>
                <w:b/>
                <w:bCs/>
                <w:kern w:val="32"/>
                <w:sz w:val="16"/>
                <w:szCs w:val="16"/>
                <w:u w:val="single"/>
              </w:rPr>
            </w:pPr>
            <w:r w:rsidRPr="004B670B">
              <w:rPr>
                <w:sz w:val="16"/>
                <w:szCs w:val="16"/>
              </w:rPr>
              <w:t>25-Jun-23</w:t>
            </w:r>
          </w:p>
        </w:tc>
        <w:tc>
          <w:tcPr>
            <w:tcW w:w="1000" w:type="dxa"/>
            <w:tcMar>
              <w:top w:w="57" w:type="dxa"/>
              <w:left w:w="57" w:type="dxa"/>
              <w:bottom w:w="57" w:type="dxa"/>
              <w:right w:w="57" w:type="dxa"/>
            </w:tcMar>
          </w:tcPr>
          <w:p w14:paraId="6D9C7AF2" w14:textId="77777777" w:rsidR="003365A6" w:rsidRDefault="004B670B">
            <w:pPr>
              <w:spacing w:before="40" w:afterLines="40" w:after="96"/>
              <w:rPr>
                <w:b/>
                <w:bCs/>
                <w:kern w:val="32"/>
                <w:sz w:val="16"/>
                <w:szCs w:val="16"/>
                <w:u w:val="single"/>
              </w:rPr>
            </w:pPr>
            <w:r w:rsidRPr="004B670B">
              <w:rPr>
                <w:sz w:val="16"/>
                <w:szCs w:val="16"/>
              </w:rPr>
              <w:t>23-Jul-23</w:t>
            </w:r>
          </w:p>
        </w:tc>
        <w:tc>
          <w:tcPr>
            <w:tcW w:w="1000" w:type="dxa"/>
            <w:tcMar>
              <w:top w:w="57" w:type="dxa"/>
              <w:left w:w="57" w:type="dxa"/>
              <w:bottom w:w="57" w:type="dxa"/>
              <w:right w:w="57" w:type="dxa"/>
            </w:tcMar>
          </w:tcPr>
          <w:p w14:paraId="6D9C7AF3" w14:textId="77777777" w:rsidR="003365A6" w:rsidRDefault="004B670B">
            <w:pPr>
              <w:spacing w:before="40" w:afterLines="40" w:after="96"/>
              <w:rPr>
                <w:b/>
                <w:bCs/>
                <w:kern w:val="32"/>
                <w:sz w:val="16"/>
                <w:szCs w:val="16"/>
                <w:u w:val="single"/>
              </w:rPr>
            </w:pPr>
            <w:r w:rsidRPr="004B670B">
              <w:rPr>
                <w:sz w:val="16"/>
                <w:szCs w:val="16"/>
              </w:rPr>
              <w:t>20-Aug-23</w:t>
            </w:r>
          </w:p>
        </w:tc>
        <w:tc>
          <w:tcPr>
            <w:tcW w:w="1000" w:type="dxa"/>
            <w:tcMar>
              <w:top w:w="57" w:type="dxa"/>
              <w:left w:w="57" w:type="dxa"/>
              <w:bottom w:w="57" w:type="dxa"/>
              <w:right w:w="57" w:type="dxa"/>
            </w:tcMar>
          </w:tcPr>
          <w:p w14:paraId="6D9C7AF4" w14:textId="77777777" w:rsidR="003365A6" w:rsidRDefault="004B670B">
            <w:pPr>
              <w:spacing w:before="40" w:afterLines="40" w:after="96"/>
              <w:rPr>
                <w:b/>
                <w:bCs/>
                <w:kern w:val="32"/>
                <w:sz w:val="16"/>
                <w:szCs w:val="16"/>
                <w:u w:val="single"/>
              </w:rPr>
            </w:pPr>
            <w:r w:rsidRPr="004B670B">
              <w:rPr>
                <w:sz w:val="16"/>
                <w:szCs w:val="16"/>
              </w:rPr>
              <w:t>17-Sep-23</w:t>
            </w:r>
          </w:p>
        </w:tc>
        <w:tc>
          <w:tcPr>
            <w:tcW w:w="1000" w:type="dxa"/>
            <w:tcMar>
              <w:top w:w="57" w:type="dxa"/>
              <w:left w:w="57" w:type="dxa"/>
              <w:bottom w:w="57" w:type="dxa"/>
              <w:right w:w="57" w:type="dxa"/>
            </w:tcMar>
          </w:tcPr>
          <w:p w14:paraId="6D9C7AF5" w14:textId="77777777" w:rsidR="003365A6" w:rsidRDefault="004B670B">
            <w:pPr>
              <w:spacing w:before="40" w:afterLines="40" w:after="96"/>
              <w:rPr>
                <w:b/>
                <w:bCs/>
                <w:kern w:val="32"/>
                <w:sz w:val="16"/>
                <w:szCs w:val="16"/>
                <w:u w:val="single"/>
              </w:rPr>
            </w:pPr>
            <w:r w:rsidRPr="004B670B">
              <w:rPr>
                <w:sz w:val="16"/>
                <w:szCs w:val="16"/>
              </w:rPr>
              <w:t>15-Oct-23</w:t>
            </w:r>
          </w:p>
        </w:tc>
        <w:tc>
          <w:tcPr>
            <w:tcW w:w="1000" w:type="dxa"/>
            <w:tcMar>
              <w:top w:w="57" w:type="dxa"/>
              <w:left w:w="57" w:type="dxa"/>
              <w:bottom w:w="57" w:type="dxa"/>
              <w:right w:w="57" w:type="dxa"/>
            </w:tcMar>
          </w:tcPr>
          <w:p w14:paraId="6D9C7AF6" w14:textId="77777777" w:rsidR="003365A6" w:rsidRDefault="004B670B">
            <w:pPr>
              <w:spacing w:before="40" w:afterLines="40" w:after="96"/>
              <w:rPr>
                <w:b/>
                <w:bCs/>
                <w:kern w:val="32"/>
                <w:sz w:val="16"/>
                <w:szCs w:val="16"/>
                <w:u w:val="single"/>
              </w:rPr>
            </w:pPr>
            <w:r w:rsidRPr="004B670B">
              <w:rPr>
                <w:sz w:val="16"/>
                <w:szCs w:val="16"/>
              </w:rPr>
              <w:t>12-Nov-23</w:t>
            </w:r>
          </w:p>
        </w:tc>
        <w:tc>
          <w:tcPr>
            <w:tcW w:w="1000" w:type="dxa"/>
            <w:tcMar>
              <w:top w:w="57" w:type="dxa"/>
              <w:left w:w="57" w:type="dxa"/>
              <w:bottom w:w="57" w:type="dxa"/>
              <w:right w:w="57" w:type="dxa"/>
            </w:tcMar>
          </w:tcPr>
          <w:p w14:paraId="6D9C7AF7" w14:textId="77777777" w:rsidR="003365A6" w:rsidRDefault="004B670B">
            <w:pPr>
              <w:spacing w:before="40" w:afterLines="40" w:after="96"/>
              <w:rPr>
                <w:b/>
                <w:bCs/>
                <w:kern w:val="32"/>
                <w:sz w:val="16"/>
                <w:szCs w:val="16"/>
                <w:u w:val="single"/>
              </w:rPr>
            </w:pPr>
            <w:r w:rsidRPr="004B670B">
              <w:rPr>
                <w:sz w:val="16"/>
                <w:szCs w:val="16"/>
              </w:rPr>
              <w:t>10-Dec-23</w:t>
            </w:r>
          </w:p>
        </w:tc>
        <w:tc>
          <w:tcPr>
            <w:tcW w:w="1000" w:type="dxa"/>
            <w:tcMar>
              <w:top w:w="57" w:type="dxa"/>
              <w:left w:w="57" w:type="dxa"/>
              <w:bottom w:w="57" w:type="dxa"/>
              <w:right w:w="57" w:type="dxa"/>
            </w:tcMar>
          </w:tcPr>
          <w:p w14:paraId="6D9C7AF8" w14:textId="77777777" w:rsidR="003365A6" w:rsidRDefault="004B670B">
            <w:pPr>
              <w:spacing w:before="40" w:afterLines="40" w:after="96"/>
              <w:rPr>
                <w:b/>
                <w:bCs/>
                <w:kern w:val="32"/>
                <w:sz w:val="16"/>
                <w:szCs w:val="16"/>
                <w:u w:val="single"/>
              </w:rPr>
            </w:pPr>
            <w:r w:rsidRPr="004B670B">
              <w:rPr>
                <w:sz w:val="16"/>
                <w:szCs w:val="16"/>
              </w:rPr>
              <w:t>07-Jan-24</w:t>
            </w:r>
          </w:p>
        </w:tc>
        <w:tc>
          <w:tcPr>
            <w:tcW w:w="1000" w:type="dxa"/>
            <w:tcMar>
              <w:top w:w="57" w:type="dxa"/>
              <w:left w:w="57" w:type="dxa"/>
              <w:bottom w:w="57" w:type="dxa"/>
              <w:right w:w="57" w:type="dxa"/>
            </w:tcMar>
          </w:tcPr>
          <w:p w14:paraId="6D9C7AF9" w14:textId="77777777" w:rsidR="003365A6" w:rsidRDefault="004B670B">
            <w:pPr>
              <w:spacing w:before="40" w:afterLines="40" w:after="96"/>
              <w:rPr>
                <w:b/>
                <w:bCs/>
                <w:kern w:val="32"/>
                <w:sz w:val="16"/>
                <w:szCs w:val="16"/>
                <w:u w:val="single"/>
              </w:rPr>
            </w:pPr>
            <w:r w:rsidRPr="004B670B">
              <w:rPr>
                <w:sz w:val="16"/>
                <w:szCs w:val="16"/>
              </w:rPr>
              <w:t>04-Feb-24</w:t>
            </w:r>
          </w:p>
        </w:tc>
        <w:tc>
          <w:tcPr>
            <w:tcW w:w="1000" w:type="dxa"/>
            <w:tcMar>
              <w:top w:w="57" w:type="dxa"/>
              <w:left w:w="57" w:type="dxa"/>
              <w:bottom w:w="57" w:type="dxa"/>
              <w:right w:w="57" w:type="dxa"/>
            </w:tcMar>
          </w:tcPr>
          <w:p w14:paraId="6D9C7AFA" w14:textId="77777777" w:rsidR="003365A6" w:rsidRDefault="004B670B">
            <w:pPr>
              <w:spacing w:before="40" w:afterLines="40" w:after="96"/>
              <w:rPr>
                <w:b/>
                <w:bCs/>
                <w:kern w:val="32"/>
                <w:sz w:val="16"/>
                <w:szCs w:val="16"/>
                <w:u w:val="single"/>
              </w:rPr>
            </w:pPr>
            <w:r w:rsidRPr="004B670B">
              <w:rPr>
                <w:sz w:val="16"/>
                <w:szCs w:val="16"/>
              </w:rPr>
              <w:t>03-Mar-24</w:t>
            </w:r>
          </w:p>
        </w:tc>
      </w:tr>
      <w:tr w:rsidR="004B670B" w:rsidRPr="00CF1F48" w14:paraId="6D9C7B0A" w14:textId="77777777" w:rsidTr="002E5DFD">
        <w:tc>
          <w:tcPr>
            <w:tcW w:w="900" w:type="dxa"/>
            <w:shd w:val="clear" w:color="auto" w:fill="E6E6E6"/>
            <w:tcMar>
              <w:top w:w="57" w:type="dxa"/>
              <w:left w:w="57" w:type="dxa"/>
              <w:bottom w:w="57" w:type="dxa"/>
              <w:right w:w="57" w:type="dxa"/>
            </w:tcMar>
          </w:tcPr>
          <w:p w14:paraId="6D9C7AFC" w14:textId="77777777" w:rsidR="004B670B" w:rsidRPr="004B670B" w:rsidRDefault="004B670B" w:rsidP="009F5B96">
            <w:pPr>
              <w:spacing w:before="40" w:afterLines="40" w:after="96"/>
              <w:jc w:val="center"/>
              <w:rPr>
                <w:b/>
                <w:bCs/>
                <w:sz w:val="16"/>
                <w:szCs w:val="16"/>
              </w:rPr>
            </w:pPr>
            <w:r w:rsidRPr="004B670B">
              <w:rPr>
                <w:b/>
                <w:bCs/>
                <w:sz w:val="16"/>
                <w:szCs w:val="16"/>
              </w:rPr>
              <w:t>2024-25</w:t>
            </w:r>
          </w:p>
        </w:tc>
        <w:tc>
          <w:tcPr>
            <w:tcW w:w="1000" w:type="dxa"/>
            <w:tcMar>
              <w:top w:w="57" w:type="dxa"/>
              <w:left w:w="57" w:type="dxa"/>
              <w:bottom w:w="57" w:type="dxa"/>
              <w:right w:w="57" w:type="dxa"/>
            </w:tcMar>
          </w:tcPr>
          <w:p w14:paraId="6D9C7AFD" w14:textId="77777777" w:rsidR="003365A6" w:rsidRDefault="004B670B">
            <w:pPr>
              <w:spacing w:before="40" w:afterLines="40" w:after="96"/>
              <w:rPr>
                <w:b/>
                <w:bCs/>
                <w:kern w:val="32"/>
                <w:sz w:val="16"/>
                <w:szCs w:val="16"/>
                <w:u w:val="single"/>
              </w:rPr>
            </w:pPr>
            <w:r w:rsidRPr="004B670B">
              <w:rPr>
                <w:sz w:val="16"/>
                <w:szCs w:val="16"/>
              </w:rPr>
              <w:t>01-Apr-24</w:t>
            </w:r>
          </w:p>
        </w:tc>
        <w:tc>
          <w:tcPr>
            <w:tcW w:w="1036" w:type="dxa"/>
            <w:tcMar>
              <w:top w:w="57" w:type="dxa"/>
              <w:left w:w="57" w:type="dxa"/>
              <w:bottom w:w="57" w:type="dxa"/>
              <w:right w:w="57" w:type="dxa"/>
            </w:tcMar>
          </w:tcPr>
          <w:p w14:paraId="6D9C7AFE" w14:textId="77777777" w:rsidR="003365A6" w:rsidRDefault="004B670B">
            <w:pPr>
              <w:spacing w:before="40" w:afterLines="40" w:after="96"/>
              <w:rPr>
                <w:b/>
                <w:bCs/>
                <w:kern w:val="32"/>
                <w:sz w:val="16"/>
                <w:szCs w:val="16"/>
                <w:u w:val="single"/>
              </w:rPr>
            </w:pPr>
            <w:r w:rsidRPr="004B670B">
              <w:rPr>
                <w:sz w:val="16"/>
                <w:szCs w:val="16"/>
              </w:rPr>
              <w:t>28-Apr-24</w:t>
            </w:r>
          </w:p>
        </w:tc>
        <w:tc>
          <w:tcPr>
            <w:tcW w:w="1000" w:type="dxa"/>
            <w:tcMar>
              <w:top w:w="57" w:type="dxa"/>
              <w:left w:w="57" w:type="dxa"/>
              <w:bottom w:w="57" w:type="dxa"/>
              <w:right w:w="57" w:type="dxa"/>
            </w:tcMar>
          </w:tcPr>
          <w:p w14:paraId="6D9C7AFF" w14:textId="77777777" w:rsidR="003365A6" w:rsidRDefault="004B670B">
            <w:pPr>
              <w:spacing w:before="40" w:afterLines="40" w:after="96"/>
              <w:rPr>
                <w:b/>
                <w:bCs/>
                <w:kern w:val="32"/>
                <w:sz w:val="16"/>
                <w:szCs w:val="16"/>
                <w:u w:val="single"/>
              </w:rPr>
            </w:pPr>
            <w:r w:rsidRPr="004B670B">
              <w:rPr>
                <w:sz w:val="16"/>
                <w:szCs w:val="16"/>
              </w:rPr>
              <w:t>26-May-24</w:t>
            </w:r>
          </w:p>
        </w:tc>
        <w:tc>
          <w:tcPr>
            <w:tcW w:w="1000" w:type="dxa"/>
            <w:tcMar>
              <w:top w:w="57" w:type="dxa"/>
              <w:left w:w="57" w:type="dxa"/>
              <w:bottom w:w="57" w:type="dxa"/>
              <w:right w:w="57" w:type="dxa"/>
            </w:tcMar>
          </w:tcPr>
          <w:p w14:paraId="6D9C7B00" w14:textId="77777777" w:rsidR="003365A6" w:rsidRDefault="004B670B">
            <w:pPr>
              <w:spacing w:before="40" w:afterLines="40" w:after="96"/>
              <w:rPr>
                <w:b/>
                <w:bCs/>
                <w:kern w:val="32"/>
                <w:sz w:val="16"/>
                <w:szCs w:val="16"/>
                <w:u w:val="single"/>
              </w:rPr>
            </w:pPr>
            <w:r w:rsidRPr="004B670B">
              <w:rPr>
                <w:sz w:val="16"/>
                <w:szCs w:val="16"/>
              </w:rPr>
              <w:t>23-Jun-24</w:t>
            </w:r>
          </w:p>
        </w:tc>
        <w:tc>
          <w:tcPr>
            <w:tcW w:w="1000" w:type="dxa"/>
            <w:tcMar>
              <w:top w:w="57" w:type="dxa"/>
              <w:left w:w="57" w:type="dxa"/>
              <w:bottom w:w="57" w:type="dxa"/>
              <w:right w:w="57" w:type="dxa"/>
            </w:tcMar>
          </w:tcPr>
          <w:p w14:paraId="6D9C7B01" w14:textId="77777777" w:rsidR="003365A6" w:rsidRDefault="004B670B">
            <w:pPr>
              <w:spacing w:before="40" w:afterLines="40" w:after="96"/>
              <w:rPr>
                <w:b/>
                <w:bCs/>
                <w:kern w:val="32"/>
                <w:sz w:val="16"/>
                <w:szCs w:val="16"/>
                <w:u w:val="single"/>
              </w:rPr>
            </w:pPr>
            <w:r w:rsidRPr="004B670B">
              <w:rPr>
                <w:sz w:val="16"/>
                <w:szCs w:val="16"/>
              </w:rPr>
              <w:t>21-Jul-24</w:t>
            </w:r>
          </w:p>
        </w:tc>
        <w:tc>
          <w:tcPr>
            <w:tcW w:w="1000" w:type="dxa"/>
            <w:tcMar>
              <w:top w:w="57" w:type="dxa"/>
              <w:left w:w="57" w:type="dxa"/>
              <w:bottom w:w="57" w:type="dxa"/>
              <w:right w:w="57" w:type="dxa"/>
            </w:tcMar>
          </w:tcPr>
          <w:p w14:paraId="6D9C7B02" w14:textId="77777777" w:rsidR="003365A6" w:rsidRDefault="004B670B">
            <w:pPr>
              <w:spacing w:before="40" w:afterLines="40" w:after="96"/>
              <w:rPr>
                <w:b/>
                <w:bCs/>
                <w:kern w:val="32"/>
                <w:sz w:val="16"/>
                <w:szCs w:val="16"/>
                <w:u w:val="single"/>
              </w:rPr>
            </w:pPr>
            <w:r w:rsidRPr="004B670B">
              <w:rPr>
                <w:sz w:val="16"/>
                <w:szCs w:val="16"/>
              </w:rPr>
              <w:t>18-Aug-24</w:t>
            </w:r>
          </w:p>
        </w:tc>
        <w:tc>
          <w:tcPr>
            <w:tcW w:w="1000" w:type="dxa"/>
            <w:tcMar>
              <w:top w:w="57" w:type="dxa"/>
              <w:left w:w="57" w:type="dxa"/>
              <w:bottom w:w="57" w:type="dxa"/>
              <w:right w:w="57" w:type="dxa"/>
            </w:tcMar>
          </w:tcPr>
          <w:p w14:paraId="6D9C7B03" w14:textId="77777777" w:rsidR="003365A6" w:rsidRDefault="004B670B">
            <w:pPr>
              <w:spacing w:before="40" w:afterLines="40" w:after="96"/>
              <w:rPr>
                <w:b/>
                <w:bCs/>
                <w:kern w:val="32"/>
                <w:sz w:val="16"/>
                <w:szCs w:val="16"/>
                <w:u w:val="single"/>
              </w:rPr>
            </w:pPr>
            <w:r w:rsidRPr="004B670B">
              <w:rPr>
                <w:sz w:val="16"/>
                <w:szCs w:val="16"/>
              </w:rPr>
              <w:t>15-Sep-24</w:t>
            </w:r>
          </w:p>
        </w:tc>
        <w:tc>
          <w:tcPr>
            <w:tcW w:w="1000" w:type="dxa"/>
            <w:tcMar>
              <w:top w:w="57" w:type="dxa"/>
              <w:left w:w="57" w:type="dxa"/>
              <w:bottom w:w="57" w:type="dxa"/>
              <w:right w:w="57" w:type="dxa"/>
            </w:tcMar>
          </w:tcPr>
          <w:p w14:paraId="6D9C7B04" w14:textId="77777777" w:rsidR="003365A6" w:rsidRDefault="004B670B">
            <w:pPr>
              <w:spacing w:before="40" w:afterLines="40" w:after="96"/>
              <w:rPr>
                <w:b/>
                <w:bCs/>
                <w:kern w:val="32"/>
                <w:sz w:val="16"/>
                <w:szCs w:val="16"/>
                <w:u w:val="single"/>
              </w:rPr>
            </w:pPr>
            <w:r w:rsidRPr="004B670B">
              <w:rPr>
                <w:sz w:val="16"/>
                <w:szCs w:val="16"/>
              </w:rPr>
              <w:t>13-Oct-24</w:t>
            </w:r>
          </w:p>
        </w:tc>
        <w:tc>
          <w:tcPr>
            <w:tcW w:w="1000" w:type="dxa"/>
            <w:tcMar>
              <w:top w:w="57" w:type="dxa"/>
              <w:left w:w="57" w:type="dxa"/>
              <w:bottom w:w="57" w:type="dxa"/>
              <w:right w:w="57" w:type="dxa"/>
            </w:tcMar>
          </w:tcPr>
          <w:p w14:paraId="6D9C7B05" w14:textId="77777777" w:rsidR="003365A6" w:rsidRDefault="004B670B">
            <w:pPr>
              <w:spacing w:before="40" w:afterLines="40" w:after="96"/>
              <w:rPr>
                <w:b/>
                <w:bCs/>
                <w:kern w:val="32"/>
                <w:sz w:val="16"/>
                <w:szCs w:val="16"/>
                <w:u w:val="single"/>
              </w:rPr>
            </w:pPr>
            <w:r w:rsidRPr="004B670B">
              <w:rPr>
                <w:sz w:val="16"/>
                <w:szCs w:val="16"/>
              </w:rPr>
              <w:t>10-Nov-24</w:t>
            </w:r>
          </w:p>
        </w:tc>
        <w:tc>
          <w:tcPr>
            <w:tcW w:w="1000" w:type="dxa"/>
            <w:tcMar>
              <w:top w:w="57" w:type="dxa"/>
              <w:left w:w="57" w:type="dxa"/>
              <w:bottom w:w="57" w:type="dxa"/>
              <w:right w:w="57" w:type="dxa"/>
            </w:tcMar>
          </w:tcPr>
          <w:p w14:paraId="6D9C7B06" w14:textId="77777777" w:rsidR="003365A6" w:rsidRDefault="004B670B">
            <w:pPr>
              <w:spacing w:before="40" w:afterLines="40" w:after="96"/>
              <w:rPr>
                <w:b/>
                <w:bCs/>
                <w:sz w:val="16"/>
                <w:szCs w:val="16"/>
              </w:rPr>
            </w:pPr>
            <w:r w:rsidRPr="004B670B">
              <w:rPr>
                <w:sz w:val="16"/>
                <w:szCs w:val="16"/>
              </w:rPr>
              <w:t>08-Dec-24</w:t>
            </w:r>
          </w:p>
        </w:tc>
        <w:tc>
          <w:tcPr>
            <w:tcW w:w="1000" w:type="dxa"/>
            <w:tcMar>
              <w:top w:w="57" w:type="dxa"/>
              <w:left w:w="57" w:type="dxa"/>
              <w:bottom w:w="57" w:type="dxa"/>
              <w:right w:w="57" w:type="dxa"/>
            </w:tcMar>
          </w:tcPr>
          <w:p w14:paraId="6D9C7B07" w14:textId="77777777" w:rsidR="003365A6" w:rsidRDefault="004B670B">
            <w:pPr>
              <w:spacing w:before="40" w:afterLines="40" w:after="96"/>
              <w:rPr>
                <w:b/>
                <w:bCs/>
                <w:sz w:val="16"/>
                <w:szCs w:val="16"/>
              </w:rPr>
            </w:pPr>
            <w:r w:rsidRPr="004B670B">
              <w:rPr>
                <w:sz w:val="16"/>
                <w:szCs w:val="16"/>
              </w:rPr>
              <w:t>05-Jan-25</w:t>
            </w:r>
          </w:p>
        </w:tc>
        <w:tc>
          <w:tcPr>
            <w:tcW w:w="1000" w:type="dxa"/>
            <w:tcMar>
              <w:top w:w="57" w:type="dxa"/>
              <w:left w:w="57" w:type="dxa"/>
              <w:bottom w:w="57" w:type="dxa"/>
              <w:right w:w="57" w:type="dxa"/>
            </w:tcMar>
          </w:tcPr>
          <w:p w14:paraId="6D9C7B08" w14:textId="77777777" w:rsidR="003365A6" w:rsidRDefault="004B670B">
            <w:pPr>
              <w:spacing w:before="40" w:afterLines="40" w:after="96"/>
              <w:rPr>
                <w:b/>
                <w:bCs/>
                <w:sz w:val="16"/>
                <w:szCs w:val="16"/>
              </w:rPr>
            </w:pPr>
            <w:r w:rsidRPr="004B670B">
              <w:rPr>
                <w:sz w:val="16"/>
                <w:szCs w:val="16"/>
              </w:rPr>
              <w:t>02-Feb-25</w:t>
            </w:r>
          </w:p>
        </w:tc>
        <w:tc>
          <w:tcPr>
            <w:tcW w:w="1000" w:type="dxa"/>
            <w:tcMar>
              <w:top w:w="57" w:type="dxa"/>
              <w:left w:w="57" w:type="dxa"/>
              <w:bottom w:w="57" w:type="dxa"/>
              <w:right w:w="57" w:type="dxa"/>
            </w:tcMar>
          </w:tcPr>
          <w:p w14:paraId="6D9C7B09" w14:textId="77777777" w:rsidR="003365A6" w:rsidRDefault="004B670B">
            <w:pPr>
              <w:spacing w:before="40" w:afterLines="40" w:after="96"/>
              <w:rPr>
                <w:b/>
                <w:bCs/>
                <w:sz w:val="16"/>
                <w:szCs w:val="16"/>
              </w:rPr>
            </w:pPr>
            <w:r w:rsidRPr="004B670B">
              <w:rPr>
                <w:sz w:val="16"/>
                <w:szCs w:val="16"/>
              </w:rPr>
              <w:t>02-Mar-25</w:t>
            </w:r>
          </w:p>
        </w:tc>
      </w:tr>
      <w:tr w:rsidR="004B670B" w:rsidRPr="00CF1F48" w14:paraId="6D9C7B19" w14:textId="77777777" w:rsidTr="002E5DFD">
        <w:tc>
          <w:tcPr>
            <w:tcW w:w="900" w:type="dxa"/>
            <w:shd w:val="clear" w:color="auto" w:fill="E6E6E6"/>
            <w:tcMar>
              <w:top w:w="57" w:type="dxa"/>
              <w:left w:w="57" w:type="dxa"/>
              <w:bottom w:w="57" w:type="dxa"/>
              <w:right w:w="57" w:type="dxa"/>
            </w:tcMar>
          </w:tcPr>
          <w:p w14:paraId="6D9C7B0B" w14:textId="77777777" w:rsidR="004B670B" w:rsidRPr="004B670B" w:rsidRDefault="004B670B" w:rsidP="009F5B96">
            <w:pPr>
              <w:spacing w:before="40" w:afterLines="40" w:after="96"/>
              <w:jc w:val="center"/>
              <w:rPr>
                <w:b/>
                <w:bCs/>
                <w:sz w:val="16"/>
                <w:szCs w:val="16"/>
              </w:rPr>
            </w:pPr>
            <w:r w:rsidRPr="004B670B">
              <w:rPr>
                <w:b/>
                <w:bCs/>
                <w:sz w:val="16"/>
                <w:szCs w:val="16"/>
              </w:rPr>
              <w:t>2025-26</w:t>
            </w:r>
          </w:p>
        </w:tc>
        <w:tc>
          <w:tcPr>
            <w:tcW w:w="1000" w:type="dxa"/>
            <w:tcMar>
              <w:top w:w="57" w:type="dxa"/>
              <w:left w:w="57" w:type="dxa"/>
              <w:bottom w:w="57" w:type="dxa"/>
              <w:right w:w="57" w:type="dxa"/>
            </w:tcMar>
          </w:tcPr>
          <w:p w14:paraId="6D9C7B0C" w14:textId="77777777" w:rsidR="004873A0" w:rsidRDefault="004B670B">
            <w:pPr>
              <w:spacing w:before="40" w:afterLines="40" w:after="96"/>
              <w:rPr>
                <w:sz w:val="16"/>
                <w:szCs w:val="16"/>
              </w:rPr>
            </w:pPr>
            <w:r w:rsidRPr="004B670B">
              <w:rPr>
                <w:sz w:val="16"/>
                <w:szCs w:val="16"/>
              </w:rPr>
              <w:t>01-Apr-25</w:t>
            </w:r>
          </w:p>
        </w:tc>
        <w:tc>
          <w:tcPr>
            <w:tcW w:w="1036" w:type="dxa"/>
            <w:tcMar>
              <w:top w:w="57" w:type="dxa"/>
              <w:left w:w="57" w:type="dxa"/>
              <w:bottom w:w="57" w:type="dxa"/>
              <w:right w:w="57" w:type="dxa"/>
            </w:tcMar>
          </w:tcPr>
          <w:p w14:paraId="6D9C7B0D" w14:textId="77777777" w:rsidR="004873A0" w:rsidRDefault="004B670B">
            <w:pPr>
              <w:spacing w:before="40" w:afterLines="40" w:after="96"/>
              <w:rPr>
                <w:sz w:val="16"/>
                <w:szCs w:val="16"/>
              </w:rPr>
            </w:pPr>
            <w:r w:rsidRPr="004B670B">
              <w:rPr>
                <w:sz w:val="16"/>
                <w:szCs w:val="16"/>
              </w:rPr>
              <w:t>27-Apr-25</w:t>
            </w:r>
          </w:p>
        </w:tc>
        <w:tc>
          <w:tcPr>
            <w:tcW w:w="1000" w:type="dxa"/>
            <w:tcMar>
              <w:top w:w="57" w:type="dxa"/>
              <w:left w:w="57" w:type="dxa"/>
              <w:bottom w:w="57" w:type="dxa"/>
              <w:right w:w="57" w:type="dxa"/>
            </w:tcMar>
          </w:tcPr>
          <w:p w14:paraId="6D9C7B0E" w14:textId="77777777" w:rsidR="004873A0" w:rsidRDefault="004B670B">
            <w:pPr>
              <w:spacing w:before="40" w:afterLines="40" w:after="96"/>
              <w:rPr>
                <w:sz w:val="16"/>
                <w:szCs w:val="16"/>
              </w:rPr>
            </w:pPr>
            <w:r w:rsidRPr="004B670B">
              <w:rPr>
                <w:sz w:val="16"/>
                <w:szCs w:val="16"/>
              </w:rPr>
              <w:t>25-May-25</w:t>
            </w:r>
          </w:p>
        </w:tc>
        <w:tc>
          <w:tcPr>
            <w:tcW w:w="1000" w:type="dxa"/>
            <w:tcMar>
              <w:top w:w="57" w:type="dxa"/>
              <w:left w:w="57" w:type="dxa"/>
              <w:bottom w:w="57" w:type="dxa"/>
              <w:right w:w="57" w:type="dxa"/>
            </w:tcMar>
          </w:tcPr>
          <w:p w14:paraId="6D9C7B0F" w14:textId="77777777" w:rsidR="004873A0" w:rsidRDefault="004B670B">
            <w:pPr>
              <w:spacing w:before="40" w:afterLines="40" w:after="96"/>
              <w:rPr>
                <w:sz w:val="16"/>
                <w:szCs w:val="16"/>
              </w:rPr>
            </w:pPr>
            <w:r w:rsidRPr="004B670B">
              <w:rPr>
                <w:sz w:val="16"/>
                <w:szCs w:val="16"/>
              </w:rPr>
              <w:t>22-Jun-25</w:t>
            </w:r>
          </w:p>
        </w:tc>
        <w:tc>
          <w:tcPr>
            <w:tcW w:w="1000" w:type="dxa"/>
            <w:tcMar>
              <w:top w:w="57" w:type="dxa"/>
              <w:left w:w="57" w:type="dxa"/>
              <w:bottom w:w="57" w:type="dxa"/>
              <w:right w:w="57" w:type="dxa"/>
            </w:tcMar>
          </w:tcPr>
          <w:p w14:paraId="6D9C7B10" w14:textId="77777777" w:rsidR="004873A0" w:rsidRDefault="004B670B">
            <w:pPr>
              <w:spacing w:before="40" w:afterLines="40" w:after="96"/>
              <w:rPr>
                <w:sz w:val="16"/>
                <w:szCs w:val="16"/>
              </w:rPr>
            </w:pPr>
            <w:r w:rsidRPr="004B670B">
              <w:rPr>
                <w:sz w:val="16"/>
                <w:szCs w:val="16"/>
              </w:rPr>
              <w:t>20-Jul-25</w:t>
            </w:r>
          </w:p>
        </w:tc>
        <w:tc>
          <w:tcPr>
            <w:tcW w:w="1000" w:type="dxa"/>
            <w:tcMar>
              <w:top w:w="57" w:type="dxa"/>
              <w:left w:w="57" w:type="dxa"/>
              <w:bottom w:w="57" w:type="dxa"/>
              <w:right w:w="57" w:type="dxa"/>
            </w:tcMar>
          </w:tcPr>
          <w:p w14:paraId="6D9C7B11" w14:textId="77777777" w:rsidR="004873A0" w:rsidRDefault="004B670B">
            <w:pPr>
              <w:spacing w:before="40" w:afterLines="40" w:after="96"/>
              <w:rPr>
                <w:sz w:val="16"/>
                <w:szCs w:val="16"/>
              </w:rPr>
            </w:pPr>
            <w:r w:rsidRPr="004B670B">
              <w:rPr>
                <w:sz w:val="16"/>
                <w:szCs w:val="16"/>
              </w:rPr>
              <w:t>17-Aug-25</w:t>
            </w:r>
          </w:p>
        </w:tc>
        <w:tc>
          <w:tcPr>
            <w:tcW w:w="1000" w:type="dxa"/>
            <w:tcMar>
              <w:top w:w="57" w:type="dxa"/>
              <w:left w:w="57" w:type="dxa"/>
              <w:bottom w:w="57" w:type="dxa"/>
              <w:right w:w="57" w:type="dxa"/>
            </w:tcMar>
          </w:tcPr>
          <w:p w14:paraId="6D9C7B12" w14:textId="77777777" w:rsidR="004873A0" w:rsidRDefault="004B670B">
            <w:pPr>
              <w:spacing w:before="40" w:afterLines="40" w:after="96"/>
              <w:rPr>
                <w:sz w:val="16"/>
                <w:szCs w:val="16"/>
              </w:rPr>
            </w:pPr>
            <w:r w:rsidRPr="004B670B">
              <w:rPr>
                <w:sz w:val="16"/>
                <w:szCs w:val="16"/>
              </w:rPr>
              <w:t>14-Sep-25</w:t>
            </w:r>
          </w:p>
        </w:tc>
        <w:tc>
          <w:tcPr>
            <w:tcW w:w="1000" w:type="dxa"/>
            <w:tcMar>
              <w:top w:w="57" w:type="dxa"/>
              <w:left w:w="57" w:type="dxa"/>
              <w:bottom w:w="57" w:type="dxa"/>
              <w:right w:w="57" w:type="dxa"/>
            </w:tcMar>
          </w:tcPr>
          <w:p w14:paraId="6D9C7B13" w14:textId="77777777" w:rsidR="004873A0" w:rsidRDefault="004B670B">
            <w:pPr>
              <w:spacing w:before="40" w:afterLines="40" w:after="96"/>
              <w:rPr>
                <w:sz w:val="16"/>
                <w:szCs w:val="16"/>
              </w:rPr>
            </w:pPr>
            <w:r w:rsidRPr="004B670B">
              <w:rPr>
                <w:sz w:val="16"/>
                <w:szCs w:val="16"/>
              </w:rPr>
              <w:t>12-Oct-25</w:t>
            </w:r>
          </w:p>
        </w:tc>
        <w:tc>
          <w:tcPr>
            <w:tcW w:w="1000" w:type="dxa"/>
            <w:tcMar>
              <w:top w:w="57" w:type="dxa"/>
              <w:left w:w="57" w:type="dxa"/>
              <w:bottom w:w="57" w:type="dxa"/>
              <w:right w:w="57" w:type="dxa"/>
            </w:tcMar>
          </w:tcPr>
          <w:p w14:paraId="6D9C7B14" w14:textId="77777777" w:rsidR="004873A0" w:rsidRDefault="004B670B">
            <w:pPr>
              <w:spacing w:before="40" w:afterLines="40" w:after="96"/>
              <w:rPr>
                <w:sz w:val="16"/>
                <w:szCs w:val="16"/>
              </w:rPr>
            </w:pPr>
            <w:r w:rsidRPr="004B670B">
              <w:rPr>
                <w:sz w:val="16"/>
                <w:szCs w:val="16"/>
              </w:rPr>
              <w:t>09-Nov-25</w:t>
            </w:r>
          </w:p>
        </w:tc>
        <w:tc>
          <w:tcPr>
            <w:tcW w:w="1000" w:type="dxa"/>
            <w:tcMar>
              <w:top w:w="57" w:type="dxa"/>
              <w:left w:w="57" w:type="dxa"/>
              <w:bottom w:w="57" w:type="dxa"/>
              <w:right w:w="57" w:type="dxa"/>
            </w:tcMar>
          </w:tcPr>
          <w:p w14:paraId="6D9C7B15" w14:textId="77777777" w:rsidR="004873A0" w:rsidRDefault="004B670B">
            <w:pPr>
              <w:spacing w:before="40" w:afterLines="40" w:after="96"/>
              <w:rPr>
                <w:sz w:val="16"/>
                <w:szCs w:val="16"/>
              </w:rPr>
            </w:pPr>
            <w:r w:rsidRPr="004B670B">
              <w:rPr>
                <w:sz w:val="16"/>
                <w:szCs w:val="16"/>
              </w:rPr>
              <w:t>07-Dec-25</w:t>
            </w:r>
          </w:p>
        </w:tc>
        <w:tc>
          <w:tcPr>
            <w:tcW w:w="1000" w:type="dxa"/>
            <w:tcMar>
              <w:top w:w="57" w:type="dxa"/>
              <w:left w:w="57" w:type="dxa"/>
              <w:bottom w:w="57" w:type="dxa"/>
              <w:right w:w="57" w:type="dxa"/>
            </w:tcMar>
          </w:tcPr>
          <w:p w14:paraId="6D9C7B16" w14:textId="77777777" w:rsidR="004873A0" w:rsidRDefault="004B670B">
            <w:pPr>
              <w:spacing w:before="40" w:afterLines="40" w:after="96"/>
              <w:rPr>
                <w:sz w:val="16"/>
                <w:szCs w:val="16"/>
              </w:rPr>
            </w:pPr>
            <w:r w:rsidRPr="004B670B">
              <w:rPr>
                <w:sz w:val="16"/>
                <w:szCs w:val="16"/>
              </w:rPr>
              <w:t>04-Jan-26</w:t>
            </w:r>
          </w:p>
        </w:tc>
        <w:tc>
          <w:tcPr>
            <w:tcW w:w="1000" w:type="dxa"/>
            <w:tcMar>
              <w:top w:w="57" w:type="dxa"/>
              <w:left w:w="57" w:type="dxa"/>
              <w:bottom w:w="57" w:type="dxa"/>
              <w:right w:w="57" w:type="dxa"/>
            </w:tcMar>
          </w:tcPr>
          <w:p w14:paraId="6D9C7B17" w14:textId="77777777" w:rsidR="004873A0" w:rsidRDefault="004B670B">
            <w:pPr>
              <w:spacing w:before="40" w:afterLines="40" w:after="96"/>
              <w:rPr>
                <w:sz w:val="16"/>
                <w:szCs w:val="16"/>
              </w:rPr>
            </w:pPr>
            <w:r w:rsidRPr="004B670B">
              <w:rPr>
                <w:sz w:val="16"/>
                <w:szCs w:val="16"/>
              </w:rPr>
              <w:t>01-Feb-26</w:t>
            </w:r>
          </w:p>
        </w:tc>
        <w:tc>
          <w:tcPr>
            <w:tcW w:w="1000" w:type="dxa"/>
            <w:tcMar>
              <w:top w:w="57" w:type="dxa"/>
              <w:left w:w="57" w:type="dxa"/>
              <w:bottom w:w="57" w:type="dxa"/>
              <w:right w:w="57" w:type="dxa"/>
            </w:tcMar>
          </w:tcPr>
          <w:p w14:paraId="6D9C7B18" w14:textId="77777777" w:rsidR="004873A0" w:rsidRDefault="004B670B">
            <w:pPr>
              <w:spacing w:before="40" w:afterLines="40" w:after="96"/>
              <w:rPr>
                <w:sz w:val="16"/>
                <w:szCs w:val="16"/>
              </w:rPr>
            </w:pPr>
            <w:r w:rsidRPr="004B670B">
              <w:rPr>
                <w:sz w:val="16"/>
                <w:szCs w:val="16"/>
              </w:rPr>
              <w:t>01-Mar-26</w:t>
            </w:r>
          </w:p>
        </w:tc>
      </w:tr>
    </w:tbl>
    <w:p w14:paraId="6D9C7B1A" w14:textId="77777777" w:rsidR="00E078CA" w:rsidRDefault="00E078CA" w:rsidP="004E7099">
      <w:pPr>
        <w:sectPr w:rsidR="00E078CA" w:rsidSect="004E7099">
          <w:footerReference w:type="even" r:id="rId17"/>
          <w:footerReference w:type="default" r:id="rId18"/>
          <w:footerReference w:type="first" r:id="rId19"/>
          <w:pgSz w:w="16838" w:h="11906" w:orient="landscape"/>
          <w:pgMar w:top="1440" w:right="1440" w:bottom="1440" w:left="1440" w:header="708" w:footer="708" w:gutter="0"/>
          <w:cols w:space="708"/>
          <w:docGrid w:linePitch="360"/>
        </w:sectPr>
      </w:pPr>
    </w:p>
    <w:p w14:paraId="6D9C7B1B" w14:textId="77777777" w:rsidR="00675185" w:rsidRPr="00E078CA" w:rsidRDefault="00E078CA" w:rsidP="004E7099">
      <w:pPr>
        <w:rPr>
          <w:b/>
        </w:rPr>
      </w:pPr>
      <w:r w:rsidRPr="00E078CA">
        <w:rPr>
          <w:b/>
        </w:rPr>
        <w:lastRenderedPageBreak/>
        <w:t>Annex 4</w:t>
      </w:r>
    </w:p>
    <w:p w14:paraId="6D9C7B1C" w14:textId="77777777" w:rsidR="00E078CA" w:rsidRPr="00E078CA" w:rsidRDefault="00E078CA" w:rsidP="004E7099">
      <w:pPr>
        <w:rPr>
          <w:b/>
        </w:rPr>
      </w:pPr>
      <w:r w:rsidRPr="00E078CA">
        <w:rPr>
          <w:b/>
        </w:rPr>
        <w:t>Pricing Template</w:t>
      </w:r>
    </w:p>
    <w:p w14:paraId="6D9C7B1D" w14:textId="77777777" w:rsidR="00E078CA" w:rsidRPr="00E078CA" w:rsidRDefault="00E078CA" w:rsidP="00E078CA">
      <w:pPr>
        <w:spacing w:after="260" w:line="260" w:lineRule="atLeast"/>
        <w:rPr>
          <w:b/>
          <w:bCs/>
          <w:iCs/>
          <w:color w:val="000000"/>
        </w:rPr>
      </w:pPr>
    </w:p>
    <w:p w14:paraId="6D9C7B1E" w14:textId="7243A7D8" w:rsidR="00515543" w:rsidRPr="00830B06" w:rsidRDefault="00B0352C" w:rsidP="00515543">
      <w:pPr>
        <w:spacing w:after="260" w:line="260" w:lineRule="atLeast"/>
        <w:rPr>
          <w:b/>
          <w:bCs/>
          <w:iCs/>
          <w:color w:val="000000"/>
        </w:rPr>
      </w:pPr>
      <w:r>
        <w:rPr>
          <w:b/>
          <w:bCs/>
          <w:iCs/>
          <w:color w:val="000000"/>
        </w:rPr>
        <w:t>NOTE</w:t>
      </w:r>
      <w:r w:rsidR="004E2FFF" w:rsidRPr="00830B06">
        <w:rPr>
          <w:b/>
          <w:bCs/>
          <w:iCs/>
          <w:color w:val="000000"/>
        </w:rPr>
        <w:t>: R</w:t>
      </w:r>
      <w:r w:rsidR="004E2FFF">
        <w:rPr>
          <w:b/>
          <w:bCs/>
          <w:iCs/>
          <w:color w:val="000000"/>
        </w:rPr>
        <w:t>ate</w:t>
      </w:r>
      <w:r w:rsidR="004E2FFF" w:rsidRPr="00830B06">
        <w:rPr>
          <w:b/>
          <w:bCs/>
          <w:iCs/>
          <w:color w:val="000000"/>
        </w:rPr>
        <w:t xml:space="preserve"> tables from the</w:t>
      </w:r>
      <w:r w:rsidR="00515543" w:rsidRPr="00830B06">
        <w:rPr>
          <w:b/>
          <w:bCs/>
          <w:iCs/>
          <w:color w:val="000000"/>
        </w:rPr>
        <w:t xml:space="preserve"> Pricing Template </w:t>
      </w:r>
      <w:r w:rsidR="004E2FFF" w:rsidRPr="00830B06">
        <w:rPr>
          <w:b/>
          <w:bCs/>
          <w:iCs/>
          <w:color w:val="000000"/>
        </w:rPr>
        <w:t xml:space="preserve">provided by </w:t>
      </w:r>
      <w:proofErr w:type="spellStart"/>
      <w:r w:rsidR="004E2FFF" w:rsidRPr="00830B06">
        <w:rPr>
          <w:b/>
          <w:bCs/>
          <w:iCs/>
          <w:color w:val="000000"/>
        </w:rPr>
        <w:t>the</w:t>
      </w:r>
      <w:r>
        <w:rPr>
          <w:b/>
          <w:bCs/>
          <w:iCs/>
          <w:color w:val="000000"/>
        </w:rPr>
        <w:t>Service</w:t>
      </w:r>
      <w:proofErr w:type="spellEnd"/>
      <w:r>
        <w:rPr>
          <w:b/>
          <w:bCs/>
          <w:iCs/>
          <w:color w:val="000000"/>
        </w:rPr>
        <w:t xml:space="preserve"> Provider</w:t>
      </w:r>
      <w:r w:rsidR="004E2FFF" w:rsidRPr="00830B06">
        <w:rPr>
          <w:b/>
          <w:bCs/>
          <w:iCs/>
          <w:color w:val="000000"/>
        </w:rPr>
        <w:t xml:space="preserve"> are included in Annex1 a</w:t>
      </w:r>
      <w:r w:rsidR="000C2555">
        <w:rPr>
          <w:b/>
          <w:bCs/>
          <w:iCs/>
          <w:color w:val="000000"/>
        </w:rPr>
        <w:t>nd Annex 2 to this Schedule 7</w:t>
      </w:r>
      <w:r w:rsidR="004E2FFF" w:rsidRPr="00830B06">
        <w:rPr>
          <w:b/>
          <w:bCs/>
          <w:iCs/>
          <w:color w:val="000000"/>
        </w:rPr>
        <w:t>.</w:t>
      </w:r>
    </w:p>
    <w:p w14:paraId="6D9C7B1F" w14:textId="77777777" w:rsidR="00974C68" w:rsidRDefault="00974C68" w:rsidP="004E7099"/>
    <w:p w14:paraId="6D9C7B20" w14:textId="77777777" w:rsidR="00974C68" w:rsidRPr="00974C68" w:rsidRDefault="00974C68" w:rsidP="00974C68"/>
    <w:p w14:paraId="6D9C7B21" w14:textId="77777777" w:rsidR="00974C68" w:rsidRPr="00974C68" w:rsidRDefault="00974C68" w:rsidP="00974C68"/>
    <w:p w14:paraId="6D9C7B22" w14:textId="77777777" w:rsidR="00974C68" w:rsidRPr="00974C68" w:rsidRDefault="00974C68" w:rsidP="00974C68"/>
    <w:p w14:paraId="6D9C7B23" w14:textId="77777777" w:rsidR="00974C68" w:rsidRPr="00974C68" w:rsidRDefault="00974C68" w:rsidP="00974C68"/>
    <w:p w14:paraId="6D9C7B24" w14:textId="77777777" w:rsidR="00974C68" w:rsidRPr="00974C68" w:rsidRDefault="00974C68" w:rsidP="00974C68"/>
    <w:p w14:paraId="6D9C7B25" w14:textId="77777777" w:rsidR="00974C68" w:rsidRDefault="00974C68" w:rsidP="00974C68"/>
    <w:p w14:paraId="6D9C7B26" w14:textId="77777777" w:rsidR="00E078CA" w:rsidRPr="00974C68" w:rsidRDefault="00974C68" w:rsidP="00974C68">
      <w:pPr>
        <w:tabs>
          <w:tab w:val="left" w:pos="1250"/>
        </w:tabs>
      </w:pPr>
      <w:r>
        <w:tab/>
      </w:r>
    </w:p>
    <w:sectPr w:rsidR="00E078CA" w:rsidRPr="00974C68" w:rsidSect="00E078CA">
      <w:footerReference w:type="even" r:id="rId20"/>
      <w:foot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C7B29" w14:textId="77777777" w:rsidR="00113EEC" w:rsidRDefault="00113EEC">
      <w:r>
        <w:separator/>
      </w:r>
    </w:p>
  </w:endnote>
  <w:endnote w:type="continuationSeparator" w:id="0">
    <w:p w14:paraId="6D9C7B2A" w14:textId="77777777" w:rsidR="00113EEC" w:rsidRDefault="0011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CC"/>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7B2D" w14:textId="77777777" w:rsidR="00113EEC" w:rsidRPr="00E078CA" w:rsidRDefault="00113EEC" w:rsidP="00E078CA">
    <w:pPr>
      <w:pStyle w:val="Footer"/>
      <w:tabs>
        <w:tab w:val="clear" w:pos="4763"/>
        <w:tab w:val="clear" w:pos="9497"/>
        <w:tab w:val="center" w:pos="4540"/>
        <w:tab w:val="right" w:pos="9100"/>
      </w:tabs>
    </w:pPr>
    <w:bookmarkStart w:id="75" w:name="bmkDocRef1_3"/>
    <w:r>
      <w:t>ICT/021473-00074/JEC/SP44</w:t>
    </w:r>
    <w:bookmarkEnd w:id="75"/>
    <w:r w:rsidRPr="00E078CA">
      <w:t xml:space="preserve">  </w:t>
    </w:r>
    <w:bookmarkStart w:id="76" w:name="bmkAsset1_3"/>
    <w:r>
      <w:t>PJJS(LDN7W22453)</w:t>
    </w:r>
    <w:bookmarkEnd w:id="76"/>
    <w:r>
      <w:rPr>
        <w:sz w:val="20"/>
      </w:rPr>
      <w:tab/>
    </w:r>
    <w:r>
      <w:rPr>
        <w:sz w:val="20"/>
      </w:rPr>
      <w:fldChar w:fldCharType="begin"/>
    </w:r>
    <w:r>
      <w:rPr>
        <w:sz w:val="20"/>
      </w:rPr>
      <w:instrText xml:space="preserve"> PAGE  \* MERGEFORMAT </w:instrText>
    </w:r>
    <w:r>
      <w:rPr>
        <w:sz w:val="20"/>
      </w:rPr>
      <w:fldChar w:fldCharType="separate"/>
    </w:r>
    <w:r>
      <w:rPr>
        <w:noProof/>
        <w:sz w:val="20"/>
      </w:rPr>
      <w:t>17</w:t>
    </w:r>
    <w:r>
      <w:rPr>
        <w:sz w:val="20"/>
      </w:rPr>
      <w:fldChar w:fldCharType="end"/>
    </w:r>
    <w:r w:rsidRPr="00E078CA">
      <w:tab/>
    </w:r>
    <w:bookmarkStart w:id="77" w:name="bmkDocID1_3"/>
    <w:r>
      <w:t>L_LIVE_EMEA1:24120861v2</w:t>
    </w:r>
    <w:bookmarkEnd w:id="7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7B2E" w14:textId="6047939D" w:rsidR="00113EEC" w:rsidRPr="00970E90" w:rsidRDefault="00113EEC" w:rsidP="001964D7">
    <w:pPr>
      <w:pStyle w:val="Footer"/>
      <w:tabs>
        <w:tab w:val="clear" w:pos="4763"/>
        <w:tab w:val="center" w:pos="4500"/>
        <w:tab w:val="center" w:pos="7088"/>
        <w:tab w:val="right" w:pos="9020"/>
      </w:tabs>
      <w:rPr>
        <w:rFonts w:cs="Arial"/>
        <w:sz w:val="16"/>
        <w:szCs w:val="16"/>
      </w:rPr>
    </w:pPr>
    <w:r>
      <w:rPr>
        <w:rFonts w:cs="Arial"/>
        <w:sz w:val="16"/>
        <w:szCs w:val="16"/>
      </w:rPr>
      <w:t>TfL</w:t>
    </w:r>
    <w:r w:rsidRPr="00350DA0">
      <w:rPr>
        <w:rFonts w:cs="Arial"/>
        <w:sz w:val="16"/>
        <w:szCs w:val="16"/>
      </w:rPr>
      <w:t>_scp_000996</w:t>
    </w:r>
    <w:r>
      <w:rPr>
        <w:rFonts w:cs="Arial"/>
        <w:sz w:val="16"/>
        <w:szCs w:val="16"/>
      </w:rPr>
      <w:tab/>
    </w:r>
    <w:r w:rsidRPr="00350DA0">
      <w:rPr>
        <w:rFonts w:cs="Arial"/>
        <w:sz w:val="16"/>
        <w:szCs w:val="16"/>
      </w:rPr>
      <w:t xml:space="preserve">Page </w:t>
    </w:r>
    <w:r w:rsidRPr="00350DA0">
      <w:rPr>
        <w:rFonts w:cs="Arial"/>
        <w:sz w:val="16"/>
        <w:szCs w:val="16"/>
      </w:rPr>
      <w:fldChar w:fldCharType="begin"/>
    </w:r>
    <w:r w:rsidRPr="00350DA0">
      <w:rPr>
        <w:rFonts w:cs="Arial"/>
        <w:sz w:val="16"/>
        <w:szCs w:val="16"/>
      </w:rPr>
      <w:instrText xml:space="preserve"> PAGE   \* MERGEFORMAT </w:instrText>
    </w:r>
    <w:r w:rsidRPr="00350DA0">
      <w:rPr>
        <w:rFonts w:cs="Arial"/>
        <w:sz w:val="16"/>
        <w:szCs w:val="16"/>
      </w:rPr>
      <w:fldChar w:fldCharType="separate"/>
    </w:r>
    <w:r w:rsidR="00A26558">
      <w:rPr>
        <w:rFonts w:cs="Arial"/>
        <w:noProof/>
        <w:sz w:val="16"/>
        <w:szCs w:val="16"/>
      </w:rPr>
      <w:t>19</w:t>
    </w:r>
    <w:r w:rsidRPr="00350DA0">
      <w:rPr>
        <w:rFonts w:cs="Arial"/>
        <w:sz w:val="16"/>
        <w:szCs w:val="16"/>
      </w:rPr>
      <w:fldChar w:fldCharType="end"/>
    </w:r>
    <w:r w:rsidRPr="00350DA0">
      <w:rPr>
        <w:rFonts w:cs="Arial"/>
        <w:sz w:val="16"/>
        <w:szCs w:val="16"/>
      </w:rPr>
      <w:t xml:space="preserve"> of </w:t>
    </w:r>
    <w:r w:rsidR="00A26558">
      <w:fldChar w:fldCharType="begin"/>
    </w:r>
    <w:r w:rsidR="00A26558">
      <w:instrText xml:space="preserve"> NUMPAGES   \* MERGEFORMAT </w:instrText>
    </w:r>
    <w:r w:rsidR="00A26558">
      <w:fldChar w:fldCharType="separate"/>
    </w:r>
    <w:r w:rsidR="00A26558" w:rsidRPr="00A26558">
      <w:rPr>
        <w:rFonts w:cs="Arial"/>
        <w:noProof/>
        <w:sz w:val="16"/>
        <w:szCs w:val="16"/>
      </w:rPr>
      <w:t>22</w:t>
    </w:r>
    <w:r w:rsidR="00A26558">
      <w:rPr>
        <w:rFonts w:cs="Arial"/>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7B31" w14:textId="77777777" w:rsidR="00113EEC" w:rsidRPr="00E078CA" w:rsidRDefault="00113EEC" w:rsidP="00E078CA">
    <w:pPr>
      <w:pStyle w:val="Footer"/>
      <w:tabs>
        <w:tab w:val="clear" w:pos="4763"/>
        <w:tab w:val="clear" w:pos="9497"/>
        <w:tab w:val="center" w:pos="6960"/>
        <w:tab w:val="right" w:pos="13940"/>
      </w:tabs>
    </w:pPr>
    <w:bookmarkStart w:id="79" w:name="bmkDocRef2_3"/>
    <w:r>
      <w:t>ICT/021473-00074/JEC/SP44</w:t>
    </w:r>
    <w:bookmarkEnd w:id="79"/>
    <w:r w:rsidRPr="00E078CA">
      <w:t xml:space="preserve">  </w:t>
    </w:r>
    <w:bookmarkStart w:id="80" w:name="bmkAsset2_3"/>
    <w:r>
      <w:t>PJJS(LDN7W22453)</w:t>
    </w:r>
    <w:bookmarkEnd w:id="80"/>
    <w:r>
      <w:rPr>
        <w:sz w:val="20"/>
      </w:rPr>
      <w:tab/>
    </w:r>
    <w:r>
      <w:rPr>
        <w:sz w:val="20"/>
      </w:rPr>
      <w:fldChar w:fldCharType="begin"/>
    </w:r>
    <w:r>
      <w:rPr>
        <w:sz w:val="20"/>
      </w:rPr>
      <w:instrText xml:space="preserve"> PAGE  \* MERGEFORMAT </w:instrText>
    </w:r>
    <w:r>
      <w:rPr>
        <w:sz w:val="20"/>
      </w:rPr>
      <w:fldChar w:fldCharType="separate"/>
    </w:r>
    <w:r>
      <w:rPr>
        <w:noProof/>
        <w:sz w:val="20"/>
      </w:rPr>
      <w:t>18</w:t>
    </w:r>
    <w:r>
      <w:rPr>
        <w:sz w:val="20"/>
      </w:rPr>
      <w:fldChar w:fldCharType="end"/>
    </w:r>
    <w:r w:rsidRPr="00E078CA">
      <w:tab/>
    </w:r>
    <w:bookmarkStart w:id="81" w:name="bmkDocID2_3"/>
    <w:r>
      <w:t>L_LIVE_EMEA1:24120861v2</w:t>
    </w:r>
    <w:bookmarkEnd w:id="81"/>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7B32" w14:textId="576D2C0D" w:rsidR="00113EEC" w:rsidRPr="00970E90" w:rsidRDefault="00113EEC" w:rsidP="001964D7">
    <w:pPr>
      <w:pStyle w:val="Footer"/>
      <w:tabs>
        <w:tab w:val="clear" w:pos="4763"/>
        <w:tab w:val="center" w:pos="4500"/>
        <w:tab w:val="center" w:pos="6946"/>
        <w:tab w:val="right" w:pos="9020"/>
      </w:tabs>
      <w:rPr>
        <w:rFonts w:cs="Arial"/>
        <w:sz w:val="16"/>
        <w:szCs w:val="16"/>
      </w:rPr>
    </w:pPr>
    <w:r>
      <w:rPr>
        <w:rFonts w:cs="Arial"/>
        <w:sz w:val="16"/>
        <w:szCs w:val="16"/>
      </w:rPr>
      <w:t>TfL</w:t>
    </w:r>
    <w:r w:rsidRPr="00350DA0">
      <w:rPr>
        <w:rFonts w:cs="Arial"/>
        <w:sz w:val="16"/>
        <w:szCs w:val="16"/>
      </w:rPr>
      <w:t>_scp_000996</w:t>
    </w:r>
    <w:r>
      <w:rPr>
        <w:rFonts w:cs="Arial"/>
        <w:sz w:val="16"/>
        <w:szCs w:val="16"/>
      </w:rPr>
      <w:tab/>
    </w:r>
    <w:r>
      <w:rPr>
        <w:rFonts w:cs="Arial"/>
        <w:i/>
        <w:iCs/>
        <w:sz w:val="16"/>
        <w:szCs w:val="16"/>
      </w:rPr>
      <w:tab/>
    </w:r>
    <w:r w:rsidRPr="00350DA0">
      <w:rPr>
        <w:rFonts w:cs="Arial"/>
        <w:sz w:val="16"/>
        <w:szCs w:val="16"/>
      </w:rPr>
      <w:t xml:space="preserve">Page </w:t>
    </w:r>
    <w:r w:rsidRPr="00350DA0">
      <w:rPr>
        <w:rFonts w:cs="Arial"/>
        <w:sz w:val="16"/>
        <w:szCs w:val="16"/>
      </w:rPr>
      <w:fldChar w:fldCharType="begin"/>
    </w:r>
    <w:r w:rsidRPr="00350DA0">
      <w:rPr>
        <w:rFonts w:cs="Arial"/>
        <w:sz w:val="16"/>
        <w:szCs w:val="16"/>
      </w:rPr>
      <w:instrText xml:space="preserve"> PAGE   \* MERGEFORMAT </w:instrText>
    </w:r>
    <w:r w:rsidRPr="00350DA0">
      <w:rPr>
        <w:rFonts w:cs="Arial"/>
        <w:sz w:val="16"/>
        <w:szCs w:val="16"/>
      </w:rPr>
      <w:fldChar w:fldCharType="separate"/>
    </w:r>
    <w:r w:rsidR="00A26558">
      <w:rPr>
        <w:rFonts w:cs="Arial"/>
        <w:noProof/>
        <w:sz w:val="16"/>
        <w:szCs w:val="16"/>
      </w:rPr>
      <w:t>20</w:t>
    </w:r>
    <w:r w:rsidRPr="00350DA0">
      <w:rPr>
        <w:rFonts w:cs="Arial"/>
        <w:sz w:val="16"/>
        <w:szCs w:val="16"/>
      </w:rPr>
      <w:fldChar w:fldCharType="end"/>
    </w:r>
    <w:r w:rsidRPr="00350DA0">
      <w:rPr>
        <w:rFonts w:cs="Arial"/>
        <w:sz w:val="16"/>
        <w:szCs w:val="16"/>
      </w:rPr>
      <w:t xml:space="preserve"> of </w:t>
    </w:r>
    <w:r w:rsidR="00A26558">
      <w:fldChar w:fldCharType="begin"/>
    </w:r>
    <w:r w:rsidR="00A26558">
      <w:instrText xml:space="preserve"> NUMPAGES   \* MERGEFORMAT </w:instrText>
    </w:r>
    <w:r w:rsidR="00A26558">
      <w:fldChar w:fldCharType="separate"/>
    </w:r>
    <w:r w:rsidR="00A26558" w:rsidRPr="00A26558">
      <w:rPr>
        <w:rFonts w:cs="Arial"/>
        <w:noProof/>
        <w:sz w:val="16"/>
        <w:szCs w:val="16"/>
      </w:rPr>
      <w:t>21</w:t>
    </w:r>
    <w:r w:rsidR="00A26558">
      <w:rPr>
        <w:rFonts w:cs="Arial"/>
        <w:noProof/>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7B33" w14:textId="77777777" w:rsidR="00113EEC" w:rsidRPr="00E078CA" w:rsidRDefault="00113EEC" w:rsidP="00E078CA">
    <w:pPr>
      <w:pStyle w:val="Footer"/>
      <w:tabs>
        <w:tab w:val="clear" w:pos="4763"/>
        <w:tab w:val="clear" w:pos="9497"/>
        <w:tab w:val="center" w:pos="6960"/>
        <w:tab w:val="right" w:pos="13940"/>
      </w:tabs>
    </w:pPr>
    <w:bookmarkStart w:id="82" w:name="bmkDocRef2_2"/>
    <w:r>
      <w:t>ICT/021473-00074/JEC/SP44</w:t>
    </w:r>
    <w:bookmarkEnd w:id="82"/>
    <w:r w:rsidRPr="00E078CA">
      <w:t xml:space="preserve">  </w:t>
    </w:r>
    <w:bookmarkStart w:id="83" w:name="bmkAsset2_2"/>
    <w:r>
      <w:t>PJJS(LDN7W22453)</w:t>
    </w:r>
    <w:bookmarkEnd w:id="83"/>
    <w:r>
      <w:rPr>
        <w:sz w:val="20"/>
      </w:rPr>
      <w:tab/>
    </w:r>
    <w:r>
      <w:rPr>
        <w:sz w:val="20"/>
      </w:rPr>
      <w:fldChar w:fldCharType="begin"/>
    </w:r>
    <w:r>
      <w:rPr>
        <w:sz w:val="20"/>
      </w:rPr>
      <w:instrText xml:space="preserve"> PAGE  \* MERGEFORMAT </w:instrText>
    </w:r>
    <w:r>
      <w:rPr>
        <w:sz w:val="20"/>
      </w:rPr>
      <w:fldChar w:fldCharType="separate"/>
    </w:r>
    <w:r>
      <w:rPr>
        <w:noProof/>
        <w:sz w:val="20"/>
      </w:rPr>
      <w:t>18</w:t>
    </w:r>
    <w:r>
      <w:rPr>
        <w:sz w:val="20"/>
      </w:rPr>
      <w:fldChar w:fldCharType="end"/>
    </w:r>
    <w:r w:rsidRPr="00E078CA">
      <w:tab/>
    </w:r>
    <w:bookmarkStart w:id="84" w:name="bmkDocID2_2"/>
    <w:r>
      <w:t>L_LIVE_EMEA1:24120861v2</w:t>
    </w:r>
    <w:bookmarkEnd w:id="8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7B34" w14:textId="77777777" w:rsidR="00113EEC" w:rsidRPr="00E078CA" w:rsidRDefault="00113EEC" w:rsidP="00E078CA">
    <w:pPr>
      <w:pStyle w:val="Footer"/>
      <w:tabs>
        <w:tab w:val="clear" w:pos="4763"/>
        <w:tab w:val="clear" w:pos="9497"/>
        <w:tab w:val="center" w:pos="4500"/>
        <w:tab w:val="right" w:pos="9020"/>
      </w:tabs>
    </w:pPr>
    <w:bookmarkStart w:id="85" w:name="bmkDocRef3_3"/>
    <w:r>
      <w:t>ICT/021473-00074/JEC/SP44</w:t>
    </w:r>
    <w:bookmarkEnd w:id="85"/>
    <w:r w:rsidRPr="00E078CA">
      <w:t xml:space="preserve">  </w:t>
    </w:r>
    <w:bookmarkStart w:id="86" w:name="bmkAsset3_3"/>
    <w:r>
      <w:t>PJJS(LDN7W22453)</w:t>
    </w:r>
    <w:bookmarkEnd w:id="86"/>
    <w:r>
      <w:rPr>
        <w:sz w:val="20"/>
      </w:rPr>
      <w:tab/>
    </w:r>
    <w:r>
      <w:rPr>
        <w:sz w:val="20"/>
      </w:rPr>
      <w:fldChar w:fldCharType="begin"/>
    </w:r>
    <w:r>
      <w:rPr>
        <w:sz w:val="20"/>
      </w:rPr>
      <w:instrText xml:space="preserve"> PAGE  \* MERGEFORMAT </w:instrText>
    </w:r>
    <w:r>
      <w:rPr>
        <w:sz w:val="20"/>
      </w:rPr>
      <w:fldChar w:fldCharType="separate"/>
    </w:r>
    <w:r>
      <w:rPr>
        <w:noProof/>
        <w:sz w:val="20"/>
      </w:rPr>
      <w:t>19</w:t>
    </w:r>
    <w:r>
      <w:rPr>
        <w:sz w:val="20"/>
      </w:rPr>
      <w:fldChar w:fldCharType="end"/>
    </w:r>
    <w:r w:rsidRPr="00E078CA">
      <w:tab/>
    </w:r>
    <w:bookmarkStart w:id="87" w:name="bmkDocID3_3"/>
    <w:r>
      <w:t>L_LIVE_EMEA1:24120861v2</w:t>
    </w:r>
    <w:bookmarkEnd w:id="87"/>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7B35" w14:textId="0C35F400" w:rsidR="00113EEC" w:rsidRPr="00970E90" w:rsidRDefault="00113EEC" w:rsidP="00970E90">
    <w:pPr>
      <w:pStyle w:val="Footer"/>
      <w:tabs>
        <w:tab w:val="center" w:pos="4500"/>
        <w:tab w:val="right" w:pos="9020"/>
      </w:tabs>
      <w:rPr>
        <w:rFonts w:cs="Arial"/>
        <w:sz w:val="16"/>
        <w:szCs w:val="16"/>
      </w:rPr>
    </w:pPr>
    <w:r>
      <w:rPr>
        <w:rFonts w:cs="Arial"/>
        <w:sz w:val="16"/>
        <w:szCs w:val="16"/>
      </w:rPr>
      <w:t>T</w:t>
    </w:r>
    <w:r w:rsidRPr="00350DA0">
      <w:rPr>
        <w:rFonts w:cs="Arial"/>
        <w:sz w:val="16"/>
        <w:szCs w:val="16"/>
      </w:rPr>
      <w:t>f</w:t>
    </w:r>
    <w:r>
      <w:rPr>
        <w:rFonts w:cs="Arial"/>
        <w:sz w:val="16"/>
        <w:szCs w:val="16"/>
      </w:rPr>
      <w:t>L</w:t>
    </w:r>
    <w:r w:rsidRPr="00350DA0">
      <w:rPr>
        <w:rFonts w:cs="Arial"/>
        <w:sz w:val="16"/>
        <w:szCs w:val="16"/>
      </w:rPr>
      <w:t>_scp_000996</w:t>
    </w:r>
    <w:r w:rsidRPr="00350DA0">
      <w:rPr>
        <w:rFonts w:cs="Arial"/>
        <w:sz w:val="16"/>
        <w:szCs w:val="16"/>
      </w:rPr>
      <w:tab/>
    </w:r>
    <w:r w:rsidRPr="00350DA0">
      <w:rPr>
        <w:rFonts w:cs="Arial"/>
        <w:sz w:val="16"/>
        <w:szCs w:val="16"/>
      </w:rPr>
      <w:tab/>
      <w:t xml:space="preserve">Page </w:t>
    </w:r>
    <w:r w:rsidRPr="00350DA0">
      <w:rPr>
        <w:rFonts w:cs="Arial"/>
        <w:sz w:val="16"/>
        <w:szCs w:val="16"/>
      </w:rPr>
      <w:fldChar w:fldCharType="begin"/>
    </w:r>
    <w:r w:rsidRPr="00350DA0">
      <w:rPr>
        <w:rFonts w:cs="Arial"/>
        <w:sz w:val="16"/>
        <w:szCs w:val="16"/>
      </w:rPr>
      <w:instrText xml:space="preserve"> PAGE   \* MERGEFORMAT </w:instrText>
    </w:r>
    <w:r w:rsidRPr="00350DA0">
      <w:rPr>
        <w:rFonts w:cs="Arial"/>
        <w:sz w:val="16"/>
        <w:szCs w:val="16"/>
      </w:rPr>
      <w:fldChar w:fldCharType="separate"/>
    </w:r>
    <w:r w:rsidR="00A26558">
      <w:rPr>
        <w:rFonts w:cs="Arial"/>
        <w:noProof/>
        <w:sz w:val="16"/>
        <w:szCs w:val="16"/>
      </w:rPr>
      <w:t>21</w:t>
    </w:r>
    <w:r w:rsidRPr="00350DA0">
      <w:rPr>
        <w:rFonts w:cs="Arial"/>
        <w:sz w:val="16"/>
        <w:szCs w:val="16"/>
      </w:rPr>
      <w:fldChar w:fldCharType="end"/>
    </w:r>
    <w:r w:rsidRPr="00350DA0">
      <w:rPr>
        <w:rFonts w:cs="Arial"/>
        <w:sz w:val="16"/>
        <w:szCs w:val="16"/>
      </w:rPr>
      <w:t xml:space="preserve"> of </w:t>
    </w:r>
    <w:r w:rsidR="00A26558">
      <w:fldChar w:fldCharType="begin"/>
    </w:r>
    <w:r w:rsidR="00A26558">
      <w:instrText xml:space="preserve"> NUMPAGES   \* MERGEFORMAT </w:instrText>
    </w:r>
    <w:r w:rsidR="00A26558">
      <w:fldChar w:fldCharType="separate"/>
    </w:r>
    <w:r w:rsidR="00A26558" w:rsidRPr="00A26558">
      <w:rPr>
        <w:rFonts w:cs="Arial"/>
        <w:noProof/>
        <w:sz w:val="16"/>
        <w:szCs w:val="16"/>
      </w:rPr>
      <w:t>21</w:t>
    </w:r>
    <w:r w:rsidR="00A26558">
      <w:rPr>
        <w:rFonts w:cs="Arial"/>
        <w:noProof/>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7B36" w14:textId="77777777" w:rsidR="00113EEC" w:rsidRPr="00E078CA" w:rsidRDefault="00113EEC" w:rsidP="00E078CA">
    <w:pPr>
      <w:pStyle w:val="Footer"/>
      <w:tabs>
        <w:tab w:val="clear" w:pos="4763"/>
        <w:tab w:val="clear" w:pos="9497"/>
        <w:tab w:val="center" w:pos="4500"/>
        <w:tab w:val="right" w:pos="9020"/>
      </w:tabs>
    </w:pPr>
    <w:bookmarkStart w:id="88" w:name="bmkDocRef3_2"/>
    <w:r>
      <w:t>ICT/021473-00074/JEC/SP44</w:t>
    </w:r>
    <w:bookmarkEnd w:id="88"/>
    <w:r w:rsidRPr="00E078CA">
      <w:t xml:space="preserve">  </w:t>
    </w:r>
    <w:bookmarkStart w:id="89" w:name="bmkAsset3_2"/>
    <w:r>
      <w:t>PJJS(LDN7W22453)</w:t>
    </w:r>
    <w:bookmarkEnd w:id="89"/>
    <w:r>
      <w:rPr>
        <w:sz w:val="20"/>
      </w:rPr>
      <w:tab/>
    </w:r>
    <w:r>
      <w:rPr>
        <w:sz w:val="20"/>
      </w:rPr>
      <w:fldChar w:fldCharType="begin"/>
    </w:r>
    <w:r>
      <w:rPr>
        <w:sz w:val="20"/>
      </w:rPr>
      <w:instrText xml:space="preserve"> PAGE  \* MERGEFORMAT </w:instrText>
    </w:r>
    <w:r>
      <w:rPr>
        <w:sz w:val="20"/>
      </w:rPr>
      <w:fldChar w:fldCharType="separate"/>
    </w:r>
    <w:r>
      <w:rPr>
        <w:noProof/>
        <w:sz w:val="20"/>
      </w:rPr>
      <w:t>19</w:t>
    </w:r>
    <w:r>
      <w:rPr>
        <w:sz w:val="20"/>
      </w:rPr>
      <w:fldChar w:fldCharType="end"/>
    </w:r>
    <w:r w:rsidRPr="00E078CA">
      <w:tab/>
    </w:r>
    <w:bookmarkStart w:id="90" w:name="bmkDocID3_2"/>
    <w:r>
      <w:t>L_LIVE_EMEA1:24120861v2</w:t>
    </w:r>
    <w:bookmarkEnd w:id="9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C7B27" w14:textId="77777777" w:rsidR="00113EEC" w:rsidRDefault="00113EEC">
      <w:r>
        <w:separator/>
      </w:r>
    </w:p>
  </w:footnote>
  <w:footnote w:type="continuationSeparator" w:id="0">
    <w:p w14:paraId="6D9C7B28" w14:textId="77777777" w:rsidR="00113EEC" w:rsidRDefault="00113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0173"/>
    <w:multiLevelType w:val="multilevel"/>
    <w:tmpl w:val="BAF03238"/>
    <w:numStyleLink w:val="AppendixNumbering"/>
  </w:abstractNum>
  <w:abstractNum w:abstractNumId="1">
    <w:nsid w:val="0BCC3FC4"/>
    <w:multiLevelType w:val="hybridMultilevel"/>
    <w:tmpl w:val="A728517E"/>
    <w:lvl w:ilvl="0" w:tplc="A8DA54AE">
      <w:start w:val="1"/>
      <w:numFmt w:val="bullet"/>
      <w:pStyle w:val="TCMSsub"/>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E9ECC39A">
      <w:numFmt w:val="bullet"/>
      <w:lvlText w:val="-"/>
      <w:lvlJc w:val="left"/>
      <w:pPr>
        <w:tabs>
          <w:tab w:val="num" w:pos="2160"/>
        </w:tabs>
        <w:ind w:left="2160" w:hanging="360"/>
      </w:pPr>
      <w:rPr>
        <w:rFonts w:ascii="Arial" w:eastAsia="Times New Roman"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8B68AB"/>
    <w:multiLevelType w:val="multilevel"/>
    <w:tmpl w:val="969C74FC"/>
    <w:lvl w:ilvl="0">
      <w:start w:val="1"/>
      <w:numFmt w:val="decimal"/>
      <w:pStyle w:val="Level1"/>
      <w:lvlText w:val="%1."/>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decimal"/>
      <w:pStyle w:val="Level2"/>
      <w:lvlText w:val="%1.%2"/>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Level3"/>
      <w:lvlText w:val="%1.%2.%3"/>
      <w:lvlJc w:val="left"/>
      <w:pPr>
        <w:tabs>
          <w:tab w:val="num" w:pos="1843"/>
        </w:tabs>
        <w:ind w:left="1843" w:hanging="992"/>
      </w:pPr>
      <w:rPr>
        <w:rFonts w:hint="default"/>
        <w:b w:val="0"/>
        <w:i w:val="0"/>
        <w:color w:val="auto"/>
        <w:sz w:val="24"/>
        <w:szCs w:val="24"/>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nsid w:val="0E883861"/>
    <w:multiLevelType w:val="multilevel"/>
    <w:tmpl w:val="B1685828"/>
    <w:lvl w:ilvl="0">
      <w:start w:val="1"/>
      <w:numFmt w:val="decimal"/>
      <w:pStyle w:val="BodyText2"/>
      <w:lvlText w:val="%1"/>
      <w:lvlJc w:val="left"/>
      <w:pPr>
        <w:tabs>
          <w:tab w:val="num" w:pos="390"/>
        </w:tabs>
        <w:ind w:left="390" w:hanging="390"/>
      </w:pPr>
      <w:rPr>
        <w:rFonts w:hint="default"/>
      </w:rPr>
    </w:lvl>
    <w:lvl w:ilvl="1">
      <w:start w:val="2"/>
      <w:numFmt w:val="decimal"/>
      <w:pStyle w:val="TCMSsub2"/>
      <w:lvlText w:val="4.%2"/>
      <w:lvlJc w:val="left"/>
      <w:pPr>
        <w:tabs>
          <w:tab w:val="num" w:pos="720"/>
        </w:tabs>
        <w:ind w:left="720" w:hanging="720"/>
      </w:pPr>
      <w:rPr>
        <w:rFonts w:hint="default"/>
      </w:rPr>
    </w:lvl>
    <w:lvl w:ilvl="2">
      <w:start w:val="1"/>
      <w:numFmt w:val="decimal"/>
      <w:lvlRestart w:val="0"/>
      <w:lvlText w:val="4.5.%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16030FD"/>
    <w:multiLevelType w:val="multilevel"/>
    <w:tmpl w:val="5F022C78"/>
    <w:lvl w:ilvl="0">
      <w:start w:val="1"/>
      <w:numFmt w:val="decimal"/>
      <w:lvlText w:val="%1."/>
      <w:lvlJc w:val="left"/>
      <w:pPr>
        <w:tabs>
          <w:tab w:val="num" w:pos="851"/>
        </w:tabs>
        <w:ind w:left="851" w:hanging="851"/>
      </w:pPr>
      <w:rPr>
        <w:rFonts w:hint="default"/>
        <w:b/>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25"/>
        </w:tabs>
        <w:ind w:left="3125" w:hanging="1282"/>
      </w:pPr>
      <w:rPr>
        <w:rFonts w:hint="default"/>
        <w:b w:val="0"/>
        <w:i w:val="0"/>
        <w:u w:val="none"/>
      </w:rPr>
    </w:lvl>
    <w:lvl w:ilvl="4">
      <w:start w:val="1"/>
      <w:numFmt w:val="lowerRoman"/>
      <w:pStyle w:val="Level7"/>
      <w:lvlText w:val="(%5)"/>
      <w:lvlJc w:val="left"/>
      <w:pPr>
        <w:tabs>
          <w:tab w:val="num" w:pos="3119"/>
        </w:tabs>
        <w:ind w:left="3119" w:hanging="1276"/>
      </w:pPr>
      <w:rPr>
        <w:rFonts w:hint="default"/>
        <w:b w:val="0"/>
        <w:i w:val="0"/>
        <w:u w:val="none"/>
      </w:rPr>
    </w:lvl>
    <w:lvl w:ilvl="5">
      <w:start w:val="1"/>
      <w:numFmt w:val="lowerLetter"/>
      <w:lvlRestart w:val="2"/>
      <w:lvlText w:val="(%6)"/>
      <w:lvlJc w:val="left"/>
      <w:pPr>
        <w:tabs>
          <w:tab w:val="num" w:pos="1843"/>
        </w:tabs>
        <w:ind w:left="1843" w:hanging="993"/>
      </w:pPr>
      <w:rPr>
        <w:rFonts w:hint="default"/>
        <w:b w:val="0"/>
        <w:i w:val="0"/>
      </w:rPr>
    </w:lvl>
    <w:lvl w:ilvl="6">
      <w:start w:val="1"/>
      <w:numFmt w:val="lowerLetter"/>
      <w:lvlRestart w:val="3"/>
      <w:lvlText w:val="(%7)"/>
      <w:lvlJc w:val="left"/>
      <w:pPr>
        <w:tabs>
          <w:tab w:val="num" w:pos="3125"/>
        </w:tabs>
        <w:ind w:left="3125" w:hanging="1282"/>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nsid w:val="159B177C"/>
    <w:multiLevelType w:val="multilevel"/>
    <w:tmpl w:val="D2C427FE"/>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nsid w:val="1AA4495E"/>
    <w:multiLevelType w:val="multilevel"/>
    <w:tmpl w:val="57DAADD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0">
    <w:nsid w:val="28C54ACB"/>
    <w:multiLevelType w:val="multilevel"/>
    <w:tmpl w:val="12E08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3BF51EB"/>
    <w:multiLevelType w:val="hybridMultilevel"/>
    <w:tmpl w:val="C96CBD26"/>
    <w:lvl w:ilvl="0" w:tplc="0AE424CE">
      <w:start w:val="1"/>
      <w:numFmt w:val="lowerRoman"/>
      <w:pStyle w:val="Bulleti"/>
      <w:lvlText w:val="%1"/>
      <w:lvlJc w:val="left"/>
      <w:pPr>
        <w:tabs>
          <w:tab w:val="num" w:pos="1928"/>
        </w:tabs>
        <w:ind w:left="1928" w:hanging="964"/>
      </w:pPr>
      <w:rPr>
        <w:rFonts w:hint="default"/>
      </w:rPr>
    </w:lvl>
    <w:lvl w:ilvl="1" w:tplc="39A6272C">
      <w:start w:val="1"/>
      <w:numFmt w:val="lowerLetter"/>
      <w:lvlText w:val="%2."/>
      <w:lvlJc w:val="left"/>
      <w:pPr>
        <w:tabs>
          <w:tab w:val="num" w:pos="1440"/>
        </w:tabs>
        <w:ind w:left="1440" w:hanging="360"/>
      </w:pPr>
    </w:lvl>
    <w:lvl w:ilvl="2" w:tplc="2A88065A">
      <w:start w:val="1"/>
      <w:numFmt w:val="lowerRoman"/>
      <w:lvlText w:val="%3."/>
      <w:lvlJc w:val="right"/>
      <w:pPr>
        <w:tabs>
          <w:tab w:val="num" w:pos="2160"/>
        </w:tabs>
        <w:ind w:left="2160" w:hanging="180"/>
      </w:pPr>
    </w:lvl>
    <w:lvl w:ilvl="3" w:tplc="096E3916">
      <w:start w:val="1"/>
      <w:numFmt w:val="decimal"/>
      <w:lvlText w:val="%4."/>
      <w:lvlJc w:val="left"/>
      <w:pPr>
        <w:tabs>
          <w:tab w:val="num" w:pos="2880"/>
        </w:tabs>
        <w:ind w:left="2880" w:hanging="360"/>
      </w:pPr>
    </w:lvl>
    <w:lvl w:ilvl="4" w:tplc="6EC87FEE">
      <w:start w:val="1"/>
      <w:numFmt w:val="lowerLetter"/>
      <w:lvlText w:val="%5."/>
      <w:lvlJc w:val="left"/>
      <w:pPr>
        <w:tabs>
          <w:tab w:val="num" w:pos="3600"/>
        </w:tabs>
        <w:ind w:left="3600" w:hanging="360"/>
      </w:pPr>
    </w:lvl>
    <w:lvl w:ilvl="5" w:tplc="6C16EFA8" w:tentative="1">
      <w:start w:val="1"/>
      <w:numFmt w:val="lowerRoman"/>
      <w:lvlText w:val="%6."/>
      <w:lvlJc w:val="right"/>
      <w:pPr>
        <w:tabs>
          <w:tab w:val="num" w:pos="4320"/>
        </w:tabs>
        <w:ind w:left="4320" w:hanging="180"/>
      </w:pPr>
    </w:lvl>
    <w:lvl w:ilvl="6" w:tplc="BECC33CC" w:tentative="1">
      <w:start w:val="1"/>
      <w:numFmt w:val="decimal"/>
      <w:lvlText w:val="%7."/>
      <w:lvlJc w:val="left"/>
      <w:pPr>
        <w:tabs>
          <w:tab w:val="num" w:pos="5040"/>
        </w:tabs>
        <w:ind w:left="5040" w:hanging="360"/>
      </w:pPr>
    </w:lvl>
    <w:lvl w:ilvl="7" w:tplc="7E82ABA0" w:tentative="1">
      <w:start w:val="1"/>
      <w:numFmt w:val="lowerLetter"/>
      <w:lvlText w:val="%8."/>
      <w:lvlJc w:val="left"/>
      <w:pPr>
        <w:tabs>
          <w:tab w:val="num" w:pos="5760"/>
        </w:tabs>
        <w:ind w:left="5760" w:hanging="360"/>
      </w:pPr>
    </w:lvl>
    <w:lvl w:ilvl="8" w:tplc="A65A4142" w:tentative="1">
      <w:start w:val="1"/>
      <w:numFmt w:val="lowerRoman"/>
      <w:lvlText w:val="%9."/>
      <w:lvlJc w:val="right"/>
      <w:pPr>
        <w:tabs>
          <w:tab w:val="num" w:pos="6480"/>
        </w:tabs>
        <w:ind w:left="6480" w:hanging="180"/>
      </w:pPr>
    </w:lvl>
  </w:abstractNum>
  <w:abstractNum w:abstractNumId="1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4">
    <w:nsid w:val="39204435"/>
    <w:multiLevelType w:val="singleLevel"/>
    <w:tmpl w:val="04090001"/>
    <w:name w:val="BankingDef"/>
    <w:lvl w:ilvl="0">
      <w:start w:val="1"/>
      <w:numFmt w:val="bullet"/>
      <w:lvlText w:val=""/>
      <w:lvlJc w:val="left"/>
      <w:pPr>
        <w:tabs>
          <w:tab w:val="num" w:pos="720"/>
        </w:tabs>
        <w:ind w:left="720" w:hanging="360"/>
      </w:pPr>
      <w:rPr>
        <w:rFonts w:ascii="Symbol" w:hAnsi="Symbol" w:hint="default"/>
      </w:rPr>
    </w:lvl>
  </w:abstractNum>
  <w:abstractNum w:abstractNumId="15">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1121C39"/>
    <w:multiLevelType w:val="multilevel"/>
    <w:tmpl w:val="35487604"/>
    <w:lvl w:ilvl="0">
      <w:start w:val="5"/>
      <w:numFmt w:val="decimal"/>
      <w:lvlText w:val="%1."/>
      <w:lvlJc w:val="left"/>
      <w:pPr>
        <w:tabs>
          <w:tab w:val="num" w:pos="1210"/>
        </w:tabs>
        <w:ind w:left="1210" w:hanging="360"/>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14541EF"/>
    <w:multiLevelType w:val="multilevel"/>
    <w:tmpl w:val="43DCD2B0"/>
    <w:lvl w:ilvl="0">
      <w:start w:val="1"/>
      <w:numFmt w:val="decimal"/>
      <w:pStyle w:val="NumHead"/>
      <w:lvlText w:val="%1"/>
      <w:lvlJc w:val="left"/>
      <w:pPr>
        <w:tabs>
          <w:tab w:val="num" w:pos="0"/>
        </w:tabs>
        <w:ind w:left="0" w:hanging="567"/>
      </w:pPr>
    </w:lvl>
    <w:lvl w:ilvl="1">
      <w:start w:val="1"/>
      <w:numFmt w:val="decimal"/>
      <w:pStyle w:val="NumText"/>
      <w:lvlText w:val="%1.%2."/>
      <w:lvlJc w:val="left"/>
      <w:pPr>
        <w:tabs>
          <w:tab w:val="num" w:pos="0"/>
        </w:tabs>
        <w:ind w:left="0" w:hanging="567"/>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6120"/>
        </w:tabs>
        <w:ind w:left="2736" w:hanging="936"/>
      </w:pPr>
    </w:lvl>
    <w:lvl w:ilvl="6">
      <w:start w:val="1"/>
      <w:numFmt w:val="decimal"/>
      <w:lvlText w:val="%1.%2.%3.%4.%5.%6.%7."/>
      <w:lvlJc w:val="left"/>
      <w:pPr>
        <w:tabs>
          <w:tab w:val="num" w:pos="7200"/>
        </w:tabs>
        <w:ind w:left="3240" w:hanging="1080"/>
      </w:pPr>
    </w:lvl>
    <w:lvl w:ilvl="7">
      <w:start w:val="1"/>
      <w:numFmt w:val="decimal"/>
      <w:lvlText w:val="%1.%2.%3.%4.%5.%6.%7.%8."/>
      <w:lvlJc w:val="left"/>
      <w:pPr>
        <w:tabs>
          <w:tab w:val="num" w:pos="8280"/>
        </w:tabs>
        <w:ind w:left="3744" w:hanging="1224"/>
      </w:pPr>
    </w:lvl>
    <w:lvl w:ilvl="8">
      <w:start w:val="1"/>
      <w:numFmt w:val="decimal"/>
      <w:lvlText w:val="%1.%2.%3.%4.%5.%6.%7.%8.%9."/>
      <w:lvlJc w:val="left"/>
      <w:pPr>
        <w:tabs>
          <w:tab w:val="num" w:pos="9360"/>
        </w:tabs>
        <w:ind w:left="4320" w:hanging="1440"/>
      </w:pPr>
    </w:lvl>
  </w:abstractNum>
  <w:abstractNum w:abstractNumId="18">
    <w:nsid w:val="4185586C"/>
    <w:multiLevelType w:val="multilevel"/>
    <w:tmpl w:val="D2C427FE"/>
    <w:numStyleLink w:val="ExhibitNumbering"/>
  </w:abstractNum>
  <w:abstractNum w:abstractNumId="19">
    <w:nsid w:val="4400737D"/>
    <w:multiLevelType w:val="multilevel"/>
    <w:tmpl w:val="C8D6362C"/>
    <w:numStyleLink w:val="ListHeadings"/>
  </w:abstractNum>
  <w:abstractNum w:abstractNumId="20">
    <w:nsid w:val="464E539F"/>
    <w:multiLevelType w:val="multilevel"/>
    <w:tmpl w:val="BAF03238"/>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C6C5BD3"/>
    <w:multiLevelType w:val="hybridMultilevel"/>
    <w:tmpl w:val="0128B1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3">
    <w:nsid w:val="6D8E29CB"/>
    <w:multiLevelType w:val="multilevel"/>
    <w:tmpl w:val="06E2487A"/>
    <w:numStyleLink w:val="ScheduleNumbering"/>
  </w:abstractNum>
  <w:abstractNum w:abstractNumId="24">
    <w:nsid w:val="6DC023DB"/>
    <w:multiLevelType w:val="multilevel"/>
    <w:tmpl w:val="57DAADD8"/>
    <w:numStyleLink w:val="PartNumbering"/>
  </w:abstractNum>
  <w:abstractNum w:abstractNumId="25">
    <w:nsid w:val="752B37AC"/>
    <w:multiLevelType w:val="multilevel"/>
    <w:tmpl w:val="F5D807EE"/>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26">
    <w:nsid w:val="7B9D102E"/>
    <w:multiLevelType w:val="singleLevel"/>
    <w:tmpl w:val="DD384FF2"/>
    <w:lvl w:ilvl="0">
      <w:start w:val="1"/>
      <w:numFmt w:val="upperLetter"/>
      <w:pStyle w:val="Background"/>
      <w:lvlText w:val="%1."/>
      <w:lvlJc w:val="left"/>
      <w:pPr>
        <w:tabs>
          <w:tab w:val="num" w:pos="851"/>
        </w:tabs>
        <w:ind w:left="851" w:hanging="851"/>
      </w:pPr>
      <w:rPr>
        <w:rFonts w:hint="default"/>
      </w:rPr>
    </w:lvl>
  </w:abstractNum>
  <w:num w:numId="1">
    <w:abstractNumId w:val="26"/>
  </w:num>
  <w:num w:numId="2">
    <w:abstractNumId w:val="22"/>
  </w:num>
  <w:num w:numId="3">
    <w:abstractNumId w:val="7"/>
  </w:num>
  <w:num w:numId="4">
    <w:abstractNumId w:val="13"/>
  </w:num>
  <w:num w:numId="5">
    <w:abstractNumId w:val="5"/>
  </w:num>
  <w:num w:numId="6">
    <w:abstractNumId w:val="9"/>
  </w:num>
  <w:num w:numId="7">
    <w:abstractNumId w:val="16"/>
  </w:num>
  <w:num w:numId="8">
    <w:abstractNumId w:val="3"/>
  </w:num>
  <w:num w:numId="9">
    <w:abstractNumId w:val="12"/>
  </w:num>
  <w:num w:numId="10">
    <w:abstractNumId w:val="4"/>
  </w:num>
  <w:num w:numId="11">
    <w:abstractNumId w:val="2"/>
  </w:num>
  <w:num w:numId="12">
    <w:abstractNumId w:val="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19"/>
  </w:num>
  <w:num w:numId="17">
    <w:abstractNumId w:val="20"/>
  </w:num>
  <w:num w:numId="18">
    <w:abstractNumId w:val="6"/>
  </w:num>
  <w:num w:numId="19">
    <w:abstractNumId w:val="8"/>
  </w:num>
  <w:num w:numId="20">
    <w:abstractNumId w:val="15"/>
  </w:num>
  <w:num w:numId="21">
    <w:abstractNumId w:val="24"/>
  </w:num>
  <w:num w:numId="22">
    <w:abstractNumId w:val="21"/>
  </w:num>
  <w:num w:numId="23">
    <w:abstractNumId w:val="0"/>
  </w:num>
  <w:num w:numId="24">
    <w:abstractNumId w:val="18"/>
  </w:num>
  <w:num w:numId="25">
    <w:abstractNumId w:val="23"/>
  </w:num>
  <w:num w:numId="2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doNotHyphenateCaps/>
  <w:drawingGridHorizontalSpacing w:val="110"/>
  <w:drawingGridVerticalSpacing w:val="136"/>
  <w:displayHorizontalDrawingGridEvery w:val="2"/>
  <w:displayVertic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docVars>
    <w:docVar w:name="ChkLevel3" w:val="False"/>
    <w:docVar w:name="ChkSched" w:val="True"/>
    <w:docVar w:name="NextRef" w:val=" 760"/>
    <w:docVar w:name="TMS_TEMPLATE_ID" w:val="StyleFormal"/>
  </w:docVars>
  <w:rsids>
    <w:rsidRoot w:val="000F7BFE"/>
    <w:rsid w:val="000000E9"/>
    <w:rsid w:val="0000066E"/>
    <w:rsid w:val="00001595"/>
    <w:rsid w:val="00001701"/>
    <w:rsid w:val="0000346E"/>
    <w:rsid w:val="000038F5"/>
    <w:rsid w:val="00004254"/>
    <w:rsid w:val="00004B1C"/>
    <w:rsid w:val="00006640"/>
    <w:rsid w:val="0001010E"/>
    <w:rsid w:val="00012760"/>
    <w:rsid w:val="00014115"/>
    <w:rsid w:val="000141D6"/>
    <w:rsid w:val="000144E6"/>
    <w:rsid w:val="000148F1"/>
    <w:rsid w:val="00015E26"/>
    <w:rsid w:val="00015F0B"/>
    <w:rsid w:val="00017EDA"/>
    <w:rsid w:val="000201DF"/>
    <w:rsid w:val="000203B9"/>
    <w:rsid w:val="000205EA"/>
    <w:rsid w:val="00021ED7"/>
    <w:rsid w:val="00024B9A"/>
    <w:rsid w:val="000257A9"/>
    <w:rsid w:val="000260CC"/>
    <w:rsid w:val="000307C9"/>
    <w:rsid w:val="000309DE"/>
    <w:rsid w:val="00032B1D"/>
    <w:rsid w:val="0003305E"/>
    <w:rsid w:val="000334AA"/>
    <w:rsid w:val="000373FE"/>
    <w:rsid w:val="00037E6A"/>
    <w:rsid w:val="00041464"/>
    <w:rsid w:val="0004389C"/>
    <w:rsid w:val="00043CA9"/>
    <w:rsid w:val="000441B0"/>
    <w:rsid w:val="0004556D"/>
    <w:rsid w:val="000474E7"/>
    <w:rsid w:val="000502F3"/>
    <w:rsid w:val="000508C3"/>
    <w:rsid w:val="00053F6C"/>
    <w:rsid w:val="000555A7"/>
    <w:rsid w:val="00057E9C"/>
    <w:rsid w:val="00060F17"/>
    <w:rsid w:val="00061416"/>
    <w:rsid w:val="00062342"/>
    <w:rsid w:val="000626AF"/>
    <w:rsid w:val="0006272F"/>
    <w:rsid w:val="00062CD3"/>
    <w:rsid w:val="0006315A"/>
    <w:rsid w:val="000645ED"/>
    <w:rsid w:val="000646E6"/>
    <w:rsid w:val="000656D8"/>
    <w:rsid w:val="000676CB"/>
    <w:rsid w:val="00067E88"/>
    <w:rsid w:val="000708D6"/>
    <w:rsid w:val="00070956"/>
    <w:rsid w:val="00071778"/>
    <w:rsid w:val="00073B9E"/>
    <w:rsid w:val="00074571"/>
    <w:rsid w:val="00075A34"/>
    <w:rsid w:val="0007733F"/>
    <w:rsid w:val="00085564"/>
    <w:rsid w:val="000874E2"/>
    <w:rsid w:val="000877B8"/>
    <w:rsid w:val="00090EEB"/>
    <w:rsid w:val="00091819"/>
    <w:rsid w:val="0009233D"/>
    <w:rsid w:val="00092D00"/>
    <w:rsid w:val="000930C9"/>
    <w:rsid w:val="000940C8"/>
    <w:rsid w:val="00094EF1"/>
    <w:rsid w:val="00095D35"/>
    <w:rsid w:val="00097BE8"/>
    <w:rsid w:val="000A2660"/>
    <w:rsid w:val="000A310B"/>
    <w:rsid w:val="000A3130"/>
    <w:rsid w:val="000A32A0"/>
    <w:rsid w:val="000A4093"/>
    <w:rsid w:val="000A57B1"/>
    <w:rsid w:val="000A5EFC"/>
    <w:rsid w:val="000A71FC"/>
    <w:rsid w:val="000A7C74"/>
    <w:rsid w:val="000B0297"/>
    <w:rsid w:val="000B06F6"/>
    <w:rsid w:val="000B0BC9"/>
    <w:rsid w:val="000B16C9"/>
    <w:rsid w:val="000B1A7A"/>
    <w:rsid w:val="000B2192"/>
    <w:rsid w:val="000B2DB6"/>
    <w:rsid w:val="000B3234"/>
    <w:rsid w:val="000B4644"/>
    <w:rsid w:val="000B4C6A"/>
    <w:rsid w:val="000B4DD8"/>
    <w:rsid w:val="000B50D9"/>
    <w:rsid w:val="000B6B9D"/>
    <w:rsid w:val="000B7594"/>
    <w:rsid w:val="000C2555"/>
    <w:rsid w:val="000C2A4B"/>
    <w:rsid w:val="000C4948"/>
    <w:rsid w:val="000D0EB3"/>
    <w:rsid w:val="000D127D"/>
    <w:rsid w:val="000D1CAC"/>
    <w:rsid w:val="000D1E0D"/>
    <w:rsid w:val="000D1E84"/>
    <w:rsid w:val="000D285C"/>
    <w:rsid w:val="000D422A"/>
    <w:rsid w:val="000D4B13"/>
    <w:rsid w:val="000D5196"/>
    <w:rsid w:val="000D62FE"/>
    <w:rsid w:val="000E2153"/>
    <w:rsid w:val="000E23CC"/>
    <w:rsid w:val="000E5F57"/>
    <w:rsid w:val="000E6408"/>
    <w:rsid w:val="000E64F1"/>
    <w:rsid w:val="000F4DE6"/>
    <w:rsid w:val="000F6D56"/>
    <w:rsid w:val="000F6EAC"/>
    <w:rsid w:val="000F7BFE"/>
    <w:rsid w:val="00102053"/>
    <w:rsid w:val="0010320F"/>
    <w:rsid w:val="001043B0"/>
    <w:rsid w:val="001058AC"/>
    <w:rsid w:val="00106FBE"/>
    <w:rsid w:val="0010740F"/>
    <w:rsid w:val="00110295"/>
    <w:rsid w:val="00110E19"/>
    <w:rsid w:val="00111074"/>
    <w:rsid w:val="0011274F"/>
    <w:rsid w:val="00113126"/>
    <w:rsid w:val="00113EEC"/>
    <w:rsid w:val="00115A12"/>
    <w:rsid w:val="00115BE3"/>
    <w:rsid w:val="001166F5"/>
    <w:rsid w:val="00116C3F"/>
    <w:rsid w:val="001170C5"/>
    <w:rsid w:val="00117286"/>
    <w:rsid w:val="001205F0"/>
    <w:rsid w:val="00121A3C"/>
    <w:rsid w:val="00121A6F"/>
    <w:rsid w:val="00123359"/>
    <w:rsid w:val="00124FF3"/>
    <w:rsid w:val="00126540"/>
    <w:rsid w:val="00127744"/>
    <w:rsid w:val="001344C6"/>
    <w:rsid w:val="00134B6B"/>
    <w:rsid w:val="00135EF2"/>
    <w:rsid w:val="001422E8"/>
    <w:rsid w:val="00142E20"/>
    <w:rsid w:val="0014328C"/>
    <w:rsid w:val="001452A5"/>
    <w:rsid w:val="001463EE"/>
    <w:rsid w:val="001471F8"/>
    <w:rsid w:val="00150CF6"/>
    <w:rsid w:val="00150E1B"/>
    <w:rsid w:val="00151BFE"/>
    <w:rsid w:val="00154762"/>
    <w:rsid w:val="00156A75"/>
    <w:rsid w:val="00157409"/>
    <w:rsid w:val="0016254A"/>
    <w:rsid w:val="0016279A"/>
    <w:rsid w:val="001628F5"/>
    <w:rsid w:val="001645F8"/>
    <w:rsid w:val="00164894"/>
    <w:rsid w:val="00165048"/>
    <w:rsid w:val="00167678"/>
    <w:rsid w:val="0017371E"/>
    <w:rsid w:val="001760A3"/>
    <w:rsid w:val="0017783F"/>
    <w:rsid w:val="001824AE"/>
    <w:rsid w:val="00182509"/>
    <w:rsid w:val="001835C7"/>
    <w:rsid w:val="0018415A"/>
    <w:rsid w:val="00184560"/>
    <w:rsid w:val="001849E1"/>
    <w:rsid w:val="00184EFB"/>
    <w:rsid w:val="001865A5"/>
    <w:rsid w:val="001912B8"/>
    <w:rsid w:val="0019275A"/>
    <w:rsid w:val="00192F42"/>
    <w:rsid w:val="001937F0"/>
    <w:rsid w:val="00193B25"/>
    <w:rsid w:val="00195732"/>
    <w:rsid w:val="001964D7"/>
    <w:rsid w:val="0019693E"/>
    <w:rsid w:val="00197EF5"/>
    <w:rsid w:val="001A1552"/>
    <w:rsid w:val="001A16A1"/>
    <w:rsid w:val="001A1927"/>
    <w:rsid w:val="001A3C5A"/>
    <w:rsid w:val="001A49CD"/>
    <w:rsid w:val="001A4A17"/>
    <w:rsid w:val="001A74B0"/>
    <w:rsid w:val="001B0692"/>
    <w:rsid w:val="001B15AF"/>
    <w:rsid w:val="001B206C"/>
    <w:rsid w:val="001B220A"/>
    <w:rsid w:val="001B2A47"/>
    <w:rsid w:val="001B3685"/>
    <w:rsid w:val="001B4190"/>
    <w:rsid w:val="001B752A"/>
    <w:rsid w:val="001C0086"/>
    <w:rsid w:val="001C0BA1"/>
    <w:rsid w:val="001C27CF"/>
    <w:rsid w:val="001C3FFE"/>
    <w:rsid w:val="001D081B"/>
    <w:rsid w:val="001D1065"/>
    <w:rsid w:val="001D54C9"/>
    <w:rsid w:val="001D57D7"/>
    <w:rsid w:val="001D6FD8"/>
    <w:rsid w:val="001E0223"/>
    <w:rsid w:val="001E14D0"/>
    <w:rsid w:val="001E1B60"/>
    <w:rsid w:val="001E1C53"/>
    <w:rsid w:val="001E27E6"/>
    <w:rsid w:val="001E2D8E"/>
    <w:rsid w:val="001E62C9"/>
    <w:rsid w:val="001E7988"/>
    <w:rsid w:val="001F0AF8"/>
    <w:rsid w:val="001F16FB"/>
    <w:rsid w:val="001F215A"/>
    <w:rsid w:val="001F2C7E"/>
    <w:rsid w:val="001F6F84"/>
    <w:rsid w:val="00200246"/>
    <w:rsid w:val="00201134"/>
    <w:rsid w:val="00202A43"/>
    <w:rsid w:val="00202FE3"/>
    <w:rsid w:val="0020692D"/>
    <w:rsid w:val="00206CA9"/>
    <w:rsid w:val="00210169"/>
    <w:rsid w:val="0021049A"/>
    <w:rsid w:val="00212CD9"/>
    <w:rsid w:val="00213FDF"/>
    <w:rsid w:val="00216B4C"/>
    <w:rsid w:val="002205F1"/>
    <w:rsid w:val="00220B49"/>
    <w:rsid w:val="0022103D"/>
    <w:rsid w:val="00225F78"/>
    <w:rsid w:val="00231153"/>
    <w:rsid w:val="002317C4"/>
    <w:rsid w:val="002323EF"/>
    <w:rsid w:val="00232ECE"/>
    <w:rsid w:val="00234CFE"/>
    <w:rsid w:val="00235F42"/>
    <w:rsid w:val="00237571"/>
    <w:rsid w:val="00237A4B"/>
    <w:rsid w:val="00241198"/>
    <w:rsid w:val="002415B2"/>
    <w:rsid w:val="002417CD"/>
    <w:rsid w:val="00241FA7"/>
    <w:rsid w:val="002473A3"/>
    <w:rsid w:val="002474FE"/>
    <w:rsid w:val="002507F1"/>
    <w:rsid w:val="00251C09"/>
    <w:rsid w:val="00252248"/>
    <w:rsid w:val="00254D01"/>
    <w:rsid w:val="00255BB4"/>
    <w:rsid w:val="00257A28"/>
    <w:rsid w:val="0026103C"/>
    <w:rsid w:val="002616D5"/>
    <w:rsid w:val="00265045"/>
    <w:rsid w:val="00266756"/>
    <w:rsid w:val="0027050F"/>
    <w:rsid w:val="00270533"/>
    <w:rsid w:val="00273338"/>
    <w:rsid w:val="002734C4"/>
    <w:rsid w:val="00273A48"/>
    <w:rsid w:val="00274AED"/>
    <w:rsid w:val="002758D1"/>
    <w:rsid w:val="00275EDE"/>
    <w:rsid w:val="0028109F"/>
    <w:rsid w:val="00281BA0"/>
    <w:rsid w:val="00282DEA"/>
    <w:rsid w:val="002831D8"/>
    <w:rsid w:val="00283203"/>
    <w:rsid w:val="002961B9"/>
    <w:rsid w:val="002A18DC"/>
    <w:rsid w:val="002A47BD"/>
    <w:rsid w:val="002A496C"/>
    <w:rsid w:val="002A4C00"/>
    <w:rsid w:val="002A5250"/>
    <w:rsid w:val="002A57EA"/>
    <w:rsid w:val="002A7101"/>
    <w:rsid w:val="002B139A"/>
    <w:rsid w:val="002B14CC"/>
    <w:rsid w:val="002B1BA3"/>
    <w:rsid w:val="002B280E"/>
    <w:rsid w:val="002B48F3"/>
    <w:rsid w:val="002B5403"/>
    <w:rsid w:val="002B56C3"/>
    <w:rsid w:val="002B7250"/>
    <w:rsid w:val="002B773C"/>
    <w:rsid w:val="002C112A"/>
    <w:rsid w:val="002C1916"/>
    <w:rsid w:val="002C34AD"/>
    <w:rsid w:val="002C36F1"/>
    <w:rsid w:val="002C5A67"/>
    <w:rsid w:val="002C5FA7"/>
    <w:rsid w:val="002D0128"/>
    <w:rsid w:val="002D0353"/>
    <w:rsid w:val="002D05D5"/>
    <w:rsid w:val="002D05E3"/>
    <w:rsid w:val="002D0D4D"/>
    <w:rsid w:val="002D2034"/>
    <w:rsid w:val="002D236E"/>
    <w:rsid w:val="002D3485"/>
    <w:rsid w:val="002D357E"/>
    <w:rsid w:val="002D51E3"/>
    <w:rsid w:val="002D58E0"/>
    <w:rsid w:val="002D7E8D"/>
    <w:rsid w:val="002E1982"/>
    <w:rsid w:val="002E1CBA"/>
    <w:rsid w:val="002E1F99"/>
    <w:rsid w:val="002E2CF4"/>
    <w:rsid w:val="002E3779"/>
    <w:rsid w:val="002E391A"/>
    <w:rsid w:val="002E3E24"/>
    <w:rsid w:val="002E4BAB"/>
    <w:rsid w:val="002E4E5D"/>
    <w:rsid w:val="002E558C"/>
    <w:rsid w:val="002E5C90"/>
    <w:rsid w:val="002E5DFD"/>
    <w:rsid w:val="002E5F4F"/>
    <w:rsid w:val="002E6491"/>
    <w:rsid w:val="002E7221"/>
    <w:rsid w:val="002E7466"/>
    <w:rsid w:val="002F0B70"/>
    <w:rsid w:val="002F110E"/>
    <w:rsid w:val="002F5A7C"/>
    <w:rsid w:val="002F7A53"/>
    <w:rsid w:val="002F7DB4"/>
    <w:rsid w:val="00302109"/>
    <w:rsid w:val="00302226"/>
    <w:rsid w:val="00303500"/>
    <w:rsid w:val="00304704"/>
    <w:rsid w:val="00304E2F"/>
    <w:rsid w:val="00304F04"/>
    <w:rsid w:val="00306314"/>
    <w:rsid w:val="00306F5C"/>
    <w:rsid w:val="003102BE"/>
    <w:rsid w:val="00311FB2"/>
    <w:rsid w:val="00312047"/>
    <w:rsid w:val="003130BC"/>
    <w:rsid w:val="0031558C"/>
    <w:rsid w:val="00316A85"/>
    <w:rsid w:val="00316D85"/>
    <w:rsid w:val="00320DD3"/>
    <w:rsid w:val="0032238B"/>
    <w:rsid w:val="003226B2"/>
    <w:rsid w:val="00323770"/>
    <w:rsid w:val="003246B5"/>
    <w:rsid w:val="003249F0"/>
    <w:rsid w:val="00325E55"/>
    <w:rsid w:val="00326DDF"/>
    <w:rsid w:val="003273FF"/>
    <w:rsid w:val="00330741"/>
    <w:rsid w:val="00330DDD"/>
    <w:rsid w:val="003315F2"/>
    <w:rsid w:val="0033628A"/>
    <w:rsid w:val="003365A6"/>
    <w:rsid w:val="0033723F"/>
    <w:rsid w:val="00340A21"/>
    <w:rsid w:val="00340B64"/>
    <w:rsid w:val="00341640"/>
    <w:rsid w:val="003425EA"/>
    <w:rsid w:val="003433F7"/>
    <w:rsid w:val="0034499D"/>
    <w:rsid w:val="00346423"/>
    <w:rsid w:val="0035109B"/>
    <w:rsid w:val="00351783"/>
    <w:rsid w:val="00352002"/>
    <w:rsid w:val="003523B0"/>
    <w:rsid w:val="00352BE0"/>
    <w:rsid w:val="003531CC"/>
    <w:rsid w:val="0035401D"/>
    <w:rsid w:val="0035522D"/>
    <w:rsid w:val="00357918"/>
    <w:rsid w:val="00357B0C"/>
    <w:rsid w:val="0036148A"/>
    <w:rsid w:val="00364BFD"/>
    <w:rsid w:val="0036632F"/>
    <w:rsid w:val="00366EB6"/>
    <w:rsid w:val="0037137D"/>
    <w:rsid w:val="0037286F"/>
    <w:rsid w:val="0037320B"/>
    <w:rsid w:val="003776F4"/>
    <w:rsid w:val="0038213C"/>
    <w:rsid w:val="00384953"/>
    <w:rsid w:val="00385E08"/>
    <w:rsid w:val="00386396"/>
    <w:rsid w:val="003878BF"/>
    <w:rsid w:val="0039064B"/>
    <w:rsid w:val="003907B9"/>
    <w:rsid w:val="00391CA7"/>
    <w:rsid w:val="00391D41"/>
    <w:rsid w:val="003929F1"/>
    <w:rsid w:val="00392DB4"/>
    <w:rsid w:val="003934DA"/>
    <w:rsid w:val="00394A78"/>
    <w:rsid w:val="0039618E"/>
    <w:rsid w:val="0039642F"/>
    <w:rsid w:val="003966EE"/>
    <w:rsid w:val="00397668"/>
    <w:rsid w:val="003A0D59"/>
    <w:rsid w:val="003A18EF"/>
    <w:rsid w:val="003A1B9E"/>
    <w:rsid w:val="003A2057"/>
    <w:rsid w:val="003A2C84"/>
    <w:rsid w:val="003A3265"/>
    <w:rsid w:val="003A3E89"/>
    <w:rsid w:val="003A3F61"/>
    <w:rsid w:val="003A4D61"/>
    <w:rsid w:val="003A7B4C"/>
    <w:rsid w:val="003B0F99"/>
    <w:rsid w:val="003B11CA"/>
    <w:rsid w:val="003B1539"/>
    <w:rsid w:val="003B16C1"/>
    <w:rsid w:val="003B363E"/>
    <w:rsid w:val="003B366E"/>
    <w:rsid w:val="003B5A4F"/>
    <w:rsid w:val="003B5B86"/>
    <w:rsid w:val="003B5CD6"/>
    <w:rsid w:val="003B644D"/>
    <w:rsid w:val="003B6620"/>
    <w:rsid w:val="003B75B3"/>
    <w:rsid w:val="003B7835"/>
    <w:rsid w:val="003C1096"/>
    <w:rsid w:val="003C14E7"/>
    <w:rsid w:val="003C1518"/>
    <w:rsid w:val="003C1877"/>
    <w:rsid w:val="003C1EB0"/>
    <w:rsid w:val="003C26EA"/>
    <w:rsid w:val="003C405E"/>
    <w:rsid w:val="003C47DB"/>
    <w:rsid w:val="003C4BCD"/>
    <w:rsid w:val="003C5716"/>
    <w:rsid w:val="003C5A4F"/>
    <w:rsid w:val="003C6A92"/>
    <w:rsid w:val="003D0275"/>
    <w:rsid w:val="003D68CF"/>
    <w:rsid w:val="003D7607"/>
    <w:rsid w:val="003E0192"/>
    <w:rsid w:val="003E03AF"/>
    <w:rsid w:val="003E3206"/>
    <w:rsid w:val="003E6A21"/>
    <w:rsid w:val="003E6FF1"/>
    <w:rsid w:val="003E7B6C"/>
    <w:rsid w:val="003F03C8"/>
    <w:rsid w:val="003F3683"/>
    <w:rsid w:val="003F3837"/>
    <w:rsid w:val="003F45E2"/>
    <w:rsid w:val="003F5899"/>
    <w:rsid w:val="003F7DC1"/>
    <w:rsid w:val="00401F75"/>
    <w:rsid w:val="00401F9B"/>
    <w:rsid w:val="00402B6E"/>
    <w:rsid w:val="004046D9"/>
    <w:rsid w:val="004052AA"/>
    <w:rsid w:val="004065C5"/>
    <w:rsid w:val="004067AB"/>
    <w:rsid w:val="00407DB6"/>
    <w:rsid w:val="0041158A"/>
    <w:rsid w:val="0041282A"/>
    <w:rsid w:val="0041282C"/>
    <w:rsid w:val="004129FF"/>
    <w:rsid w:val="00412FA2"/>
    <w:rsid w:val="00413D23"/>
    <w:rsid w:val="00414259"/>
    <w:rsid w:val="004150BF"/>
    <w:rsid w:val="00415319"/>
    <w:rsid w:val="00417884"/>
    <w:rsid w:val="0042005E"/>
    <w:rsid w:val="004204CA"/>
    <w:rsid w:val="00420AE9"/>
    <w:rsid w:val="004218C7"/>
    <w:rsid w:val="00421D26"/>
    <w:rsid w:val="0042261C"/>
    <w:rsid w:val="0042448F"/>
    <w:rsid w:val="00424DCD"/>
    <w:rsid w:val="00425760"/>
    <w:rsid w:val="00425A98"/>
    <w:rsid w:val="004266FA"/>
    <w:rsid w:val="004303E0"/>
    <w:rsid w:val="00431243"/>
    <w:rsid w:val="004318E7"/>
    <w:rsid w:val="0043614D"/>
    <w:rsid w:val="00436F04"/>
    <w:rsid w:val="00437FD9"/>
    <w:rsid w:val="004436C6"/>
    <w:rsid w:val="004438B1"/>
    <w:rsid w:val="00445521"/>
    <w:rsid w:val="00445705"/>
    <w:rsid w:val="0044751E"/>
    <w:rsid w:val="004500E1"/>
    <w:rsid w:val="004504EA"/>
    <w:rsid w:val="00451F61"/>
    <w:rsid w:val="0045279F"/>
    <w:rsid w:val="004561D1"/>
    <w:rsid w:val="00456B69"/>
    <w:rsid w:val="00456D19"/>
    <w:rsid w:val="0046136D"/>
    <w:rsid w:val="00464AC2"/>
    <w:rsid w:val="0047098D"/>
    <w:rsid w:val="00470E52"/>
    <w:rsid w:val="004720BA"/>
    <w:rsid w:val="00473E96"/>
    <w:rsid w:val="00480687"/>
    <w:rsid w:val="004813F6"/>
    <w:rsid w:val="0048226E"/>
    <w:rsid w:val="00483290"/>
    <w:rsid w:val="00483DDF"/>
    <w:rsid w:val="00484189"/>
    <w:rsid w:val="00484F1A"/>
    <w:rsid w:val="004859BE"/>
    <w:rsid w:val="00486705"/>
    <w:rsid w:val="004873A0"/>
    <w:rsid w:val="0049170D"/>
    <w:rsid w:val="004921E6"/>
    <w:rsid w:val="0049266B"/>
    <w:rsid w:val="00494A35"/>
    <w:rsid w:val="004A0156"/>
    <w:rsid w:val="004A1CB3"/>
    <w:rsid w:val="004A1CE8"/>
    <w:rsid w:val="004A305A"/>
    <w:rsid w:val="004A35CF"/>
    <w:rsid w:val="004A3C62"/>
    <w:rsid w:val="004A50D6"/>
    <w:rsid w:val="004A561B"/>
    <w:rsid w:val="004A561E"/>
    <w:rsid w:val="004A63B2"/>
    <w:rsid w:val="004A7B19"/>
    <w:rsid w:val="004B0C71"/>
    <w:rsid w:val="004B1349"/>
    <w:rsid w:val="004B3AB4"/>
    <w:rsid w:val="004B4F98"/>
    <w:rsid w:val="004B519C"/>
    <w:rsid w:val="004B5751"/>
    <w:rsid w:val="004B5E81"/>
    <w:rsid w:val="004B619C"/>
    <w:rsid w:val="004B670B"/>
    <w:rsid w:val="004C0883"/>
    <w:rsid w:val="004C2F84"/>
    <w:rsid w:val="004C3939"/>
    <w:rsid w:val="004C3A10"/>
    <w:rsid w:val="004C4120"/>
    <w:rsid w:val="004C6080"/>
    <w:rsid w:val="004D0CEE"/>
    <w:rsid w:val="004D25F3"/>
    <w:rsid w:val="004D6FBF"/>
    <w:rsid w:val="004D7C14"/>
    <w:rsid w:val="004E1B1F"/>
    <w:rsid w:val="004E2334"/>
    <w:rsid w:val="004E2FFF"/>
    <w:rsid w:val="004E3508"/>
    <w:rsid w:val="004E7099"/>
    <w:rsid w:val="004F0196"/>
    <w:rsid w:val="004F1B0B"/>
    <w:rsid w:val="004F2B91"/>
    <w:rsid w:val="004F2E7B"/>
    <w:rsid w:val="004F339B"/>
    <w:rsid w:val="004F40BC"/>
    <w:rsid w:val="004F456C"/>
    <w:rsid w:val="004F468D"/>
    <w:rsid w:val="004F687D"/>
    <w:rsid w:val="004F7404"/>
    <w:rsid w:val="00500AC6"/>
    <w:rsid w:val="00502113"/>
    <w:rsid w:val="00503E46"/>
    <w:rsid w:val="00505537"/>
    <w:rsid w:val="00505814"/>
    <w:rsid w:val="00506279"/>
    <w:rsid w:val="00510E6A"/>
    <w:rsid w:val="00511ED0"/>
    <w:rsid w:val="005139EF"/>
    <w:rsid w:val="00514FF6"/>
    <w:rsid w:val="00515543"/>
    <w:rsid w:val="00515A08"/>
    <w:rsid w:val="00517180"/>
    <w:rsid w:val="0051733D"/>
    <w:rsid w:val="005173C2"/>
    <w:rsid w:val="005173F7"/>
    <w:rsid w:val="00517B27"/>
    <w:rsid w:val="00517D0C"/>
    <w:rsid w:val="0052076F"/>
    <w:rsid w:val="00521509"/>
    <w:rsid w:val="0052227E"/>
    <w:rsid w:val="0052366A"/>
    <w:rsid w:val="00524386"/>
    <w:rsid w:val="00524BF2"/>
    <w:rsid w:val="00527459"/>
    <w:rsid w:val="00531477"/>
    <w:rsid w:val="00531B3C"/>
    <w:rsid w:val="00532046"/>
    <w:rsid w:val="00533301"/>
    <w:rsid w:val="0053426D"/>
    <w:rsid w:val="005367B1"/>
    <w:rsid w:val="00537218"/>
    <w:rsid w:val="00540B07"/>
    <w:rsid w:val="005426C8"/>
    <w:rsid w:val="00546959"/>
    <w:rsid w:val="00547A20"/>
    <w:rsid w:val="00547E9E"/>
    <w:rsid w:val="00551CCC"/>
    <w:rsid w:val="00552DBD"/>
    <w:rsid w:val="005563C2"/>
    <w:rsid w:val="00556970"/>
    <w:rsid w:val="00557329"/>
    <w:rsid w:val="00560719"/>
    <w:rsid w:val="00560AEC"/>
    <w:rsid w:val="00561829"/>
    <w:rsid w:val="00562443"/>
    <w:rsid w:val="00562F79"/>
    <w:rsid w:val="00563144"/>
    <w:rsid w:val="00563154"/>
    <w:rsid w:val="0056368B"/>
    <w:rsid w:val="005636A8"/>
    <w:rsid w:val="0056455C"/>
    <w:rsid w:val="00565EF4"/>
    <w:rsid w:val="00565F23"/>
    <w:rsid w:val="00567A76"/>
    <w:rsid w:val="00571545"/>
    <w:rsid w:val="0057197D"/>
    <w:rsid w:val="00573613"/>
    <w:rsid w:val="00573D59"/>
    <w:rsid w:val="005747D9"/>
    <w:rsid w:val="00574A32"/>
    <w:rsid w:val="005756D3"/>
    <w:rsid w:val="00577C60"/>
    <w:rsid w:val="005807B6"/>
    <w:rsid w:val="00581E89"/>
    <w:rsid w:val="0058214B"/>
    <w:rsid w:val="00582347"/>
    <w:rsid w:val="00584B5B"/>
    <w:rsid w:val="00585783"/>
    <w:rsid w:val="005868F4"/>
    <w:rsid w:val="0059135F"/>
    <w:rsid w:val="0059176A"/>
    <w:rsid w:val="00591873"/>
    <w:rsid w:val="0059399E"/>
    <w:rsid w:val="00594D8A"/>
    <w:rsid w:val="005952D8"/>
    <w:rsid w:val="00595A4B"/>
    <w:rsid w:val="00596268"/>
    <w:rsid w:val="005A0601"/>
    <w:rsid w:val="005A0F3A"/>
    <w:rsid w:val="005A2A40"/>
    <w:rsid w:val="005A2ADA"/>
    <w:rsid w:val="005A44B4"/>
    <w:rsid w:val="005A4E79"/>
    <w:rsid w:val="005A5129"/>
    <w:rsid w:val="005A62AF"/>
    <w:rsid w:val="005A67BB"/>
    <w:rsid w:val="005B1F9C"/>
    <w:rsid w:val="005B3D7C"/>
    <w:rsid w:val="005B4897"/>
    <w:rsid w:val="005B5368"/>
    <w:rsid w:val="005C1013"/>
    <w:rsid w:val="005C1698"/>
    <w:rsid w:val="005C54E6"/>
    <w:rsid w:val="005C57FB"/>
    <w:rsid w:val="005D221E"/>
    <w:rsid w:val="005D3125"/>
    <w:rsid w:val="005D52A8"/>
    <w:rsid w:val="005D5AA6"/>
    <w:rsid w:val="005D651D"/>
    <w:rsid w:val="005E0253"/>
    <w:rsid w:val="005E13C1"/>
    <w:rsid w:val="005E1E07"/>
    <w:rsid w:val="005E23FF"/>
    <w:rsid w:val="005E24F9"/>
    <w:rsid w:val="005E25D6"/>
    <w:rsid w:val="005E3950"/>
    <w:rsid w:val="005E4A3B"/>
    <w:rsid w:val="005E6213"/>
    <w:rsid w:val="005E65C6"/>
    <w:rsid w:val="005E6B31"/>
    <w:rsid w:val="005E6F6F"/>
    <w:rsid w:val="005F0682"/>
    <w:rsid w:val="005F09D9"/>
    <w:rsid w:val="005F0EA7"/>
    <w:rsid w:val="005F108B"/>
    <w:rsid w:val="005F1C74"/>
    <w:rsid w:val="005F32D0"/>
    <w:rsid w:val="005F4478"/>
    <w:rsid w:val="005F4738"/>
    <w:rsid w:val="00610D0E"/>
    <w:rsid w:val="006122AB"/>
    <w:rsid w:val="0061316E"/>
    <w:rsid w:val="00613D85"/>
    <w:rsid w:val="00624CAF"/>
    <w:rsid w:val="00634548"/>
    <w:rsid w:val="00635B02"/>
    <w:rsid w:val="00637ACE"/>
    <w:rsid w:val="006407D1"/>
    <w:rsid w:val="0064224B"/>
    <w:rsid w:val="006442DA"/>
    <w:rsid w:val="00645C78"/>
    <w:rsid w:val="00646004"/>
    <w:rsid w:val="006471A1"/>
    <w:rsid w:val="006478C6"/>
    <w:rsid w:val="00651AB7"/>
    <w:rsid w:val="00654B5D"/>
    <w:rsid w:val="0065570A"/>
    <w:rsid w:val="006605F2"/>
    <w:rsid w:val="0066075D"/>
    <w:rsid w:val="006614AC"/>
    <w:rsid w:val="00662358"/>
    <w:rsid w:val="00664377"/>
    <w:rsid w:val="006656EF"/>
    <w:rsid w:val="006670DE"/>
    <w:rsid w:val="00670A62"/>
    <w:rsid w:val="00671BAA"/>
    <w:rsid w:val="00671FF5"/>
    <w:rsid w:val="0067419C"/>
    <w:rsid w:val="00675185"/>
    <w:rsid w:val="00676832"/>
    <w:rsid w:val="00680A10"/>
    <w:rsid w:val="00680F25"/>
    <w:rsid w:val="00681489"/>
    <w:rsid w:val="00682306"/>
    <w:rsid w:val="00683782"/>
    <w:rsid w:val="00684D62"/>
    <w:rsid w:val="0068537A"/>
    <w:rsid w:val="00685E34"/>
    <w:rsid w:val="0069099E"/>
    <w:rsid w:val="006956C7"/>
    <w:rsid w:val="00695C0F"/>
    <w:rsid w:val="00697082"/>
    <w:rsid w:val="006A0CDB"/>
    <w:rsid w:val="006A15A9"/>
    <w:rsid w:val="006A1A4D"/>
    <w:rsid w:val="006A1A67"/>
    <w:rsid w:val="006A34AA"/>
    <w:rsid w:val="006A4659"/>
    <w:rsid w:val="006A47BE"/>
    <w:rsid w:val="006A4ECD"/>
    <w:rsid w:val="006A5CAB"/>
    <w:rsid w:val="006A5D74"/>
    <w:rsid w:val="006B4AF6"/>
    <w:rsid w:val="006B4CF4"/>
    <w:rsid w:val="006B4D95"/>
    <w:rsid w:val="006B5D94"/>
    <w:rsid w:val="006B65D4"/>
    <w:rsid w:val="006B6DEF"/>
    <w:rsid w:val="006B7053"/>
    <w:rsid w:val="006B73BC"/>
    <w:rsid w:val="006B77C6"/>
    <w:rsid w:val="006B7D55"/>
    <w:rsid w:val="006C1160"/>
    <w:rsid w:val="006C1875"/>
    <w:rsid w:val="006C233B"/>
    <w:rsid w:val="006C2AD0"/>
    <w:rsid w:val="006C30C1"/>
    <w:rsid w:val="006C30EF"/>
    <w:rsid w:val="006C5ADA"/>
    <w:rsid w:val="006D0043"/>
    <w:rsid w:val="006D2B1D"/>
    <w:rsid w:val="006D304F"/>
    <w:rsid w:val="006D38BC"/>
    <w:rsid w:val="006D5502"/>
    <w:rsid w:val="006D6242"/>
    <w:rsid w:val="006E00F4"/>
    <w:rsid w:val="006E03CB"/>
    <w:rsid w:val="006E0947"/>
    <w:rsid w:val="006E0F37"/>
    <w:rsid w:val="006E22C9"/>
    <w:rsid w:val="006E28D4"/>
    <w:rsid w:val="006E2A54"/>
    <w:rsid w:val="006E30A5"/>
    <w:rsid w:val="006E50E8"/>
    <w:rsid w:val="006E6101"/>
    <w:rsid w:val="006E66D8"/>
    <w:rsid w:val="006E6E54"/>
    <w:rsid w:val="006E7B03"/>
    <w:rsid w:val="006F2CE3"/>
    <w:rsid w:val="006F5667"/>
    <w:rsid w:val="006F5900"/>
    <w:rsid w:val="006F6FFB"/>
    <w:rsid w:val="006F7A8B"/>
    <w:rsid w:val="007007CE"/>
    <w:rsid w:val="00700CA9"/>
    <w:rsid w:val="00703235"/>
    <w:rsid w:val="00703DF9"/>
    <w:rsid w:val="00704D78"/>
    <w:rsid w:val="007066A7"/>
    <w:rsid w:val="00707A05"/>
    <w:rsid w:val="00707D1F"/>
    <w:rsid w:val="0071047C"/>
    <w:rsid w:val="00710A07"/>
    <w:rsid w:val="00710D80"/>
    <w:rsid w:val="00710F85"/>
    <w:rsid w:val="00711501"/>
    <w:rsid w:val="00713899"/>
    <w:rsid w:val="00713FAF"/>
    <w:rsid w:val="00714749"/>
    <w:rsid w:val="007219B3"/>
    <w:rsid w:val="007219FC"/>
    <w:rsid w:val="007226F6"/>
    <w:rsid w:val="007233EF"/>
    <w:rsid w:val="00725508"/>
    <w:rsid w:val="00725D42"/>
    <w:rsid w:val="00731B89"/>
    <w:rsid w:val="00734D54"/>
    <w:rsid w:val="00737B42"/>
    <w:rsid w:val="00740B0D"/>
    <w:rsid w:val="00741251"/>
    <w:rsid w:val="00741AA3"/>
    <w:rsid w:val="00741FBF"/>
    <w:rsid w:val="007445E6"/>
    <w:rsid w:val="00744D3D"/>
    <w:rsid w:val="00744DE1"/>
    <w:rsid w:val="00745887"/>
    <w:rsid w:val="00745E0E"/>
    <w:rsid w:val="00746D41"/>
    <w:rsid w:val="00746F2C"/>
    <w:rsid w:val="00746F5A"/>
    <w:rsid w:val="00747266"/>
    <w:rsid w:val="00750FD5"/>
    <w:rsid w:val="00753CAE"/>
    <w:rsid w:val="007544C6"/>
    <w:rsid w:val="0075517F"/>
    <w:rsid w:val="007566D9"/>
    <w:rsid w:val="00761030"/>
    <w:rsid w:val="00762786"/>
    <w:rsid w:val="00763536"/>
    <w:rsid w:val="007638F2"/>
    <w:rsid w:val="00763A2B"/>
    <w:rsid w:val="00764207"/>
    <w:rsid w:val="00766712"/>
    <w:rsid w:val="00766A1B"/>
    <w:rsid w:val="007677E8"/>
    <w:rsid w:val="007708B8"/>
    <w:rsid w:val="00771B41"/>
    <w:rsid w:val="00772765"/>
    <w:rsid w:val="00773ACB"/>
    <w:rsid w:val="00775E3D"/>
    <w:rsid w:val="00777352"/>
    <w:rsid w:val="00780C3A"/>
    <w:rsid w:val="00781F27"/>
    <w:rsid w:val="00783E7B"/>
    <w:rsid w:val="00784907"/>
    <w:rsid w:val="00785468"/>
    <w:rsid w:val="00785524"/>
    <w:rsid w:val="00785C1C"/>
    <w:rsid w:val="0078618F"/>
    <w:rsid w:val="00786652"/>
    <w:rsid w:val="007866D4"/>
    <w:rsid w:val="00787FD6"/>
    <w:rsid w:val="0079006E"/>
    <w:rsid w:val="00790149"/>
    <w:rsid w:val="0079192D"/>
    <w:rsid w:val="007943BA"/>
    <w:rsid w:val="00794454"/>
    <w:rsid w:val="00794AC3"/>
    <w:rsid w:val="007A0708"/>
    <w:rsid w:val="007A1981"/>
    <w:rsid w:val="007A1BE8"/>
    <w:rsid w:val="007A38D7"/>
    <w:rsid w:val="007A7019"/>
    <w:rsid w:val="007A7820"/>
    <w:rsid w:val="007B0982"/>
    <w:rsid w:val="007B19D0"/>
    <w:rsid w:val="007B3472"/>
    <w:rsid w:val="007B3C11"/>
    <w:rsid w:val="007B4017"/>
    <w:rsid w:val="007B488B"/>
    <w:rsid w:val="007B6DDC"/>
    <w:rsid w:val="007C2CBD"/>
    <w:rsid w:val="007C3446"/>
    <w:rsid w:val="007C48A8"/>
    <w:rsid w:val="007C736C"/>
    <w:rsid w:val="007D0C54"/>
    <w:rsid w:val="007D15A1"/>
    <w:rsid w:val="007D1BC5"/>
    <w:rsid w:val="007D286B"/>
    <w:rsid w:val="007D3599"/>
    <w:rsid w:val="007D4994"/>
    <w:rsid w:val="007D4DB1"/>
    <w:rsid w:val="007D6A15"/>
    <w:rsid w:val="007D6FBC"/>
    <w:rsid w:val="007E14B8"/>
    <w:rsid w:val="007E426B"/>
    <w:rsid w:val="007E6DA2"/>
    <w:rsid w:val="007F0903"/>
    <w:rsid w:val="007F1ECD"/>
    <w:rsid w:val="007F213B"/>
    <w:rsid w:val="007F378E"/>
    <w:rsid w:val="007F5F90"/>
    <w:rsid w:val="007F6476"/>
    <w:rsid w:val="007F7A7F"/>
    <w:rsid w:val="00801EFC"/>
    <w:rsid w:val="008025A7"/>
    <w:rsid w:val="008100D9"/>
    <w:rsid w:val="00810CF7"/>
    <w:rsid w:val="008138BB"/>
    <w:rsid w:val="00813E67"/>
    <w:rsid w:val="008142B0"/>
    <w:rsid w:val="0081530B"/>
    <w:rsid w:val="00815BEE"/>
    <w:rsid w:val="00815EFA"/>
    <w:rsid w:val="00816956"/>
    <w:rsid w:val="00816F00"/>
    <w:rsid w:val="00817D9B"/>
    <w:rsid w:val="00821388"/>
    <w:rsid w:val="008229D5"/>
    <w:rsid w:val="00823209"/>
    <w:rsid w:val="00823C7A"/>
    <w:rsid w:val="00823F95"/>
    <w:rsid w:val="008240CB"/>
    <w:rsid w:val="008244F8"/>
    <w:rsid w:val="008253B1"/>
    <w:rsid w:val="00825483"/>
    <w:rsid w:val="00830976"/>
    <w:rsid w:val="00830B06"/>
    <w:rsid w:val="00830CD2"/>
    <w:rsid w:val="00832510"/>
    <w:rsid w:val="00832907"/>
    <w:rsid w:val="008333C7"/>
    <w:rsid w:val="008338E8"/>
    <w:rsid w:val="008343BF"/>
    <w:rsid w:val="00834E7D"/>
    <w:rsid w:val="008352CF"/>
    <w:rsid w:val="00836CE0"/>
    <w:rsid w:val="00837796"/>
    <w:rsid w:val="00837D19"/>
    <w:rsid w:val="008415CA"/>
    <w:rsid w:val="00841A34"/>
    <w:rsid w:val="00841D46"/>
    <w:rsid w:val="008422CA"/>
    <w:rsid w:val="00842599"/>
    <w:rsid w:val="00842DE0"/>
    <w:rsid w:val="0084478A"/>
    <w:rsid w:val="008447E2"/>
    <w:rsid w:val="00850927"/>
    <w:rsid w:val="00852640"/>
    <w:rsid w:val="00853E79"/>
    <w:rsid w:val="00854732"/>
    <w:rsid w:val="00856382"/>
    <w:rsid w:val="00857C37"/>
    <w:rsid w:val="00860947"/>
    <w:rsid w:val="008637C9"/>
    <w:rsid w:val="00864154"/>
    <w:rsid w:val="00864892"/>
    <w:rsid w:val="00865BE5"/>
    <w:rsid w:val="00866DDB"/>
    <w:rsid w:val="00867491"/>
    <w:rsid w:val="00870109"/>
    <w:rsid w:val="00876624"/>
    <w:rsid w:val="0087688D"/>
    <w:rsid w:val="0088260C"/>
    <w:rsid w:val="008848C4"/>
    <w:rsid w:val="00886412"/>
    <w:rsid w:val="00886BC7"/>
    <w:rsid w:val="00886E05"/>
    <w:rsid w:val="008871BE"/>
    <w:rsid w:val="00887C6F"/>
    <w:rsid w:val="00887EA5"/>
    <w:rsid w:val="008903B4"/>
    <w:rsid w:val="008916D3"/>
    <w:rsid w:val="00891DB7"/>
    <w:rsid w:val="008926C5"/>
    <w:rsid w:val="00893E30"/>
    <w:rsid w:val="008941E2"/>
    <w:rsid w:val="0089480A"/>
    <w:rsid w:val="00894979"/>
    <w:rsid w:val="00894C5F"/>
    <w:rsid w:val="008965F8"/>
    <w:rsid w:val="008972A3"/>
    <w:rsid w:val="00897B4F"/>
    <w:rsid w:val="008A0A69"/>
    <w:rsid w:val="008A16AC"/>
    <w:rsid w:val="008A274F"/>
    <w:rsid w:val="008A2A4E"/>
    <w:rsid w:val="008A61A4"/>
    <w:rsid w:val="008A6250"/>
    <w:rsid w:val="008A683E"/>
    <w:rsid w:val="008B00FB"/>
    <w:rsid w:val="008B0311"/>
    <w:rsid w:val="008B08EB"/>
    <w:rsid w:val="008B0F88"/>
    <w:rsid w:val="008B1B8E"/>
    <w:rsid w:val="008B2ED3"/>
    <w:rsid w:val="008B2F01"/>
    <w:rsid w:val="008B5A82"/>
    <w:rsid w:val="008B73E1"/>
    <w:rsid w:val="008B79D1"/>
    <w:rsid w:val="008B7C6E"/>
    <w:rsid w:val="008C089B"/>
    <w:rsid w:val="008C0D10"/>
    <w:rsid w:val="008C1AD9"/>
    <w:rsid w:val="008C25EB"/>
    <w:rsid w:val="008C35B1"/>
    <w:rsid w:val="008C3D60"/>
    <w:rsid w:val="008C3F8C"/>
    <w:rsid w:val="008C5179"/>
    <w:rsid w:val="008C648E"/>
    <w:rsid w:val="008D1DEC"/>
    <w:rsid w:val="008D2D2B"/>
    <w:rsid w:val="008D4DF4"/>
    <w:rsid w:val="008D5303"/>
    <w:rsid w:val="008D7FD0"/>
    <w:rsid w:val="008E0DF0"/>
    <w:rsid w:val="008E1316"/>
    <w:rsid w:val="008E25A6"/>
    <w:rsid w:val="008E33D7"/>
    <w:rsid w:val="008E3F2C"/>
    <w:rsid w:val="008E4CE0"/>
    <w:rsid w:val="008E547B"/>
    <w:rsid w:val="008E547E"/>
    <w:rsid w:val="008E5C6A"/>
    <w:rsid w:val="008E62B8"/>
    <w:rsid w:val="008E63C4"/>
    <w:rsid w:val="008E67A7"/>
    <w:rsid w:val="008E6989"/>
    <w:rsid w:val="008F14F3"/>
    <w:rsid w:val="008F270D"/>
    <w:rsid w:val="008F449F"/>
    <w:rsid w:val="008F5AB6"/>
    <w:rsid w:val="008F5B9C"/>
    <w:rsid w:val="008F6866"/>
    <w:rsid w:val="00900ECD"/>
    <w:rsid w:val="009015E4"/>
    <w:rsid w:val="00901FFA"/>
    <w:rsid w:val="009020D9"/>
    <w:rsid w:val="00902A4C"/>
    <w:rsid w:val="00902C64"/>
    <w:rsid w:val="00905CAE"/>
    <w:rsid w:val="00905EB5"/>
    <w:rsid w:val="00906368"/>
    <w:rsid w:val="0090773C"/>
    <w:rsid w:val="00910FCE"/>
    <w:rsid w:val="00911AC7"/>
    <w:rsid w:val="00911DEB"/>
    <w:rsid w:val="0091202F"/>
    <w:rsid w:val="0091258E"/>
    <w:rsid w:val="00912648"/>
    <w:rsid w:val="00915D76"/>
    <w:rsid w:val="009169C3"/>
    <w:rsid w:val="00917381"/>
    <w:rsid w:val="00920806"/>
    <w:rsid w:val="00920F9C"/>
    <w:rsid w:val="0092131B"/>
    <w:rsid w:val="0092211F"/>
    <w:rsid w:val="0092485E"/>
    <w:rsid w:val="00925BD3"/>
    <w:rsid w:val="009267B4"/>
    <w:rsid w:val="009305F6"/>
    <w:rsid w:val="00931D7B"/>
    <w:rsid w:val="00932B51"/>
    <w:rsid w:val="009334D8"/>
    <w:rsid w:val="00934AF1"/>
    <w:rsid w:val="009362C6"/>
    <w:rsid w:val="00940D63"/>
    <w:rsid w:val="00941421"/>
    <w:rsid w:val="00942976"/>
    <w:rsid w:val="009431F7"/>
    <w:rsid w:val="0094359D"/>
    <w:rsid w:val="00943A0C"/>
    <w:rsid w:val="009454BC"/>
    <w:rsid w:val="00946EE0"/>
    <w:rsid w:val="00947D7A"/>
    <w:rsid w:val="009500C5"/>
    <w:rsid w:val="00951037"/>
    <w:rsid w:val="0095107F"/>
    <w:rsid w:val="009515C8"/>
    <w:rsid w:val="00952E41"/>
    <w:rsid w:val="009551F6"/>
    <w:rsid w:val="009558A5"/>
    <w:rsid w:val="0095794F"/>
    <w:rsid w:val="009604F0"/>
    <w:rsid w:val="00960812"/>
    <w:rsid w:val="00960965"/>
    <w:rsid w:val="009619FD"/>
    <w:rsid w:val="009630C1"/>
    <w:rsid w:val="0096541A"/>
    <w:rsid w:val="009674EA"/>
    <w:rsid w:val="00970E90"/>
    <w:rsid w:val="00971520"/>
    <w:rsid w:val="00974C68"/>
    <w:rsid w:val="00975236"/>
    <w:rsid w:val="00977173"/>
    <w:rsid w:val="009778D6"/>
    <w:rsid w:val="00977ECC"/>
    <w:rsid w:val="00980F1B"/>
    <w:rsid w:val="009817DE"/>
    <w:rsid w:val="009847A9"/>
    <w:rsid w:val="00984828"/>
    <w:rsid w:val="00984F64"/>
    <w:rsid w:val="00986280"/>
    <w:rsid w:val="0098633B"/>
    <w:rsid w:val="00986787"/>
    <w:rsid w:val="00987492"/>
    <w:rsid w:val="00987898"/>
    <w:rsid w:val="009878EA"/>
    <w:rsid w:val="00987D81"/>
    <w:rsid w:val="0099147D"/>
    <w:rsid w:val="0099224B"/>
    <w:rsid w:val="009939FE"/>
    <w:rsid w:val="009952AD"/>
    <w:rsid w:val="0099553D"/>
    <w:rsid w:val="00997ECD"/>
    <w:rsid w:val="009A0C30"/>
    <w:rsid w:val="009A132E"/>
    <w:rsid w:val="009A20D5"/>
    <w:rsid w:val="009A2546"/>
    <w:rsid w:val="009A3048"/>
    <w:rsid w:val="009A48D7"/>
    <w:rsid w:val="009A6D5F"/>
    <w:rsid w:val="009A7CD4"/>
    <w:rsid w:val="009A7F16"/>
    <w:rsid w:val="009B0B37"/>
    <w:rsid w:val="009B176A"/>
    <w:rsid w:val="009B1E00"/>
    <w:rsid w:val="009B445E"/>
    <w:rsid w:val="009B5D9D"/>
    <w:rsid w:val="009B68E4"/>
    <w:rsid w:val="009B78D6"/>
    <w:rsid w:val="009C07D8"/>
    <w:rsid w:val="009C16AA"/>
    <w:rsid w:val="009C16AB"/>
    <w:rsid w:val="009C1899"/>
    <w:rsid w:val="009C30EC"/>
    <w:rsid w:val="009C3843"/>
    <w:rsid w:val="009C4ED4"/>
    <w:rsid w:val="009C5BC8"/>
    <w:rsid w:val="009C6CC6"/>
    <w:rsid w:val="009D0B02"/>
    <w:rsid w:val="009D15B4"/>
    <w:rsid w:val="009D1CA6"/>
    <w:rsid w:val="009D205A"/>
    <w:rsid w:val="009D3635"/>
    <w:rsid w:val="009D3BAF"/>
    <w:rsid w:val="009D44AB"/>
    <w:rsid w:val="009D758B"/>
    <w:rsid w:val="009E10DE"/>
    <w:rsid w:val="009E12CB"/>
    <w:rsid w:val="009E1F49"/>
    <w:rsid w:val="009E21A3"/>
    <w:rsid w:val="009E3076"/>
    <w:rsid w:val="009E6A14"/>
    <w:rsid w:val="009E7307"/>
    <w:rsid w:val="009E7B0B"/>
    <w:rsid w:val="009E7C8E"/>
    <w:rsid w:val="009F026A"/>
    <w:rsid w:val="009F17AD"/>
    <w:rsid w:val="009F1C75"/>
    <w:rsid w:val="009F2834"/>
    <w:rsid w:val="009F3A59"/>
    <w:rsid w:val="009F45DA"/>
    <w:rsid w:val="009F5B96"/>
    <w:rsid w:val="009F6505"/>
    <w:rsid w:val="009F7A4B"/>
    <w:rsid w:val="009F7DEA"/>
    <w:rsid w:val="00A012F7"/>
    <w:rsid w:val="00A01BC4"/>
    <w:rsid w:val="00A039D9"/>
    <w:rsid w:val="00A0487E"/>
    <w:rsid w:val="00A05939"/>
    <w:rsid w:val="00A07D7F"/>
    <w:rsid w:val="00A1038A"/>
    <w:rsid w:val="00A10B6D"/>
    <w:rsid w:val="00A1126F"/>
    <w:rsid w:val="00A11C98"/>
    <w:rsid w:val="00A13DCE"/>
    <w:rsid w:val="00A13F3C"/>
    <w:rsid w:val="00A15678"/>
    <w:rsid w:val="00A15972"/>
    <w:rsid w:val="00A166A0"/>
    <w:rsid w:val="00A210BF"/>
    <w:rsid w:val="00A21A90"/>
    <w:rsid w:val="00A2211F"/>
    <w:rsid w:val="00A2468A"/>
    <w:rsid w:val="00A24E70"/>
    <w:rsid w:val="00A26558"/>
    <w:rsid w:val="00A27C75"/>
    <w:rsid w:val="00A31257"/>
    <w:rsid w:val="00A327BB"/>
    <w:rsid w:val="00A34A44"/>
    <w:rsid w:val="00A3576D"/>
    <w:rsid w:val="00A360B7"/>
    <w:rsid w:val="00A36FD6"/>
    <w:rsid w:val="00A371A3"/>
    <w:rsid w:val="00A371A8"/>
    <w:rsid w:val="00A40E5C"/>
    <w:rsid w:val="00A4148C"/>
    <w:rsid w:val="00A415D4"/>
    <w:rsid w:val="00A41972"/>
    <w:rsid w:val="00A41A81"/>
    <w:rsid w:val="00A42F3E"/>
    <w:rsid w:val="00A438E0"/>
    <w:rsid w:val="00A4431F"/>
    <w:rsid w:val="00A46BCE"/>
    <w:rsid w:val="00A47376"/>
    <w:rsid w:val="00A511D3"/>
    <w:rsid w:val="00A56055"/>
    <w:rsid w:val="00A56545"/>
    <w:rsid w:val="00A56669"/>
    <w:rsid w:val="00A607EC"/>
    <w:rsid w:val="00A6430C"/>
    <w:rsid w:val="00A67CB3"/>
    <w:rsid w:val="00A67FEF"/>
    <w:rsid w:val="00A705DD"/>
    <w:rsid w:val="00A70D40"/>
    <w:rsid w:val="00A729AD"/>
    <w:rsid w:val="00A74AC0"/>
    <w:rsid w:val="00A767A8"/>
    <w:rsid w:val="00A76E11"/>
    <w:rsid w:val="00A77C15"/>
    <w:rsid w:val="00A82486"/>
    <w:rsid w:val="00A8319A"/>
    <w:rsid w:val="00A834C0"/>
    <w:rsid w:val="00A840BE"/>
    <w:rsid w:val="00A90432"/>
    <w:rsid w:val="00A911EC"/>
    <w:rsid w:val="00A913C7"/>
    <w:rsid w:val="00A93485"/>
    <w:rsid w:val="00A9497B"/>
    <w:rsid w:val="00A956F7"/>
    <w:rsid w:val="00A962F9"/>
    <w:rsid w:val="00A966DE"/>
    <w:rsid w:val="00A970C4"/>
    <w:rsid w:val="00AA2075"/>
    <w:rsid w:val="00AA3C51"/>
    <w:rsid w:val="00AA48A1"/>
    <w:rsid w:val="00AA5A8B"/>
    <w:rsid w:val="00AB02BE"/>
    <w:rsid w:val="00AB1484"/>
    <w:rsid w:val="00AB15EC"/>
    <w:rsid w:val="00AB2C64"/>
    <w:rsid w:val="00AB4435"/>
    <w:rsid w:val="00AB5056"/>
    <w:rsid w:val="00AB6CC1"/>
    <w:rsid w:val="00AB7BB9"/>
    <w:rsid w:val="00AC0916"/>
    <w:rsid w:val="00AC1614"/>
    <w:rsid w:val="00AC5B3B"/>
    <w:rsid w:val="00AC69DF"/>
    <w:rsid w:val="00AD1335"/>
    <w:rsid w:val="00AD2505"/>
    <w:rsid w:val="00AD3046"/>
    <w:rsid w:val="00AD5399"/>
    <w:rsid w:val="00AD56FC"/>
    <w:rsid w:val="00AD61AD"/>
    <w:rsid w:val="00AD662A"/>
    <w:rsid w:val="00AE14B0"/>
    <w:rsid w:val="00AE2597"/>
    <w:rsid w:val="00AE3899"/>
    <w:rsid w:val="00AE3C5C"/>
    <w:rsid w:val="00AE60E9"/>
    <w:rsid w:val="00AE63AA"/>
    <w:rsid w:val="00AE6DBB"/>
    <w:rsid w:val="00AF12DB"/>
    <w:rsid w:val="00AF3180"/>
    <w:rsid w:val="00AF349C"/>
    <w:rsid w:val="00AF4F2C"/>
    <w:rsid w:val="00AF563F"/>
    <w:rsid w:val="00AF634B"/>
    <w:rsid w:val="00B005F0"/>
    <w:rsid w:val="00B0080B"/>
    <w:rsid w:val="00B0111C"/>
    <w:rsid w:val="00B01C12"/>
    <w:rsid w:val="00B03497"/>
    <w:rsid w:val="00B0352C"/>
    <w:rsid w:val="00B0624D"/>
    <w:rsid w:val="00B07E7F"/>
    <w:rsid w:val="00B106C0"/>
    <w:rsid w:val="00B107B7"/>
    <w:rsid w:val="00B11CCF"/>
    <w:rsid w:val="00B11D2F"/>
    <w:rsid w:val="00B14A5F"/>
    <w:rsid w:val="00B153FA"/>
    <w:rsid w:val="00B15C35"/>
    <w:rsid w:val="00B16A1A"/>
    <w:rsid w:val="00B17687"/>
    <w:rsid w:val="00B1782C"/>
    <w:rsid w:val="00B17C81"/>
    <w:rsid w:val="00B21050"/>
    <w:rsid w:val="00B214DC"/>
    <w:rsid w:val="00B21880"/>
    <w:rsid w:val="00B24320"/>
    <w:rsid w:val="00B250F9"/>
    <w:rsid w:val="00B26CED"/>
    <w:rsid w:val="00B30307"/>
    <w:rsid w:val="00B312BD"/>
    <w:rsid w:val="00B32E91"/>
    <w:rsid w:val="00B348F0"/>
    <w:rsid w:val="00B34CA6"/>
    <w:rsid w:val="00B35B91"/>
    <w:rsid w:val="00B37CD7"/>
    <w:rsid w:val="00B401BB"/>
    <w:rsid w:val="00B41986"/>
    <w:rsid w:val="00B41E56"/>
    <w:rsid w:val="00B42064"/>
    <w:rsid w:val="00B429E6"/>
    <w:rsid w:val="00B430DB"/>
    <w:rsid w:val="00B432DF"/>
    <w:rsid w:val="00B44D29"/>
    <w:rsid w:val="00B4516F"/>
    <w:rsid w:val="00B45240"/>
    <w:rsid w:val="00B47E45"/>
    <w:rsid w:val="00B5163E"/>
    <w:rsid w:val="00B51DDF"/>
    <w:rsid w:val="00B52D11"/>
    <w:rsid w:val="00B52EC5"/>
    <w:rsid w:val="00B5454D"/>
    <w:rsid w:val="00B54B72"/>
    <w:rsid w:val="00B54BBF"/>
    <w:rsid w:val="00B561D8"/>
    <w:rsid w:val="00B56FF2"/>
    <w:rsid w:val="00B57D1E"/>
    <w:rsid w:val="00B57F7D"/>
    <w:rsid w:val="00B6275F"/>
    <w:rsid w:val="00B62DBD"/>
    <w:rsid w:val="00B63FEC"/>
    <w:rsid w:val="00B650D1"/>
    <w:rsid w:val="00B65A2C"/>
    <w:rsid w:val="00B678F2"/>
    <w:rsid w:val="00B67B72"/>
    <w:rsid w:val="00B73ED4"/>
    <w:rsid w:val="00B74CDA"/>
    <w:rsid w:val="00B74F23"/>
    <w:rsid w:val="00B75A92"/>
    <w:rsid w:val="00B7657A"/>
    <w:rsid w:val="00B766FA"/>
    <w:rsid w:val="00B7728A"/>
    <w:rsid w:val="00B77377"/>
    <w:rsid w:val="00B801C8"/>
    <w:rsid w:val="00B80D2B"/>
    <w:rsid w:val="00B82185"/>
    <w:rsid w:val="00B8414D"/>
    <w:rsid w:val="00B84650"/>
    <w:rsid w:val="00B847B9"/>
    <w:rsid w:val="00B84A0A"/>
    <w:rsid w:val="00B84BE2"/>
    <w:rsid w:val="00B8678C"/>
    <w:rsid w:val="00B86D6D"/>
    <w:rsid w:val="00B903E7"/>
    <w:rsid w:val="00B948E5"/>
    <w:rsid w:val="00B96C31"/>
    <w:rsid w:val="00B978F9"/>
    <w:rsid w:val="00B97FF0"/>
    <w:rsid w:val="00BA3BCB"/>
    <w:rsid w:val="00BA4DB3"/>
    <w:rsid w:val="00BA4DD3"/>
    <w:rsid w:val="00BA5B14"/>
    <w:rsid w:val="00BA5C9C"/>
    <w:rsid w:val="00BA6122"/>
    <w:rsid w:val="00BA6CF8"/>
    <w:rsid w:val="00BA734A"/>
    <w:rsid w:val="00BB0116"/>
    <w:rsid w:val="00BB1E60"/>
    <w:rsid w:val="00BB2008"/>
    <w:rsid w:val="00BB30B8"/>
    <w:rsid w:val="00BB4309"/>
    <w:rsid w:val="00BB46CD"/>
    <w:rsid w:val="00BB6E6B"/>
    <w:rsid w:val="00BB7916"/>
    <w:rsid w:val="00BC480B"/>
    <w:rsid w:val="00BD100A"/>
    <w:rsid w:val="00BD1D0E"/>
    <w:rsid w:val="00BD6D2B"/>
    <w:rsid w:val="00BE0042"/>
    <w:rsid w:val="00BE1728"/>
    <w:rsid w:val="00BE347A"/>
    <w:rsid w:val="00BE3997"/>
    <w:rsid w:val="00BE5084"/>
    <w:rsid w:val="00BE5612"/>
    <w:rsid w:val="00BE6538"/>
    <w:rsid w:val="00BE655E"/>
    <w:rsid w:val="00BE697F"/>
    <w:rsid w:val="00BF248B"/>
    <w:rsid w:val="00BF272B"/>
    <w:rsid w:val="00BF34CD"/>
    <w:rsid w:val="00BF5B74"/>
    <w:rsid w:val="00BF6253"/>
    <w:rsid w:val="00BF75CA"/>
    <w:rsid w:val="00BF788F"/>
    <w:rsid w:val="00C003FC"/>
    <w:rsid w:val="00C00E5A"/>
    <w:rsid w:val="00C00F9B"/>
    <w:rsid w:val="00C01CAB"/>
    <w:rsid w:val="00C03539"/>
    <w:rsid w:val="00C0559D"/>
    <w:rsid w:val="00C05CE0"/>
    <w:rsid w:val="00C05FEA"/>
    <w:rsid w:val="00C10478"/>
    <w:rsid w:val="00C104E6"/>
    <w:rsid w:val="00C147AF"/>
    <w:rsid w:val="00C15706"/>
    <w:rsid w:val="00C158C7"/>
    <w:rsid w:val="00C20852"/>
    <w:rsid w:val="00C20A97"/>
    <w:rsid w:val="00C22297"/>
    <w:rsid w:val="00C2379F"/>
    <w:rsid w:val="00C24801"/>
    <w:rsid w:val="00C305A2"/>
    <w:rsid w:val="00C30ED8"/>
    <w:rsid w:val="00C33778"/>
    <w:rsid w:val="00C3587C"/>
    <w:rsid w:val="00C37990"/>
    <w:rsid w:val="00C40911"/>
    <w:rsid w:val="00C41949"/>
    <w:rsid w:val="00C4246C"/>
    <w:rsid w:val="00C4391A"/>
    <w:rsid w:val="00C43AD4"/>
    <w:rsid w:val="00C43B7D"/>
    <w:rsid w:val="00C45238"/>
    <w:rsid w:val="00C4608C"/>
    <w:rsid w:val="00C46717"/>
    <w:rsid w:val="00C47BC2"/>
    <w:rsid w:val="00C50D9F"/>
    <w:rsid w:val="00C51ACE"/>
    <w:rsid w:val="00C51CD1"/>
    <w:rsid w:val="00C5270D"/>
    <w:rsid w:val="00C53C25"/>
    <w:rsid w:val="00C575A3"/>
    <w:rsid w:val="00C57D54"/>
    <w:rsid w:val="00C57E43"/>
    <w:rsid w:val="00C61FB5"/>
    <w:rsid w:val="00C6391B"/>
    <w:rsid w:val="00C6705D"/>
    <w:rsid w:val="00C704C8"/>
    <w:rsid w:val="00C734FE"/>
    <w:rsid w:val="00C74397"/>
    <w:rsid w:val="00C74A22"/>
    <w:rsid w:val="00C74FB2"/>
    <w:rsid w:val="00C75A71"/>
    <w:rsid w:val="00C76034"/>
    <w:rsid w:val="00C76C68"/>
    <w:rsid w:val="00C77ADC"/>
    <w:rsid w:val="00C8198F"/>
    <w:rsid w:val="00C82B74"/>
    <w:rsid w:val="00C82E47"/>
    <w:rsid w:val="00C83290"/>
    <w:rsid w:val="00C83D2D"/>
    <w:rsid w:val="00C84A99"/>
    <w:rsid w:val="00C84F6B"/>
    <w:rsid w:val="00C85E3C"/>
    <w:rsid w:val="00C87116"/>
    <w:rsid w:val="00C912FA"/>
    <w:rsid w:val="00C926A3"/>
    <w:rsid w:val="00C9323C"/>
    <w:rsid w:val="00C937F8"/>
    <w:rsid w:val="00C93803"/>
    <w:rsid w:val="00C95E8C"/>
    <w:rsid w:val="00C96371"/>
    <w:rsid w:val="00C970AB"/>
    <w:rsid w:val="00CA13E5"/>
    <w:rsid w:val="00CA228B"/>
    <w:rsid w:val="00CA3EE2"/>
    <w:rsid w:val="00CA63DB"/>
    <w:rsid w:val="00CA72C1"/>
    <w:rsid w:val="00CA77FA"/>
    <w:rsid w:val="00CA78E5"/>
    <w:rsid w:val="00CA7934"/>
    <w:rsid w:val="00CB0410"/>
    <w:rsid w:val="00CB10D7"/>
    <w:rsid w:val="00CB3721"/>
    <w:rsid w:val="00CB4CAC"/>
    <w:rsid w:val="00CB4FA2"/>
    <w:rsid w:val="00CB51A8"/>
    <w:rsid w:val="00CB5E4A"/>
    <w:rsid w:val="00CB67CB"/>
    <w:rsid w:val="00CB6A47"/>
    <w:rsid w:val="00CB6DCA"/>
    <w:rsid w:val="00CB7958"/>
    <w:rsid w:val="00CC08AA"/>
    <w:rsid w:val="00CC0C3A"/>
    <w:rsid w:val="00CC0C50"/>
    <w:rsid w:val="00CC2C38"/>
    <w:rsid w:val="00CC3B85"/>
    <w:rsid w:val="00CC40B0"/>
    <w:rsid w:val="00CC4DE1"/>
    <w:rsid w:val="00CC6A1B"/>
    <w:rsid w:val="00CD0A1B"/>
    <w:rsid w:val="00CD1EBF"/>
    <w:rsid w:val="00CD3192"/>
    <w:rsid w:val="00CD32E4"/>
    <w:rsid w:val="00CD4461"/>
    <w:rsid w:val="00CD4CA1"/>
    <w:rsid w:val="00CD5EA0"/>
    <w:rsid w:val="00CE0002"/>
    <w:rsid w:val="00CE0444"/>
    <w:rsid w:val="00CE0CD3"/>
    <w:rsid w:val="00CE23AF"/>
    <w:rsid w:val="00CE40C0"/>
    <w:rsid w:val="00CE7FFD"/>
    <w:rsid w:val="00CF1212"/>
    <w:rsid w:val="00CF1233"/>
    <w:rsid w:val="00CF1F72"/>
    <w:rsid w:val="00CF3563"/>
    <w:rsid w:val="00CF452D"/>
    <w:rsid w:val="00CF4ED3"/>
    <w:rsid w:val="00CF5556"/>
    <w:rsid w:val="00CF6D0B"/>
    <w:rsid w:val="00CF7867"/>
    <w:rsid w:val="00D00F82"/>
    <w:rsid w:val="00D015D5"/>
    <w:rsid w:val="00D024BD"/>
    <w:rsid w:val="00D039B5"/>
    <w:rsid w:val="00D0456F"/>
    <w:rsid w:val="00D076B0"/>
    <w:rsid w:val="00D11447"/>
    <w:rsid w:val="00D12B37"/>
    <w:rsid w:val="00D12EC9"/>
    <w:rsid w:val="00D137A4"/>
    <w:rsid w:val="00D13E09"/>
    <w:rsid w:val="00D14566"/>
    <w:rsid w:val="00D15271"/>
    <w:rsid w:val="00D1593E"/>
    <w:rsid w:val="00D17E65"/>
    <w:rsid w:val="00D20CE6"/>
    <w:rsid w:val="00D21A27"/>
    <w:rsid w:val="00D23F02"/>
    <w:rsid w:val="00D27AE5"/>
    <w:rsid w:val="00D32F65"/>
    <w:rsid w:val="00D3315F"/>
    <w:rsid w:val="00D3398E"/>
    <w:rsid w:val="00D33BDF"/>
    <w:rsid w:val="00D33BE9"/>
    <w:rsid w:val="00D33DD4"/>
    <w:rsid w:val="00D33F23"/>
    <w:rsid w:val="00D3634F"/>
    <w:rsid w:val="00D375F8"/>
    <w:rsid w:val="00D37E7F"/>
    <w:rsid w:val="00D4306E"/>
    <w:rsid w:val="00D4389B"/>
    <w:rsid w:val="00D44B31"/>
    <w:rsid w:val="00D46799"/>
    <w:rsid w:val="00D517A9"/>
    <w:rsid w:val="00D51805"/>
    <w:rsid w:val="00D52048"/>
    <w:rsid w:val="00D5456E"/>
    <w:rsid w:val="00D56960"/>
    <w:rsid w:val="00D572EF"/>
    <w:rsid w:val="00D5766D"/>
    <w:rsid w:val="00D57A3F"/>
    <w:rsid w:val="00D602A3"/>
    <w:rsid w:val="00D62BB9"/>
    <w:rsid w:val="00D630FB"/>
    <w:rsid w:val="00D64849"/>
    <w:rsid w:val="00D6514E"/>
    <w:rsid w:val="00D65C2C"/>
    <w:rsid w:val="00D6669C"/>
    <w:rsid w:val="00D679A6"/>
    <w:rsid w:val="00D7029C"/>
    <w:rsid w:val="00D70CD4"/>
    <w:rsid w:val="00D7212F"/>
    <w:rsid w:val="00D721F2"/>
    <w:rsid w:val="00D746F5"/>
    <w:rsid w:val="00D772B1"/>
    <w:rsid w:val="00D806F7"/>
    <w:rsid w:val="00D80A75"/>
    <w:rsid w:val="00D827F3"/>
    <w:rsid w:val="00D8443C"/>
    <w:rsid w:val="00D84B16"/>
    <w:rsid w:val="00D86414"/>
    <w:rsid w:val="00D90F90"/>
    <w:rsid w:val="00D91C4A"/>
    <w:rsid w:val="00D924ED"/>
    <w:rsid w:val="00D968C5"/>
    <w:rsid w:val="00DA237F"/>
    <w:rsid w:val="00DA55DB"/>
    <w:rsid w:val="00DA6AE1"/>
    <w:rsid w:val="00DA7568"/>
    <w:rsid w:val="00DA796D"/>
    <w:rsid w:val="00DB1656"/>
    <w:rsid w:val="00DB4BA3"/>
    <w:rsid w:val="00DB5721"/>
    <w:rsid w:val="00DB6F36"/>
    <w:rsid w:val="00DB74E5"/>
    <w:rsid w:val="00DC0877"/>
    <w:rsid w:val="00DC1C0B"/>
    <w:rsid w:val="00DC2B59"/>
    <w:rsid w:val="00DC2EFB"/>
    <w:rsid w:val="00DC3378"/>
    <w:rsid w:val="00DC4325"/>
    <w:rsid w:val="00DD00A0"/>
    <w:rsid w:val="00DD0570"/>
    <w:rsid w:val="00DD0899"/>
    <w:rsid w:val="00DD0A14"/>
    <w:rsid w:val="00DD15A7"/>
    <w:rsid w:val="00DD1FD9"/>
    <w:rsid w:val="00DD356F"/>
    <w:rsid w:val="00DD396E"/>
    <w:rsid w:val="00DD4012"/>
    <w:rsid w:val="00DD4776"/>
    <w:rsid w:val="00DD53BC"/>
    <w:rsid w:val="00DE0164"/>
    <w:rsid w:val="00DE52B0"/>
    <w:rsid w:val="00DE57A1"/>
    <w:rsid w:val="00DE7967"/>
    <w:rsid w:val="00DF0A03"/>
    <w:rsid w:val="00DF1496"/>
    <w:rsid w:val="00DF15E3"/>
    <w:rsid w:val="00DF4131"/>
    <w:rsid w:val="00DF4CE0"/>
    <w:rsid w:val="00DF70C7"/>
    <w:rsid w:val="00DF7609"/>
    <w:rsid w:val="00E01E29"/>
    <w:rsid w:val="00E01F01"/>
    <w:rsid w:val="00E01F44"/>
    <w:rsid w:val="00E0282E"/>
    <w:rsid w:val="00E04C42"/>
    <w:rsid w:val="00E07076"/>
    <w:rsid w:val="00E073CC"/>
    <w:rsid w:val="00E07493"/>
    <w:rsid w:val="00E078CA"/>
    <w:rsid w:val="00E10331"/>
    <w:rsid w:val="00E10826"/>
    <w:rsid w:val="00E11688"/>
    <w:rsid w:val="00E126AD"/>
    <w:rsid w:val="00E12754"/>
    <w:rsid w:val="00E12DB7"/>
    <w:rsid w:val="00E13338"/>
    <w:rsid w:val="00E133BA"/>
    <w:rsid w:val="00E14A37"/>
    <w:rsid w:val="00E15122"/>
    <w:rsid w:val="00E1549A"/>
    <w:rsid w:val="00E15F94"/>
    <w:rsid w:val="00E16956"/>
    <w:rsid w:val="00E16995"/>
    <w:rsid w:val="00E16FC9"/>
    <w:rsid w:val="00E17D6C"/>
    <w:rsid w:val="00E17F3B"/>
    <w:rsid w:val="00E20F55"/>
    <w:rsid w:val="00E21526"/>
    <w:rsid w:val="00E235FE"/>
    <w:rsid w:val="00E25314"/>
    <w:rsid w:val="00E342B9"/>
    <w:rsid w:val="00E35371"/>
    <w:rsid w:val="00E356AD"/>
    <w:rsid w:val="00E3603C"/>
    <w:rsid w:val="00E369F8"/>
    <w:rsid w:val="00E36DBD"/>
    <w:rsid w:val="00E37796"/>
    <w:rsid w:val="00E4422C"/>
    <w:rsid w:val="00E4611C"/>
    <w:rsid w:val="00E5025F"/>
    <w:rsid w:val="00E5110B"/>
    <w:rsid w:val="00E523D2"/>
    <w:rsid w:val="00E52AB9"/>
    <w:rsid w:val="00E54259"/>
    <w:rsid w:val="00E561AC"/>
    <w:rsid w:val="00E564CF"/>
    <w:rsid w:val="00E6012F"/>
    <w:rsid w:val="00E60B77"/>
    <w:rsid w:val="00E61F36"/>
    <w:rsid w:val="00E6342B"/>
    <w:rsid w:val="00E63D57"/>
    <w:rsid w:val="00E64FF8"/>
    <w:rsid w:val="00E65A1D"/>
    <w:rsid w:val="00E65DC3"/>
    <w:rsid w:val="00E66DD0"/>
    <w:rsid w:val="00E66DEC"/>
    <w:rsid w:val="00E70FDB"/>
    <w:rsid w:val="00E71FC7"/>
    <w:rsid w:val="00E727EB"/>
    <w:rsid w:val="00E72ACC"/>
    <w:rsid w:val="00E732D7"/>
    <w:rsid w:val="00E76A40"/>
    <w:rsid w:val="00E847ED"/>
    <w:rsid w:val="00E84FE5"/>
    <w:rsid w:val="00E8576D"/>
    <w:rsid w:val="00E87723"/>
    <w:rsid w:val="00E90FBC"/>
    <w:rsid w:val="00E91F8F"/>
    <w:rsid w:val="00E929E8"/>
    <w:rsid w:val="00E949D8"/>
    <w:rsid w:val="00E9584C"/>
    <w:rsid w:val="00E96BA9"/>
    <w:rsid w:val="00EA447B"/>
    <w:rsid w:val="00EA4EC5"/>
    <w:rsid w:val="00EB02B7"/>
    <w:rsid w:val="00EB3012"/>
    <w:rsid w:val="00EB31AC"/>
    <w:rsid w:val="00EB38AE"/>
    <w:rsid w:val="00EB45CE"/>
    <w:rsid w:val="00EB4E13"/>
    <w:rsid w:val="00EB5F2C"/>
    <w:rsid w:val="00EB74FA"/>
    <w:rsid w:val="00EC0010"/>
    <w:rsid w:val="00EC0E58"/>
    <w:rsid w:val="00EC5B68"/>
    <w:rsid w:val="00EC64EF"/>
    <w:rsid w:val="00EC7093"/>
    <w:rsid w:val="00EC70F3"/>
    <w:rsid w:val="00EC7E39"/>
    <w:rsid w:val="00ED26A2"/>
    <w:rsid w:val="00ED2B35"/>
    <w:rsid w:val="00ED2EDF"/>
    <w:rsid w:val="00ED6DE3"/>
    <w:rsid w:val="00ED7A64"/>
    <w:rsid w:val="00EE01BC"/>
    <w:rsid w:val="00EE0CFF"/>
    <w:rsid w:val="00EE1FD7"/>
    <w:rsid w:val="00EE2CC0"/>
    <w:rsid w:val="00EE31C0"/>
    <w:rsid w:val="00EE618B"/>
    <w:rsid w:val="00EF0007"/>
    <w:rsid w:val="00EF047A"/>
    <w:rsid w:val="00EF0E2F"/>
    <w:rsid w:val="00EF1673"/>
    <w:rsid w:val="00EF38FB"/>
    <w:rsid w:val="00EF5532"/>
    <w:rsid w:val="00F037AA"/>
    <w:rsid w:val="00F03B9E"/>
    <w:rsid w:val="00F041E8"/>
    <w:rsid w:val="00F05D9D"/>
    <w:rsid w:val="00F06AF5"/>
    <w:rsid w:val="00F07865"/>
    <w:rsid w:val="00F116DC"/>
    <w:rsid w:val="00F119C5"/>
    <w:rsid w:val="00F137D9"/>
    <w:rsid w:val="00F13CDB"/>
    <w:rsid w:val="00F156D9"/>
    <w:rsid w:val="00F174D1"/>
    <w:rsid w:val="00F20412"/>
    <w:rsid w:val="00F207AC"/>
    <w:rsid w:val="00F2122F"/>
    <w:rsid w:val="00F21A3D"/>
    <w:rsid w:val="00F220D7"/>
    <w:rsid w:val="00F27BB8"/>
    <w:rsid w:val="00F27C96"/>
    <w:rsid w:val="00F30E7A"/>
    <w:rsid w:val="00F3219E"/>
    <w:rsid w:val="00F342D7"/>
    <w:rsid w:val="00F3542C"/>
    <w:rsid w:val="00F3649C"/>
    <w:rsid w:val="00F40894"/>
    <w:rsid w:val="00F41348"/>
    <w:rsid w:val="00F415C0"/>
    <w:rsid w:val="00F4260A"/>
    <w:rsid w:val="00F42B3D"/>
    <w:rsid w:val="00F4497C"/>
    <w:rsid w:val="00F46B3B"/>
    <w:rsid w:val="00F47BFE"/>
    <w:rsid w:val="00F50C75"/>
    <w:rsid w:val="00F518CC"/>
    <w:rsid w:val="00F51AC5"/>
    <w:rsid w:val="00F51B60"/>
    <w:rsid w:val="00F521A0"/>
    <w:rsid w:val="00F526BA"/>
    <w:rsid w:val="00F5297C"/>
    <w:rsid w:val="00F52F9C"/>
    <w:rsid w:val="00F572CA"/>
    <w:rsid w:val="00F5790D"/>
    <w:rsid w:val="00F57BD4"/>
    <w:rsid w:val="00F6021E"/>
    <w:rsid w:val="00F63F83"/>
    <w:rsid w:val="00F64491"/>
    <w:rsid w:val="00F649D0"/>
    <w:rsid w:val="00F66D01"/>
    <w:rsid w:val="00F71235"/>
    <w:rsid w:val="00F721A7"/>
    <w:rsid w:val="00F726F3"/>
    <w:rsid w:val="00F72DBC"/>
    <w:rsid w:val="00F73595"/>
    <w:rsid w:val="00F73AE9"/>
    <w:rsid w:val="00F74ED1"/>
    <w:rsid w:val="00F8032B"/>
    <w:rsid w:val="00F82637"/>
    <w:rsid w:val="00F83924"/>
    <w:rsid w:val="00F83A33"/>
    <w:rsid w:val="00F84326"/>
    <w:rsid w:val="00F8595D"/>
    <w:rsid w:val="00F87060"/>
    <w:rsid w:val="00F87165"/>
    <w:rsid w:val="00F8752E"/>
    <w:rsid w:val="00F90113"/>
    <w:rsid w:val="00F90587"/>
    <w:rsid w:val="00F91E75"/>
    <w:rsid w:val="00F93B09"/>
    <w:rsid w:val="00F949B3"/>
    <w:rsid w:val="00F94EF5"/>
    <w:rsid w:val="00F95005"/>
    <w:rsid w:val="00F952A5"/>
    <w:rsid w:val="00F9666A"/>
    <w:rsid w:val="00F96AC1"/>
    <w:rsid w:val="00F97D99"/>
    <w:rsid w:val="00FA2483"/>
    <w:rsid w:val="00FA2B4A"/>
    <w:rsid w:val="00FA3A01"/>
    <w:rsid w:val="00FA4C20"/>
    <w:rsid w:val="00FA4CDB"/>
    <w:rsid w:val="00FA5698"/>
    <w:rsid w:val="00FA6DDD"/>
    <w:rsid w:val="00FA787E"/>
    <w:rsid w:val="00FB11BD"/>
    <w:rsid w:val="00FB127B"/>
    <w:rsid w:val="00FB4234"/>
    <w:rsid w:val="00FB5B90"/>
    <w:rsid w:val="00FB75AA"/>
    <w:rsid w:val="00FB7C86"/>
    <w:rsid w:val="00FC0207"/>
    <w:rsid w:val="00FC176B"/>
    <w:rsid w:val="00FC202D"/>
    <w:rsid w:val="00FC2682"/>
    <w:rsid w:val="00FC56D2"/>
    <w:rsid w:val="00FC5AF6"/>
    <w:rsid w:val="00FC619D"/>
    <w:rsid w:val="00FC6E59"/>
    <w:rsid w:val="00FD0A2F"/>
    <w:rsid w:val="00FD2681"/>
    <w:rsid w:val="00FD39F3"/>
    <w:rsid w:val="00FD48FC"/>
    <w:rsid w:val="00FD5670"/>
    <w:rsid w:val="00FD615F"/>
    <w:rsid w:val="00FD62D6"/>
    <w:rsid w:val="00FD6424"/>
    <w:rsid w:val="00FD7717"/>
    <w:rsid w:val="00FE0EA9"/>
    <w:rsid w:val="00FE1129"/>
    <w:rsid w:val="00FE32E6"/>
    <w:rsid w:val="00FE6D6E"/>
    <w:rsid w:val="00FF2205"/>
    <w:rsid w:val="00FF25A1"/>
    <w:rsid w:val="00FF3D75"/>
    <w:rsid w:val="00FF66B4"/>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14:docId w14:val="6D9C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semiHidden="0" w:uiPriority="19" w:unhideWhenUsed="0" w:qFormat="1"/>
    <w:lsdException w:name="heading 3" w:semiHidden="0" w:uiPriority="19" w:unhideWhenUsed="0" w:qFormat="1"/>
    <w:lsdException w:name="heading 4" w:semiHidden="0" w:uiPriority="19" w:unhideWhenUsed="0" w:qFormat="1"/>
    <w:lsdException w:name="heading 5" w:uiPriority="19" w:qFormat="1"/>
    <w:lsdException w:name="heading 6" w:uiPriority="19"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able of authorities"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C1877"/>
    <w:pPr>
      <w:jc w:val="both"/>
    </w:pPr>
    <w:rPr>
      <w:rFonts w:ascii="Arial" w:hAnsi="Arial"/>
      <w:sz w:val="22"/>
      <w:szCs w:val="22"/>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ssPara1"/>
    <w:link w:val="Heading1Char"/>
    <w:uiPriority w:val="19"/>
    <w:qFormat/>
    <w:rsid w:val="003C1877"/>
    <w:pPr>
      <w:keepNext/>
      <w:keepLines/>
      <w:numPr>
        <w:ilvl w:val="1"/>
        <w:numId w:val="16"/>
      </w:numPr>
      <w:spacing w:after="260"/>
      <w:outlineLvl w:val="0"/>
    </w:pPr>
    <w:rPr>
      <w:b/>
      <w:bCs/>
      <w:kern w:val="32"/>
      <w:szCs w:val="28"/>
      <w:u w:val="single"/>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Normal"/>
    <w:next w:val="ssPara2"/>
    <w:link w:val="Heading2Char"/>
    <w:uiPriority w:val="19"/>
    <w:qFormat/>
    <w:rsid w:val="003C1877"/>
    <w:pPr>
      <w:keepNext/>
      <w:keepLines/>
      <w:numPr>
        <w:ilvl w:val="2"/>
        <w:numId w:val="16"/>
      </w:numPr>
      <w:spacing w:after="260"/>
      <w:outlineLvl w:val="1"/>
    </w:pPr>
    <w:rPr>
      <w:b/>
      <w:bCs/>
      <w:szCs w:val="26"/>
    </w:rPr>
  </w:style>
  <w:style w:type="paragraph" w:styleId="Heading3">
    <w:name w:val="heading 3"/>
    <w:aliases w:val="H3,Prophead 3,h3,HHHeading,Heading 31,Heading 32,Heading 33,Heading 34,Heading 35,Heading 36,H31,H32,H33,H34,H35,H36,Minor,Para Heading 3,Para Heading 31,h31,(Alt+3),(Alt+3)1,(Alt+3)2,(Alt+3)3,(Alt+3)4,(Alt+3)5,(Alt+3)6,(Alt+3)11,(Alt+3)21,3"/>
    <w:basedOn w:val="Normal"/>
    <w:next w:val="ssPara3"/>
    <w:link w:val="Heading3Char"/>
    <w:uiPriority w:val="19"/>
    <w:qFormat/>
    <w:rsid w:val="003C1877"/>
    <w:pPr>
      <w:keepNext/>
      <w:keepLines/>
      <w:numPr>
        <w:ilvl w:val="3"/>
        <w:numId w:val="16"/>
      </w:numPr>
      <w:spacing w:after="260"/>
      <w:outlineLvl w:val="2"/>
    </w:pPr>
    <w:rPr>
      <w:b/>
      <w:bCs/>
    </w:rPr>
  </w:style>
  <w:style w:type="paragraph" w:styleId="Heading4">
    <w:name w:val="heading 4"/>
    <w:aliases w:val="Sub-Minor,Project table,Propos,Level 2 - a,Bullet 11,Bullet 12,Bullet 13,Bullet 14,Bullet 15,Bullet 16,h4,H41,H42,H43,H44,H45,H46,H47,H48,H49,H410,H411,H421,H431,H441,H451,H461,H471,H481,H491,H4101,H412,H413,H414,H415,H416,H417,H418,4"/>
    <w:basedOn w:val="Normal"/>
    <w:next w:val="ssPara4"/>
    <w:link w:val="Heading4Char"/>
    <w:uiPriority w:val="19"/>
    <w:qFormat/>
    <w:rsid w:val="003C1877"/>
    <w:pPr>
      <w:keepNext/>
      <w:keepLines/>
      <w:numPr>
        <w:ilvl w:val="4"/>
        <w:numId w:val="16"/>
      </w:numPr>
      <w:spacing w:after="260"/>
      <w:outlineLvl w:val="3"/>
    </w:pPr>
    <w:rPr>
      <w:b/>
      <w:bCs/>
      <w:iC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ssPara5"/>
    <w:link w:val="Heading5Char"/>
    <w:uiPriority w:val="19"/>
    <w:qFormat/>
    <w:rsid w:val="003C1877"/>
    <w:pPr>
      <w:keepNext/>
      <w:keepLines/>
      <w:numPr>
        <w:ilvl w:val="5"/>
        <w:numId w:val="16"/>
      </w:numPr>
      <w:spacing w:after="260"/>
      <w:outlineLvl w:val="4"/>
    </w:pPr>
    <w:rPr>
      <w:b/>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ssPara6"/>
    <w:link w:val="Heading6Char"/>
    <w:uiPriority w:val="19"/>
    <w:qFormat/>
    <w:rsid w:val="003C1877"/>
    <w:pPr>
      <w:keepNext/>
      <w:keepLines/>
      <w:numPr>
        <w:ilvl w:val="6"/>
        <w:numId w:val="16"/>
      </w:numPr>
      <w:spacing w:after="260"/>
      <w:outlineLvl w:val="5"/>
    </w:pPr>
    <w:rPr>
      <w:b/>
      <w:iCs/>
    </w:rPr>
  </w:style>
  <w:style w:type="paragraph" w:styleId="Heading7">
    <w:name w:val="heading 7"/>
    <w:basedOn w:val="Normal"/>
    <w:next w:val="Normal"/>
    <w:link w:val="Heading7Char"/>
    <w:qFormat/>
    <w:rsid w:val="003C1877"/>
    <w:pPr>
      <w:numPr>
        <w:ilvl w:val="7"/>
        <w:numId w:val="14"/>
      </w:numPr>
      <w:outlineLvl w:val="6"/>
    </w:pPr>
    <w:rPr>
      <w:szCs w:val="24"/>
    </w:rPr>
  </w:style>
  <w:style w:type="paragraph" w:styleId="Heading8">
    <w:name w:val="heading 8"/>
    <w:basedOn w:val="Normal"/>
    <w:next w:val="Normal"/>
    <w:link w:val="Heading8Char"/>
    <w:qFormat/>
    <w:rsid w:val="003C1877"/>
    <w:pPr>
      <w:numPr>
        <w:ilvl w:val="8"/>
        <w:numId w:val="14"/>
      </w:numPr>
      <w:outlineLvl w:val="7"/>
    </w:pPr>
    <w:rPr>
      <w:iCs/>
      <w:szCs w:val="24"/>
    </w:rPr>
  </w:style>
  <w:style w:type="paragraph" w:styleId="Heading9">
    <w:name w:val="heading 9"/>
    <w:basedOn w:val="Normal"/>
    <w:next w:val="Normal"/>
    <w:link w:val="Heading9Char"/>
    <w:qFormat/>
    <w:rsid w:val="003C18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
    <w:name w:val="Body Char"/>
    <w:basedOn w:val="Normal"/>
    <w:link w:val="BodyCharChar"/>
    <w:rsid w:val="00DB1656"/>
    <w:pPr>
      <w:tabs>
        <w:tab w:val="left" w:pos="1843"/>
        <w:tab w:val="left" w:pos="3119"/>
        <w:tab w:val="left" w:pos="4253"/>
      </w:tabs>
      <w:spacing w:after="240" w:line="312" w:lineRule="auto"/>
    </w:pPr>
    <w:rPr>
      <w:sz w:val="24"/>
      <w:szCs w:val="20"/>
    </w:rPr>
  </w:style>
  <w:style w:type="paragraph" w:customStyle="1" w:styleId="aDefinition">
    <w:name w:val="(a) Definition"/>
    <w:basedOn w:val="BodyChar"/>
    <w:rsid w:val="002C112A"/>
    <w:pPr>
      <w:tabs>
        <w:tab w:val="clear" w:pos="1843"/>
        <w:tab w:val="clear" w:pos="3119"/>
        <w:tab w:val="clear" w:pos="4253"/>
      </w:tabs>
    </w:pPr>
  </w:style>
  <w:style w:type="paragraph" w:customStyle="1" w:styleId="iDefinition">
    <w:name w:val="(i) Definition"/>
    <w:basedOn w:val="BodyChar"/>
    <w:rsid w:val="002C112A"/>
    <w:pPr>
      <w:numPr>
        <w:ilvl w:val="1"/>
        <w:numId w:val="7"/>
      </w:numPr>
      <w:tabs>
        <w:tab w:val="clear" w:pos="3119"/>
        <w:tab w:val="clear" w:pos="4253"/>
      </w:tabs>
    </w:pPr>
  </w:style>
  <w:style w:type="paragraph" w:customStyle="1" w:styleId="Body1">
    <w:name w:val="Body 1"/>
    <w:basedOn w:val="BodyChar"/>
    <w:link w:val="Body1Char"/>
    <w:rsid w:val="005D221E"/>
    <w:pPr>
      <w:tabs>
        <w:tab w:val="clear" w:pos="1843"/>
        <w:tab w:val="clear" w:pos="3119"/>
        <w:tab w:val="clear" w:pos="4253"/>
      </w:tabs>
      <w:ind w:left="851"/>
    </w:pPr>
  </w:style>
  <w:style w:type="paragraph" w:customStyle="1" w:styleId="Background">
    <w:name w:val="Background"/>
    <w:basedOn w:val="Body1"/>
    <w:rsid w:val="00DB1656"/>
    <w:pPr>
      <w:numPr>
        <w:numId w:val="1"/>
      </w:numPr>
    </w:pPr>
  </w:style>
  <w:style w:type="paragraph" w:customStyle="1" w:styleId="Body2">
    <w:name w:val="Body 2"/>
    <w:basedOn w:val="Body1"/>
    <w:rsid w:val="005D221E"/>
  </w:style>
  <w:style w:type="paragraph" w:customStyle="1" w:styleId="Body3">
    <w:name w:val="Body 3"/>
    <w:basedOn w:val="Body2"/>
    <w:rsid w:val="005D221E"/>
    <w:pPr>
      <w:ind w:left="1843"/>
    </w:pPr>
  </w:style>
  <w:style w:type="paragraph" w:customStyle="1" w:styleId="Body4">
    <w:name w:val="Body 4"/>
    <w:basedOn w:val="Body3"/>
    <w:rsid w:val="005D221E"/>
    <w:pPr>
      <w:ind w:left="3119"/>
    </w:pPr>
  </w:style>
  <w:style w:type="paragraph" w:customStyle="1" w:styleId="Body5">
    <w:name w:val="Body 5"/>
    <w:basedOn w:val="Body3"/>
    <w:rsid w:val="005D221E"/>
    <w:pPr>
      <w:ind w:left="3119"/>
    </w:pPr>
  </w:style>
  <w:style w:type="paragraph" w:customStyle="1" w:styleId="Bullet1">
    <w:name w:val="Bullet 1"/>
    <w:basedOn w:val="Body1"/>
    <w:rsid w:val="005D221E"/>
    <w:pPr>
      <w:numPr>
        <w:numId w:val="2"/>
      </w:numPr>
    </w:pPr>
  </w:style>
  <w:style w:type="paragraph" w:customStyle="1" w:styleId="Bullet2">
    <w:name w:val="Bullet 2"/>
    <w:basedOn w:val="Body2"/>
    <w:rsid w:val="005D221E"/>
    <w:pPr>
      <w:numPr>
        <w:ilvl w:val="1"/>
        <w:numId w:val="2"/>
      </w:numPr>
    </w:pPr>
  </w:style>
  <w:style w:type="paragraph" w:customStyle="1" w:styleId="Bullet3">
    <w:name w:val="Bullet 3"/>
    <w:basedOn w:val="Body3"/>
    <w:rsid w:val="005D221E"/>
    <w:pPr>
      <w:numPr>
        <w:ilvl w:val="2"/>
        <w:numId w:val="2"/>
      </w:numPr>
    </w:pPr>
  </w:style>
  <w:style w:type="character" w:customStyle="1" w:styleId="CrossReference">
    <w:name w:val="Cross Reference"/>
    <w:rsid w:val="005D221E"/>
    <w:rPr>
      <w:b/>
    </w:rPr>
  </w:style>
  <w:style w:type="paragraph" w:styleId="Footer">
    <w:name w:val="footer"/>
    <w:basedOn w:val="Normal"/>
    <w:link w:val="FooterChar"/>
    <w:uiPriority w:val="99"/>
    <w:rsid w:val="003C1877"/>
    <w:pPr>
      <w:tabs>
        <w:tab w:val="center" w:pos="4763"/>
        <w:tab w:val="right" w:pos="9497"/>
      </w:tabs>
      <w:spacing w:line="260" w:lineRule="atLeast"/>
    </w:pPr>
    <w:rPr>
      <w:sz w:val="12"/>
      <w:szCs w:val="20"/>
    </w:rPr>
  </w:style>
  <w:style w:type="character" w:styleId="FootnoteReference">
    <w:name w:val="footnote reference"/>
    <w:semiHidden/>
    <w:rsid w:val="008F270D"/>
    <w:rPr>
      <w:vertAlign w:val="superscript"/>
    </w:rPr>
  </w:style>
  <w:style w:type="paragraph" w:styleId="FootnoteText">
    <w:name w:val="footnote text"/>
    <w:basedOn w:val="Normal"/>
    <w:link w:val="FootnoteTextChar"/>
    <w:semiHidden/>
    <w:rsid w:val="008F270D"/>
    <w:pPr>
      <w:tabs>
        <w:tab w:val="left" w:pos="709"/>
      </w:tabs>
      <w:spacing w:after="260"/>
      <w:ind w:left="709" w:hanging="709"/>
    </w:pPr>
    <w:rPr>
      <w:b/>
      <w:sz w:val="18"/>
      <w:szCs w:val="20"/>
      <w:lang w:eastAsia="zh-CN"/>
    </w:rPr>
  </w:style>
  <w:style w:type="paragraph" w:styleId="Header">
    <w:name w:val="header"/>
    <w:basedOn w:val="Normal"/>
    <w:link w:val="HeaderChar"/>
    <w:rsid w:val="003C1877"/>
    <w:pPr>
      <w:tabs>
        <w:tab w:val="center" w:pos="4513"/>
        <w:tab w:val="right" w:pos="9026"/>
      </w:tabs>
    </w:pPr>
  </w:style>
  <w:style w:type="paragraph" w:customStyle="1" w:styleId="Level1">
    <w:name w:val="Level 1"/>
    <w:basedOn w:val="Body1"/>
    <w:qFormat/>
    <w:rsid w:val="00A27C75"/>
    <w:pPr>
      <w:numPr>
        <w:numId w:val="11"/>
      </w:numPr>
      <w:outlineLvl w:val="0"/>
    </w:pPr>
    <w:rPr>
      <w:b/>
    </w:rPr>
  </w:style>
  <w:style w:type="character" w:customStyle="1" w:styleId="Level1asHeadingtext">
    <w:name w:val="Level 1 as Heading (text)"/>
    <w:rsid w:val="004F687D"/>
    <w:rPr>
      <w:rFonts w:ascii="Arial" w:hAnsi="Arial"/>
      <w:b/>
      <w:sz w:val="24"/>
    </w:rPr>
  </w:style>
  <w:style w:type="paragraph" w:customStyle="1" w:styleId="Level2">
    <w:name w:val="Level 2"/>
    <w:link w:val="Level2Char"/>
    <w:qFormat/>
    <w:rsid w:val="0033628A"/>
    <w:pPr>
      <w:numPr>
        <w:ilvl w:val="1"/>
        <w:numId w:val="11"/>
      </w:numPr>
      <w:spacing w:after="120" w:line="360" w:lineRule="auto"/>
      <w:outlineLvl w:val="1"/>
    </w:pPr>
    <w:rPr>
      <w:rFonts w:ascii="Arial" w:hAnsi="Arial"/>
      <w:sz w:val="24"/>
    </w:rPr>
  </w:style>
  <w:style w:type="character" w:customStyle="1" w:styleId="Level2asHeadingtext">
    <w:name w:val="Level 2 as Heading (text)"/>
    <w:rsid w:val="005D221E"/>
    <w:rPr>
      <w:b/>
    </w:rPr>
  </w:style>
  <w:style w:type="paragraph" w:customStyle="1" w:styleId="Level3">
    <w:name w:val="Level 3"/>
    <w:basedOn w:val="Body3"/>
    <w:link w:val="Level3Char"/>
    <w:qFormat/>
    <w:rsid w:val="00685E34"/>
    <w:pPr>
      <w:numPr>
        <w:ilvl w:val="2"/>
        <w:numId w:val="11"/>
      </w:numPr>
      <w:outlineLvl w:val="2"/>
    </w:pPr>
    <w:rPr>
      <w:rFonts w:eastAsia="SimSun"/>
      <w:sz w:val="22"/>
      <w:szCs w:val="22"/>
    </w:rPr>
  </w:style>
  <w:style w:type="character" w:customStyle="1" w:styleId="Level3asHeadingtext">
    <w:name w:val="Level 3 as Heading (text)"/>
    <w:rsid w:val="005D221E"/>
    <w:rPr>
      <w:b/>
    </w:rPr>
  </w:style>
  <w:style w:type="paragraph" w:customStyle="1" w:styleId="Level4">
    <w:name w:val="Level 4"/>
    <w:basedOn w:val="Body4"/>
    <w:qFormat/>
    <w:rsid w:val="00685E34"/>
    <w:pPr>
      <w:numPr>
        <w:ilvl w:val="3"/>
        <w:numId w:val="11"/>
      </w:numPr>
      <w:outlineLvl w:val="3"/>
    </w:pPr>
  </w:style>
  <w:style w:type="paragraph" w:customStyle="1" w:styleId="Level5">
    <w:name w:val="Level 5"/>
    <w:basedOn w:val="Body5"/>
    <w:qFormat/>
    <w:rsid w:val="00685E34"/>
    <w:pPr>
      <w:numPr>
        <w:ilvl w:val="4"/>
        <w:numId w:val="11"/>
      </w:numPr>
      <w:outlineLvl w:val="4"/>
    </w:pPr>
  </w:style>
  <w:style w:type="character" w:styleId="PageNumber">
    <w:name w:val="page number"/>
    <w:rsid w:val="003C1877"/>
    <w:rPr>
      <w:rFonts w:ascii="Arial" w:hAnsi="Arial"/>
      <w:sz w:val="20"/>
    </w:rPr>
  </w:style>
  <w:style w:type="paragraph" w:customStyle="1" w:styleId="Parties">
    <w:name w:val="Parties"/>
    <w:basedOn w:val="Body1"/>
    <w:rsid w:val="005D221E"/>
    <w:pPr>
      <w:numPr>
        <w:numId w:val="3"/>
      </w:numPr>
    </w:pPr>
  </w:style>
  <w:style w:type="paragraph" w:customStyle="1" w:styleId="Rule1">
    <w:name w:val="Rule 1"/>
    <w:basedOn w:val="BodyChar"/>
    <w:semiHidden/>
    <w:rsid w:val="005D221E"/>
    <w:pPr>
      <w:keepNext/>
      <w:numPr>
        <w:numId w:val="4"/>
      </w:numPr>
      <w:tabs>
        <w:tab w:val="clear" w:pos="1843"/>
        <w:tab w:val="clear" w:pos="3119"/>
        <w:tab w:val="clear" w:pos="4253"/>
      </w:tabs>
    </w:pPr>
    <w:rPr>
      <w:b/>
    </w:rPr>
  </w:style>
  <w:style w:type="paragraph" w:customStyle="1" w:styleId="Rule2">
    <w:name w:val="Rule 2"/>
    <w:basedOn w:val="Body2"/>
    <w:semiHidden/>
    <w:rsid w:val="005D221E"/>
    <w:pPr>
      <w:numPr>
        <w:ilvl w:val="1"/>
        <w:numId w:val="4"/>
      </w:numPr>
    </w:pPr>
  </w:style>
  <w:style w:type="paragraph" w:customStyle="1" w:styleId="Rule3">
    <w:name w:val="Rule 3"/>
    <w:basedOn w:val="Body3"/>
    <w:semiHidden/>
    <w:rsid w:val="005D221E"/>
    <w:pPr>
      <w:numPr>
        <w:ilvl w:val="2"/>
        <w:numId w:val="4"/>
      </w:numPr>
    </w:pPr>
  </w:style>
  <w:style w:type="paragraph" w:customStyle="1" w:styleId="Rule4">
    <w:name w:val="Rule 4"/>
    <w:basedOn w:val="Body4"/>
    <w:semiHidden/>
    <w:rsid w:val="005D221E"/>
    <w:pPr>
      <w:numPr>
        <w:ilvl w:val="3"/>
        <w:numId w:val="4"/>
      </w:numPr>
    </w:pPr>
  </w:style>
  <w:style w:type="paragraph" w:customStyle="1" w:styleId="Rule5">
    <w:name w:val="Rule 5"/>
    <w:basedOn w:val="Body5"/>
    <w:semiHidden/>
    <w:rsid w:val="005D221E"/>
    <w:pPr>
      <w:numPr>
        <w:ilvl w:val="4"/>
        <w:numId w:val="4"/>
      </w:numPr>
    </w:pPr>
  </w:style>
  <w:style w:type="paragraph" w:customStyle="1" w:styleId="Schedule">
    <w:name w:val="Schedule"/>
    <w:basedOn w:val="Normal"/>
    <w:semiHidden/>
    <w:rsid w:val="005D221E"/>
    <w:pPr>
      <w:keepNext/>
      <w:numPr>
        <w:numId w:val="5"/>
      </w:numPr>
      <w:tabs>
        <w:tab w:val="clear" w:pos="0"/>
      </w:tabs>
      <w:spacing w:after="240"/>
      <w:ind w:left="-567"/>
      <w:jc w:val="center"/>
    </w:pPr>
    <w:rPr>
      <w:b/>
      <w:caps/>
    </w:rPr>
  </w:style>
  <w:style w:type="paragraph" w:customStyle="1" w:styleId="ScheduleTitle">
    <w:name w:val="Schedule Title"/>
    <w:basedOn w:val="BodyChar"/>
    <w:rsid w:val="005D221E"/>
    <w:pPr>
      <w:keepNext/>
      <w:tabs>
        <w:tab w:val="clear" w:pos="1843"/>
        <w:tab w:val="clear" w:pos="3119"/>
        <w:tab w:val="clear" w:pos="4253"/>
      </w:tabs>
      <w:spacing w:after="480" w:line="240" w:lineRule="auto"/>
      <w:jc w:val="center"/>
    </w:pPr>
    <w:rPr>
      <w:b/>
    </w:rPr>
  </w:style>
  <w:style w:type="paragraph" w:customStyle="1" w:styleId="aBankingDefinition">
    <w:name w:val="(a) Banking Definition"/>
    <w:basedOn w:val="BodyChar"/>
    <w:rsid w:val="000D0EB3"/>
    <w:pPr>
      <w:numPr>
        <w:numId w:val="6"/>
      </w:numPr>
      <w:tabs>
        <w:tab w:val="clear" w:pos="3119"/>
        <w:tab w:val="clear" w:pos="4253"/>
      </w:tabs>
    </w:pPr>
  </w:style>
  <w:style w:type="paragraph" w:customStyle="1" w:styleId="Sideheading">
    <w:name w:val="Sideheading"/>
    <w:basedOn w:val="BodyChar"/>
    <w:rsid w:val="005D221E"/>
    <w:pPr>
      <w:tabs>
        <w:tab w:val="clear" w:pos="1843"/>
        <w:tab w:val="clear" w:pos="3119"/>
        <w:tab w:val="clear" w:pos="4253"/>
      </w:tabs>
    </w:pPr>
    <w:rPr>
      <w:b/>
      <w:caps/>
    </w:rPr>
  </w:style>
  <w:style w:type="paragraph" w:customStyle="1" w:styleId="iBankingDefinition">
    <w:name w:val="(i) Banking Definition"/>
    <w:basedOn w:val="aBankingDefinition"/>
    <w:rsid w:val="000D0EB3"/>
    <w:pPr>
      <w:numPr>
        <w:ilvl w:val="1"/>
      </w:numPr>
    </w:pPr>
  </w:style>
  <w:style w:type="paragraph" w:styleId="TOC1">
    <w:name w:val="toc 1"/>
    <w:basedOn w:val="Normal"/>
    <w:next w:val="Normal"/>
    <w:autoRedefine/>
    <w:rsid w:val="003C1877"/>
    <w:pPr>
      <w:tabs>
        <w:tab w:val="right" w:leader="dot" w:pos="9497"/>
      </w:tabs>
      <w:spacing w:after="260"/>
      <w:ind w:left="709" w:right="595" w:hanging="709"/>
    </w:pPr>
  </w:style>
  <w:style w:type="paragraph" w:styleId="TOC2">
    <w:name w:val="toc 2"/>
    <w:basedOn w:val="Normal"/>
    <w:next w:val="Normal"/>
    <w:autoRedefine/>
    <w:rsid w:val="003C1877"/>
    <w:pPr>
      <w:tabs>
        <w:tab w:val="right" w:leader="dot" w:pos="9497"/>
      </w:tabs>
      <w:spacing w:after="260"/>
      <w:ind w:left="1418" w:right="595" w:hanging="709"/>
    </w:pPr>
  </w:style>
  <w:style w:type="paragraph" w:styleId="TOC3">
    <w:name w:val="toc 3"/>
    <w:basedOn w:val="Normal"/>
    <w:next w:val="Normal"/>
    <w:autoRedefine/>
    <w:semiHidden/>
    <w:rsid w:val="003C1877"/>
    <w:pPr>
      <w:tabs>
        <w:tab w:val="right" w:leader="dot" w:pos="9497"/>
      </w:tabs>
      <w:spacing w:after="260"/>
      <w:ind w:left="2127" w:right="595" w:hanging="709"/>
    </w:pPr>
  </w:style>
  <w:style w:type="paragraph" w:styleId="TOC4">
    <w:name w:val="toc 4"/>
    <w:basedOn w:val="Normal"/>
    <w:next w:val="Normal"/>
    <w:autoRedefine/>
    <w:semiHidden/>
    <w:rsid w:val="003C1877"/>
    <w:pPr>
      <w:tabs>
        <w:tab w:val="right" w:leader="dot" w:pos="9497"/>
      </w:tabs>
      <w:spacing w:after="260"/>
      <w:ind w:left="2694" w:right="595" w:hanging="709"/>
    </w:pPr>
  </w:style>
  <w:style w:type="paragraph" w:styleId="TOC5">
    <w:name w:val="toc 5"/>
    <w:basedOn w:val="TOC1"/>
    <w:next w:val="Normal"/>
    <w:semiHidden/>
    <w:rsid w:val="0079192D"/>
    <w:pPr>
      <w:ind w:firstLine="0"/>
    </w:p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Level6">
    <w:name w:val="Level 6"/>
    <w:basedOn w:val="Level5"/>
    <w:rsid w:val="00685E34"/>
  </w:style>
  <w:style w:type="paragraph" w:customStyle="1" w:styleId="Level7">
    <w:name w:val="Level 7"/>
    <w:basedOn w:val="Level6"/>
    <w:rsid w:val="00685E34"/>
    <w:pPr>
      <w:numPr>
        <w:numId w:val="10"/>
      </w:numPr>
    </w:pPr>
  </w:style>
  <w:style w:type="character" w:customStyle="1" w:styleId="BodyCharChar">
    <w:name w:val="Body Char Char"/>
    <w:link w:val="BodyChar"/>
    <w:rsid w:val="009D44AB"/>
    <w:rPr>
      <w:rFonts w:ascii="Arial" w:hAnsi="Arial"/>
      <w:sz w:val="24"/>
      <w:lang w:val="en-GB" w:eastAsia="en-GB" w:bidi="ar-SA"/>
    </w:rPr>
  </w:style>
  <w:style w:type="character" w:customStyle="1" w:styleId="Body1Char">
    <w:name w:val="Body 1 Char"/>
    <w:link w:val="Body1"/>
    <w:rsid w:val="009D44AB"/>
    <w:rPr>
      <w:rFonts w:ascii="Arial" w:hAnsi="Arial"/>
      <w:sz w:val="24"/>
      <w:lang w:val="en-GB" w:eastAsia="en-GB" w:bidi="ar-SA"/>
    </w:rPr>
  </w:style>
  <w:style w:type="table" w:styleId="TableGrid">
    <w:name w:val="Table Grid"/>
    <w:basedOn w:val="TableNormal"/>
    <w:rsid w:val="003C1877"/>
    <w:rPr>
      <w:rFonts w:ascii="Arial" w:eastAsia="SimSun" w:hAnsi="Arial"/>
    </w:rPr>
    <w:tblPr/>
  </w:style>
  <w:style w:type="paragraph" w:customStyle="1" w:styleId="TCMSsub2">
    <w:name w:val="TCMS sub 2"/>
    <w:basedOn w:val="Normal"/>
    <w:rsid w:val="002507F1"/>
    <w:pPr>
      <w:keepNext/>
      <w:keepLines/>
      <w:numPr>
        <w:ilvl w:val="1"/>
        <w:numId w:val="8"/>
      </w:numPr>
      <w:spacing w:before="360" w:after="180"/>
      <w:jc w:val="left"/>
      <w:outlineLvl w:val="2"/>
    </w:pPr>
    <w:rPr>
      <w:b/>
      <w:color w:val="0000FF"/>
      <w:szCs w:val="24"/>
    </w:rPr>
  </w:style>
  <w:style w:type="paragraph" w:styleId="BodyText2">
    <w:name w:val="Body Text 2"/>
    <w:basedOn w:val="Normal"/>
    <w:link w:val="BodyText2Char"/>
    <w:rsid w:val="002507F1"/>
    <w:pPr>
      <w:numPr>
        <w:numId w:val="8"/>
      </w:numPr>
      <w:spacing w:before="360" w:after="180"/>
    </w:pPr>
    <w:rPr>
      <w:rFonts w:eastAsia="SimSun"/>
      <w:lang w:eastAsia="zh-CN"/>
    </w:rPr>
  </w:style>
  <w:style w:type="character" w:customStyle="1" w:styleId="StyleArial">
    <w:name w:val="Style Arial"/>
    <w:basedOn w:val="DefaultParagraphFont"/>
    <w:rsid w:val="002507F1"/>
  </w:style>
  <w:style w:type="character" w:customStyle="1" w:styleId="Char">
    <w:name w:val="Char"/>
    <w:rsid w:val="002507F1"/>
    <w:rPr>
      <w:rFonts w:ascii="Arial" w:hAnsi="Arial"/>
      <w:sz w:val="24"/>
      <w:lang w:val="en-GB" w:eastAsia="en-GB" w:bidi="ar-SA"/>
    </w:rPr>
  </w:style>
  <w:style w:type="paragraph" w:customStyle="1" w:styleId="General1">
    <w:name w:val="General 1"/>
    <w:basedOn w:val="Normal"/>
    <w:rsid w:val="002507F1"/>
    <w:pPr>
      <w:autoSpaceDE w:val="0"/>
      <w:autoSpaceDN w:val="0"/>
      <w:adjustRightInd w:val="0"/>
    </w:pPr>
    <w:rPr>
      <w:rFonts w:ascii="Times New Roman" w:hAnsi="Times New Roman"/>
      <w:sz w:val="23"/>
      <w:szCs w:val="23"/>
      <w:lang w:eastAsia="en-US"/>
    </w:rPr>
  </w:style>
  <w:style w:type="paragraph" w:customStyle="1" w:styleId="TableText">
    <w:name w:val="Table Text"/>
    <w:basedOn w:val="Normal"/>
    <w:rsid w:val="002507F1"/>
    <w:pPr>
      <w:ind w:right="142"/>
      <w:jc w:val="left"/>
    </w:pPr>
    <w:rPr>
      <w:rFonts w:ascii="Times New Roman" w:hAnsi="Times New Roman"/>
      <w:lang w:eastAsia="en-US"/>
    </w:rPr>
  </w:style>
  <w:style w:type="paragraph" w:styleId="BalloonText">
    <w:name w:val="Balloon Text"/>
    <w:basedOn w:val="Normal"/>
    <w:link w:val="BalloonTextChar"/>
    <w:semiHidden/>
    <w:rsid w:val="003C1877"/>
    <w:rPr>
      <w:rFonts w:ascii="Tahoma" w:hAnsi="Tahoma"/>
      <w:sz w:val="16"/>
      <w:szCs w:val="16"/>
    </w:rPr>
  </w:style>
  <w:style w:type="character" w:styleId="CommentReference">
    <w:name w:val="annotation reference"/>
    <w:uiPriority w:val="99"/>
    <w:semiHidden/>
    <w:locked/>
    <w:rsid w:val="00A012F7"/>
    <w:rPr>
      <w:sz w:val="16"/>
      <w:szCs w:val="16"/>
    </w:rPr>
  </w:style>
  <w:style w:type="paragraph" w:styleId="CommentText">
    <w:name w:val="annotation text"/>
    <w:basedOn w:val="Normal"/>
    <w:link w:val="CommentTextChar"/>
    <w:uiPriority w:val="99"/>
    <w:semiHidden/>
    <w:locked/>
    <w:rsid w:val="00A012F7"/>
    <w:pPr>
      <w:spacing w:before="180" w:after="360"/>
      <w:jc w:val="left"/>
    </w:pPr>
    <w:rPr>
      <w:sz w:val="20"/>
      <w:szCs w:val="20"/>
      <w:lang w:eastAsia="en-US"/>
    </w:rPr>
  </w:style>
  <w:style w:type="character" w:customStyle="1" w:styleId="Level3Char">
    <w:name w:val="Level 3 Char"/>
    <w:link w:val="Level3"/>
    <w:rsid w:val="00A012F7"/>
    <w:rPr>
      <w:rFonts w:ascii="Arial" w:eastAsia="SimSun" w:hAnsi="Arial"/>
      <w:sz w:val="22"/>
      <w:szCs w:val="22"/>
    </w:rPr>
  </w:style>
  <w:style w:type="character" w:customStyle="1" w:styleId="DeltaViewInsertion">
    <w:name w:val="DeltaView Insertion"/>
    <w:rsid w:val="005F0682"/>
    <w:rPr>
      <w:b/>
      <w:bCs/>
      <w:color w:val="000000"/>
      <w:spacing w:val="0"/>
      <w:u w:val="double"/>
    </w:rPr>
  </w:style>
  <w:style w:type="paragraph" w:styleId="BodyText">
    <w:name w:val="Body Text"/>
    <w:basedOn w:val="Normal"/>
    <w:link w:val="BodyTextChar"/>
    <w:rsid w:val="000205EA"/>
    <w:rPr>
      <w:rFonts w:eastAsia="SimSun"/>
      <w:lang w:eastAsia="zh-CN"/>
    </w:rPr>
  </w:style>
  <w:style w:type="paragraph" w:styleId="ListBullet">
    <w:name w:val="List Bullet"/>
    <w:basedOn w:val="Normal"/>
    <w:link w:val="ListBulletChar"/>
    <w:rsid w:val="000205EA"/>
    <w:pPr>
      <w:tabs>
        <w:tab w:val="num" w:pos="1134"/>
      </w:tabs>
      <w:spacing w:before="120"/>
      <w:ind w:left="1134" w:hanging="283"/>
      <w:jc w:val="left"/>
    </w:pPr>
    <w:rPr>
      <w:sz w:val="24"/>
      <w:szCs w:val="24"/>
      <w:lang w:eastAsia="en-US"/>
    </w:rPr>
  </w:style>
  <w:style w:type="character" w:customStyle="1" w:styleId="ListBulletChar">
    <w:name w:val="List Bullet Char"/>
    <w:link w:val="ListBullet"/>
    <w:rsid w:val="000205EA"/>
    <w:rPr>
      <w:rFonts w:ascii="Arial" w:hAnsi="Arial"/>
      <w:sz w:val="24"/>
      <w:szCs w:val="24"/>
      <w:lang w:val="en-GB" w:eastAsia="en-US" w:bidi="ar-SA"/>
    </w:rPr>
  </w:style>
  <w:style w:type="paragraph" w:styleId="Index1">
    <w:name w:val="index 1"/>
    <w:basedOn w:val="Normal"/>
    <w:next w:val="Normal"/>
    <w:autoRedefine/>
    <w:semiHidden/>
    <w:rsid w:val="003C1877"/>
    <w:pPr>
      <w:spacing w:after="120"/>
      <w:ind w:left="221" w:hanging="221"/>
    </w:pPr>
  </w:style>
  <w:style w:type="paragraph" w:customStyle="1" w:styleId="TfL-Apptitle">
    <w:name w:val="TfL - App title"/>
    <w:basedOn w:val="Index1"/>
    <w:next w:val="Normal"/>
    <w:rsid w:val="00FA4CDB"/>
    <w:pPr>
      <w:spacing w:before="360" w:after="180"/>
    </w:pPr>
    <w:rPr>
      <w:b/>
      <w:caps/>
      <w:sz w:val="28"/>
      <w:szCs w:val="28"/>
    </w:rPr>
  </w:style>
  <w:style w:type="character" w:customStyle="1" w:styleId="TfL-Appendix2CharChar">
    <w:name w:val="TfL - Appendix 2 Char Char"/>
    <w:rsid w:val="00FA4CDB"/>
    <w:rPr>
      <w:rFonts w:ascii="Arial" w:hAnsi="Arial"/>
      <w:b/>
      <w:caps/>
      <w:sz w:val="28"/>
      <w:szCs w:val="28"/>
      <w:lang w:val="en-GB" w:eastAsia="en-US" w:bidi="ar-SA"/>
    </w:rPr>
  </w:style>
  <w:style w:type="paragraph" w:customStyle="1" w:styleId="TfL-Appendix3">
    <w:name w:val="TfL - Appendix 3"/>
    <w:basedOn w:val="Normal"/>
    <w:link w:val="TfL-Appendix3CharChar"/>
    <w:rsid w:val="00FA4CDB"/>
    <w:pPr>
      <w:tabs>
        <w:tab w:val="num" w:pos="3119"/>
      </w:tabs>
      <w:spacing w:before="120"/>
      <w:ind w:left="3119" w:hanging="1276"/>
      <w:jc w:val="left"/>
      <w:outlineLvl w:val="2"/>
    </w:pPr>
    <w:rPr>
      <w:b/>
      <w:caps/>
      <w:sz w:val="24"/>
      <w:szCs w:val="24"/>
      <w:lang w:eastAsia="en-US"/>
    </w:rPr>
  </w:style>
  <w:style w:type="character" w:customStyle="1" w:styleId="TfL-Appendix3CharChar">
    <w:name w:val="TfL - Appendix 3 Char Char"/>
    <w:link w:val="TfL-Appendix3"/>
    <w:rsid w:val="00FA4CDB"/>
    <w:rPr>
      <w:rFonts w:ascii="Arial" w:hAnsi="Arial"/>
      <w:b/>
      <w:caps/>
      <w:sz w:val="24"/>
      <w:szCs w:val="24"/>
      <w:lang w:eastAsia="en-US"/>
    </w:rPr>
  </w:style>
  <w:style w:type="paragraph" w:customStyle="1" w:styleId="Bulleti">
    <w:name w:val="Bullet i"/>
    <w:basedOn w:val="Normal"/>
    <w:rsid w:val="008926C5"/>
    <w:pPr>
      <w:numPr>
        <w:numId w:val="9"/>
      </w:numPr>
      <w:jc w:val="left"/>
    </w:pPr>
    <w:rPr>
      <w:rFonts w:ascii="Times New Roman" w:hAnsi="Times New Roman"/>
      <w:szCs w:val="24"/>
      <w:lang w:eastAsia="en-US"/>
    </w:rPr>
  </w:style>
  <w:style w:type="table" w:styleId="TableGrid1">
    <w:name w:val="Table Grid 1"/>
    <w:basedOn w:val="TableNormal"/>
    <w:rsid w:val="0054695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link w:val="Heading1"/>
    <w:uiPriority w:val="19"/>
    <w:rsid w:val="003C1877"/>
    <w:rPr>
      <w:rFonts w:ascii="Arial" w:hAnsi="Arial"/>
      <w:b/>
      <w:bCs/>
      <w:kern w:val="32"/>
      <w:sz w:val="22"/>
      <w:szCs w:val="28"/>
      <w:u w:val="single"/>
    </w:rPr>
  </w:style>
  <w:style w:type="character" w:styleId="Emphasis">
    <w:name w:val="Emphasis"/>
    <w:qFormat/>
    <w:rsid w:val="005E13C1"/>
    <w:rPr>
      <w:i/>
      <w:iCs/>
    </w:rPr>
  </w:style>
  <w:style w:type="paragraph" w:styleId="NormalWeb">
    <w:name w:val="Normal (Web)"/>
    <w:basedOn w:val="Normal"/>
    <w:rsid w:val="00A42F3E"/>
    <w:pPr>
      <w:spacing w:before="100" w:beforeAutospacing="1" w:after="100" w:afterAutospacing="1"/>
      <w:jc w:val="left"/>
    </w:pPr>
    <w:rPr>
      <w:rFonts w:ascii="Times New Roman" w:hAnsi="Times New Roman"/>
      <w:szCs w:val="24"/>
    </w:rPr>
  </w:style>
  <w:style w:type="paragraph" w:styleId="DocumentMap">
    <w:name w:val="Document Map"/>
    <w:basedOn w:val="Normal"/>
    <w:link w:val="DocumentMapChar"/>
    <w:semiHidden/>
    <w:rsid w:val="0000066E"/>
    <w:pPr>
      <w:shd w:val="clear" w:color="auto" w:fill="000080"/>
    </w:pPr>
    <w:rPr>
      <w:rFonts w:ascii="Tahoma" w:eastAsia="SimSun" w:hAnsi="Tahoma"/>
      <w:lang w:eastAsia="zh-CN"/>
    </w:rPr>
  </w:style>
  <w:style w:type="paragraph" w:customStyle="1" w:styleId="TCMSsub">
    <w:name w:val="TCMS sub"/>
    <w:basedOn w:val="Normal"/>
    <w:next w:val="Normal"/>
    <w:autoRedefine/>
    <w:rsid w:val="00960812"/>
    <w:pPr>
      <w:keepNext/>
      <w:keepLines/>
      <w:numPr>
        <w:numId w:val="12"/>
      </w:numPr>
      <w:tabs>
        <w:tab w:val="clear" w:pos="720"/>
        <w:tab w:val="num" w:pos="1134"/>
      </w:tabs>
      <w:spacing w:before="60" w:after="60"/>
      <w:ind w:left="1134" w:hanging="1134"/>
      <w:jc w:val="left"/>
      <w:outlineLvl w:val="2"/>
    </w:pPr>
    <w:rPr>
      <w:b/>
      <w:color w:val="0000FF"/>
      <w:sz w:val="28"/>
      <w:szCs w:val="28"/>
    </w:rPr>
  </w:style>
  <w:style w:type="paragraph" w:styleId="CommentSubject">
    <w:name w:val="annotation subject"/>
    <w:basedOn w:val="CommentText"/>
    <w:next w:val="CommentText"/>
    <w:link w:val="CommentSubjectChar"/>
    <w:semiHidden/>
    <w:rsid w:val="00340A21"/>
    <w:pPr>
      <w:spacing w:before="0" w:after="0"/>
      <w:jc w:val="both"/>
    </w:pPr>
    <w:rPr>
      <w:rFonts w:ascii="Verdana" w:eastAsia="SimSun" w:hAnsi="Verdana"/>
      <w:b/>
      <w:bCs/>
      <w:szCs w:val="22"/>
    </w:rPr>
  </w:style>
  <w:style w:type="paragraph" w:customStyle="1" w:styleId="TfL-Bodytext">
    <w:name w:val="TfL - Body text"/>
    <w:basedOn w:val="BodyText"/>
    <w:link w:val="TfL-BodytextChar"/>
    <w:rsid w:val="00340A21"/>
    <w:pPr>
      <w:spacing w:before="120" w:after="60"/>
      <w:jc w:val="left"/>
    </w:pPr>
    <w:rPr>
      <w:rFonts w:eastAsia="Times New Roman"/>
      <w:sz w:val="24"/>
      <w:szCs w:val="24"/>
      <w:lang w:eastAsia="en-US"/>
    </w:rPr>
  </w:style>
  <w:style w:type="character" w:customStyle="1" w:styleId="TfL-BodytextChar">
    <w:name w:val="TfL - Body text Char"/>
    <w:link w:val="TfL-Bodytext"/>
    <w:rsid w:val="00340A21"/>
    <w:rPr>
      <w:rFonts w:ascii="Arial" w:hAnsi="Arial"/>
      <w:sz w:val="24"/>
      <w:szCs w:val="24"/>
      <w:lang w:val="en-GB" w:eastAsia="en-US" w:bidi="ar-SA"/>
    </w:rPr>
  </w:style>
  <w:style w:type="paragraph" w:customStyle="1" w:styleId="Footerwithpagenumber">
    <w:name w:val="Footer (with page number)"/>
    <w:rsid w:val="007219FC"/>
    <w:pPr>
      <w:tabs>
        <w:tab w:val="center" w:pos="4536"/>
      </w:tabs>
      <w:jc w:val="both"/>
    </w:pPr>
    <w:rPr>
      <w:rFonts w:ascii="Verdana" w:hAnsi="Verdana"/>
      <w:noProof/>
      <w:sz w:val="16"/>
    </w:rPr>
  </w:style>
  <w:style w:type="character" w:styleId="Hyperlink">
    <w:name w:val="Hyperlink"/>
    <w:uiPriority w:val="99"/>
    <w:rsid w:val="00FD39F3"/>
    <w:rPr>
      <w:color w:val="0000FF"/>
      <w:u w:val="single"/>
    </w:rPr>
  </w:style>
  <w:style w:type="character" w:customStyle="1" w:styleId="CommentTextChar">
    <w:name w:val="Comment Text Char"/>
    <w:link w:val="CommentText"/>
    <w:uiPriority w:val="99"/>
    <w:semiHidden/>
    <w:rsid w:val="004436C6"/>
    <w:rPr>
      <w:rFonts w:ascii="Arial" w:hAnsi="Arial"/>
      <w:lang w:eastAsia="en-US"/>
    </w:rPr>
  </w:style>
  <w:style w:type="paragraph" w:customStyle="1" w:styleId="NumText">
    <w:name w:val="NumText"/>
    <w:basedOn w:val="Normal"/>
    <w:rsid w:val="004436C6"/>
    <w:pPr>
      <w:numPr>
        <w:ilvl w:val="1"/>
        <w:numId w:val="13"/>
      </w:numPr>
      <w:spacing w:after="284" w:line="280" w:lineRule="exact"/>
      <w:jc w:val="left"/>
    </w:pPr>
    <w:rPr>
      <w:rFonts w:ascii="Garamond" w:hAnsi="Garamond"/>
      <w:szCs w:val="24"/>
      <w:lang w:eastAsia="en-US"/>
    </w:rPr>
  </w:style>
  <w:style w:type="paragraph" w:customStyle="1" w:styleId="NumHead">
    <w:name w:val="NumHead"/>
    <w:basedOn w:val="Normal"/>
    <w:next w:val="NumText"/>
    <w:rsid w:val="004436C6"/>
    <w:pPr>
      <w:keepNext/>
      <w:numPr>
        <w:numId w:val="13"/>
      </w:numPr>
      <w:spacing w:line="260" w:lineRule="atLeast"/>
      <w:jc w:val="left"/>
    </w:pPr>
    <w:rPr>
      <w:rFonts w:ascii="Arial Black" w:hAnsi="Arial Black"/>
      <w:sz w:val="21"/>
      <w:szCs w:val="21"/>
      <w:lang w:eastAsia="en-US"/>
    </w:rPr>
  </w:style>
  <w:style w:type="paragraph" w:styleId="Revision">
    <w:name w:val="Revision"/>
    <w:hidden/>
    <w:uiPriority w:val="99"/>
    <w:semiHidden/>
    <w:rsid w:val="0011274F"/>
    <w:rPr>
      <w:rFonts w:ascii="Verdana" w:hAnsi="Verdana"/>
    </w:rPr>
  </w:style>
  <w:style w:type="paragraph" w:customStyle="1" w:styleId="ssNoHeading3">
    <w:name w:val="ssNoHeading3"/>
    <w:basedOn w:val="Heading3"/>
    <w:uiPriority w:val="29"/>
    <w:qFormat/>
    <w:rsid w:val="003C1877"/>
    <w:pPr>
      <w:keepNext w:val="0"/>
      <w:keepLines w:val="0"/>
    </w:pPr>
    <w:rPr>
      <w:b w:val="0"/>
    </w:rPr>
  </w:style>
  <w:style w:type="paragraph" w:customStyle="1" w:styleId="ssNoHeading2">
    <w:name w:val="ssNoHeading2"/>
    <w:basedOn w:val="Heading2"/>
    <w:uiPriority w:val="29"/>
    <w:qFormat/>
    <w:rsid w:val="003C1877"/>
    <w:pPr>
      <w:keepNext w:val="0"/>
      <w:keepLines w:val="0"/>
    </w:pPr>
    <w:rPr>
      <w:b w:val="0"/>
    </w:rPr>
  </w:style>
  <w:style w:type="character" w:styleId="PlaceholderText">
    <w:name w:val="Placeholder Text"/>
    <w:uiPriority w:val="99"/>
    <w:semiHidden/>
    <w:rsid w:val="00AB2C64"/>
    <w:rPr>
      <w:color w:val="808080"/>
    </w:rPr>
  </w:style>
  <w:style w:type="paragraph" w:customStyle="1" w:styleId="TfL-Appendix2">
    <w:name w:val="TfL - Appendix 2"/>
    <w:basedOn w:val="BodyText"/>
    <w:next w:val="BodyText"/>
    <w:rsid w:val="00B84BE2"/>
    <w:pPr>
      <w:tabs>
        <w:tab w:val="num" w:pos="907"/>
      </w:tabs>
      <w:spacing w:before="360" w:after="180"/>
      <w:ind w:left="907" w:hanging="907"/>
      <w:jc w:val="left"/>
    </w:pPr>
    <w:rPr>
      <w:b/>
      <w:caps/>
      <w:sz w:val="28"/>
      <w:szCs w:val="28"/>
      <w:lang w:eastAsia="en-US"/>
    </w:rPr>
  </w:style>
  <w:style w:type="paragraph" w:styleId="NoSpacing">
    <w:name w:val="No Spacing"/>
    <w:uiPriority w:val="1"/>
    <w:qFormat/>
    <w:rsid w:val="003C1877"/>
    <w:pPr>
      <w:jc w:val="both"/>
    </w:pPr>
    <w:rPr>
      <w:rFonts w:ascii="Arial" w:hAnsi="Arial"/>
      <w:sz w:val="22"/>
      <w:szCs w:val="22"/>
    </w:rPr>
  </w:style>
  <w:style w:type="character" w:customStyle="1" w:styleId="Level2Char">
    <w:name w:val="Level 2 Char"/>
    <w:link w:val="Level2"/>
    <w:locked/>
    <w:rsid w:val="0033628A"/>
    <w:rPr>
      <w:rFonts w:ascii="Arial" w:hAnsi="Arial"/>
      <w:sz w:val="24"/>
    </w:rPr>
  </w:style>
  <w:style w:type="paragraph" w:styleId="ListParagraph">
    <w:name w:val="List Paragraph"/>
    <w:basedOn w:val="Normal"/>
    <w:uiPriority w:val="34"/>
    <w:qFormat/>
    <w:rsid w:val="00B903E7"/>
    <w:pPr>
      <w:ind w:left="720"/>
    </w:pPr>
  </w:style>
  <w:style w:type="paragraph" w:styleId="EndnoteText">
    <w:name w:val="endnote text"/>
    <w:basedOn w:val="Normal"/>
    <w:link w:val="EndnoteTextChar"/>
    <w:uiPriority w:val="99"/>
    <w:semiHidden/>
    <w:unhideWhenUsed/>
    <w:rsid w:val="00B47E45"/>
    <w:rPr>
      <w:sz w:val="20"/>
      <w:szCs w:val="20"/>
    </w:rPr>
  </w:style>
  <w:style w:type="character" w:customStyle="1" w:styleId="EndnoteTextChar">
    <w:name w:val="Endnote Text Char"/>
    <w:link w:val="EndnoteText"/>
    <w:uiPriority w:val="99"/>
    <w:semiHidden/>
    <w:rsid w:val="00B47E45"/>
    <w:rPr>
      <w:rFonts w:ascii="Arial" w:hAnsi="Arial"/>
    </w:rPr>
  </w:style>
  <w:style w:type="character" w:styleId="EndnoteReference">
    <w:name w:val="endnote reference"/>
    <w:uiPriority w:val="99"/>
    <w:semiHidden/>
    <w:unhideWhenUsed/>
    <w:rsid w:val="00B47E45"/>
    <w:rPr>
      <w:vertAlign w:val="superscript"/>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link w:val="Heading5"/>
    <w:uiPriority w:val="19"/>
    <w:rsid w:val="003C1877"/>
    <w:rPr>
      <w:rFonts w:ascii="Arial" w:hAnsi="Arial"/>
      <w:b/>
      <w:sz w:val="22"/>
      <w:szCs w:val="22"/>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link w:val="Heading6"/>
    <w:uiPriority w:val="19"/>
    <w:rsid w:val="003C1877"/>
    <w:rPr>
      <w:rFonts w:ascii="Arial" w:hAnsi="Arial"/>
      <w:b/>
      <w:iCs/>
      <w:sz w:val="22"/>
      <w:szCs w:val="22"/>
    </w:rPr>
  </w:style>
  <w:style w:type="character" w:customStyle="1" w:styleId="Heading7Char">
    <w:name w:val="Heading 7 Char"/>
    <w:link w:val="Heading7"/>
    <w:rsid w:val="008F270D"/>
    <w:rPr>
      <w:rFonts w:ascii="Arial" w:hAnsi="Arial"/>
      <w:sz w:val="22"/>
      <w:szCs w:val="24"/>
    </w:rPr>
  </w:style>
  <w:style w:type="character" w:customStyle="1" w:styleId="Heading8Char">
    <w:name w:val="Heading 8 Char"/>
    <w:link w:val="Heading8"/>
    <w:rsid w:val="008F270D"/>
    <w:rPr>
      <w:rFonts w:ascii="Arial" w:hAnsi="Arial"/>
      <w:iCs/>
      <w:sz w:val="22"/>
      <w:szCs w:val="24"/>
    </w:rPr>
  </w:style>
  <w:style w:type="character" w:customStyle="1" w:styleId="Heading9Char">
    <w:name w:val="Heading 9 Char"/>
    <w:link w:val="Heading9"/>
    <w:rsid w:val="008F270D"/>
    <w:rPr>
      <w:rFonts w:ascii="Arial" w:hAnsi="Arial" w:cs="Arial"/>
      <w:sz w:val="22"/>
      <w:szCs w:val="22"/>
    </w:rPr>
  </w:style>
  <w:style w:type="paragraph" w:customStyle="1" w:styleId="ssContactDetails">
    <w:name w:val="ssContactDetails"/>
    <w:basedOn w:val="Normal"/>
    <w:rsid w:val="003C1877"/>
    <w:pPr>
      <w:spacing w:line="260" w:lineRule="exact"/>
    </w:pPr>
    <w:rPr>
      <w:rFonts w:eastAsia="MS PMincho"/>
      <w:sz w:val="16"/>
      <w:szCs w:val="16"/>
      <w:lang w:eastAsia="ja-JP"/>
    </w:rPr>
  </w:style>
  <w:style w:type="paragraph" w:customStyle="1" w:styleId="ssSpacingLine">
    <w:name w:val="ssSpacingLine"/>
    <w:basedOn w:val="Normal"/>
    <w:semiHidden/>
    <w:rsid w:val="003C1877"/>
    <w:pPr>
      <w:spacing w:line="260" w:lineRule="atLeast"/>
    </w:pPr>
    <w:rPr>
      <w:rFonts w:eastAsia="MS Mincho"/>
      <w:lang w:eastAsia="ja-JP"/>
    </w:rPr>
  </w:style>
  <w:style w:type="paragraph" w:customStyle="1" w:styleId="ssUserEntry">
    <w:name w:val="ssUserEntry"/>
    <w:basedOn w:val="Normal"/>
    <w:semiHidden/>
    <w:rsid w:val="003C1877"/>
    <w:pPr>
      <w:spacing w:line="260" w:lineRule="exact"/>
    </w:pPr>
    <w:rPr>
      <w:rFonts w:eastAsia="MS Mincho"/>
      <w:lang w:eastAsia="ja-JP"/>
    </w:rPr>
  </w:style>
  <w:style w:type="character" w:customStyle="1" w:styleId="FooterChar">
    <w:name w:val="Footer Char"/>
    <w:link w:val="Footer"/>
    <w:uiPriority w:val="99"/>
    <w:rsid w:val="003C1877"/>
    <w:rPr>
      <w:rFonts w:ascii="Arial" w:hAnsi="Arial"/>
      <w:sz w:val="12"/>
    </w:rPr>
  </w:style>
  <w:style w:type="paragraph" w:customStyle="1" w:styleId="ssLegendsUnderlined">
    <w:name w:val="ssLegendsUnderlined"/>
    <w:basedOn w:val="Normal"/>
    <w:uiPriority w:val="99"/>
    <w:rsid w:val="003C1877"/>
    <w:pPr>
      <w:spacing w:line="260" w:lineRule="exact"/>
      <w:jc w:val="right"/>
    </w:pPr>
    <w:rPr>
      <w:rFonts w:eastAsia="MS Mincho"/>
      <w:b/>
      <w:u w:val="single"/>
      <w:lang w:eastAsia="ja-JP"/>
    </w:rPr>
  </w:style>
  <w:style w:type="paragraph" w:customStyle="1" w:styleId="ssDocName">
    <w:name w:val="ssDocName"/>
    <w:basedOn w:val="Normal"/>
    <w:semiHidden/>
    <w:rsid w:val="003C1877"/>
    <w:pPr>
      <w:spacing w:before="120" w:after="800" w:line="260" w:lineRule="atLeast"/>
    </w:pPr>
    <w:rPr>
      <w:rFonts w:eastAsia="MS Mincho"/>
      <w:sz w:val="54"/>
      <w:szCs w:val="54"/>
    </w:rPr>
  </w:style>
  <w:style w:type="paragraph" w:customStyle="1" w:styleId="ssRole">
    <w:name w:val="ssRole"/>
    <w:basedOn w:val="Normal"/>
    <w:semiHidden/>
    <w:rsid w:val="003C1877"/>
    <w:pPr>
      <w:spacing w:line="260" w:lineRule="atLeast"/>
    </w:pPr>
    <w:rPr>
      <w:sz w:val="18"/>
      <w:szCs w:val="18"/>
    </w:rPr>
  </w:style>
  <w:style w:type="paragraph" w:customStyle="1" w:styleId="ssParty">
    <w:name w:val="ssParty"/>
    <w:basedOn w:val="Normal"/>
    <w:uiPriority w:val="99"/>
    <w:rsid w:val="003C1877"/>
    <w:pPr>
      <w:spacing w:line="260" w:lineRule="atLeast"/>
    </w:pPr>
    <w:rPr>
      <w:sz w:val="28"/>
      <w:szCs w:val="28"/>
    </w:rPr>
  </w:style>
  <w:style w:type="paragraph" w:customStyle="1" w:styleId="ssContents">
    <w:name w:val="ssContents"/>
    <w:basedOn w:val="Normal"/>
    <w:semiHidden/>
    <w:rsid w:val="003C1877"/>
    <w:pPr>
      <w:spacing w:before="20"/>
      <w:jc w:val="center"/>
    </w:pPr>
    <w:rPr>
      <w:b/>
      <w:caps/>
    </w:rPr>
  </w:style>
  <w:style w:type="paragraph" w:customStyle="1" w:styleId="ssAgrTypeText">
    <w:name w:val="ssAgrTypeText"/>
    <w:basedOn w:val="ssUserEntry"/>
    <w:uiPriority w:val="99"/>
    <w:rsid w:val="003C1877"/>
    <w:rPr>
      <w:b/>
      <w:bCs/>
      <w:caps/>
      <w:u w:val="single"/>
    </w:rPr>
  </w:style>
  <w:style w:type="paragraph" w:customStyle="1" w:styleId="ssPara1">
    <w:name w:val="ssPara1"/>
    <w:basedOn w:val="Normal"/>
    <w:link w:val="ssPara1Char"/>
    <w:uiPriority w:val="34"/>
    <w:qFormat/>
    <w:rsid w:val="003C1877"/>
    <w:pPr>
      <w:spacing w:after="260"/>
    </w:pPr>
  </w:style>
  <w:style w:type="paragraph" w:customStyle="1" w:styleId="ssPara2">
    <w:name w:val="ssPara2"/>
    <w:basedOn w:val="Normal"/>
    <w:uiPriority w:val="34"/>
    <w:qFormat/>
    <w:rsid w:val="003C1877"/>
    <w:pPr>
      <w:spacing w:after="260"/>
      <w:ind w:left="709"/>
    </w:pPr>
  </w:style>
  <w:style w:type="paragraph" w:customStyle="1" w:styleId="ssPara3">
    <w:name w:val="ssPara3"/>
    <w:basedOn w:val="Normal"/>
    <w:uiPriority w:val="34"/>
    <w:qFormat/>
    <w:rsid w:val="003C1877"/>
    <w:pPr>
      <w:spacing w:after="260"/>
      <w:ind w:left="1418"/>
    </w:pPr>
  </w:style>
  <w:style w:type="paragraph" w:customStyle="1" w:styleId="ssPara4">
    <w:name w:val="ssPara4"/>
    <w:basedOn w:val="Normal"/>
    <w:uiPriority w:val="34"/>
    <w:qFormat/>
    <w:rsid w:val="003C1877"/>
    <w:pPr>
      <w:spacing w:after="260"/>
      <w:ind w:left="1985"/>
    </w:pPr>
  </w:style>
  <w:style w:type="paragraph" w:customStyle="1" w:styleId="ssPara5">
    <w:name w:val="ssPara5"/>
    <w:basedOn w:val="Normal"/>
    <w:uiPriority w:val="34"/>
    <w:qFormat/>
    <w:rsid w:val="003C1877"/>
    <w:pPr>
      <w:spacing w:after="260"/>
      <w:ind w:left="2552"/>
    </w:pPr>
  </w:style>
  <w:style w:type="paragraph" w:customStyle="1" w:styleId="ssPara6">
    <w:name w:val="ssPara6"/>
    <w:basedOn w:val="Normal"/>
    <w:uiPriority w:val="34"/>
    <w:qFormat/>
    <w:rsid w:val="003C1877"/>
    <w:pPr>
      <w:spacing w:after="260"/>
      <w:ind w:left="3119"/>
    </w:pPr>
  </w:style>
  <w:style w:type="paragraph" w:customStyle="1" w:styleId="ssNoHeading1">
    <w:name w:val="ssNoHeading1"/>
    <w:basedOn w:val="Heading1"/>
    <w:uiPriority w:val="29"/>
    <w:qFormat/>
    <w:rsid w:val="003C1877"/>
    <w:pPr>
      <w:keepNext w:val="0"/>
      <w:keepLines w:val="0"/>
    </w:pPr>
    <w:rPr>
      <w:b w:val="0"/>
      <w:u w:val="none"/>
    </w:rPr>
  </w:style>
  <w:style w:type="paragraph" w:customStyle="1" w:styleId="ssNoHeading4">
    <w:name w:val="ssNoHeading4"/>
    <w:basedOn w:val="Heading4"/>
    <w:uiPriority w:val="29"/>
    <w:qFormat/>
    <w:rsid w:val="003C1877"/>
    <w:pPr>
      <w:keepNext w:val="0"/>
      <w:keepLines w:val="0"/>
    </w:pPr>
    <w:rPr>
      <w:b w:val="0"/>
    </w:rPr>
  </w:style>
  <w:style w:type="paragraph" w:customStyle="1" w:styleId="ssNoHeading5">
    <w:name w:val="ssNoHeading5"/>
    <w:basedOn w:val="Heading5"/>
    <w:uiPriority w:val="29"/>
    <w:qFormat/>
    <w:rsid w:val="003C1877"/>
    <w:pPr>
      <w:keepNext w:val="0"/>
      <w:keepLines w:val="0"/>
    </w:pPr>
    <w:rPr>
      <w:b w:val="0"/>
    </w:rPr>
  </w:style>
  <w:style w:type="paragraph" w:customStyle="1" w:styleId="ssNoHeading6">
    <w:name w:val="ssNoHeading6"/>
    <w:basedOn w:val="Heading6"/>
    <w:uiPriority w:val="29"/>
    <w:qFormat/>
    <w:rsid w:val="003C1877"/>
    <w:pPr>
      <w:keepNext w:val="0"/>
      <w:keepLines w:val="0"/>
    </w:pPr>
    <w:rPr>
      <w:b w:val="0"/>
    </w:rPr>
  </w:style>
  <w:style w:type="paragraph" w:customStyle="1" w:styleId="ssRestartNumber">
    <w:name w:val="ssRestartNumber"/>
    <w:basedOn w:val="Normal"/>
    <w:next w:val="ssPara1"/>
    <w:uiPriority w:val="38"/>
    <w:rsid w:val="003C1877"/>
    <w:pPr>
      <w:numPr>
        <w:numId w:val="16"/>
      </w:numPr>
    </w:pPr>
    <w:rPr>
      <w:color w:val="FF0000"/>
    </w:rPr>
  </w:style>
  <w:style w:type="paragraph" w:customStyle="1" w:styleId="ssqPart">
    <w:name w:val="ssqPart"/>
    <w:basedOn w:val="ssPara1"/>
    <w:next w:val="ssPara1"/>
    <w:uiPriority w:val="43"/>
    <w:qFormat/>
    <w:rsid w:val="003C1877"/>
    <w:pPr>
      <w:numPr>
        <w:ilvl w:val="1"/>
        <w:numId w:val="21"/>
      </w:numPr>
      <w:tabs>
        <w:tab w:val="num" w:pos="360"/>
      </w:tabs>
      <w:jc w:val="center"/>
    </w:pPr>
    <w:rPr>
      <w:rFonts w:eastAsia="Arial"/>
      <w:b/>
      <w:caps/>
      <w:lang w:eastAsia="en-US"/>
    </w:rPr>
  </w:style>
  <w:style w:type="paragraph" w:customStyle="1" w:styleId="ssRestartPart">
    <w:name w:val="ssRestartPart"/>
    <w:basedOn w:val="Normal"/>
    <w:next w:val="ssPara1"/>
    <w:uiPriority w:val="44"/>
    <w:rsid w:val="003C1877"/>
    <w:pPr>
      <w:numPr>
        <w:numId w:val="21"/>
      </w:numPr>
    </w:pPr>
    <w:rPr>
      <w:rFonts w:eastAsia="Arial"/>
      <w:color w:val="FF0000"/>
      <w:lang w:eastAsia="en-US"/>
    </w:rPr>
  </w:style>
  <w:style w:type="paragraph" w:customStyle="1" w:styleId="ssRestartSchedule">
    <w:name w:val="ssRestartSchedule"/>
    <w:basedOn w:val="Normal"/>
    <w:next w:val="ssPara1"/>
    <w:uiPriority w:val="46"/>
    <w:rsid w:val="003C1877"/>
    <w:pPr>
      <w:numPr>
        <w:numId w:val="25"/>
      </w:numPr>
    </w:pPr>
    <w:rPr>
      <w:rFonts w:eastAsia="Arial"/>
      <w:color w:val="FF0000"/>
      <w:lang w:eastAsia="en-US"/>
    </w:rPr>
  </w:style>
  <w:style w:type="paragraph" w:customStyle="1" w:styleId="ssqSchedule">
    <w:name w:val="ssqSchedule"/>
    <w:basedOn w:val="ssPara1"/>
    <w:next w:val="ssPara1"/>
    <w:uiPriority w:val="45"/>
    <w:qFormat/>
    <w:rsid w:val="003C1877"/>
    <w:pPr>
      <w:numPr>
        <w:ilvl w:val="1"/>
        <w:numId w:val="25"/>
      </w:numPr>
      <w:jc w:val="center"/>
    </w:pPr>
    <w:rPr>
      <w:rFonts w:eastAsia="Arial"/>
      <w:b/>
      <w:caps/>
      <w:lang w:eastAsia="en-US"/>
    </w:rPr>
  </w:style>
  <w:style w:type="paragraph" w:customStyle="1" w:styleId="ssqExhibit">
    <w:name w:val="ssqExhibit"/>
    <w:basedOn w:val="ssPara1"/>
    <w:next w:val="ssPara1"/>
    <w:uiPriority w:val="41"/>
    <w:qFormat/>
    <w:rsid w:val="003C1877"/>
    <w:pPr>
      <w:numPr>
        <w:ilvl w:val="1"/>
        <w:numId w:val="24"/>
      </w:numPr>
      <w:jc w:val="center"/>
    </w:pPr>
    <w:rPr>
      <w:rFonts w:eastAsia="Arial"/>
      <w:b/>
      <w:caps/>
      <w:lang w:eastAsia="en-US"/>
    </w:rPr>
  </w:style>
  <w:style w:type="paragraph" w:customStyle="1" w:styleId="ssRestartExhibit">
    <w:name w:val="ssRestartExhibit"/>
    <w:basedOn w:val="Normal"/>
    <w:next w:val="ssPara1"/>
    <w:uiPriority w:val="42"/>
    <w:rsid w:val="003C1877"/>
    <w:pPr>
      <w:numPr>
        <w:numId w:val="24"/>
      </w:numPr>
    </w:pPr>
    <w:rPr>
      <w:rFonts w:eastAsia="Arial"/>
      <w:color w:val="FF0000"/>
      <w:lang w:eastAsia="en-US"/>
    </w:rPr>
  </w:style>
  <w:style w:type="paragraph" w:customStyle="1" w:styleId="ssqToCAdd">
    <w:name w:val="ssqToCAdd"/>
    <w:basedOn w:val="ssPara1"/>
    <w:next w:val="ssPara1"/>
    <w:uiPriority w:val="49"/>
    <w:qFormat/>
    <w:rsid w:val="003C1877"/>
  </w:style>
  <w:style w:type="paragraph" w:customStyle="1" w:styleId="ssqAppendix">
    <w:name w:val="ssqAppendix"/>
    <w:basedOn w:val="ssPara1"/>
    <w:next w:val="ssPara1"/>
    <w:uiPriority w:val="39"/>
    <w:qFormat/>
    <w:rsid w:val="003C1877"/>
    <w:pPr>
      <w:numPr>
        <w:ilvl w:val="1"/>
        <w:numId w:val="23"/>
      </w:numPr>
      <w:jc w:val="center"/>
    </w:pPr>
    <w:rPr>
      <w:rFonts w:eastAsia="Arial"/>
      <w:b/>
      <w:caps/>
      <w:lang w:eastAsia="en-US"/>
    </w:rPr>
  </w:style>
  <w:style w:type="paragraph" w:customStyle="1" w:styleId="ssRestartAppendix">
    <w:name w:val="ssRestartAppendix"/>
    <w:basedOn w:val="Normal"/>
    <w:next w:val="ssPara1"/>
    <w:uiPriority w:val="40"/>
    <w:rsid w:val="003C1877"/>
    <w:pPr>
      <w:numPr>
        <w:numId w:val="23"/>
      </w:numPr>
    </w:pPr>
    <w:rPr>
      <w:rFonts w:eastAsia="Arial"/>
      <w:color w:val="FF0000"/>
      <w:lang w:eastAsia="en-US"/>
    </w:rPr>
  </w:style>
  <w:style w:type="character" w:customStyle="1" w:styleId="BalloonTextChar">
    <w:name w:val="Balloon Text Char"/>
    <w:link w:val="BalloonText"/>
    <w:semiHidden/>
    <w:rsid w:val="003C1877"/>
    <w:rPr>
      <w:rFonts w:ascii="Tahoma" w:hAnsi="Tahoma" w:cs="Tahoma"/>
      <w:sz w:val="16"/>
      <w:szCs w:val="16"/>
    </w:r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link w:val="Heading2"/>
    <w:uiPriority w:val="19"/>
    <w:rsid w:val="003C1877"/>
    <w:rPr>
      <w:rFonts w:ascii="Arial" w:hAnsi="Arial"/>
      <w:b/>
      <w:bCs/>
      <w:sz w:val="22"/>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Minor Char,Para Heading 3 Char,h31 Char"/>
    <w:link w:val="Heading3"/>
    <w:uiPriority w:val="19"/>
    <w:rsid w:val="003C1877"/>
    <w:rPr>
      <w:rFonts w:ascii="Arial" w:hAnsi="Arial"/>
      <w:b/>
      <w:bCs/>
      <w:sz w:val="22"/>
      <w:szCs w:val="22"/>
    </w:rPr>
  </w:style>
  <w:style w:type="character" w:customStyle="1" w:styleId="Heading4Char">
    <w:name w:val="Heading 4 Char"/>
    <w:aliases w:val="Sub-Minor Char,Project table Char,Propos Char,Level 2 - a Char,Bullet 11 Char,Bullet 12 Char,Bullet 13 Char,Bullet 14 Char,Bullet 15 Char,Bullet 16 Char,h4 Char,H41 Char,H42 Char,H43 Char,H44 Char,H45 Char,H46 Char,H47 Char,H48 Char"/>
    <w:link w:val="Heading4"/>
    <w:uiPriority w:val="19"/>
    <w:rsid w:val="003C1877"/>
    <w:rPr>
      <w:rFonts w:ascii="Arial" w:hAnsi="Arial"/>
      <w:b/>
      <w:bCs/>
      <w:iCs/>
      <w:sz w:val="22"/>
      <w:szCs w:val="22"/>
    </w:rPr>
  </w:style>
  <w:style w:type="numbering" w:customStyle="1" w:styleId="ListHeadings">
    <w:name w:val="List Headings"/>
    <w:uiPriority w:val="99"/>
    <w:rsid w:val="003C1877"/>
    <w:pPr>
      <w:numPr>
        <w:numId w:val="15"/>
      </w:numPr>
    </w:pPr>
  </w:style>
  <w:style w:type="character" w:customStyle="1" w:styleId="HeaderChar">
    <w:name w:val="Header Char"/>
    <w:link w:val="Header"/>
    <w:rsid w:val="003C1877"/>
    <w:rPr>
      <w:rFonts w:ascii="Arial" w:hAnsi="Arial"/>
      <w:sz w:val="22"/>
      <w:szCs w:val="22"/>
    </w:rPr>
  </w:style>
  <w:style w:type="paragraph" w:styleId="IndexHeading">
    <w:name w:val="index heading"/>
    <w:basedOn w:val="Normal"/>
    <w:next w:val="Index1"/>
    <w:semiHidden/>
    <w:rsid w:val="003C1877"/>
    <w:pPr>
      <w:jc w:val="left"/>
    </w:pPr>
    <w:rPr>
      <w:b/>
      <w:bCs/>
    </w:rPr>
  </w:style>
  <w:style w:type="character" w:styleId="Strong">
    <w:name w:val="Strong"/>
    <w:qFormat/>
    <w:rsid w:val="003C1877"/>
    <w:rPr>
      <w:b/>
      <w:bCs/>
    </w:rPr>
  </w:style>
  <w:style w:type="paragraph" w:styleId="Subtitle">
    <w:name w:val="Subtitle"/>
    <w:basedOn w:val="Normal"/>
    <w:next w:val="Normal"/>
    <w:link w:val="SubtitleChar"/>
    <w:qFormat/>
    <w:rsid w:val="003C1877"/>
    <w:pPr>
      <w:numPr>
        <w:ilvl w:val="1"/>
      </w:numPr>
    </w:pPr>
    <w:rPr>
      <w:i/>
      <w:iCs/>
      <w:color w:val="4F81BD"/>
      <w:spacing w:val="15"/>
      <w:sz w:val="24"/>
      <w:szCs w:val="24"/>
    </w:rPr>
  </w:style>
  <w:style w:type="character" w:customStyle="1" w:styleId="SubtitleChar">
    <w:name w:val="Subtitle Char"/>
    <w:link w:val="Subtitle"/>
    <w:rsid w:val="003C1877"/>
    <w:rPr>
      <w:rFonts w:ascii="Arial" w:hAnsi="Arial"/>
      <w:i/>
      <w:iCs/>
      <w:color w:val="4F81BD"/>
      <w:spacing w:val="15"/>
      <w:sz w:val="24"/>
      <w:szCs w:val="24"/>
    </w:rPr>
  </w:style>
  <w:style w:type="paragraph" w:styleId="TableofAuthorities">
    <w:name w:val="table of authorities"/>
    <w:basedOn w:val="Normal"/>
    <w:next w:val="Normal"/>
    <w:semiHidden/>
    <w:rsid w:val="003C1877"/>
    <w:pPr>
      <w:ind w:left="220" w:hanging="220"/>
    </w:pPr>
  </w:style>
  <w:style w:type="paragraph" w:styleId="Title">
    <w:name w:val="Title"/>
    <w:basedOn w:val="Normal"/>
    <w:next w:val="Normal"/>
    <w:link w:val="TitleChar"/>
    <w:qFormat/>
    <w:rsid w:val="003C1877"/>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rsid w:val="003C1877"/>
    <w:rPr>
      <w:rFonts w:ascii="Arial" w:hAnsi="Arial"/>
      <w:color w:val="17365D"/>
      <w:spacing w:val="5"/>
      <w:kern w:val="28"/>
      <w:sz w:val="52"/>
      <w:szCs w:val="52"/>
    </w:rPr>
  </w:style>
  <w:style w:type="paragraph" w:styleId="TOAHeading">
    <w:name w:val="toa heading"/>
    <w:basedOn w:val="Normal"/>
    <w:next w:val="Normal"/>
    <w:semiHidden/>
    <w:rsid w:val="003C1877"/>
    <w:pPr>
      <w:spacing w:before="120"/>
    </w:pPr>
    <w:rPr>
      <w:b/>
      <w:bCs/>
      <w:sz w:val="24"/>
      <w:szCs w:val="24"/>
    </w:rPr>
  </w:style>
  <w:style w:type="paragraph" w:styleId="TOCHeading">
    <w:name w:val="TOC Heading"/>
    <w:basedOn w:val="Heading1"/>
    <w:next w:val="Normal"/>
    <w:uiPriority w:val="99"/>
    <w:unhideWhenUsed/>
    <w:qFormat/>
    <w:rsid w:val="003C1877"/>
    <w:pPr>
      <w:numPr>
        <w:ilvl w:val="0"/>
        <w:numId w:val="0"/>
      </w:numPr>
      <w:spacing w:before="480" w:after="0"/>
      <w:outlineLvl w:val="9"/>
    </w:pPr>
    <w:rPr>
      <w:color w:val="365F91"/>
      <w:kern w:val="0"/>
      <w:sz w:val="28"/>
      <w:u w:val="none"/>
    </w:rPr>
  </w:style>
  <w:style w:type="numbering" w:customStyle="1" w:styleId="AppendixNumbering">
    <w:name w:val="Appendix Numbering"/>
    <w:uiPriority w:val="99"/>
    <w:rsid w:val="003C1877"/>
    <w:pPr>
      <w:numPr>
        <w:numId w:val="17"/>
      </w:numPr>
    </w:pPr>
  </w:style>
  <w:style w:type="numbering" w:customStyle="1" w:styleId="ExhibitNumbering">
    <w:name w:val="Exhibit Numbering"/>
    <w:uiPriority w:val="99"/>
    <w:rsid w:val="003C1877"/>
    <w:pPr>
      <w:numPr>
        <w:numId w:val="18"/>
      </w:numPr>
    </w:pPr>
  </w:style>
  <w:style w:type="numbering" w:customStyle="1" w:styleId="PartNumbering">
    <w:name w:val="Part Numbering"/>
    <w:uiPriority w:val="99"/>
    <w:rsid w:val="003C1877"/>
    <w:pPr>
      <w:numPr>
        <w:numId w:val="19"/>
      </w:numPr>
    </w:pPr>
  </w:style>
  <w:style w:type="numbering" w:customStyle="1" w:styleId="ScheduleNumbering">
    <w:name w:val="Schedule Numbering"/>
    <w:uiPriority w:val="99"/>
    <w:rsid w:val="003C1877"/>
    <w:pPr>
      <w:numPr>
        <w:numId w:val="20"/>
      </w:numPr>
    </w:pPr>
  </w:style>
  <w:style w:type="paragraph" w:styleId="Index2">
    <w:name w:val="index 2"/>
    <w:basedOn w:val="Normal"/>
    <w:next w:val="Normal"/>
    <w:autoRedefine/>
    <w:semiHidden/>
    <w:rsid w:val="003C1877"/>
    <w:pPr>
      <w:spacing w:after="120"/>
      <w:ind w:left="442" w:hanging="221"/>
    </w:pPr>
  </w:style>
  <w:style w:type="paragraph" w:styleId="Index3">
    <w:name w:val="index 3"/>
    <w:basedOn w:val="Normal"/>
    <w:next w:val="Normal"/>
    <w:autoRedefine/>
    <w:semiHidden/>
    <w:rsid w:val="003C1877"/>
    <w:pPr>
      <w:spacing w:after="120"/>
      <w:ind w:left="663" w:hanging="221"/>
    </w:pPr>
  </w:style>
  <w:style w:type="paragraph" w:styleId="Index4">
    <w:name w:val="index 4"/>
    <w:basedOn w:val="Normal"/>
    <w:next w:val="Normal"/>
    <w:autoRedefine/>
    <w:semiHidden/>
    <w:rsid w:val="003C1877"/>
    <w:pPr>
      <w:spacing w:after="120"/>
      <w:ind w:left="879" w:hanging="221"/>
    </w:pPr>
  </w:style>
  <w:style w:type="paragraph" w:styleId="Index5">
    <w:name w:val="index 5"/>
    <w:basedOn w:val="Normal"/>
    <w:next w:val="Normal"/>
    <w:autoRedefine/>
    <w:semiHidden/>
    <w:rsid w:val="003C1877"/>
    <w:pPr>
      <w:spacing w:after="120"/>
      <w:ind w:left="1100" w:hanging="221"/>
    </w:pPr>
  </w:style>
  <w:style w:type="paragraph" w:styleId="Index6">
    <w:name w:val="index 6"/>
    <w:basedOn w:val="Normal"/>
    <w:next w:val="Normal"/>
    <w:autoRedefine/>
    <w:semiHidden/>
    <w:rsid w:val="003C1877"/>
    <w:pPr>
      <w:spacing w:after="120"/>
      <w:ind w:left="1321" w:hanging="221"/>
    </w:pPr>
  </w:style>
  <w:style w:type="paragraph" w:styleId="Index7">
    <w:name w:val="index 7"/>
    <w:basedOn w:val="Normal"/>
    <w:next w:val="Normal"/>
    <w:autoRedefine/>
    <w:semiHidden/>
    <w:rsid w:val="003C1877"/>
    <w:pPr>
      <w:spacing w:after="120"/>
      <w:ind w:left="1542" w:hanging="221"/>
    </w:pPr>
  </w:style>
  <w:style w:type="paragraph" w:styleId="Index8">
    <w:name w:val="index 8"/>
    <w:basedOn w:val="Normal"/>
    <w:next w:val="Normal"/>
    <w:autoRedefine/>
    <w:semiHidden/>
    <w:rsid w:val="003C1877"/>
    <w:pPr>
      <w:spacing w:after="120"/>
      <w:ind w:left="1763" w:hanging="221"/>
    </w:pPr>
  </w:style>
  <w:style w:type="paragraph" w:styleId="Index9">
    <w:name w:val="index 9"/>
    <w:basedOn w:val="Normal"/>
    <w:next w:val="Normal"/>
    <w:autoRedefine/>
    <w:semiHidden/>
    <w:rsid w:val="003C1877"/>
    <w:pPr>
      <w:spacing w:after="120"/>
      <w:ind w:left="1979" w:hanging="221"/>
    </w:pPr>
  </w:style>
  <w:style w:type="paragraph" w:customStyle="1" w:styleId="sszAgreementText">
    <w:name w:val="sszAgreementText"/>
    <w:basedOn w:val="Normal"/>
    <w:rsid w:val="008F270D"/>
    <w:pPr>
      <w:widowControl w:val="0"/>
      <w:spacing w:line="260" w:lineRule="atLeast"/>
    </w:pPr>
    <w:rPr>
      <w:szCs w:val="20"/>
    </w:rPr>
  </w:style>
  <w:style w:type="paragraph" w:customStyle="1" w:styleId="sszLabels">
    <w:name w:val="sszLabels"/>
    <w:basedOn w:val="Normal"/>
    <w:next w:val="Normal"/>
    <w:rsid w:val="008F270D"/>
    <w:pPr>
      <w:widowControl w:val="0"/>
      <w:spacing w:before="40" w:after="240" w:line="260" w:lineRule="atLeast"/>
    </w:pPr>
    <w:rPr>
      <w:noProof/>
      <w:sz w:val="16"/>
      <w:szCs w:val="20"/>
    </w:rPr>
  </w:style>
  <w:style w:type="paragraph" w:customStyle="1" w:styleId="sszLargeText">
    <w:name w:val="sszLargeText"/>
    <w:basedOn w:val="Normal"/>
    <w:next w:val="Normal"/>
    <w:rsid w:val="008F270D"/>
    <w:pPr>
      <w:widowControl w:val="0"/>
      <w:spacing w:before="120" w:line="260" w:lineRule="atLeast"/>
    </w:pPr>
    <w:rPr>
      <w:noProof/>
      <w:sz w:val="70"/>
      <w:szCs w:val="20"/>
    </w:rPr>
  </w:style>
  <w:style w:type="paragraph" w:customStyle="1" w:styleId="sszPrintDate">
    <w:name w:val="sszPrintDate"/>
    <w:basedOn w:val="Footer"/>
    <w:next w:val="Footer"/>
    <w:rsid w:val="008F270D"/>
    <w:pPr>
      <w:tabs>
        <w:tab w:val="clear" w:pos="9497"/>
        <w:tab w:val="right" w:pos="8505"/>
      </w:tabs>
      <w:jc w:val="left"/>
    </w:pPr>
    <w:rPr>
      <w:sz w:val="14"/>
    </w:rPr>
  </w:style>
  <w:style w:type="paragraph" w:customStyle="1" w:styleId="sszRelatingText">
    <w:name w:val="sszRelatingText"/>
    <w:basedOn w:val="Normal"/>
    <w:rsid w:val="008F270D"/>
    <w:pPr>
      <w:widowControl w:val="0"/>
      <w:spacing w:line="260" w:lineRule="atLeast"/>
    </w:pPr>
    <w:rPr>
      <w:noProof/>
      <w:sz w:val="28"/>
      <w:szCs w:val="20"/>
    </w:rPr>
  </w:style>
  <w:style w:type="paragraph" w:customStyle="1" w:styleId="sszSSDetails">
    <w:name w:val="sszS&amp;SDetails"/>
    <w:basedOn w:val="Normal"/>
    <w:next w:val="Normal"/>
    <w:rsid w:val="008F270D"/>
    <w:pPr>
      <w:tabs>
        <w:tab w:val="right" w:pos="7173"/>
      </w:tabs>
      <w:spacing w:line="260" w:lineRule="atLeast"/>
    </w:pPr>
    <w:rPr>
      <w:noProof/>
      <w:sz w:val="16"/>
      <w:szCs w:val="20"/>
    </w:rPr>
  </w:style>
  <w:style w:type="character" w:customStyle="1" w:styleId="FootnoteTextChar">
    <w:name w:val="Footnote Text Char"/>
    <w:link w:val="FootnoteText"/>
    <w:semiHidden/>
    <w:rsid w:val="004E7099"/>
    <w:rPr>
      <w:rFonts w:ascii="Arial" w:hAnsi="Arial"/>
      <w:b/>
      <w:sz w:val="18"/>
      <w:lang w:eastAsia="zh-CN"/>
    </w:rPr>
  </w:style>
  <w:style w:type="character" w:customStyle="1" w:styleId="BodyTextChar">
    <w:name w:val="Body Text Char"/>
    <w:link w:val="BodyText"/>
    <w:rsid w:val="008F270D"/>
    <w:rPr>
      <w:rFonts w:ascii="Arial" w:eastAsia="SimSun" w:hAnsi="Arial"/>
      <w:sz w:val="22"/>
      <w:szCs w:val="22"/>
      <w:lang w:eastAsia="zh-CN"/>
    </w:rPr>
  </w:style>
  <w:style w:type="character" w:customStyle="1" w:styleId="BodyText2Char">
    <w:name w:val="Body Text 2 Char"/>
    <w:link w:val="BodyText2"/>
    <w:rsid w:val="004E7099"/>
    <w:rPr>
      <w:rFonts w:ascii="Arial" w:eastAsia="SimSun" w:hAnsi="Arial"/>
      <w:sz w:val="22"/>
      <w:szCs w:val="22"/>
      <w:lang w:eastAsia="zh-CN"/>
    </w:rPr>
  </w:style>
  <w:style w:type="character" w:customStyle="1" w:styleId="DocumentMapChar">
    <w:name w:val="Document Map Char"/>
    <w:link w:val="DocumentMap"/>
    <w:semiHidden/>
    <w:rsid w:val="004E7099"/>
    <w:rPr>
      <w:rFonts w:ascii="Tahoma" w:eastAsia="SimSun" w:hAnsi="Tahoma" w:cs="Tahoma"/>
      <w:sz w:val="22"/>
      <w:szCs w:val="22"/>
      <w:shd w:val="clear" w:color="auto" w:fill="000080"/>
      <w:lang w:eastAsia="zh-CN"/>
    </w:rPr>
  </w:style>
  <w:style w:type="character" w:customStyle="1" w:styleId="CommentSubjectChar">
    <w:name w:val="Comment Subject Char"/>
    <w:link w:val="CommentSubject"/>
    <w:semiHidden/>
    <w:rsid w:val="004E7099"/>
    <w:rPr>
      <w:rFonts w:ascii="Verdana" w:eastAsia="SimSun" w:hAnsi="Verdana"/>
      <w:b/>
      <w:bCs/>
      <w:szCs w:val="22"/>
    </w:rPr>
  </w:style>
  <w:style w:type="paragraph" w:customStyle="1" w:styleId="Paratitle">
    <w:name w:val="Para title"/>
    <w:basedOn w:val="ssPara1"/>
    <w:link w:val="ParatitleChar"/>
    <w:qFormat/>
    <w:rsid w:val="004E7099"/>
    <w:pPr>
      <w:keepNext/>
    </w:pPr>
    <w:rPr>
      <w:rFonts w:eastAsia="SimSun"/>
      <w:b/>
      <w:lang w:eastAsia="zh-CN"/>
    </w:rPr>
  </w:style>
  <w:style w:type="character" w:customStyle="1" w:styleId="ssPara1Char">
    <w:name w:val="ssPara1 Char"/>
    <w:link w:val="ssPara1"/>
    <w:uiPriority w:val="34"/>
    <w:rsid w:val="004E7099"/>
    <w:rPr>
      <w:rFonts w:ascii="Arial" w:hAnsi="Arial"/>
      <w:sz w:val="22"/>
      <w:szCs w:val="22"/>
    </w:rPr>
  </w:style>
  <w:style w:type="character" w:customStyle="1" w:styleId="ParatitleChar">
    <w:name w:val="Para title Char"/>
    <w:link w:val="Paratitle"/>
    <w:rsid w:val="004E7099"/>
    <w:rPr>
      <w:rFonts w:ascii="Arial" w:eastAsia="SimSun" w:hAnsi="Arial"/>
      <w:b/>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Char">
    <w:name w:val="ExhibitNumbering"/>
    <w:pPr>
      <w:numPr>
        <w:numId w:val="18"/>
      </w:numPr>
    </w:pPr>
  </w:style>
  <w:style w:type="numbering" w:customStyle="1" w:styleId="aDefinition">
    <w:name w:val="PartNumbering"/>
    <w:pPr>
      <w:numPr>
        <w:numId w:val="19"/>
      </w:numPr>
    </w:pPr>
  </w:style>
  <w:style w:type="numbering" w:customStyle="1" w:styleId="iDefinition">
    <w:name w:val="ListHeadings"/>
    <w:pPr>
      <w:numPr>
        <w:numId w:val="15"/>
      </w:numPr>
    </w:pPr>
  </w:style>
  <w:style w:type="numbering" w:customStyle="1" w:styleId="Body1">
    <w:name w:val="ScheduleNumbering"/>
    <w:pPr>
      <w:numPr>
        <w:numId w:val="20"/>
      </w:numPr>
    </w:pPr>
  </w:style>
  <w:style w:type="numbering" w:customStyle="1" w:styleId="Background">
    <w:name w:val="AppendixNumbering"/>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86272">
      <w:bodyDiv w:val="1"/>
      <w:marLeft w:val="0"/>
      <w:marRight w:val="0"/>
      <w:marTop w:val="0"/>
      <w:marBottom w:val="0"/>
      <w:divBdr>
        <w:top w:val="none" w:sz="0" w:space="0" w:color="auto"/>
        <w:left w:val="none" w:sz="0" w:space="0" w:color="auto"/>
        <w:bottom w:val="none" w:sz="0" w:space="0" w:color="auto"/>
        <w:right w:val="none" w:sz="0" w:space="0" w:color="auto"/>
      </w:divBdr>
      <w:divsChild>
        <w:div w:id="2128355791">
          <w:marLeft w:val="0"/>
          <w:marRight w:val="0"/>
          <w:marTop w:val="0"/>
          <w:marBottom w:val="0"/>
          <w:divBdr>
            <w:top w:val="none" w:sz="0" w:space="0" w:color="auto"/>
            <w:left w:val="none" w:sz="0" w:space="0" w:color="auto"/>
            <w:bottom w:val="none" w:sz="0" w:space="0" w:color="auto"/>
            <w:right w:val="none" w:sz="0" w:space="0" w:color="auto"/>
          </w:divBdr>
        </w:div>
      </w:divsChild>
    </w:div>
    <w:div w:id="231544040">
      <w:bodyDiv w:val="1"/>
      <w:marLeft w:val="0"/>
      <w:marRight w:val="0"/>
      <w:marTop w:val="0"/>
      <w:marBottom w:val="0"/>
      <w:divBdr>
        <w:top w:val="none" w:sz="0" w:space="0" w:color="auto"/>
        <w:left w:val="none" w:sz="0" w:space="0" w:color="auto"/>
        <w:bottom w:val="none" w:sz="0" w:space="0" w:color="auto"/>
        <w:right w:val="none" w:sz="0" w:space="0" w:color="auto"/>
      </w:divBdr>
    </w:div>
    <w:div w:id="259873960">
      <w:bodyDiv w:val="1"/>
      <w:marLeft w:val="0"/>
      <w:marRight w:val="0"/>
      <w:marTop w:val="0"/>
      <w:marBottom w:val="0"/>
      <w:divBdr>
        <w:top w:val="none" w:sz="0" w:space="0" w:color="auto"/>
        <w:left w:val="none" w:sz="0" w:space="0" w:color="auto"/>
        <w:bottom w:val="none" w:sz="0" w:space="0" w:color="auto"/>
        <w:right w:val="none" w:sz="0" w:space="0" w:color="auto"/>
      </w:divBdr>
    </w:div>
    <w:div w:id="283002302">
      <w:bodyDiv w:val="1"/>
      <w:marLeft w:val="0"/>
      <w:marRight w:val="0"/>
      <w:marTop w:val="0"/>
      <w:marBottom w:val="0"/>
      <w:divBdr>
        <w:top w:val="none" w:sz="0" w:space="0" w:color="auto"/>
        <w:left w:val="none" w:sz="0" w:space="0" w:color="auto"/>
        <w:bottom w:val="none" w:sz="0" w:space="0" w:color="auto"/>
        <w:right w:val="none" w:sz="0" w:space="0" w:color="auto"/>
      </w:divBdr>
    </w:div>
    <w:div w:id="353312324">
      <w:bodyDiv w:val="1"/>
      <w:marLeft w:val="0"/>
      <w:marRight w:val="0"/>
      <w:marTop w:val="0"/>
      <w:marBottom w:val="0"/>
      <w:divBdr>
        <w:top w:val="none" w:sz="0" w:space="0" w:color="auto"/>
        <w:left w:val="none" w:sz="0" w:space="0" w:color="auto"/>
        <w:bottom w:val="none" w:sz="0" w:space="0" w:color="auto"/>
        <w:right w:val="none" w:sz="0" w:space="0" w:color="auto"/>
      </w:divBdr>
    </w:div>
    <w:div w:id="358288043">
      <w:bodyDiv w:val="1"/>
      <w:marLeft w:val="0"/>
      <w:marRight w:val="0"/>
      <w:marTop w:val="0"/>
      <w:marBottom w:val="0"/>
      <w:divBdr>
        <w:top w:val="none" w:sz="0" w:space="0" w:color="auto"/>
        <w:left w:val="none" w:sz="0" w:space="0" w:color="auto"/>
        <w:bottom w:val="none" w:sz="0" w:space="0" w:color="auto"/>
        <w:right w:val="none" w:sz="0" w:space="0" w:color="auto"/>
      </w:divBdr>
    </w:div>
    <w:div w:id="478032666">
      <w:bodyDiv w:val="1"/>
      <w:marLeft w:val="0"/>
      <w:marRight w:val="0"/>
      <w:marTop w:val="0"/>
      <w:marBottom w:val="0"/>
      <w:divBdr>
        <w:top w:val="none" w:sz="0" w:space="0" w:color="auto"/>
        <w:left w:val="none" w:sz="0" w:space="0" w:color="auto"/>
        <w:bottom w:val="none" w:sz="0" w:space="0" w:color="auto"/>
        <w:right w:val="none" w:sz="0" w:space="0" w:color="auto"/>
      </w:divBdr>
    </w:div>
    <w:div w:id="540360641">
      <w:bodyDiv w:val="1"/>
      <w:marLeft w:val="0"/>
      <w:marRight w:val="0"/>
      <w:marTop w:val="0"/>
      <w:marBottom w:val="0"/>
      <w:divBdr>
        <w:top w:val="none" w:sz="0" w:space="0" w:color="auto"/>
        <w:left w:val="none" w:sz="0" w:space="0" w:color="auto"/>
        <w:bottom w:val="none" w:sz="0" w:space="0" w:color="auto"/>
        <w:right w:val="none" w:sz="0" w:space="0" w:color="auto"/>
      </w:divBdr>
    </w:div>
    <w:div w:id="589195436">
      <w:bodyDiv w:val="1"/>
      <w:marLeft w:val="0"/>
      <w:marRight w:val="0"/>
      <w:marTop w:val="0"/>
      <w:marBottom w:val="0"/>
      <w:divBdr>
        <w:top w:val="none" w:sz="0" w:space="0" w:color="auto"/>
        <w:left w:val="none" w:sz="0" w:space="0" w:color="auto"/>
        <w:bottom w:val="none" w:sz="0" w:space="0" w:color="auto"/>
        <w:right w:val="none" w:sz="0" w:space="0" w:color="auto"/>
      </w:divBdr>
    </w:div>
    <w:div w:id="653725976">
      <w:bodyDiv w:val="1"/>
      <w:marLeft w:val="0"/>
      <w:marRight w:val="0"/>
      <w:marTop w:val="0"/>
      <w:marBottom w:val="0"/>
      <w:divBdr>
        <w:top w:val="none" w:sz="0" w:space="0" w:color="auto"/>
        <w:left w:val="none" w:sz="0" w:space="0" w:color="auto"/>
        <w:bottom w:val="none" w:sz="0" w:space="0" w:color="auto"/>
        <w:right w:val="none" w:sz="0" w:space="0" w:color="auto"/>
      </w:divBdr>
    </w:div>
    <w:div w:id="1105461883">
      <w:bodyDiv w:val="1"/>
      <w:marLeft w:val="0"/>
      <w:marRight w:val="0"/>
      <w:marTop w:val="0"/>
      <w:marBottom w:val="0"/>
      <w:divBdr>
        <w:top w:val="none" w:sz="0" w:space="0" w:color="auto"/>
        <w:left w:val="none" w:sz="0" w:space="0" w:color="auto"/>
        <w:bottom w:val="none" w:sz="0" w:space="0" w:color="auto"/>
        <w:right w:val="none" w:sz="0" w:space="0" w:color="auto"/>
      </w:divBdr>
    </w:div>
    <w:div w:id="1137070869">
      <w:bodyDiv w:val="1"/>
      <w:marLeft w:val="0"/>
      <w:marRight w:val="0"/>
      <w:marTop w:val="0"/>
      <w:marBottom w:val="0"/>
      <w:divBdr>
        <w:top w:val="none" w:sz="0" w:space="0" w:color="auto"/>
        <w:left w:val="none" w:sz="0" w:space="0" w:color="auto"/>
        <w:bottom w:val="none" w:sz="0" w:space="0" w:color="auto"/>
        <w:right w:val="none" w:sz="0" w:space="0" w:color="auto"/>
      </w:divBdr>
    </w:div>
    <w:div w:id="1181041971">
      <w:bodyDiv w:val="1"/>
      <w:marLeft w:val="0"/>
      <w:marRight w:val="0"/>
      <w:marTop w:val="0"/>
      <w:marBottom w:val="0"/>
      <w:divBdr>
        <w:top w:val="none" w:sz="0" w:space="0" w:color="auto"/>
        <w:left w:val="none" w:sz="0" w:space="0" w:color="auto"/>
        <w:bottom w:val="none" w:sz="0" w:space="0" w:color="auto"/>
        <w:right w:val="none" w:sz="0" w:space="0" w:color="auto"/>
      </w:divBdr>
    </w:div>
    <w:div w:id="1286934393">
      <w:bodyDiv w:val="1"/>
      <w:marLeft w:val="0"/>
      <w:marRight w:val="0"/>
      <w:marTop w:val="0"/>
      <w:marBottom w:val="0"/>
      <w:divBdr>
        <w:top w:val="none" w:sz="0" w:space="0" w:color="auto"/>
        <w:left w:val="none" w:sz="0" w:space="0" w:color="auto"/>
        <w:bottom w:val="none" w:sz="0" w:space="0" w:color="auto"/>
        <w:right w:val="none" w:sz="0" w:space="0" w:color="auto"/>
      </w:divBdr>
    </w:div>
    <w:div w:id="1546676357">
      <w:bodyDiv w:val="1"/>
      <w:marLeft w:val="0"/>
      <w:marRight w:val="0"/>
      <w:marTop w:val="0"/>
      <w:marBottom w:val="0"/>
      <w:divBdr>
        <w:top w:val="none" w:sz="0" w:space="0" w:color="auto"/>
        <w:left w:val="none" w:sz="0" w:space="0" w:color="auto"/>
        <w:bottom w:val="none" w:sz="0" w:space="0" w:color="auto"/>
        <w:right w:val="none" w:sz="0" w:space="0" w:color="auto"/>
      </w:divBdr>
    </w:div>
    <w:div w:id="1641105717">
      <w:bodyDiv w:val="1"/>
      <w:marLeft w:val="0"/>
      <w:marRight w:val="0"/>
      <w:marTop w:val="0"/>
      <w:marBottom w:val="0"/>
      <w:divBdr>
        <w:top w:val="none" w:sz="0" w:space="0" w:color="auto"/>
        <w:left w:val="none" w:sz="0" w:space="0" w:color="auto"/>
        <w:bottom w:val="none" w:sz="0" w:space="0" w:color="auto"/>
        <w:right w:val="none" w:sz="0" w:space="0" w:color="auto"/>
      </w:divBdr>
    </w:div>
    <w:div w:id="1689453740">
      <w:bodyDiv w:val="1"/>
      <w:marLeft w:val="0"/>
      <w:marRight w:val="0"/>
      <w:marTop w:val="0"/>
      <w:marBottom w:val="0"/>
      <w:divBdr>
        <w:top w:val="none" w:sz="0" w:space="0" w:color="auto"/>
        <w:left w:val="none" w:sz="0" w:space="0" w:color="auto"/>
        <w:bottom w:val="none" w:sz="0" w:space="0" w:color="auto"/>
        <w:right w:val="none" w:sz="0" w:space="0" w:color="auto"/>
      </w:divBdr>
    </w:div>
    <w:div w:id="1701973450">
      <w:bodyDiv w:val="1"/>
      <w:marLeft w:val="0"/>
      <w:marRight w:val="0"/>
      <w:marTop w:val="0"/>
      <w:marBottom w:val="0"/>
      <w:divBdr>
        <w:top w:val="none" w:sz="0" w:space="0" w:color="auto"/>
        <w:left w:val="none" w:sz="0" w:space="0" w:color="auto"/>
        <w:bottom w:val="none" w:sz="0" w:space="0" w:color="auto"/>
        <w:right w:val="none" w:sz="0" w:space="0" w:color="auto"/>
      </w:divBdr>
    </w:div>
    <w:div w:id="1719354862">
      <w:bodyDiv w:val="1"/>
      <w:marLeft w:val="0"/>
      <w:marRight w:val="0"/>
      <w:marTop w:val="0"/>
      <w:marBottom w:val="0"/>
      <w:divBdr>
        <w:top w:val="none" w:sz="0" w:space="0" w:color="auto"/>
        <w:left w:val="none" w:sz="0" w:space="0" w:color="auto"/>
        <w:bottom w:val="none" w:sz="0" w:space="0" w:color="auto"/>
        <w:right w:val="none" w:sz="0" w:space="0" w:color="auto"/>
      </w:divBdr>
    </w:div>
    <w:div w:id="1830367498">
      <w:bodyDiv w:val="1"/>
      <w:marLeft w:val="0"/>
      <w:marRight w:val="0"/>
      <w:marTop w:val="0"/>
      <w:marBottom w:val="0"/>
      <w:divBdr>
        <w:top w:val="none" w:sz="0" w:space="0" w:color="auto"/>
        <w:left w:val="none" w:sz="0" w:space="0" w:color="auto"/>
        <w:bottom w:val="none" w:sz="0" w:space="0" w:color="auto"/>
        <w:right w:val="none" w:sz="0" w:space="0" w:color="auto"/>
      </w:divBdr>
    </w:div>
    <w:div w:id="1936086625">
      <w:bodyDiv w:val="1"/>
      <w:marLeft w:val="0"/>
      <w:marRight w:val="0"/>
      <w:marTop w:val="0"/>
      <w:marBottom w:val="0"/>
      <w:divBdr>
        <w:top w:val="none" w:sz="0" w:space="0" w:color="auto"/>
        <w:left w:val="none" w:sz="0" w:space="0" w:color="auto"/>
        <w:bottom w:val="none" w:sz="0" w:space="0" w:color="auto"/>
        <w:right w:val="none" w:sz="0" w:space="0" w:color="auto"/>
      </w:divBdr>
    </w:div>
    <w:div w:id="2071421447">
      <w:bodyDiv w:val="1"/>
      <w:marLeft w:val="0"/>
      <w:marRight w:val="0"/>
      <w:marTop w:val="0"/>
      <w:marBottom w:val="0"/>
      <w:divBdr>
        <w:top w:val="none" w:sz="0" w:space="0" w:color="auto"/>
        <w:left w:val="none" w:sz="0" w:space="0" w:color="auto"/>
        <w:bottom w:val="none" w:sz="0" w:space="0" w:color="auto"/>
        <w:right w:val="none" w:sz="0" w:space="0" w:color="auto"/>
      </w:divBdr>
    </w:div>
    <w:div w:id="2082826672">
      <w:bodyDiv w:val="1"/>
      <w:marLeft w:val="0"/>
      <w:marRight w:val="0"/>
      <w:marTop w:val="0"/>
      <w:marBottom w:val="0"/>
      <w:divBdr>
        <w:top w:val="none" w:sz="0" w:space="0" w:color="auto"/>
        <w:left w:val="none" w:sz="0" w:space="0" w:color="auto"/>
        <w:bottom w:val="none" w:sz="0" w:space="0" w:color="auto"/>
        <w:right w:val="none" w:sz="0" w:space="0" w:color="auto"/>
      </w:divBdr>
    </w:div>
    <w:div w:id="20993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ccountspayable@tfl.gov.uk" TargetMode="Externa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Styles\StyleF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D346B3BF5D444C85A8D145C6813B61" ma:contentTypeVersion="0" ma:contentTypeDescription="Create a new document." ma:contentTypeScope="" ma:versionID="53d9c44d5af5498302420841d0803a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DAAB8-9732-44B4-B3CB-66B5A60F5E79}">
  <ds:schemaRefs>
    <ds:schemaRef ds:uri="http://schemas.microsoft.com/sharepoint/v3/contenttype/forms"/>
  </ds:schemaRefs>
</ds:datastoreItem>
</file>

<file path=customXml/itemProps2.xml><?xml version="1.0" encoding="utf-8"?>
<ds:datastoreItem xmlns:ds="http://schemas.openxmlformats.org/officeDocument/2006/customXml" ds:itemID="{7C9540AB-36AE-46D3-9BC7-2EE341CB8B1C}">
  <ds:schemaRef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0A06BD3-10B2-4B1E-B0D7-F6A66F677790}">
  <ds:schemaRefs>
    <ds:schemaRef ds:uri="http://schemas.microsoft.com/office/2006/metadata/longProperties"/>
  </ds:schemaRefs>
</ds:datastoreItem>
</file>

<file path=customXml/itemProps4.xml><?xml version="1.0" encoding="utf-8"?>
<ds:datastoreItem xmlns:ds="http://schemas.openxmlformats.org/officeDocument/2006/customXml" ds:itemID="{E517C722-28CE-4D15-9C7A-3E86FC8C3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CF136A8-1841-4C44-B284-FAA951CA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StyleFormal</Template>
  <TotalTime>79</TotalTime>
  <Pages>21</Pages>
  <Words>5550</Words>
  <Characters>30419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Vol_3_Schedule)_07_(Charging and Operations Pricing)v4</vt:lpstr>
    </vt:vector>
  </TitlesOfParts>
  <Company>Eversheds for TfL</Company>
  <LinksUpToDate>false</LinksUpToDate>
  <CharactersWithSpaces>35898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Vol_3_Schedule)_07_(Charging and Operations Pricing)v4</dc:title>
  <dc:creator>McleodBE</dc:creator>
  <cp:lastModifiedBy>ChristopherStylianou</cp:lastModifiedBy>
  <cp:revision>13</cp:revision>
  <cp:lastPrinted>2015-06-01T11:19:00Z</cp:lastPrinted>
  <dcterms:created xsi:type="dcterms:W3CDTF">2015-07-01T10:47:00Z</dcterms:created>
  <dcterms:modified xsi:type="dcterms:W3CDTF">2015-08-24T10:26:00Z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240270</vt:lpwstr>
  </property>
  <property fmtid="{D5CDD505-2E9C-101B-9397-08002B2CF9AE}" pid="3" name="MatterID">
    <vt:lpwstr>000007</vt:lpwstr>
  </property>
  <property fmtid="{D5CDD505-2E9C-101B-9397-08002B2CF9AE}" pid="4" name="Order">
    <vt:lpwstr>1300.00000000000</vt:lpwstr>
  </property>
  <property fmtid="{D5CDD505-2E9C-101B-9397-08002B2CF9AE}" pid="5" name="DocDescription">
    <vt:lpwstr/>
  </property>
  <property fmtid="{D5CDD505-2E9C-101B-9397-08002B2CF9AE}" pid="6" name="display_urn:schemas-microsoft-com:office:office#Owner">
    <vt:lpwstr>Hodges Chris</vt:lpwstr>
  </property>
  <property fmtid="{D5CDD505-2E9C-101B-9397-08002B2CF9AE}" pid="7" name="ContentTypeId">
    <vt:lpwstr>0x01010066D346B3BF5D444C85A8D145C6813B61</vt:lpwstr>
  </property>
</Properties>
</file>