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919F9" w14:textId="77777777" w:rsidR="00D57986" w:rsidRPr="00CC1E1C" w:rsidRDefault="00D57986" w:rsidP="00D57986">
      <w:pPr>
        <w:spacing w:after="200" w:line="259" w:lineRule="auto"/>
        <w:jc w:val="both"/>
        <w:rPr>
          <w:rFonts w:eastAsia="Gill Sans"/>
          <w:b/>
          <w:color w:val="5C068C"/>
          <w:sz w:val="20"/>
          <w:szCs w:val="20"/>
        </w:rPr>
      </w:pPr>
    </w:p>
    <w:p w14:paraId="03761C3C" w14:textId="77777777" w:rsidR="00D57986" w:rsidRPr="00CC1E1C" w:rsidRDefault="00D57986" w:rsidP="00D57986">
      <w:pPr>
        <w:spacing w:after="200" w:line="259" w:lineRule="auto"/>
        <w:jc w:val="center"/>
        <w:rPr>
          <w:rFonts w:eastAsia="Gill Sans"/>
          <w:color w:val="5C068C"/>
          <w:sz w:val="20"/>
          <w:szCs w:val="20"/>
        </w:rPr>
      </w:pPr>
    </w:p>
    <w:p w14:paraId="6525D4CE" w14:textId="77777777" w:rsidR="00D57986" w:rsidRPr="00CC1E1C" w:rsidRDefault="00D57986" w:rsidP="00D57986">
      <w:pPr>
        <w:spacing w:after="200" w:line="259" w:lineRule="auto"/>
        <w:jc w:val="center"/>
        <w:rPr>
          <w:rFonts w:eastAsia="Gill Sans"/>
          <w:b/>
          <w:bCs/>
          <w:color w:val="5C068C"/>
          <w:sz w:val="20"/>
          <w:szCs w:val="20"/>
        </w:rPr>
      </w:pPr>
    </w:p>
    <w:p w14:paraId="7761C6B6" w14:textId="562F9D02" w:rsidR="00D57986" w:rsidRDefault="00EE3E78" w:rsidP="00EE3E78">
      <w:pPr>
        <w:pStyle w:val="Heading2"/>
        <w:keepNext w:val="0"/>
        <w:keepLines w:val="0"/>
        <w:spacing w:before="0" w:after="240" w:line="240" w:lineRule="auto"/>
        <w:jc w:val="center"/>
        <w:rPr>
          <w:rFonts w:eastAsia="Times New Roman" w:cs="Times New Roman"/>
          <w:b/>
          <w:bCs/>
          <w:color w:val="000000" w:themeColor="text1"/>
          <w:sz w:val="22"/>
          <w:szCs w:val="22"/>
        </w:rPr>
      </w:pPr>
      <w:bookmarkStart w:id="0" w:name="_Hlk160713870"/>
      <w:r>
        <w:rPr>
          <w:rFonts w:eastAsia="Times New Roman" w:cs="Times New Roman"/>
          <w:b/>
          <w:bCs/>
          <w:color w:val="000000" w:themeColor="text1"/>
          <w:sz w:val="22"/>
          <w:szCs w:val="22"/>
        </w:rPr>
        <w:t>REQUEST FOR INFORATION</w:t>
      </w:r>
      <w:r w:rsidR="003D0BD5">
        <w:rPr>
          <w:rFonts w:eastAsia="Times New Roman" w:cs="Times New Roman"/>
          <w:b/>
          <w:bCs/>
          <w:color w:val="000000" w:themeColor="text1"/>
          <w:sz w:val="22"/>
          <w:szCs w:val="22"/>
        </w:rPr>
        <w:t xml:space="preserve">: INSTRUCTION DOCUMENT </w:t>
      </w:r>
    </w:p>
    <w:p w14:paraId="4BC2D09E" w14:textId="77777777" w:rsidR="00EE3E78" w:rsidRDefault="00EE3E78" w:rsidP="00EE3E78"/>
    <w:p w14:paraId="662362B7" w14:textId="77777777" w:rsidR="00EE3E78" w:rsidRDefault="00EE3E78" w:rsidP="00EE3E78"/>
    <w:p w14:paraId="678D3E6B" w14:textId="77777777" w:rsidR="00EE3E78" w:rsidRDefault="00EE3E78" w:rsidP="00EE3E78"/>
    <w:p w14:paraId="16874CA7" w14:textId="77777777" w:rsidR="00EE3E78" w:rsidRPr="00EE3E78" w:rsidRDefault="00EE3E78" w:rsidP="00EE3E78"/>
    <w:p w14:paraId="483A5AAF" w14:textId="4F70DB94" w:rsidR="00EE3E78" w:rsidRPr="00006E3D" w:rsidRDefault="00D57986" w:rsidP="00EE3E78">
      <w:pPr>
        <w:pStyle w:val="Heading2"/>
        <w:jc w:val="center"/>
        <w:rPr>
          <w:iCs/>
          <w:sz w:val="20"/>
          <w:szCs w:val="20"/>
        </w:rPr>
      </w:pPr>
      <w:r w:rsidRPr="00EE3E78">
        <w:rPr>
          <w:rFonts w:eastAsia="Times New Roman" w:cs="Times New Roman"/>
          <w:color w:val="000000" w:themeColor="text1"/>
          <w:sz w:val="20"/>
          <w:szCs w:val="20"/>
        </w:rPr>
        <w:t xml:space="preserve">Instructions and Guidance document for </w:t>
      </w:r>
      <w:r w:rsidR="00EE3E78">
        <w:rPr>
          <w:rFonts w:eastAsia="Times New Roman" w:cs="Times New Roman"/>
          <w:color w:val="000000" w:themeColor="text1"/>
          <w:sz w:val="20"/>
          <w:szCs w:val="20"/>
        </w:rPr>
        <w:t xml:space="preserve">the </w:t>
      </w:r>
      <w:r w:rsidR="00EE3E78" w:rsidRPr="00EE3E78">
        <w:rPr>
          <w:rFonts w:eastAsia="Times New Roman" w:cs="Times New Roman"/>
          <w:color w:val="000000" w:themeColor="text1"/>
          <w:sz w:val="20"/>
          <w:szCs w:val="20"/>
        </w:rPr>
        <w:t xml:space="preserve">provision of </w:t>
      </w:r>
      <w:r w:rsidR="00006E3D" w:rsidRPr="00EE3E78">
        <w:rPr>
          <w:rFonts w:eastAsia="Times New Roman" w:cs="Times New Roman"/>
          <w:color w:val="000000" w:themeColor="text1"/>
          <w:sz w:val="20"/>
          <w:szCs w:val="20"/>
        </w:rPr>
        <w:t>a courier service to distribute out patient prescriptions for Crucible</w:t>
      </w:r>
      <w:r w:rsidR="00006E3D">
        <w:rPr>
          <w:rFonts w:eastAsia="Times New Roman" w:cs="Times New Roman"/>
          <w:color w:val="000000" w:themeColor="text1"/>
          <w:sz w:val="20"/>
          <w:szCs w:val="20"/>
        </w:rPr>
        <w:t xml:space="preserve"> Pharmacy</w:t>
      </w:r>
      <w:r w:rsidR="00006E3D" w:rsidRPr="00EE3E78">
        <w:rPr>
          <w:rFonts w:eastAsia="Times New Roman" w:cs="Times New Roman"/>
          <w:color w:val="000000" w:themeColor="text1"/>
          <w:sz w:val="20"/>
          <w:szCs w:val="20"/>
        </w:rPr>
        <w:t xml:space="preserve"> Ltd.</w:t>
      </w:r>
    </w:p>
    <w:p w14:paraId="4C4574F4" w14:textId="77777777" w:rsidR="00EE3E78" w:rsidRPr="00EE3E78" w:rsidRDefault="00EE3E78" w:rsidP="00EE3E78"/>
    <w:p w14:paraId="7D113930" w14:textId="01B5B4B5" w:rsidR="00D57986" w:rsidRPr="00EE3E78" w:rsidRDefault="00D57986" w:rsidP="00D57986">
      <w:pPr>
        <w:jc w:val="center"/>
        <w:rPr>
          <w:rFonts w:eastAsia="Times New Roman" w:cs="Times New Roman"/>
          <w:color w:val="000000" w:themeColor="text1"/>
          <w:sz w:val="20"/>
          <w:szCs w:val="20"/>
        </w:rPr>
      </w:pPr>
    </w:p>
    <w:p w14:paraId="24D85349" w14:textId="5562A0E4" w:rsidR="00EE3E78" w:rsidRPr="00EE3E78" w:rsidRDefault="00EE3E78" w:rsidP="00EE3E78">
      <w:pPr>
        <w:pStyle w:val="Heading2"/>
        <w:jc w:val="center"/>
        <w:rPr>
          <w:sz w:val="20"/>
          <w:szCs w:val="20"/>
        </w:rPr>
      </w:pPr>
      <w:r w:rsidRPr="00EE3E78">
        <w:rPr>
          <w:sz w:val="20"/>
          <w:szCs w:val="20"/>
        </w:rPr>
        <w:t xml:space="preserve">Reference Number:  </w:t>
      </w:r>
      <w:r w:rsidR="00006E3D">
        <w:rPr>
          <w:sz w:val="20"/>
          <w:szCs w:val="20"/>
        </w:rPr>
        <w:t>C306842</w:t>
      </w:r>
    </w:p>
    <w:p w14:paraId="5F060E39" w14:textId="77777777" w:rsidR="00D57986" w:rsidRPr="00CC1E1C" w:rsidRDefault="00D57986" w:rsidP="00D57986">
      <w:pPr>
        <w:rPr>
          <w:sz w:val="36"/>
          <w:szCs w:val="36"/>
        </w:rPr>
      </w:pPr>
    </w:p>
    <w:p w14:paraId="065C8E42" w14:textId="77777777" w:rsidR="00D57986" w:rsidRPr="00CC1E1C" w:rsidRDefault="00D57986" w:rsidP="00D57986">
      <w:pPr>
        <w:pStyle w:val="Heading2"/>
        <w:jc w:val="center"/>
        <w:rPr>
          <w:sz w:val="36"/>
          <w:szCs w:val="36"/>
        </w:rPr>
      </w:pPr>
    </w:p>
    <w:p w14:paraId="07960F60" w14:textId="60862CB0" w:rsidR="00EE3E78" w:rsidRPr="00EE3E78" w:rsidRDefault="00EE3E78" w:rsidP="00EE3E78">
      <w:pPr>
        <w:pStyle w:val="Heading2"/>
        <w:jc w:val="center"/>
        <w:rPr>
          <w:sz w:val="20"/>
          <w:szCs w:val="20"/>
        </w:rPr>
      </w:pPr>
      <w:r w:rsidRPr="00EE3E78">
        <w:rPr>
          <w:sz w:val="20"/>
          <w:szCs w:val="20"/>
        </w:rPr>
        <w:t xml:space="preserve">Deadline for receipt of </w:t>
      </w:r>
      <w:r>
        <w:rPr>
          <w:sz w:val="20"/>
          <w:szCs w:val="20"/>
        </w:rPr>
        <w:t>RFIs</w:t>
      </w:r>
      <w:r w:rsidRPr="00EE3E78">
        <w:rPr>
          <w:sz w:val="20"/>
          <w:szCs w:val="20"/>
        </w:rPr>
        <w:t xml:space="preserve"> to be received:  </w:t>
      </w:r>
      <w:r w:rsidR="00B0188F">
        <w:rPr>
          <w:sz w:val="20"/>
          <w:szCs w:val="20"/>
        </w:rPr>
        <w:t>07/10/2024 13:00</w:t>
      </w:r>
    </w:p>
    <w:p w14:paraId="2A8365AA" w14:textId="77777777" w:rsidR="00D57986" w:rsidRPr="00CC1E1C" w:rsidRDefault="00D57986" w:rsidP="00D57986">
      <w:pPr>
        <w:pStyle w:val="Heading2"/>
        <w:jc w:val="center"/>
        <w:rPr>
          <w:sz w:val="20"/>
          <w:szCs w:val="20"/>
        </w:rPr>
      </w:pPr>
    </w:p>
    <w:p w14:paraId="0DDFF10B" w14:textId="77777777" w:rsidR="00D57986" w:rsidRPr="00CC1E1C" w:rsidRDefault="00D57986" w:rsidP="00D57986">
      <w:pPr>
        <w:pStyle w:val="Heading2"/>
        <w:jc w:val="center"/>
        <w:rPr>
          <w:sz w:val="20"/>
          <w:szCs w:val="20"/>
        </w:rPr>
      </w:pPr>
    </w:p>
    <w:bookmarkEnd w:id="0"/>
    <w:p w14:paraId="632EF502" w14:textId="77777777" w:rsidR="00D57986" w:rsidRPr="00CC1E1C" w:rsidRDefault="00D57986" w:rsidP="00D57986">
      <w:pPr>
        <w:spacing w:after="200" w:line="259" w:lineRule="auto"/>
        <w:jc w:val="center"/>
        <w:rPr>
          <w:rFonts w:eastAsia="Gill Sans"/>
          <w:color w:val="5C068C"/>
          <w:sz w:val="20"/>
          <w:szCs w:val="20"/>
        </w:rPr>
      </w:pPr>
    </w:p>
    <w:p w14:paraId="1B7A288B" w14:textId="77777777" w:rsidR="00D57986" w:rsidRPr="00CC1E1C" w:rsidRDefault="00D57986" w:rsidP="00D57986">
      <w:pPr>
        <w:spacing w:after="200" w:line="259" w:lineRule="auto"/>
        <w:jc w:val="center"/>
        <w:rPr>
          <w:rFonts w:eastAsia="Gill Sans"/>
          <w:color w:val="5C068C"/>
          <w:sz w:val="20"/>
          <w:szCs w:val="20"/>
        </w:rPr>
      </w:pPr>
    </w:p>
    <w:p w14:paraId="387215AB" w14:textId="77777777" w:rsidR="00D57986" w:rsidRPr="00CC1E1C" w:rsidRDefault="00D57986" w:rsidP="00D57986">
      <w:pPr>
        <w:spacing w:after="200" w:line="259" w:lineRule="auto"/>
        <w:jc w:val="center"/>
        <w:rPr>
          <w:rFonts w:eastAsia="Gill Sans"/>
          <w:color w:val="5C068C"/>
          <w:sz w:val="20"/>
          <w:szCs w:val="20"/>
        </w:rPr>
      </w:pPr>
    </w:p>
    <w:p w14:paraId="0BB60B4E" w14:textId="77777777" w:rsidR="00D57986" w:rsidRPr="00CC1E1C" w:rsidRDefault="00D57986" w:rsidP="00D57986">
      <w:pPr>
        <w:spacing w:after="200" w:line="259" w:lineRule="auto"/>
        <w:jc w:val="center"/>
        <w:rPr>
          <w:rFonts w:eastAsia="Gill Sans"/>
          <w:color w:val="5C068C"/>
          <w:sz w:val="20"/>
          <w:szCs w:val="20"/>
        </w:rPr>
      </w:pPr>
    </w:p>
    <w:p w14:paraId="61DC5C11" w14:textId="77777777" w:rsidR="00D57986" w:rsidRPr="00CC1E1C" w:rsidRDefault="00D57986" w:rsidP="00D57986">
      <w:pPr>
        <w:spacing w:after="200" w:line="259" w:lineRule="auto"/>
        <w:jc w:val="center"/>
        <w:rPr>
          <w:rFonts w:eastAsia="Gill Sans"/>
          <w:color w:val="5C068C"/>
          <w:sz w:val="20"/>
          <w:szCs w:val="20"/>
        </w:rPr>
      </w:pPr>
    </w:p>
    <w:p w14:paraId="5DC4E2DF" w14:textId="77777777" w:rsidR="00D57986" w:rsidRPr="00CC1E1C" w:rsidRDefault="00D57986" w:rsidP="00D57986">
      <w:pPr>
        <w:spacing w:after="200" w:line="259" w:lineRule="auto"/>
        <w:jc w:val="center"/>
        <w:rPr>
          <w:rFonts w:eastAsia="Gill Sans"/>
          <w:color w:val="5C068C"/>
          <w:sz w:val="20"/>
          <w:szCs w:val="20"/>
        </w:rPr>
      </w:pPr>
    </w:p>
    <w:p w14:paraId="65407806" w14:textId="77777777" w:rsidR="00D57986" w:rsidRPr="00CC1E1C" w:rsidRDefault="00D57986" w:rsidP="00D57986">
      <w:pPr>
        <w:spacing w:after="200" w:line="259" w:lineRule="auto"/>
        <w:jc w:val="center"/>
        <w:rPr>
          <w:rFonts w:eastAsia="Gill Sans"/>
          <w:color w:val="5C068C"/>
          <w:sz w:val="20"/>
          <w:szCs w:val="20"/>
        </w:rPr>
      </w:pPr>
    </w:p>
    <w:p w14:paraId="75497769" w14:textId="77777777" w:rsidR="00D57986" w:rsidRPr="00CC1E1C" w:rsidRDefault="00D57986" w:rsidP="00D57986">
      <w:pPr>
        <w:spacing w:after="200" w:line="259" w:lineRule="auto"/>
        <w:jc w:val="center"/>
        <w:rPr>
          <w:rFonts w:eastAsia="Gill Sans"/>
          <w:color w:val="5C068C"/>
          <w:sz w:val="20"/>
          <w:szCs w:val="20"/>
        </w:rPr>
      </w:pPr>
    </w:p>
    <w:p w14:paraId="1E76F34E" w14:textId="77777777" w:rsidR="00D57986" w:rsidRPr="00CC1E1C" w:rsidRDefault="00D57986" w:rsidP="00D57986">
      <w:pPr>
        <w:spacing w:after="200" w:line="259" w:lineRule="auto"/>
        <w:jc w:val="center"/>
        <w:rPr>
          <w:rFonts w:eastAsia="Gill Sans"/>
          <w:color w:val="5C068C"/>
          <w:sz w:val="20"/>
          <w:szCs w:val="20"/>
        </w:rPr>
      </w:pPr>
    </w:p>
    <w:p w14:paraId="5460AA10" w14:textId="77777777" w:rsidR="00D57986" w:rsidRPr="00CC1E1C" w:rsidRDefault="00D57986" w:rsidP="00D57986">
      <w:pPr>
        <w:spacing w:after="200" w:line="259" w:lineRule="auto"/>
        <w:jc w:val="center"/>
        <w:rPr>
          <w:rFonts w:eastAsia="Gill Sans"/>
          <w:color w:val="5C068C"/>
          <w:sz w:val="20"/>
          <w:szCs w:val="20"/>
        </w:rPr>
      </w:pPr>
    </w:p>
    <w:tbl>
      <w:tblPr>
        <w:tblStyle w:val="TableGrid"/>
        <w:tblW w:w="0" w:type="auto"/>
        <w:tblLook w:val="04A0" w:firstRow="1" w:lastRow="0" w:firstColumn="1" w:lastColumn="0" w:noHBand="0" w:noVBand="1"/>
      </w:tblPr>
      <w:tblGrid>
        <w:gridCol w:w="9019"/>
      </w:tblGrid>
      <w:tr w:rsidR="00D57986" w:rsidRPr="00CC1E1C" w14:paraId="26461748" w14:textId="77777777" w:rsidTr="009A3A02">
        <w:tc>
          <w:tcPr>
            <w:tcW w:w="9019" w:type="dxa"/>
            <w:shd w:val="clear" w:color="auto" w:fill="0070C0"/>
          </w:tcPr>
          <w:p w14:paraId="1B690088" w14:textId="77777777" w:rsidR="00D57986" w:rsidRPr="00CC1E1C" w:rsidRDefault="00D57986" w:rsidP="009A3A02">
            <w:pPr>
              <w:spacing w:after="200" w:line="259" w:lineRule="auto"/>
              <w:rPr>
                <w:rFonts w:eastAsia="Gill Sans"/>
                <w:color w:val="5C068C"/>
                <w:sz w:val="20"/>
                <w:szCs w:val="20"/>
              </w:rPr>
            </w:pPr>
            <w:r w:rsidRPr="00CC1E1C">
              <w:rPr>
                <w:rFonts w:eastAsia="Gill Sans"/>
                <w:color w:val="FFFFFF" w:themeColor="background1"/>
                <w:sz w:val="20"/>
                <w:szCs w:val="20"/>
              </w:rPr>
              <w:t xml:space="preserve">Table of Contents </w:t>
            </w:r>
          </w:p>
        </w:tc>
      </w:tr>
      <w:tr w:rsidR="00D57986" w:rsidRPr="00CC1E1C" w14:paraId="67B108D1" w14:textId="77777777" w:rsidTr="009A3A02">
        <w:tc>
          <w:tcPr>
            <w:tcW w:w="9019" w:type="dxa"/>
          </w:tcPr>
          <w:p w14:paraId="69F7EFA2" w14:textId="77777777" w:rsidR="00D57986" w:rsidRPr="00104A5C" w:rsidRDefault="00D57986" w:rsidP="009A3A02">
            <w:pPr>
              <w:spacing w:after="200" w:line="259" w:lineRule="auto"/>
              <w:rPr>
                <w:rFonts w:eastAsia="Gill Sans"/>
                <w:b/>
                <w:bCs/>
                <w:sz w:val="20"/>
                <w:szCs w:val="20"/>
              </w:rPr>
            </w:pPr>
            <w:r w:rsidRPr="00104A5C">
              <w:rPr>
                <w:rFonts w:eastAsia="Gill Sans"/>
                <w:b/>
                <w:bCs/>
                <w:sz w:val="20"/>
                <w:szCs w:val="20"/>
              </w:rPr>
              <w:t xml:space="preserve">Introduction </w:t>
            </w:r>
          </w:p>
        </w:tc>
      </w:tr>
      <w:tr w:rsidR="00D57986" w:rsidRPr="00CC1E1C" w14:paraId="234D3504" w14:textId="77777777" w:rsidTr="009A3A02">
        <w:tc>
          <w:tcPr>
            <w:tcW w:w="9019" w:type="dxa"/>
          </w:tcPr>
          <w:p w14:paraId="0DAC3A82" w14:textId="77777777" w:rsidR="00D57986" w:rsidRPr="00104A5C" w:rsidRDefault="00D57986" w:rsidP="009A3A02">
            <w:pPr>
              <w:spacing w:after="200" w:line="259" w:lineRule="auto"/>
              <w:rPr>
                <w:rFonts w:eastAsia="Gill Sans"/>
                <w:b/>
                <w:bCs/>
                <w:sz w:val="20"/>
                <w:szCs w:val="20"/>
              </w:rPr>
            </w:pPr>
            <w:r w:rsidRPr="00104A5C">
              <w:rPr>
                <w:rFonts w:eastAsia="Gill Sans"/>
                <w:b/>
                <w:bCs/>
                <w:sz w:val="20"/>
                <w:szCs w:val="20"/>
              </w:rPr>
              <w:t xml:space="preserve">Timetable </w:t>
            </w:r>
          </w:p>
        </w:tc>
      </w:tr>
      <w:tr w:rsidR="00D57986" w:rsidRPr="00CC1E1C" w14:paraId="2DA4B743" w14:textId="77777777" w:rsidTr="009A3A02">
        <w:tc>
          <w:tcPr>
            <w:tcW w:w="9019" w:type="dxa"/>
          </w:tcPr>
          <w:p w14:paraId="63F79F3C" w14:textId="77777777" w:rsidR="00D57986" w:rsidRPr="00104A5C" w:rsidRDefault="00D57986" w:rsidP="009A3A02">
            <w:pPr>
              <w:spacing w:after="200" w:line="259" w:lineRule="auto"/>
              <w:rPr>
                <w:rFonts w:eastAsia="Gill Sans"/>
                <w:b/>
                <w:bCs/>
                <w:sz w:val="20"/>
                <w:szCs w:val="20"/>
              </w:rPr>
            </w:pPr>
            <w:r w:rsidRPr="00104A5C">
              <w:rPr>
                <w:rFonts w:eastAsia="Gill Sans"/>
                <w:b/>
                <w:bCs/>
                <w:sz w:val="20"/>
                <w:szCs w:val="20"/>
              </w:rPr>
              <w:t xml:space="preserve">PFI Process </w:t>
            </w:r>
          </w:p>
        </w:tc>
      </w:tr>
      <w:tr w:rsidR="00D57986" w:rsidRPr="00CC1E1C" w14:paraId="4DEB5016" w14:textId="77777777" w:rsidTr="009A3A02">
        <w:tc>
          <w:tcPr>
            <w:tcW w:w="9019" w:type="dxa"/>
          </w:tcPr>
          <w:p w14:paraId="23173F7C" w14:textId="77777777" w:rsidR="00D57986" w:rsidRPr="00104A5C" w:rsidRDefault="00D57986" w:rsidP="009A3A02">
            <w:pPr>
              <w:spacing w:after="200" w:line="259" w:lineRule="auto"/>
              <w:rPr>
                <w:rFonts w:eastAsia="Gill Sans"/>
                <w:b/>
                <w:bCs/>
                <w:sz w:val="20"/>
                <w:szCs w:val="20"/>
              </w:rPr>
            </w:pPr>
            <w:r w:rsidRPr="00104A5C">
              <w:rPr>
                <w:rFonts w:eastAsia="Gill Sans"/>
                <w:b/>
                <w:bCs/>
                <w:sz w:val="20"/>
                <w:szCs w:val="20"/>
              </w:rPr>
              <w:t xml:space="preserve">Scope </w:t>
            </w:r>
          </w:p>
        </w:tc>
      </w:tr>
      <w:tr w:rsidR="00D57986" w:rsidRPr="00CC1E1C" w14:paraId="6FCF81BA" w14:textId="77777777" w:rsidTr="009A3A02">
        <w:tc>
          <w:tcPr>
            <w:tcW w:w="9019" w:type="dxa"/>
          </w:tcPr>
          <w:p w14:paraId="576C463D" w14:textId="77777777" w:rsidR="00D57986" w:rsidRPr="00104A5C" w:rsidRDefault="00D57986" w:rsidP="009A3A02">
            <w:pPr>
              <w:spacing w:after="200" w:line="259" w:lineRule="auto"/>
              <w:rPr>
                <w:rFonts w:eastAsia="Gill Sans"/>
                <w:b/>
                <w:bCs/>
                <w:sz w:val="20"/>
                <w:szCs w:val="20"/>
              </w:rPr>
            </w:pPr>
            <w:r w:rsidRPr="00104A5C">
              <w:rPr>
                <w:rFonts w:eastAsia="Gill Sans"/>
                <w:b/>
                <w:bCs/>
                <w:sz w:val="20"/>
                <w:szCs w:val="20"/>
              </w:rPr>
              <w:t xml:space="preserve">Submission Requirements </w:t>
            </w:r>
          </w:p>
        </w:tc>
      </w:tr>
    </w:tbl>
    <w:p w14:paraId="06B0A82C" w14:textId="77777777" w:rsidR="00D57986" w:rsidRPr="00CC1E1C" w:rsidRDefault="00D57986" w:rsidP="00D57986">
      <w:pPr>
        <w:spacing w:after="200" w:line="259" w:lineRule="auto"/>
        <w:jc w:val="center"/>
        <w:rPr>
          <w:rFonts w:eastAsia="Gill Sans"/>
          <w:color w:val="5C068C"/>
          <w:sz w:val="20"/>
          <w:szCs w:val="20"/>
        </w:rPr>
      </w:pPr>
    </w:p>
    <w:p w14:paraId="42304D2B" w14:textId="77777777" w:rsidR="00D57986" w:rsidRPr="00CC1E1C" w:rsidRDefault="00D57986" w:rsidP="00D57986">
      <w:pPr>
        <w:rPr>
          <w:sz w:val="20"/>
          <w:szCs w:val="20"/>
        </w:rPr>
      </w:pPr>
    </w:p>
    <w:p w14:paraId="520D3267" w14:textId="77777777" w:rsidR="00D57986" w:rsidRPr="00CC1E1C" w:rsidRDefault="00D57986" w:rsidP="00D57986">
      <w:pPr>
        <w:spacing w:line="240" w:lineRule="auto"/>
        <w:jc w:val="right"/>
        <w:rPr>
          <w:rFonts w:eastAsia="Gill Sans"/>
          <w:b/>
          <w:color w:val="5C068C"/>
          <w:sz w:val="20"/>
          <w:szCs w:val="20"/>
        </w:rPr>
      </w:pPr>
    </w:p>
    <w:p w14:paraId="5F5373B4" w14:textId="77777777" w:rsidR="00D57986" w:rsidRPr="00CC1E1C" w:rsidRDefault="00D57986" w:rsidP="00D57986">
      <w:pPr>
        <w:spacing w:line="360" w:lineRule="auto"/>
        <w:ind w:left="1985" w:hanging="1276"/>
        <w:rPr>
          <w:rFonts w:eastAsia="Gill Sans"/>
          <w:color w:val="5C068C"/>
          <w:sz w:val="20"/>
          <w:szCs w:val="20"/>
          <w:highlight w:val="yellow"/>
        </w:rPr>
      </w:pPr>
    </w:p>
    <w:p w14:paraId="1F8ABBE0" w14:textId="77777777" w:rsidR="00D57986" w:rsidRPr="00CC1E1C" w:rsidRDefault="00D57986" w:rsidP="00D57986">
      <w:pPr>
        <w:rPr>
          <w:sz w:val="20"/>
          <w:szCs w:val="20"/>
        </w:rPr>
      </w:pPr>
    </w:p>
    <w:p w14:paraId="2856410A" w14:textId="77777777" w:rsidR="00D57986" w:rsidRPr="00CC1E1C" w:rsidRDefault="00D57986" w:rsidP="00D57986">
      <w:pPr>
        <w:rPr>
          <w:sz w:val="20"/>
          <w:szCs w:val="20"/>
        </w:rPr>
      </w:pPr>
    </w:p>
    <w:p w14:paraId="1009ED1C" w14:textId="77777777" w:rsidR="00D57986" w:rsidRPr="00CC1E1C" w:rsidRDefault="00D57986" w:rsidP="00D57986">
      <w:pPr>
        <w:rPr>
          <w:sz w:val="20"/>
          <w:szCs w:val="20"/>
        </w:rPr>
      </w:pPr>
    </w:p>
    <w:p w14:paraId="67DA01CB" w14:textId="77777777" w:rsidR="00D57986" w:rsidRPr="00CC1E1C" w:rsidRDefault="00D57986" w:rsidP="00D57986">
      <w:pPr>
        <w:rPr>
          <w:sz w:val="20"/>
          <w:szCs w:val="20"/>
        </w:rPr>
      </w:pPr>
    </w:p>
    <w:p w14:paraId="3183B28C" w14:textId="77777777" w:rsidR="00D57986" w:rsidRPr="00CC1E1C" w:rsidRDefault="00D57986" w:rsidP="00D57986">
      <w:pPr>
        <w:rPr>
          <w:sz w:val="20"/>
          <w:szCs w:val="20"/>
        </w:rPr>
      </w:pPr>
    </w:p>
    <w:p w14:paraId="24656A9F" w14:textId="77777777" w:rsidR="00D57986" w:rsidRPr="00CC1E1C" w:rsidRDefault="00D57986" w:rsidP="00D57986">
      <w:pPr>
        <w:rPr>
          <w:sz w:val="20"/>
          <w:szCs w:val="20"/>
        </w:rPr>
      </w:pPr>
    </w:p>
    <w:p w14:paraId="61B80D5B" w14:textId="77777777" w:rsidR="00D57986" w:rsidRPr="00CC1E1C" w:rsidRDefault="00D57986" w:rsidP="00D57986">
      <w:pPr>
        <w:rPr>
          <w:sz w:val="20"/>
          <w:szCs w:val="20"/>
        </w:rPr>
      </w:pPr>
    </w:p>
    <w:p w14:paraId="6CE553B7" w14:textId="77777777" w:rsidR="00D57986" w:rsidRPr="00CC1E1C" w:rsidRDefault="00D57986" w:rsidP="00D57986">
      <w:pPr>
        <w:rPr>
          <w:sz w:val="20"/>
          <w:szCs w:val="20"/>
        </w:rPr>
      </w:pPr>
    </w:p>
    <w:p w14:paraId="34C996C1" w14:textId="77777777" w:rsidR="00D57986" w:rsidRPr="00CC1E1C" w:rsidRDefault="00D57986" w:rsidP="00D57986">
      <w:pPr>
        <w:rPr>
          <w:sz w:val="20"/>
          <w:szCs w:val="20"/>
        </w:rPr>
      </w:pPr>
    </w:p>
    <w:p w14:paraId="34A94CF2" w14:textId="77777777" w:rsidR="00D57986" w:rsidRPr="00CC1E1C" w:rsidRDefault="00D57986" w:rsidP="00D57986">
      <w:pPr>
        <w:rPr>
          <w:sz w:val="20"/>
          <w:szCs w:val="20"/>
        </w:rPr>
      </w:pPr>
    </w:p>
    <w:p w14:paraId="5DF9A9CB" w14:textId="77777777" w:rsidR="00D57986" w:rsidRPr="00CC1E1C" w:rsidRDefault="00D57986" w:rsidP="00D57986">
      <w:pPr>
        <w:rPr>
          <w:sz w:val="20"/>
          <w:szCs w:val="20"/>
        </w:rPr>
      </w:pPr>
    </w:p>
    <w:p w14:paraId="4DF3AE55" w14:textId="77777777" w:rsidR="00D57986" w:rsidRPr="00CC1E1C" w:rsidRDefault="00D57986" w:rsidP="00D57986">
      <w:pPr>
        <w:rPr>
          <w:sz w:val="20"/>
          <w:szCs w:val="20"/>
        </w:rPr>
      </w:pPr>
    </w:p>
    <w:p w14:paraId="1873C7B3" w14:textId="77777777" w:rsidR="00D57986" w:rsidRPr="00CC1E1C" w:rsidRDefault="00D57986" w:rsidP="00D57986">
      <w:pPr>
        <w:rPr>
          <w:sz w:val="20"/>
          <w:szCs w:val="20"/>
        </w:rPr>
      </w:pPr>
    </w:p>
    <w:p w14:paraId="2CC0E92F" w14:textId="77777777" w:rsidR="00D57986" w:rsidRPr="00CC1E1C" w:rsidRDefault="00D57986" w:rsidP="00D57986">
      <w:pPr>
        <w:rPr>
          <w:sz w:val="20"/>
          <w:szCs w:val="20"/>
        </w:rPr>
      </w:pPr>
    </w:p>
    <w:p w14:paraId="7FBE6AAA" w14:textId="77777777" w:rsidR="00D57986" w:rsidRPr="00CC1E1C" w:rsidRDefault="00D57986" w:rsidP="00D57986">
      <w:pPr>
        <w:rPr>
          <w:sz w:val="20"/>
          <w:szCs w:val="20"/>
        </w:rPr>
      </w:pPr>
    </w:p>
    <w:p w14:paraId="470EFD9C" w14:textId="77777777" w:rsidR="00D57986" w:rsidRPr="00CC1E1C" w:rsidRDefault="00D57986" w:rsidP="00D57986">
      <w:pPr>
        <w:rPr>
          <w:sz w:val="20"/>
          <w:szCs w:val="20"/>
        </w:rPr>
      </w:pPr>
    </w:p>
    <w:p w14:paraId="25241B45" w14:textId="77777777" w:rsidR="00D57986" w:rsidRPr="00CC1E1C" w:rsidRDefault="00D57986" w:rsidP="00D57986">
      <w:pPr>
        <w:rPr>
          <w:sz w:val="20"/>
          <w:szCs w:val="20"/>
        </w:rPr>
      </w:pPr>
    </w:p>
    <w:p w14:paraId="7536F87C" w14:textId="77777777" w:rsidR="00D57986" w:rsidRPr="00CC1E1C" w:rsidRDefault="00D57986" w:rsidP="00D57986">
      <w:pPr>
        <w:rPr>
          <w:sz w:val="20"/>
          <w:szCs w:val="20"/>
        </w:rPr>
      </w:pPr>
    </w:p>
    <w:p w14:paraId="58E7A5C1" w14:textId="77777777" w:rsidR="00D57986" w:rsidRDefault="00D57986" w:rsidP="00D57986">
      <w:pPr>
        <w:rPr>
          <w:sz w:val="20"/>
          <w:szCs w:val="20"/>
        </w:rPr>
      </w:pPr>
    </w:p>
    <w:p w14:paraId="49CECEEE" w14:textId="77777777" w:rsidR="00D57986" w:rsidRDefault="00D57986" w:rsidP="00D57986">
      <w:pPr>
        <w:rPr>
          <w:sz w:val="20"/>
          <w:szCs w:val="20"/>
        </w:rPr>
      </w:pPr>
    </w:p>
    <w:p w14:paraId="1DE556EE" w14:textId="77777777" w:rsidR="00D57986" w:rsidRDefault="00D57986" w:rsidP="00D57986">
      <w:pPr>
        <w:rPr>
          <w:sz w:val="20"/>
          <w:szCs w:val="20"/>
        </w:rPr>
      </w:pPr>
    </w:p>
    <w:p w14:paraId="0244B378" w14:textId="77777777" w:rsidR="00D57986" w:rsidRPr="00CC1E1C" w:rsidRDefault="00D57986" w:rsidP="00D57986">
      <w:pPr>
        <w:rPr>
          <w:sz w:val="20"/>
          <w:szCs w:val="20"/>
        </w:rPr>
      </w:pPr>
    </w:p>
    <w:p w14:paraId="20A5AF41" w14:textId="77777777" w:rsidR="00D57986" w:rsidRPr="00CC1E1C" w:rsidRDefault="00D57986" w:rsidP="00D57986">
      <w:pPr>
        <w:rPr>
          <w:sz w:val="20"/>
          <w:szCs w:val="20"/>
        </w:rPr>
      </w:pPr>
    </w:p>
    <w:p w14:paraId="0F410DFC" w14:textId="77777777" w:rsidR="00D57986" w:rsidRPr="00CC1E1C" w:rsidRDefault="00D57986" w:rsidP="00D57986">
      <w:pPr>
        <w:rPr>
          <w:sz w:val="20"/>
          <w:szCs w:val="20"/>
        </w:rPr>
      </w:pPr>
      <w:bookmarkStart w:id="1" w:name="_gjdgxs" w:colFirst="0" w:colLast="0"/>
      <w:bookmarkEnd w:id="1"/>
    </w:p>
    <w:p w14:paraId="4DC23DF5" w14:textId="77777777" w:rsidR="00D57986" w:rsidRPr="00CC1E1C" w:rsidRDefault="00D57986" w:rsidP="00D57986">
      <w:pPr>
        <w:rPr>
          <w:sz w:val="20"/>
          <w:szCs w:val="20"/>
        </w:rPr>
      </w:pPr>
    </w:p>
    <w:p w14:paraId="2FCFCFCC" w14:textId="77777777" w:rsidR="00D57986" w:rsidRPr="00CC1E1C" w:rsidRDefault="00D57986" w:rsidP="00D57986">
      <w:pPr>
        <w:rPr>
          <w:sz w:val="20"/>
          <w:szCs w:val="20"/>
        </w:rPr>
      </w:pPr>
    </w:p>
    <w:p w14:paraId="52639F3F" w14:textId="77777777" w:rsidR="00D57986" w:rsidRPr="00CC1E1C" w:rsidRDefault="00D57986" w:rsidP="00D57986">
      <w:pPr>
        <w:rPr>
          <w:sz w:val="20"/>
          <w:szCs w:val="20"/>
        </w:rPr>
      </w:pPr>
    </w:p>
    <w:p w14:paraId="52E1216E" w14:textId="77777777" w:rsidR="00D57986" w:rsidRPr="00CC1E1C" w:rsidRDefault="00D57986" w:rsidP="00D57986">
      <w:pPr>
        <w:rPr>
          <w:sz w:val="20"/>
          <w:szCs w:val="20"/>
        </w:rPr>
      </w:pPr>
    </w:p>
    <w:p w14:paraId="21CC683B" w14:textId="77777777" w:rsidR="00D57986" w:rsidRPr="00CC1E1C" w:rsidRDefault="00D57986" w:rsidP="00D57986">
      <w:pPr>
        <w:rPr>
          <w:sz w:val="20"/>
          <w:szCs w:val="20"/>
        </w:rPr>
      </w:pPr>
    </w:p>
    <w:p w14:paraId="39C76F28" w14:textId="77777777" w:rsidR="00D57986" w:rsidRPr="00104A5C" w:rsidRDefault="00D57986" w:rsidP="00D57986">
      <w:pPr>
        <w:spacing w:before="240" w:after="240" w:line="240" w:lineRule="auto"/>
        <w:outlineLvl w:val="1"/>
        <w:rPr>
          <w:rFonts w:eastAsia="Times New Roman"/>
          <w:b/>
          <w:bCs/>
          <w:sz w:val="24"/>
          <w:szCs w:val="24"/>
          <w:shd w:val="clear" w:color="auto" w:fill="FFFFFF"/>
        </w:rPr>
      </w:pPr>
      <w:r w:rsidRPr="00104A5C">
        <w:rPr>
          <w:rFonts w:eastAsia="Times New Roman"/>
          <w:b/>
          <w:bCs/>
          <w:sz w:val="24"/>
          <w:szCs w:val="24"/>
          <w:shd w:val="clear" w:color="auto" w:fill="FFFFFF"/>
        </w:rPr>
        <w:t xml:space="preserve">Introduction </w:t>
      </w:r>
    </w:p>
    <w:p w14:paraId="33003590" w14:textId="77777777" w:rsidR="00D57986" w:rsidRPr="00CC1E1C" w:rsidRDefault="00D57986" w:rsidP="00D57986">
      <w:pPr>
        <w:spacing w:before="240" w:after="240" w:line="240" w:lineRule="auto"/>
        <w:outlineLvl w:val="1"/>
        <w:rPr>
          <w:rFonts w:eastAsia="Times New Roman"/>
          <w:b/>
          <w:bCs/>
          <w:sz w:val="24"/>
          <w:szCs w:val="24"/>
          <w:shd w:val="clear" w:color="auto" w:fill="FFFFFF"/>
        </w:rPr>
      </w:pPr>
      <w:r w:rsidRPr="00CC1E1C">
        <w:rPr>
          <w:rFonts w:eastAsia="Times New Roman"/>
          <w:b/>
          <w:bCs/>
          <w:sz w:val="24"/>
          <w:szCs w:val="24"/>
          <w:shd w:val="clear" w:color="auto" w:fill="FFFFFF"/>
        </w:rPr>
        <w:t xml:space="preserve">Sheffield Teaching Hospitals NHS Foundation Trust </w:t>
      </w:r>
    </w:p>
    <w:p w14:paraId="2A139B99" w14:textId="77777777" w:rsidR="00D57986" w:rsidRPr="00CC1E1C" w:rsidRDefault="00D57986" w:rsidP="00D57986">
      <w:pPr>
        <w:spacing w:before="240" w:after="240" w:line="240" w:lineRule="auto"/>
        <w:outlineLvl w:val="1"/>
        <w:rPr>
          <w:rFonts w:eastAsia="Times New Roman"/>
          <w:sz w:val="20"/>
          <w:szCs w:val="24"/>
          <w:shd w:val="clear" w:color="auto" w:fill="FFFFFF"/>
        </w:rPr>
      </w:pPr>
      <w:r w:rsidRPr="00CC1E1C">
        <w:rPr>
          <w:rFonts w:eastAsia="Times New Roman"/>
          <w:sz w:val="20"/>
          <w:szCs w:val="24"/>
          <w:shd w:val="clear" w:color="auto" w:fill="FFFFFF"/>
        </w:rPr>
        <w:t>Sheffield Teaching Hospitals NHS Foundation Trust is one of the UK’s largest, busiest and most successful NHS foundation Trusts. We provide a full range of hospital and community services for people in Sheffield, as well as specialist care for patients from further afield. We manage five of Yorkshire’s best known teaching hospitals including:</w:t>
      </w:r>
    </w:p>
    <w:p w14:paraId="4D44FE98" w14:textId="77777777" w:rsidR="00D57986" w:rsidRPr="00CC1E1C" w:rsidRDefault="00D57986" w:rsidP="00D57986">
      <w:pPr>
        <w:spacing w:before="240" w:after="240" w:line="240" w:lineRule="auto"/>
        <w:ind w:left="1134"/>
        <w:outlineLvl w:val="1"/>
        <w:rPr>
          <w:rFonts w:eastAsia="Times New Roman"/>
          <w:sz w:val="20"/>
          <w:szCs w:val="18"/>
          <w:shd w:val="clear" w:color="auto" w:fill="FFFFFF"/>
        </w:rPr>
      </w:pPr>
      <w:r w:rsidRPr="00CC1E1C">
        <w:rPr>
          <w:rFonts w:eastAsia="Times New Roman"/>
          <w:sz w:val="20"/>
          <w:szCs w:val="24"/>
        </w:rPr>
        <w:t>Northern General Hospital</w:t>
      </w:r>
    </w:p>
    <w:p w14:paraId="6AE7E808" w14:textId="77777777" w:rsidR="00D57986" w:rsidRPr="00CC1E1C" w:rsidRDefault="00D57986" w:rsidP="00D57986">
      <w:pPr>
        <w:spacing w:before="240" w:after="240" w:line="240" w:lineRule="auto"/>
        <w:ind w:left="1134"/>
        <w:outlineLvl w:val="1"/>
        <w:rPr>
          <w:rFonts w:eastAsia="Times New Roman"/>
          <w:sz w:val="20"/>
          <w:szCs w:val="18"/>
          <w:shd w:val="clear" w:color="auto" w:fill="FFFFFF"/>
        </w:rPr>
      </w:pPr>
      <w:r w:rsidRPr="00CC1E1C">
        <w:rPr>
          <w:rFonts w:eastAsia="Times New Roman"/>
          <w:sz w:val="20"/>
          <w:szCs w:val="24"/>
        </w:rPr>
        <w:t>Royal Hallamshire Hospital</w:t>
      </w:r>
    </w:p>
    <w:p w14:paraId="5DBD5A70" w14:textId="77777777" w:rsidR="00D57986" w:rsidRPr="00CC1E1C" w:rsidRDefault="00D57986" w:rsidP="00D57986">
      <w:pPr>
        <w:spacing w:before="240" w:after="240" w:line="240" w:lineRule="auto"/>
        <w:ind w:left="1134"/>
        <w:outlineLvl w:val="1"/>
        <w:rPr>
          <w:rFonts w:eastAsia="Times New Roman"/>
          <w:sz w:val="20"/>
          <w:szCs w:val="18"/>
          <w:shd w:val="clear" w:color="auto" w:fill="FFFFFF"/>
        </w:rPr>
      </w:pPr>
      <w:r w:rsidRPr="00CC1E1C">
        <w:rPr>
          <w:rFonts w:eastAsia="Times New Roman"/>
          <w:sz w:val="20"/>
          <w:szCs w:val="24"/>
        </w:rPr>
        <w:t>Charles Clifford Dental Hospital</w:t>
      </w:r>
    </w:p>
    <w:p w14:paraId="44436B4E" w14:textId="77777777" w:rsidR="00D57986" w:rsidRPr="00CC1E1C" w:rsidRDefault="00D57986" w:rsidP="00D57986">
      <w:pPr>
        <w:spacing w:before="240" w:after="240" w:line="240" w:lineRule="auto"/>
        <w:ind w:left="1134"/>
        <w:outlineLvl w:val="1"/>
        <w:rPr>
          <w:rFonts w:eastAsia="Times New Roman"/>
          <w:sz w:val="20"/>
          <w:szCs w:val="18"/>
          <w:shd w:val="clear" w:color="auto" w:fill="FFFFFF"/>
        </w:rPr>
      </w:pPr>
      <w:r w:rsidRPr="00CC1E1C">
        <w:rPr>
          <w:rFonts w:eastAsia="Times New Roman"/>
          <w:sz w:val="20"/>
          <w:szCs w:val="24"/>
        </w:rPr>
        <w:t>Weston Park Cancer Hospital</w:t>
      </w:r>
    </w:p>
    <w:p w14:paraId="69786966" w14:textId="77777777" w:rsidR="00D57986" w:rsidRPr="00CC1E1C" w:rsidRDefault="00D57986" w:rsidP="00D57986">
      <w:pPr>
        <w:spacing w:before="240" w:after="240" w:line="240" w:lineRule="auto"/>
        <w:ind w:left="1134"/>
        <w:outlineLvl w:val="1"/>
        <w:rPr>
          <w:rFonts w:eastAsia="Times New Roman"/>
          <w:sz w:val="20"/>
          <w:szCs w:val="18"/>
          <w:shd w:val="clear" w:color="auto" w:fill="FFFFFF"/>
        </w:rPr>
      </w:pPr>
      <w:r w:rsidRPr="00CC1E1C">
        <w:rPr>
          <w:rFonts w:eastAsia="Times New Roman"/>
          <w:sz w:val="20"/>
          <w:szCs w:val="24"/>
        </w:rPr>
        <w:t>Jessop Wing Maternity Hospital</w:t>
      </w:r>
    </w:p>
    <w:p w14:paraId="4B7054A2" w14:textId="77777777" w:rsidR="00D57986" w:rsidRPr="00CC1E1C" w:rsidRDefault="00D57986" w:rsidP="00D57986">
      <w:pPr>
        <w:spacing w:before="240" w:after="240" w:line="240" w:lineRule="auto"/>
        <w:outlineLvl w:val="1"/>
        <w:rPr>
          <w:rFonts w:eastAsia="Times New Roman"/>
          <w:sz w:val="20"/>
          <w:szCs w:val="24"/>
        </w:rPr>
      </w:pPr>
      <w:r w:rsidRPr="00CC1E1C">
        <w:rPr>
          <w:rFonts w:eastAsia="Times New Roman"/>
          <w:sz w:val="20"/>
          <w:szCs w:val="24"/>
        </w:rPr>
        <w:t>We have a long history of providing high quality care, clinical excellence and innovation in medical research.</w:t>
      </w:r>
    </w:p>
    <w:p w14:paraId="2F6B97E1" w14:textId="77777777" w:rsidR="00D57986" w:rsidRPr="00CC1E1C" w:rsidRDefault="00D57986" w:rsidP="00D57986">
      <w:pPr>
        <w:spacing w:before="240" w:after="240" w:line="240" w:lineRule="auto"/>
        <w:outlineLvl w:val="1"/>
        <w:rPr>
          <w:rFonts w:eastAsia="Times New Roman"/>
          <w:sz w:val="20"/>
          <w:szCs w:val="24"/>
        </w:rPr>
      </w:pPr>
      <w:r w:rsidRPr="00CC1E1C">
        <w:rPr>
          <w:rFonts w:eastAsia="Times New Roman"/>
          <w:sz w:val="20"/>
          <w:szCs w:val="24"/>
        </w:rPr>
        <w:t>With around 16,000 employees, we are one of the biggest employers locally. We aim to reflect the diversity of local communities and are proud of our new and existing partnerships with local people, patients, neighbouring NHS organisations, local authority and charitable bodies.</w:t>
      </w:r>
    </w:p>
    <w:p w14:paraId="4DAE6216" w14:textId="77777777" w:rsidR="00D57986" w:rsidRPr="00CC1E1C" w:rsidRDefault="00D57986" w:rsidP="00D57986">
      <w:pPr>
        <w:spacing w:before="240" w:after="240" w:line="240" w:lineRule="auto"/>
        <w:outlineLvl w:val="1"/>
        <w:rPr>
          <w:rFonts w:eastAsia="Times New Roman"/>
          <w:sz w:val="20"/>
          <w:szCs w:val="24"/>
        </w:rPr>
      </w:pPr>
      <w:r w:rsidRPr="00CC1E1C">
        <w:rPr>
          <w:rFonts w:eastAsia="Times New Roman"/>
          <w:sz w:val="20"/>
          <w:szCs w:val="24"/>
        </w:rPr>
        <w:t>As well as being home to one of three Major Trauma Centres for the Yorkshire and Humber region, we have a number of specialist medical and surgical services, many of which we are internationally renowned for. These include cancer treatment, spinal injuries, neurology, cardiology and stereotactic radiosurgery to name but a few.</w:t>
      </w:r>
    </w:p>
    <w:p w14:paraId="35F5CD8B" w14:textId="77777777" w:rsidR="00D57986" w:rsidRPr="00CC1E1C" w:rsidRDefault="00D57986" w:rsidP="00D57986">
      <w:pPr>
        <w:spacing w:before="240" w:after="240" w:line="240" w:lineRule="auto"/>
        <w:outlineLvl w:val="1"/>
        <w:rPr>
          <w:rFonts w:eastAsia="Times New Roman"/>
          <w:sz w:val="20"/>
          <w:szCs w:val="24"/>
        </w:rPr>
      </w:pPr>
      <w:r w:rsidRPr="00CC1E1C">
        <w:rPr>
          <w:rFonts w:eastAsia="Times New Roman"/>
          <w:sz w:val="20"/>
          <w:szCs w:val="24"/>
        </w:rPr>
        <w:t>Our long tradition of clinical and scientific achievements has been strengthened by developing one of the UK’s first Academic Health Science Networks. Through our partnerships with the University of Sheffield, Sheffield Hallam University, other health and social care providers and industry we remain at the forefront of advancements in clinical services, teaching and research.</w:t>
      </w:r>
    </w:p>
    <w:p w14:paraId="31DB2863" w14:textId="77777777" w:rsidR="00D57986" w:rsidRPr="00CC1E1C" w:rsidRDefault="00D57986" w:rsidP="00D57986">
      <w:pPr>
        <w:spacing w:before="240" w:after="240" w:line="240" w:lineRule="auto"/>
        <w:outlineLvl w:val="1"/>
        <w:rPr>
          <w:rFonts w:eastAsia="Times New Roman"/>
          <w:sz w:val="20"/>
          <w:szCs w:val="24"/>
        </w:rPr>
      </w:pPr>
      <w:r w:rsidRPr="00CC1E1C">
        <w:rPr>
          <w:rFonts w:eastAsia="Times New Roman"/>
          <w:sz w:val="20"/>
          <w:szCs w:val="24"/>
        </w:rPr>
        <w:t>Our Vision is to be recognised as the best provider of health, clinical research and education in the UK and a strong contributor to the aspiration of Sheffield to be a vibrant and healthy city region.</w:t>
      </w:r>
    </w:p>
    <w:p w14:paraId="3FA91E1B" w14:textId="77777777" w:rsidR="00D57986" w:rsidRDefault="00D57986" w:rsidP="00D57986">
      <w:pPr>
        <w:spacing w:before="240" w:after="240" w:line="240" w:lineRule="auto"/>
        <w:outlineLvl w:val="1"/>
        <w:rPr>
          <w:rFonts w:eastAsia="Calibri"/>
          <w:color w:val="0000FF"/>
          <w:sz w:val="20"/>
          <w:szCs w:val="24"/>
          <w:u w:val="single"/>
        </w:rPr>
      </w:pPr>
      <w:r w:rsidRPr="00CC1E1C">
        <w:rPr>
          <w:rFonts w:eastAsia="Calibri"/>
          <w:sz w:val="20"/>
          <w:szCs w:val="24"/>
        </w:rPr>
        <w:t xml:space="preserve">Further information about Sheffield Teaching NHS Foundation Trust can be found on our website; please visit </w:t>
      </w:r>
      <w:hyperlink r:id="rId7" w:history="1">
        <w:r w:rsidRPr="00CC1E1C">
          <w:rPr>
            <w:rFonts w:eastAsia="Calibri"/>
            <w:color w:val="0000FF"/>
            <w:sz w:val="20"/>
            <w:szCs w:val="24"/>
            <w:u w:val="single"/>
          </w:rPr>
          <w:t>http://www.sth.nhs.uk/</w:t>
        </w:r>
      </w:hyperlink>
    </w:p>
    <w:p w14:paraId="65542235" w14:textId="77777777" w:rsidR="00006E3D" w:rsidRPr="00006E3D" w:rsidRDefault="00006E3D" w:rsidP="00006E3D">
      <w:pPr>
        <w:spacing w:before="240" w:after="240" w:line="240" w:lineRule="auto"/>
        <w:outlineLvl w:val="1"/>
        <w:rPr>
          <w:rFonts w:eastAsia="Times New Roman"/>
          <w:sz w:val="20"/>
          <w:szCs w:val="24"/>
        </w:rPr>
      </w:pPr>
      <w:r w:rsidRPr="00006E3D">
        <w:rPr>
          <w:rFonts w:eastAsia="Times New Roman"/>
          <w:sz w:val="20"/>
          <w:szCs w:val="24"/>
        </w:rPr>
        <w:t>Crucible Pharmacy Limited (CPL) is a dynamic and forward-thinking wholly owned subsidiary of Sheffield Teaching Hospitals NHS Foundation Trust.</w:t>
      </w:r>
    </w:p>
    <w:p w14:paraId="67B12E15" w14:textId="77777777" w:rsidR="00006E3D" w:rsidRPr="00006E3D" w:rsidRDefault="00006E3D" w:rsidP="00006E3D">
      <w:pPr>
        <w:spacing w:before="240" w:after="240" w:line="240" w:lineRule="auto"/>
        <w:outlineLvl w:val="1"/>
        <w:rPr>
          <w:rFonts w:eastAsia="Times New Roman"/>
          <w:sz w:val="20"/>
          <w:szCs w:val="24"/>
        </w:rPr>
      </w:pPr>
      <w:r w:rsidRPr="00006E3D">
        <w:rPr>
          <w:rFonts w:eastAsia="Times New Roman"/>
          <w:sz w:val="20"/>
          <w:szCs w:val="24"/>
        </w:rPr>
        <w:lastRenderedPageBreak/>
        <w:t>Following the acquisition of the two outpatient dispensing stores from Boots, CPL has completed refurbishments at both sites which have been fully re-fitted with the latest robotic dispensing system technology.</w:t>
      </w:r>
    </w:p>
    <w:p w14:paraId="1341CBE0" w14:textId="77777777" w:rsidR="00006E3D" w:rsidRPr="00006E3D" w:rsidRDefault="00006E3D" w:rsidP="00006E3D">
      <w:pPr>
        <w:spacing w:before="240" w:after="240" w:line="240" w:lineRule="auto"/>
        <w:outlineLvl w:val="1"/>
        <w:rPr>
          <w:rFonts w:eastAsia="Times New Roman"/>
          <w:sz w:val="20"/>
          <w:szCs w:val="24"/>
        </w:rPr>
      </w:pPr>
      <w:r w:rsidRPr="00006E3D">
        <w:rPr>
          <w:rFonts w:eastAsia="Times New Roman"/>
          <w:sz w:val="20"/>
          <w:szCs w:val="24"/>
        </w:rPr>
        <w:t>As a result CPL is at the forefront of enhancing pharmacy services to both outpatients and inpatient discharges for the Trust.</w:t>
      </w:r>
    </w:p>
    <w:p w14:paraId="6BAECF85" w14:textId="77777777" w:rsidR="00006E3D" w:rsidRPr="00CC1E1C" w:rsidRDefault="00006E3D" w:rsidP="00D57986">
      <w:pPr>
        <w:spacing w:before="240" w:after="240" w:line="240" w:lineRule="auto"/>
        <w:outlineLvl w:val="1"/>
        <w:rPr>
          <w:rFonts w:eastAsia="Times New Roman"/>
          <w:sz w:val="20"/>
          <w:szCs w:val="24"/>
        </w:rPr>
      </w:pPr>
    </w:p>
    <w:p w14:paraId="6B5BDD35" w14:textId="77777777" w:rsidR="00D57986" w:rsidRPr="00CC1E1C" w:rsidRDefault="00D57986" w:rsidP="00D57986">
      <w:pPr>
        <w:spacing w:line="360" w:lineRule="auto"/>
        <w:rPr>
          <w:sz w:val="24"/>
          <w:szCs w:val="24"/>
        </w:rPr>
      </w:pPr>
    </w:p>
    <w:p w14:paraId="3E4218E4" w14:textId="77777777" w:rsidR="00D57986" w:rsidRPr="00104A5C" w:rsidRDefault="00D57986" w:rsidP="00D57986">
      <w:pPr>
        <w:spacing w:line="360" w:lineRule="auto"/>
        <w:rPr>
          <w:b/>
          <w:bCs/>
          <w:sz w:val="24"/>
          <w:szCs w:val="24"/>
        </w:rPr>
      </w:pPr>
      <w:r w:rsidRPr="00104A5C">
        <w:rPr>
          <w:b/>
          <w:bCs/>
          <w:sz w:val="24"/>
          <w:szCs w:val="24"/>
        </w:rPr>
        <w:t xml:space="preserve">Request for information Timetable </w:t>
      </w:r>
    </w:p>
    <w:tbl>
      <w:tblPr>
        <w:tblStyle w:val="TableGrid1"/>
        <w:tblW w:w="10036" w:type="dxa"/>
        <w:tblInd w:w="-147" w:type="dxa"/>
        <w:tblLook w:val="04A0" w:firstRow="1" w:lastRow="0" w:firstColumn="1" w:lastColumn="0" w:noHBand="0" w:noVBand="1"/>
      </w:tblPr>
      <w:tblGrid>
        <w:gridCol w:w="5784"/>
        <w:gridCol w:w="4252"/>
      </w:tblGrid>
      <w:tr w:rsidR="00D57986" w:rsidRPr="00CC1E1C" w14:paraId="1E4CD6F0" w14:textId="77777777" w:rsidTr="009A3A02">
        <w:trPr>
          <w:trHeight w:val="397"/>
        </w:trPr>
        <w:tc>
          <w:tcPr>
            <w:tcW w:w="5784" w:type="dxa"/>
            <w:shd w:val="clear" w:color="auto" w:fill="0070C0"/>
            <w:vAlign w:val="center"/>
          </w:tcPr>
          <w:p w14:paraId="08C1A631" w14:textId="77777777" w:rsidR="00D57986" w:rsidRPr="00CC1E1C" w:rsidRDefault="00D57986" w:rsidP="009A3A02">
            <w:pPr>
              <w:outlineLvl w:val="1"/>
              <w:rPr>
                <w:rFonts w:eastAsia="Times New Roman" w:cs="Arial"/>
                <w:b/>
                <w:color w:val="FFFFFF"/>
              </w:rPr>
            </w:pPr>
            <w:r w:rsidRPr="00CC1E1C">
              <w:rPr>
                <w:rFonts w:eastAsia="Times New Roman" w:cs="Arial"/>
                <w:b/>
                <w:color w:val="FFFFFF"/>
              </w:rPr>
              <w:t>Event</w:t>
            </w:r>
          </w:p>
        </w:tc>
        <w:tc>
          <w:tcPr>
            <w:tcW w:w="4252" w:type="dxa"/>
            <w:shd w:val="clear" w:color="auto" w:fill="0070C0"/>
            <w:vAlign w:val="center"/>
          </w:tcPr>
          <w:p w14:paraId="08116498" w14:textId="77777777" w:rsidR="00D57986" w:rsidRPr="00CC1E1C" w:rsidRDefault="00D57986" w:rsidP="009A3A02">
            <w:pPr>
              <w:outlineLvl w:val="1"/>
              <w:rPr>
                <w:rFonts w:eastAsia="Times New Roman" w:cs="Arial"/>
                <w:b/>
                <w:color w:val="FFFFFF"/>
              </w:rPr>
            </w:pPr>
            <w:r w:rsidRPr="00CC1E1C">
              <w:rPr>
                <w:rFonts w:eastAsia="Times New Roman" w:cs="Arial"/>
                <w:b/>
                <w:color w:val="FFFFFF"/>
              </w:rPr>
              <w:t>Date</w:t>
            </w:r>
          </w:p>
        </w:tc>
      </w:tr>
      <w:tr w:rsidR="00D57986" w:rsidRPr="00CC1E1C" w14:paraId="0EA8CB62" w14:textId="77777777" w:rsidTr="009A3A02">
        <w:trPr>
          <w:trHeight w:val="397"/>
        </w:trPr>
        <w:tc>
          <w:tcPr>
            <w:tcW w:w="5784" w:type="dxa"/>
            <w:vAlign w:val="center"/>
          </w:tcPr>
          <w:p w14:paraId="04DE861D" w14:textId="77777777" w:rsidR="00D57986" w:rsidRPr="00CC1E1C" w:rsidRDefault="00D57986" w:rsidP="009A3A02">
            <w:pPr>
              <w:outlineLvl w:val="1"/>
              <w:rPr>
                <w:rFonts w:eastAsia="Times New Roman" w:cs="Arial"/>
                <w:color w:val="000000"/>
              </w:rPr>
            </w:pPr>
            <w:r w:rsidRPr="00CC1E1C">
              <w:rPr>
                <w:rFonts w:eastAsia="Times New Roman" w:cs="Arial"/>
                <w:color w:val="000000"/>
              </w:rPr>
              <w:t>RFI issued</w:t>
            </w:r>
          </w:p>
        </w:tc>
        <w:tc>
          <w:tcPr>
            <w:tcW w:w="4252" w:type="dxa"/>
            <w:vAlign w:val="center"/>
          </w:tcPr>
          <w:p w14:paraId="67CBC09A" w14:textId="0D08015C" w:rsidR="00D57986" w:rsidRPr="00CC1E1C" w:rsidRDefault="00B0188F" w:rsidP="009A3A02">
            <w:pPr>
              <w:outlineLvl w:val="1"/>
              <w:rPr>
                <w:rFonts w:eastAsia="Times New Roman" w:cs="Arial"/>
                <w:color w:val="000000"/>
              </w:rPr>
            </w:pPr>
            <w:r>
              <w:rPr>
                <w:rFonts w:eastAsia="Times New Roman" w:cs="Arial"/>
                <w:color w:val="000000"/>
              </w:rPr>
              <w:t>19/09/2024</w:t>
            </w:r>
          </w:p>
        </w:tc>
      </w:tr>
      <w:tr w:rsidR="00D57986" w:rsidRPr="00CC1E1C" w14:paraId="26A8689F" w14:textId="77777777" w:rsidTr="009A3A02">
        <w:trPr>
          <w:trHeight w:val="397"/>
        </w:trPr>
        <w:tc>
          <w:tcPr>
            <w:tcW w:w="5784" w:type="dxa"/>
            <w:vAlign w:val="center"/>
          </w:tcPr>
          <w:p w14:paraId="7C8F369B" w14:textId="77777777" w:rsidR="00D57986" w:rsidRPr="00CC1E1C" w:rsidRDefault="00D57986" w:rsidP="009A3A02">
            <w:pPr>
              <w:outlineLvl w:val="1"/>
              <w:rPr>
                <w:rFonts w:eastAsia="Times New Roman" w:cs="Arial"/>
                <w:color w:val="000000"/>
              </w:rPr>
            </w:pPr>
            <w:r w:rsidRPr="00CC1E1C">
              <w:rPr>
                <w:rFonts w:eastAsia="Times New Roman" w:cs="Arial"/>
                <w:color w:val="000000"/>
              </w:rPr>
              <w:t>Deadline for the receipt of clarification questions</w:t>
            </w:r>
          </w:p>
        </w:tc>
        <w:tc>
          <w:tcPr>
            <w:tcW w:w="4252" w:type="dxa"/>
            <w:vAlign w:val="center"/>
          </w:tcPr>
          <w:p w14:paraId="1D2EC781" w14:textId="21A4A542" w:rsidR="00D57986" w:rsidRPr="00CC1E1C" w:rsidRDefault="00B0188F" w:rsidP="009A3A02">
            <w:pPr>
              <w:outlineLvl w:val="1"/>
              <w:rPr>
                <w:rFonts w:eastAsia="Times New Roman" w:cs="Arial"/>
                <w:color w:val="000000"/>
              </w:rPr>
            </w:pPr>
            <w:r>
              <w:rPr>
                <w:rFonts w:eastAsia="Times New Roman" w:cs="Arial"/>
                <w:color w:val="000000"/>
              </w:rPr>
              <w:t>03/10/2024</w:t>
            </w:r>
          </w:p>
        </w:tc>
      </w:tr>
      <w:tr w:rsidR="00D57986" w:rsidRPr="00CC1E1C" w14:paraId="05F0CDE4" w14:textId="77777777" w:rsidTr="009A3A02">
        <w:trPr>
          <w:trHeight w:val="397"/>
        </w:trPr>
        <w:tc>
          <w:tcPr>
            <w:tcW w:w="5784" w:type="dxa"/>
            <w:vAlign w:val="center"/>
          </w:tcPr>
          <w:p w14:paraId="25C25D8D" w14:textId="77777777" w:rsidR="00D57986" w:rsidRPr="00CC1E1C" w:rsidRDefault="00D57986" w:rsidP="009A3A02">
            <w:pPr>
              <w:outlineLvl w:val="1"/>
              <w:rPr>
                <w:rFonts w:eastAsia="Times New Roman" w:cs="Arial"/>
                <w:color w:val="000000"/>
              </w:rPr>
            </w:pPr>
            <w:r w:rsidRPr="00CC1E1C">
              <w:rPr>
                <w:rFonts w:eastAsia="Times New Roman" w:cs="Arial"/>
                <w:color w:val="000000"/>
              </w:rPr>
              <w:t>Target date for responses to clarification questions</w:t>
            </w:r>
          </w:p>
        </w:tc>
        <w:tc>
          <w:tcPr>
            <w:tcW w:w="4252" w:type="dxa"/>
            <w:vAlign w:val="center"/>
          </w:tcPr>
          <w:p w14:paraId="2C8BB022" w14:textId="0A16FC75" w:rsidR="00D57986" w:rsidRPr="00CC1E1C" w:rsidRDefault="00B0188F" w:rsidP="009A3A02">
            <w:pPr>
              <w:tabs>
                <w:tab w:val="left" w:pos="1652"/>
              </w:tabs>
              <w:outlineLvl w:val="1"/>
              <w:rPr>
                <w:rFonts w:eastAsia="Times New Roman" w:cs="Arial"/>
                <w:color w:val="000000"/>
              </w:rPr>
            </w:pPr>
            <w:r>
              <w:rPr>
                <w:rFonts w:eastAsia="Times New Roman" w:cs="Arial"/>
                <w:color w:val="000000"/>
              </w:rPr>
              <w:t>04/10/2024</w:t>
            </w:r>
            <w:r w:rsidR="00D57986" w:rsidRPr="00CC1E1C">
              <w:rPr>
                <w:rFonts w:eastAsia="Times New Roman" w:cs="Arial"/>
                <w:color w:val="000000"/>
              </w:rPr>
              <w:tab/>
            </w:r>
          </w:p>
        </w:tc>
      </w:tr>
      <w:tr w:rsidR="00D57986" w:rsidRPr="00CC1E1C" w14:paraId="6132079C" w14:textId="77777777" w:rsidTr="009A3A02">
        <w:trPr>
          <w:trHeight w:val="397"/>
        </w:trPr>
        <w:tc>
          <w:tcPr>
            <w:tcW w:w="5784" w:type="dxa"/>
            <w:vAlign w:val="center"/>
          </w:tcPr>
          <w:p w14:paraId="02174686" w14:textId="77777777" w:rsidR="00D57986" w:rsidRPr="00CC1E1C" w:rsidRDefault="00D57986" w:rsidP="009A3A02">
            <w:pPr>
              <w:outlineLvl w:val="1"/>
              <w:rPr>
                <w:rFonts w:eastAsia="Times New Roman" w:cs="Arial"/>
                <w:color w:val="000000"/>
              </w:rPr>
            </w:pPr>
            <w:r w:rsidRPr="00CC1E1C">
              <w:rPr>
                <w:rFonts w:eastAsia="Times New Roman" w:cs="Arial"/>
                <w:color w:val="000000"/>
              </w:rPr>
              <w:t xml:space="preserve">Deadline for receipt of RFI </w:t>
            </w:r>
          </w:p>
        </w:tc>
        <w:tc>
          <w:tcPr>
            <w:tcW w:w="4252" w:type="dxa"/>
            <w:vAlign w:val="center"/>
          </w:tcPr>
          <w:p w14:paraId="51F939FA" w14:textId="6D3EEE17" w:rsidR="00D57986" w:rsidRPr="00CC1E1C" w:rsidRDefault="00B0188F" w:rsidP="009A3A02">
            <w:pPr>
              <w:outlineLvl w:val="1"/>
              <w:rPr>
                <w:rFonts w:eastAsia="Times New Roman" w:cs="Arial"/>
                <w:color w:val="000000"/>
              </w:rPr>
            </w:pPr>
            <w:r>
              <w:rPr>
                <w:rFonts w:eastAsia="Times New Roman" w:cs="Arial"/>
                <w:color w:val="000000"/>
              </w:rPr>
              <w:t>07/10/2024 13:00</w:t>
            </w:r>
          </w:p>
        </w:tc>
      </w:tr>
    </w:tbl>
    <w:p w14:paraId="575AC9B5" w14:textId="77777777" w:rsidR="00D57986" w:rsidRPr="00CC1E1C" w:rsidRDefault="00D57986" w:rsidP="00D57986">
      <w:pPr>
        <w:spacing w:line="360" w:lineRule="auto"/>
        <w:rPr>
          <w:sz w:val="24"/>
          <w:szCs w:val="24"/>
        </w:rPr>
      </w:pPr>
    </w:p>
    <w:p w14:paraId="50F8FD05" w14:textId="380AC228" w:rsidR="00D57986" w:rsidRPr="00CC1E1C" w:rsidRDefault="00D57986" w:rsidP="00D57986">
      <w:pPr>
        <w:pStyle w:val="MRNumberedHeading2"/>
        <w:numPr>
          <w:ilvl w:val="0"/>
          <w:numId w:val="0"/>
        </w:numPr>
        <w:rPr>
          <w:rFonts w:cs="Arial"/>
        </w:rPr>
      </w:pPr>
      <w:bookmarkStart w:id="2" w:name="_Toc403555077"/>
      <w:r w:rsidRPr="00CC1E1C">
        <w:rPr>
          <w:rFonts w:cs="Arial"/>
        </w:rPr>
        <w:t>Sheffield Teaching Hospitals</w:t>
      </w:r>
      <w:r w:rsidR="00006E3D">
        <w:rPr>
          <w:rFonts w:cs="Arial"/>
        </w:rPr>
        <w:t xml:space="preserve"> </w:t>
      </w:r>
      <w:r w:rsidRPr="00CC1E1C">
        <w:rPr>
          <w:rFonts w:cs="Arial"/>
        </w:rPr>
        <w:t xml:space="preserve">is issuing this Request for Information (RFI)  </w:t>
      </w:r>
      <w:bookmarkEnd w:id="2"/>
      <w:r w:rsidRPr="00CC1E1C">
        <w:rPr>
          <w:rFonts w:cs="Arial"/>
        </w:rPr>
        <w:t xml:space="preserve">for the purpose of engaging with the market in order to inform the further development of draft proposals for </w:t>
      </w:r>
      <w:r w:rsidR="00006E3D">
        <w:rPr>
          <w:rFonts w:cs="Arial"/>
        </w:rPr>
        <w:t>the provision of a courier service to distribute out patient prescriptions for Crucible Pharmacy Ltd.</w:t>
      </w:r>
      <w:r w:rsidRPr="00CC1E1C">
        <w:rPr>
          <w:rFonts w:cs="Arial"/>
          <w:sz w:val="24"/>
        </w:rPr>
        <w:t xml:space="preserve"> </w:t>
      </w:r>
    </w:p>
    <w:p w14:paraId="7B0F819A" w14:textId="77777777" w:rsidR="00D57986" w:rsidRPr="00CC1E1C" w:rsidRDefault="00D57986" w:rsidP="00D57986">
      <w:pPr>
        <w:spacing w:line="360" w:lineRule="auto"/>
        <w:rPr>
          <w:sz w:val="24"/>
          <w:szCs w:val="24"/>
        </w:rPr>
      </w:pPr>
    </w:p>
    <w:p w14:paraId="1CEBFA84" w14:textId="77777777" w:rsidR="00D57986" w:rsidRPr="00CC1E1C" w:rsidRDefault="00D57986" w:rsidP="00D57986">
      <w:pPr>
        <w:spacing w:line="360" w:lineRule="auto"/>
        <w:rPr>
          <w:rFonts w:eastAsia="Times New Roman"/>
          <w:sz w:val="20"/>
          <w:szCs w:val="24"/>
        </w:rPr>
      </w:pPr>
      <w:r w:rsidRPr="00CC1E1C">
        <w:rPr>
          <w:rFonts w:eastAsia="Times New Roman"/>
          <w:sz w:val="20"/>
          <w:szCs w:val="24"/>
        </w:rPr>
        <w:t>The objective of this RFI is to:</w:t>
      </w:r>
    </w:p>
    <w:p w14:paraId="23F66050" w14:textId="77777777" w:rsidR="00D57986" w:rsidRPr="00CC1E1C" w:rsidRDefault="00D57986" w:rsidP="00D57986">
      <w:pPr>
        <w:spacing w:line="360" w:lineRule="auto"/>
        <w:rPr>
          <w:rFonts w:eastAsia="Times New Roman"/>
          <w:sz w:val="20"/>
          <w:szCs w:val="24"/>
        </w:rPr>
      </w:pPr>
    </w:p>
    <w:p w14:paraId="3DD9A60B"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 xml:space="preserve">Gathering information to support the definition of the project scope and objectives. </w:t>
      </w:r>
    </w:p>
    <w:p w14:paraId="61C3CAB0"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Understand supplier capabilities</w:t>
      </w:r>
    </w:p>
    <w:p w14:paraId="2F43A1D9"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Assess market conditions, trends and innovations</w:t>
      </w:r>
    </w:p>
    <w:p w14:paraId="50A4C87D"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 xml:space="preserve">Determine pricing structures </w:t>
      </w:r>
    </w:p>
    <w:p w14:paraId="5CAC4843"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 xml:space="preserve">Exploring technical solutions </w:t>
      </w:r>
    </w:p>
    <w:p w14:paraId="585D1EE9" w14:textId="77777777" w:rsidR="00D57986" w:rsidRPr="00CC1E1C" w:rsidRDefault="00D57986" w:rsidP="00D57986">
      <w:pPr>
        <w:pStyle w:val="ListParagraph"/>
        <w:numPr>
          <w:ilvl w:val="0"/>
          <w:numId w:val="9"/>
        </w:numPr>
        <w:spacing w:line="360" w:lineRule="auto"/>
        <w:rPr>
          <w:rFonts w:eastAsia="Times New Roman"/>
          <w:sz w:val="20"/>
          <w:szCs w:val="24"/>
        </w:rPr>
      </w:pPr>
      <w:r w:rsidRPr="00CC1E1C">
        <w:rPr>
          <w:rFonts w:eastAsia="Times New Roman"/>
          <w:sz w:val="20"/>
          <w:szCs w:val="24"/>
        </w:rPr>
        <w:t>Assessing potential risks</w:t>
      </w:r>
    </w:p>
    <w:p w14:paraId="0777B20E" w14:textId="77777777" w:rsidR="00D57986" w:rsidRPr="00CC1E1C" w:rsidRDefault="00D57986" w:rsidP="00D57986">
      <w:pPr>
        <w:pStyle w:val="ListParagraph"/>
        <w:spacing w:line="360" w:lineRule="auto"/>
        <w:rPr>
          <w:sz w:val="24"/>
          <w:szCs w:val="24"/>
        </w:rPr>
      </w:pPr>
    </w:p>
    <w:p w14:paraId="15F67BA9" w14:textId="77777777" w:rsidR="00D57986" w:rsidRPr="00CC1E1C" w:rsidRDefault="00D57986" w:rsidP="00D57986">
      <w:pPr>
        <w:spacing w:line="360" w:lineRule="auto"/>
        <w:rPr>
          <w:sz w:val="24"/>
          <w:szCs w:val="24"/>
        </w:rPr>
      </w:pPr>
    </w:p>
    <w:p w14:paraId="2BF2BB31" w14:textId="77777777" w:rsidR="00D57986" w:rsidRPr="00062057" w:rsidRDefault="00D57986" w:rsidP="00D57986">
      <w:pPr>
        <w:spacing w:line="360" w:lineRule="auto"/>
        <w:rPr>
          <w:rFonts w:eastAsia="Times New Roman"/>
          <w:sz w:val="20"/>
          <w:szCs w:val="24"/>
        </w:rPr>
      </w:pPr>
      <w:r w:rsidRPr="00062057">
        <w:rPr>
          <w:rFonts w:eastAsia="Times New Roman"/>
          <w:sz w:val="20"/>
          <w:szCs w:val="24"/>
        </w:rPr>
        <w:t>Sheffield Teaching Hospital Foundation Trust and their/its respective officers, directors, employees, agents and affiliates do not make and will not make at any time, in connection with this service, any representation or warranty, express or implied as to the accuracy or completeness of this RFI or any such summaries.</w:t>
      </w:r>
    </w:p>
    <w:p w14:paraId="1A041481" w14:textId="77777777" w:rsidR="00D57986" w:rsidRPr="00062057" w:rsidRDefault="00D57986" w:rsidP="00D57986">
      <w:pPr>
        <w:spacing w:line="360" w:lineRule="auto"/>
        <w:rPr>
          <w:rFonts w:eastAsia="Times New Roman"/>
          <w:sz w:val="20"/>
          <w:szCs w:val="24"/>
        </w:rPr>
      </w:pPr>
    </w:p>
    <w:p w14:paraId="29935A34" w14:textId="77777777" w:rsidR="00D57986" w:rsidRPr="00062057" w:rsidRDefault="00D57986" w:rsidP="00D57986">
      <w:pPr>
        <w:spacing w:line="360" w:lineRule="auto"/>
        <w:rPr>
          <w:rFonts w:eastAsia="Times New Roman"/>
          <w:sz w:val="20"/>
          <w:szCs w:val="24"/>
        </w:rPr>
      </w:pPr>
      <w:r w:rsidRPr="00062057">
        <w:rPr>
          <w:rFonts w:eastAsia="Times New Roman"/>
          <w:sz w:val="20"/>
          <w:szCs w:val="24"/>
        </w:rPr>
        <w:t>In providing this RFI, Sheffield Teaching Hospitals NHS Foundation Trust do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Sheffield Teaching Hospital Foundation Trust ultimate decisions in relation to the next stage, which will depend, at least in part, on the outcome of the discussions during this RFI process.</w:t>
      </w:r>
    </w:p>
    <w:p w14:paraId="14F83F5B" w14:textId="77777777" w:rsidR="00D57986" w:rsidRPr="00062057" w:rsidRDefault="00D57986" w:rsidP="00D57986">
      <w:pPr>
        <w:spacing w:line="360" w:lineRule="auto"/>
        <w:rPr>
          <w:rFonts w:eastAsia="Times New Roman"/>
          <w:sz w:val="20"/>
          <w:szCs w:val="24"/>
        </w:rPr>
      </w:pPr>
    </w:p>
    <w:p w14:paraId="12A33DF5" w14:textId="77777777" w:rsidR="00D57986" w:rsidRPr="00062057" w:rsidRDefault="00D57986" w:rsidP="00D57986">
      <w:pPr>
        <w:spacing w:line="360" w:lineRule="auto"/>
        <w:rPr>
          <w:rFonts w:eastAsia="Times New Roman"/>
          <w:sz w:val="20"/>
          <w:szCs w:val="24"/>
        </w:rPr>
      </w:pPr>
      <w:r w:rsidRPr="00062057">
        <w:rPr>
          <w:rFonts w:eastAsia="Times New Roman"/>
          <w:sz w:val="20"/>
          <w:szCs w:val="24"/>
        </w:rPr>
        <w:t>Sheffield Teaching Hospital’s Foundation Trust will not reimburse any expenses incurred by interested parties in preparing their responses to this RFI.  Sheffield Teaching Hospital Foundation Trust reserves the right to discontinue the process at any time and will not accept any liability towards interested parties should it be required to do so.</w:t>
      </w:r>
    </w:p>
    <w:p w14:paraId="1B8CA6D0" w14:textId="77777777" w:rsidR="00D57986" w:rsidRPr="00062057" w:rsidRDefault="00D57986" w:rsidP="00D57986">
      <w:pPr>
        <w:rPr>
          <w:rFonts w:eastAsia="Times New Roman"/>
          <w:sz w:val="20"/>
          <w:szCs w:val="24"/>
        </w:rPr>
      </w:pPr>
    </w:p>
    <w:p w14:paraId="7DE845FC" w14:textId="784D46FF" w:rsidR="00D57986" w:rsidRPr="00062057" w:rsidRDefault="00D57986" w:rsidP="00D57986">
      <w:pPr>
        <w:rPr>
          <w:rFonts w:eastAsia="Times New Roman"/>
          <w:sz w:val="20"/>
          <w:szCs w:val="24"/>
        </w:rPr>
      </w:pPr>
      <w:r w:rsidRPr="00062057">
        <w:rPr>
          <w:rFonts w:eastAsia="Times New Roman"/>
          <w:sz w:val="20"/>
          <w:szCs w:val="24"/>
        </w:rPr>
        <w:t xml:space="preserve">You should note that this is a benchmark and market research exercise only and is not an invitation to tender or invitation to offer an agreement. </w:t>
      </w:r>
      <w:r w:rsidR="00006E3D">
        <w:rPr>
          <w:rFonts w:eastAsia="Times New Roman"/>
          <w:sz w:val="20"/>
          <w:szCs w:val="24"/>
        </w:rPr>
        <w:t>Any</w:t>
      </w:r>
      <w:r w:rsidRPr="00062057">
        <w:rPr>
          <w:rFonts w:eastAsia="Times New Roman"/>
          <w:sz w:val="20"/>
          <w:szCs w:val="24"/>
        </w:rPr>
        <w:t xml:space="preserve"> prices submitted as a result of this benchmarking exercise are for the Sheffield Teaching Hospital’s Foundation Trust information purposes only and will not result in an award of a contract.</w:t>
      </w:r>
    </w:p>
    <w:p w14:paraId="52D1DF3D" w14:textId="77777777" w:rsidR="00D57986" w:rsidRDefault="00D57986" w:rsidP="00D57986">
      <w:pPr>
        <w:rPr>
          <w:rFonts w:eastAsia="Times New Roman"/>
          <w:sz w:val="20"/>
          <w:szCs w:val="24"/>
        </w:rPr>
      </w:pPr>
    </w:p>
    <w:p w14:paraId="586E0964" w14:textId="77777777" w:rsidR="00D57986" w:rsidRPr="00062057" w:rsidRDefault="00D57986" w:rsidP="00D57986">
      <w:pPr>
        <w:rPr>
          <w:rFonts w:eastAsia="Times New Roman"/>
          <w:sz w:val="20"/>
          <w:szCs w:val="24"/>
        </w:rPr>
      </w:pPr>
      <w:r w:rsidRPr="00062057">
        <w:rPr>
          <w:rFonts w:eastAsia="Times New Roman"/>
          <w:sz w:val="20"/>
          <w:szCs w:val="24"/>
        </w:rPr>
        <w:t>Suppliers should note that any information provided to you as part of this RFI exercise, either written and/or verbal, is Confidential.</w:t>
      </w:r>
    </w:p>
    <w:p w14:paraId="106B2031" w14:textId="77777777" w:rsidR="00D57986" w:rsidRPr="00062057" w:rsidRDefault="00D57986" w:rsidP="00D57986">
      <w:pPr>
        <w:rPr>
          <w:rFonts w:eastAsia="Times New Roman"/>
          <w:sz w:val="20"/>
          <w:szCs w:val="24"/>
        </w:rPr>
      </w:pPr>
    </w:p>
    <w:p w14:paraId="78BEA9A0" w14:textId="77777777" w:rsidR="00D57986" w:rsidRDefault="00D57986" w:rsidP="00D57986">
      <w:pPr>
        <w:spacing w:line="360" w:lineRule="auto"/>
        <w:rPr>
          <w:sz w:val="24"/>
          <w:szCs w:val="24"/>
        </w:rPr>
      </w:pPr>
    </w:p>
    <w:p w14:paraId="457E574F" w14:textId="77777777" w:rsidR="00D57986" w:rsidRDefault="00D57986" w:rsidP="00D57986">
      <w:pPr>
        <w:spacing w:line="360" w:lineRule="auto"/>
        <w:rPr>
          <w:sz w:val="24"/>
          <w:szCs w:val="24"/>
        </w:rPr>
      </w:pPr>
    </w:p>
    <w:p w14:paraId="1AE85907" w14:textId="77777777" w:rsidR="00D57986" w:rsidRDefault="00D57986" w:rsidP="00D57986">
      <w:pPr>
        <w:spacing w:line="360" w:lineRule="auto"/>
        <w:rPr>
          <w:sz w:val="24"/>
          <w:szCs w:val="24"/>
        </w:rPr>
      </w:pPr>
    </w:p>
    <w:p w14:paraId="5EAC2786" w14:textId="77777777" w:rsidR="00D57986" w:rsidRDefault="00D57986" w:rsidP="00D57986">
      <w:pPr>
        <w:spacing w:line="360" w:lineRule="auto"/>
        <w:rPr>
          <w:sz w:val="24"/>
          <w:szCs w:val="24"/>
        </w:rPr>
      </w:pPr>
    </w:p>
    <w:p w14:paraId="0D75328C" w14:textId="77777777" w:rsidR="00D57986" w:rsidRDefault="00D57986" w:rsidP="00D57986">
      <w:pPr>
        <w:spacing w:line="360" w:lineRule="auto"/>
        <w:rPr>
          <w:sz w:val="24"/>
          <w:szCs w:val="24"/>
        </w:rPr>
      </w:pPr>
    </w:p>
    <w:p w14:paraId="6420E9CB" w14:textId="77777777" w:rsidR="00D57986" w:rsidRPr="00CC1E1C" w:rsidRDefault="00D57986" w:rsidP="00D57986">
      <w:pPr>
        <w:spacing w:line="360" w:lineRule="auto"/>
        <w:rPr>
          <w:sz w:val="24"/>
          <w:szCs w:val="24"/>
        </w:rPr>
      </w:pPr>
    </w:p>
    <w:p w14:paraId="5DB5EEC8" w14:textId="77777777" w:rsidR="00D57986" w:rsidRPr="00CC1E1C" w:rsidRDefault="00D57986" w:rsidP="00D57986">
      <w:pPr>
        <w:rPr>
          <w:sz w:val="20"/>
          <w:szCs w:val="20"/>
        </w:rPr>
      </w:pPr>
    </w:p>
    <w:p w14:paraId="279646EC" w14:textId="77777777" w:rsidR="00D57986" w:rsidRPr="00CC1E1C" w:rsidRDefault="00D57986" w:rsidP="00D57986">
      <w:pPr>
        <w:pStyle w:val="ITT3"/>
        <w:spacing w:before="0" w:after="0"/>
        <w:jc w:val="left"/>
      </w:pPr>
      <w:bookmarkStart w:id="3" w:name="_Toc64300109"/>
      <w:bookmarkStart w:id="4" w:name="_Toc287615145"/>
      <w:bookmarkStart w:id="5" w:name="_Toc287618954"/>
      <w:r w:rsidRPr="00CC1E1C">
        <w:t>THE RFI PROCESS</w:t>
      </w:r>
      <w:bookmarkEnd w:id="3"/>
    </w:p>
    <w:p w14:paraId="4B2BA486" w14:textId="03C7AE5D" w:rsidR="00D57986" w:rsidRPr="00062057" w:rsidRDefault="00D57986" w:rsidP="00D57986">
      <w:pPr>
        <w:pStyle w:val="default"/>
        <w:numPr>
          <w:ilvl w:val="1"/>
          <w:numId w:val="10"/>
        </w:numPr>
        <w:spacing w:line="360" w:lineRule="auto"/>
        <w:ind w:left="720" w:hanging="720"/>
        <w:rPr>
          <w:color w:val="auto"/>
          <w:sz w:val="20"/>
          <w:lang w:val="en-GB" w:eastAsia="en-GB"/>
        </w:rPr>
      </w:pPr>
      <w:r w:rsidRPr="00062057">
        <w:rPr>
          <w:color w:val="auto"/>
          <w:sz w:val="20"/>
          <w:lang w:val="en-GB" w:eastAsia="en-GB"/>
        </w:rPr>
        <w:t xml:space="preserve"> Sheffield Teaching Hospital’s Foundation Trust has outlined their requirements for the provision of </w:t>
      </w:r>
      <w:r w:rsidR="00006E3D">
        <w:rPr>
          <w:color w:val="auto"/>
          <w:sz w:val="20"/>
          <w:lang w:val="en-GB" w:eastAsia="en-GB"/>
        </w:rPr>
        <w:t>a courier service to distribute out patient prescriptions for Crucible Pharmacy Ltd.</w:t>
      </w:r>
    </w:p>
    <w:p w14:paraId="64538BE2" w14:textId="77777777" w:rsidR="00D57986" w:rsidRPr="00062057" w:rsidRDefault="00D57986" w:rsidP="00D57986">
      <w:pPr>
        <w:pStyle w:val="default"/>
        <w:spacing w:line="360" w:lineRule="auto"/>
        <w:ind w:left="720" w:hanging="720"/>
        <w:rPr>
          <w:color w:val="auto"/>
          <w:sz w:val="20"/>
          <w:lang w:val="en-GB" w:eastAsia="en-GB"/>
        </w:rPr>
      </w:pPr>
    </w:p>
    <w:p w14:paraId="742A49D2" w14:textId="718187D2" w:rsidR="00D57986" w:rsidRDefault="00D57986" w:rsidP="00D57986">
      <w:pPr>
        <w:pStyle w:val="default"/>
        <w:numPr>
          <w:ilvl w:val="1"/>
          <w:numId w:val="10"/>
        </w:numPr>
        <w:spacing w:line="360" w:lineRule="auto"/>
        <w:ind w:left="720" w:hanging="720"/>
        <w:rPr>
          <w:color w:val="auto"/>
          <w:sz w:val="20"/>
          <w:lang w:val="en-GB" w:eastAsia="en-GB"/>
        </w:rPr>
      </w:pPr>
      <w:r w:rsidRPr="00062057">
        <w:rPr>
          <w:color w:val="auto"/>
          <w:sz w:val="20"/>
          <w:lang w:val="en-GB" w:eastAsia="en-GB"/>
        </w:rPr>
        <w:t xml:space="preserve">The RFI process is being undertaken to allow the soft market testing for </w:t>
      </w:r>
      <w:r w:rsidR="00006E3D">
        <w:rPr>
          <w:color w:val="auto"/>
          <w:sz w:val="20"/>
          <w:lang w:val="en-GB" w:eastAsia="en-GB"/>
        </w:rPr>
        <w:t>the provision of a courier service to distribute out patient prescriptions for Crucible Pharmacy Ltd.</w:t>
      </w:r>
    </w:p>
    <w:p w14:paraId="3A4BF41C" w14:textId="77777777" w:rsidR="000F7346" w:rsidRDefault="000F7346" w:rsidP="000F7346">
      <w:pPr>
        <w:pStyle w:val="ListParagraph"/>
        <w:rPr>
          <w:sz w:val="20"/>
        </w:rPr>
      </w:pPr>
    </w:p>
    <w:p w14:paraId="15E62CA8" w14:textId="77777777" w:rsidR="000F7346" w:rsidRPr="00062057" w:rsidRDefault="000F7346" w:rsidP="000F7346">
      <w:pPr>
        <w:pStyle w:val="default"/>
        <w:spacing w:line="360" w:lineRule="auto"/>
        <w:ind w:left="720"/>
        <w:rPr>
          <w:color w:val="auto"/>
          <w:sz w:val="20"/>
          <w:lang w:val="en-GB" w:eastAsia="en-GB"/>
        </w:rPr>
      </w:pPr>
    </w:p>
    <w:p w14:paraId="155EECA3" w14:textId="77777777" w:rsidR="00D57986" w:rsidRPr="00062057" w:rsidRDefault="00D57986" w:rsidP="00D57986">
      <w:pPr>
        <w:pStyle w:val="default"/>
        <w:spacing w:line="360" w:lineRule="auto"/>
        <w:rPr>
          <w:color w:val="auto"/>
          <w:sz w:val="20"/>
          <w:lang w:val="en-GB" w:eastAsia="en-GB"/>
        </w:rPr>
      </w:pPr>
    </w:p>
    <w:p w14:paraId="75A8D9B1" w14:textId="77777777" w:rsidR="00D57986" w:rsidRPr="00062057" w:rsidRDefault="00D57986" w:rsidP="00D57986">
      <w:pPr>
        <w:pStyle w:val="default"/>
        <w:numPr>
          <w:ilvl w:val="1"/>
          <w:numId w:val="10"/>
        </w:numPr>
        <w:spacing w:line="360" w:lineRule="auto"/>
        <w:ind w:left="720" w:hanging="720"/>
        <w:rPr>
          <w:color w:val="auto"/>
          <w:sz w:val="20"/>
          <w:lang w:val="en-GB" w:eastAsia="en-GB"/>
        </w:rPr>
      </w:pPr>
      <w:r w:rsidRPr="00062057">
        <w:rPr>
          <w:color w:val="auto"/>
          <w:sz w:val="20"/>
          <w:lang w:val="en-GB" w:eastAsia="en-GB"/>
        </w:rPr>
        <w:t>The documentation is available to all interested parties who have registered an interest in the service via the Atamis e-Tendering system following the advertisement of a Prior Information Notice on Contracts Finder and Find a Tender Service (FTS).</w:t>
      </w:r>
    </w:p>
    <w:p w14:paraId="69B44925" w14:textId="77777777" w:rsidR="00D57986" w:rsidRPr="00062057" w:rsidRDefault="00D57986" w:rsidP="00D57986">
      <w:pPr>
        <w:pStyle w:val="default"/>
        <w:spacing w:line="360" w:lineRule="auto"/>
        <w:ind w:left="720" w:hanging="720"/>
        <w:rPr>
          <w:color w:val="auto"/>
          <w:sz w:val="20"/>
          <w:lang w:val="en-GB" w:eastAsia="en-GB"/>
        </w:rPr>
      </w:pPr>
    </w:p>
    <w:p w14:paraId="4466F55F" w14:textId="77777777" w:rsidR="00D57986" w:rsidRPr="00062057" w:rsidRDefault="00D57986" w:rsidP="00D57986">
      <w:pPr>
        <w:pStyle w:val="default"/>
        <w:numPr>
          <w:ilvl w:val="1"/>
          <w:numId w:val="10"/>
        </w:numPr>
        <w:spacing w:line="360" w:lineRule="auto"/>
        <w:ind w:left="720" w:hanging="720"/>
        <w:rPr>
          <w:color w:val="auto"/>
          <w:sz w:val="20"/>
          <w:lang w:val="en-GB" w:eastAsia="en-GB"/>
        </w:rPr>
      </w:pPr>
      <w:r w:rsidRPr="00062057">
        <w:rPr>
          <w:color w:val="auto"/>
          <w:sz w:val="20"/>
          <w:lang w:val="en-GB" w:eastAsia="en-GB"/>
        </w:rPr>
        <w:t>Accompanying this document, the following attachments are available to interested parties to further inform the submission of the respective RFI: -</w:t>
      </w:r>
    </w:p>
    <w:p w14:paraId="3CE00AB0" w14:textId="718E1FA0" w:rsidR="00D57986" w:rsidRDefault="00D57986" w:rsidP="00D57986">
      <w:pPr>
        <w:pStyle w:val="default"/>
        <w:numPr>
          <w:ilvl w:val="0"/>
          <w:numId w:val="11"/>
        </w:numPr>
        <w:spacing w:line="360" w:lineRule="auto"/>
        <w:ind w:left="1440"/>
        <w:rPr>
          <w:color w:val="auto"/>
          <w:sz w:val="20"/>
          <w:lang w:val="en-GB" w:eastAsia="en-GB"/>
        </w:rPr>
      </w:pPr>
      <w:r w:rsidRPr="00062057">
        <w:rPr>
          <w:color w:val="auto"/>
          <w:sz w:val="20"/>
          <w:lang w:val="en-GB" w:eastAsia="en-GB"/>
        </w:rPr>
        <w:t xml:space="preserve">Appendix A </w:t>
      </w:r>
      <w:r>
        <w:rPr>
          <w:color w:val="auto"/>
          <w:sz w:val="20"/>
          <w:lang w:val="en-GB" w:eastAsia="en-GB"/>
        </w:rPr>
        <w:t>–</w:t>
      </w:r>
      <w:r w:rsidR="00823AF1">
        <w:rPr>
          <w:color w:val="auto"/>
          <w:sz w:val="20"/>
          <w:lang w:val="en-GB" w:eastAsia="en-GB"/>
        </w:rPr>
        <w:t xml:space="preserve"> Draft Specification</w:t>
      </w:r>
      <w:r w:rsidR="00006E3D">
        <w:rPr>
          <w:color w:val="auto"/>
          <w:sz w:val="20"/>
          <w:lang w:val="en-GB" w:eastAsia="en-GB"/>
        </w:rPr>
        <w:t>.</w:t>
      </w:r>
      <w:r w:rsidRPr="00062057">
        <w:rPr>
          <w:color w:val="auto"/>
          <w:sz w:val="20"/>
          <w:lang w:val="en-GB" w:eastAsia="en-GB"/>
        </w:rPr>
        <w:t xml:space="preserve"> </w:t>
      </w:r>
    </w:p>
    <w:p w14:paraId="5F779FD6" w14:textId="0C4C144E" w:rsidR="00823AF1" w:rsidRDefault="00823AF1" w:rsidP="00823AF1">
      <w:pPr>
        <w:pStyle w:val="default"/>
        <w:numPr>
          <w:ilvl w:val="0"/>
          <w:numId w:val="11"/>
        </w:numPr>
        <w:spacing w:line="360" w:lineRule="auto"/>
        <w:ind w:left="1440"/>
        <w:rPr>
          <w:color w:val="auto"/>
          <w:sz w:val="20"/>
          <w:lang w:val="en-GB" w:eastAsia="en-GB"/>
        </w:rPr>
      </w:pPr>
      <w:r w:rsidRPr="00062057">
        <w:rPr>
          <w:color w:val="auto"/>
          <w:sz w:val="20"/>
          <w:lang w:val="en-GB" w:eastAsia="en-GB"/>
        </w:rPr>
        <w:t xml:space="preserve">Appendix </w:t>
      </w:r>
      <w:r>
        <w:rPr>
          <w:color w:val="auto"/>
          <w:sz w:val="20"/>
          <w:lang w:val="en-GB" w:eastAsia="en-GB"/>
        </w:rPr>
        <w:t>B</w:t>
      </w:r>
      <w:r w:rsidRPr="00062057">
        <w:rPr>
          <w:color w:val="auto"/>
          <w:sz w:val="20"/>
          <w:lang w:val="en-GB" w:eastAsia="en-GB"/>
        </w:rPr>
        <w:t xml:space="preserve"> </w:t>
      </w:r>
      <w:r>
        <w:rPr>
          <w:color w:val="auto"/>
          <w:sz w:val="20"/>
          <w:lang w:val="en-GB" w:eastAsia="en-GB"/>
        </w:rPr>
        <w:t>–</w:t>
      </w:r>
      <w:r w:rsidRPr="00062057">
        <w:rPr>
          <w:color w:val="auto"/>
          <w:sz w:val="20"/>
          <w:lang w:val="en-GB" w:eastAsia="en-GB"/>
        </w:rPr>
        <w:t xml:space="preserve"> </w:t>
      </w:r>
      <w:r>
        <w:rPr>
          <w:color w:val="auto"/>
          <w:sz w:val="20"/>
          <w:lang w:val="en-GB" w:eastAsia="en-GB"/>
        </w:rPr>
        <w:t>Supplier Response</w:t>
      </w:r>
      <w:r w:rsidRPr="00062057">
        <w:rPr>
          <w:color w:val="auto"/>
          <w:sz w:val="20"/>
          <w:lang w:val="en-GB" w:eastAsia="en-GB"/>
        </w:rPr>
        <w:t xml:space="preserve"> </w:t>
      </w:r>
      <w:r>
        <w:rPr>
          <w:color w:val="auto"/>
          <w:sz w:val="20"/>
          <w:lang w:val="en-GB" w:eastAsia="en-GB"/>
        </w:rPr>
        <w:t>Document.</w:t>
      </w:r>
      <w:r w:rsidRPr="00062057">
        <w:rPr>
          <w:color w:val="auto"/>
          <w:sz w:val="20"/>
          <w:lang w:val="en-GB" w:eastAsia="en-GB"/>
        </w:rPr>
        <w:t xml:space="preserve"> </w:t>
      </w:r>
    </w:p>
    <w:p w14:paraId="555F71A6" w14:textId="77777777" w:rsidR="00823AF1" w:rsidRPr="00062057" w:rsidRDefault="00823AF1" w:rsidP="00823AF1">
      <w:pPr>
        <w:pStyle w:val="default"/>
        <w:spacing w:line="360" w:lineRule="auto"/>
        <w:ind w:left="1440"/>
        <w:rPr>
          <w:color w:val="auto"/>
          <w:sz w:val="20"/>
          <w:lang w:val="en-GB" w:eastAsia="en-GB"/>
        </w:rPr>
      </w:pPr>
    </w:p>
    <w:p w14:paraId="62990E17" w14:textId="77777777" w:rsidR="00D57986" w:rsidRPr="00062057" w:rsidRDefault="00D57986" w:rsidP="00D57986">
      <w:pPr>
        <w:pStyle w:val="default"/>
        <w:spacing w:line="360" w:lineRule="auto"/>
        <w:rPr>
          <w:color w:val="auto"/>
          <w:sz w:val="20"/>
          <w:lang w:val="en-GB" w:eastAsia="en-GB"/>
        </w:rPr>
      </w:pPr>
    </w:p>
    <w:p w14:paraId="24BE67E4" w14:textId="77777777" w:rsidR="00D57986" w:rsidRPr="00062057" w:rsidRDefault="00D57986" w:rsidP="00D57986">
      <w:pPr>
        <w:pStyle w:val="default"/>
        <w:numPr>
          <w:ilvl w:val="1"/>
          <w:numId w:val="10"/>
        </w:numPr>
        <w:spacing w:line="360" w:lineRule="auto"/>
        <w:ind w:left="720" w:hanging="720"/>
        <w:rPr>
          <w:sz w:val="20"/>
        </w:rPr>
      </w:pPr>
      <w:r w:rsidRPr="00062057">
        <w:rPr>
          <w:color w:val="auto"/>
          <w:sz w:val="20"/>
          <w:lang w:val="en-GB" w:eastAsia="en-GB"/>
        </w:rPr>
        <w:t>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and submit both the RFI Response questionnaire and the Draft Service Pricing model</w:t>
      </w:r>
      <w:r>
        <w:rPr>
          <w:color w:val="auto"/>
          <w:sz w:val="20"/>
          <w:lang w:val="en-GB" w:eastAsia="en-GB"/>
        </w:rPr>
        <w:t xml:space="preserve">. </w:t>
      </w:r>
    </w:p>
    <w:p w14:paraId="37A46002" w14:textId="77777777" w:rsidR="00D57986" w:rsidRPr="00062057" w:rsidRDefault="00D57986" w:rsidP="00D57986">
      <w:pPr>
        <w:pStyle w:val="default"/>
        <w:spacing w:line="360" w:lineRule="auto"/>
        <w:ind w:left="720"/>
        <w:rPr>
          <w:sz w:val="20"/>
        </w:rPr>
      </w:pPr>
    </w:p>
    <w:p w14:paraId="3803FFD3" w14:textId="77777777" w:rsidR="00D57986" w:rsidRPr="00CC1E1C" w:rsidRDefault="00D57986" w:rsidP="00D57986">
      <w:pPr>
        <w:pStyle w:val="ITT3"/>
        <w:spacing w:before="0" w:after="0"/>
        <w:ind w:left="720"/>
        <w:jc w:val="left"/>
      </w:pPr>
      <w:bookmarkStart w:id="6" w:name="_Toc64300110"/>
      <w:r w:rsidRPr="00CC1E1C">
        <w:t>SCOPE OF THE SERVICE</w:t>
      </w:r>
      <w:bookmarkEnd w:id="6"/>
    </w:p>
    <w:p w14:paraId="0C7A05FE" w14:textId="10B16A52" w:rsidR="00D57986" w:rsidRPr="00CC1E1C" w:rsidRDefault="00D57986" w:rsidP="00006E3D">
      <w:pPr>
        <w:pStyle w:val="ITT3"/>
        <w:numPr>
          <w:ilvl w:val="0"/>
          <w:numId w:val="0"/>
        </w:numPr>
        <w:spacing w:before="0" w:after="0"/>
        <w:ind w:left="680" w:hanging="680"/>
        <w:jc w:val="left"/>
        <w:rPr>
          <w:b w:val="0"/>
          <w:bCs w:val="0"/>
        </w:rPr>
      </w:pPr>
    </w:p>
    <w:p w14:paraId="40448790" w14:textId="289B092D" w:rsidR="00D57986" w:rsidRPr="00823AF1" w:rsidRDefault="00006E3D" w:rsidP="00D57986">
      <w:pPr>
        <w:pStyle w:val="default"/>
        <w:spacing w:line="360" w:lineRule="auto"/>
        <w:ind w:left="720"/>
        <w:rPr>
          <w:sz w:val="20"/>
          <w:szCs w:val="20"/>
        </w:rPr>
      </w:pPr>
      <w:r w:rsidRPr="00823AF1">
        <w:rPr>
          <w:sz w:val="20"/>
          <w:szCs w:val="20"/>
        </w:rPr>
        <w:t>Our intention is to award contract(s) for the delivery of out patient medications to patients’ homes and a home delivery service for certain regular scheduled deliveries of certain medications.</w:t>
      </w:r>
    </w:p>
    <w:p w14:paraId="423C7D87" w14:textId="41B6848B" w:rsidR="00434453" w:rsidRDefault="00006E3D" w:rsidP="00D57986">
      <w:pPr>
        <w:pStyle w:val="default"/>
        <w:spacing w:line="360" w:lineRule="auto"/>
        <w:ind w:left="720"/>
        <w:rPr>
          <w:sz w:val="20"/>
          <w:szCs w:val="20"/>
        </w:rPr>
      </w:pPr>
      <w:r w:rsidRPr="00823AF1">
        <w:rPr>
          <w:sz w:val="20"/>
          <w:szCs w:val="20"/>
        </w:rPr>
        <w:t>We believe that</w:t>
      </w:r>
      <w:r w:rsidR="00A43EBE" w:rsidRPr="00823AF1">
        <w:rPr>
          <w:sz w:val="20"/>
          <w:szCs w:val="20"/>
        </w:rPr>
        <w:t xml:space="preserve"> a mini-competition under</w:t>
      </w:r>
      <w:r w:rsidRPr="00823AF1">
        <w:rPr>
          <w:sz w:val="20"/>
          <w:szCs w:val="20"/>
        </w:rPr>
        <w:t xml:space="preserve"> East Of England Collaborative Procurement Hub’s (EOECPH) Specialist Pharmacy Courier Services dynamic </w:t>
      </w:r>
      <w:r w:rsidR="00A43EBE" w:rsidRPr="00823AF1">
        <w:rPr>
          <w:sz w:val="20"/>
          <w:szCs w:val="20"/>
        </w:rPr>
        <w:t>purchasing system Ref: 2021/S 000-000597 offers the best route to market for STH. It provides assurances that all suppliers meet MHRA standards and any interested supplier can apply to be admitted to the DPS to be considered for the mini-competition.</w:t>
      </w:r>
    </w:p>
    <w:p w14:paraId="5FA36FA9" w14:textId="604B4D40" w:rsidR="00AD39B4" w:rsidRDefault="00AD39B4" w:rsidP="00D57986">
      <w:pPr>
        <w:pStyle w:val="default"/>
        <w:spacing w:line="360" w:lineRule="auto"/>
        <w:ind w:left="720"/>
        <w:rPr>
          <w:sz w:val="20"/>
          <w:szCs w:val="20"/>
        </w:rPr>
      </w:pPr>
      <w:r>
        <w:rPr>
          <w:sz w:val="20"/>
          <w:szCs w:val="20"/>
        </w:rPr>
        <w:t xml:space="preserve">We are considering lotting our requirement, which means that rather than offering one contract for all our deliveries, we are considering splitting this into several lots and suppliers are free to bid on one or as many as they are interested in. </w:t>
      </w:r>
    </w:p>
    <w:p w14:paraId="0605E5E4" w14:textId="77777777" w:rsidR="00DC7097" w:rsidRDefault="00DC7097" w:rsidP="00D57986">
      <w:pPr>
        <w:pStyle w:val="default"/>
        <w:spacing w:line="360" w:lineRule="auto"/>
        <w:ind w:left="720"/>
        <w:rPr>
          <w:sz w:val="20"/>
          <w:szCs w:val="20"/>
        </w:rPr>
      </w:pPr>
    </w:p>
    <w:p w14:paraId="61ECDC2D" w14:textId="77777777" w:rsidR="00DC7097" w:rsidRDefault="00DC7097" w:rsidP="00D57986">
      <w:pPr>
        <w:pStyle w:val="default"/>
        <w:spacing w:line="360" w:lineRule="auto"/>
        <w:ind w:left="720"/>
        <w:rPr>
          <w:sz w:val="20"/>
          <w:szCs w:val="20"/>
        </w:rPr>
      </w:pPr>
    </w:p>
    <w:p w14:paraId="413D9F0E" w14:textId="77777777" w:rsidR="00DC7097" w:rsidRDefault="00DC7097" w:rsidP="00D57986">
      <w:pPr>
        <w:pStyle w:val="default"/>
        <w:spacing w:line="360" w:lineRule="auto"/>
        <w:ind w:left="720"/>
        <w:rPr>
          <w:sz w:val="20"/>
          <w:szCs w:val="20"/>
        </w:rPr>
      </w:pPr>
    </w:p>
    <w:p w14:paraId="005A9642" w14:textId="77777777" w:rsidR="00DC7097" w:rsidRDefault="00DC7097" w:rsidP="00D57986">
      <w:pPr>
        <w:pStyle w:val="default"/>
        <w:spacing w:line="360" w:lineRule="auto"/>
        <w:ind w:left="720"/>
        <w:rPr>
          <w:sz w:val="20"/>
          <w:szCs w:val="20"/>
        </w:rPr>
      </w:pPr>
    </w:p>
    <w:p w14:paraId="1C59DB87" w14:textId="0F9CBABC" w:rsidR="00DC7097" w:rsidRDefault="00DC7097" w:rsidP="00D57986">
      <w:pPr>
        <w:pStyle w:val="default"/>
        <w:spacing w:line="360" w:lineRule="auto"/>
        <w:ind w:left="720"/>
        <w:rPr>
          <w:sz w:val="20"/>
          <w:szCs w:val="20"/>
        </w:rPr>
      </w:pPr>
      <w:r>
        <w:rPr>
          <w:sz w:val="20"/>
          <w:szCs w:val="20"/>
        </w:rPr>
        <w:lastRenderedPageBreak/>
        <w:t>The delivery activity we expect to</w:t>
      </w:r>
      <w:r w:rsidR="000F7346">
        <w:rPr>
          <w:sz w:val="20"/>
          <w:szCs w:val="20"/>
        </w:rPr>
        <w:t xml:space="preserve"> be able to</w:t>
      </w:r>
      <w:r>
        <w:rPr>
          <w:sz w:val="20"/>
          <w:szCs w:val="20"/>
        </w:rPr>
        <w:t xml:space="preserve"> offer suppliers, based on previous year’s deliveries will be approximately: -</w:t>
      </w:r>
    </w:p>
    <w:p w14:paraId="643D009D" w14:textId="77777777" w:rsidR="00DC7097" w:rsidRDefault="00DC7097" w:rsidP="00D57986">
      <w:pPr>
        <w:pStyle w:val="default"/>
        <w:spacing w:line="360" w:lineRule="auto"/>
        <w:ind w:left="720"/>
        <w:rPr>
          <w:sz w:val="20"/>
          <w:szCs w:val="20"/>
        </w:rPr>
      </w:pPr>
    </w:p>
    <w:p w14:paraId="25A917AD" w14:textId="75B81F95" w:rsidR="00DC7097" w:rsidRPr="00DC7097" w:rsidRDefault="00DC7097" w:rsidP="00DC7097">
      <w:pPr>
        <w:pStyle w:val="default"/>
        <w:spacing w:line="360" w:lineRule="auto"/>
        <w:ind w:left="720"/>
        <w:rPr>
          <w:sz w:val="20"/>
          <w:szCs w:val="20"/>
          <w:lang w:val="en-GB"/>
        </w:rPr>
      </w:pPr>
      <w:r w:rsidRPr="00DC7097">
        <w:rPr>
          <w:sz w:val="20"/>
          <w:szCs w:val="20"/>
          <w:lang w:val="en-GB"/>
        </w:rPr>
        <w:t>16,000 local deliveries (</w:t>
      </w:r>
      <w:r>
        <w:rPr>
          <w:sz w:val="20"/>
          <w:szCs w:val="20"/>
          <w:lang w:val="en-GB"/>
        </w:rPr>
        <w:t>S postcodes</w:t>
      </w:r>
      <w:r w:rsidRPr="00DC7097">
        <w:rPr>
          <w:sz w:val="20"/>
          <w:szCs w:val="20"/>
          <w:lang w:val="en-GB"/>
        </w:rPr>
        <w:t>)</w:t>
      </w:r>
    </w:p>
    <w:p w14:paraId="62FE18C5" w14:textId="33A095AF" w:rsidR="00DC7097" w:rsidRPr="00DC7097" w:rsidRDefault="00DC7097" w:rsidP="00DC7097">
      <w:pPr>
        <w:pStyle w:val="default"/>
        <w:spacing w:line="360" w:lineRule="auto"/>
        <w:ind w:left="720"/>
        <w:rPr>
          <w:sz w:val="20"/>
          <w:szCs w:val="20"/>
          <w:lang w:val="en-GB"/>
        </w:rPr>
      </w:pPr>
      <w:r w:rsidRPr="00DC7097">
        <w:rPr>
          <w:sz w:val="20"/>
          <w:szCs w:val="20"/>
          <w:lang w:val="en-GB"/>
        </w:rPr>
        <w:t xml:space="preserve">1000 local fridge deliveries </w:t>
      </w:r>
    </w:p>
    <w:p w14:paraId="49091E00" w14:textId="77777777" w:rsidR="00DC7097" w:rsidRPr="00DC7097" w:rsidRDefault="00DC7097" w:rsidP="00DC7097">
      <w:pPr>
        <w:pStyle w:val="default"/>
        <w:spacing w:line="360" w:lineRule="auto"/>
        <w:ind w:left="720"/>
        <w:rPr>
          <w:sz w:val="20"/>
          <w:szCs w:val="20"/>
          <w:lang w:val="en-GB"/>
        </w:rPr>
      </w:pPr>
      <w:r w:rsidRPr="00DC7097">
        <w:rPr>
          <w:sz w:val="20"/>
          <w:szCs w:val="20"/>
          <w:lang w:val="en-GB"/>
        </w:rPr>
        <w:t>1300 Out of area deliveries</w:t>
      </w:r>
    </w:p>
    <w:p w14:paraId="7DD0B712" w14:textId="77777777" w:rsidR="00DC7097" w:rsidRPr="00DC7097" w:rsidRDefault="00DC7097" w:rsidP="00DC7097">
      <w:pPr>
        <w:pStyle w:val="default"/>
        <w:spacing w:line="360" w:lineRule="auto"/>
        <w:ind w:left="720"/>
        <w:rPr>
          <w:sz w:val="20"/>
          <w:szCs w:val="20"/>
          <w:lang w:val="en-GB"/>
        </w:rPr>
      </w:pPr>
      <w:r w:rsidRPr="00DC7097">
        <w:rPr>
          <w:sz w:val="20"/>
          <w:szCs w:val="20"/>
          <w:lang w:val="en-GB"/>
        </w:rPr>
        <w:t>100 Out of area fridge deliveries</w:t>
      </w:r>
    </w:p>
    <w:p w14:paraId="6E62E537" w14:textId="23329D92" w:rsidR="00DC7097" w:rsidRDefault="00DC7097" w:rsidP="00DC7097">
      <w:pPr>
        <w:pStyle w:val="default"/>
        <w:spacing w:line="360" w:lineRule="auto"/>
        <w:ind w:left="720"/>
        <w:rPr>
          <w:sz w:val="20"/>
          <w:szCs w:val="20"/>
        </w:rPr>
      </w:pPr>
      <w:r w:rsidRPr="00DC7097">
        <w:rPr>
          <w:sz w:val="20"/>
          <w:szCs w:val="20"/>
          <w:lang w:val="en-GB"/>
        </w:rPr>
        <w:t xml:space="preserve">1300 </w:t>
      </w:r>
      <w:r w:rsidR="000E7446">
        <w:rPr>
          <w:sz w:val="20"/>
          <w:szCs w:val="20"/>
          <w:lang w:val="en-GB"/>
        </w:rPr>
        <w:t>Secure</w:t>
      </w:r>
      <w:r w:rsidRPr="00DC7097">
        <w:rPr>
          <w:sz w:val="20"/>
          <w:szCs w:val="20"/>
          <w:lang w:val="en-GB"/>
        </w:rPr>
        <w:t xml:space="preserve"> medication deliveries.</w:t>
      </w:r>
    </w:p>
    <w:p w14:paraId="77BC0B4E" w14:textId="77777777" w:rsidR="00823AF1" w:rsidRDefault="00823AF1" w:rsidP="00D57986">
      <w:pPr>
        <w:pStyle w:val="default"/>
        <w:spacing w:line="360" w:lineRule="auto"/>
        <w:ind w:left="720"/>
        <w:rPr>
          <w:sz w:val="20"/>
          <w:szCs w:val="20"/>
        </w:rPr>
      </w:pPr>
    </w:p>
    <w:p w14:paraId="26B86D01" w14:textId="3DE063AE" w:rsidR="00823AF1" w:rsidRPr="00823AF1" w:rsidRDefault="00823AF1" w:rsidP="00D57986">
      <w:pPr>
        <w:pStyle w:val="default"/>
        <w:spacing w:line="360" w:lineRule="auto"/>
        <w:ind w:left="720"/>
        <w:rPr>
          <w:sz w:val="20"/>
          <w:szCs w:val="20"/>
        </w:rPr>
      </w:pPr>
      <w:r>
        <w:rPr>
          <w:sz w:val="20"/>
          <w:szCs w:val="20"/>
        </w:rPr>
        <w:t>Please see Appendix A – Draft Specification for further details.</w:t>
      </w:r>
    </w:p>
    <w:p w14:paraId="56D2ADBB" w14:textId="77777777" w:rsidR="00823AF1" w:rsidRPr="00823AF1" w:rsidRDefault="00823AF1" w:rsidP="00823AF1">
      <w:pPr>
        <w:pStyle w:val="default"/>
        <w:spacing w:line="360" w:lineRule="auto"/>
        <w:rPr>
          <w:lang w:val="en-GB"/>
        </w:rPr>
      </w:pPr>
    </w:p>
    <w:p w14:paraId="2011722F" w14:textId="77777777" w:rsidR="00D57986" w:rsidRPr="00CC1E1C" w:rsidRDefault="00D57986" w:rsidP="00D57986">
      <w:pPr>
        <w:pStyle w:val="default"/>
        <w:spacing w:line="360" w:lineRule="auto"/>
      </w:pPr>
    </w:p>
    <w:p w14:paraId="58564ADE" w14:textId="77777777" w:rsidR="00D57986" w:rsidRPr="00CC1E1C" w:rsidRDefault="00D57986" w:rsidP="00D57986">
      <w:pPr>
        <w:pStyle w:val="ITT3"/>
        <w:spacing w:before="0" w:after="0"/>
        <w:ind w:left="720"/>
        <w:jc w:val="left"/>
      </w:pPr>
      <w:bookmarkStart w:id="7" w:name="_Toc64300112"/>
      <w:r w:rsidRPr="00CC1E1C">
        <w:t>SUBMISSION REQUIREMENTS</w:t>
      </w:r>
      <w:bookmarkEnd w:id="7"/>
    </w:p>
    <w:p w14:paraId="0182FFAB" w14:textId="77777777" w:rsidR="00D57986" w:rsidRPr="00104A5C" w:rsidRDefault="00D57986" w:rsidP="00D57986">
      <w:pPr>
        <w:pStyle w:val="default"/>
        <w:numPr>
          <w:ilvl w:val="1"/>
          <w:numId w:val="10"/>
        </w:numPr>
        <w:spacing w:line="360" w:lineRule="auto"/>
        <w:ind w:left="720"/>
        <w:rPr>
          <w:color w:val="auto"/>
          <w:sz w:val="20"/>
          <w:lang w:val="en-GB" w:eastAsia="en-GB"/>
        </w:rPr>
      </w:pPr>
      <w:r w:rsidRPr="00104A5C">
        <w:rPr>
          <w:color w:val="auto"/>
          <w:sz w:val="20"/>
          <w:lang w:val="en-GB" w:eastAsia="en-GB"/>
        </w:rPr>
        <w:t xml:space="preserve">This document is not an Invitation to Tender (ITT), nor does it form any part of a procurement process.  It is a Request for Information (RFI) based on the draft service requirements provided with this document.  </w:t>
      </w:r>
    </w:p>
    <w:p w14:paraId="1996EE82" w14:textId="77777777" w:rsidR="00D57986" w:rsidRPr="00104A5C" w:rsidRDefault="00D57986" w:rsidP="00D57986">
      <w:pPr>
        <w:pStyle w:val="default"/>
        <w:spacing w:line="360" w:lineRule="auto"/>
        <w:ind w:left="40"/>
        <w:rPr>
          <w:color w:val="auto"/>
          <w:sz w:val="20"/>
          <w:lang w:val="en-GB" w:eastAsia="en-GB"/>
        </w:rPr>
      </w:pPr>
    </w:p>
    <w:p w14:paraId="4E48AB39" w14:textId="6F8E16EB" w:rsidR="00D57986" w:rsidRDefault="000F7346" w:rsidP="00D57986">
      <w:pPr>
        <w:pStyle w:val="default"/>
        <w:numPr>
          <w:ilvl w:val="1"/>
          <w:numId w:val="10"/>
        </w:numPr>
        <w:spacing w:line="360" w:lineRule="auto"/>
        <w:rPr>
          <w:color w:val="auto"/>
          <w:sz w:val="20"/>
          <w:lang w:val="en-GB" w:eastAsia="en-GB"/>
        </w:rPr>
      </w:pPr>
      <w:r>
        <w:rPr>
          <w:color w:val="auto"/>
          <w:sz w:val="20"/>
          <w:lang w:val="en-GB" w:eastAsia="en-GB"/>
        </w:rPr>
        <w:t>T</w:t>
      </w:r>
      <w:r w:rsidR="00D57986" w:rsidRPr="00062057">
        <w:rPr>
          <w:color w:val="auto"/>
          <w:sz w:val="20"/>
          <w:lang w:val="en-GB" w:eastAsia="en-GB"/>
        </w:rPr>
        <w:t xml:space="preserve">he RFI </w:t>
      </w:r>
      <w:r>
        <w:rPr>
          <w:color w:val="auto"/>
          <w:sz w:val="20"/>
          <w:lang w:val="en-GB" w:eastAsia="en-GB"/>
        </w:rPr>
        <w:t xml:space="preserve">Supplier </w:t>
      </w:r>
      <w:r w:rsidR="00D57986" w:rsidRPr="00062057">
        <w:rPr>
          <w:color w:val="auto"/>
          <w:sz w:val="20"/>
          <w:lang w:val="en-GB" w:eastAsia="en-GB"/>
        </w:rPr>
        <w:t xml:space="preserve">Response questionnaire </w:t>
      </w:r>
      <w:r w:rsidR="00D57986" w:rsidRPr="00104A5C">
        <w:rPr>
          <w:color w:val="auto"/>
          <w:sz w:val="20"/>
          <w:lang w:val="en-GB" w:eastAsia="en-GB"/>
        </w:rPr>
        <w:t>must be completed and submitted on the Atamis e-Tendering system prior to the deadline for receipt of RFI’s.</w:t>
      </w:r>
    </w:p>
    <w:p w14:paraId="54DD7F50" w14:textId="77777777" w:rsidR="00D57986" w:rsidRPr="00104A5C" w:rsidRDefault="00D57986" w:rsidP="00D57986">
      <w:pPr>
        <w:pStyle w:val="ListParagraph"/>
        <w:rPr>
          <w:rFonts w:eastAsia="Times New Roman"/>
          <w:sz w:val="20"/>
          <w:szCs w:val="24"/>
        </w:rPr>
      </w:pPr>
    </w:p>
    <w:p w14:paraId="5069FAE0" w14:textId="1D3CD2F9" w:rsidR="00D57986" w:rsidRPr="00104A5C" w:rsidRDefault="00D57986" w:rsidP="00D57986">
      <w:pPr>
        <w:pStyle w:val="default"/>
        <w:numPr>
          <w:ilvl w:val="1"/>
          <w:numId w:val="10"/>
        </w:numPr>
        <w:spacing w:line="360" w:lineRule="auto"/>
        <w:rPr>
          <w:color w:val="auto"/>
          <w:sz w:val="20"/>
          <w:lang w:val="en-GB" w:eastAsia="en-GB"/>
        </w:rPr>
      </w:pPr>
      <w:r w:rsidRPr="00104A5C">
        <w:rPr>
          <w:color w:val="auto"/>
          <w:sz w:val="20"/>
          <w:lang w:val="en-GB" w:eastAsia="en-GB"/>
        </w:rPr>
        <w:t>The RFI response must be submitted by no later than</w:t>
      </w:r>
      <w:r w:rsidR="00B0188F">
        <w:rPr>
          <w:color w:val="auto"/>
          <w:sz w:val="20"/>
          <w:lang w:val="en-GB" w:eastAsia="en-GB"/>
        </w:rPr>
        <w:t xml:space="preserve"> 07/10/2024 13:00</w:t>
      </w:r>
      <w:r w:rsidRPr="00104A5C">
        <w:rPr>
          <w:color w:val="auto"/>
          <w:sz w:val="20"/>
          <w:lang w:val="en-GB" w:eastAsia="en-GB"/>
        </w:rPr>
        <w:t xml:space="preserve"> Any submissions received after this specified deadline may not be considered in the market engagement process undertaken through the RFI process.</w:t>
      </w:r>
    </w:p>
    <w:p w14:paraId="0CCA42E9" w14:textId="77777777" w:rsidR="00D57986" w:rsidRPr="00104A5C" w:rsidRDefault="00D57986" w:rsidP="00D57986">
      <w:pPr>
        <w:pStyle w:val="ListParagraph"/>
        <w:spacing w:line="360" w:lineRule="auto"/>
        <w:rPr>
          <w:rFonts w:eastAsia="Times New Roman"/>
          <w:sz w:val="20"/>
          <w:szCs w:val="24"/>
        </w:rPr>
      </w:pPr>
    </w:p>
    <w:p w14:paraId="4675AED3" w14:textId="77777777" w:rsidR="00D57986" w:rsidRPr="00104A5C" w:rsidRDefault="00D57986" w:rsidP="00D57986">
      <w:pPr>
        <w:numPr>
          <w:ilvl w:val="1"/>
          <w:numId w:val="10"/>
        </w:numPr>
        <w:spacing w:line="360" w:lineRule="auto"/>
        <w:ind w:left="720"/>
        <w:rPr>
          <w:rFonts w:eastAsia="Times New Roman"/>
          <w:sz w:val="20"/>
          <w:szCs w:val="24"/>
        </w:rPr>
      </w:pPr>
      <w:r w:rsidRPr="00104A5C">
        <w:rPr>
          <w:rFonts w:eastAsia="Times New Roman"/>
          <w:sz w:val="20"/>
          <w:szCs w:val="24"/>
        </w:rPr>
        <w:t>Interested parties’ responses do not constitute firm offers capable of acceptance.  Instead, their responses will be construed as indicative only.</w:t>
      </w:r>
    </w:p>
    <w:p w14:paraId="2BC0A7C0" w14:textId="77777777" w:rsidR="00D57986" w:rsidRPr="00104A5C" w:rsidRDefault="00D57986" w:rsidP="00D57986">
      <w:pPr>
        <w:spacing w:line="360" w:lineRule="auto"/>
        <w:ind w:left="720"/>
        <w:rPr>
          <w:rFonts w:eastAsia="Times New Roman"/>
          <w:sz w:val="20"/>
          <w:szCs w:val="24"/>
        </w:rPr>
      </w:pPr>
    </w:p>
    <w:p w14:paraId="18F03516" w14:textId="77777777" w:rsidR="00D57986" w:rsidRPr="00104A5C" w:rsidRDefault="00D57986" w:rsidP="00D57986">
      <w:pPr>
        <w:numPr>
          <w:ilvl w:val="1"/>
          <w:numId w:val="10"/>
        </w:numPr>
        <w:spacing w:line="360" w:lineRule="auto"/>
        <w:ind w:left="720"/>
        <w:rPr>
          <w:rFonts w:eastAsia="Times New Roman"/>
          <w:sz w:val="20"/>
          <w:szCs w:val="24"/>
        </w:rPr>
      </w:pPr>
      <w:r w:rsidRPr="00104A5C">
        <w:rPr>
          <w:rFonts w:eastAsia="Times New Roman"/>
          <w:sz w:val="20"/>
          <w:szCs w:val="24"/>
        </w:rPr>
        <w:t>Unless otherwise agreed, Sheffield Teaching Hospitals NHS foundation Trust shall not be obliged to return any materials submitted by interested parties before, during or after any procurement process.</w:t>
      </w:r>
    </w:p>
    <w:p w14:paraId="523159A5" w14:textId="77777777" w:rsidR="00D57986" w:rsidRPr="00104A5C" w:rsidRDefault="00D57986" w:rsidP="00D57986">
      <w:pPr>
        <w:pStyle w:val="ListParagraph"/>
        <w:spacing w:line="360" w:lineRule="auto"/>
        <w:rPr>
          <w:rFonts w:eastAsia="Times New Roman"/>
          <w:sz w:val="20"/>
          <w:szCs w:val="24"/>
        </w:rPr>
      </w:pPr>
    </w:p>
    <w:p w14:paraId="4A48E1D0" w14:textId="77777777" w:rsidR="00D57986" w:rsidRPr="00104A5C" w:rsidRDefault="00D57986" w:rsidP="00D57986">
      <w:pPr>
        <w:pStyle w:val="default"/>
        <w:numPr>
          <w:ilvl w:val="1"/>
          <w:numId w:val="10"/>
        </w:numPr>
        <w:spacing w:line="360" w:lineRule="auto"/>
        <w:ind w:left="720" w:hanging="720"/>
        <w:rPr>
          <w:color w:val="auto"/>
          <w:sz w:val="20"/>
          <w:lang w:val="en-GB" w:eastAsia="en-GB"/>
        </w:rPr>
      </w:pPr>
      <w:r w:rsidRPr="00104A5C">
        <w:rPr>
          <w:color w:val="auto"/>
          <w:sz w:val="20"/>
          <w:lang w:val="en-GB" w:eastAsia="en-GB"/>
        </w:rPr>
        <w:t>Any information provided as part of this RFI may be used by the</w:t>
      </w:r>
      <w:r>
        <w:rPr>
          <w:color w:val="auto"/>
          <w:sz w:val="20"/>
          <w:lang w:val="en-GB" w:eastAsia="en-GB"/>
        </w:rPr>
        <w:t xml:space="preserve"> </w:t>
      </w:r>
      <w:r w:rsidRPr="00104A5C">
        <w:rPr>
          <w:sz w:val="20"/>
        </w:rPr>
        <w:t>Sheffield Teaching Hospitals NHS foundation Trust</w:t>
      </w:r>
      <w:r w:rsidRPr="00104A5C">
        <w:rPr>
          <w:color w:val="auto"/>
          <w:sz w:val="20"/>
          <w:lang w:val="en-GB" w:eastAsia="en-GB"/>
        </w:rPr>
        <w:t xml:space="preserve"> to inform future market analysis activity.</w:t>
      </w:r>
    </w:p>
    <w:p w14:paraId="690BBE5A" w14:textId="77777777" w:rsidR="00D57986" w:rsidRPr="00CC1E1C" w:rsidRDefault="00D57986" w:rsidP="00D57986">
      <w:pPr>
        <w:pStyle w:val="default"/>
        <w:spacing w:line="360" w:lineRule="auto"/>
      </w:pPr>
    </w:p>
    <w:p w14:paraId="02928214" w14:textId="77777777" w:rsidR="00D57986" w:rsidRPr="00104A5C" w:rsidRDefault="00D57986" w:rsidP="00D57986">
      <w:pPr>
        <w:numPr>
          <w:ilvl w:val="1"/>
          <w:numId w:val="10"/>
        </w:numPr>
        <w:spacing w:line="360" w:lineRule="auto"/>
        <w:ind w:left="720"/>
        <w:rPr>
          <w:rFonts w:eastAsia="Times New Roman"/>
          <w:sz w:val="20"/>
          <w:szCs w:val="24"/>
        </w:rPr>
      </w:pPr>
      <w:r w:rsidRPr="00104A5C">
        <w:rPr>
          <w:rFonts w:eastAsia="Times New Roman"/>
          <w:sz w:val="20"/>
          <w:szCs w:val="24"/>
        </w:rPr>
        <w:lastRenderedPageBreak/>
        <w:t>Sheffield Teaching Hospitals NHS foundation Trust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Sheffield Teaching Hospitals NHS foundation Trust seeks a fuller understanding from interested parties to enable requirements to be fully reflective of issues and concerns, which are relevant, and to adopt these, where appropriate in the final service model.</w:t>
      </w:r>
    </w:p>
    <w:p w14:paraId="4994E4A6" w14:textId="77777777" w:rsidR="00D57986" w:rsidRPr="00104A5C" w:rsidRDefault="00D57986" w:rsidP="00D57986">
      <w:pPr>
        <w:spacing w:line="360" w:lineRule="auto"/>
        <w:ind w:left="720"/>
        <w:rPr>
          <w:rFonts w:eastAsia="Times New Roman"/>
          <w:sz w:val="20"/>
          <w:szCs w:val="24"/>
        </w:rPr>
      </w:pPr>
    </w:p>
    <w:p w14:paraId="701494AA" w14:textId="77777777" w:rsidR="00D57986" w:rsidRPr="00104A5C" w:rsidRDefault="00D57986" w:rsidP="00D57986">
      <w:pPr>
        <w:numPr>
          <w:ilvl w:val="1"/>
          <w:numId w:val="10"/>
        </w:numPr>
        <w:spacing w:line="360" w:lineRule="auto"/>
        <w:ind w:left="720"/>
        <w:rPr>
          <w:rFonts w:eastAsia="Times New Roman"/>
          <w:sz w:val="20"/>
          <w:szCs w:val="24"/>
        </w:rPr>
      </w:pPr>
      <w:r w:rsidRPr="00104A5C">
        <w:rPr>
          <w:rFonts w:eastAsia="Times New Roman"/>
          <w:sz w:val="20"/>
          <w:szCs w:val="24"/>
        </w:rPr>
        <w:t>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bookmarkEnd w:id="4"/>
      <w:bookmarkEnd w:id="5"/>
    </w:p>
    <w:p w14:paraId="60981EDD" w14:textId="77777777" w:rsidR="00D57986" w:rsidRPr="00CC1E1C" w:rsidRDefault="00D57986" w:rsidP="00D57986">
      <w:pPr>
        <w:rPr>
          <w:sz w:val="20"/>
          <w:szCs w:val="20"/>
        </w:rPr>
      </w:pPr>
    </w:p>
    <w:p w14:paraId="5AA295C4" w14:textId="77777777" w:rsidR="008D374A" w:rsidRPr="00D57986" w:rsidRDefault="008D374A" w:rsidP="00D57986"/>
    <w:sectPr w:rsidR="008D374A" w:rsidRPr="00D57986">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D7F1" w14:textId="77777777" w:rsidR="008F5A70" w:rsidRDefault="008F5A70" w:rsidP="008F5A70">
      <w:pPr>
        <w:spacing w:line="240" w:lineRule="auto"/>
      </w:pPr>
      <w:r>
        <w:separator/>
      </w:r>
    </w:p>
  </w:endnote>
  <w:endnote w:type="continuationSeparator" w:id="0">
    <w:p w14:paraId="52E7C55C" w14:textId="77777777" w:rsidR="008F5A70" w:rsidRDefault="008F5A70" w:rsidP="008F5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65D3D" w14:textId="77777777" w:rsidR="008F5A70" w:rsidRDefault="008F5A70" w:rsidP="008F5A70">
      <w:pPr>
        <w:spacing w:line="240" w:lineRule="auto"/>
      </w:pPr>
      <w:r>
        <w:separator/>
      </w:r>
    </w:p>
  </w:footnote>
  <w:footnote w:type="continuationSeparator" w:id="0">
    <w:p w14:paraId="6AD029FE" w14:textId="77777777" w:rsidR="008F5A70" w:rsidRDefault="008F5A70" w:rsidP="008F5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D74E" w14:textId="5DEA9323" w:rsidR="008F5A70" w:rsidRDefault="008F5A70" w:rsidP="008F5A70">
    <w:pPr>
      <w:pStyle w:val="Header"/>
    </w:pPr>
    <w:r>
      <w:rPr>
        <w:noProof/>
      </w:rPr>
      <w:drawing>
        <wp:inline distT="0" distB="0" distL="0" distR="0" wp14:anchorId="0B1B9669" wp14:editId="3C65F4D0">
          <wp:extent cx="5240020" cy="755650"/>
          <wp:effectExtent l="0" t="0" r="0" b="6350"/>
          <wp:docPr id="1" name="Picture 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0020" cy="755650"/>
                  </a:xfrm>
                  <a:prstGeom prst="rect">
                    <a:avLst/>
                  </a:prstGeom>
                  <a:noFill/>
                  <a:ln>
                    <a:noFill/>
                  </a:ln>
                </pic:spPr>
              </pic:pic>
            </a:graphicData>
          </a:graphic>
        </wp:inline>
      </w:drawing>
    </w:r>
  </w:p>
  <w:p w14:paraId="0D8E50A3" w14:textId="77777777" w:rsidR="008F5A70" w:rsidRDefault="008F5A70" w:rsidP="008F5A70">
    <w:pPr>
      <w:pStyle w:val="Header"/>
    </w:pPr>
  </w:p>
  <w:p w14:paraId="2C38D645" w14:textId="77777777" w:rsidR="008F5A70" w:rsidRDefault="008F5A70" w:rsidP="008F5A70">
    <w:pPr>
      <w:pStyle w:val="Header"/>
      <w:jc w:val="right"/>
      <w:rPr>
        <w:b/>
        <w:bCs/>
        <w:color w:val="747277"/>
        <w:sz w:val="18"/>
        <w:szCs w:val="18"/>
      </w:rPr>
    </w:pPr>
    <w:r>
      <w:rPr>
        <w:b/>
        <w:bCs/>
        <w:color w:val="747277"/>
        <w:sz w:val="18"/>
        <w:szCs w:val="18"/>
      </w:rPr>
      <w:t>Procurement Department</w:t>
    </w:r>
  </w:p>
  <w:p w14:paraId="1B80D701" w14:textId="77777777" w:rsidR="008F5A70" w:rsidRDefault="008F5A70" w:rsidP="008F5A70">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731546B1" w14:textId="77777777" w:rsidR="008F5A70" w:rsidRPr="008F5A70" w:rsidRDefault="008F5A70" w:rsidP="008F5A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01E9"/>
    <w:multiLevelType w:val="multilevel"/>
    <w:tmpl w:val="0CE8A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EA604E3"/>
    <w:multiLevelType w:val="multilevel"/>
    <w:tmpl w:val="86E22C48"/>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4B204C6B"/>
    <w:multiLevelType w:val="multilevel"/>
    <w:tmpl w:val="F0660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BD21BC"/>
    <w:multiLevelType w:val="multilevel"/>
    <w:tmpl w:val="C3A63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193C21"/>
    <w:multiLevelType w:val="multilevel"/>
    <w:tmpl w:val="023E73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FA177F0"/>
    <w:multiLevelType w:val="hybridMultilevel"/>
    <w:tmpl w:val="E3C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6FBE1BA5"/>
    <w:multiLevelType w:val="multilevel"/>
    <w:tmpl w:val="81B20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2E187D"/>
    <w:multiLevelType w:val="multilevel"/>
    <w:tmpl w:val="4A782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CC5E54"/>
    <w:multiLevelType w:val="multilevel"/>
    <w:tmpl w:val="FA02D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024176"/>
    <w:multiLevelType w:val="multilevel"/>
    <w:tmpl w:val="0682F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8493839">
    <w:abstractNumId w:val="5"/>
  </w:num>
  <w:num w:numId="2" w16cid:durableId="2107534183">
    <w:abstractNumId w:val="4"/>
  </w:num>
  <w:num w:numId="3" w16cid:durableId="1815098780">
    <w:abstractNumId w:val="11"/>
  </w:num>
  <w:num w:numId="4" w16cid:durableId="1084374575">
    <w:abstractNumId w:val="3"/>
  </w:num>
  <w:num w:numId="5" w16cid:durableId="1135414678">
    <w:abstractNumId w:val="9"/>
  </w:num>
  <w:num w:numId="6" w16cid:durableId="1011108588">
    <w:abstractNumId w:val="8"/>
  </w:num>
  <w:num w:numId="7" w16cid:durableId="231736376">
    <w:abstractNumId w:val="0"/>
  </w:num>
  <w:num w:numId="8" w16cid:durableId="1224758049">
    <w:abstractNumId w:val="10"/>
  </w:num>
  <w:num w:numId="9" w16cid:durableId="1898591777">
    <w:abstractNumId w:val="6"/>
  </w:num>
  <w:num w:numId="10" w16cid:durableId="1655790403">
    <w:abstractNumId w:val="1"/>
  </w:num>
  <w:num w:numId="11" w16cid:durableId="1148664818">
    <w:abstractNumId w:val="7"/>
  </w:num>
  <w:num w:numId="12" w16cid:durableId="620460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4A"/>
    <w:rsid w:val="00006E3D"/>
    <w:rsid w:val="000E7446"/>
    <w:rsid w:val="000F7346"/>
    <w:rsid w:val="003D0BD5"/>
    <w:rsid w:val="003E575C"/>
    <w:rsid w:val="00426E00"/>
    <w:rsid w:val="00434453"/>
    <w:rsid w:val="004A7EE1"/>
    <w:rsid w:val="004E6A0D"/>
    <w:rsid w:val="006A4640"/>
    <w:rsid w:val="00823AF1"/>
    <w:rsid w:val="008D374A"/>
    <w:rsid w:val="008F5A70"/>
    <w:rsid w:val="0097246E"/>
    <w:rsid w:val="00A43EBE"/>
    <w:rsid w:val="00AD39B4"/>
    <w:rsid w:val="00B0188F"/>
    <w:rsid w:val="00D57986"/>
    <w:rsid w:val="00DC7097"/>
    <w:rsid w:val="00E4710F"/>
    <w:rsid w:val="00E80FC4"/>
    <w:rsid w:val="00EC5D14"/>
    <w:rsid w:val="00EE3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E9AD"/>
  <w15:docId w15:val="{F2F6A812-7527-4C25-B9BE-6CD56044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F5A70"/>
    <w:pPr>
      <w:tabs>
        <w:tab w:val="center" w:pos="4513"/>
        <w:tab w:val="right" w:pos="9026"/>
      </w:tabs>
      <w:spacing w:line="240" w:lineRule="auto"/>
    </w:pPr>
  </w:style>
  <w:style w:type="character" w:customStyle="1" w:styleId="HeaderChar">
    <w:name w:val="Header Char"/>
    <w:basedOn w:val="DefaultParagraphFont"/>
    <w:link w:val="Header"/>
    <w:uiPriority w:val="99"/>
    <w:rsid w:val="008F5A70"/>
  </w:style>
  <w:style w:type="paragraph" w:styleId="Footer">
    <w:name w:val="footer"/>
    <w:basedOn w:val="Normal"/>
    <w:link w:val="FooterChar"/>
    <w:uiPriority w:val="99"/>
    <w:unhideWhenUsed/>
    <w:rsid w:val="008F5A70"/>
    <w:pPr>
      <w:tabs>
        <w:tab w:val="center" w:pos="4513"/>
        <w:tab w:val="right" w:pos="9026"/>
      </w:tabs>
      <w:spacing w:line="240" w:lineRule="auto"/>
    </w:pPr>
  </w:style>
  <w:style w:type="character" w:customStyle="1" w:styleId="FooterChar">
    <w:name w:val="Footer Char"/>
    <w:basedOn w:val="DefaultParagraphFont"/>
    <w:link w:val="Footer"/>
    <w:uiPriority w:val="99"/>
    <w:rsid w:val="008F5A70"/>
  </w:style>
  <w:style w:type="table" w:styleId="TableGrid">
    <w:name w:val="Table Grid"/>
    <w:basedOn w:val="TableNormal"/>
    <w:uiPriority w:val="39"/>
    <w:rsid w:val="008F5A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D57986"/>
    <w:pPr>
      <w:ind w:left="720"/>
      <w:contextualSpacing/>
    </w:pPr>
  </w:style>
  <w:style w:type="paragraph" w:customStyle="1" w:styleId="default">
    <w:name w:val="default"/>
    <w:basedOn w:val="Normal"/>
    <w:rsid w:val="00D57986"/>
    <w:pPr>
      <w:spacing w:line="240" w:lineRule="auto"/>
    </w:pPr>
    <w:rPr>
      <w:rFonts w:eastAsia="Times New Roman"/>
      <w:color w:val="000000"/>
      <w:sz w:val="24"/>
      <w:szCs w:val="24"/>
      <w:lang w:val="en-US" w:eastAsia="en-US"/>
    </w:rPr>
  </w:style>
  <w:style w:type="paragraph" w:customStyle="1" w:styleId="ITT3">
    <w:name w:val="ITT 3"/>
    <w:basedOn w:val="Normal"/>
    <w:rsid w:val="00D57986"/>
    <w:pPr>
      <w:keepNext/>
      <w:numPr>
        <w:numId w:val="10"/>
      </w:numPr>
      <w:spacing w:before="240" w:after="60" w:line="360" w:lineRule="auto"/>
      <w:jc w:val="both"/>
      <w:outlineLvl w:val="0"/>
    </w:pPr>
    <w:rPr>
      <w:rFonts w:eastAsia="Times New Roman"/>
      <w:b/>
      <w:bCs/>
      <w:caps/>
      <w:kern w:val="32"/>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locked/>
    <w:rsid w:val="00D57986"/>
  </w:style>
  <w:style w:type="table" w:customStyle="1" w:styleId="TableGrid1">
    <w:name w:val="Table Grid1"/>
    <w:basedOn w:val="TableNormal"/>
    <w:next w:val="TableGrid"/>
    <w:uiPriority w:val="59"/>
    <w:rsid w:val="00D57986"/>
    <w:pPr>
      <w:spacing w:line="240" w:lineRule="auto"/>
    </w:pPr>
    <w:rPr>
      <w:rFonts w:eastAsia="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2">
    <w:name w:val="M&amp;R Numbered Heading 2"/>
    <w:basedOn w:val="Normal"/>
    <w:rsid w:val="00D57986"/>
    <w:pPr>
      <w:numPr>
        <w:ilvl w:val="1"/>
        <w:numId w:val="12"/>
      </w:numPr>
      <w:spacing w:before="240" w:after="240" w:line="240" w:lineRule="auto"/>
      <w:outlineLvl w:val="1"/>
    </w:pPr>
    <w:rPr>
      <w:rFonts w:eastAsia="Times New Roman" w:cs="Times New Roman"/>
      <w:sz w:val="20"/>
      <w:szCs w:val="24"/>
    </w:rPr>
  </w:style>
  <w:style w:type="paragraph" w:customStyle="1" w:styleId="MRNumberedHeading1">
    <w:name w:val="M&amp;R Numbered Heading 1"/>
    <w:basedOn w:val="Normal"/>
    <w:rsid w:val="00D57986"/>
    <w:pPr>
      <w:keepNext/>
      <w:keepLines/>
      <w:numPr>
        <w:numId w:val="12"/>
      </w:numPr>
      <w:spacing w:before="240" w:after="240" w:line="288" w:lineRule="auto"/>
    </w:pPr>
    <w:rPr>
      <w:rFonts w:eastAsia="Calibri"/>
      <w: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EE3E78"/>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83448">
      <w:bodyDiv w:val="1"/>
      <w:marLeft w:val="0"/>
      <w:marRight w:val="0"/>
      <w:marTop w:val="0"/>
      <w:marBottom w:val="0"/>
      <w:divBdr>
        <w:top w:val="none" w:sz="0" w:space="0" w:color="auto"/>
        <w:left w:val="none" w:sz="0" w:space="0" w:color="auto"/>
        <w:bottom w:val="none" w:sz="0" w:space="0" w:color="auto"/>
        <w:right w:val="none" w:sz="0" w:space="0" w:color="auto"/>
      </w:divBdr>
    </w:div>
    <w:div w:id="662853604">
      <w:bodyDiv w:val="1"/>
      <w:marLeft w:val="0"/>
      <w:marRight w:val="0"/>
      <w:marTop w:val="0"/>
      <w:marBottom w:val="0"/>
      <w:divBdr>
        <w:top w:val="none" w:sz="0" w:space="0" w:color="auto"/>
        <w:left w:val="none" w:sz="0" w:space="0" w:color="auto"/>
        <w:bottom w:val="none" w:sz="0" w:space="0" w:color="auto"/>
        <w:right w:val="none" w:sz="0" w:space="0" w:color="auto"/>
      </w:divBdr>
    </w:div>
    <w:div w:id="827091076">
      <w:bodyDiv w:val="1"/>
      <w:marLeft w:val="0"/>
      <w:marRight w:val="0"/>
      <w:marTop w:val="0"/>
      <w:marBottom w:val="0"/>
      <w:divBdr>
        <w:top w:val="none" w:sz="0" w:space="0" w:color="auto"/>
        <w:left w:val="none" w:sz="0" w:space="0" w:color="auto"/>
        <w:bottom w:val="none" w:sz="0" w:space="0" w:color="auto"/>
        <w:right w:val="none" w:sz="0" w:space="0" w:color="auto"/>
      </w:divBdr>
    </w:div>
    <w:div w:id="1446194188">
      <w:bodyDiv w:val="1"/>
      <w:marLeft w:val="0"/>
      <w:marRight w:val="0"/>
      <w:marTop w:val="0"/>
      <w:marBottom w:val="0"/>
      <w:divBdr>
        <w:top w:val="none" w:sz="0" w:space="0" w:color="auto"/>
        <w:left w:val="none" w:sz="0" w:space="0" w:color="auto"/>
        <w:bottom w:val="none" w:sz="0" w:space="0" w:color="auto"/>
        <w:right w:val="none" w:sz="0" w:space="0" w:color="auto"/>
      </w:divBdr>
    </w:div>
    <w:div w:id="1877038167">
      <w:bodyDiv w:val="1"/>
      <w:marLeft w:val="0"/>
      <w:marRight w:val="0"/>
      <w:marTop w:val="0"/>
      <w:marBottom w:val="0"/>
      <w:divBdr>
        <w:top w:val="none" w:sz="0" w:space="0" w:color="auto"/>
        <w:left w:val="none" w:sz="0" w:space="0" w:color="auto"/>
        <w:bottom w:val="none" w:sz="0" w:space="0" w:color="auto"/>
        <w:right w:val="none" w:sz="0" w:space="0" w:color="auto"/>
      </w:divBdr>
    </w:div>
    <w:div w:id="1949192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h.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DUFFIELD, Andrew (SHEFFIELD TEACHING HOSPITALS NHS FOUNDATION TRUST)</cp:lastModifiedBy>
  <cp:revision>11</cp:revision>
  <dcterms:created xsi:type="dcterms:W3CDTF">2024-02-02T15:46:00Z</dcterms:created>
  <dcterms:modified xsi:type="dcterms:W3CDTF">2024-09-18T13:40:00Z</dcterms:modified>
</cp:coreProperties>
</file>