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6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394"/>
        <w:gridCol w:w="11766"/>
      </w:tblGrid>
      <w:tr w:rsidR="00BE1820" w:rsidRPr="00BE1820" w:rsidTr="00BE1820">
        <w:trPr>
          <w:tblHeader/>
        </w:trPr>
        <w:tc>
          <w:tcPr>
            <w:tcW w:w="3394" w:type="dxa"/>
            <w:tcBorders>
              <w:top w:val="single" w:sz="6" w:space="0" w:color="CCCCCC"/>
              <w:left w:val="single" w:sz="6" w:space="0" w:color="CCCCCC"/>
              <w:right w:val="single" w:sz="6" w:space="0" w:color="CCCCCC"/>
            </w:tcBorders>
            <w:shd w:val="clear" w:color="auto" w:fill="CCCCCC"/>
            <w:tcMar>
              <w:top w:w="120" w:type="dxa"/>
              <w:left w:w="120" w:type="dxa"/>
              <w:bottom w:w="120" w:type="dxa"/>
              <w:right w:w="120" w:type="dxa"/>
            </w:tcMar>
            <w:vAlign w:val="center"/>
            <w:hideMark/>
          </w:tcPr>
          <w:p w:rsidR="00BE1820" w:rsidRPr="00BE1820" w:rsidRDefault="00BE1820" w:rsidP="00BE1820">
            <w:pPr>
              <w:spacing w:before="480" w:after="0" w:line="300" w:lineRule="atLeast"/>
              <w:rPr>
                <w:rFonts w:ascii="Verdana" w:eastAsia="Times New Roman" w:hAnsi="Verdana" w:cs="Times New Roman"/>
                <w:b/>
                <w:bCs/>
                <w:color w:val="222222"/>
                <w:sz w:val="15"/>
                <w:szCs w:val="15"/>
                <w:lang w:eastAsia="en-GB"/>
              </w:rPr>
            </w:pPr>
            <w:r w:rsidRPr="00BE1820">
              <w:rPr>
                <w:rFonts w:ascii="Verdana" w:eastAsia="Times New Roman" w:hAnsi="Verdana" w:cs="Times New Roman"/>
                <w:b/>
                <w:bCs/>
                <w:color w:val="222222"/>
                <w:sz w:val="15"/>
                <w:szCs w:val="15"/>
                <w:lang w:eastAsia="en-GB"/>
              </w:rPr>
              <w:t>Opportunity Details</w:t>
            </w:r>
          </w:p>
        </w:tc>
        <w:tc>
          <w:tcPr>
            <w:tcW w:w="11766" w:type="dxa"/>
            <w:tcBorders>
              <w:top w:val="single" w:sz="6" w:space="0" w:color="CCCCCC"/>
              <w:left w:val="single" w:sz="6" w:space="0" w:color="CCCCCC"/>
              <w:right w:val="single" w:sz="6" w:space="0" w:color="CCCCCC"/>
            </w:tcBorders>
            <w:shd w:val="clear" w:color="auto" w:fill="CCCCCC"/>
            <w:tcMar>
              <w:top w:w="120" w:type="dxa"/>
              <w:left w:w="120" w:type="dxa"/>
              <w:bottom w:w="120" w:type="dxa"/>
              <w:right w:w="120" w:type="dxa"/>
            </w:tcMar>
            <w:vAlign w:val="center"/>
            <w:hideMark/>
          </w:tcPr>
          <w:p w:rsidR="00BE1820" w:rsidRPr="00BE1820" w:rsidRDefault="00BE1820" w:rsidP="00BE1820">
            <w:pPr>
              <w:spacing w:before="480" w:after="0" w:line="300" w:lineRule="atLeast"/>
              <w:rPr>
                <w:rFonts w:ascii="Verdana" w:eastAsia="Times New Roman" w:hAnsi="Verdana" w:cs="Times New Roman"/>
                <w:b/>
                <w:bCs/>
                <w:color w:val="222222"/>
                <w:sz w:val="15"/>
                <w:szCs w:val="15"/>
                <w:lang w:eastAsia="en-GB"/>
              </w:rPr>
            </w:pPr>
            <w:r w:rsidRPr="00BE1820">
              <w:rPr>
                <w:rFonts w:ascii="Verdana" w:eastAsia="Times New Roman" w:hAnsi="Verdana" w:cs="Times New Roman"/>
                <w:b/>
                <w:bCs/>
                <w:color w:val="222222"/>
                <w:sz w:val="15"/>
                <w:szCs w:val="15"/>
                <w:lang w:eastAsia="en-GB"/>
              </w:rPr>
              <w:t> </w:t>
            </w:r>
          </w:p>
        </w:tc>
      </w:tr>
      <w:tr w:rsidR="00BE1820" w:rsidRPr="00BE1820" w:rsidTr="00BE1820">
        <w:tc>
          <w:tcPr>
            <w:tcW w:w="3394" w:type="dxa"/>
            <w:tcBorders>
              <w:top w:val="single" w:sz="6" w:space="0" w:color="CCCCCC"/>
              <w:left w:val="single" w:sz="6" w:space="0" w:color="CCCCCC"/>
              <w:bottom w:val="single" w:sz="6" w:space="0" w:color="CCCCCC"/>
              <w:right w:val="single" w:sz="6" w:space="0" w:color="CCCCCC"/>
            </w:tcBorders>
            <w:shd w:val="clear" w:color="auto" w:fill="F4F4F4"/>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Buying Organisation</w:t>
            </w:r>
          </w:p>
        </w:tc>
        <w:tc>
          <w:tcPr>
            <w:tcW w:w="11766" w:type="dxa"/>
            <w:tcBorders>
              <w:top w:val="single" w:sz="6" w:space="0" w:color="CCCCCC"/>
              <w:left w:val="single" w:sz="6" w:space="0" w:color="CCCCCC"/>
              <w:bottom w:val="single" w:sz="6" w:space="0" w:color="CCCCCC"/>
              <w:right w:val="single" w:sz="6" w:space="0" w:color="CCCCCC"/>
            </w:tcBorders>
            <w:shd w:val="clear" w:color="auto" w:fill="F4F4F4"/>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Hackney Learning Trust</w:t>
            </w:r>
          </w:p>
        </w:tc>
      </w:tr>
      <w:tr w:rsidR="00BE1820" w:rsidRPr="00BE1820" w:rsidTr="00BE1820">
        <w:tc>
          <w:tcPr>
            <w:tcW w:w="3394"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Website</w:t>
            </w:r>
          </w:p>
        </w:tc>
        <w:tc>
          <w:tcPr>
            <w:tcW w:w="1176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https://www.learningtrust.co.uk</w:t>
            </w:r>
          </w:p>
        </w:tc>
      </w:tr>
      <w:tr w:rsidR="00BE1820" w:rsidRPr="00BE1820" w:rsidTr="00BE1820">
        <w:tc>
          <w:tcPr>
            <w:tcW w:w="3394" w:type="dxa"/>
            <w:tcBorders>
              <w:top w:val="single" w:sz="6" w:space="0" w:color="CCCCCC"/>
              <w:left w:val="single" w:sz="6" w:space="0" w:color="CCCCCC"/>
              <w:bottom w:val="single" w:sz="6" w:space="0" w:color="CCCCCC"/>
              <w:right w:val="single" w:sz="6" w:space="0" w:color="CCCCCC"/>
            </w:tcBorders>
            <w:shd w:val="clear" w:color="auto" w:fill="F4F4F4"/>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Opportunity Method</w:t>
            </w:r>
          </w:p>
        </w:tc>
        <w:tc>
          <w:tcPr>
            <w:tcW w:w="11766" w:type="dxa"/>
            <w:tcBorders>
              <w:top w:val="single" w:sz="6" w:space="0" w:color="CCCCCC"/>
              <w:left w:val="single" w:sz="6" w:space="0" w:color="CCCCCC"/>
              <w:bottom w:val="single" w:sz="6" w:space="0" w:color="CCCCCC"/>
              <w:right w:val="single" w:sz="6" w:space="0" w:color="CCCCCC"/>
            </w:tcBorders>
            <w:shd w:val="clear" w:color="auto" w:fill="F4F4F4"/>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Notice Only</w:t>
            </w:r>
          </w:p>
        </w:tc>
      </w:tr>
      <w:tr w:rsidR="00BE1820" w:rsidRPr="00BE1820" w:rsidTr="00BE1820">
        <w:tc>
          <w:tcPr>
            <w:tcW w:w="3394"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Opportunity type</w:t>
            </w:r>
          </w:p>
        </w:tc>
        <w:tc>
          <w:tcPr>
            <w:tcW w:w="1176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Public Sector</w:t>
            </w:r>
          </w:p>
        </w:tc>
      </w:tr>
      <w:tr w:rsidR="00BE1820" w:rsidRPr="00BE1820" w:rsidTr="00BE1820">
        <w:tc>
          <w:tcPr>
            <w:tcW w:w="3394"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Nature of opportunity</w:t>
            </w:r>
          </w:p>
        </w:tc>
        <w:tc>
          <w:tcPr>
            <w:tcW w:w="1176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Services</w:t>
            </w:r>
          </w:p>
        </w:tc>
      </w:tr>
      <w:tr w:rsidR="00BE1820" w:rsidRPr="00BE1820" w:rsidTr="00BE1820">
        <w:tc>
          <w:tcPr>
            <w:tcW w:w="3394" w:type="dxa"/>
            <w:tcBorders>
              <w:top w:val="single" w:sz="6" w:space="0" w:color="CCCCCC"/>
              <w:left w:val="single" w:sz="6" w:space="0" w:color="CCCCCC"/>
              <w:bottom w:val="single" w:sz="6" w:space="0" w:color="CCCCCC"/>
              <w:right w:val="single" w:sz="6" w:space="0" w:color="CCCCCC"/>
            </w:tcBorders>
            <w:shd w:val="clear" w:color="auto" w:fill="F4F4F4"/>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Estimated contract value (GBP)</w:t>
            </w:r>
          </w:p>
        </w:tc>
        <w:tc>
          <w:tcPr>
            <w:tcW w:w="11766" w:type="dxa"/>
            <w:tcBorders>
              <w:top w:val="single" w:sz="6" w:space="0" w:color="CCCCCC"/>
              <w:left w:val="single" w:sz="6" w:space="0" w:color="CCCCCC"/>
              <w:bottom w:val="single" w:sz="6" w:space="0" w:color="CCCCCC"/>
              <w:right w:val="single" w:sz="6" w:space="0" w:color="CCCCCC"/>
            </w:tcBorders>
            <w:shd w:val="clear" w:color="auto" w:fill="F4F4F4"/>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D: GBP 26k to 50k</w:t>
            </w:r>
          </w:p>
        </w:tc>
      </w:tr>
      <w:tr w:rsidR="00BE1820" w:rsidRPr="00BE1820" w:rsidTr="00BE1820">
        <w:tc>
          <w:tcPr>
            <w:tcW w:w="3394"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Description</w:t>
            </w:r>
          </w:p>
        </w:tc>
        <w:tc>
          <w:tcPr>
            <w:tcW w:w="1176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BE1820" w:rsidRPr="00BE1820" w:rsidRDefault="00BE1820" w:rsidP="00BE1820">
            <w:pPr>
              <w:spacing w:after="24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b/>
                <w:bCs/>
                <w:color w:val="222222"/>
                <w:sz w:val="17"/>
                <w:szCs w:val="17"/>
                <w:lang w:eastAsia="en-GB"/>
              </w:rPr>
              <w:t>About the Opportunity:</w:t>
            </w:r>
            <w:r w:rsidRPr="00BE1820">
              <w:rPr>
                <w:rFonts w:ascii="Verdana" w:eastAsia="Times New Roman" w:hAnsi="Verdana" w:cs="Times New Roman"/>
                <w:color w:val="222222"/>
                <w:sz w:val="17"/>
                <w:szCs w:val="17"/>
                <w:lang w:eastAsia="en-GB"/>
              </w:rPr>
              <w:br/>
              <w:t>In order to provide a high quality, responsive service to our clients, it is the intention of Hackney Learning Trust (HLT) to create an open Approved Provider List of suppliers, who may be called on as and when required on pre agreed rates and contract terms to provide digital, e-learning, and multimedia services. The scope of services the Approved List will cover is as follows:</w:t>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color w:val="222222"/>
                <w:sz w:val="17"/>
                <w:szCs w:val="17"/>
                <w:lang w:eastAsia="en-GB"/>
              </w:rPr>
              <w:br/>
              <w:t>- Instructional Design: Experienced contractors or suppliers who can undertake the process of designing, developing, and delivering instructional materials, building curricula and learning activities and measuring outcomes.</w:t>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color w:val="222222"/>
                <w:sz w:val="17"/>
                <w:szCs w:val="17"/>
                <w:lang w:eastAsia="en-GB"/>
              </w:rPr>
              <w:br/>
              <w:t>- Game Design: Experienced contractors or suppliers who can devise educational games for desktop and mobile devices and specify what a game consists of and how it plays, defining all the core elements. </w:t>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color w:val="222222"/>
                <w:sz w:val="17"/>
                <w:szCs w:val="17"/>
                <w:lang w:eastAsia="en-GB"/>
              </w:rPr>
              <w:br/>
              <w:t>- Graphic Art and Design: Accomplished graphic artists and designers who can combine art and technology to create visually communicative designs.</w:t>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color w:val="222222"/>
                <w:sz w:val="17"/>
                <w:szCs w:val="17"/>
                <w:lang w:eastAsia="en-GB"/>
              </w:rPr>
              <w:br/>
              <w:t xml:space="preserve">- Courseware Development: Experienced contractors or suppliers who can develop SCORM 1.2/SCORM 2004 compliant interactive e-learning materials using authoring tools such as Articulate Storyline, Adobe Captivate and </w:t>
            </w:r>
            <w:proofErr w:type="spellStart"/>
            <w:r w:rsidRPr="00BE1820">
              <w:rPr>
                <w:rFonts w:ascii="Verdana" w:eastAsia="Times New Roman" w:hAnsi="Verdana" w:cs="Times New Roman"/>
                <w:color w:val="222222"/>
                <w:sz w:val="17"/>
                <w:szCs w:val="17"/>
                <w:lang w:eastAsia="en-GB"/>
              </w:rPr>
              <w:t>Lectora</w:t>
            </w:r>
            <w:proofErr w:type="spellEnd"/>
            <w:r w:rsidRPr="00BE1820">
              <w:rPr>
                <w:rFonts w:ascii="Verdana" w:eastAsia="Times New Roman" w:hAnsi="Verdana" w:cs="Times New Roman"/>
                <w:color w:val="222222"/>
                <w:sz w:val="17"/>
                <w:szCs w:val="17"/>
                <w:lang w:eastAsia="en-GB"/>
              </w:rPr>
              <w:t>.</w:t>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color w:val="222222"/>
                <w:sz w:val="17"/>
                <w:szCs w:val="17"/>
                <w:lang w:eastAsia="en-GB"/>
              </w:rPr>
              <w:br/>
              <w:t>- Mobile App Development: Experienced contractors or suppliers who can develop educational software or games designed to run on a mobile device, such as a smartphone or tablet computer.</w:t>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color w:val="222222"/>
                <w:sz w:val="17"/>
                <w:szCs w:val="17"/>
                <w:lang w:eastAsia="en-GB"/>
              </w:rPr>
              <w:br/>
              <w:t>- Multimedia Production Services: Experienced suppliers who can produce video, audio, design, and animation and provide editing and post-production services.</w:t>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color w:val="222222"/>
                <w:sz w:val="17"/>
                <w:szCs w:val="17"/>
                <w:lang w:eastAsia="en-GB"/>
              </w:rPr>
              <w:br/>
              <w:t>- General Web Design and Development Services: Experienced suppliers who can perform all of the tasks associated with developing websites.</w:t>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b/>
                <w:bCs/>
                <w:color w:val="222222"/>
                <w:sz w:val="17"/>
                <w:szCs w:val="17"/>
                <w:lang w:eastAsia="en-GB"/>
              </w:rPr>
              <w:t>About the buyer's selection process</w:t>
            </w:r>
            <w:proofErr w:type="gramStart"/>
            <w:r w:rsidRPr="00BE1820">
              <w:rPr>
                <w:rFonts w:ascii="Verdana" w:eastAsia="Times New Roman" w:hAnsi="Verdana" w:cs="Times New Roman"/>
                <w:b/>
                <w:bCs/>
                <w:color w:val="222222"/>
                <w:sz w:val="17"/>
                <w:szCs w:val="17"/>
                <w:lang w:eastAsia="en-GB"/>
              </w:rPr>
              <w:t>:</w:t>
            </w:r>
            <w:proofErr w:type="gramEnd"/>
            <w:r w:rsidRPr="00BE1820">
              <w:rPr>
                <w:rFonts w:ascii="Verdana" w:eastAsia="Times New Roman" w:hAnsi="Verdana" w:cs="Times New Roman"/>
                <w:color w:val="222222"/>
                <w:sz w:val="17"/>
                <w:szCs w:val="17"/>
                <w:lang w:eastAsia="en-GB"/>
              </w:rPr>
              <w:br/>
              <w:t>Potential Providers of services for any of the Categories listed are invited to submit an application in accordance with the attached invitation document. In order to satisfy criteria for the different professional areas of interest, providers shall return all response documents fully completed as indicated.</w:t>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color w:val="222222"/>
                <w:sz w:val="17"/>
                <w:szCs w:val="17"/>
                <w:lang w:eastAsia="en-GB"/>
              </w:rPr>
              <w:lastRenderedPageBreak/>
              <w:br/>
              <w:t>The instructions set out in the attached invitation document are issued to ensure that all applications are given equal and fair consideration. It is important therefore that applicants provide all information asked for in the format and order specified in these instructions. If the applicant has any doubts as to what is required or has difficulty in providing the information requested, please direct any questions by email to marketing@learningtrust.co.uk.</w:t>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color w:val="222222"/>
                <w:sz w:val="17"/>
                <w:szCs w:val="17"/>
                <w:lang w:eastAsia="en-GB"/>
              </w:rPr>
              <w:br/>
              <w:t>HLT reserves the right to reject any application that fails to comply fully with the requirements of the process set out in the invitation document, or that makes any misrepresentation in supplying any information requested.</w:t>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color w:val="222222"/>
                <w:sz w:val="17"/>
                <w:szCs w:val="17"/>
                <w:lang w:eastAsia="en-GB"/>
              </w:rPr>
              <w:br/>
              <w:t>In order to evaluate the application all required Response Documents must be included with the application. If any of the required documents are not submitted with the application, the HLT reserves to itself the right to reject such application.</w:t>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color w:val="222222"/>
                <w:sz w:val="17"/>
                <w:szCs w:val="17"/>
                <w:lang w:eastAsia="en-GB"/>
              </w:rPr>
              <w:br/>
              <w:t>As this is an open Approved Provider List there is no deadline for the submission of applications. You will be notified about the outcome of your application to be considered for inclusion on the Approved Provider List within 4 weeks from the date of submission of completed application. Application enquiries should be e-mailed to marketing@learningtrust.co.uk.</w:t>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color w:val="222222"/>
                <w:sz w:val="17"/>
                <w:szCs w:val="17"/>
                <w:lang w:eastAsia="en-GB"/>
              </w:rPr>
              <w:br/>
              <w:t>Completed submissions, together with all additional documentation required, should be returned to marketing@learningtrust.co.uk.</w:t>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color w:val="222222"/>
                <w:sz w:val="17"/>
                <w:szCs w:val="17"/>
                <w:lang w:eastAsia="en-GB"/>
              </w:rPr>
              <w:br/>
              <w:t>All application documents are to be supplied in MS Word or Adobe Acrobat (pdf) format.</w:t>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b/>
                <w:bCs/>
                <w:color w:val="222222"/>
                <w:sz w:val="17"/>
                <w:szCs w:val="17"/>
                <w:lang w:eastAsia="en-GB"/>
              </w:rPr>
              <w:t>About the buyer</w:t>
            </w:r>
            <w:proofErr w:type="gramStart"/>
            <w:r w:rsidRPr="00BE1820">
              <w:rPr>
                <w:rFonts w:ascii="Verdana" w:eastAsia="Times New Roman" w:hAnsi="Verdana" w:cs="Times New Roman"/>
                <w:b/>
                <w:bCs/>
                <w:color w:val="222222"/>
                <w:sz w:val="17"/>
                <w:szCs w:val="17"/>
                <w:lang w:eastAsia="en-GB"/>
              </w:rPr>
              <w:t>:</w:t>
            </w:r>
            <w:proofErr w:type="gramEnd"/>
            <w:r w:rsidRPr="00BE1820">
              <w:rPr>
                <w:rFonts w:ascii="Verdana" w:eastAsia="Times New Roman" w:hAnsi="Verdana" w:cs="Times New Roman"/>
                <w:color w:val="222222"/>
                <w:sz w:val="17"/>
                <w:szCs w:val="17"/>
                <w:lang w:eastAsia="en-GB"/>
              </w:rPr>
              <w:br/>
              <w:t>The London Borough of Hackney is an inner London borough situated to the east of the capital. The London Boroughs of Tower Hamlets, Newham, Waltham Forest, Haringey and Islington border it. Hackney Learning Trust (HLT) is part of Hackney’s Children and Young People’s Services (CYPS) Directorate and is responsible for children’s centres, schools and early years and adult education.</w:t>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color w:val="222222"/>
                <w:sz w:val="17"/>
                <w:szCs w:val="17"/>
                <w:lang w:eastAsia="en-GB"/>
              </w:rPr>
              <w:br/>
              <w:t>HLT carries out a vast range of services, some of which are traded with schools both in and out of the borough. Many of these services are carried out in-house, but some, either for reasons of independence and transparency, or resource demand need to be conducted by independent third parties.</w:t>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color w:val="222222"/>
                <w:sz w:val="17"/>
                <w:szCs w:val="17"/>
                <w:lang w:eastAsia="en-GB"/>
              </w:rPr>
              <w:br/>
              <w:t>A key part of HLT’s digital strategy is the development and provision of interactive curriculum resources and other multimedia e-learning products to schools both in Hackney, its neighbouring boroughs, and in other parts of the country.</w:t>
            </w:r>
          </w:p>
        </w:tc>
      </w:tr>
      <w:tr w:rsidR="00BE1820" w:rsidRPr="00BE1820" w:rsidTr="00BE1820">
        <w:tc>
          <w:tcPr>
            <w:tcW w:w="3394" w:type="dxa"/>
            <w:tcBorders>
              <w:top w:val="single" w:sz="6" w:space="0" w:color="CCCCCC"/>
              <w:left w:val="single" w:sz="6" w:space="0" w:color="CCCCCC"/>
              <w:bottom w:val="single" w:sz="6" w:space="0" w:color="CCCCCC"/>
              <w:right w:val="single" w:sz="6" w:space="0" w:color="CCCCCC"/>
            </w:tcBorders>
            <w:shd w:val="clear" w:color="auto" w:fill="F4F4F4"/>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lastRenderedPageBreak/>
              <w:t>Delivery point</w:t>
            </w:r>
          </w:p>
        </w:tc>
        <w:tc>
          <w:tcPr>
            <w:tcW w:w="11766" w:type="dxa"/>
            <w:tcBorders>
              <w:top w:val="single" w:sz="6" w:space="0" w:color="CCCCCC"/>
              <w:left w:val="single" w:sz="6" w:space="0" w:color="CCCCCC"/>
              <w:bottom w:val="single" w:sz="6" w:space="0" w:color="CCCCCC"/>
              <w:right w:val="single" w:sz="6" w:space="0" w:color="CCCCCC"/>
            </w:tcBorders>
            <w:shd w:val="clear" w:color="auto" w:fill="F4F4F4"/>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London Borough of Hackney</w:t>
            </w:r>
          </w:p>
        </w:tc>
      </w:tr>
      <w:tr w:rsidR="00BE1820" w:rsidRPr="00BE1820" w:rsidTr="00BE1820">
        <w:tc>
          <w:tcPr>
            <w:tcW w:w="3394" w:type="dxa"/>
            <w:tcBorders>
              <w:top w:val="single" w:sz="6" w:space="0" w:color="CCCCCC"/>
              <w:left w:val="single" w:sz="6" w:space="0" w:color="CCCCCC"/>
              <w:bottom w:val="single" w:sz="6" w:space="0" w:color="CCCCCC"/>
              <w:right w:val="single" w:sz="6" w:space="0" w:color="CCCCCC"/>
            </w:tcBorders>
            <w:shd w:val="clear" w:color="auto" w:fill="F4F4F4"/>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Document upload</w:t>
            </w:r>
          </w:p>
        </w:tc>
        <w:tc>
          <w:tcPr>
            <w:tcW w:w="11766" w:type="dxa"/>
            <w:tcBorders>
              <w:top w:val="single" w:sz="6" w:space="0" w:color="CCCCCC"/>
              <w:left w:val="single" w:sz="6" w:space="0" w:color="CCCCCC"/>
              <w:bottom w:val="single" w:sz="6" w:space="0" w:color="CCCCCC"/>
              <w:right w:val="single" w:sz="6" w:space="0" w:color="CCCCCC"/>
            </w:tcBorders>
            <w:shd w:val="clear" w:color="auto" w:fill="F4F4F4"/>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itt_for_digital_framework_agreement_v4.docx</w:t>
            </w:r>
          </w:p>
        </w:tc>
      </w:tr>
      <w:tr w:rsidR="00BE1820" w:rsidRPr="00BE1820" w:rsidTr="00BE1820">
        <w:tc>
          <w:tcPr>
            <w:tcW w:w="3394"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Business categories</w:t>
            </w:r>
          </w:p>
        </w:tc>
        <w:tc>
          <w:tcPr>
            <w:tcW w:w="1176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Multimedia software development services.</w:t>
            </w:r>
            <w:r w:rsidRPr="00BE1820">
              <w:rPr>
                <w:rFonts w:ascii="Verdana" w:eastAsia="Times New Roman" w:hAnsi="Verdana" w:cs="Times New Roman"/>
                <w:color w:val="222222"/>
                <w:sz w:val="17"/>
                <w:szCs w:val="17"/>
                <w:lang w:eastAsia="en-GB"/>
              </w:rPr>
              <w:br/>
              <w:t>Educational games.</w:t>
            </w:r>
            <w:r w:rsidRPr="00BE1820">
              <w:rPr>
                <w:rFonts w:ascii="Verdana" w:eastAsia="Times New Roman" w:hAnsi="Verdana" w:cs="Times New Roman"/>
                <w:color w:val="222222"/>
                <w:sz w:val="17"/>
                <w:szCs w:val="17"/>
                <w:lang w:eastAsia="en-GB"/>
              </w:rPr>
              <w:br/>
              <w:t>E-learning services.</w:t>
            </w:r>
            <w:r w:rsidRPr="00BE1820">
              <w:rPr>
                <w:rFonts w:ascii="Verdana" w:eastAsia="Times New Roman" w:hAnsi="Verdana" w:cs="Times New Roman"/>
                <w:color w:val="222222"/>
                <w:sz w:val="17"/>
                <w:szCs w:val="17"/>
                <w:lang w:eastAsia="en-GB"/>
              </w:rPr>
              <w:br/>
              <w:t>Services in connection with motion-picture and videotape production.</w:t>
            </w:r>
            <w:r w:rsidRPr="00BE1820">
              <w:rPr>
                <w:rFonts w:ascii="Verdana" w:eastAsia="Times New Roman" w:hAnsi="Verdana" w:cs="Times New Roman"/>
                <w:color w:val="222222"/>
                <w:sz w:val="17"/>
                <w:szCs w:val="17"/>
                <w:lang w:eastAsia="en-GB"/>
              </w:rPr>
              <w:br/>
              <w:t>World wide web WWW site design services.</w:t>
            </w:r>
            <w:r w:rsidRPr="00BE1820">
              <w:rPr>
                <w:rFonts w:ascii="Verdana" w:eastAsia="Times New Roman" w:hAnsi="Verdana" w:cs="Times New Roman"/>
                <w:color w:val="222222"/>
                <w:sz w:val="17"/>
                <w:szCs w:val="17"/>
                <w:lang w:eastAsia="en-GB"/>
              </w:rPr>
              <w:br/>
              <w:t>Miscellaneous software development services and computer systems.</w:t>
            </w:r>
            <w:r w:rsidRPr="00BE1820">
              <w:rPr>
                <w:rFonts w:ascii="Verdana" w:eastAsia="Times New Roman" w:hAnsi="Verdana" w:cs="Times New Roman"/>
                <w:color w:val="222222"/>
                <w:sz w:val="17"/>
                <w:szCs w:val="17"/>
                <w:lang w:eastAsia="en-GB"/>
              </w:rPr>
              <w:br/>
            </w:r>
            <w:r w:rsidRPr="00BE1820">
              <w:rPr>
                <w:rFonts w:ascii="Verdana" w:eastAsia="Times New Roman" w:hAnsi="Verdana" w:cs="Times New Roman"/>
                <w:color w:val="222222"/>
                <w:sz w:val="17"/>
                <w:szCs w:val="17"/>
                <w:lang w:eastAsia="en-GB"/>
              </w:rPr>
              <w:lastRenderedPageBreak/>
              <w:t>Internet and intranet software development services.</w:t>
            </w:r>
            <w:r w:rsidRPr="00BE1820">
              <w:rPr>
                <w:rFonts w:ascii="Verdana" w:eastAsia="Times New Roman" w:hAnsi="Verdana" w:cs="Times New Roman"/>
                <w:color w:val="222222"/>
                <w:sz w:val="17"/>
                <w:szCs w:val="17"/>
                <w:lang w:eastAsia="en-GB"/>
              </w:rPr>
              <w:br/>
              <w:t>Computer game software development services.</w:t>
            </w:r>
            <w:r w:rsidRPr="00BE1820">
              <w:rPr>
                <w:rFonts w:ascii="Verdana" w:eastAsia="Times New Roman" w:hAnsi="Verdana" w:cs="Times New Roman"/>
                <w:color w:val="222222"/>
                <w:sz w:val="17"/>
                <w:szCs w:val="17"/>
                <w:lang w:eastAsia="en-GB"/>
              </w:rPr>
              <w:br/>
              <w:t>Graphic design services.</w:t>
            </w:r>
          </w:p>
        </w:tc>
      </w:tr>
      <w:tr w:rsidR="00BE1820" w:rsidRPr="00BE1820" w:rsidTr="00BE1820">
        <w:tc>
          <w:tcPr>
            <w:tcW w:w="3394"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proofErr w:type="spellStart"/>
            <w:r w:rsidRPr="00BE1820">
              <w:rPr>
                <w:rFonts w:ascii="Verdana" w:eastAsia="Times New Roman" w:hAnsi="Verdana" w:cs="Times New Roman"/>
                <w:color w:val="222222"/>
                <w:sz w:val="17"/>
                <w:szCs w:val="17"/>
                <w:lang w:eastAsia="en-GB"/>
              </w:rPr>
              <w:lastRenderedPageBreak/>
              <w:t>CompeteFor</w:t>
            </w:r>
            <w:proofErr w:type="spellEnd"/>
            <w:r w:rsidRPr="00BE1820">
              <w:rPr>
                <w:rFonts w:ascii="Verdana" w:eastAsia="Times New Roman" w:hAnsi="Verdana" w:cs="Times New Roman"/>
                <w:color w:val="222222"/>
                <w:sz w:val="17"/>
                <w:szCs w:val="17"/>
                <w:lang w:eastAsia="en-GB"/>
              </w:rPr>
              <w:t xml:space="preserve"> response deadline</w:t>
            </w:r>
          </w:p>
        </w:tc>
        <w:tc>
          <w:tcPr>
            <w:tcW w:w="1176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26/01/2016 16:00</w:t>
            </w:r>
          </w:p>
        </w:tc>
      </w:tr>
      <w:tr w:rsidR="00BE1820" w:rsidRPr="00BE1820" w:rsidTr="00BE1820">
        <w:tc>
          <w:tcPr>
            <w:tcW w:w="3394" w:type="dxa"/>
            <w:tcBorders>
              <w:top w:val="single" w:sz="6" w:space="0" w:color="CCCCCC"/>
              <w:left w:val="single" w:sz="6" w:space="0" w:color="CCCCCC"/>
              <w:bottom w:val="single" w:sz="6" w:space="0" w:color="CCCCCC"/>
              <w:right w:val="single" w:sz="6" w:space="0" w:color="CCCCCC"/>
            </w:tcBorders>
            <w:shd w:val="clear" w:color="auto" w:fill="F4F4F4"/>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Estimated tender close date</w:t>
            </w:r>
          </w:p>
        </w:tc>
        <w:tc>
          <w:tcPr>
            <w:tcW w:w="11766" w:type="dxa"/>
            <w:tcBorders>
              <w:top w:val="single" w:sz="6" w:space="0" w:color="CCCCCC"/>
              <w:left w:val="single" w:sz="6" w:space="0" w:color="CCCCCC"/>
              <w:bottom w:val="single" w:sz="6" w:space="0" w:color="CCCCCC"/>
              <w:right w:val="single" w:sz="6" w:space="0" w:color="CCCCCC"/>
            </w:tcBorders>
            <w:shd w:val="clear" w:color="auto" w:fill="F4F4F4"/>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26/02/2016</w:t>
            </w:r>
          </w:p>
        </w:tc>
      </w:tr>
      <w:tr w:rsidR="00BE1820" w:rsidRPr="00BE1820" w:rsidTr="00BE1820">
        <w:tc>
          <w:tcPr>
            <w:tcW w:w="3394"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Estimated contract award date</w:t>
            </w:r>
          </w:p>
        </w:tc>
        <w:tc>
          <w:tcPr>
            <w:tcW w:w="1176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26/03/2016</w:t>
            </w:r>
          </w:p>
        </w:tc>
      </w:tr>
      <w:tr w:rsidR="00BE1820" w:rsidRPr="00BE1820" w:rsidTr="00BE1820">
        <w:tc>
          <w:tcPr>
            <w:tcW w:w="3394" w:type="dxa"/>
            <w:tcBorders>
              <w:top w:val="single" w:sz="6" w:space="0" w:color="CCCCCC"/>
              <w:left w:val="single" w:sz="6" w:space="0" w:color="CCCCCC"/>
              <w:bottom w:val="single" w:sz="6" w:space="0" w:color="CCCCCC"/>
              <w:right w:val="single" w:sz="6" w:space="0" w:color="CCCCCC"/>
            </w:tcBorders>
            <w:shd w:val="clear" w:color="auto" w:fill="F4F4F4"/>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Estimated contract start date</w:t>
            </w:r>
          </w:p>
        </w:tc>
        <w:tc>
          <w:tcPr>
            <w:tcW w:w="11766" w:type="dxa"/>
            <w:tcBorders>
              <w:top w:val="single" w:sz="6" w:space="0" w:color="CCCCCC"/>
              <w:left w:val="single" w:sz="6" w:space="0" w:color="CCCCCC"/>
              <w:bottom w:val="single" w:sz="6" w:space="0" w:color="CCCCCC"/>
              <w:right w:val="single" w:sz="6" w:space="0" w:color="CCCCCC"/>
            </w:tcBorders>
            <w:shd w:val="clear" w:color="auto" w:fill="F4F4F4"/>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02/05/2016</w:t>
            </w:r>
          </w:p>
        </w:tc>
      </w:tr>
      <w:tr w:rsidR="00BE1820" w:rsidRPr="00BE1820" w:rsidTr="00BE1820">
        <w:tc>
          <w:tcPr>
            <w:tcW w:w="3394"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Contract Value Displayed to Supplier</w:t>
            </w:r>
          </w:p>
        </w:tc>
        <w:tc>
          <w:tcPr>
            <w:tcW w:w="1176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No</w:t>
            </w:r>
          </w:p>
        </w:tc>
      </w:tr>
      <w:tr w:rsidR="00BE1820" w:rsidRPr="00BE1820" w:rsidTr="00BE1820">
        <w:tc>
          <w:tcPr>
            <w:tcW w:w="3394"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bookmarkStart w:id="0" w:name="_GoBack"/>
            <w:bookmarkEnd w:id="0"/>
            <w:proofErr w:type="spellStart"/>
            <w:r w:rsidRPr="00BE1820">
              <w:rPr>
                <w:rFonts w:ascii="Verdana" w:eastAsia="Times New Roman" w:hAnsi="Verdana" w:cs="Times New Roman"/>
                <w:color w:val="222222"/>
                <w:sz w:val="17"/>
                <w:szCs w:val="17"/>
                <w:lang w:eastAsia="en-GB"/>
              </w:rPr>
              <w:t>CompeteFor</w:t>
            </w:r>
            <w:proofErr w:type="spellEnd"/>
            <w:r w:rsidRPr="00BE1820">
              <w:rPr>
                <w:rFonts w:ascii="Verdana" w:eastAsia="Times New Roman" w:hAnsi="Verdana" w:cs="Times New Roman"/>
                <w:color w:val="222222"/>
                <w:sz w:val="17"/>
                <w:szCs w:val="17"/>
                <w:lang w:eastAsia="en-GB"/>
              </w:rPr>
              <w:t xml:space="preserve"> Opportunity Number</w:t>
            </w:r>
          </w:p>
        </w:tc>
        <w:tc>
          <w:tcPr>
            <w:tcW w:w="1176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BE1820" w:rsidRPr="00BE1820" w:rsidRDefault="00BE1820" w:rsidP="00BE1820">
            <w:pPr>
              <w:spacing w:after="0" w:line="180" w:lineRule="atLeast"/>
              <w:rPr>
                <w:rFonts w:ascii="Verdana" w:eastAsia="Times New Roman" w:hAnsi="Verdana" w:cs="Times New Roman"/>
                <w:color w:val="222222"/>
                <w:sz w:val="17"/>
                <w:szCs w:val="17"/>
                <w:lang w:eastAsia="en-GB"/>
              </w:rPr>
            </w:pPr>
            <w:r w:rsidRPr="00BE1820">
              <w:rPr>
                <w:rFonts w:ascii="Verdana" w:eastAsia="Times New Roman" w:hAnsi="Verdana" w:cs="Times New Roman"/>
                <w:color w:val="222222"/>
                <w:sz w:val="17"/>
                <w:szCs w:val="17"/>
                <w:lang w:eastAsia="en-GB"/>
              </w:rPr>
              <w:t>23398565</w:t>
            </w:r>
          </w:p>
        </w:tc>
      </w:tr>
    </w:tbl>
    <w:p w:rsidR="00D34806" w:rsidRDefault="00D34806"/>
    <w:sectPr w:rsidR="00D34806" w:rsidSect="00BE182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820"/>
    <w:rsid w:val="00BE1820"/>
    <w:rsid w:val="00D34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2918A-4387-4EF8-8610-A40977CE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1820"/>
    <w:rPr>
      <w:color w:val="0000FF"/>
      <w:u w:val="single"/>
    </w:rPr>
  </w:style>
  <w:style w:type="character" w:styleId="Strong">
    <w:name w:val="Strong"/>
    <w:basedOn w:val="DefaultParagraphFont"/>
    <w:uiPriority w:val="22"/>
    <w:qFormat/>
    <w:rsid w:val="00BE1820"/>
    <w:rPr>
      <w:b/>
      <w:bCs/>
    </w:rPr>
  </w:style>
  <w:style w:type="character" w:customStyle="1" w:styleId="apple-converted-space">
    <w:name w:val="apple-converted-space"/>
    <w:basedOn w:val="DefaultParagraphFont"/>
    <w:rsid w:val="00BE1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0292">
      <w:bodyDiv w:val="1"/>
      <w:marLeft w:val="0"/>
      <w:marRight w:val="0"/>
      <w:marTop w:val="0"/>
      <w:marBottom w:val="0"/>
      <w:divBdr>
        <w:top w:val="none" w:sz="0" w:space="0" w:color="auto"/>
        <w:left w:val="none" w:sz="0" w:space="0" w:color="auto"/>
        <w:bottom w:val="none" w:sz="0" w:space="0" w:color="auto"/>
        <w:right w:val="none" w:sz="0" w:space="0" w:color="auto"/>
      </w:divBdr>
      <w:divsChild>
        <w:div w:id="1654328806">
          <w:marLeft w:val="0"/>
          <w:marRight w:val="0"/>
          <w:marTop w:val="0"/>
          <w:marBottom w:val="0"/>
          <w:divBdr>
            <w:top w:val="none" w:sz="0" w:space="0" w:color="auto"/>
            <w:left w:val="none" w:sz="0" w:space="0" w:color="auto"/>
            <w:bottom w:val="none" w:sz="0" w:space="0" w:color="auto"/>
            <w:right w:val="none" w:sz="0" w:space="0" w:color="auto"/>
          </w:divBdr>
        </w:div>
        <w:div w:id="1302150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Hackney Learning Trust</Company>
  <LinksUpToDate>false</LinksUpToDate>
  <CharactersWithSpaces>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Pitman</dc:creator>
  <cp:keywords/>
  <dc:description/>
  <cp:lastModifiedBy>John Pitman</cp:lastModifiedBy>
  <cp:revision>1</cp:revision>
  <dcterms:created xsi:type="dcterms:W3CDTF">2015-03-05T12:08:00Z</dcterms:created>
  <dcterms:modified xsi:type="dcterms:W3CDTF">2015-03-05T12:12:00Z</dcterms:modified>
</cp:coreProperties>
</file>