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bookmarkStart w:id="0" w:name="_GoBack"/>
      <w:bookmarkEnd w:id="0"/>
      <w:r>
        <w:t>CONTENTS</w:t>
      </w:r>
    </w:p>
    <w:p w14:paraId="757634AA" w14:textId="77777777" w:rsidR="00FE18AC" w:rsidRDefault="00FE18AC" w:rsidP="00FE18AC"/>
    <w:p w14:paraId="7C304590" w14:textId="77777777" w:rsidR="00010752"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68785310" w:history="1">
        <w:r w:rsidR="00010752" w:rsidRPr="00165F33">
          <w:rPr>
            <w:rStyle w:val="Hyperlink"/>
            <w:noProof/>
          </w:rPr>
          <w:t>1.</w:t>
        </w:r>
        <w:r w:rsidR="00010752">
          <w:rPr>
            <w:rFonts w:asciiTheme="minorHAnsi" w:eastAsiaTheme="minorEastAsia" w:hAnsiTheme="minorHAnsi" w:cstheme="minorBidi"/>
            <w:caps w:val="0"/>
            <w:noProof/>
            <w:szCs w:val="22"/>
            <w:lang w:eastAsia="en-GB"/>
          </w:rPr>
          <w:tab/>
        </w:r>
        <w:r w:rsidR="00010752" w:rsidRPr="00165F33">
          <w:rPr>
            <w:rStyle w:val="Hyperlink"/>
            <w:noProof/>
          </w:rPr>
          <w:t>PURPOSE</w:t>
        </w:r>
        <w:r w:rsidR="00010752">
          <w:rPr>
            <w:noProof/>
            <w:webHidden/>
          </w:rPr>
          <w:tab/>
        </w:r>
        <w:r w:rsidR="00010752">
          <w:rPr>
            <w:noProof/>
            <w:webHidden/>
          </w:rPr>
          <w:fldChar w:fldCharType="begin"/>
        </w:r>
        <w:r w:rsidR="00010752">
          <w:rPr>
            <w:noProof/>
            <w:webHidden/>
          </w:rPr>
          <w:instrText xml:space="preserve"> PAGEREF _Toc468785310 \h </w:instrText>
        </w:r>
        <w:r w:rsidR="00010752">
          <w:rPr>
            <w:noProof/>
            <w:webHidden/>
          </w:rPr>
        </w:r>
        <w:r w:rsidR="00010752">
          <w:rPr>
            <w:noProof/>
            <w:webHidden/>
          </w:rPr>
          <w:fldChar w:fldCharType="separate"/>
        </w:r>
        <w:r w:rsidR="00010752">
          <w:rPr>
            <w:noProof/>
            <w:webHidden/>
          </w:rPr>
          <w:t>2</w:t>
        </w:r>
        <w:r w:rsidR="00010752">
          <w:rPr>
            <w:noProof/>
            <w:webHidden/>
          </w:rPr>
          <w:fldChar w:fldCharType="end"/>
        </w:r>
      </w:hyperlink>
    </w:p>
    <w:p w14:paraId="62E9AB6F" w14:textId="77777777" w:rsidR="00010752" w:rsidRDefault="0054295A">
      <w:pPr>
        <w:pStyle w:val="TOC1"/>
        <w:rPr>
          <w:rFonts w:asciiTheme="minorHAnsi" w:eastAsiaTheme="minorEastAsia" w:hAnsiTheme="minorHAnsi" w:cstheme="minorBidi"/>
          <w:caps w:val="0"/>
          <w:noProof/>
          <w:szCs w:val="22"/>
          <w:lang w:eastAsia="en-GB"/>
        </w:rPr>
      </w:pPr>
      <w:hyperlink w:anchor="_Toc468785311" w:history="1">
        <w:r w:rsidR="00010752" w:rsidRPr="00165F33">
          <w:rPr>
            <w:rStyle w:val="Hyperlink"/>
            <w:noProof/>
          </w:rPr>
          <w:t>2.</w:t>
        </w:r>
        <w:r w:rsidR="00010752">
          <w:rPr>
            <w:rFonts w:asciiTheme="minorHAnsi" w:eastAsiaTheme="minorEastAsia" w:hAnsiTheme="minorHAnsi" w:cstheme="minorBidi"/>
            <w:caps w:val="0"/>
            <w:noProof/>
            <w:szCs w:val="22"/>
            <w:lang w:eastAsia="en-GB"/>
          </w:rPr>
          <w:tab/>
        </w:r>
        <w:r w:rsidR="00010752" w:rsidRPr="00165F33">
          <w:rPr>
            <w:rStyle w:val="Hyperlink"/>
            <w:noProof/>
          </w:rPr>
          <w:t>BACKGROUND TO THE CONTRACTING aUTHORITY</w:t>
        </w:r>
        <w:r w:rsidR="00010752">
          <w:rPr>
            <w:noProof/>
            <w:webHidden/>
          </w:rPr>
          <w:tab/>
        </w:r>
        <w:r w:rsidR="00010752">
          <w:rPr>
            <w:noProof/>
            <w:webHidden/>
          </w:rPr>
          <w:fldChar w:fldCharType="begin"/>
        </w:r>
        <w:r w:rsidR="00010752">
          <w:rPr>
            <w:noProof/>
            <w:webHidden/>
          </w:rPr>
          <w:instrText xml:space="preserve"> PAGEREF _Toc468785311 \h </w:instrText>
        </w:r>
        <w:r w:rsidR="00010752">
          <w:rPr>
            <w:noProof/>
            <w:webHidden/>
          </w:rPr>
        </w:r>
        <w:r w:rsidR="00010752">
          <w:rPr>
            <w:noProof/>
            <w:webHidden/>
          </w:rPr>
          <w:fldChar w:fldCharType="separate"/>
        </w:r>
        <w:r w:rsidR="00010752">
          <w:rPr>
            <w:noProof/>
            <w:webHidden/>
          </w:rPr>
          <w:t>2</w:t>
        </w:r>
        <w:r w:rsidR="00010752">
          <w:rPr>
            <w:noProof/>
            <w:webHidden/>
          </w:rPr>
          <w:fldChar w:fldCharType="end"/>
        </w:r>
      </w:hyperlink>
    </w:p>
    <w:p w14:paraId="3962A08F" w14:textId="77777777" w:rsidR="00010752" w:rsidRDefault="0054295A">
      <w:pPr>
        <w:pStyle w:val="TOC1"/>
        <w:rPr>
          <w:rFonts w:asciiTheme="minorHAnsi" w:eastAsiaTheme="minorEastAsia" w:hAnsiTheme="minorHAnsi" w:cstheme="minorBidi"/>
          <w:caps w:val="0"/>
          <w:noProof/>
          <w:szCs w:val="22"/>
          <w:lang w:eastAsia="en-GB"/>
        </w:rPr>
      </w:pPr>
      <w:hyperlink w:anchor="_Toc468785312" w:history="1">
        <w:r w:rsidR="00010752" w:rsidRPr="00165F33">
          <w:rPr>
            <w:rStyle w:val="Hyperlink"/>
            <w:noProof/>
          </w:rPr>
          <w:t>3.</w:t>
        </w:r>
        <w:r w:rsidR="00010752">
          <w:rPr>
            <w:rFonts w:asciiTheme="minorHAnsi" w:eastAsiaTheme="minorEastAsia" w:hAnsiTheme="minorHAnsi" w:cstheme="minorBidi"/>
            <w:caps w:val="0"/>
            <w:noProof/>
            <w:szCs w:val="22"/>
            <w:lang w:eastAsia="en-GB"/>
          </w:rPr>
          <w:tab/>
        </w:r>
        <w:r w:rsidR="00010752" w:rsidRPr="00165F33">
          <w:rPr>
            <w:rStyle w:val="Hyperlink"/>
            <w:noProof/>
          </w:rPr>
          <w:t>Background to requirement/OVERVIEW of requirement</w:t>
        </w:r>
        <w:r w:rsidR="00010752">
          <w:rPr>
            <w:noProof/>
            <w:webHidden/>
          </w:rPr>
          <w:tab/>
        </w:r>
        <w:r w:rsidR="00010752">
          <w:rPr>
            <w:noProof/>
            <w:webHidden/>
          </w:rPr>
          <w:fldChar w:fldCharType="begin"/>
        </w:r>
        <w:r w:rsidR="00010752">
          <w:rPr>
            <w:noProof/>
            <w:webHidden/>
          </w:rPr>
          <w:instrText xml:space="preserve"> PAGEREF _Toc468785312 \h </w:instrText>
        </w:r>
        <w:r w:rsidR="00010752">
          <w:rPr>
            <w:noProof/>
            <w:webHidden/>
          </w:rPr>
        </w:r>
        <w:r w:rsidR="00010752">
          <w:rPr>
            <w:noProof/>
            <w:webHidden/>
          </w:rPr>
          <w:fldChar w:fldCharType="separate"/>
        </w:r>
        <w:r w:rsidR="00010752">
          <w:rPr>
            <w:noProof/>
            <w:webHidden/>
          </w:rPr>
          <w:t>2</w:t>
        </w:r>
        <w:r w:rsidR="00010752">
          <w:rPr>
            <w:noProof/>
            <w:webHidden/>
          </w:rPr>
          <w:fldChar w:fldCharType="end"/>
        </w:r>
      </w:hyperlink>
    </w:p>
    <w:p w14:paraId="17B6629F" w14:textId="77777777" w:rsidR="00010752" w:rsidRDefault="0054295A">
      <w:pPr>
        <w:pStyle w:val="TOC1"/>
        <w:rPr>
          <w:rFonts w:asciiTheme="minorHAnsi" w:eastAsiaTheme="minorEastAsia" w:hAnsiTheme="minorHAnsi" w:cstheme="minorBidi"/>
          <w:caps w:val="0"/>
          <w:noProof/>
          <w:szCs w:val="22"/>
          <w:lang w:eastAsia="en-GB"/>
        </w:rPr>
      </w:pPr>
      <w:hyperlink w:anchor="_Toc468785313" w:history="1">
        <w:r w:rsidR="00010752" w:rsidRPr="00165F33">
          <w:rPr>
            <w:rStyle w:val="Hyperlink"/>
            <w:noProof/>
          </w:rPr>
          <w:t>4.</w:t>
        </w:r>
        <w:r w:rsidR="00010752">
          <w:rPr>
            <w:rFonts w:asciiTheme="minorHAnsi" w:eastAsiaTheme="minorEastAsia" w:hAnsiTheme="minorHAnsi" w:cstheme="minorBidi"/>
            <w:caps w:val="0"/>
            <w:noProof/>
            <w:szCs w:val="22"/>
            <w:lang w:eastAsia="en-GB"/>
          </w:rPr>
          <w:tab/>
        </w:r>
        <w:r w:rsidR="00010752" w:rsidRPr="00165F33">
          <w:rPr>
            <w:rStyle w:val="Hyperlink"/>
            <w:noProof/>
          </w:rPr>
          <w:t>definitions</w:t>
        </w:r>
        <w:r w:rsidR="00010752">
          <w:rPr>
            <w:noProof/>
            <w:webHidden/>
          </w:rPr>
          <w:tab/>
        </w:r>
        <w:r w:rsidR="00010752">
          <w:rPr>
            <w:noProof/>
            <w:webHidden/>
          </w:rPr>
          <w:fldChar w:fldCharType="begin"/>
        </w:r>
        <w:r w:rsidR="00010752">
          <w:rPr>
            <w:noProof/>
            <w:webHidden/>
          </w:rPr>
          <w:instrText xml:space="preserve"> PAGEREF _Toc468785313 \h </w:instrText>
        </w:r>
        <w:r w:rsidR="00010752">
          <w:rPr>
            <w:noProof/>
            <w:webHidden/>
          </w:rPr>
        </w:r>
        <w:r w:rsidR="00010752">
          <w:rPr>
            <w:noProof/>
            <w:webHidden/>
          </w:rPr>
          <w:fldChar w:fldCharType="separate"/>
        </w:r>
        <w:r w:rsidR="00010752">
          <w:rPr>
            <w:noProof/>
            <w:webHidden/>
          </w:rPr>
          <w:t>3</w:t>
        </w:r>
        <w:r w:rsidR="00010752">
          <w:rPr>
            <w:noProof/>
            <w:webHidden/>
          </w:rPr>
          <w:fldChar w:fldCharType="end"/>
        </w:r>
      </w:hyperlink>
    </w:p>
    <w:p w14:paraId="4AF22AFA" w14:textId="77777777" w:rsidR="00010752" w:rsidRDefault="0054295A">
      <w:pPr>
        <w:pStyle w:val="TOC1"/>
        <w:rPr>
          <w:rFonts w:asciiTheme="minorHAnsi" w:eastAsiaTheme="minorEastAsia" w:hAnsiTheme="minorHAnsi" w:cstheme="minorBidi"/>
          <w:caps w:val="0"/>
          <w:noProof/>
          <w:szCs w:val="22"/>
          <w:lang w:eastAsia="en-GB"/>
        </w:rPr>
      </w:pPr>
      <w:hyperlink w:anchor="_Toc468785314" w:history="1">
        <w:r w:rsidR="00010752" w:rsidRPr="00165F33">
          <w:rPr>
            <w:rStyle w:val="Hyperlink"/>
            <w:noProof/>
          </w:rPr>
          <w:t>5.</w:t>
        </w:r>
        <w:r w:rsidR="00010752">
          <w:rPr>
            <w:rFonts w:asciiTheme="minorHAnsi" w:eastAsiaTheme="minorEastAsia" w:hAnsiTheme="minorHAnsi" w:cstheme="minorBidi"/>
            <w:caps w:val="0"/>
            <w:noProof/>
            <w:szCs w:val="22"/>
            <w:lang w:eastAsia="en-GB"/>
          </w:rPr>
          <w:tab/>
        </w:r>
        <w:r w:rsidR="00010752" w:rsidRPr="00165F33">
          <w:rPr>
            <w:rStyle w:val="Hyperlink"/>
            <w:noProof/>
          </w:rPr>
          <w:t>scope of requirement</w:t>
        </w:r>
        <w:r w:rsidR="00010752">
          <w:rPr>
            <w:noProof/>
            <w:webHidden/>
          </w:rPr>
          <w:tab/>
        </w:r>
        <w:r w:rsidR="00010752">
          <w:rPr>
            <w:noProof/>
            <w:webHidden/>
          </w:rPr>
          <w:fldChar w:fldCharType="begin"/>
        </w:r>
        <w:r w:rsidR="00010752">
          <w:rPr>
            <w:noProof/>
            <w:webHidden/>
          </w:rPr>
          <w:instrText xml:space="preserve"> PAGEREF _Toc468785314 \h </w:instrText>
        </w:r>
        <w:r w:rsidR="00010752">
          <w:rPr>
            <w:noProof/>
            <w:webHidden/>
          </w:rPr>
        </w:r>
        <w:r w:rsidR="00010752">
          <w:rPr>
            <w:noProof/>
            <w:webHidden/>
          </w:rPr>
          <w:fldChar w:fldCharType="separate"/>
        </w:r>
        <w:r w:rsidR="00010752">
          <w:rPr>
            <w:noProof/>
            <w:webHidden/>
          </w:rPr>
          <w:t>3</w:t>
        </w:r>
        <w:r w:rsidR="00010752">
          <w:rPr>
            <w:noProof/>
            <w:webHidden/>
          </w:rPr>
          <w:fldChar w:fldCharType="end"/>
        </w:r>
      </w:hyperlink>
    </w:p>
    <w:p w14:paraId="4767A205" w14:textId="77777777" w:rsidR="00010752" w:rsidRDefault="0054295A">
      <w:pPr>
        <w:pStyle w:val="TOC1"/>
        <w:rPr>
          <w:rFonts w:asciiTheme="minorHAnsi" w:eastAsiaTheme="minorEastAsia" w:hAnsiTheme="minorHAnsi" w:cstheme="minorBidi"/>
          <w:caps w:val="0"/>
          <w:noProof/>
          <w:szCs w:val="22"/>
          <w:lang w:eastAsia="en-GB"/>
        </w:rPr>
      </w:pPr>
      <w:hyperlink w:anchor="_Toc468785315" w:history="1">
        <w:r w:rsidR="00010752" w:rsidRPr="00165F33">
          <w:rPr>
            <w:rStyle w:val="Hyperlink"/>
            <w:noProof/>
          </w:rPr>
          <w:t>6.</w:t>
        </w:r>
        <w:r w:rsidR="00010752">
          <w:rPr>
            <w:rFonts w:asciiTheme="minorHAnsi" w:eastAsiaTheme="minorEastAsia" w:hAnsiTheme="minorHAnsi" w:cstheme="minorBidi"/>
            <w:caps w:val="0"/>
            <w:noProof/>
            <w:szCs w:val="22"/>
            <w:lang w:eastAsia="en-GB"/>
          </w:rPr>
          <w:tab/>
        </w:r>
        <w:r w:rsidR="00010752" w:rsidRPr="00165F33">
          <w:rPr>
            <w:rStyle w:val="Hyperlink"/>
            <w:noProof/>
          </w:rPr>
          <w:t>The requirement</w:t>
        </w:r>
        <w:r w:rsidR="00010752">
          <w:rPr>
            <w:noProof/>
            <w:webHidden/>
          </w:rPr>
          <w:tab/>
        </w:r>
        <w:r w:rsidR="00010752">
          <w:rPr>
            <w:noProof/>
            <w:webHidden/>
          </w:rPr>
          <w:fldChar w:fldCharType="begin"/>
        </w:r>
        <w:r w:rsidR="00010752">
          <w:rPr>
            <w:noProof/>
            <w:webHidden/>
          </w:rPr>
          <w:instrText xml:space="preserve"> PAGEREF _Toc468785315 \h </w:instrText>
        </w:r>
        <w:r w:rsidR="00010752">
          <w:rPr>
            <w:noProof/>
            <w:webHidden/>
          </w:rPr>
        </w:r>
        <w:r w:rsidR="00010752">
          <w:rPr>
            <w:noProof/>
            <w:webHidden/>
          </w:rPr>
          <w:fldChar w:fldCharType="separate"/>
        </w:r>
        <w:r w:rsidR="00010752">
          <w:rPr>
            <w:noProof/>
            <w:webHidden/>
          </w:rPr>
          <w:t>5</w:t>
        </w:r>
        <w:r w:rsidR="00010752">
          <w:rPr>
            <w:noProof/>
            <w:webHidden/>
          </w:rPr>
          <w:fldChar w:fldCharType="end"/>
        </w:r>
      </w:hyperlink>
    </w:p>
    <w:p w14:paraId="6DBF748D" w14:textId="77777777" w:rsidR="00010752" w:rsidRDefault="0054295A">
      <w:pPr>
        <w:pStyle w:val="TOC1"/>
        <w:rPr>
          <w:rFonts w:asciiTheme="minorHAnsi" w:eastAsiaTheme="minorEastAsia" w:hAnsiTheme="minorHAnsi" w:cstheme="minorBidi"/>
          <w:caps w:val="0"/>
          <w:noProof/>
          <w:szCs w:val="22"/>
          <w:lang w:eastAsia="en-GB"/>
        </w:rPr>
      </w:pPr>
      <w:hyperlink w:anchor="_Toc468785317" w:history="1">
        <w:r w:rsidR="00010752" w:rsidRPr="00165F33">
          <w:rPr>
            <w:rStyle w:val="Hyperlink"/>
            <w:noProof/>
          </w:rPr>
          <w:t>7.</w:t>
        </w:r>
        <w:r w:rsidR="00010752">
          <w:rPr>
            <w:rFonts w:asciiTheme="minorHAnsi" w:eastAsiaTheme="minorEastAsia" w:hAnsiTheme="minorHAnsi" w:cstheme="minorBidi"/>
            <w:caps w:val="0"/>
            <w:noProof/>
            <w:szCs w:val="22"/>
            <w:lang w:eastAsia="en-GB"/>
          </w:rPr>
          <w:tab/>
        </w:r>
        <w:r w:rsidR="00010752" w:rsidRPr="00165F33">
          <w:rPr>
            <w:rStyle w:val="Hyperlink"/>
            <w:noProof/>
          </w:rPr>
          <w:t>key milestones</w:t>
        </w:r>
        <w:r w:rsidR="00010752">
          <w:rPr>
            <w:noProof/>
            <w:webHidden/>
          </w:rPr>
          <w:tab/>
        </w:r>
        <w:r w:rsidR="00010752">
          <w:rPr>
            <w:noProof/>
            <w:webHidden/>
          </w:rPr>
          <w:fldChar w:fldCharType="begin"/>
        </w:r>
        <w:r w:rsidR="00010752">
          <w:rPr>
            <w:noProof/>
            <w:webHidden/>
          </w:rPr>
          <w:instrText xml:space="preserve"> PAGEREF _Toc468785317 \h </w:instrText>
        </w:r>
        <w:r w:rsidR="00010752">
          <w:rPr>
            <w:noProof/>
            <w:webHidden/>
          </w:rPr>
        </w:r>
        <w:r w:rsidR="00010752">
          <w:rPr>
            <w:noProof/>
            <w:webHidden/>
          </w:rPr>
          <w:fldChar w:fldCharType="separate"/>
        </w:r>
        <w:r w:rsidR="00010752">
          <w:rPr>
            <w:noProof/>
            <w:webHidden/>
          </w:rPr>
          <w:t>6</w:t>
        </w:r>
        <w:r w:rsidR="00010752">
          <w:rPr>
            <w:noProof/>
            <w:webHidden/>
          </w:rPr>
          <w:fldChar w:fldCharType="end"/>
        </w:r>
      </w:hyperlink>
    </w:p>
    <w:p w14:paraId="64E74426" w14:textId="77777777" w:rsidR="00010752" w:rsidRDefault="0054295A">
      <w:pPr>
        <w:pStyle w:val="TOC1"/>
        <w:rPr>
          <w:rFonts w:asciiTheme="minorHAnsi" w:eastAsiaTheme="minorEastAsia" w:hAnsiTheme="minorHAnsi" w:cstheme="minorBidi"/>
          <w:caps w:val="0"/>
          <w:noProof/>
          <w:szCs w:val="22"/>
          <w:lang w:eastAsia="en-GB"/>
        </w:rPr>
      </w:pPr>
      <w:hyperlink w:anchor="_Toc468785318" w:history="1">
        <w:r w:rsidR="00010752" w:rsidRPr="00165F33">
          <w:rPr>
            <w:rStyle w:val="Hyperlink"/>
            <w:rFonts w:cs="Arial"/>
            <w:noProof/>
          </w:rPr>
          <w:t>8.</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authority’s responsibilities</w:t>
        </w:r>
        <w:r w:rsidR="00010752">
          <w:rPr>
            <w:noProof/>
            <w:webHidden/>
          </w:rPr>
          <w:tab/>
        </w:r>
        <w:r w:rsidR="00010752">
          <w:rPr>
            <w:noProof/>
            <w:webHidden/>
          </w:rPr>
          <w:fldChar w:fldCharType="begin"/>
        </w:r>
        <w:r w:rsidR="00010752">
          <w:rPr>
            <w:noProof/>
            <w:webHidden/>
          </w:rPr>
          <w:instrText xml:space="preserve"> PAGEREF _Toc468785318 \h </w:instrText>
        </w:r>
        <w:r w:rsidR="00010752">
          <w:rPr>
            <w:noProof/>
            <w:webHidden/>
          </w:rPr>
        </w:r>
        <w:r w:rsidR="00010752">
          <w:rPr>
            <w:noProof/>
            <w:webHidden/>
          </w:rPr>
          <w:fldChar w:fldCharType="separate"/>
        </w:r>
        <w:r w:rsidR="00010752">
          <w:rPr>
            <w:noProof/>
            <w:webHidden/>
          </w:rPr>
          <w:t>6</w:t>
        </w:r>
        <w:r w:rsidR="00010752">
          <w:rPr>
            <w:noProof/>
            <w:webHidden/>
          </w:rPr>
          <w:fldChar w:fldCharType="end"/>
        </w:r>
      </w:hyperlink>
    </w:p>
    <w:p w14:paraId="172E5A9F" w14:textId="77777777" w:rsidR="00010752" w:rsidRDefault="0054295A">
      <w:pPr>
        <w:pStyle w:val="TOC1"/>
        <w:rPr>
          <w:rFonts w:asciiTheme="minorHAnsi" w:eastAsiaTheme="minorEastAsia" w:hAnsiTheme="minorHAnsi" w:cstheme="minorBidi"/>
          <w:caps w:val="0"/>
          <w:noProof/>
          <w:szCs w:val="22"/>
          <w:lang w:eastAsia="en-GB"/>
        </w:rPr>
      </w:pPr>
      <w:hyperlink w:anchor="_Toc468785319" w:history="1">
        <w:r w:rsidR="00010752" w:rsidRPr="00165F33">
          <w:rPr>
            <w:rStyle w:val="Hyperlink"/>
            <w:rFonts w:cs="Arial"/>
            <w:noProof/>
          </w:rPr>
          <w:t>9.</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reporting</w:t>
        </w:r>
        <w:r w:rsidR="00010752">
          <w:rPr>
            <w:noProof/>
            <w:webHidden/>
          </w:rPr>
          <w:tab/>
        </w:r>
        <w:r w:rsidR="00010752">
          <w:rPr>
            <w:noProof/>
            <w:webHidden/>
          </w:rPr>
          <w:fldChar w:fldCharType="begin"/>
        </w:r>
        <w:r w:rsidR="00010752">
          <w:rPr>
            <w:noProof/>
            <w:webHidden/>
          </w:rPr>
          <w:instrText xml:space="preserve"> PAGEREF _Toc468785319 \h </w:instrText>
        </w:r>
        <w:r w:rsidR="00010752">
          <w:rPr>
            <w:noProof/>
            <w:webHidden/>
          </w:rPr>
        </w:r>
        <w:r w:rsidR="00010752">
          <w:rPr>
            <w:noProof/>
            <w:webHidden/>
          </w:rPr>
          <w:fldChar w:fldCharType="separate"/>
        </w:r>
        <w:r w:rsidR="00010752">
          <w:rPr>
            <w:noProof/>
            <w:webHidden/>
          </w:rPr>
          <w:t>6</w:t>
        </w:r>
        <w:r w:rsidR="00010752">
          <w:rPr>
            <w:noProof/>
            <w:webHidden/>
          </w:rPr>
          <w:fldChar w:fldCharType="end"/>
        </w:r>
      </w:hyperlink>
    </w:p>
    <w:p w14:paraId="6857400E" w14:textId="77777777" w:rsidR="00010752" w:rsidRDefault="0054295A">
      <w:pPr>
        <w:pStyle w:val="TOC1"/>
        <w:rPr>
          <w:rFonts w:asciiTheme="minorHAnsi" w:eastAsiaTheme="minorEastAsia" w:hAnsiTheme="minorHAnsi" w:cstheme="minorBidi"/>
          <w:caps w:val="0"/>
          <w:noProof/>
          <w:szCs w:val="22"/>
          <w:lang w:eastAsia="en-GB"/>
        </w:rPr>
      </w:pPr>
      <w:hyperlink w:anchor="_Toc468785320" w:history="1">
        <w:r w:rsidR="00010752" w:rsidRPr="00165F33">
          <w:rPr>
            <w:rStyle w:val="Hyperlink"/>
            <w:rFonts w:cs="Arial"/>
            <w:noProof/>
          </w:rPr>
          <w:t>10.</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continuous improvement</w:t>
        </w:r>
        <w:r w:rsidR="00010752">
          <w:rPr>
            <w:noProof/>
            <w:webHidden/>
          </w:rPr>
          <w:tab/>
        </w:r>
        <w:r w:rsidR="00010752">
          <w:rPr>
            <w:noProof/>
            <w:webHidden/>
          </w:rPr>
          <w:fldChar w:fldCharType="begin"/>
        </w:r>
        <w:r w:rsidR="00010752">
          <w:rPr>
            <w:noProof/>
            <w:webHidden/>
          </w:rPr>
          <w:instrText xml:space="preserve"> PAGEREF _Toc468785320 \h </w:instrText>
        </w:r>
        <w:r w:rsidR="00010752">
          <w:rPr>
            <w:noProof/>
            <w:webHidden/>
          </w:rPr>
        </w:r>
        <w:r w:rsidR="00010752">
          <w:rPr>
            <w:noProof/>
            <w:webHidden/>
          </w:rPr>
          <w:fldChar w:fldCharType="separate"/>
        </w:r>
        <w:r w:rsidR="00010752">
          <w:rPr>
            <w:noProof/>
            <w:webHidden/>
          </w:rPr>
          <w:t>7</w:t>
        </w:r>
        <w:r w:rsidR="00010752">
          <w:rPr>
            <w:noProof/>
            <w:webHidden/>
          </w:rPr>
          <w:fldChar w:fldCharType="end"/>
        </w:r>
      </w:hyperlink>
    </w:p>
    <w:p w14:paraId="76413F0F" w14:textId="77777777" w:rsidR="00010752" w:rsidRDefault="0054295A">
      <w:pPr>
        <w:pStyle w:val="TOC1"/>
        <w:rPr>
          <w:rFonts w:asciiTheme="minorHAnsi" w:eastAsiaTheme="minorEastAsia" w:hAnsiTheme="minorHAnsi" w:cstheme="minorBidi"/>
          <w:caps w:val="0"/>
          <w:noProof/>
          <w:szCs w:val="22"/>
          <w:lang w:eastAsia="en-GB"/>
        </w:rPr>
      </w:pPr>
      <w:hyperlink w:anchor="_Toc468785321" w:history="1">
        <w:r w:rsidR="00010752" w:rsidRPr="00165F33">
          <w:rPr>
            <w:rStyle w:val="Hyperlink"/>
            <w:noProof/>
          </w:rPr>
          <w:t>11.</w:t>
        </w:r>
        <w:r w:rsidR="00010752">
          <w:rPr>
            <w:rFonts w:asciiTheme="minorHAnsi" w:eastAsiaTheme="minorEastAsia" w:hAnsiTheme="minorHAnsi" w:cstheme="minorBidi"/>
            <w:caps w:val="0"/>
            <w:noProof/>
            <w:szCs w:val="22"/>
            <w:lang w:eastAsia="en-GB"/>
          </w:rPr>
          <w:tab/>
        </w:r>
        <w:r w:rsidR="00010752" w:rsidRPr="00165F33">
          <w:rPr>
            <w:rStyle w:val="Hyperlink"/>
            <w:noProof/>
          </w:rPr>
          <w:t>Sustainability – NOT USED</w:t>
        </w:r>
        <w:r w:rsidR="00010752">
          <w:rPr>
            <w:noProof/>
            <w:webHidden/>
          </w:rPr>
          <w:tab/>
        </w:r>
        <w:r w:rsidR="00010752">
          <w:rPr>
            <w:noProof/>
            <w:webHidden/>
          </w:rPr>
          <w:fldChar w:fldCharType="begin"/>
        </w:r>
        <w:r w:rsidR="00010752">
          <w:rPr>
            <w:noProof/>
            <w:webHidden/>
          </w:rPr>
          <w:instrText xml:space="preserve"> PAGEREF _Toc468785321 \h </w:instrText>
        </w:r>
        <w:r w:rsidR="00010752">
          <w:rPr>
            <w:noProof/>
            <w:webHidden/>
          </w:rPr>
        </w:r>
        <w:r w:rsidR="00010752">
          <w:rPr>
            <w:noProof/>
            <w:webHidden/>
          </w:rPr>
          <w:fldChar w:fldCharType="separate"/>
        </w:r>
        <w:r w:rsidR="00010752">
          <w:rPr>
            <w:noProof/>
            <w:webHidden/>
          </w:rPr>
          <w:t>7</w:t>
        </w:r>
        <w:r w:rsidR="00010752">
          <w:rPr>
            <w:noProof/>
            <w:webHidden/>
          </w:rPr>
          <w:fldChar w:fldCharType="end"/>
        </w:r>
      </w:hyperlink>
    </w:p>
    <w:p w14:paraId="401D2AD2" w14:textId="77777777" w:rsidR="00010752" w:rsidRDefault="0054295A">
      <w:pPr>
        <w:pStyle w:val="TOC1"/>
        <w:rPr>
          <w:rFonts w:asciiTheme="minorHAnsi" w:eastAsiaTheme="minorEastAsia" w:hAnsiTheme="minorHAnsi" w:cstheme="minorBidi"/>
          <w:caps w:val="0"/>
          <w:noProof/>
          <w:szCs w:val="22"/>
          <w:lang w:eastAsia="en-GB"/>
        </w:rPr>
      </w:pPr>
      <w:hyperlink w:anchor="_Toc468785322" w:history="1">
        <w:r w:rsidR="00010752" w:rsidRPr="00165F33">
          <w:rPr>
            <w:rStyle w:val="Hyperlink"/>
            <w:rFonts w:cs="Arial"/>
            <w:noProof/>
          </w:rPr>
          <w:t>12.</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quality</w:t>
        </w:r>
        <w:r w:rsidR="00010752">
          <w:rPr>
            <w:noProof/>
            <w:webHidden/>
          </w:rPr>
          <w:tab/>
        </w:r>
        <w:r w:rsidR="00010752">
          <w:rPr>
            <w:noProof/>
            <w:webHidden/>
          </w:rPr>
          <w:fldChar w:fldCharType="begin"/>
        </w:r>
        <w:r w:rsidR="00010752">
          <w:rPr>
            <w:noProof/>
            <w:webHidden/>
          </w:rPr>
          <w:instrText xml:space="preserve"> PAGEREF _Toc468785322 \h </w:instrText>
        </w:r>
        <w:r w:rsidR="00010752">
          <w:rPr>
            <w:noProof/>
            <w:webHidden/>
          </w:rPr>
        </w:r>
        <w:r w:rsidR="00010752">
          <w:rPr>
            <w:noProof/>
            <w:webHidden/>
          </w:rPr>
          <w:fldChar w:fldCharType="separate"/>
        </w:r>
        <w:r w:rsidR="00010752">
          <w:rPr>
            <w:noProof/>
            <w:webHidden/>
          </w:rPr>
          <w:t>7</w:t>
        </w:r>
        <w:r w:rsidR="00010752">
          <w:rPr>
            <w:noProof/>
            <w:webHidden/>
          </w:rPr>
          <w:fldChar w:fldCharType="end"/>
        </w:r>
      </w:hyperlink>
    </w:p>
    <w:p w14:paraId="3A00843E" w14:textId="77777777" w:rsidR="00010752" w:rsidRDefault="0054295A">
      <w:pPr>
        <w:pStyle w:val="TOC1"/>
        <w:rPr>
          <w:rFonts w:asciiTheme="minorHAnsi" w:eastAsiaTheme="minorEastAsia" w:hAnsiTheme="minorHAnsi" w:cstheme="minorBidi"/>
          <w:caps w:val="0"/>
          <w:noProof/>
          <w:szCs w:val="22"/>
          <w:lang w:eastAsia="en-GB"/>
        </w:rPr>
      </w:pPr>
      <w:hyperlink w:anchor="_Toc468785323" w:history="1">
        <w:r w:rsidR="00010752" w:rsidRPr="00165F33">
          <w:rPr>
            <w:rStyle w:val="Hyperlink"/>
            <w:rFonts w:cs="Arial"/>
            <w:noProof/>
          </w:rPr>
          <w:t>13.</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PRICE</w:t>
        </w:r>
        <w:r w:rsidR="00010752">
          <w:rPr>
            <w:noProof/>
            <w:webHidden/>
          </w:rPr>
          <w:tab/>
        </w:r>
        <w:r w:rsidR="00010752">
          <w:rPr>
            <w:noProof/>
            <w:webHidden/>
          </w:rPr>
          <w:fldChar w:fldCharType="begin"/>
        </w:r>
        <w:r w:rsidR="00010752">
          <w:rPr>
            <w:noProof/>
            <w:webHidden/>
          </w:rPr>
          <w:instrText xml:space="preserve"> PAGEREF _Toc468785323 \h </w:instrText>
        </w:r>
        <w:r w:rsidR="00010752">
          <w:rPr>
            <w:noProof/>
            <w:webHidden/>
          </w:rPr>
        </w:r>
        <w:r w:rsidR="00010752">
          <w:rPr>
            <w:noProof/>
            <w:webHidden/>
          </w:rPr>
          <w:fldChar w:fldCharType="separate"/>
        </w:r>
        <w:r w:rsidR="00010752">
          <w:rPr>
            <w:noProof/>
            <w:webHidden/>
          </w:rPr>
          <w:t>7</w:t>
        </w:r>
        <w:r w:rsidR="00010752">
          <w:rPr>
            <w:noProof/>
            <w:webHidden/>
          </w:rPr>
          <w:fldChar w:fldCharType="end"/>
        </w:r>
      </w:hyperlink>
    </w:p>
    <w:p w14:paraId="40DE2314" w14:textId="77777777" w:rsidR="00010752" w:rsidRDefault="0054295A">
      <w:pPr>
        <w:pStyle w:val="TOC1"/>
        <w:rPr>
          <w:rFonts w:asciiTheme="minorHAnsi" w:eastAsiaTheme="minorEastAsia" w:hAnsiTheme="minorHAnsi" w:cstheme="minorBidi"/>
          <w:caps w:val="0"/>
          <w:noProof/>
          <w:szCs w:val="22"/>
          <w:lang w:eastAsia="en-GB"/>
        </w:rPr>
      </w:pPr>
      <w:hyperlink w:anchor="_Toc468785324" w:history="1">
        <w:r w:rsidR="00010752" w:rsidRPr="00165F33">
          <w:rPr>
            <w:rStyle w:val="Hyperlink"/>
            <w:rFonts w:cs="Arial"/>
            <w:noProof/>
          </w:rPr>
          <w:t>14.</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STAFF AND CUSTOMER SERVICE</w:t>
        </w:r>
        <w:r w:rsidR="00010752">
          <w:rPr>
            <w:noProof/>
            <w:webHidden/>
          </w:rPr>
          <w:tab/>
        </w:r>
        <w:r w:rsidR="00010752">
          <w:rPr>
            <w:noProof/>
            <w:webHidden/>
          </w:rPr>
          <w:fldChar w:fldCharType="begin"/>
        </w:r>
        <w:r w:rsidR="00010752">
          <w:rPr>
            <w:noProof/>
            <w:webHidden/>
          </w:rPr>
          <w:instrText xml:space="preserve"> PAGEREF _Toc468785324 \h </w:instrText>
        </w:r>
        <w:r w:rsidR="00010752">
          <w:rPr>
            <w:noProof/>
            <w:webHidden/>
          </w:rPr>
        </w:r>
        <w:r w:rsidR="00010752">
          <w:rPr>
            <w:noProof/>
            <w:webHidden/>
          </w:rPr>
          <w:fldChar w:fldCharType="separate"/>
        </w:r>
        <w:r w:rsidR="00010752">
          <w:rPr>
            <w:noProof/>
            <w:webHidden/>
          </w:rPr>
          <w:t>7</w:t>
        </w:r>
        <w:r w:rsidR="00010752">
          <w:rPr>
            <w:noProof/>
            <w:webHidden/>
          </w:rPr>
          <w:fldChar w:fldCharType="end"/>
        </w:r>
      </w:hyperlink>
    </w:p>
    <w:p w14:paraId="24F486F7" w14:textId="77777777" w:rsidR="00010752" w:rsidRDefault="0054295A">
      <w:pPr>
        <w:pStyle w:val="TOC1"/>
        <w:rPr>
          <w:rFonts w:asciiTheme="minorHAnsi" w:eastAsiaTheme="minorEastAsia" w:hAnsiTheme="minorHAnsi" w:cstheme="minorBidi"/>
          <w:caps w:val="0"/>
          <w:noProof/>
          <w:szCs w:val="22"/>
          <w:lang w:eastAsia="en-GB"/>
        </w:rPr>
      </w:pPr>
      <w:hyperlink w:anchor="_Toc468785325" w:history="1">
        <w:r w:rsidR="00010752" w:rsidRPr="00165F33">
          <w:rPr>
            <w:rStyle w:val="Hyperlink"/>
            <w:rFonts w:cs="Arial"/>
            <w:noProof/>
          </w:rPr>
          <w:t>15.</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service levels and performance</w:t>
        </w:r>
        <w:r w:rsidR="00010752">
          <w:rPr>
            <w:noProof/>
            <w:webHidden/>
          </w:rPr>
          <w:tab/>
        </w:r>
        <w:r w:rsidR="00010752">
          <w:rPr>
            <w:noProof/>
            <w:webHidden/>
          </w:rPr>
          <w:fldChar w:fldCharType="begin"/>
        </w:r>
        <w:r w:rsidR="00010752">
          <w:rPr>
            <w:noProof/>
            <w:webHidden/>
          </w:rPr>
          <w:instrText xml:space="preserve"> PAGEREF _Toc468785325 \h </w:instrText>
        </w:r>
        <w:r w:rsidR="00010752">
          <w:rPr>
            <w:noProof/>
            <w:webHidden/>
          </w:rPr>
        </w:r>
        <w:r w:rsidR="00010752">
          <w:rPr>
            <w:noProof/>
            <w:webHidden/>
          </w:rPr>
          <w:fldChar w:fldCharType="separate"/>
        </w:r>
        <w:r w:rsidR="00010752">
          <w:rPr>
            <w:noProof/>
            <w:webHidden/>
          </w:rPr>
          <w:t>7</w:t>
        </w:r>
        <w:r w:rsidR="00010752">
          <w:rPr>
            <w:noProof/>
            <w:webHidden/>
          </w:rPr>
          <w:fldChar w:fldCharType="end"/>
        </w:r>
      </w:hyperlink>
    </w:p>
    <w:p w14:paraId="53EA7D42" w14:textId="77777777" w:rsidR="00010752" w:rsidRDefault="0054295A">
      <w:pPr>
        <w:pStyle w:val="TOC1"/>
        <w:rPr>
          <w:rFonts w:asciiTheme="minorHAnsi" w:eastAsiaTheme="minorEastAsia" w:hAnsiTheme="minorHAnsi" w:cstheme="minorBidi"/>
          <w:caps w:val="0"/>
          <w:noProof/>
          <w:szCs w:val="22"/>
          <w:lang w:eastAsia="en-GB"/>
        </w:rPr>
      </w:pPr>
      <w:hyperlink w:anchor="_Toc468785326" w:history="1">
        <w:r w:rsidR="00010752" w:rsidRPr="00165F33">
          <w:rPr>
            <w:rStyle w:val="Hyperlink"/>
            <w:noProof/>
          </w:rPr>
          <w:t>16.</w:t>
        </w:r>
        <w:r w:rsidR="00010752">
          <w:rPr>
            <w:rFonts w:asciiTheme="minorHAnsi" w:eastAsiaTheme="minorEastAsia" w:hAnsiTheme="minorHAnsi" w:cstheme="minorBidi"/>
            <w:caps w:val="0"/>
            <w:noProof/>
            <w:szCs w:val="22"/>
            <w:lang w:eastAsia="en-GB"/>
          </w:rPr>
          <w:tab/>
        </w:r>
        <w:r w:rsidR="00010752" w:rsidRPr="00165F33">
          <w:rPr>
            <w:rStyle w:val="Hyperlink"/>
            <w:noProof/>
          </w:rPr>
          <w:t>Security requirements</w:t>
        </w:r>
        <w:r w:rsidR="00010752">
          <w:rPr>
            <w:noProof/>
            <w:webHidden/>
          </w:rPr>
          <w:tab/>
        </w:r>
        <w:r w:rsidR="00010752">
          <w:rPr>
            <w:noProof/>
            <w:webHidden/>
          </w:rPr>
          <w:fldChar w:fldCharType="begin"/>
        </w:r>
        <w:r w:rsidR="00010752">
          <w:rPr>
            <w:noProof/>
            <w:webHidden/>
          </w:rPr>
          <w:instrText xml:space="preserve"> PAGEREF _Toc468785326 \h </w:instrText>
        </w:r>
        <w:r w:rsidR="00010752">
          <w:rPr>
            <w:noProof/>
            <w:webHidden/>
          </w:rPr>
        </w:r>
        <w:r w:rsidR="00010752">
          <w:rPr>
            <w:noProof/>
            <w:webHidden/>
          </w:rPr>
          <w:fldChar w:fldCharType="separate"/>
        </w:r>
        <w:r w:rsidR="00010752">
          <w:rPr>
            <w:noProof/>
            <w:webHidden/>
          </w:rPr>
          <w:t>7</w:t>
        </w:r>
        <w:r w:rsidR="00010752">
          <w:rPr>
            <w:noProof/>
            <w:webHidden/>
          </w:rPr>
          <w:fldChar w:fldCharType="end"/>
        </w:r>
      </w:hyperlink>
    </w:p>
    <w:p w14:paraId="65D42A69" w14:textId="77777777" w:rsidR="00010752" w:rsidRDefault="0054295A">
      <w:pPr>
        <w:pStyle w:val="TOC1"/>
        <w:rPr>
          <w:rFonts w:asciiTheme="minorHAnsi" w:eastAsiaTheme="minorEastAsia" w:hAnsiTheme="minorHAnsi" w:cstheme="minorBidi"/>
          <w:caps w:val="0"/>
          <w:noProof/>
          <w:szCs w:val="22"/>
          <w:lang w:eastAsia="en-GB"/>
        </w:rPr>
      </w:pPr>
      <w:hyperlink w:anchor="_Toc468785327" w:history="1">
        <w:r w:rsidR="00010752" w:rsidRPr="00165F33">
          <w:rPr>
            <w:rStyle w:val="Hyperlink"/>
            <w:rFonts w:cs="Arial"/>
            <w:noProof/>
          </w:rPr>
          <w:t>17.</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intellectual property rights (ipr)</w:t>
        </w:r>
        <w:r w:rsidR="00010752">
          <w:rPr>
            <w:noProof/>
            <w:webHidden/>
          </w:rPr>
          <w:tab/>
        </w:r>
        <w:r w:rsidR="00010752">
          <w:rPr>
            <w:noProof/>
            <w:webHidden/>
          </w:rPr>
          <w:fldChar w:fldCharType="begin"/>
        </w:r>
        <w:r w:rsidR="00010752">
          <w:rPr>
            <w:noProof/>
            <w:webHidden/>
          </w:rPr>
          <w:instrText xml:space="preserve"> PAGEREF _Toc468785327 \h </w:instrText>
        </w:r>
        <w:r w:rsidR="00010752">
          <w:rPr>
            <w:noProof/>
            <w:webHidden/>
          </w:rPr>
        </w:r>
        <w:r w:rsidR="00010752">
          <w:rPr>
            <w:noProof/>
            <w:webHidden/>
          </w:rPr>
          <w:fldChar w:fldCharType="separate"/>
        </w:r>
        <w:r w:rsidR="00010752">
          <w:rPr>
            <w:noProof/>
            <w:webHidden/>
          </w:rPr>
          <w:t>8</w:t>
        </w:r>
        <w:r w:rsidR="00010752">
          <w:rPr>
            <w:noProof/>
            <w:webHidden/>
          </w:rPr>
          <w:fldChar w:fldCharType="end"/>
        </w:r>
      </w:hyperlink>
    </w:p>
    <w:p w14:paraId="176BEB65" w14:textId="77777777" w:rsidR="00010752" w:rsidRDefault="0054295A">
      <w:pPr>
        <w:pStyle w:val="TOC1"/>
        <w:rPr>
          <w:rFonts w:asciiTheme="minorHAnsi" w:eastAsiaTheme="minorEastAsia" w:hAnsiTheme="minorHAnsi" w:cstheme="minorBidi"/>
          <w:caps w:val="0"/>
          <w:noProof/>
          <w:szCs w:val="22"/>
          <w:lang w:eastAsia="en-GB"/>
        </w:rPr>
      </w:pPr>
      <w:hyperlink w:anchor="_Toc468785328" w:history="1">
        <w:r w:rsidR="00010752" w:rsidRPr="00165F33">
          <w:rPr>
            <w:rStyle w:val="Hyperlink"/>
            <w:rFonts w:cs="Arial"/>
            <w:noProof/>
          </w:rPr>
          <w:t>18.</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payment</w:t>
        </w:r>
        <w:r w:rsidR="00010752">
          <w:rPr>
            <w:noProof/>
            <w:webHidden/>
          </w:rPr>
          <w:tab/>
        </w:r>
        <w:r w:rsidR="00010752">
          <w:rPr>
            <w:noProof/>
            <w:webHidden/>
          </w:rPr>
          <w:fldChar w:fldCharType="begin"/>
        </w:r>
        <w:r w:rsidR="00010752">
          <w:rPr>
            <w:noProof/>
            <w:webHidden/>
          </w:rPr>
          <w:instrText xml:space="preserve"> PAGEREF _Toc468785328 \h </w:instrText>
        </w:r>
        <w:r w:rsidR="00010752">
          <w:rPr>
            <w:noProof/>
            <w:webHidden/>
          </w:rPr>
        </w:r>
        <w:r w:rsidR="00010752">
          <w:rPr>
            <w:noProof/>
            <w:webHidden/>
          </w:rPr>
          <w:fldChar w:fldCharType="separate"/>
        </w:r>
        <w:r w:rsidR="00010752">
          <w:rPr>
            <w:noProof/>
            <w:webHidden/>
          </w:rPr>
          <w:t>8</w:t>
        </w:r>
        <w:r w:rsidR="00010752">
          <w:rPr>
            <w:noProof/>
            <w:webHidden/>
          </w:rPr>
          <w:fldChar w:fldCharType="end"/>
        </w:r>
      </w:hyperlink>
    </w:p>
    <w:p w14:paraId="22322EBA" w14:textId="77777777" w:rsidR="00010752" w:rsidRDefault="0054295A">
      <w:pPr>
        <w:pStyle w:val="TOC1"/>
        <w:rPr>
          <w:rFonts w:asciiTheme="minorHAnsi" w:eastAsiaTheme="minorEastAsia" w:hAnsiTheme="minorHAnsi" w:cstheme="minorBidi"/>
          <w:caps w:val="0"/>
          <w:noProof/>
          <w:szCs w:val="22"/>
          <w:lang w:eastAsia="en-GB"/>
        </w:rPr>
      </w:pPr>
      <w:hyperlink w:anchor="_Toc468785329" w:history="1">
        <w:r w:rsidR="00010752" w:rsidRPr="00165F33">
          <w:rPr>
            <w:rStyle w:val="Hyperlink"/>
            <w:rFonts w:cs="Arial"/>
            <w:noProof/>
          </w:rPr>
          <w:t>19.</w:t>
        </w:r>
        <w:r w:rsidR="00010752">
          <w:rPr>
            <w:rFonts w:asciiTheme="minorHAnsi" w:eastAsiaTheme="minorEastAsia" w:hAnsiTheme="minorHAnsi" w:cstheme="minorBidi"/>
            <w:caps w:val="0"/>
            <w:noProof/>
            <w:szCs w:val="22"/>
            <w:lang w:eastAsia="en-GB"/>
          </w:rPr>
          <w:tab/>
        </w:r>
        <w:r w:rsidR="00010752" w:rsidRPr="00165F33">
          <w:rPr>
            <w:rStyle w:val="Hyperlink"/>
            <w:rFonts w:cs="Arial"/>
            <w:noProof/>
          </w:rPr>
          <w:t xml:space="preserve">additional information </w:t>
        </w:r>
        <w:r w:rsidR="00010752">
          <w:rPr>
            <w:noProof/>
            <w:webHidden/>
          </w:rPr>
          <w:tab/>
        </w:r>
        <w:r w:rsidR="00010752">
          <w:rPr>
            <w:noProof/>
            <w:webHidden/>
          </w:rPr>
          <w:fldChar w:fldCharType="begin"/>
        </w:r>
        <w:r w:rsidR="00010752">
          <w:rPr>
            <w:noProof/>
            <w:webHidden/>
          </w:rPr>
          <w:instrText xml:space="preserve"> PAGEREF _Toc468785329 \h </w:instrText>
        </w:r>
        <w:r w:rsidR="00010752">
          <w:rPr>
            <w:noProof/>
            <w:webHidden/>
          </w:rPr>
        </w:r>
        <w:r w:rsidR="00010752">
          <w:rPr>
            <w:noProof/>
            <w:webHidden/>
          </w:rPr>
          <w:fldChar w:fldCharType="separate"/>
        </w:r>
        <w:r w:rsidR="00010752">
          <w:rPr>
            <w:noProof/>
            <w:webHidden/>
          </w:rPr>
          <w:t>8</w:t>
        </w:r>
        <w:r w:rsidR="00010752">
          <w:rPr>
            <w:noProof/>
            <w:webHidden/>
          </w:rPr>
          <w:fldChar w:fldCharType="end"/>
        </w:r>
      </w:hyperlink>
    </w:p>
    <w:p w14:paraId="7A374F69" w14:textId="77777777" w:rsidR="00010752" w:rsidRDefault="0054295A">
      <w:pPr>
        <w:pStyle w:val="TOC1"/>
        <w:rPr>
          <w:rFonts w:asciiTheme="minorHAnsi" w:eastAsiaTheme="minorEastAsia" w:hAnsiTheme="minorHAnsi" w:cstheme="minorBidi"/>
          <w:caps w:val="0"/>
          <w:noProof/>
          <w:szCs w:val="22"/>
          <w:lang w:eastAsia="en-GB"/>
        </w:rPr>
      </w:pPr>
      <w:hyperlink w:anchor="_Toc468785330" w:history="1">
        <w:r w:rsidR="00010752" w:rsidRPr="00165F33">
          <w:rPr>
            <w:rStyle w:val="Hyperlink"/>
            <w:noProof/>
          </w:rPr>
          <w:t>20.</w:t>
        </w:r>
        <w:r w:rsidR="00010752">
          <w:rPr>
            <w:rFonts w:asciiTheme="minorHAnsi" w:eastAsiaTheme="minorEastAsia" w:hAnsiTheme="minorHAnsi" w:cstheme="minorBidi"/>
            <w:caps w:val="0"/>
            <w:noProof/>
            <w:szCs w:val="22"/>
            <w:lang w:eastAsia="en-GB"/>
          </w:rPr>
          <w:tab/>
        </w:r>
        <w:r w:rsidR="00010752" w:rsidRPr="00165F33">
          <w:rPr>
            <w:rStyle w:val="Hyperlink"/>
            <w:noProof/>
          </w:rPr>
          <w:t>Location</w:t>
        </w:r>
        <w:r w:rsidR="00010752">
          <w:rPr>
            <w:noProof/>
            <w:webHidden/>
          </w:rPr>
          <w:tab/>
        </w:r>
        <w:r w:rsidR="00010752">
          <w:rPr>
            <w:noProof/>
            <w:webHidden/>
          </w:rPr>
          <w:fldChar w:fldCharType="begin"/>
        </w:r>
        <w:r w:rsidR="00010752">
          <w:rPr>
            <w:noProof/>
            <w:webHidden/>
          </w:rPr>
          <w:instrText xml:space="preserve"> PAGEREF _Toc468785330 \h </w:instrText>
        </w:r>
        <w:r w:rsidR="00010752">
          <w:rPr>
            <w:noProof/>
            <w:webHidden/>
          </w:rPr>
        </w:r>
        <w:r w:rsidR="00010752">
          <w:rPr>
            <w:noProof/>
            <w:webHidden/>
          </w:rPr>
          <w:fldChar w:fldCharType="separate"/>
        </w:r>
        <w:r w:rsidR="00010752">
          <w:rPr>
            <w:noProof/>
            <w:webHidden/>
          </w:rPr>
          <w:t>8</w:t>
        </w:r>
        <w:r w:rsidR="00010752">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52AABDB0" w:rsidR="00F44D62" w:rsidRPr="00F44D62" w:rsidRDefault="00F44D62" w:rsidP="00F44D62">
      <w:pPr>
        <w:adjustRightInd w:val="0"/>
        <w:spacing w:before="60" w:after="60"/>
        <w:jc w:val="center"/>
        <w:rPr>
          <w:rFonts w:eastAsia="STZhongsong" w:cs="Arial"/>
          <w:b/>
          <w:szCs w:val="22"/>
          <w:highlight w:val="yellow"/>
        </w:rPr>
      </w:pPr>
      <w:bookmarkStart w:id="1" w:name="_Toc297554772"/>
    </w:p>
    <w:p w14:paraId="656F4A80" w14:textId="3CD112CB"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68785310"/>
      <w:r w:rsidRPr="00CE295C">
        <w:rPr>
          <w:caps w:val="0"/>
          <w:szCs w:val="22"/>
        </w:rPr>
        <w:lastRenderedPageBreak/>
        <w:t>PURPOSE</w:t>
      </w:r>
      <w:bookmarkEnd w:id="1"/>
      <w:bookmarkEnd w:id="2"/>
      <w:bookmarkEnd w:id="3"/>
    </w:p>
    <w:p w14:paraId="71B5F325" w14:textId="77777777" w:rsidR="00A57A3D" w:rsidRPr="00493FF9" w:rsidRDefault="00A57A3D" w:rsidP="00A57A3D">
      <w:pPr>
        <w:pStyle w:val="Heading2"/>
      </w:pPr>
      <w:bookmarkStart w:id="4" w:name="_Toc296415791"/>
      <w:bookmarkStart w:id="5" w:name="_Toc368573028"/>
      <w:bookmarkStart w:id="6" w:name="_Toc297554773"/>
      <w:bookmarkStart w:id="7" w:name="_Toc296415805"/>
      <w:bookmarkStart w:id="8" w:name="_Toc296415793"/>
      <w:r>
        <w:t>The scope of this work is</w:t>
      </w:r>
      <w:r w:rsidRPr="00371E45">
        <w:t xml:space="preserve"> to provide an expert report which considers and assesses the potential value of the overcharging in respect of Customer Care Officers (CCOs) under the Project Agreement dated 27 March 1998 as expanded and restated on 15 December 2003, the Expanded Prime Contract  (EPC).   The expert report should be produced in such a form that</w:t>
      </w:r>
      <w:r>
        <w:t xml:space="preserve"> </w:t>
      </w:r>
      <w:r w:rsidRPr="00003A0D">
        <w:rPr>
          <w:szCs w:val="22"/>
        </w:rPr>
        <w:t>the Department for Work and Pensions</w:t>
      </w:r>
      <w:r w:rsidRPr="00371E45">
        <w:t xml:space="preserve"> </w:t>
      </w:r>
      <w:r>
        <w:t>(</w:t>
      </w:r>
      <w:r w:rsidRPr="00371E45">
        <w:t>DWP</w:t>
      </w:r>
      <w:r>
        <w:t>)</w:t>
      </w:r>
      <w:r w:rsidRPr="00371E45">
        <w:t xml:space="preserve"> can rely upon this in the Dispute Resolution Procedure</w:t>
      </w:r>
      <w:r>
        <w:t xml:space="preserve"> (DRP)</w:t>
      </w:r>
      <w:r w:rsidRPr="00371E45">
        <w:t xml:space="preserve"> contained in Schedule 20 of the EPC. </w:t>
      </w:r>
      <w:r>
        <w:t>The purpose of this exercise is to understand the quantum of the overcharge which will provide the evidence base for any further action to recover the overcharge through the DRP.</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9" w:name="_Toc468785311"/>
      <w:bookmarkEnd w:id="4"/>
      <w:r w:rsidRPr="004E78BC">
        <w:rPr>
          <w:szCs w:val="22"/>
        </w:rPr>
        <w:t>BACKGROUND TO THE CONTRACTING aUTHORITY</w:t>
      </w:r>
      <w:bookmarkEnd w:id="5"/>
      <w:bookmarkEnd w:id="9"/>
    </w:p>
    <w:p w14:paraId="6A0A1344" w14:textId="77777777" w:rsidR="00A57A3D" w:rsidRDefault="00A57A3D" w:rsidP="00A57A3D">
      <w:pPr>
        <w:pStyle w:val="Heading2"/>
      </w:pPr>
      <w:bookmarkStart w:id="10" w:name="_Toc368573029"/>
      <w:r>
        <w:rPr>
          <w:lang w:val="en-US" w:eastAsia="en-GB"/>
        </w:rPr>
        <w:t>DWP is responsible for welfare, pensions and child maintenance policy. As the UK’s biggest public service delivery department it administers the State Pension and a range of working age, disability and ill health benefits.</w:t>
      </w:r>
    </w:p>
    <w:p w14:paraId="1F91F956" w14:textId="77777777" w:rsidR="00A57A3D" w:rsidRDefault="00A57A3D" w:rsidP="00A57A3D">
      <w:pPr>
        <w:pStyle w:val="Heading2"/>
      </w:pPr>
      <w:r>
        <w:t>DWP provides services that support people of working age from welfare into work, and helps employers to fill their vacancies via a network of Jobcentres, Benefit Centres and Contact Centres. It plays a major role in supporting the Department’s aim to promote opportunity and independence for all through modern, customer-focused services.</w:t>
      </w:r>
    </w:p>
    <w:p w14:paraId="3E1725B8" w14:textId="77777777" w:rsidR="00A57A3D" w:rsidRDefault="00A57A3D" w:rsidP="00A57A3D">
      <w:pPr>
        <w:pStyle w:val="NormalWeb"/>
        <w:ind w:left="720" w:hanging="720"/>
        <w:jc w:val="both"/>
        <w:rPr>
          <w:sz w:val="22"/>
          <w:szCs w:val="22"/>
          <w:lang w:eastAsia="en-GB"/>
        </w:rPr>
      </w:pPr>
      <w:r>
        <w:rPr>
          <w:rFonts w:cs="Arial"/>
          <w:sz w:val="22"/>
          <w:szCs w:val="22"/>
        </w:rPr>
        <w:t xml:space="preserve">2.3 </w:t>
      </w:r>
      <w:r>
        <w:rPr>
          <w:rFonts w:cs="Arial"/>
          <w:sz w:val="22"/>
          <w:szCs w:val="22"/>
        </w:rPr>
        <w:tab/>
      </w:r>
      <w:r>
        <w:rPr>
          <w:sz w:val="22"/>
          <w:szCs w:val="22"/>
          <w:lang w:eastAsia="en-GB"/>
        </w:rPr>
        <w:t>DWP provides financial support for customers claiming disability benefits and their carers – for example, Personal Independence Payment, Disability Living Allowance and Carer’s Allowance, and Vaccine Damage Payments. Offices across the country manage telephony and benefit processing work.</w:t>
      </w:r>
    </w:p>
    <w:p w14:paraId="190ED6A4" w14:textId="77777777" w:rsidR="00A57A3D" w:rsidRDefault="00A57A3D" w:rsidP="00A57A3D">
      <w:pPr>
        <w:pStyle w:val="NormalWeb"/>
        <w:ind w:left="720" w:hanging="720"/>
        <w:jc w:val="both"/>
        <w:rPr>
          <w:rFonts w:cs="Arial"/>
          <w:sz w:val="22"/>
          <w:szCs w:val="22"/>
        </w:rPr>
      </w:pPr>
    </w:p>
    <w:p w14:paraId="694D2067" w14:textId="77777777" w:rsidR="00A57A3D" w:rsidRDefault="00A57A3D" w:rsidP="00A57A3D">
      <w:pPr>
        <w:pStyle w:val="NormalWeb"/>
        <w:ind w:left="720" w:hanging="720"/>
        <w:jc w:val="both"/>
        <w:rPr>
          <w:rFonts w:cs="Arial"/>
          <w:sz w:val="22"/>
          <w:szCs w:val="22"/>
        </w:rPr>
      </w:pPr>
      <w:r>
        <w:rPr>
          <w:rFonts w:cs="Arial"/>
          <w:sz w:val="22"/>
          <w:szCs w:val="22"/>
        </w:rPr>
        <w:t>2.4</w:t>
      </w:r>
      <w:r>
        <w:rPr>
          <w:rFonts w:cs="Arial"/>
          <w:sz w:val="22"/>
          <w:szCs w:val="22"/>
        </w:rPr>
        <w:tab/>
        <w:t xml:space="preserve">DWP aims to provide a high quality and efficient service. The DWP Customer Charter sets out the standards customers can expect.  These include 4 key commitments as follows: Right Treatment, Right Result, On Time, and Easy Access. </w:t>
      </w:r>
    </w:p>
    <w:p w14:paraId="4EE0EC8E" w14:textId="77777777" w:rsidR="00A57A3D" w:rsidRDefault="00A57A3D" w:rsidP="00A57A3D">
      <w:pPr>
        <w:pStyle w:val="NormalWeb"/>
        <w:ind w:left="720" w:hanging="720"/>
        <w:jc w:val="both"/>
        <w:rPr>
          <w:rFonts w:cs="Arial"/>
          <w:sz w:val="22"/>
          <w:szCs w:val="22"/>
        </w:rPr>
      </w:pPr>
    </w:p>
    <w:p w14:paraId="25DFD4F6" w14:textId="77777777" w:rsidR="00A57A3D" w:rsidRDefault="00A57A3D" w:rsidP="00A57A3D">
      <w:pPr>
        <w:widowControl w:val="0"/>
        <w:autoSpaceDE w:val="0"/>
        <w:autoSpaceDN w:val="0"/>
        <w:adjustRightInd w:val="0"/>
        <w:ind w:left="720" w:hanging="720"/>
        <w:jc w:val="both"/>
        <w:rPr>
          <w:rFonts w:eastAsia="Times New Roman" w:cs="Arial"/>
          <w:szCs w:val="22"/>
          <w:lang w:eastAsia="en-US"/>
        </w:rPr>
      </w:pPr>
      <w:r>
        <w:rPr>
          <w:rFonts w:cs="Arial"/>
          <w:szCs w:val="22"/>
        </w:rPr>
        <w:t>2.5</w:t>
      </w:r>
      <w:r>
        <w:rPr>
          <w:rFonts w:cs="Arial"/>
          <w:szCs w:val="22"/>
        </w:rPr>
        <w:tab/>
      </w:r>
      <w:r>
        <w:rPr>
          <w:rFonts w:eastAsia="Times New Roman" w:cs="Arial"/>
          <w:szCs w:val="22"/>
          <w:lang w:eastAsia="en-US"/>
        </w:rPr>
        <w:t xml:space="preserve">Diversity and equality is a prominent theme running through DWP Strategic Objectives – the objectives that underpin our activities and define the nature of the Department. </w:t>
      </w:r>
    </w:p>
    <w:p w14:paraId="16F99EE3" w14:textId="77777777" w:rsidR="00A57A3D" w:rsidRDefault="00A57A3D" w:rsidP="00A57A3D">
      <w:pPr>
        <w:widowControl w:val="0"/>
        <w:autoSpaceDE w:val="0"/>
        <w:autoSpaceDN w:val="0"/>
        <w:adjustRightInd w:val="0"/>
        <w:ind w:left="720" w:hanging="720"/>
        <w:rPr>
          <w:rFonts w:eastAsia="Times New Roman" w:cs="Arial"/>
          <w:szCs w:val="22"/>
          <w:lang w:eastAsia="en-US"/>
        </w:rPr>
      </w:pPr>
    </w:p>
    <w:p w14:paraId="015122D1" w14:textId="08191504" w:rsidR="00A57A3D" w:rsidRDefault="00A57A3D" w:rsidP="00A57A3D">
      <w:pPr>
        <w:widowControl w:val="0"/>
        <w:autoSpaceDE w:val="0"/>
        <w:autoSpaceDN w:val="0"/>
        <w:adjustRightInd w:val="0"/>
        <w:ind w:left="720"/>
        <w:rPr>
          <w:rFonts w:eastAsia="Times New Roman" w:cs="Arial"/>
          <w:szCs w:val="22"/>
          <w:lang w:eastAsia="en-US"/>
        </w:rPr>
      </w:pPr>
      <w:r>
        <w:rPr>
          <w:rFonts w:eastAsia="Times New Roman" w:cs="Arial"/>
          <w:szCs w:val="22"/>
          <w:lang w:eastAsia="en-US"/>
        </w:rPr>
        <w:t xml:space="preserve">The requirements for </w:t>
      </w:r>
      <w:r w:rsidR="00455EBF">
        <w:rPr>
          <w:rFonts w:eastAsia="Times New Roman" w:cs="Arial"/>
          <w:szCs w:val="22"/>
          <w:lang w:eastAsia="en-US"/>
        </w:rPr>
        <w:t>potential providers</w:t>
      </w:r>
      <w:r>
        <w:rPr>
          <w:rFonts w:eastAsia="Times New Roman" w:cs="Arial"/>
          <w:szCs w:val="22"/>
          <w:lang w:eastAsia="en-US"/>
        </w:rPr>
        <w:t xml:space="preserve"> in relation to this opportunity can be found at; </w:t>
      </w:r>
    </w:p>
    <w:p w14:paraId="20B14FD2" w14:textId="77777777" w:rsidR="00A57A3D" w:rsidRDefault="0054295A" w:rsidP="00A57A3D">
      <w:pPr>
        <w:pStyle w:val="Heading2"/>
        <w:numPr>
          <w:ilvl w:val="0"/>
          <w:numId w:val="0"/>
        </w:numPr>
        <w:spacing w:after="120"/>
        <w:ind w:left="709"/>
      </w:pPr>
      <w:hyperlink r:id="rId8" w:history="1">
        <w:r w:rsidR="00A57A3D">
          <w:rPr>
            <w:rStyle w:val="Hyperlink"/>
            <w:rFonts w:eastAsia="Times New Roman" w:cs="Arial"/>
            <w:color w:val="0B0B0B"/>
            <w:szCs w:val="22"/>
            <w:lang w:val="en-US" w:eastAsia="en-GB"/>
          </w:rPr>
          <w:tab/>
        </w:r>
        <w:r w:rsidR="00A57A3D">
          <w:rPr>
            <w:rStyle w:val="Hyperlink"/>
            <w:rFonts w:eastAsia="Times New Roman" w:cs="Arial"/>
            <w:szCs w:val="22"/>
            <w:lang w:val="en-US" w:eastAsia="en-GB"/>
          </w:rPr>
          <w:t>https://www.gov.uk/government/uploads/system/uploads/attachment_data/file/322442/diversity-and-equality-requirements-contractors.pdf</w:t>
        </w:r>
      </w:hyperlink>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1" w:name="_Toc468785312"/>
      <w:r>
        <w:rPr>
          <w:szCs w:val="22"/>
        </w:rPr>
        <w:t>Background to requirement/</w:t>
      </w:r>
      <w:r w:rsidRPr="002C546C">
        <w:rPr>
          <w:szCs w:val="22"/>
        </w:rPr>
        <w:t>OVERVIEW</w:t>
      </w:r>
      <w:bookmarkEnd w:id="6"/>
      <w:r>
        <w:rPr>
          <w:szCs w:val="22"/>
        </w:rPr>
        <w:t xml:space="preserve"> of requirement</w:t>
      </w:r>
      <w:bookmarkEnd w:id="10"/>
      <w:bookmarkEnd w:id="11"/>
    </w:p>
    <w:p w14:paraId="33709431" w14:textId="462980EE" w:rsidR="00A57A3D" w:rsidRDefault="00A57A3D" w:rsidP="00A57A3D">
      <w:pPr>
        <w:pStyle w:val="Heading2"/>
      </w:pPr>
      <w:bookmarkStart w:id="12" w:name="_Toc297554774"/>
      <w:bookmarkStart w:id="13" w:name="_Toc368573030"/>
      <w:bookmarkEnd w:id="7"/>
      <w:r>
        <w:t xml:space="preserve">In 1998, the then Department of Social Security (DSS) transferred the ownership and management of its estate (PRIME estate) over a 20 year operating period to a private sector company in a Private Finance Initiative deal. The creation of DWP in June 2001 brought together the PRIME estate and the former Employment Services estate (public sector). In December 2003, DWP transferred the former Employment Services estate to the private sector company under an expansion of the PRIME contract. During late 2003, DWP rolled out the Jobcentre plus programme (to make DWP facilities attended by the public more user-friendly). An important aspect of the </w:t>
      </w:r>
      <w:r w:rsidR="00B36DC9">
        <w:t>Job Centre Plus (</w:t>
      </w:r>
      <w:r>
        <w:t>JCP</w:t>
      </w:r>
      <w:r w:rsidR="00B36DC9">
        <w:t>)</w:t>
      </w:r>
      <w:r>
        <w:t xml:space="preserve"> programme was the introduction of CCOs. Since 2007/2008 (when the JCP programme concluded, a large number of CCOs were taken on. In 2009/2010 the JCP Red Programme (this was a large scale programme involving the expansion of the front of house capacity at JCP offices t</w:t>
      </w:r>
      <w:r w:rsidR="00E540F3">
        <w:t>o</w:t>
      </w:r>
      <w:r>
        <w:t xml:space="preserve"> allow for a sharp increase in the number of customers using the facilities) was under way. However, the increase in CCOs are not to be put down entirely to the aforementioned programmes, many CCOs have been added over time as a result of Security Risk Assessments.  In preparation for the exit of the EPC on the 31 March 2018, it has been identified that a programme of works associated with reviewing the application of recharges by the private sector company in relation to CCOs is essential for meeting the contractual obligations and meeting the contractual deadlines during the exit period and closure of the </w:t>
      </w:r>
      <w:r w:rsidR="00B36DC9">
        <w:t>C</w:t>
      </w:r>
      <w:r>
        <w:t>ontract. The estates team needs to fully understand the quantum of this exercise and strength of evidence in support of its exit negotiations.</w:t>
      </w:r>
    </w:p>
    <w:p w14:paraId="00F1DAE5" w14:textId="2380B02D" w:rsidR="00A57A3D" w:rsidRDefault="00A57A3D" w:rsidP="00A57A3D">
      <w:pPr>
        <w:pStyle w:val="Heading2"/>
      </w:pPr>
      <w:r>
        <w:t xml:space="preserve">The </w:t>
      </w:r>
      <w:r w:rsidR="00E17B35">
        <w:t>potential provider</w:t>
      </w:r>
      <w:r>
        <w:t xml:space="preserve"> for this project will need to work closely with civil servants</w:t>
      </w:r>
      <w:r w:rsidR="00455EBF">
        <w:t xml:space="preserve"> and other appointed providers</w:t>
      </w:r>
      <w:r>
        <w:t xml:space="preserve"> in analysing and presenting relevant themes. </w:t>
      </w:r>
    </w:p>
    <w:p w14:paraId="5967346B" w14:textId="57E66D70" w:rsidR="00A57A3D" w:rsidRPr="00495896" w:rsidRDefault="00E17B35" w:rsidP="00A57A3D">
      <w:pPr>
        <w:pStyle w:val="Heading2"/>
        <w:spacing w:after="120"/>
        <w:ind w:left="709" w:hanging="709"/>
      </w:pPr>
      <w:r>
        <w:t>Potential providers</w:t>
      </w:r>
      <w:r w:rsidR="00A57A3D" w:rsidRPr="00495896">
        <w:t xml:space="preserve"> with any interest in bidding as a sole </w:t>
      </w:r>
      <w:r w:rsidR="00455EBF">
        <w:t>supplier</w:t>
      </w:r>
      <w:r w:rsidR="00A57A3D" w:rsidRPr="00495896">
        <w:t xml:space="preserve"> or part of a consortium for the Department’s contracts for the new estates target operating model from 1 April 2018 need to be mindful that</w:t>
      </w:r>
      <w:r w:rsidR="00A57A3D">
        <w:t xml:space="preserve"> there</w:t>
      </w:r>
      <w:r w:rsidR="00A57A3D" w:rsidRPr="00495896">
        <w:t xml:space="preserve"> is no conflict of interest or suggested implication by the wider </w:t>
      </w:r>
      <w:r w:rsidR="00455EBF">
        <w:t>supplier</w:t>
      </w:r>
      <w:r w:rsidR="00A57A3D" w:rsidRPr="00495896">
        <w:t xml:space="preserve"> market of gaining a commercial advantage on considerably higher value procurements.</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4" w:name="_Toc468785313"/>
      <w:r>
        <w:rPr>
          <w:szCs w:val="22"/>
        </w:rPr>
        <w:t>definitions</w:t>
      </w:r>
      <w:bookmarkEnd w:id="14"/>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553CCD95" w14:textId="77777777" w:rsidTr="00A57A3D">
        <w:tc>
          <w:tcPr>
            <w:tcW w:w="1841" w:type="dxa"/>
            <w:shd w:val="clear" w:color="auto" w:fill="C6D9F1" w:themeFill="text2" w:themeFillTint="33"/>
          </w:tcPr>
          <w:p w14:paraId="2E04E555" w14:textId="1E410DA5" w:rsidR="00106F24" w:rsidRPr="00A57A3D" w:rsidRDefault="00106F24" w:rsidP="0081061A">
            <w:pPr>
              <w:pStyle w:val="Heading2"/>
              <w:numPr>
                <w:ilvl w:val="0"/>
                <w:numId w:val="0"/>
              </w:numPr>
              <w:spacing w:after="120"/>
              <w:ind w:left="18" w:hanging="18"/>
              <w:jc w:val="left"/>
              <w:outlineLvl w:val="1"/>
            </w:pPr>
            <w:r w:rsidRPr="00A57A3D">
              <w:t>Expression</w:t>
            </w:r>
            <w:r w:rsidR="0081061A" w:rsidRPr="00A57A3D">
              <w:t xml:space="preserve"> or </w:t>
            </w:r>
            <w:r w:rsidRPr="00A57A3D">
              <w:t>Acronym</w:t>
            </w:r>
          </w:p>
        </w:tc>
        <w:tc>
          <w:tcPr>
            <w:tcW w:w="6458" w:type="dxa"/>
            <w:shd w:val="clear" w:color="auto" w:fill="C6D9F1" w:themeFill="text2" w:themeFillTint="33"/>
          </w:tcPr>
          <w:p w14:paraId="0CDEAA6D" w14:textId="00739683" w:rsidR="00106F24" w:rsidRPr="00A57A3D" w:rsidRDefault="00106F24" w:rsidP="0081061A">
            <w:pPr>
              <w:pStyle w:val="Heading2"/>
              <w:numPr>
                <w:ilvl w:val="0"/>
                <w:numId w:val="0"/>
              </w:numPr>
              <w:spacing w:after="120"/>
              <w:ind w:left="720" w:hanging="720"/>
              <w:outlineLvl w:val="1"/>
            </w:pPr>
            <w:r w:rsidRPr="00A57A3D">
              <w:t>Definition</w:t>
            </w:r>
          </w:p>
        </w:tc>
      </w:tr>
      <w:tr w:rsidR="00A57A3D" w14:paraId="722819D3" w14:textId="77777777" w:rsidTr="00A57A3D">
        <w:tc>
          <w:tcPr>
            <w:tcW w:w="1841" w:type="dxa"/>
          </w:tcPr>
          <w:p w14:paraId="18A7B53F" w14:textId="3F6492DA" w:rsidR="00A57A3D" w:rsidRPr="0081061A" w:rsidRDefault="00A57A3D" w:rsidP="00A57A3D">
            <w:pPr>
              <w:pStyle w:val="Heading2"/>
              <w:numPr>
                <w:ilvl w:val="0"/>
                <w:numId w:val="0"/>
              </w:numPr>
              <w:spacing w:after="120"/>
              <w:ind w:left="720" w:hanging="720"/>
              <w:outlineLvl w:val="1"/>
              <w:rPr>
                <w:highlight w:val="yellow"/>
              </w:rPr>
            </w:pPr>
            <w:r w:rsidRPr="00C003AA">
              <w:t>CCOs</w:t>
            </w:r>
          </w:p>
        </w:tc>
        <w:tc>
          <w:tcPr>
            <w:tcW w:w="6458" w:type="dxa"/>
          </w:tcPr>
          <w:p w14:paraId="74E0E117" w14:textId="7886A57C" w:rsidR="00A57A3D" w:rsidRPr="0081061A" w:rsidRDefault="00A57A3D" w:rsidP="00A57A3D">
            <w:pPr>
              <w:pStyle w:val="Heading2"/>
              <w:numPr>
                <w:ilvl w:val="0"/>
                <w:numId w:val="0"/>
              </w:numPr>
              <w:spacing w:after="120"/>
              <w:outlineLvl w:val="1"/>
              <w:rPr>
                <w:highlight w:val="yellow"/>
              </w:rPr>
            </w:pPr>
            <w:r>
              <w:t>means Customer Care Officer’s, the departments front of house security guard</w:t>
            </w:r>
          </w:p>
        </w:tc>
      </w:tr>
      <w:tr w:rsidR="00A57A3D" w14:paraId="0ED1505B" w14:textId="77777777" w:rsidTr="00A57A3D">
        <w:tc>
          <w:tcPr>
            <w:tcW w:w="1841" w:type="dxa"/>
          </w:tcPr>
          <w:p w14:paraId="0773B834" w14:textId="4032BB54" w:rsidR="00A57A3D" w:rsidRPr="0081061A" w:rsidRDefault="00A57A3D" w:rsidP="00A57A3D">
            <w:pPr>
              <w:pStyle w:val="Heading2"/>
              <w:numPr>
                <w:ilvl w:val="0"/>
                <w:numId w:val="0"/>
              </w:numPr>
              <w:spacing w:after="120"/>
              <w:ind w:left="720" w:hanging="720"/>
              <w:outlineLvl w:val="1"/>
              <w:rPr>
                <w:highlight w:val="yellow"/>
              </w:rPr>
            </w:pPr>
            <w:r>
              <w:t>DRP</w:t>
            </w:r>
          </w:p>
        </w:tc>
        <w:tc>
          <w:tcPr>
            <w:tcW w:w="6458" w:type="dxa"/>
          </w:tcPr>
          <w:p w14:paraId="7D6E62CD" w14:textId="1002C790" w:rsidR="00A57A3D" w:rsidRPr="0081061A" w:rsidRDefault="00A57A3D" w:rsidP="00A57A3D">
            <w:pPr>
              <w:pStyle w:val="Heading2"/>
              <w:numPr>
                <w:ilvl w:val="0"/>
                <w:numId w:val="0"/>
              </w:numPr>
              <w:spacing w:after="120"/>
              <w:ind w:left="720" w:hanging="720"/>
              <w:outlineLvl w:val="1"/>
              <w:rPr>
                <w:highlight w:val="yellow"/>
              </w:rPr>
            </w:pPr>
            <w:r>
              <w:t>means Dispute Resolution Procedure</w:t>
            </w:r>
          </w:p>
        </w:tc>
      </w:tr>
      <w:tr w:rsidR="00A57A3D" w14:paraId="03344AB3" w14:textId="77777777" w:rsidTr="00A57A3D">
        <w:tc>
          <w:tcPr>
            <w:tcW w:w="1841" w:type="dxa"/>
          </w:tcPr>
          <w:p w14:paraId="0F046C88" w14:textId="15A21453" w:rsidR="00A57A3D" w:rsidRPr="0081061A" w:rsidRDefault="00A57A3D" w:rsidP="00A57A3D">
            <w:pPr>
              <w:pStyle w:val="Heading2"/>
              <w:numPr>
                <w:ilvl w:val="0"/>
                <w:numId w:val="0"/>
              </w:numPr>
              <w:spacing w:after="120"/>
              <w:ind w:left="720" w:hanging="720"/>
              <w:outlineLvl w:val="1"/>
              <w:rPr>
                <w:highlight w:val="yellow"/>
              </w:rPr>
            </w:pPr>
            <w:r w:rsidRPr="00C003AA">
              <w:t xml:space="preserve">DWP </w:t>
            </w:r>
          </w:p>
        </w:tc>
        <w:tc>
          <w:tcPr>
            <w:tcW w:w="6458" w:type="dxa"/>
          </w:tcPr>
          <w:p w14:paraId="37C45D19" w14:textId="7AE3F55F" w:rsidR="00A57A3D" w:rsidRPr="0081061A" w:rsidRDefault="00A57A3D" w:rsidP="00A57A3D">
            <w:pPr>
              <w:pStyle w:val="Heading2"/>
              <w:numPr>
                <w:ilvl w:val="0"/>
                <w:numId w:val="0"/>
              </w:numPr>
              <w:spacing w:after="120"/>
              <w:outlineLvl w:val="1"/>
              <w:rPr>
                <w:highlight w:val="yellow"/>
              </w:rPr>
            </w:pPr>
            <w:r>
              <w:t>means The Department for Work &amp; Pensions, the contracting authority</w:t>
            </w:r>
          </w:p>
        </w:tc>
      </w:tr>
      <w:tr w:rsidR="00A57A3D" w14:paraId="10D75EC3" w14:textId="77777777" w:rsidTr="00A57A3D">
        <w:tc>
          <w:tcPr>
            <w:tcW w:w="1841" w:type="dxa"/>
          </w:tcPr>
          <w:p w14:paraId="5E7E5C5D" w14:textId="6B656ECA" w:rsidR="00A57A3D" w:rsidRPr="0081061A" w:rsidRDefault="00A57A3D" w:rsidP="00A57A3D">
            <w:pPr>
              <w:pStyle w:val="Heading2"/>
              <w:numPr>
                <w:ilvl w:val="0"/>
                <w:numId w:val="0"/>
              </w:numPr>
              <w:spacing w:after="120"/>
              <w:ind w:left="720" w:hanging="720"/>
              <w:outlineLvl w:val="1"/>
              <w:rPr>
                <w:highlight w:val="yellow"/>
              </w:rPr>
            </w:pPr>
            <w:r w:rsidRPr="00495896">
              <w:t>EPC</w:t>
            </w:r>
          </w:p>
        </w:tc>
        <w:tc>
          <w:tcPr>
            <w:tcW w:w="6458" w:type="dxa"/>
          </w:tcPr>
          <w:p w14:paraId="30AA504D" w14:textId="25677F60" w:rsidR="00A57A3D" w:rsidRDefault="00A57A3D" w:rsidP="00A57A3D">
            <w:pPr>
              <w:pStyle w:val="Heading2"/>
              <w:numPr>
                <w:ilvl w:val="0"/>
                <w:numId w:val="0"/>
              </w:numPr>
              <w:spacing w:after="120"/>
              <w:outlineLvl w:val="1"/>
            </w:pPr>
            <w:r>
              <w:t>means Expanded Prime Contract</w:t>
            </w:r>
          </w:p>
        </w:tc>
      </w:tr>
      <w:tr w:rsidR="00A57A3D" w14:paraId="3CFF7BDC" w14:textId="77777777" w:rsidTr="00A57A3D">
        <w:tc>
          <w:tcPr>
            <w:tcW w:w="1841" w:type="dxa"/>
          </w:tcPr>
          <w:p w14:paraId="1288F5B0" w14:textId="2C4922CC" w:rsidR="00A57A3D" w:rsidRPr="0081061A" w:rsidRDefault="00A57A3D" w:rsidP="00A57A3D">
            <w:pPr>
              <w:pStyle w:val="Heading2"/>
              <w:numPr>
                <w:ilvl w:val="0"/>
                <w:numId w:val="0"/>
              </w:numPr>
              <w:spacing w:after="120"/>
              <w:ind w:left="720" w:hanging="720"/>
              <w:outlineLvl w:val="1"/>
              <w:rPr>
                <w:highlight w:val="yellow"/>
              </w:rPr>
            </w:pPr>
            <w:r>
              <w:t>JCP</w:t>
            </w:r>
          </w:p>
        </w:tc>
        <w:tc>
          <w:tcPr>
            <w:tcW w:w="6458" w:type="dxa"/>
          </w:tcPr>
          <w:p w14:paraId="2B4624D3" w14:textId="04A1FC2F" w:rsidR="00A57A3D" w:rsidRDefault="00A57A3D" w:rsidP="00A57A3D">
            <w:pPr>
              <w:pStyle w:val="Heading2"/>
              <w:numPr>
                <w:ilvl w:val="0"/>
                <w:numId w:val="0"/>
              </w:numPr>
              <w:spacing w:after="120"/>
              <w:outlineLvl w:val="1"/>
            </w:pPr>
            <w:r>
              <w:t>means Job Centre Plus</w:t>
            </w:r>
          </w:p>
        </w:tc>
      </w:tr>
      <w:tr w:rsidR="00A57A3D" w14:paraId="3413886D" w14:textId="77777777" w:rsidTr="00A57A3D">
        <w:tc>
          <w:tcPr>
            <w:tcW w:w="1841" w:type="dxa"/>
          </w:tcPr>
          <w:p w14:paraId="0499DD0D" w14:textId="097F1992" w:rsidR="00A57A3D" w:rsidRPr="0081061A" w:rsidRDefault="00A57A3D" w:rsidP="00A57A3D">
            <w:pPr>
              <w:pStyle w:val="Heading2"/>
              <w:numPr>
                <w:ilvl w:val="0"/>
                <w:numId w:val="0"/>
              </w:numPr>
              <w:spacing w:after="120"/>
              <w:ind w:left="720" w:hanging="720"/>
              <w:outlineLvl w:val="1"/>
              <w:rPr>
                <w:highlight w:val="yellow"/>
              </w:rPr>
            </w:pPr>
            <w:r>
              <w:t>SCEs</w:t>
            </w:r>
          </w:p>
        </w:tc>
        <w:tc>
          <w:tcPr>
            <w:tcW w:w="6458" w:type="dxa"/>
          </w:tcPr>
          <w:p w14:paraId="1DC1EFA6" w14:textId="204397CC" w:rsidR="00A57A3D" w:rsidRDefault="00A57A3D" w:rsidP="00A57A3D">
            <w:pPr>
              <w:pStyle w:val="Heading2"/>
              <w:numPr>
                <w:ilvl w:val="0"/>
                <w:numId w:val="0"/>
              </w:numPr>
              <w:spacing w:after="120"/>
              <w:outlineLvl w:val="1"/>
            </w:pPr>
            <w:r>
              <w:t>means Service Change Enquiries</w:t>
            </w:r>
          </w:p>
        </w:tc>
      </w:tr>
      <w:tr w:rsidR="00A57A3D" w14:paraId="4EA528EF" w14:textId="77777777" w:rsidTr="00A57A3D">
        <w:tc>
          <w:tcPr>
            <w:tcW w:w="1841" w:type="dxa"/>
          </w:tcPr>
          <w:p w14:paraId="628B28B2" w14:textId="0A2FDB65" w:rsidR="00A57A3D" w:rsidRPr="0081061A" w:rsidRDefault="00A57A3D" w:rsidP="00A57A3D">
            <w:pPr>
              <w:pStyle w:val="Heading2"/>
              <w:numPr>
                <w:ilvl w:val="0"/>
                <w:numId w:val="0"/>
              </w:numPr>
              <w:spacing w:after="120"/>
              <w:ind w:left="720" w:hanging="720"/>
              <w:outlineLvl w:val="1"/>
              <w:rPr>
                <w:highlight w:val="yellow"/>
              </w:rPr>
            </w:pPr>
            <w:r>
              <w:t>SRAs</w:t>
            </w:r>
          </w:p>
        </w:tc>
        <w:tc>
          <w:tcPr>
            <w:tcW w:w="6458" w:type="dxa"/>
          </w:tcPr>
          <w:p w14:paraId="0FA52C67" w14:textId="4F5A55FA" w:rsidR="00A57A3D" w:rsidRDefault="00A57A3D" w:rsidP="00A57A3D">
            <w:pPr>
              <w:pStyle w:val="Heading2"/>
              <w:numPr>
                <w:ilvl w:val="0"/>
                <w:numId w:val="0"/>
              </w:numPr>
              <w:spacing w:after="120"/>
              <w:outlineLvl w:val="1"/>
            </w:pPr>
            <w:r>
              <w:t>means Security Risk Assessments</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5" w:name="_Toc468785314"/>
      <w:r w:rsidRPr="00B9425F">
        <w:rPr>
          <w:szCs w:val="22"/>
        </w:rPr>
        <w:t>scope of requirement</w:t>
      </w:r>
      <w:bookmarkEnd w:id="12"/>
      <w:bookmarkEnd w:id="13"/>
      <w:bookmarkEnd w:id="15"/>
      <w:r w:rsidRPr="00B9425F">
        <w:rPr>
          <w:szCs w:val="22"/>
        </w:rPr>
        <w:t xml:space="preserve"> </w:t>
      </w:r>
    </w:p>
    <w:p w14:paraId="247F8FD3" w14:textId="4CBD6892" w:rsidR="00656651" w:rsidRPr="00656651" w:rsidRDefault="00656651" w:rsidP="00656651">
      <w:pPr>
        <w:pStyle w:val="Heading2"/>
        <w:numPr>
          <w:ilvl w:val="0"/>
          <w:numId w:val="0"/>
        </w:numPr>
        <w:ind w:left="720"/>
        <w:rPr>
          <w:u w:val="single"/>
        </w:rPr>
      </w:pPr>
      <w:bookmarkStart w:id="16" w:name="_Toc368573031"/>
      <w:bookmarkEnd w:id="8"/>
      <w:r w:rsidRPr="00656651">
        <w:rPr>
          <w:u w:val="single"/>
        </w:rPr>
        <w:t>Introduction</w:t>
      </w:r>
    </w:p>
    <w:p w14:paraId="23F7768D" w14:textId="7FCD96A5" w:rsidR="00A57A3D" w:rsidRDefault="00E17B35" w:rsidP="00A57A3D">
      <w:pPr>
        <w:pStyle w:val="Heading2"/>
      </w:pPr>
      <w:r>
        <w:t>Potential providers</w:t>
      </w:r>
      <w:r w:rsidR="00A57A3D">
        <w:t xml:space="preserve"> are requested to provide an expert</w:t>
      </w:r>
      <w:r w:rsidR="00A57A3D" w:rsidRPr="00AC23BD">
        <w:t xml:space="preserve"> report </w:t>
      </w:r>
      <w:r w:rsidR="00A57A3D">
        <w:t>which</w:t>
      </w:r>
      <w:r w:rsidR="00A57A3D" w:rsidRPr="00AC23BD">
        <w:t xml:space="preserve"> considers and </w:t>
      </w:r>
      <w:r w:rsidR="00A57A3D">
        <w:t xml:space="preserve">assesses the potential </w:t>
      </w:r>
      <w:r w:rsidR="00A57A3D" w:rsidRPr="00AC23BD">
        <w:t>value</w:t>
      </w:r>
      <w:r w:rsidR="00A57A3D">
        <w:t xml:space="preserve"> of</w:t>
      </w:r>
      <w:r w:rsidR="00A57A3D" w:rsidRPr="00AC23BD">
        <w:t xml:space="preserve"> the overcharging in resp</w:t>
      </w:r>
      <w:r w:rsidR="00A57A3D">
        <w:t xml:space="preserve">ect of </w:t>
      </w:r>
      <w:r w:rsidR="00A57A3D" w:rsidRPr="00C3278C">
        <w:t>CCOs</w:t>
      </w:r>
      <w:r w:rsidR="00A57A3D">
        <w:t xml:space="preserve"> under the EPC</w:t>
      </w:r>
      <w:r w:rsidR="00A57A3D" w:rsidRPr="00AC23BD">
        <w:t xml:space="preserve">.   </w:t>
      </w:r>
      <w:r w:rsidR="00A57A3D">
        <w:t>The expert report should be produced in such a form that DWP can rely upon this in the DRP contained in Schedule 20 of the contract.</w:t>
      </w:r>
    </w:p>
    <w:p w14:paraId="75B50A4D" w14:textId="7B7D5529" w:rsidR="00A57A3D" w:rsidRDefault="00E17B35" w:rsidP="00A57A3D">
      <w:pPr>
        <w:pStyle w:val="Heading2"/>
      </w:pPr>
      <w:r>
        <w:t>The specific question potential providers</w:t>
      </w:r>
      <w:r w:rsidR="00A57A3D">
        <w:t xml:space="preserve"> are asked to answer (</w:t>
      </w:r>
      <w:r w:rsidR="00A57A3D" w:rsidRPr="00A57A3D">
        <w:t xml:space="preserve">the </w:t>
      </w:r>
      <w:r w:rsidR="00A57A3D" w:rsidRPr="000132EF">
        <w:t>Question</w:t>
      </w:r>
      <w:r w:rsidR="00A57A3D">
        <w:t xml:space="preserve">) </w:t>
      </w:r>
      <w:r w:rsidR="00A57A3D" w:rsidRPr="000132EF">
        <w:t>is</w:t>
      </w:r>
      <w:r w:rsidR="00A57A3D">
        <w:t xml:space="preserve">: </w:t>
      </w:r>
    </w:p>
    <w:p w14:paraId="1D2F3811" w14:textId="77777777" w:rsidR="00A57A3D" w:rsidRPr="002A304E" w:rsidRDefault="00A57A3D" w:rsidP="00010752">
      <w:pPr>
        <w:pStyle w:val="Heading3"/>
      </w:pPr>
      <w:r>
        <w:t xml:space="preserve">Assuming that all cost adjustments relating to changes in CCO numbers at Job Centre Plus (JCP) facilities arising from recommendations made in Security Risk Assessments (SRAs) (as contemplated by the Generic Method Statement) are not for the account of DWP (i.e. cost neutral to DWP), is DWP paying more than the EPC requires in respect of CCOs and, if so (if the amount paid by DWP for CCOs is not otherwise reduced) by how much will DWP have overpaid between 1 July 2010 and 31 March 2018? </w:t>
      </w:r>
    </w:p>
    <w:p w14:paraId="4571256E" w14:textId="77777777" w:rsidR="00A57A3D" w:rsidRPr="00A57A3D" w:rsidRDefault="00A57A3D" w:rsidP="00A57A3D">
      <w:pPr>
        <w:pStyle w:val="Heading2"/>
      </w:pPr>
      <w:r>
        <w:t xml:space="preserve">In these instructions the amount, if any, identified in answer to the Question is referred to as </w:t>
      </w:r>
      <w:r w:rsidRPr="00A57A3D">
        <w:rPr>
          <w:b/>
        </w:rPr>
        <w:t>the Overcharge Amount.</w:t>
      </w:r>
    </w:p>
    <w:p w14:paraId="77C0E1D7" w14:textId="77777777" w:rsidR="00A57A3D" w:rsidRPr="00656651" w:rsidRDefault="00A57A3D" w:rsidP="00656651">
      <w:pPr>
        <w:ind w:firstLine="720"/>
        <w:rPr>
          <w:u w:val="single"/>
        </w:rPr>
      </w:pPr>
      <w:r w:rsidRPr="00656651">
        <w:rPr>
          <w:u w:val="single"/>
        </w:rPr>
        <w:t>Background</w:t>
      </w:r>
    </w:p>
    <w:p w14:paraId="606589CA" w14:textId="77777777" w:rsidR="00A57A3D" w:rsidRPr="00561AC7" w:rsidRDefault="00A57A3D" w:rsidP="00A57A3D">
      <w:pPr>
        <w:rPr>
          <w:b/>
          <w:u w:val="single"/>
        </w:rPr>
      </w:pPr>
    </w:p>
    <w:p w14:paraId="3DA4F708" w14:textId="77777777" w:rsidR="00A57A3D" w:rsidRDefault="00A57A3D" w:rsidP="00A57A3D">
      <w:pPr>
        <w:pStyle w:val="Heading2"/>
      </w:pPr>
      <w:r w:rsidRPr="00AC23BD">
        <w:t>CCOs are one type of security officer provided to DWP under</w:t>
      </w:r>
      <w:r>
        <w:t xml:space="preserve"> the EPC</w:t>
      </w:r>
      <w:r w:rsidRPr="00AC23BD">
        <w:t xml:space="preserve">. </w:t>
      </w:r>
      <w:r>
        <w:t xml:space="preserve">The private sector company providing the services interprets under the contract that DWP bears volume risk for CCOs in all instances under the contract in the sense that DWP’s payment obligation increases and decreases commensurately with the number of CCOs and the number of CCO hours worked, irrespective of the reason for the increase or decrease in CCOs or CCO hours. </w:t>
      </w:r>
    </w:p>
    <w:p w14:paraId="7EBEBE20" w14:textId="77777777" w:rsidR="00A57A3D" w:rsidRPr="000E7015" w:rsidRDefault="00A57A3D" w:rsidP="00A57A3D">
      <w:pPr>
        <w:pStyle w:val="Heading2"/>
      </w:pPr>
      <w:r w:rsidRPr="000E7015">
        <w:t>DWP</w:t>
      </w:r>
      <w:r>
        <w:t xml:space="preserve"> believes</w:t>
      </w:r>
      <w:r w:rsidRPr="000E7015">
        <w:t xml:space="preserve"> that it does not bear volume risk for CCOs in all instances. As a result DWP’s payment obligation should not increase</w:t>
      </w:r>
      <w:r>
        <w:t>/decrease</w:t>
      </w:r>
      <w:r w:rsidRPr="000E7015">
        <w:t xml:space="preserve"> commensurately with all increases in CCO numbers or hours. </w:t>
      </w:r>
    </w:p>
    <w:p w14:paraId="2B2516E7" w14:textId="77777777" w:rsidR="00A57A3D" w:rsidRDefault="00A57A3D" w:rsidP="00A57A3D">
      <w:pPr>
        <w:pStyle w:val="Heading2"/>
      </w:pPr>
      <w:r>
        <w:t xml:space="preserve">DWP has for some time been operating on a mistaken understanding of the contract, in particular that it had all volume risk for CCOs. This issue had been raised on a number of occasions and on 23 November 2015 DWP sent a letter which again explained this mistaken understanding and again set out the correct interpretation of the contract provisions in so far as they relate to charging for CCOs. </w:t>
      </w:r>
    </w:p>
    <w:p w14:paraId="32D5E07E" w14:textId="56E126BB" w:rsidR="00A57A3D" w:rsidRDefault="00A57A3D" w:rsidP="003C26EF">
      <w:pPr>
        <w:pStyle w:val="Heading2"/>
      </w:pPr>
      <w:r>
        <w:t xml:space="preserve">For </w:t>
      </w:r>
      <w:r w:rsidR="00E17B35">
        <w:t>the purposes of this report, potential providers</w:t>
      </w:r>
      <w:r>
        <w:t xml:space="preserve"> are asked to assume that DWP’s interpretation of the contract, as set out in that letter and in these instructions, is correct. </w:t>
      </w:r>
    </w:p>
    <w:p w14:paraId="1C6C5FB1" w14:textId="77777777" w:rsidR="00A57A3D" w:rsidRDefault="00A57A3D" w:rsidP="00A57A3D">
      <w:pPr>
        <w:pStyle w:val="Heading2"/>
      </w:pPr>
      <w:r>
        <w:t>Specifically, u</w:t>
      </w:r>
      <w:r w:rsidRPr="00713A05">
        <w:t xml:space="preserve">nder the terms of the </w:t>
      </w:r>
      <w:r>
        <w:t>EPC</w:t>
      </w:r>
      <w:r w:rsidRPr="00713A05">
        <w:t>, where a change in CCO hours or numbers ha</w:t>
      </w:r>
      <w:r>
        <w:t>ve</w:t>
      </w:r>
      <w:r w:rsidRPr="00713A05">
        <w:t xml:space="preserve"> been driven by security</w:t>
      </w:r>
      <w:r>
        <w:t xml:space="preserve"> concerns and directed by a SRA</w:t>
      </w:r>
      <w:r w:rsidRPr="00713A05">
        <w:t xml:space="preserve"> within Paragraph 13</w:t>
      </w:r>
      <w:r>
        <w:t>.3</w:t>
      </w:r>
      <w:r w:rsidRPr="00713A05">
        <w:t xml:space="preserve"> of Part 4 to Schedule 8 of the </w:t>
      </w:r>
      <w:r>
        <w:t>contract (</w:t>
      </w:r>
      <w:r w:rsidRPr="00A57A3D">
        <w:t>the Generic Method Statement</w:t>
      </w:r>
      <w:r>
        <w:t xml:space="preserve">), </w:t>
      </w:r>
      <w:r w:rsidRPr="00713A05">
        <w:t>DWP does</w:t>
      </w:r>
      <w:r>
        <w:t xml:space="preserve"> not bear volume risk for CCOs in that case and should not have been charged. It appears that the private sector company has treated these as changes within Part 5 of Schedule 10 of the contract and charged DWP more for these additional hours and CCOs in these cases. DWP’s case is that this was incorrectly done and that if this is not rectified it will result in an overcharge to DWP going forwards.</w:t>
      </w:r>
    </w:p>
    <w:p w14:paraId="00FCDA3E" w14:textId="06320F17" w:rsidR="00A57A3D" w:rsidRPr="00580EDC" w:rsidRDefault="00A57A3D" w:rsidP="00A57A3D">
      <w:pPr>
        <w:pStyle w:val="Heading2"/>
      </w:pPr>
      <w:r>
        <w:t xml:space="preserve">DWP requires a </w:t>
      </w:r>
      <w:r w:rsidR="00E17B35">
        <w:t>potential provider</w:t>
      </w:r>
      <w:r>
        <w:t xml:space="preserve"> to quantify the extent of its on-going overpayments that would result from continuing to apply these historic changes to CCOs until the end of the contract on 31 March 2018 (</w:t>
      </w:r>
      <w:r w:rsidRPr="0077117B">
        <w:t>the Overcharge Amount</w:t>
      </w:r>
      <w:r>
        <w:t>).</w:t>
      </w:r>
    </w:p>
    <w:p w14:paraId="4EE1058D" w14:textId="77777777" w:rsidR="00A57A3D" w:rsidRDefault="00A57A3D" w:rsidP="00A57A3D">
      <w:pPr>
        <w:pStyle w:val="Heading2"/>
      </w:pPr>
      <w:r>
        <w:t xml:space="preserve">DWP accepts that it </w:t>
      </w:r>
      <w:r w:rsidRPr="00A57A3D">
        <w:t>does</w:t>
      </w:r>
      <w:r>
        <w:t xml:space="preserve"> bear volume risk for CCOs to the extent that their numbers or hours were increased: </w:t>
      </w:r>
    </w:p>
    <w:p w14:paraId="4EF8719A" w14:textId="77777777" w:rsidR="00A57A3D" w:rsidRPr="0077117B" w:rsidRDefault="00A57A3D" w:rsidP="0035531F">
      <w:pPr>
        <w:pStyle w:val="Caption"/>
        <w:numPr>
          <w:ilvl w:val="0"/>
          <w:numId w:val="34"/>
        </w:numPr>
        <w:ind w:left="1134" w:hanging="425"/>
        <w:jc w:val="both"/>
      </w:pPr>
      <w:r w:rsidRPr="00940B73">
        <w:t>as part of the J</w:t>
      </w:r>
      <w:r>
        <w:t xml:space="preserve">CP </w:t>
      </w:r>
      <w:r w:rsidRPr="00940B73">
        <w:t>roll out</w:t>
      </w:r>
      <w:r>
        <w:t xml:space="preserve"> in accordance with the agreed calculation methodology set out in Part 11 of Schedule 10 to the contract</w:t>
      </w:r>
      <w:r w:rsidRPr="0077117B">
        <w:t>; and</w:t>
      </w:r>
    </w:p>
    <w:p w14:paraId="2C2AF4CB" w14:textId="77777777" w:rsidR="00A57A3D" w:rsidRDefault="00A57A3D" w:rsidP="0035531F">
      <w:pPr>
        <w:pStyle w:val="Caption"/>
        <w:numPr>
          <w:ilvl w:val="0"/>
          <w:numId w:val="34"/>
        </w:numPr>
        <w:ind w:left="1134" w:hanging="425"/>
        <w:jc w:val="both"/>
      </w:pPr>
      <w:r w:rsidRPr="00940B73">
        <w:t>as part of the</w:t>
      </w:r>
      <w:r>
        <w:t xml:space="preserve"> roll out of</w:t>
      </w:r>
      <w:r w:rsidRPr="00940B73">
        <w:t xml:space="preserve"> J</w:t>
      </w:r>
      <w:r>
        <w:t>CP</w:t>
      </w:r>
      <w:r w:rsidRPr="00940B73">
        <w:t xml:space="preserve"> R</w:t>
      </w:r>
      <w:r>
        <w:t>esponse to the Economic Downturn (JCP RED)</w:t>
      </w:r>
      <w:r w:rsidRPr="00940B73">
        <w:t xml:space="preserve"> Programme; and </w:t>
      </w:r>
    </w:p>
    <w:p w14:paraId="06FDCD0B" w14:textId="77777777" w:rsidR="00A57A3D" w:rsidRDefault="00A57A3D" w:rsidP="0035531F">
      <w:pPr>
        <w:pStyle w:val="Caption"/>
        <w:numPr>
          <w:ilvl w:val="0"/>
          <w:numId w:val="34"/>
        </w:numPr>
        <w:ind w:left="1134" w:hanging="425"/>
        <w:jc w:val="both"/>
      </w:pPr>
      <w:r w:rsidRPr="00940B73">
        <w:t xml:space="preserve">where there was a request </w:t>
      </w:r>
      <w:r>
        <w:t xml:space="preserve">by DWP </w:t>
      </w:r>
      <w:r w:rsidRPr="00940B73">
        <w:t>for a Change in Public Opening Hours at a Facility</w:t>
      </w:r>
      <w:r>
        <w:t xml:space="preserve"> (as defined in the contract);</w:t>
      </w:r>
      <w:r w:rsidRPr="00940B73">
        <w:t xml:space="preserve"> and </w:t>
      </w:r>
    </w:p>
    <w:p w14:paraId="51AFC270" w14:textId="77777777" w:rsidR="00A57A3D" w:rsidRDefault="00A57A3D" w:rsidP="0035531F">
      <w:pPr>
        <w:pStyle w:val="Caption"/>
        <w:numPr>
          <w:ilvl w:val="0"/>
          <w:numId w:val="34"/>
        </w:numPr>
        <w:ind w:left="1134" w:hanging="425"/>
        <w:jc w:val="both"/>
      </w:pPr>
      <w:r w:rsidRPr="00940B73">
        <w:t xml:space="preserve">where the SRA recommended a set number of CCOs and DWP required CCOs or hours </w:t>
      </w:r>
      <w:r w:rsidRPr="00FE7470">
        <w:rPr>
          <w:u w:val="single"/>
        </w:rPr>
        <w:t>in excess</w:t>
      </w:r>
      <w:r w:rsidRPr="00940B73">
        <w:t xml:space="preserve"> of that recommendation. </w:t>
      </w:r>
    </w:p>
    <w:p w14:paraId="5EC3194E" w14:textId="77777777" w:rsidR="00A57A3D" w:rsidRDefault="00A57A3D" w:rsidP="00A57A3D">
      <w:pPr>
        <w:pStyle w:val="Caption"/>
      </w:pPr>
    </w:p>
    <w:p w14:paraId="7DAE9E46" w14:textId="77777777" w:rsidR="00A57A3D" w:rsidRPr="00940B73" w:rsidRDefault="00A57A3D" w:rsidP="00584922">
      <w:pPr>
        <w:pStyle w:val="Heading2"/>
      </w:pPr>
      <w:r>
        <w:t xml:space="preserve">DWP was required to pay more when CCO hours or numbers were increased for any one of these reasons. </w:t>
      </w:r>
      <w:r w:rsidRPr="00940B73">
        <w:t xml:space="preserve">The additional charges in respect of CCOs which fall within these categories should therefore be </w:t>
      </w:r>
      <w:r>
        <w:t>excluded</w:t>
      </w:r>
      <w:r w:rsidRPr="00940B73">
        <w:t xml:space="preserve"> from the sum </w:t>
      </w:r>
      <w:r>
        <w:t>calculated as the Overcharge A</w:t>
      </w:r>
      <w:r w:rsidRPr="00940B73">
        <w:t xml:space="preserve">mount. </w:t>
      </w:r>
    </w:p>
    <w:p w14:paraId="67B9C9AA" w14:textId="77777777" w:rsidR="00A57A3D" w:rsidRDefault="00A57A3D" w:rsidP="00584922">
      <w:pPr>
        <w:pStyle w:val="Heading2"/>
      </w:pPr>
      <w:r>
        <w:t xml:space="preserve">However, where the CCO numbers or hours have been increased because a SRA was carried out and this recommended an additional CCO or hours then DWP should not continue to pay in respect of these additional CCOs (or the additional hours worked by these CCOs as the case may be). Similarly, if any SRAs recommended a reduction in CCO hours or numbers and DWP has received a reduced quarterly invoice in respect of CCOs because of this, then it should not have received such a deduction in its payment obligation. If DWP has had the benefit of any such deductions these must also be quantified and deducted from the Overcharge Amount. </w:t>
      </w:r>
    </w:p>
    <w:p w14:paraId="3F1218CA" w14:textId="092F26B6" w:rsidR="00A57A3D" w:rsidRDefault="00E17B35" w:rsidP="00584922">
      <w:pPr>
        <w:pStyle w:val="Heading2"/>
      </w:pPr>
      <w:r>
        <w:t>Potential providers</w:t>
      </w:r>
      <w:r w:rsidR="00A57A3D">
        <w:t xml:space="preserve"> should also be aware that because DWP was operating on a mistaken understanding of the contract, this may have impacted upon the methodology by which additional CCOs or CCO hours have been requested under it. It is requested that </w:t>
      </w:r>
      <w:r>
        <w:t>potential providers</w:t>
      </w:r>
      <w:r w:rsidR="00A57A3D">
        <w:t xml:space="preserve"> should ignore the fact that changes in CCO hours have been requested as Service Change Enquiries (SCEs) which, on their face, are stated to fall within section 7 of Part 5 of Schedule 10 of the contract. The form of the request is not determinative, what matters is the substance of it. If such SCEs were in substance driven by a SRA recommending additional CCO numbers or hours rather than DWP requesting a Change in Hours (whether Normal Working Hours or Public Opening Hours) at a Facility, then any additional amounts charged to DWP as a result of the change should be included within the Overcharge Amount. </w:t>
      </w:r>
    </w:p>
    <w:p w14:paraId="3491B80B" w14:textId="77777777" w:rsidR="00671798" w:rsidRDefault="00FE18AC">
      <w:pPr>
        <w:pStyle w:val="Heading1"/>
        <w:spacing w:after="120"/>
      </w:pPr>
      <w:bookmarkStart w:id="17" w:name="_Toc468785315"/>
      <w:r w:rsidRPr="00BE6EE0">
        <w:t>The requirement</w:t>
      </w:r>
      <w:bookmarkEnd w:id="16"/>
      <w:bookmarkEnd w:id="17"/>
    </w:p>
    <w:p w14:paraId="6315E634" w14:textId="1CE88CA9" w:rsidR="00A57A3D" w:rsidRDefault="00E17B35" w:rsidP="00584922">
      <w:pPr>
        <w:pStyle w:val="Heading2"/>
      </w:pPr>
      <w:bookmarkStart w:id="18" w:name="_Toc368573032"/>
      <w:r>
        <w:t>Potential providers</w:t>
      </w:r>
      <w:r w:rsidR="00A57A3D">
        <w:t xml:space="preserve"> are asked to review the SCEs processed since 1 July 2010 in respect of CCOs and the drivers behind the SCEs including any SRAs upon which the SCEs are based to determine the extent of the Overcharge Amount in respect of them on DWP’s interpretation of the contract as set out above. </w:t>
      </w:r>
      <w:r w:rsidR="00A57A3D" w:rsidRPr="00584922">
        <w:t>This information has been prepared for investigation and will be provided by DWP.</w:t>
      </w:r>
    </w:p>
    <w:p w14:paraId="14E8AB9F" w14:textId="46DD01F3" w:rsidR="00A57A3D" w:rsidRDefault="00E17B35" w:rsidP="00584922">
      <w:pPr>
        <w:pStyle w:val="Heading2"/>
      </w:pPr>
      <w:r>
        <w:t>Potential providers</w:t>
      </w:r>
      <w:r w:rsidR="00A57A3D">
        <w:t xml:space="preserve"> are asked to give an </w:t>
      </w:r>
      <w:r w:rsidR="00A57A3D" w:rsidRPr="00584922">
        <w:t>expert report</w:t>
      </w:r>
      <w:r w:rsidR="00A57A3D">
        <w:t xml:space="preserve"> which could be relied upon under the DRP, Schedule 20 of the EPC </w:t>
      </w:r>
      <w:r w:rsidR="00A57A3D" w:rsidRPr="00AC23BD">
        <w:t xml:space="preserve">setting out your </w:t>
      </w:r>
      <w:r w:rsidR="00A57A3D">
        <w:t xml:space="preserve">expert </w:t>
      </w:r>
      <w:r w:rsidR="00A57A3D" w:rsidRPr="00AC23BD">
        <w:t>opinion in response to the Question</w:t>
      </w:r>
      <w:r w:rsidR="00A57A3D">
        <w:t xml:space="preserve"> and which identifies in tabular and graphical form together with an executive summary and the extent of the Overcharge Amount and which sets out the work </w:t>
      </w:r>
      <w:r>
        <w:t xml:space="preserve">potential providers </w:t>
      </w:r>
      <w:r w:rsidR="00A57A3D">
        <w:t>have carried out (both field work and any calculations) to calculate this.</w:t>
      </w:r>
    </w:p>
    <w:p w14:paraId="2D7F93B9" w14:textId="5A7F747B" w:rsidR="00A57A3D" w:rsidRDefault="00E17B35" w:rsidP="00584922">
      <w:pPr>
        <w:pStyle w:val="Heading2"/>
      </w:pPr>
      <w:r>
        <w:t xml:space="preserve">The </w:t>
      </w:r>
      <w:r w:rsidR="00A57A3D">
        <w:t>report will quantify the total CCO costs to be incurred by DWP between 1 July 2010 and 31 March 2018 and then identify how much of this on-going payment obligation is the Overcharg</w:t>
      </w:r>
      <w:r>
        <w:t>e Amount.  DWP also requires potential providers</w:t>
      </w:r>
      <w:r w:rsidR="00A57A3D">
        <w:t xml:space="preserve"> to provide similar information based on the following assumptions:</w:t>
      </w:r>
    </w:p>
    <w:p w14:paraId="1477AE39" w14:textId="77777777" w:rsidR="00A57A3D" w:rsidRDefault="00A57A3D" w:rsidP="0035531F">
      <w:pPr>
        <w:pStyle w:val="Caption"/>
        <w:numPr>
          <w:ilvl w:val="0"/>
          <w:numId w:val="33"/>
        </w:numPr>
        <w:ind w:left="1134"/>
        <w:jc w:val="both"/>
      </w:pPr>
      <w:r w:rsidRPr="000132EF">
        <w:t xml:space="preserve">the starting date for the analysis is 1 July 2010 </w:t>
      </w:r>
    </w:p>
    <w:p w14:paraId="4E6386C4" w14:textId="77777777" w:rsidR="00A57A3D" w:rsidRDefault="00A57A3D" w:rsidP="0035531F">
      <w:pPr>
        <w:pStyle w:val="Caption"/>
        <w:numPr>
          <w:ilvl w:val="0"/>
          <w:numId w:val="33"/>
        </w:numPr>
        <w:ind w:left="1134"/>
        <w:jc w:val="both"/>
      </w:pPr>
      <w:r w:rsidRPr="000132EF">
        <w:t>the sta</w:t>
      </w:r>
      <w:r>
        <w:t>rting date for the analysis is 2</w:t>
      </w:r>
      <w:r w:rsidRPr="000132EF">
        <w:t xml:space="preserve">1 </w:t>
      </w:r>
      <w:r w:rsidRPr="00E30FFA">
        <w:t>February</w:t>
      </w:r>
      <w:r w:rsidRPr="00CC7E59">
        <w:t xml:space="preserve"> 2014</w:t>
      </w:r>
      <w:r w:rsidRPr="000132EF">
        <w:t xml:space="preserve">, when DWP directly raised its concern regarding </w:t>
      </w:r>
      <w:r>
        <w:t>the</w:t>
      </w:r>
      <w:r w:rsidRPr="000132EF">
        <w:t xml:space="preserve"> charging methodology;</w:t>
      </w:r>
    </w:p>
    <w:p w14:paraId="5B35E0AC" w14:textId="77777777" w:rsidR="00A57A3D" w:rsidRPr="000132EF" w:rsidRDefault="00A57A3D" w:rsidP="0035531F">
      <w:pPr>
        <w:pStyle w:val="Caption"/>
        <w:numPr>
          <w:ilvl w:val="0"/>
          <w:numId w:val="33"/>
        </w:numPr>
        <w:ind w:left="1134"/>
        <w:jc w:val="both"/>
      </w:pPr>
      <w:r w:rsidRPr="000132EF">
        <w:t xml:space="preserve">the starting date for the analysis is 23 November 2015, when </w:t>
      </w:r>
      <w:r>
        <w:t>DWP</w:t>
      </w:r>
      <w:r w:rsidRPr="000132EF">
        <w:t xml:space="preserve"> </w:t>
      </w:r>
      <w:r>
        <w:t>raised the matter again and most recently</w:t>
      </w:r>
      <w:r w:rsidRPr="000132EF">
        <w:t>.</w:t>
      </w:r>
    </w:p>
    <w:p w14:paraId="3CF90DA9" w14:textId="77777777" w:rsidR="00A57A3D" w:rsidRDefault="00A57A3D" w:rsidP="00A57A3D">
      <w:pPr>
        <w:pStyle w:val="Caption"/>
      </w:pPr>
    </w:p>
    <w:p w14:paraId="1C62B1C6" w14:textId="53A9CB08" w:rsidR="004D65E8" w:rsidRDefault="0035531F" w:rsidP="0035531F">
      <w:pPr>
        <w:pStyle w:val="Caption"/>
        <w:ind w:left="709" w:hanging="709"/>
        <w:jc w:val="both"/>
      </w:pPr>
      <w:r>
        <w:t>6.4</w:t>
      </w:r>
      <w:r>
        <w:tab/>
      </w:r>
      <w:r w:rsidR="00A57A3D" w:rsidRPr="00284607">
        <w:t xml:space="preserve">In support of this deliverable </w:t>
      </w:r>
      <w:r w:rsidR="00E17B35">
        <w:t>potential providers</w:t>
      </w:r>
      <w:r w:rsidR="00A57A3D" w:rsidRPr="00284607">
        <w:t xml:space="preserve"> will have the Inputs, referred to below. </w:t>
      </w:r>
      <w:r w:rsidR="00A57A3D">
        <w:t>I</w:t>
      </w:r>
      <w:r w:rsidR="00A57A3D" w:rsidRPr="00284607">
        <w:t xml:space="preserve">n giving </w:t>
      </w:r>
      <w:r w:rsidR="00E17B35">
        <w:t>their</w:t>
      </w:r>
      <w:r w:rsidR="00A57A3D" w:rsidRPr="00284607">
        <w:t xml:space="preserve"> report, </w:t>
      </w:r>
      <w:r w:rsidR="00E17B35">
        <w:t>potential providers</w:t>
      </w:r>
      <w:r w:rsidR="00A57A3D">
        <w:t xml:space="preserve"> are asked to assume that DWP’s interpretation of the contract is correct. Otherwise </w:t>
      </w:r>
      <w:r w:rsidR="00E17B35">
        <w:t>potential providers</w:t>
      </w:r>
      <w:r w:rsidR="00A57A3D">
        <w:t xml:space="preserve"> are asked </w:t>
      </w:r>
      <w:r w:rsidR="00A57A3D" w:rsidRPr="00284607">
        <w:t xml:space="preserve">to keep to </w:t>
      </w:r>
      <w:r w:rsidR="00A57A3D">
        <w:t>a</w:t>
      </w:r>
      <w:r w:rsidR="00A57A3D" w:rsidRPr="00284607">
        <w:t xml:space="preserve"> </w:t>
      </w:r>
      <w:r w:rsidR="00E17B35">
        <w:t>minimum the assumptions that they</w:t>
      </w:r>
      <w:r w:rsidR="00A57A3D" w:rsidRPr="00284607">
        <w:t xml:space="preserve"> make.  Where </w:t>
      </w:r>
      <w:r w:rsidR="00E17B35">
        <w:t>potential providers</w:t>
      </w:r>
      <w:r w:rsidR="00A57A3D" w:rsidRPr="00284607">
        <w:t xml:space="preserve"> have to make an assumption, </w:t>
      </w:r>
      <w:r w:rsidR="00E17B35">
        <w:t>they</w:t>
      </w:r>
      <w:r w:rsidR="00A57A3D" w:rsidRPr="00284607">
        <w:t xml:space="preserve"> should identify it and confirm that </w:t>
      </w:r>
      <w:r w:rsidR="00E17B35">
        <w:t>they</w:t>
      </w:r>
      <w:r w:rsidR="00A57A3D" w:rsidRPr="00284607">
        <w:t xml:space="preserve"> consider the assumption to be a reasonable one to make.</w:t>
      </w:r>
    </w:p>
    <w:p w14:paraId="02C3D951" w14:textId="536B3DFB" w:rsidR="00A57A3D" w:rsidRDefault="0035531F" w:rsidP="0035531F">
      <w:r>
        <w:t>6.5</w:t>
      </w:r>
      <w:r>
        <w:tab/>
      </w:r>
      <w:r w:rsidR="00A57A3D">
        <w:t xml:space="preserve">See additional Information for internal materials/inputs provided. </w:t>
      </w:r>
    </w:p>
    <w:p w14:paraId="7802929C" w14:textId="114AB506" w:rsidR="00584922" w:rsidRDefault="00584922" w:rsidP="00F0791B">
      <w:pPr>
        <w:pStyle w:val="Heading1"/>
        <w:numPr>
          <w:ilvl w:val="0"/>
          <w:numId w:val="0"/>
        </w:numPr>
        <w:spacing w:after="120"/>
        <w:ind w:left="720" w:hanging="720"/>
      </w:pPr>
      <w:bookmarkStart w:id="19" w:name="_Toc468785316"/>
      <w:bookmarkEnd w:id="19"/>
    </w:p>
    <w:p w14:paraId="35734D9E" w14:textId="0DD7C9F7" w:rsidR="00671798" w:rsidRDefault="00FE18AC" w:rsidP="00BC1489">
      <w:pPr>
        <w:pStyle w:val="Heading1"/>
      </w:pPr>
      <w:bookmarkStart w:id="20" w:name="_Toc468785317"/>
      <w:r>
        <w:t>key milestones</w:t>
      </w:r>
      <w:bookmarkEnd w:id="18"/>
      <w:bookmarkEnd w:id="20"/>
    </w:p>
    <w:p w14:paraId="4D0E0CBA" w14:textId="4634C62B"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r w:rsidR="00584922">
        <w:rPr>
          <w:rFonts w:cs="Arial"/>
          <w:szCs w:val="22"/>
        </w:rPr>
        <w:t xml:space="preserve"> (subject to discussion at contract award)</w:t>
      </w:r>
      <w:r w:rsidRPr="003438D3">
        <w:rPr>
          <w:rFonts w:cs="Arial"/>
          <w:szCs w:val="22"/>
        </w:rPr>
        <w:t>:</w:t>
      </w:r>
    </w:p>
    <w:tbl>
      <w:tblPr>
        <w:tblStyle w:val="TableGrid"/>
        <w:tblW w:w="5000" w:type="pct"/>
        <w:tblLook w:val="04A0" w:firstRow="1" w:lastRow="0" w:firstColumn="1" w:lastColumn="0" w:noHBand="0" w:noVBand="1"/>
      </w:tblPr>
      <w:tblGrid>
        <w:gridCol w:w="1660"/>
        <w:gridCol w:w="4586"/>
        <w:gridCol w:w="2999"/>
      </w:tblGrid>
      <w:tr w:rsidR="00584922" w:rsidRPr="00297CF4" w14:paraId="6BF78E35" w14:textId="77777777" w:rsidTr="00106F24">
        <w:tc>
          <w:tcPr>
            <w:tcW w:w="898" w:type="pct"/>
            <w:shd w:val="clear" w:color="auto" w:fill="C6D9F1" w:themeFill="text2" w:themeFillTint="33"/>
            <w:vAlign w:val="center"/>
          </w:tcPr>
          <w:p w14:paraId="2F0B096C" w14:textId="45B02D38" w:rsidR="00584922" w:rsidRPr="00FA43B4" w:rsidRDefault="00584922" w:rsidP="00584922">
            <w:pPr>
              <w:pStyle w:val="Heading3"/>
              <w:numPr>
                <w:ilvl w:val="0"/>
                <w:numId w:val="0"/>
              </w:numPr>
              <w:spacing w:after="120"/>
              <w:jc w:val="center"/>
              <w:outlineLvl w:val="2"/>
              <w:rPr>
                <w:b/>
                <w:szCs w:val="24"/>
                <w:highlight w:val="yellow"/>
              </w:rPr>
            </w:pPr>
            <w:r w:rsidRPr="00903E38">
              <w:rPr>
                <w:b/>
              </w:rPr>
              <w:t>Milestone</w:t>
            </w:r>
          </w:p>
        </w:tc>
        <w:tc>
          <w:tcPr>
            <w:tcW w:w="2480" w:type="pct"/>
            <w:shd w:val="clear" w:color="auto" w:fill="C6D9F1" w:themeFill="text2" w:themeFillTint="33"/>
            <w:vAlign w:val="center"/>
          </w:tcPr>
          <w:p w14:paraId="55754382" w14:textId="7768B6C4" w:rsidR="00584922" w:rsidRPr="00FA43B4" w:rsidRDefault="00584922" w:rsidP="00584922">
            <w:pPr>
              <w:pStyle w:val="Heading3"/>
              <w:numPr>
                <w:ilvl w:val="0"/>
                <w:numId w:val="0"/>
              </w:numPr>
              <w:spacing w:after="120"/>
              <w:jc w:val="center"/>
              <w:outlineLvl w:val="2"/>
              <w:rPr>
                <w:b/>
                <w:szCs w:val="24"/>
                <w:highlight w:val="yellow"/>
              </w:rPr>
            </w:pPr>
            <w:r w:rsidRPr="00903E38">
              <w:rPr>
                <w:b/>
              </w:rPr>
              <w:t>Description</w:t>
            </w:r>
          </w:p>
        </w:tc>
        <w:tc>
          <w:tcPr>
            <w:tcW w:w="1622" w:type="pct"/>
            <w:shd w:val="clear" w:color="auto" w:fill="C6D9F1" w:themeFill="text2" w:themeFillTint="33"/>
            <w:vAlign w:val="center"/>
          </w:tcPr>
          <w:p w14:paraId="0EABB2D0" w14:textId="1ADCCB3A" w:rsidR="00584922" w:rsidRPr="00FA43B4" w:rsidRDefault="00584922" w:rsidP="00584922">
            <w:pPr>
              <w:pStyle w:val="Heading3"/>
              <w:numPr>
                <w:ilvl w:val="0"/>
                <w:numId w:val="0"/>
              </w:numPr>
              <w:spacing w:after="120"/>
              <w:jc w:val="center"/>
              <w:outlineLvl w:val="2"/>
              <w:rPr>
                <w:b/>
                <w:szCs w:val="24"/>
                <w:highlight w:val="yellow"/>
              </w:rPr>
            </w:pPr>
            <w:r w:rsidRPr="00903E38">
              <w:rPr>
                <w:b/>
              </w:rPr>
              <w:t>Timeframe</w:t>
            </w:r>
          </w:p>
        </w:tc>
      </w:tr>
      <w:tr w:rsidR="00584922" w:rsidRPr="00297CF4" w14:paraId="2B6EAC37" w14:textId="77777777" w:rsidTr="00E245A6">
        <w:tc>
          <w:tcPr>
            <w:tcW w:w="898" w:type="pct"/>
            <w:vAlign w:val="center"/>
          </w:tcPr>
          <w:p w14:paraId="13176D62" w14:textId="2E4414A9" w:rsidR="00584922" w:rsidRDefault="00584922" w:rsidP="00584922">
            <w:pPr>
              <w:pStyle w:val="Heading3"/>
              <w:numPr>
                <w:ilvl w:val="0"/>
                <w:numId w:val="0"/>
              </w:numPr>
              <w:spacing w:after="120"/>
              <w:jc w:val="center"/>
              <w:outlineLvl w:val="2"/>
              <w:rPr>
                <w:szCs w:val="24"/>
                <w:highlight w:val="yellow"/>
              </w:rPr>
            </w:pPr>
            <w:r w:rsidRPr="00903E38">
              <w:t>1</w:t>
            </w:r>
          </w:p>
        </w:tc>
        <w:tc>
          <w:tcPr>
            <w:tcW w:w="2480" w:type="pct"/>
            <w:vAlign w:val="center"/>
          </w:tcPr>
          <w:p w14:paraId="04CC1243" w14:textId="240A94C6" w:rsidR="00584922" w:rsidRDefault="00584922" w:rsidP="00584922">
            <w:pPr>
              <w:pStyle w:val="Heading3"/>
              <w:numPr>
                <w:ilvl w:val="0"/>
                <w:numId w:val="0"/>
              </w:numPr>
              <w:spacing w:after="120"/>
              <w:jc w:val="left"/>
              <w:outlineLvl w:val="2"/>
              <w:rPr>
                <w:szCs w:val="24"/>
                <w:highlight w:val="yellow"/>
              </w:rPr>
            </w:pPr>
            <w:r w:rsidRPr="00903E38">
              <w:t>Handover of information listed under section 17</w:t>
            </w:r>
            <w:r>
              <w:t xml:space="preserve"> and general scoping discussion</w:t>
            </w:r>
            <w:r w:rsidR="00D96B56">
              <w:t>.</w:t>
            </w:r>
          </w:p>
        </w:tc>
        <w:tc>
          <w:tcPr>
            <w:tcW w:w="1622" w:type="pct"/>
            <w:vAlign w:val="center"/>
          </w:tcPr>
          <w:p w14:paraId="23E536A9" w14:textId="0A98BBDC" w:rsidR="00584922" w:rsidRDefault="00584922" w:rsidP="00584922">
            <w:pPr>
              <w:pStyle w:val="Heading3"/>
              <w:numPr>
                <w:ilvl w:val="0"/>
                <w:numId w:val="0"/>
              </w:numPr>
              <w:spacing w:after="120"/>
              <w:jc w:val="center"/>
              <w:outlineLvl w:val="2"/>
              <w:rPr>
                <w:szCs w:val="24"/>
                <w:highlight w:val="yellow"/>
              </w:rPr>
            </w:pPr>
            <w:r w:rsidRPr="00903E38">
              <w:t xml:space="preserve">Within week 1 of Contract Award </w:t>
            </w:r>
          </w:p>
        </w:tc>
      </w:tr>
      <w:tr w:rsidR="00584922" w:rsidRPr="00297CF4" w14:paraId="16F113EC" w14:textId="77777777" w:rsidTr="00E245A6">
        <w:tc>
          <w:tcPr>
            <w:tcW w:w="898" w:type="pct"/>
            <w:vAlign w:val="center"/>
          </w:tcPr>
          <w:p w14:paraId="4FD18402" w14:textId="59E6FA0C" w:rsidR="00584922" w:rsidRDefault="00584922" w:rsidP="00584922">
            <w:pPr>
              <w:pStyle w:val="Heading3"/>
              <w:numPr>
                <w:ilvl w:val="0"/>
                <w:numId w:val="0"/>
              </w:numPr>
              <w:spacing w:after="120"/>
              <w:jc w:val="center"/>
              <w:outlineLvl w:val="2"/>
              <w:rPr>
                <w:szCs w:val="24"/>
                <w:highlight w:val="yellow"/>
              </w:rPr>
            </w:pPr>
            <w:r w:rsidRPr="00903E38">
              <w:t>2</w:t>
            </w:r>
          </w:p>
        </w:tc>
        <w:tc>
          <w:tcPr>
            <w:tcW w:w="2480" w:type="pct"/>
            <w:vAlign w:val="center"/>
          </w:tcPr>
          <w:p w14:paraId="33C22C40" w14:textId="4AE2F30F" w:rsidR="00584922" w:rsidRDefault="00D96B56" w:rsidP="00D96B56">
            <w:pPr>
              <w:pStyle w:val="Heading3"/>
              <w:numPr>
                <w:ilvl w:val="0"/>
                <w:numId w:val="0"/>
              </w:numPr>
              <w:spacing w:after="120"/>
              <w:jc w:val="left"/>
              <w:outlineLvl w:val="2"/>
              <w:rPr>
                <w:szCs w:val="24"/>
                <w:highlight w:val="yellow"/>
              </w:rPr>
            </w:pPr>
            <w:r>
              <w:t>Provision of</w:t>
            </w:r>
            <w:r w:rsidR="00584922" w:rsidRPr="00903E38">
              <w:t xml:space="preserve"> summary findings and any issues/risks</w:t>
            </w:r>
            <w:r>
              <w:t xml:space="preserve"> are flagged with a </w:t>
            </w:r>
            <w:r w:rsidR="00584922">
              <w:t>high level update</w:t>
            </w:r>
            <w:r>
              <w:t xml:space="preserve"> provided.</w:t>
            </w:r>
          </w:p>
        </w:tc>
        <w:tc>
          <w:tcPr>
            <w:tcW w:w="1622" w:type="pct"/>
            <w:vAlign w:val="center"/>
          </w:tcPr>
          <w:p w14:paraId="3B285FD4" w14:textId="1C8BE213" w:rsidR="00584922" w:rsidRDefault="00584922" w:rsidP="00584922">
            <w:pPr>
              <w:pStyle w:val="Heading3"/>
              <w:numPr>
                <w:ilvl w:val="0"/>
                <w:numId w:val="0"/>
              </w:numPr>
              <w:spacing w:after="120"/>
              <w:jc w:val="center"/>
              <w:outlineLvl w:val="2"/>
              <w:rPr>
                <w:szCs w:val="24"/>
                <w:highlight w:val="yellow"/>
              </w:rPr>
            </w:pPr>
            <w:r w:rsidRPr="00903E38">
              <w:t>Within week 2 of Contract Award</w:t>
            </w:r>
          </w:p>
        </w:tc>
      </w:tr>
      <w:tr w:rsidR="00584922" w:rsidRPr="00297CF4" w14:paraId="3FD394DC" w14:textId="77777777" w:rsidTr="00E245A6">
        <w:tc>
          <w:tcPr>
            <w:tcW w:w="898" w:type="pct"/>
            <w:vAlign w:val="center"/>
          </w:tcPr>
          <w:p w14:paraId="3995F849" w14:textId="0D1ABEB2" w:rsidR="00584922" w:rsidRDefault="00584922" w:rsidP="00584922">
            <w:pPr>
              <w:pStyle w:val="Heading3"/>
              <w:numPr>
                <w:ilvl w:val="0"/>
                <w:numId w:val="0"/>
              </w:numPr>
              <w:spacing w:after="120"/>
              <w:jc w:val="center"/>
              <w:outlineLvl w:val="2"/>
              <w:rPr>
                <w:szCs w:val="24"/>
                <w:highlight w:val="yellow"/>
              </w:rPr>
            </w:pPr>
            <w:r w:rsidRPr="00903E38">
              <w:t>3</w:t>
            </w:r>
          </w:p>
        </w:tc>
        <w:tc>
          <w:tcPr>
            <w:tcW w:w="2480" w:type="pct"/>
            <w:vAlign w:val="center"/>
          </w:tcPr>
          <w:p w14:paraId="4962E129" w14:textId="5C5E2DA9" w:rsidR="00584922" w:rsidRDefault="00D96B56" w:rsidP="00D96B56">
            <w:pPr>
              <w:pStyle w:val="Heading3"/>
              <w:numPr>
                <w:ilvl w:val="0"/>
                <w:numId w:val="0"/>
              </w:numPr>
              <w:spacing w:after="120"/>
              <w:jc w:val="left"/>
              <w:outlineLvl w:val="2"/>
              <w:rPr>
                <w:szCs w:val="24"/>
                <w:highlight w:val="yellow"/>
              </w:rPr>
            </w:pPr>
            <w:r>
              <w:t>T</w:t>
            </w:r>
            <w:r w:rsidR="00584922" w:rsidRPr="00903E38">
              <w:t xml:space="preserve">he quantum of the </w:t>
            </w:r>
            <w:r w:rsidR="00584922">
              <w:t>O</w:t>
            </w:r>
            <w:r w:rsidR="00584922" w:rsidRPr="00903E38">
              <w:t xml:space="preserve">vercharge </w:t>
            </w:r>
            <w:r w:rsidR="00584922">
              <w:t>A</w:t>
            </w:r>
            <w:r w:rsidR="00584922" w:rsidRPr="00903E38">
              <w:t>mount</w:t>
            </w:r>
            <w:r>
              <w:t xml:space="preserve"> completed.</w:t>
            </w:r>
          </w:p>
        </w:tc>
        <w:tc>
          <w:tcPr>
            <w:tcW w:w="1622" w:type="pct"/>
            <w:vAlign w:val="center"/>
          </w:tcPr>
          <w:p w14:paraId="7164B729" w14:textId="139DDE6B" w:rsidR="00584922" w:rsidRDefault="00584922" w:rsidP="00584922">
            <w:pPr>
              <w:pStyle w:val="Heading3"/>
              <w:numPr>
                <w:ilvl w:val="0"/>
                <w:numId w:val="0"/>
              </w:numPr>
              <w:spacing w:after="120"/>
              <w:jc w:val="center"/>
              <w:outlineLvl w:val="2"/>
              <w:rPr>
                <w:szCs w:val="24"/>
                <w:highlight w:val="yellow"/>
              </w:rPr>
            </w:pPr>
            <w:r w:rsidRPr="00903E38">
              <w:t>Within week 3 of Contract Award</w:t>
            </w:r>
          </w:p>
        </w:tc>
      </w:tr>
      <w:tr w:rsidR="00584922" w14:paraId="6A3230F6" w14:textId="77777777" w:rsidTr="00E245A6">
        <w:tc>
          <w:tcPr>
            <w:tcW w:w="898" w:type="pct"/>
            <w:vAlign w:val="center"/>
          </w:tcPr>
          <w:p w14:paraId="3302843B" w14:textId="4E881F4A" w:rsidR="00584922" w:rsidRDefault="00584922" w:rsidP="00584922">
            <w:pPr>
              <w:pStyle w:val="Heading3"/>
              <w:numPr>
                <w:ilvl w:val="0"/>
                <w:numId w:val="0"/>
              </w:numPr>
              <w:spacing w:after="120"/>
              <w:jc w:val="center"/>
              <w:outlineLvl w:val="2"/>
              <w:rPr>
                <w:szCs w:val="24"/>
                <w:highlight w:val="yellow"/>
              </w:rPr>
            </w:pPr>
            <w:r w:rsidRPr="00903E38">
              <w:t>4</w:t>
            </w:r>
          </w:p>
        </w:tc>
        <w:tc>
          <w:tcPr>
            <w:tcW w:w="2480" w:type="pct"/>
            <w:vAlign w:val="center"/>
          </w:tcPr>
          <w:p w14:paraId="029789C7" w14:textId="54513F44" w:rsidR="00584922" w:rsidRDefault="00D96B56" w:rsidP="00584922">
            <w:pPr>
              <w:pStyle w:val="Heading3"/>
              <w:numPr>
                <w:ilvl w:val="0"/>
                <w:numId w:val="0"/>
              </w:numPr>
              <w:spacing w:after="120"/>
              <w:jc w:val="left"/>
              <w:outlineLvl w:val="2"/>
              <w:rPr>
                <w:szCs w:val="24"/>
                <w:highlight w:val="yellow"/>
              </w:rPr>
            </w:pPr>
            <w:r>
              <w:t>E</w:t>
            </w:r>
            <w:r w:rsidR="00584922" w:rsidRPr="00903E38">
              <w:t xml:space="preserve">xpert final report </w:t>
            </w:r>
            <w:r>
              <w:t xml:space="preserve">produced </w:t>
            </w:r>
            <w:r w:rsidR="00584922" w:rsidRPr="00903E38">
              <w:t xml:space="preserve">to confirm the quantum of </w:t>
            </w:r>
            <w:r w:rsidR="00584922">
              <w:t>the O</w:t>
            </w:r>
            <w:r w:rsidR="00584922" w:rsidRPr="00903E38">
              <w:t>vercharge</w:t>
            </w:r>
            <w:r w:rsidR="00584922">
              <w:t xml:space="preserve"> Amount</w:t>
            </w:r>
            <w:r w:rsidR="00584922" w:rsidRPr="00903E38">
              <w:t xml:space="preserve">, present methodology, report key findings, trends and a conclusion, which can be relied upon during any future dispute. </w:t>
            </w:r>
            <w:r w:rsidR="00584922">
              <w:t xml:space="preserve">To be accepted by the contracting authority. </w:t>
            </w:r>
          </w:p>
        </w:tc>
        <w:tc>
          <w:tcPr>
            <w:tcW w:w="1622" w:type="pct"/>
            <w:vAlign w:val="center"/>
          </w:tcPr>
          <w:p w14:paraId="0A8D4F91" w14:textId="23F3DA70" w:rsidR="00584922" w:rsidRDefault="00584922" w:rsidP="00584922">
            <w:pPr>
              <w:pStyle w:val="Heading3"/>
              <w:numPr>
                <w:ilvl w:val="0"/>
                <w:numId w:val="0"/>
              </w:numPr>
              <w:spacing w:after="120"/>
              <w:jc w:val="center"/>
              <w:outlineLvl w:val="2"/>
              <w:rPr>
                <w:szCs w:val="24"/>
              </w:rPr>
            </w:pPr>
            <w:r w:rsidRPr="00903E38">
              <w:t>Within week 4 – 5 of Contract Award</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68785318"/>
      <w:bookmarkStart w:id="23" w:name="_Toc368573033"/>
      <w:r>
        <w:rPr>
          <w:rFonts w:cs="Arial"/>
          <w:szCs w:val="22"/>
        </w:rPr>
        <w:t>authority’s responsibilities</w:t>
      </w:r>
      <w:bookmarkEnd w:id="22"/>
    </w:p>
    <w:p w14:paraId="3ECCE518" w14:textId="6FBAC223" w:rsidR="00584922" w:rsidRDefault="00584922" w:rsidP="00584922">
      <w:pPr>
        <w:pStyle w:val="Heading2"/>
      </w:pPr>
      <w:r>
        <w:t xml:space="preserve">The </w:t>
      </w:r>
      <w:r w:rsidR="00E17B35">
        <w:t>potential provider’s</w:t>
      </w:r>
      <w:r>
        <w:t xml:space="preserve"> resources shall be treated as members of the DWP internal team. They will be given access to appropriate Information and documents providing confidentiality agreements are signed. </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68785319"/>
      <w:r w:rsidRPr="00BE6EE0">
        <w:rPr>
          <w:rFonts w:cs="Arial"/>
          <w:szCs w:val="22"/>
        </w:rPr>
        <w:t>reporting</w:t>
      </w:r>
      <w:bookmarkEnd w:id="23"/>
      <w:bookmarkEnd w:id="24"/>
    </w:p>
    <w:p w14:paraId="4D0FF81E" w14:textId="17269205" w:rsidR="00584922" w:rsidRDefault="00584922" w:rsidP="00584922">
      <w:pPr>
        <w:pStyle w:val="Heading2"/>
        <w:tabs>
          <w:tab w:val="clear" w:pos="720"/>
          <w:tab w:val="num" w:pos="709"/>
        </w:tabs>
        <w:spacing w:after="120"/>
        <w:ind w:left="709" w:hanging="709"/>
      </w:pPr>
      <w:bookmarkStart w:id="25" w:name="_Toc368573034"/>
      <w:r w:rsidRPr="00A463AB">
        <w:t xml:space="preserve">The </w:t>
      </w:r>
      <w:r w:rsidR="00455EBF">
        <w:t>potential provider</w:t>
      </w:r>
      <w:r w:rsidRPr="00A463AB">
        <w:t xml:space="preserve"> should demonstrate how they propose to meet the requirement, including their model for delivery and proposed reporting to deliver the requirement.</w:t>
      </w:r>
      <w:r>
        <w:t xml:space="preserve"> The </w:t>
      </w:r>
      <w:r w:rsidR="00455EBF">
        <w:t>potential provider</w:t>
      </w:r>
      <w:r>
        <w:t xml:space="preserve"> should be able to demonstrate the methodology used in the expert report. </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468785320"/>
      <w:bookmarkEnd w:id="25"/>
      <w:r w:rsidRPr="00BE6EE0">
        <w:rPr>
          <w:rFonts w:cs="Arial"/>
          <w:szCs w:val="22"/>
        </w:rPr>
        <w:t>continuous improvement</w:t>
      </w:r>
      <w:bookmarkEnd w:id="26"/>
      <w:bookmarkEnd w:id="27"/>
    </w:p>
    <w:p w14:paraId="73ED8F03" w14:textId="16BD45CD"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561100E0" w14:textId="07106A87" w:rsidR="00584922" w:rsidRDefault="00584922" w:rsidP="00584922">
      <w:pPr>
        <w:pStyle w:val="Heading2"/>
        <w:tabs>
          <w:tab w:val="clear" w:pos="720"/>
          <w:tab w:val="num" w:pos="709"/>
        </w:tabs>
        <w:spacing w:after="120"/>
        <w:ind w:left="709" w:hanging="709"/>
      </w:pPr>
      <w:r w:rsidRPr="008104E0">
        <w:t xml:space="preserve">The </w:t>
      </w:r>
      <w:r w:rsidR="00455EBF">
        <w:t xml:space="preserve">potential provider </w:t>
      </w:r>
      <w:r w:rsidRPr="008104E0">
        <w:t xml:space="preserve">should present </w:t>
      </w:r>
      <w:r>
        <w:t xml:space="preserve">any </w:t>
      </w:r>
      <w:r w:rsidRPr="008104E0">
        <w:t xml:space="preserve">new ways of working </w:t>
      </w:r>
      <w:r>
        <w:t xml:space="preserve">deemed appropriate </w:t>
      </w:r>
      <w:r w:rsidRPr="008104E0">
        <w:t xml:space="preserve">to </w:t>
      </w:r>
      <w:r>
        <w:t>DWP</w:t>
      </w:r>
      <w:r w:rsidRPr="008104E0">
        <w:t xml:space="preserve"> during </w:t>
      </w:r>
      <w:r>
        <w:t>c</w:t>
      </w:r>
      <w:r w:rsidRPr="008104E0">
        <w:t>ontract review meetings.</w:t>
      </w:r>
      <w:r>
        <w:t xml:space="preserve"> </w:t>
      </w:r>
    </w:p>
    <w:p w14:paraId="0188937F" w14:textId="77777777" w:rsidR="00584922" w:rsidRDefault="00584922" w:rsidP="00584922">
      <w:pPr>
        <w:pStyle w:val="Heading2"/>
        <w:tabs>
          <w:tab w:val="clear" w:pos="720"/>
          <w:tab w:val="num" w:pos="709"/>
        </w:tabs>
        <w:spacing w:after="120"/>
        <w:ind w:left="709" w:hanging="709"/>
      </w:pPr>
      <w:r w:rsidRPr="008104E0">
        <w:t xml:space="preserve">Changes to the way in which the </w:t>
      </w:r>
      <w:r>
        <w:t>s</w:t>
      </w:r>
      <w:r w:rsidRPr="008104E0">
        <w:t>ervices are to be delivered must be brought to the</w:t>
      </w:r>
      <w:r>
        <w:t xml:space="preserve"> DWP’</w:t>
      </w:r>
      <w:r w:rsidRPr="008104E0">
        <w:t>s attention and agreed prior to any</w:t>
      </w:r>
      <w:r>
        <w:t xml:space="preserve"> changes being implemented.</w:t>
      </w:r>
    </w:p>
    <w:p w14:paraId="7CC141C7" w14:textId="22E6D91C" w:rsidR="004E78BC" w:rsidRDefault="004E78BC" w:rsidP="004E78BC">
      <w:pPr>
        <w:pStyle w:val="Heading1"/>
      </w:pPr>
      <w:bookmarkStart w:id="28" w:name="_Toc468785321"/>
      <w:r>
        <w:t>Sustainability</w:t>
      </w:r>
      <w:r w:rsidR="00880E17">
        <w:t xml:space="preserve"> – NOT USED</w:t>
      </w:r>
      <w:bookmarkEnd w:id="28"/>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6"/>
      <w:bookmarkStart w:id="30" w:name="_Toc468785322"/>
      <w:r w:rsidRPr="00517FEF">
        <w:rPr>
          <w:rFonts w:cs="Arial"/>
          <w:szCs w:val="22"/>
        </w:rPr>
        <w:t>quality</w:t>
      </w:r>
      <w:bookmarkEnd w:id="29"/>
      <w:bookmarkEnd w:id="30"/>
    </w:p>
    <w:p w14:paraId="63A81641" w14:textId="1B313D3D" w:rsidR="00584922" w:rsidRPr="00A463AB" w:rsidRDefault="00584922" w:rsidP="00584922">
      <w:pPr>
        <w:pStyle w:val="Heading2"/>
      </w:pPr>
      <w:bookmarkStart w:id="31" w:name="_Toc368573037"/>
      <w:r>
        <w:t xml:space="preserve">The Potential </w:t>
      </w:r>
      <w:r w:rsidR="00455EBF">
        <w:t>provider</w:t>
      </w:r>
      <w:r>
        <w:t xml:space="preserve"> should include any other recognised quality standards such as ISO9001 that they are accredited to or follow and provide supporting evidence. </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468785323"/>
      <w:r w:rsidRPr="00BE6EE0">
        <w:rPr>
          <w:rFonts w:cs="Arial"/>
          <w:szCs w:val="22"/>
        </w:rPr>
        <w:t>PRICE</w:t>
      </w:r>
      <w:bookmarkEnd w:id="31"/>
      <w:bookmarkEnd w:id="32"/>
    </w:p>
    <w:p w14:paraId="645D51EC" w14:textId="3AEABECB" w:rsidR="00671798" w:rsidRDefault="00FE18AC">
      <w:pPr>
        <w:pStyle w:val="Heading2"/>
        <w:tabs>
          <w:tab w:val="clear" w:pos="720"/>
          <w:tab w:val="num" w:pos="709"/>
        </w:tabs>
        <w:spacing w:after="120"/>
        <w:ind w:left="709" w:hanging="709"/>
      </w:pPr>
      <w:r>
        <w:t xml:space="preserve">Prices are to be submitted via </w:t>
      </w:r>
      <w:r w:rsidRPr="00584922">
        <w:t>the e</w:t>
      </w:r>
      <w:r w:rsidR="00F44D62" w:rsidRPr="00584922">
        <w:t>-</w:t>
      </w:r>
      <w:r w:rsidRPr="00584922">
        <w:t>Sourcing Suite</w:t>
      </w:r>
      <w:r w:rsidR="00584922" w:rsidRPr="00584922">
        <w:t xml:space="preserve"> on Appendix E</w:t>
      </w:r>
      <w:r w:rsidR="00584922">
        <w:t xml:space="preserve"> and should exclude</w:t>
      </w:r>
      <w:r>
        <w:t xml:space="preserve"> VAT</w:t>
      </w:r>
      <w:r w:rsidR="00AE3C65">
        <w:t>.</w:t>
      </w:r>
    </w:p>
    <w:p w14:paraId="59CA0AFE" w14:textId="77777777" w:rsidR="00584922" w:rsidRDefault="00584922" w:rsidP="00584922">
      <w:pPr>
        <w:pStyle w:val="Heading2"/>
        <w:spacing w:after="120"/>
        <w:ind w:left="709" w:hanging="709"/>
      </w:pPr>
      <w:r>
        <w:t>Prices are to be submitted via the instructions in the Invitation to Tender document and are to be priced excluding VAT.</w:t>
      </w:r>
    </w:p>
    <w:p w14:paraId="3714AA62" w14:textId="77777777" w:rsidR="00584922" w:rsidRDefault="00584922" w:rsidP="00584922">
      <w:pPr>
        <w:pStyle w:val="Heading2"/>
        <w:spacing w:after="120"/>
        <w:ind w:left="709" w:hanging="709"/>
      </w:pPr>
      <w:r>
        <w:t>Expenses will only be payable for travel outside London and within existing DWP guidelines/policies.</w:t>
      </w:r>
    </w:p>
    <w:p w14:paraId="2DD18437" w14:textId="77777777" w:rsidR="00584922" w:rsidRDefault="00584922" w:rsidP="00455EBF">
      <w:pPr>
        <w:pStyle w:val="Heading2"/>
        <w:numPr>
          <w:ilvl w:val="0"/>
          <w:numId w:val="0"/>
        </w:numPr>
        <w:spacing w:after="120"/>
        <w:ind w:left="709"/>
      </w:pP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468785324"/>
      <w:r w:rsidRPr="00BE6EE0">
        <w:rPr>
          <w:rFonts w:cs="Arial"/>
          <w:szCs w:val="22"/>
        </w:rPr>
        <w:t>STAFF AND CUSTOMER SERVICE</w:t>
      </w:r>
      <w:bookmarkEnd w:id="33"/>
      <w:bookmarkEnd w:id="34"/>
    </w:p>
    <w:p w14:paraId="244B01E7" w14:textId="690EC399" w:rsidR="00584922" w:rsidRPr="00010752" w:rsidRDefault="00584922" w:rsidP="00584922">
      <w:pPr>
        <w:pStyle w:val="Heading2"/>
        <w:rPr>
          <w:szCs w:val="22"/>
        </w:rPr>
      </w:pPr>
      <w:bookmarkStart w:id="35" w:name="_Toc368573039"/>
      <w:r w:rsidRPr="00010752">
        <w:rPr>
          <w:szCs w:val="22"/>
        </w:rPr>
        <w:t xml:space="preserve">The Authority requires the </w:t>
      </w:r>
      <w:r w:rsidR="00455EBF" w:rsidRPr="00010752">
        <w:rPr>
          <w:szCs w:val="22"/>
        </w:rPr>
        <w:t>potential provide</w:t>
      </w:r>
      <w:r w:rsidRPr="00010752">
        <w:rPr>
          <w:szCs w:val="22"/>
        </w:rPr>
        <w:t>r to provide a sufficient level of resource throughout the duration of the Provision of Consultancy for Customer Care Officer Charging Contract in order to consistently deliver a quality service to all parties.</w:t>
      </w:r>
    </w:p>
    <w:p w14:paraId="6C94AFAA" w14:textId="280EB192" w:rsidR="00584922" w:rsidRPr="00010752" w:rsidRDefault="00455EBF" w:rsidP="00584922">
      <w:pPr>
        <w:pStyle w:val="Heading2"/>
        <w:rPr>
          <w:szCs w:val="22"/>
        </w:rPr>
      </w:pPr>
      <w:r w:rsidRPr="00010752">
        <w:rPr>
          <w:szCs w:val="22"/>
        </w:rPr>
        <w:t>Potential provider</w:t>
      </w:r>
      <w:r w:rsidR="00584922" w:rsidRPr="00010752">
        <w:rPr>
          <w:szCs w:val="22"/>
        </w:rPr>
        <w:t xml:space="preserve">’s staff assigned to the Provision of Consultancy for Customer Care Officer Charging Contract shall have the relevant qualifications and experience to deliver the Contract. </w:t>
      </w:r>
    </w:p>
    <w:p w14:paraId="1F24082B" w14:textId="75654509" w:rsidR="00584922" w:rsidRDefault="00584922" w:rsidP="00584922">
      <w:pPr>
        <w:pStyle w:val="Heading2"/>
        <w:tabs>
          <w:tab w:val="clear" w:pos="720"/>
          <w:tab w:val="num" w:pos="709"/>
        </w:tabs>
        <w:spacing w:after="120"/>
        <w:ind w:left="709" w:hanging="709"/>
      </w:pPr>
      <w:r w:rsidRPr="002E7082">
        <w:t xml:space="preserve">The </w:t>
      </w:r>
      <w:r w:rsidR="00455EBF">
        <w:t>potential provider</w:t>
      </w:r>
      <w:r w:rsidRPr="002E7082">
        <w:t xml:space="preserve">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468785325"/>
      <w:r w:rsidRPr="004E1D36">
        <w:rPr>
          <w:rFonts w:cs="Arial"/>
          <w:szCs w:val="22"/>
        </w:rPr>
        <w:t>service levels a</w:t>
      </w:r>
      <w:r>
        <w:rPr>
          <w:rFonts w:cs="Arial"/>
          <w:szCs w:val="22"/>
        </w:rPr>
        <w:t>nd performance</w:t>
      </w:r>
      <w:bookmarkEnd w:id="35"/>
      <w:bookmarkEnd w:id="36"/>
    </w:p>
    <w:p w14:paraId="6DF60951" w14:textId="786D5ED4" w:rsidR="00584922" w:rsidRDefault="00584922" w:rsidP="00584922">
      <w:pPr>
        <w:pStyle w:val="Heading2"/>
        <w:tabs>
          <w:tab w:val="clear" w:pos="720"/>
          <w:tab w:val="num" w:pos="132"/>
          <w:tab w:val="num" w:pos="862"/>
        </w:tabs>
        <w:overflowPunct w:val="0"/>
        <w:autoSpaceDE w:val="0"/>
        <w:autoSpaceDN w:val="0"/>
        <w:spacing w:after="120"/>
        <w:ind w:left="709" w:hanging="709"/>
        <w:textAlignment w:val="baseline"/>
      </w:pPr>
      <w:r>
        <w:t xml:space="preserve">The Authority will measure the quality of the </w:t>
      </w:r>
      <w:r w:rsidR="00455EBF">
        <w:t>potential provider</w:t>
      </w:r>
      <w:r>
        <w:t xml:space="preserve">’s delivery by agreeing appropriate </w:t>
      </w:r>
      <w:r w:rsidR="00656651">
        <w:t>key</w:t>
      </w:r>
      <w:r>
        <w:t xml:space="preserve"> performance indicators. </w:t>
      </w:r>
    </w:p>
    <w:p w14:paraId="3F767EF8" w14:textId="77777777" w:rsidR="00671798" w:rsidRDefault="00FE18AC">
      <w:pPr>
        <w:pStyle w:val="Heading1"/>
        <w:spacing w:after="120"/>
      </w:pPr>
      <w:bookmarkStart w:id="37" w:name="_Toc368573040"/>
      <w:bookmarkStart w:id="38" w:name="_Toc468785326"/>
      <w:r>
        <w:t>Security requirements</w:t>
      </w:r>
      <w:bookmarkEnd w:id="37"/>
      <w:bookmarkEnd w:id="38"/>
    </w:p>
    <w:p w14:paraId="0206B9BA" w14:textId="77777777" w:rsidR="00656651" w:rsidRDefault="00656651" w:rsidP="00656651">
      <w:pPr>
        <w:pStyle w:val="Heading2"/>
        <w:rPr>
          <w:lang w:eastAsia="en-GB"/>
        </w:rPr>
      </w:pPr>
      <w:bookmarkStart w:id="39" w:name="_Toc368573041"/>
      <w:r>
        <w:rPr>
          <w:lang w:eastAsia="en-GB"/>
        </w:rPr>
        <w:t>Confidentiality Requirements</w:t>
      </w:r>
      <w:r>
        <w:t xml:space="preserve"> </w:t>
      </w:r>
      <w:r>
        <w:rPr>
          <w:lang w:eastAsia="en-GB"/>
        </w:rPr>
        <w:t xml:space="preserve"> </w:t>
      </w:r>
    </w:p>
    <w:p w14:paraId="570FC57F" w14:textId="0A01A161" w:rsidR="00656651" w:rsidRDefault="00656651" w:rsidP="00656651">
      <w:pPr>
        <w:pStyle w:val="Heading2"/>
        <w:rPr>
          <w:lang w:eastAsia="en-GB"/>
        </w:rPr>
      </w:pPr>
      <w:r>
        <w:rPr>
          <w:rFonts w:cs="Arial"/>
          <w:bCs/>
          <w:szCs w:val="22"/>
        </w:rPr>
        <w:t xml:space="preserve">The </w:t>
      </w:r>
      <w:r w:rsidR="00455EBF">
        <w:rPr>
          <w:rFonts w:cs="Arial"/>
          <w:bCs/>
          <w:szCs w:val="22"/>
        </w:rPr>
        <w:t>potential provider</w:t>
      </w:r>
      <w:r>
        <w:rPr>
          <w:rFonts w:cs="Arial"/>
          <w:bCs/>
          <w:szCs w:val="22"/>
        </w:rPr>
        <w:t xml:space="preserve"> must ensure that all personnel involved in the provision of Services within this Contract are aware of the confidential nature of the projects and sign the confidentiality undertaking.</w:t>
      </w:r>
    </w:p>
    <w:p w14:paraId="13188A6F" w14:textId="1EC112D0" w:rsidR="00656651" w:rsidRPr="000966E0" w:rsidRDefault="00656651" w:rsidP="00656651">
      <w:pPr>
        <w:pStyle w:val="Heading2"/>
        <w:rPr>
          <w:lang w:eastAsia="en-GB"/>
        </w:rPr>
      </w:pPr>
      <w:r>
        <w:rPr>
          <w:rFonts w:cs="Arial"/>
          <w:szCs w:val="22"/>
        </w:rPr>
        <w:t xml:space="preserve">The </w:t>
      </w:r>
      <w:r w:rsidR="00455EBF">
        <w:rPr>
          <w:rFonts w:cs="Arial"/>
          <w:szCs w:val="22"/>
        </w:rPr>
        <w:t>potential provider</w:t>
      </w:r>
      <w:r>
        <w:rPr>
          <w:rFonts w:cs="Arial"/>
          <w:szCs w:val="22"/>
        </w:rPr>
        <w:t xml:space="preserve"> will not communicate any information relating to the Contract to anyone who is not authorised to receive it in connection with that work. It is the responsibility of the </w:t>
      </w:r>
      <w:r w:rsidR="00455EBF">
        <w:rPr>
          <w:rFonts w:cs="Arial"/>
          <w:szCs w:val="22"/>
        </w:rPr>
        <w:t>potential provider</w:t>
      </w:r>
      <w:r>
        <w:rPr>
          <w:rFonts w:cs="Arial"/>
          <w:szCs w:val="22"/>
        </w:rPr>
        <w:t xml:space="preserve"> to ensure that any information exchanged with the DWP’s personnel is sent securely, and to recipients authorised to receive it by the DWP’s representative.</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468785327"/>
      <w:r>
        <w:rPr>
          <w:rFonts w:cs="Arial"/>
          <w:szCs w:val="22"/>
        </w:rPr>
        <w:t>intellectual property rights (ipr)</w:t>
      </w:r>
      <w:bookmarkEnd w:id="39"/>
      <w:bookmarkEnd w:id="40"/>
    </w:p>
    <w:p w14:paraId="62F9553C" w14:textId="1CDC6095" w:rsidR="00656651" w:rsidRPr="002B3322" w:rsidRDefault="00656651" w:rsidP="00656651">
      <w:pPr>
        <w:pStyle w:val="Heading2"/>
      </w:pPr>
      <w:bookmarkStart w:id="41" w:name="_Toc368573042"/>
      <w:r>
        <w:t>DWP will maintain ownership of anything produced by the</w:t>
      </w:r>
      <w:r w:rsidR="00455EBF">
        <w:t xml:space="preserve"> potential provider</w:t>
      </w:r>
      <w:r>
        <w:t xml:space="preserve"> within the term of this Contract. </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68785328"/>
      <w:r w:rsidRPr="00874062">
        <w:rPr>
          <w:rFonts w:cs="Arial"/>
          <w:szCs w:val="22"/>
        </w:rPr>
        <w:t>payment</w:t>
      </w:r>
      <w:bookmarkEnd w:id="42"/>
    </w:p>
    <w:p w14:paraId="29848F49" w14:textId="77777777" w:rsidR="00656651" w:rsidRDefault="00656651" w:rsidP="00656651">
      <w:pPr>
        <w:pStyle w:val="Heading2"/>
      </w:pPr>
      <w:r>
        <w:t>Prices should be submitted in pounds sterling and be inclusive of expenses and exclusive of VAT.</w:t>
      </w:r>
    </w:p>
    <w:p w14:paraId="5D799E43" w14:textId="77777777" w:rsidR="00656651" w:rsidRDefault="00656651" w:rsidP="00656651">
      <w:pPr>
        <w:pStyle w:val="Heading2"/>
        <w:rPr>
          <w:szCs w:val="22"/>
        </w:rPr>
      </w:pPr>
      <w:r>
        <w:rPr>
          <w:rFonts w:cs="Arial"/>
          <w:szCs w:val="22"/>
          <w:shd w:val="clear" w:color="auto" w:fill="FFFFFF"/>
        </w:rPr>
        <w:t xml:space="preserve">Payment will only be made following satisfactory delivery of pre-agreed deliverables. </w:t>
      </w:r>
    </w:p>
    <w:p w14:paraId="1DB959C4" w14:textId="257E7A9A" w:rsidR="00656651" w:rsidRPr="008A0D91" w:rsidRDefault="00656651" w:rsidP="00656651">
      <w:pPr>
        <w:pStyle w:val="Heading2"/>
        <w:rPr>
          <w:szCs w:val="22"/>
        </w:rPr>
      </w:pPr>
      <w:r>
        <w:t xml:space="preserve">As a minimum the </w:t>
      </w:r>
      <w:r w:rsidR="00455EBF">
        <w:t>potential provider</w:t>
      </w:r>
      <w:r>
        <w:t xml:space="preserve"> will be expected to provide a verbal and written weekly update including spend against budget. As milestones approach this requirement will increase in frequency and face to face and telephone updates will be required as priorities dictate. </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68785329"/>
      <w:r>
        <w:rPr>
          <w:rFonts w:cs="Arial"/>
          <w:szCs w:val="22"/>
        </w:rPr>
        <w:t>additional information</w:t>
      </w:r>
      <w:bookmarkEnd w:id="41"/>
      <w:r>
        <w:rPr>
          <w:rFonts w:cs="Arial"/>
          <w:szCs w:val="22"/>
        </w:rPr>
        <w:t xml:space="preserve"> </w:t>
      </w:r>
      <w:bookmarkEnd w:id="43"/>
    </w:p>
    <w:p w14:paraId="1F59BD85" w14:textId="22C013F4" w:rsidR="00656651" w:rsidRPr="002B3322" w:rsidRDefault="00656651">
      <w:pPr>
        <w:pStyle w:val="Heading2"/>
        <w:tabs>
          <w:tab w:val="clear" w:pos="720"/>
          <w:tab w:val="num" w:pos="709"/>
        </w:tabs>
        <w:spacing w:after="120"/>
        <w:ind w:left="709" w:hanging="709"/>
      </w:pPr>
      <w:bookmarkStart w:id="44" w:name="_Toc368573043"/>
      <w:bookmarkEnd w:id="21"/>
      <w:r>
        <w:t xml:space="preserve">The </w:t>
      </w:r>
      <w:r w:rsidR="00455EBF">
        <w:t>potential provider</w:t>
      </w:r>
      <w:r w:rsidRPr="002B3322">
        <w:t xml:space="preserve"> will be provided with the following supporting documentation to allow the quantification exercise to be delivered</w:t>
      </w:r>
      <w:r>
        <w:t xml:space="preserve"> in a timely manner and enable an excellent expert final report</w:t>
      </w:r>
      <w:r w:rsidRPr="002B3322">
        <w:t>:</w:t>
      </w:r>
    </w:p>
    <w:p w14:paraId="50C8494B" w14:textId="77777777" w:rsidR="00656651" w:rsidRPr="002B3322" w:rsidRDefault="00656651" w:rsidP="0035531F">
      <w:pPr>
        <w:pStyle w:val="ListParagraph"/>
        <w:numPr>
          <w:ilvl w:val="0"/>
          <w:numId w:val="39"/>
        </w:numPr>
        <w:jc w:val="both"/>
        <w:rPr>
          <w:lang w:eastAsia="en-US"/>
        </w:rPr>
      </w:pPr>
      <w:r w:rsidRPr="002B3322">
        <w:rPr>
          <w:lang w:eastAsia="en-US"/>
        </w:rPr>
        <w:t xml:space="preserve">CCO Letter from DWP issued in November 2015 </w:t>
      </w:r>
    </w:p>
    <w:p w14:paraId="2EB0A201" w14:textId="77777777" w:rsidR="00656651" w:rsidRDefault="00656651" w:rsidP="0035531F">
      <w:pPr>
        <w:pStyle w:val="ListParagraph"/>
        <w:numPr>
          <w:ilvl w:val="0"/>
          <w:numId w:val="39"/>
        </w:numPr>
        <w:jc w:val="both"/>
        <w:rPr>
          <w:lang w:eastAsia="en-US"/>
        </w:rPr>
      </w:pPr>
      <w:r w:rsidRPr="002B3322">
        <w:rPr>
          <w:lang w:eastAsia="en-US"/>
        </w:rPr>
        <w:t>Advice from QC in respect of CCOs</w:t>
      </w:r>
    </w:p>
    <w:p w14:paraId="4943DF72" w14:textId="77777777" w:rsidR="00656651" w:rsidRDefault="00656651" w:rsidP="0035531F">
      <w:pPr>
        <w:pStyle w:val="ListParagraph"/>
        <w:numPr>
          <w:ilvl w:val="0"/>
          <w:numId w:val="39"/>
        </w:numPr>
        <w:jc w:val="both"/>
        <w:rPr>
          <w:lang w:eastAsia="en-US"/>
        </w:rPr>
      </w:pPr>
      <w:r w:rsidRPr="002B3322">
        <w:rPr>
          <w:lang w:eastAsia="en-US"/>
        </w:rPr>
        <w:t xml:space="preserve">Two CCO tracker databases </w:t>
      </w:r>
    </w:p>
    <w:p w14:paraId="4BE00582" w14:textId="77777777" w:rsidR="00656651" w:rsidRDefault="00656651" w:rsidP="0035531F">
      <w:pPr>
        <w:pStyle w:val="ListParagraph"/>
        <w:numPr>
          <w:ilvl w:val="0"/>
          <w:numId w:val="39"/>
        </w:numPr>
        <w:jc w:val="both"/>
        <w:rPr>
          <w:lang w:eastAsia="en-US"/>
        </w:rPr>
      </w:pPr>
      <w:r w:rsidRPr="002B3322">
        <w:rPr>
          <w:lang w:eastAsia="en-US"/>
        </w:rPr>
        <w:t>Copy of the current SCE template showing the process from start to finish for increasing or reducing CCO numbers and a copy of the old paper based request.   </w:t>
      </w:r>
    </w:p>
    <w:p w14:paraId="6C40380C" w14:textId="77777777" w:rsidR="00656651" w:rsidRDefault="00656651" w:rsidP="0035531F">
      <w:pPr>
        <w:pStyle w:val="ListParagraph"/>
        <w:numPr>
          <w:ilvl w:val="0"/>
          <w:numId w:val="39"/>
        </w:numPr>
        <w:jc w:val="both"/>
        <w:rPr>
          <w:lang w:eastAsia="en-US"/>
        </w:rPr>
      </w:pPr>
      <w:r w:rsidRPr="002B3322">
        <w:rPr>
          <w:lang w:eastAsia="en-US"/>
        </w:rPr>
        <w:t xml:space="preserve">Access to all available FO880 risk assessments. </w:t>
      </w:r>
    </w:p>
    <w:p w14:paraId="76B30CCE" w14:textId="58ACBABA" w:rsidR="00656651" w:rsidRDefault="00010752" w:rsidP="0035531F">
      <w:pPr>
        <w:pStyle w:val="ListParagraph"/>
        <w:numPr>
          <w:ilvl w:val="0"/>
          <w:numId w:val="39"/>
        </w:numPr>
        <w:jc w:val="both"/>
        <w:rPr>
          <w:lang w:eastAsia="en-US"/>
        </w:rPr>
      </w:pPr>
      <w:r>
        <w:rPr>
          <w:lang w:eastAsia="en-US"/>
        </w:rPr>
        <w:t>i</w:t>
      </w:r>
      <w:r w:rsidR="00656651" w:rsidRPr="002B3322">
        <w:rPr>
          <w:lang w:eastAsia="en-US"/>
        </w:rPr>
        <w:t xml:space="preserve">nvoices for all associated charges from 1 July 2010 to date. </w:t>
      </w:r>
    </w:p>
    <w:p w14:paraId="4DFF4321" w14:textId="77777777" w:rsidR="00656651" w:rsidRDefault="00656651" w:rsidP="00656651">
      <w:pPr>
        <w:pStyle w:val="ListParagraph"/>
        <w:rPr>
          <w:lang w:eastAsia="en-US"/>
        </w:rPr>
      </w:pPr>
    </w:p>
    <w:p w14:paraId="04BBE808" w14:textId="77777777" w:rsidR="00671798" w:rsidRDefault="00FE18AC">
      <w:pPr>
        <w:pStyle w:val="Heading1"/>
        <w:spacing w:after="120"/>
      </w:pPr>
      <w:bookmarkStart w:id="45" w:name="_Toc468785330"/>
      <w:r>
        <w:t>Location</w:t>
      </w:r>
      <w:bookmarkEnd w:id="44"/>
      <w:bookmarkEnd w:id="45"/>
      <w:r>
        <w:t xml:space="preserve"> </w:t>
      </w:r>
    </w:p>
    <w:p w14:paraId="45FDD5CA" w14:textId="78D58B33" w:rsidR="00656651" w:rsidRDefault="00656651" w:rsidP="00656651">
      <w:pPr>
        <w:pStyle w:val="Heading2"/>
        <w:tabs>
          <w:tab w:val="clear" w:pos="720"/>
          <w:tab w:val="num" w:pos="709"/>
        </w:tabs>
        <w:spacing w:after="120"/>
        <w:ind w:left="709" w:hanging="709"/>
      </w:pPr>
      <w:r>
        <w:t xml:space="preserve">The Services will be carried out at the contractor’s premises, remotely. The DWP contract team are based in Quarry House, Leeds. </w:t>
      </w:r>
    </w:p>
    <w:p w14:paraId="0E531ACC" w14:textId="77777777" w:rsidR="00926958" w:rsidRPr="00A74FE3" w:rsidRDefault="00926958" w:rsidP="0035531F">
      <w:pPr>
        <w:tabs>
          <w:tab w:val="left" w:pos="1392"/>
        </w:tabs>
        <w:rPr>
          <w:rFonts w:eastAsia="STZhongsong"/>
          <w:szCs w:val="20"/>
        </w:rPr>
      </w:pPr>
    </w:p>
    <w:sectPr w:rsidR="00926958" w:rsidRPr="00A74FE3"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A2827" w14:textId="77777777" w:rsidR="0054295A" w:rsidRDefault="0054295A">
      <w:pPr>
        <w:spacing w:line="20" w:lineRule="exact"/>
      </w:pPr>
    </w:p>
  </w:endnote>
  <w:endnote w:type="continuationSeparator" w:id="0">
    <w:p w14:paraId="37F17D21" w14:textId="77777777" w:rsidR="0054295A" w:rsidRDefault="0054295A">
      <w:pPr>
        <w:spacing w:line="20" w:lineRule="exact"/>
      </w:pPr>
      <w:r>
        <w:t xml:space="preserve"> </w:t>
      </w:r>
    </w:p>
  </w:endnote>
  <w:endnote w:type="continuationNotice" w:id="1">
    <w:p w14:paraId="0D8F9BDB" w14:textId="77777777" w:rsidR="0054295A" w:rsidRDefault="0054295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362A29" w:rsidRDefault="00362A29"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8BA4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362A29" w:rsidRPr="00985B4D" w:rsidRDefault="00362A29" w:rsidP="00985B4D">
        <w:pPr>
          <w:pStyle w:val="Footer"/>
          <w:jc w:val="center"/>
          <w:rPr>
            <w:sz w:val="20"/>
            <w:szCs w:val="20"/>
          </w:rPr>
        </w:pPr>
        <w:r w:rsidRPr="00985B4D">
          <w:rPr>
            <w:sz w:val="20"/>
            <w:szCs w:val="20"/>
          </w:rPr>
          <w:t>OFFICIAL</w:t>
        </w:r>
      </w:p>
      <w:p w14:paraId="7F67DA18" w14:textId="11B3DC9A" w:rsidR="00362A29" w:rsidRPr="00985B4D" w:rsidRDefault="00362A29">
        <w:pPr>
          <w:pStyle w:val="Footer"/>
          <w:rPr>
            <w:sz w:val="20"/>
            <w:szCs w:val="20"/>
          </w:rPr>
        </w:pPr>
        <w:r w:rsidRPr="00985B4D">
          <w:rPr>
            <w:sz w:val="20"/>
            <w:szCs w:val="20"/>
          </w:rPr>
          <w:t>Appendix B – Statement of Requirements</w:t>
        </w:r>
      </w:p>
      <w:p w14:paraId="5D89FCCB" w14:textId="37C983F8" w:rsidR="00362A29" w:rsidRDefault="00A57A3D">
        <w:pPr>
          <w:pStyle w:val="Footer"/>
          <w:rPr>
            <w:sz w:val="20"/>
            <w:szCs w:val="20"/>
          </w:rPr>
        </w:pPr>
        <w:r>
          <w:rPr>
            <w:sz w:val="20"/>
            <w:szCs w:val="20"/>
          </w:rPr>
          <w:t>Lee Walsh</w:t>
        </w:r>
      </w:p>
      <w:p w14:paraId="1CB7D5DC" w14:textId="191B7152" w:rsidR="00362A29" w:rsidRPr="00985B4D" w:rsidRDefault="00362A29">
        <w:pPr>
          <w:pStyle w:val="Footer"/>
          <w:rPr>
            <w:sz w:val="20"/>
            <w:szCs w:val="20"/>
          </w:rPr>
        </w:pPr>
        <w:r>
          <w:rPr>
            <w:rFonts w:cs="Arial"/>
            <w:color w:val="222222"/>
            <w:sz w:val="19"/>
            <w:szCs w:val="19"/>
            <w:shd w:val="clear" w:color="auto" w:fill="FFFFFF"/>
          </w:rPr>
          <w:t>© Crown copyright 2016</w:t>
        </w:r>
      </w:p>
      <w:p w14:paraId="42D6E6E6" w14:textId="6C1D1B06" w:rsidR="00362A29" w:rsidRPr="00985B4D" w:rsidRDefault="00362A29" w:rsidP="00985B4D">
        <w:pPr>
          <w:pStyle w:val="Footer"/>
          <w:jc w:val="right"/>
          <w:rPr>
            <w:sz w:val="20"/>
            <w:szCs w:val="20"/>
          </w:rPr>
        </w:pPr>
        <w:r>
          <w:rPr>
            <w:sz w:val="20"/>
            <w:szCs w:val="20"/>
          </w:rPr>
          <w:t>V</w:t>
        </w:r>
        <w:r w:rsidR="00F313D8">
          <w:rPr>
            <w:sz w:val="20"/>
            <w:szCs w:val="20"/>
          </w:rPr>
          <w:t>1</w:t>
        </w:r>
        <w:r w:rsidR="00A57A3D">
          <w:rPr>
            <w:sz w:val="20"/>
            <w:szCs w:val="20"/>
          </w:rPr>
          <w:t>.</w:t>
        </w:r>
        <w:r w:rsidR="00F313D8">
          <w:rPr>
            <w:sz w:val="20"/>
            <w:szCs w:val="20"/>
          </w:rPr>
          <w:t>0</w:t>
        </w:r>
        <w:r w:rsidR="00A57A3D">
          <w:rPr>
            <w:sz w:val="20"/>
            <w:szCs w:val="20"/>
          </w:rPr>
          <w:t xml:space="preserve">   </w:t>
        </w:r>
        <w:r w:rsidR="00CE2A74">
          <w:rPr>
            <w:sz w:val="20"/>
            <w:szCs w:val="20"/>
          </w:rPr>
          <w:t>2</w:t>
        </w:r>
        <w:r w:rsidR="00CE2A74" w:rsidRPr="00CE2A74">
          <w:rPr>
            <w:sz w:val="20"/>
            <w:szCs w:val="20"/>
            <w:vertAlign w:val="superscript"/>
          </w:rPr>
          <w:t>nd</w:t>
        </w:r>
        <w:r w:rsidR="00CE2A74">
          <w:rPr>
            <w:sz w:val="20"/>
            <w:szCs w:val="20"/>
          </w:rPr>
          <w:t xml:space="preserve"> December</w:t>
        </w:r>
        <w:r w:rsidR="00A57A3D">
          <w:rPr>
            <w:sz w:val="20"/>
            <w:szCs w:val="20"/>
          </w:rPr>
          <w:t xml:space="preserve"> 2016</w:t>
        </w:r>
      </w:p>
      <w:p w14:paraId="5214230D" w14:textId="4ECA52CA"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54295A">
          <w:rPr>
            <w:noProof/>
            <w:sz w:val="20"/>
            <w:szCs w:val="20"/>
          </w:rPr>
          <w:t>1</w:t>
        </w:r>
        <w:r w:rsidRPr="00985B4D">
          <w:rPr>
            <w:noProof/>
            <w:sz w:val="20"/>
            <w:szCs w:val="20"/>
          </w:rPr>
          <w:fldChar w:fldCharType="end"/>
        </w:r>
      </w:p>
    </w:sdtContent>
  </w:sdt>
  <w:p w14:paraId="6CEF1DBF" w14:textId="77777777" w:rsidR="00362A29" w:rsidRPr="002933F8" w:rsidRDefault="00362A29"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43062" w14:textId="77777777" w:rsidR="0054295A" w:rsidRDefault="0054295A">
      <w:r>
        <w:separator/>
      </w:r>
    </w:p>
  </w:footnote>
  <w:footnote w:type="continuationSeparator" w:id="0">
    <w:p w14:paraId="77217D2A" w14:textId="77777777" w:rsidR="0054295A" w:rsidRDefault="0054295A">
      <w:r>
        <w:continuationSeparator/>
      </w:r>
    </w:p>
  </w:footnote>
  <w:footnote w:type="continuationNotice" w:id="1">
    <w:p w14:paraId="5269D4F6" w14:textId="77777777" w:rsidR="0054295A" w:rsidRDefault="005429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362A29" w:rsidRDefault="00362A29"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FFA1B3E" w14:textId="1D9FE3C2" w:rsidR="00362A29" w:rsidRPr="00A57A3D" w:rsidRDefault="00A57A3D" w:rsidP="005334EA">
    <w:pPr>
      <w:tabs>
        <w:tab w:val="center" w:pos="4153"/>
        <w:tab w:val="right" w:pos="8306"/>
      </w:tabs>
      <w:ind w:left="720"/>
      <w:jc w:val="center"/>
      <w:rPr>
        <w:rFonts w:cs="Arial"/>
        <w:sz w:val="20"/>
        <w:szCs w:val="20"/>
      </w:rPr>
    </w:pPr>
    <w:r w:rsidRPr="00A57A3D">
      <w:rPr>
        <w:rFonts w:cs="Arial"/>
        <w:sz w:val="20"/>
        <w:szCs w:val="20"/>
      </w:rPr>
      <w:t>Provision of Consultancy for Customer Care Officer Charging</w:t>
    </w:r>
  </w:p>
  <w:p w14:paraId="3CFCFA88" w14:textId="3EB9C04D" w:rsidR="00362A29" w:rsidRPr="005334EA" w:rsidRDefault="00B36DC9" w:rsidP="005334EA">
    <w:pPr>
      <w:tabs>
        <w:tab w:val="center" w:pos="4153"/>
        <w:tab w:val="right" w:pos="8306"/>
      </w:tabs>
      <w:ind w:left="720"/>
      <w:jc w:val="center"/>
      <w:rPr>
        <w:sz w:val="20"/>
        <w:szCs w:val="20"/>
      </w:rPr>
    </w:pPr>
    <w:r>
      <w:rPr>
        <w:rFonts w:cs="Arial"/>
        <w:sz w:val="20"/>
        <w:szCs w:val="20"/>
      </w:rPr>
      <w:t xml:space="preserve">Contract Reference: </w:t>
    </w:r>
    <w:r w:rsidR="00A57A3D" w:rsidRPr="00A57A3D">
      <w:rPr>
        <w:rFonts w:cs="Arial"/>
        <w:sz w:val="20"/>
        <w:szCs w:val="20"/>
      </w:rPr>
      <w:t>CCCC16B15</w:t>
    </w:r>
  </w:p>
  <w:p w14:paraId="605B3446" w14:textId="1C5596A0" w:rsidR="00362A29" w:rsidRPr="009D0EAE" w:rsidRDefault="00362A29" w:rsidP="00F946AC">
    <w:pPr>
      <w:pStyle w:val="Header"/>
      <w:jc w:val="center"/>
      <w:rPr>
        <w:rFonts w:cs="Arial"/>
        <w:sz w:val="20"/>
        <w:szCs w:val="20"/>
        <w:highlight w:val="yellow"/>
      </w:rPr>
    </w:pPr>
  </w:p>
  <w:p w14:paraId="6F1572B1" w14:textId="45CD051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E6889F"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AB1B98"/>
    <w:multiLevelType w:val="hybridMultilevel"/>
    <w:tmpl w:val="8E8E55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5654103"/>
    <w:multiLevelType w:val="hybridMultilevel"/>
    <w:tmpl w:val="EE1C3C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A0B0A"/>
    <w:multiLevelType w:val="hybridMultilevel"/>
    <w:tmpl w:val="69B8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A207E19"/>
    <w:multiLevelType w:val="hybridMultilevel"/>
    <w:tmpl w:val="8B081FDE"/>
    <w:lvl w:ilvl="0" w:tplc="299A6080">
      <w:start w:val="3"/>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50965CCA"/>
    <w:multiLevelType w:val="multilevel"/>
    <w:tmpl w:val="1332CCD4"/>
    <w:name w:val="Appendicies Heading List"/>
    <w:numStyleLink w:val="111111"/>
  </w:abstractNum>
  <w:abstractNum w:abstractNumId="28"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8"/>
  </w:num>
  <w:num w:numId="3">
    <w:abstractNumId w:val="16"/>
  </w:num>
  <w:num w:numId="4">
    <w:abstractNumId w:val="17"/>
  </w:num>
  <w:num w:numId="5">
    <w:abstractNumId w:val="5"/>
  </w:num>
  <w:num w:numId="6">
    <w:abstractNumId w:val="24"/>
  </w:num>
  <w:num w:numId="7">
    <w:abstractNumId w:val="19"/>
  </w:num>
  <w:num w:numId="8">
    <w:abstractNumId w:val="14"/>
  </w:num>
  <w:num w:numId="9">
    <w:abstractNumId w:val="4"/>
  </w:num>
  <w:num w:numId="10">
    <w:abstractNumId w:val="3"/>
  </w:num>
  <w:num w:numId="11">
    <w:abstractNumId w:val="2"/>
  </w:num>
  <w:num w:numId="12">
    <w:abstractNumId w:val="1"/>
  </w:num>
  <w:num w:numId="13">
    <w:abstractNumId w:val="0"/>
  </w:num>
  <w:num w:numId="14">
    <w:abstractNumId w:val="36"/>
  </w:num>
  <w:num w:numId="15">
    <w:abstractNumId w:val="9"/>
  </w:num>
  <w:num w:numId="16">
    <w:abstractNumId w:val="32"/>
  </w:num>
  <w:num w:numId="17">
    <w:abstractNumId w:val="8"/>
  </w:num>
  <w:num w:numId="18">
    <w:abstractNumId w:val="20"/>
  </w:num>
  <w:num w:numId="19">
    <w:abstractNumId w:val="18"/>
  </w:num>
  <w:num w:numId="20">
    <w:abstractNumId w:val="30"/>
  </w:num>
  <w:num w:numId="21">
    <w:abstractNumId w:val="13"/>
  </w:num>
  <w:num w:numId="22">
    <w:abstractNumId w:val="34"/>
  </w:num>
  <w:num w:numId="23">
    <w:abstractNumId w:val="25"/>
  </w:num>
  <w:num w:numId="24">
    <w:abstractNumId w:val="12"/>
  </w:num>
  <w:num w:numId="25">
    <w:abstractNumId w:val="33"/>
  </w:num>
  <w:num w:numId="26">
    <w:abstractNumId w:val="7"/>
  </w:num>
  <w:num w:numId="27">
    <w:abstractNumId w:val="29"/>
  </w:num>
  <w:num w:numId="28">
    <w:abstractNumId w:val="22"/>
  </w:num>
  <w:num w:numId="29">
    <w:abstractNumId w:val="35"/>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num>
  <w:num w:numId="33">
    <w:abstractNumId w:val="11"/>
  </w:num>
  <w:num w:numId="34">
    <w:abstractNumId w:val="15"/>
  </w:num>
  <w:num w:numId="35">
    <w:abstractNumId w:val="28"/>
  </w:num>
  <w:num w:numId="36">
    <w:abstractNumId w:val="28"/>
  </w:num>
  <w:num w:numId="37">
    <w:abstractNumId w:val="28"/>
  </w:num>
  <w:num w:numId="38">
    <w:abstractNumId w:val="28"/>
  </w:num>
  <w:num w:numId="39">
    <w:abstractNumId w:val="23"/>
  </w:num>
  <w:num w:numId="40">
    <w:abstractNumId w:val="28"/>
  </w:num>
  <w:num w:numId="4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0752"/>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764EA"/>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D57BF"/>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6EE7"/>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531F"/>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4F16"/>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EBF"/>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D65E8"/>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4295A"/>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4922"/>
    <w:rsid w:val="00586640"/>
    <w:rsid w:val="00586CC2"/>
    <w:rsid w:val="00590FFC"/>
    <w:rsid w:val="005924FF"/>
    <w:rsid w:val="00593CFF"/>
    <w:rsid w:val="00597B02"/>
    <w:rsid w:val="00597D2D"/>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0F"/>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6651"/>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1DBF"/>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262F6"/>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0E17"/>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A8"/>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A3D"/>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6DC9"/>
    <w:rsid w:val="00B37052"/>
    <w:rsid w:val="00B40CCC"/>
    <w:rsid w:val="00B42707"/>
    <w:rsid w:val="00B432A0"/>
    <w:rsid w:val="00B46D5E"/>
    <w:rsid w:val="00B4720A"/>
    <w:rsid w:val="00B50716"/>
    <w:rsid w:val="00B50FC5"/>
    <w:rsid w:val="00B55F78"/>
    <w:rsid w:val="00B561E8"/>
    <w:rsid w:val="00B57549"/>
    <w:rsid w:val="00B6018D"/>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48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2A74"/>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26D"/>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96B56"/>
    <w:rsid w:val="00DA5C32"/>
    <w:rsid w:val="00DA6D7B"/>
    <w:rsid w:val="00DA770E"/>
    <w:rsid w:val="00DB0586"/>
    <w:rsid w:val="00DB0BF5"/>
    <w:rsid w:val="00DB0CEC"/>
    <w:rsid w:val="00DB1185"/>
    <w:rsid w:val="00DB3C6E"/>
    <w:rsid w:val="00DB3D51"/>
    <w:rsid w:val="00DB4281"/>
    <w:rsid w:val="00DB7133"/>
    <w:rsid w:val="00DB7EEA"/>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7B35"/>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40F3"/>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0791B"/>
    <w:rsid w:val="00F10B2A"/>
    <w:rsid w:val="00F10E1E"/>
    <w:rsid w:val="00F1110B"/>
    <w:rsid w:val="00F12BDC"/>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13D8"/>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A7C3E"/>
    <w:rsid w:val="00FB1A3D"/>
    <w:rsid w:val="00FB1E81"/>
    <w:rsid w:val="00FB2431"/>
    <w:rsid w:val="00FB7505"/>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3E85848D-B765-483B-A2B8-D9905D5F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22442/diversity-and-equality-requirements-contractor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227F9-65B2-4B7D-A2D9-C92C2170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19400</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Lee Walsh</cp:lastModifiedBy>
  <cp:revision>2</cp:revision>
  <dcterms:created xsi:type="dcterms:W3CDTF">2016-12-06T15:29:00Z</dcterms:created>
  <dcterms:modified xsi:type="dcterms:W3CDTF">2016-12-06T15:29:00Z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_AdHocReviewCycleID">
    <vt:i4>-1019857020</vt:i4>
  </property>
  <property fmtid="{D5CDD505-2E9C-101B-9397-08002B2CF9AE}" pid="8" name="_NewReviewCycle">
    <vt:lpwstr/>
  </property>
  <property fmtid="{D5CDD505-2E9C-101B-9397-08002B2CF9AE}" pid="9" name="_EmailSubject">
    <vt:lpwstr>Procurement Approval Request</vt:lpwstr>
  </property>
  <property fmtid="{D5CDD505-2E9C-101B-9397-08002B2CF9AE}" pid="10" name="_AuthorEmail">
    <vt:lpwstr>ROSS.KENNEDY1@DWP.GSI.GOV.UK</vt:lpwstr>
  </property>
  <property fmtid="{D5CDD505-2E9C-101B-9397-08002B2CF9AE}" pid="11" name="_AuthorEmailDisplayName">
    <vt:lpwstr>Kennedy Ross DWP ESTATES</vt:lpwstr>
  </property>
  <property fmtid="{D5CDD505-2E9C-101B-9397-08002B2CF9AE}" pid="12" name="_ReviewingToolsShownOnce">
    <vt:lpwstr/>
  </property>
</Properties>
</file>