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690247">
      <w:pPr>
        <w:pStyle w:val="Logos"/>
        <w:tabs>
          <w:tab w:val="right" w:pos="9498"/>
        </w:tabs>
        <w:spacing w:line="276" w:lineRule="auto"/>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20A63013" w:rsidR="005C0B41" w:rsidRPr="00B818C3" w:rsidRDefault="00A57128" w:rsidP="00690247">
      <w:pPr>
        <w:pStyle w:val="Heading1"/>
        <w:spacing w:line="276" w:lineRule="auto"/>
        <w:jc w:val="center"/>
        <w:rPr>
          <w:sz w:val="44"/>
          <w:szCs w:val="44"/>
        </w:rPr>
      </w:pPr>
      <w:r w:rsidRPr="00B818C3">
        <w:rPr>
          <w:sz w:val="44"/>
          <w:szCs w:val="44"/>
        </w:rPr>
        <w:t xml:space="preserve">Expression of </w:t>
      </w:r>
      <w:r w:rsidR="00AD2E94">
        <w:rPr>
          <w:sz w:val="44"/>
          <w:szCs w:val="44"/>
        </w:rPr>
        <w:t>I</w:t>
      </w:r>
      <w:r w:rsidRPr="00B818C3">
        <w:rPr>
          <w:sz w:val="44"/>
          <w:szCs w:val="44"/>
        </w:rPr>
        <w:t>nterest</w:t>
      </w:r>
    </w:p>
    <w:p w14:paraId="53740045" w14:textId="047C37F5" w:rsidR="00A57128" w:rsidRDefault="00A57128" w:rsidP="00690247">
      <w:pPr>
        <w:spacing w:line="276" w:lineRule="auto"/>
      </w:pPr>
    </w:p>
    <w:p w14:paraId="6329DEC5" w14:textId="308AD872" w:rsidR="00A57128" w:rsidRPr="007E0083" w:rsidRDefault="00A57128" w:rsidP="00690247">
      <w:pPr>
        <w:pStyle w:val="Heading1"/>
        <w:spacing w:line="276" w:lineRule="auto"/>
      </w:pPr>
      <w:r w:rsidRPr="007E0083">
        <w:t>Title:</w:t>
      </w:r>
      <w:r w:rsidR="006249D2">
        <w:t xml:space="preserve"> Literature review – What motivates employers to offer family friendly policies?</w:t>
      </w:r>
    </w:p>
    <w:p w14:paraId="2B434E3D" w14:textId="3178AE7E" w:rsidR="00A57128" w:rsidRPr="007E0083" w:rsidRDefault="00C248EE" w:rsidP="00690247">
      <w:pPr>
        <w:spacing w:line="276" w:lineRule="auto"/>
        <w:rPr>
          <w:b/>
        </w:rPr>
      </w:pPr>
      <w:r>
        <w:rPr>
          <w:b/>
        </w:rPr>
        <w:t>Project reference: DF</w:t>
      </w:r>
      <w:bookmarkStart w:id="0" w:name="_GoBack"/>
      <w:bookmarkEnd w:id="0"/>
      <w:r>
        <w:rPr>
          <w:b/>
        </w:rPr>
        <w:t>E/RPPU/2018/021</w:t>
      </w:r>
    </w:p>
    <w:p w14:paraId="501D40E4" w14:textId="184AD129" w:rsidR="00A57128" w:rsidRPr="007E0083" w:rsidRDefault="00A57128" w:rsidP="00690247">
      <w:pPr>
        <w:spacing w:line="276" w:lineRule="auto"/>
        <w:rPr>
          <w:b/>
        </w:rPr>
      </w:pPr>
      <w:r w:rsidRPr="007E0083">
        <w:rPr>
          <w:b/>
        </w:rPr>
        <w:t>Deadline for expressions of interest:</w:t>
      </w:r>
      <w:r w:rsidR="00AC483E">
        <w:rPr>
          <w:b/>
        </w:rPr>
        <w:t xml:space="preserve"> 23</w:t>
      </w:r>
      <w:r w:rsidR="00AC483E">
        <w:rPr>
          <w:b/>
          <w:vertAlign w:val="superscript"/>
        </w:rPr>
        <w:t>rd</w:t>
      </w:r>
      <w:r w:rsidR="0074510C">
        <w:rPr>
          <w:b/>
        </w:rPr>
        <w:t xml:space="preserve"> May 2018</w:t>
      </w:r>
    </w:p>
    <w:p w14:paraId="46D0B56A" w14:textId="27F1A1A6" w:rsidR="006249D2" w:rsidRDefault="00A57128" w:rsidP="00690247">
      <w:pPr>
        <w:pStyle w:val="Heading2"/>
        <w:spacing w:line="276" w:lineRule="auto"/>
      </w:pPr>
      <w:r w:rsidRPr="001F2CE2">
        <w:t>Summary</w:t>
      </w:r>
    </w:p>
    <w:p w14:paraId="39AC8758" w14:textId="6EF56C15" w:rsidR="006249D2" w:rsidRDefault="006249D2" w:rsidP="00690247">
      <w:pPr>
        <w:spacing w:after="0" w:line="276" w:lineRule="auto"/>
        <w:jc w:val="both"/>
      </w:pPr>
      <w:r>
        <w:t xml:space="preserve">The Government Equalities Office (GEO) is seeking contractors </w:t>
      </w:r>
      <w:r w:rsidR="00830631">
        <w:t xml:space="preserve">(or a single contractor) </w:t>
      </w:r>
      <w:r>
        <w:t xml:space="preserve">to deliver three pieces of research relating to gender equality in the workplace. This EOI relates to </w:t>
      </w:r>
      <w:r w:rsidR="00830631">
        <w:t xml:space="preserve">one of those projects: </w:t>
      </w:r>
      <w:r>
        <w:t>a literature review of evidence on the motivations of employers in offering family friendly policies.</w:t>
      </w:r>
    </w:p>
    <w:p w14:paraId="0BF9ADD3" w14:textId="49576AE4" w:rsidR="00A57128" w:rsidRDefault="00A57128" w:rsidP="00690247">
      <w:pPr>
        <w:pStyle w:val="Heading2"/>
        <w:spacing w:line="276" w:lineRule="auto"/>
      </w:pPr>
      <w:r>
        <w:t>Background</w:t>
      </w:r>
    </w:p>
    <w:p w14:paraId="70581F2C" w14:textId="4F8358E1" w:rsidR="00463931" w:rsidRDefault="0074510C" w:rsidP="00690247">
      <w:pPr>
        <w:spacing w:line="276" w:lineRule="auto"/>
      </w:pPr>
      <w:r w:rsidRPr="007E1A19">
        <w:t xml:space="preserve">In April 2018, large employers </w:t>
      </w:r>
      <w:r w:rsidRPr="006249D2">
        <w:t>reported on their gender pay gaps (GPGs</w:t>
      </w:r>
      <w:r w:rsidR="006249D2">
        <w:t>)</w:t>
      </w:r>
      <w:r w:rsidRPr="006249D2">
        <w:t xml:space="preserve"> publicly for the first time, marking a pivotal moment in the Government’s efforts to tackle gender</w:t>
      </w:r>
      <w:r w:rsidRPr="007E1A19">
        <w:t xml:space="preserve"> inequality in the workplace. Employers are now </w:t>
      </w:r>
      <w:r>
        <w:t xml:space="preserve">beginning to </w:t>
      </w:r>
      <w:r w:rsidRPr="007E1A19">
        <w:t xml:space="preserve">actively look for </w:t>
      </w:r>
      <w:r w:rsidR="006D1BD8">
        <w:t>evidence-based ad</w:t>
      </w:r>
      <w:r w:rsidR="00190049">
        <w:t>vice</w:t>
      </w:r>
      <w:r w:rsidRPr="007E1A19">
        <w:t xml:space="preserve"> on how to close their GPGs</w:t>
      </w:r>
      <w:r w:rsidR="006249D2">
        <w:t xml:space="preserve">, and the Government </w:t>
      </w:r>
      <w:r w:rsidR="00830631">
        <w:t>are undertaking</w:t>
      </w:r>
      <w:r w:rsidR="006249D2">
        <w:t xml:space="preserve"> work t</w:t>
      </w:r>
      <w:r w:rsidR="00190049">
        <w:t>o</w:t>
      </w:r>
      <w:r w:rsidR="006249D2">
        <w:t xml:space="preserve"> support this.</w:t>
      </w:r>
      <w:r w:rsidR="00463931" w:rsidRPr="00463931">
        <w:t xml:space="preserve"> </w:t>
      </w:r>
    </w:p>
    <w:p w14:paraId="6081E3C8" w14:textId="17B3C045" w:rsidR="0074510C" w:rsidRDefault="006D1BD8" w:rsidP="00690247">
      <w:pPr>
        <w:spacing w:line="276" w:lineRule="auto"/>
      </w:pPr>
      <w:r w:rsidRPr="007E061E">
        <w:t xml:space="preserve">Over the next 2 years, </w:t>
      </w:r>
      <w:r w:rsidR="00463931" w:rsidRPr="007E061E">
        <w:t>GEO</w:t>
      </w:r>
      <w:r w:rsidRPr="007E061E">
        <w:t xml:space="preserve"> plans to focus on building the evidence base on</w:t>
      </w:r>
      <w:r w:rsidR="00463931" w:rsidRPr="007E061E">
        <w:t xml:space="preserve"> key themes around what works to close the gender pay gap. To support this programme</w:t>
      </w:r>
      <w:r w:rsidR="00463931">
        <w:t xml:space="preserve"> </w:t>
      </w:r>
      <w:r w:rsidR="006249D2">
        <w:t>GEO are commissioning</w:t>
      </w:r>
      <w:r w:rsidR="0074510C">
        <w:t xml:space="preserve"> research on three </w:t>
      </w:r>
      <w:r w:rsidR="006249D2">
        <w:t>employer-</w:t>
      </w:r>
      <w:r w:rsidR="0074510C">
        <w:t xml:space="preserve">facing topics that will be key to </w:t>
      </w:r>
      <w:r w:rsidR="006249D2">
        <w:t>building our understanding of</w:t>
      </w:r>
      <w:r w:rsidR="0074510C">
        <w:t xml:space="preserve"> what employers can do to help reduce their gender pay gaps</w:t>
      </w:r>
      <w:r w:rsidR="00830631">
        <w:t>. These are</w:t>
      </w:r>
      <w:r w:rsidR="0074510C">
        <w:t>:</w:t>
      </w:r>
    </w:p>
    <w:p w14:paraId="720C56FB" w14:textId="4450E90C" w:rsidR="0074510C" w:rsidRDefault="0074510C" w:rsidP="00690247">
      <w:pPr>
        <w:pStyle w:val="ListParagraph"/>
        <w:numPr>
          <w:ilvl w:val="0"/>
          <w:numId w:val="19"/>
        </w:numPr>
        <w:pBdr>
          <w:top w:val="single" w:sz="4" w:space="1" w:color="auto"/>
          <w:left w:val="single" w:sz="4" w:space="4" w:color="auto"/>
          <w:bottom w:val="single" w:sz="4" w:space="1" w:color="auto"/>
          <w:right w:val="single" w:sz="4" w:space="4" w:color="auto"/>
        </w:pBdr>
        <w:spacing w:line="276" w:lineRule="auto"/>
      </w:pPr>
      <w:r w:rsidRPr="0047191D">
        <w:rPr>
          <w:b/>
        </w:rPr>
        <w:t>Employer motivations for offering family friendly policies</w:t>
      </w:r>
      <w:r>
        <w:t xml:space="preserve">. </w:t>
      </w:r>
      <w:r w:rsidR="00830631">
        <w:t>Understanding</w:t>
      </w:r>
      <w:r>
        <w:t xml:space="preserve"> </w:t>
      </w:r>
      <w:r w:rsidR="00830631">
        <w:t>what leads employers to</w:t>
      </w:r>
      <w:r>
        <w:t xml:space="preserve"> </w:t>
      </w:r>
      <w:r w:rsidR="00830631">
        <w:t>offer and promote family-</w:t>
      </w:r>
      <w:r>
        <w:t>friendly workplace policies</w:t>
      </w:r>
      <w:r w:rsidR="00830631">
        <w:t>,</w:t>
      </w:r>
      <w:r>
        <w:t xml:space="preserve"> and which interventions are likely to be successful</w:t>
      </w:r>
      <w:r w:rsidR="00830631">
        <w:t xml:space="preserve"> in encouraging this.</w:t>
      </w:r>
    </w:p>
    <w:p w14:paraId="5E71C787" w14:textId="5FD69F44" w:rsidR="0074510C" w:rsidRDefault="0074510C" w:rsidP="00690247">
      <w:pPr>
        <w:pStyle w:val="ListParagraph"/>
        <w:numPr>
          <w:ilvl w:val="0"/>
          <w:numId w:val="19"/>
        </w:numPr>
        <w:spacing w:line="276" w:lineRule="auto"/>
      </w:pPr>
      <w:r w:rsidRPr="0047191D">
        <w:rPr>
          <w:b/>
        </w:rPr>
        <w:t>Women's progression.</w:t>
      </w:r>
      <w:r>
        <w:t xml:space="preserve"> </w:t>
      </w:r>
      <w:r w:rsidR="00830631">
        <w:t>Establishing the extent of the gender divide in women’s progression in the workplace, the barriers that contribute to this, and which interventions are likely to be successful in overcoming them</w:t>
      </w:r>
      <w:r w:rsidR="00034EC4">
        <w:t>.</w:t>
      </w:r>
    </w:p>
    <w:p w14:paraId="03310753" w14:textId="5F1ED23D" w:rsidR="0074510C" w:rsidRPr="006249D2" w:rsidRDefault="0074510C" w:rsidP="00690247">
      <w:pPr>
        <w:pStyle w:val="ListParagraph"/>
        <w:numPr>
          <w:ilvl w:val="0"/>
          <w:numId w:val="19"/>
        </w:numPr>
        <w:spacing w:line="276" w:lineRule="auto"/>
      </w:pPr>
      <w:r w:rsidRPr="0047191D">
        <w:rPr>
          <w:b/>
        </w:rPr>
        <w:t>Occupational downgrading.</w:t>
      </w:r>
      <w:r>
        <w:t xml:space="preserve"> </w:t>
      </w:r>
      <w:r w:rsidR="00830631">
        <w:t>Investigating the extent to which women limit their work ambitions after having children, and what drives them to do so.</w:t>
      </w:r>
    </w:p>
    <w:p w14:paraId="0AF2AA96" w14:textId="4ADF1E5D" w:rsidR="0074510C" w:rsidRDefault="0074510C" w:rsidP="00690247">
      <w:pPr>
        <w:spacing w:line="276" w:lineRule="auto"/>
        <w:ind w:left="720" w:hanging="360"/>
      </w:pPr>
      <w:r>
        <w:t xml:space="preserve">This </w:t>
      </w:r>
      <w:r w:rsidR="006249D2">
        <w:t xml:space="preserve">EOI relates </w:t>
      </w:r>
      <w:r w:rsidR="00830631">
        <w:t xml:space="preserve">to the project on </w:t>
      </w:r>
      <w:r w:rsidR="00830631">
        <w:rPr>
          <w:b/>
        </w:rPr>
        <w:t>e</w:t>
      </w:r>
      <w:r w:rsidR="00830631" w:rsidRPr="0047191D">
        <w:rPr>
          <w:b/>
        </w:rPr>
        <w:t>mployer motivations for offering family friendly policies</w:t>
      </w:r>
      <w:r w:rsidR="00830631">
        <w:rPr>
          <w:b/>
        </w:rPr>
        <w:t>.</w:t>
      </w:r>
    </w:p>
    <w:p w14:paraId="2DA3BB87" w14:textId="5C67B947" w:rsidR="00A57128" w:rsidRDefault="00683562" w:rsidP="00690247">
      <w:pPr>
        <w:pStyle w:val="Heading2"/>
        <w:spacing w:line="276" w:lineRule="auto"/>
      </w:pPr>
      <w:r>
        <w:lastRenderedPageBreak/>
        <w:t>Project</w:t>
      </w:r>
      <w:r w:rsidR="00A57128" w:rsidRPr="003E05F9">
        <w:t xml:space="preserve"> aims</w:t>
      </w:r>
    </w:p>
    <w:p w14:paraId="34B4F431" w14:textId="364F591A" w:rsidR="00891327" w:rsidRPr="00891327" w:rsidRDefault="00891327" w:rsidP="00690247">
      <w:pPr>
        <w:tabs>
          <w:tab w:val="left" w:pos="7665"/>
        </w:tabs>
        <w:spacing w:line="276" w:lineRule="auto"/>
        <w:rPr>
          <w:rFonts w:cs="Arial"/>
        </w:rPr>
      </w:pPr>
      <w:r>
        <w:rPr>
          <w:rFonts w:cs="Arial"/>
        </w:rPr>
        <w:t>For the purposes of this project, we define a family-friendly policy as one which supports employees – including men and women – to effectively combine caring responsibilities with work. Such policies could include flexible working, enhanced parental pay, and additional childcare provision</w:t>
      </w:r>
      <w:r w:rsidR="006D1BD8">
        <w:rPr>
          <w:rFonts w:cs="Arial"/>
        </w:rPr>
        <w:t xml:space="preserve"> as well as other initiatives</w:t>
      </w:r>
      <w:r>
        <w:rPr>
          <w:rFonts w:cs="Arial"/>
        </w:rPr>
        <w:t xml:space="preserve">. However, we are open to engaging with bidders in developing and refining this definition. </w:t>
      </w:r>
    </w:p>
    <w:p w14:paraId="123BCDFC" w14:textId="1D56D338" w:rsidR="006249D2" w:rsidRDefault="006249D2" w:rsidP="00690247">
      <w:pPr>
        <w:spacing w:line="276" w:lineRule="auto"/>
      </w:pPr>
      <w:r>
        <w:t xml:space="preserve">The final project should </w:t>
      </w:r>
      <w:r w:rsidR="006B2110">
        <w:t>respond to the following research questions:</w:t>
      </w:r>
    </w:p>
    <w:p w14:paraId="26F1C245" w14:textId="39D61238" w:rsidR="005267D0" w:rsidRPr="005267D0" w:rsidRDefault="005267D0" w:rsidP="00690247">
      <w:pPr>
        <w:pStyle w:val="ListParagraph"/>
        <w:numPr>
          <w:ilvl w:val="0"/>
          <w:numId w:val="20"/>
        </w:numPr>
        <w:spacing w:after="160" w:line="276" w:lineRule="auto"/>
        <w:rPr>
          <w:rFonts w:cs="Arial"/>
        </w:rPr>
      </w:pPr>
      <w:r>
        <w:rPr>
          <w:rFonts w:cs="Arial"/>
        </w:rPr>
        <w:t>What factors influence employers to offer employee benefits, in particular family-friendly policies?</w:t>
      </w:r>
    </w:p>
    <w:p w14:paraId="2EA860A0" w14:textId="77777777" w:rsidR="006249D2" w:rsidRPr="00C135B8" w:rsidRDefault="006249D2" w:rsidP="00690247">
      <w:pPr>
        <w:pStyle w:val="ListParagraph"/>
        <w:numPr>
          <w:ilvl w:val="0"/>
          <w:numId w:val="20"/>
        </w:numPr>
        <w:spacing w:after="160" w:line="276" w:lineRule="auto"/>
        <w:rPr>
          <w:rFonts w:cs="Arial"/>
        </w:rPr>
      </w:pPr>
      <w:r w:rsidRPr="00C135B8">
        <w:rPr>
          <w:rFonts w:cs="Arial"/>
        </w:rPr>
        <w:t>What evidence exists that family-friendly policies (e.g. flexible working, enhanced parental pay, subsidised childcare) benefit or disadvantage employers?</w:t>
      </w:r>
    </w:p>
    <w:p w14:paraId="0C8F986E" w14:textId="77777777" w:rsidR="006249D2" w:rsidRDefault="006249D2" w:rsidP="00690247">
      <w:pPr>
        <w:pStyle w:val="ListParagraph"/>
        <w:numPr>
          <w:ilvl w:val="0"/>
          <w:numId w:val="20"/>
        </w:numPr>
        <w:spacing w:after="160" w:line="276" w:lineRule="auto"/>
        <w:rPr>
          <w:rFonts w:cs="Arial"/>
        </w:rPr>
      </w:pPr>
      <w:r w:rsidRPr="00C135B8">
        <w:rPr>
          <w:rFonts w:cs="Arial"/>
        </w:rPr>
        <w:t xml:space="preserve">What do employers </w:t>
      </w:r>
      <w:r w:rsidRPr="00C135B8">
        <w:rPr>
          <w:rFonts w:cs="Arial"/>
          <w:i/>
        </w:rPr>
        <w:t>perceive</w:t>
      </w:r>
      <w:r w:rsidRPr="00C135B8">
        <w:rPr>
          <w:rFonts w:cs="Arial"/>
        </w:rPr>
        <w:t xml:space="preserve"> to be </w:t>
      </w:r>
      <w:r>
        <w:rPr>
          <w:rFonts w:cs="Arial"/>
        </w:rPr>
        <w:t xml:space="preserve">the </w:t>
      </w:r>
      <w:r w:rsidRPr="00C135B8">
        <w:rPr>
          <w:rFonts w:cs="Arial"/>
        </w:rPr>
        <w:t>benefits/disadvantages of</w:t>
      </w:r>
      <w:r>
        <w:rPr>
          <w:rFonts w:cs="Arial"/>
        </w:rPr>
        <w:t xml:space="preserve"> offering family friendly policies? To what extent are these perceptions accurate? </w:t>
      </w:r>
    </w:p>
    <w:p w14:paraId="198EB404" w14:textId="47C537D0" w:rsidR="00891327" w:rsidRDefault="006249D2" w:rsidP="00690247">
      <w:pPr>
        <w:pStyle w:val="ListParagraph"/>
        <w:numPr>
          <w:ilvl w:val="0"/>
          <w:numId w:val="20"/>
        </w:numPr>
        <w:spacing w:after="160" w:line="276" w:lineRule="auto"/>
        <w:rPr>
          <w:rFonts w:cs="Arial"/>
        </w:rPr>
      </w:pPr>
      <w:r>
        <w:rPr>
          <w:rFonts w:cs="Arial"/>
        </w:rPr>
        <w:t>What policy interventions have been demonstrated to be successful in encouraging employers to offer family-friendly policies? What untested interventions does the evidence suggest could be successful?</w:t>
      </w:r>
    </w:p>
    <w:p w14:paraId="73FAFC81" w14:textId="77777777" w:rsidR="005267D0" w:rsidRPr="005267D0" w:rsidRDefault="005267D0" w:rsidP="00690247">
      <w:pPr>
        <w:pStyle w:val="ListParagraph"/>
        <w:numPr>
          <w:ilvl w:val="0"/>
          <w:numId w:val="0"/>
        </w:numPr>
        <w:spacing w:after="160" w:line="276" w:lineRule="auto"/>
        <w:ind w:left="720"/>
        <w:rPr>
          <w:rFonts w:cs="Arial"/>
        </w:rPr>
      </w:pPr>
    </w:p>
    <w:p w14:paraId="50955DFC" w14:textId="52BF9069" w:rsidR="00891327" w:rsidRPr="006B2110" w:rsidRDefault="00690247" w:rsidP="00690247">
      <w:pPr>
        <w:tabs>
          <w:tab w:val="left" w:pos="7665"/>
        </w:tabs>
        <w:spacing w:line="276" w:lineRule="auto"/>
        <w:rPr>
          <w:rFonts w:cs="Arial"/>
        </w:rPr>
      </w:pPr>
      <w:r w:rsidRPr="007E061E">
        <w:rPr>
          <w:rFonts w:cs="Arial"/>
        </w:rPr>
        <w:t xml:space="preserve">As one objective of this project is to support </w:t>
      </w:r>
      <w:r w:rsidR="006D1BD8" w:rsidRPr="007E061E">
        <w:rPr>
          <w:rFonts w:cs="Arial"/>
        </w:rPr>
        <w:t>employers to understand what works to increase gender equality in their organisations</w:t>
      </w:r>
      <w:r w:rsidRPr="007E061E">
        <w:rPr>
          <w:rFonts w:cs="Arial"/>
        </w:rPr>
        <w:t>,</w:t>
      </w:r>
      <w:r>
        <w:rPr>
          <w:rFonts w:cs="Arial"/>
        </w:rPr>
        <w:t xml:space="preserve"> w</w:t>
      </w:r>
      <w:r w:rsidR="00891327">
        <w:rPr>
          <w:rFonts w:cs="Arial"/>
        </w:rPr>
        <w:t xml:space="preserve">e </w:t>
      </w:r>
      <w:r>
        <w:rPr>
          <w:rFonts w:cs="Arial"/>
        </w:rPr>
        <w:t xml:space="preserve">will </w:t>
      </w:r>
      <w:r w:rsidR="00B605B3">
        <w:rPr>
          <w:rFonts w:cs="Arial"/>
        </w:rPr>
        <w:t xml:space="preserve">ask </w:t>
      </w:r>
      <w:r>
        <w:rPr>
          <w:rFonts w:cs="Arial"/>
        </w:rPr>
        <w:t>bidders at the ITT state to offer a proposal as to how they would ensure effective dissemination of the work</w:t>
      </w:r>
      <w:r w:rsidR="00891327">
        <w:rPr>
          <w:rFonts w:cs="Arial"/>
        </w:rPr>
        <w:t xml:space="preserve"> </w:t>
      </w:r>
      <w:r>
        <w:rPr>
          <w:rFonts w:cs="Arial"/>
        </w:rPr>
        <w:t>(note that full details of proposed approach are not required at the EOI stage)</w:t>
      </w:r>
      <w:r w:rsidR="00891327">
        <w:rPr>
          <w:rFonts w:cs="Arial"/>
        </w:rPr>
        <w:t xml:space="preserve">. </w:t>
      </w:r>
      <w:r>
        <w:rPr>
          <w:rFonts w:cs="Arial"/>
        </w:rPr>
        <w:t>The successful contractor</w:t>
      </w:r>
      <w:r w:rsidR="00891327">
        <w:rPr>
          <w:rFonts w:cs="Arial"/>
        </w:rPr>
        <w:t xml:space="preserve"> will be required to present findings both internally and externally. Along with a traditional research report, contractors will be required to produce summaries of outputs suitable for employers and other stakeholders. </w:t>
      </w:r>
      <w:r w:rsidR="005848AD">
        <w:rPr>
          <w:rFonts w:cs="Arial"/>
        </w:rPr>
        <w:t>To fulfil</w:t>
      </w:r>
      <w:r w:rsidR="00891327">
        <w:rPr>
          <w:rFonts w:cs="Arial"/>
        </w:rPr>
        <w:t xml:space="preserve"> GEO’s objective of ensuring work is effectively disseminated, we encourage bids from contractors who would intend to publish findings in academic journals.</w:t>
      </w:r>
    </w:p>
    <w:p w14:paraId="0E6B3F4B" w14:textId="176E2CC5" w:rsidR="004A600B" w:rsidRDefault="004A600B" w:rsidP="00690247">
      <w:pPr>
        <w:pStyle w:val="Heading2"/>
        <w:spacing w:line="276" w:lineRule="auto"/>
      </w:pPr>
      <w:r>
        <w:t>Methodology</w:t>
      </w:r>
    </w:p>
    <w:p w14:paraId="353CD822" w14:textId="7789F90B" w:rsidR="00683562" w:rsidRDefault="0074510C" w:rsidP="00690247">
      <w:pPr>
        <w:spacing w:line="276" w:lineRule="auto"/>
      </w:pPr>
      <w:r>
        <w:t xml:space="preserve">Submitted EOIs should include </w:t>
      </w:r>
      <w:r w:rsidR="006D1BD8">
        <w:t xml:space="preserve">a </w:t>
      </w:r>
      <w:r>
        <w:t xml:space="preserve">proposal of a high-level methodology for the work. We require that the identified research questions be answered via a literature review, but leave it open to bidders as to the specific form this should take (e.g., systematic, traditional). Bidders should also offer high-level proposals as to how they would </w:t>
      </w:r>
      <w:r w:rsidR="006B2110">
        <w:t>engage with GEO throughout the project, e.g., in consulting on search strategies</w:t>
      </w:r>
      <w:r w:rsidR="00891327">
        <w:t xml:space="preserve">, handling of emergent themes, ensuring final products are </w:t>
      </w:r>
      <w:r w:rsidR="005267D0">
        <w:t>fit-for-purpose.</w:t>
      </w:r>
    </w:p>
    <w:p w14:paraId="50D37464" w14:textId="2451CBD2" w:rsidR="00891327" w:rsidRDefault="005267D0" w:rsidP="00690247">
      <w:pPr>
        <w:spacing w:line="276" w:lineRule="auto"/>
      </w:pPr>
      <w:r>
        <w:t>We envisage the project as incorporating three main stages:</w:t>
      </w:r>
    </w:p>
    <w:p w14:paraId="01E20387" w14:textId="22DCFCDF" w:rsidR="00891327" w:rsidRPr="00485669" w:rsidRDefault="00891327" w:rsidP="00690247">
      <w:pPr>
        <w:pStyle w:val="ListParagraph"/>
        <w:numPr>
          <w:ilvl w:val="0"/>
          <w:numId w:val="21"/>
        </w:numPr>
        <w:tabs>
          <w:tab w:val="left" w:pos="1131"/>
        </w:tabs>
        <w:spacing w:after="160" w:line="276" w:lineRule="auto"/>
        <w:rPr>
          <w:rFonts w:cs="Arial"/>
          <w:b/>
        </w:rPr>
      </w:pPr>
      <w:r w:rsidRPr="00485669">
        <w:rPr>
          <w:rFonts w:cs="Arial"/>
          <w:b/>
        </w:rPr>
        <w:t>Initial scoping</w:t>
      </w:r>
      <w:r>
        <w:rPr>
          <w:rFonts w:cs="Arial"/>
          <w:b/>
        </w:rPr>
        <w:t xml:space="preserve"> – </w:t>
      </w:r>
      <w:r w:rsidRPr="00485669">
        <w:rPr>
          <w:rFonts w:cs="Arial"/>
        </w:rPr>
        <w:t>Contractors</w:t>
      </w:r>
      <w:r>
        <w:rPr>
          <w:rFonts w:cs="Arial"/>
        </w:rPr>
        <w:t xml:space="preserve"> will map out the existing evidence base, working with </w:t>
      </w:r>
      <w:r w:rsidR="005267D0">
        <w:rPr>
          <w:rFonts w:cs="Arial"/>
        </w:rPr>
        <w:t>GEO</w:t>
      </w:r>
      <w:r>
        <w:rPr>
          <w:rFonts w:cs="Arial"/>
        </w:rPr>
        <w:t xml:space="preserve"> analysts to establish search and evidence quality criteria.</w:t>
      </w:r>
    </w:p>
    <w:p w14:paraId="56ADFE79" w14:textId="52564941" w:rsidR="00891327" w:rsidRPr="00485669" w:rsidRDefault="00891327" w:rsidP="00690247">
      <w:pPr>
        <w:pStyle w:val="ListParagraph"/>
        <w:numPr>
          <w:ilvl w:val="0"/>
          <w:numId w:val="21"/>
        </w:numPr>
        <w:tabs>
          <w:tab w:val="left" w:pos="1131"/>
        </w:tabs>
        <w:spacing w:after="160" w:line="276" w:lineRule="auto"/>
        <w:rPr>
          <w:rFonts w:cs="Arial"/>
          <w:b/>
        </w:rPr>
      </w:pPr>
      <w:r w:rsidRPr="00485669">
        <w:rPr>
          <w:rFonts w:cs="Arial"/>
          <w:b/>
        </w:rPr>
        <w:t>Critical evaluation</w:t>
      </w:r>
      <w:r>
        <w:rPr>
          <w:rFonts w:cs="Arial"/>
          <w:b/>
        </w:rPr>
        <w:t xml:space="preserve"> and synthesis</w:t>
      </w:r>
      <w:r w:rsidRPr="00485669">
        <w:rPr>
          <w:rFonts w:cs="Arial"/>
          <w:b/>
        </w:rPr>
        <w:t xml:space="preserve"> of evidence</w:t>
      </w:r>
      <w:r>
        <w:rPr>
          <w:rFonts w:cs="Arial"/>
          <w:b/>
        </w:rPr>
        <w:t xml:space="preserve"> – </w:t>
      </w:r>
      <w:r w:rsidRPr="00485669">
        <w:rPr>
          <w:rFonts w:cs="Arial"/>
        </w:rPr>
        <w:t>Contractors</w:t>
      </w:r>
      <w:r>
        <w:rPr>
          <w:rFonts w:cs="Arial"/>
          <w:b/>
        </w:rPr>
        <w:t xml:space="preserve"> </w:t>
      </w:r>
      <w:r w:rsidRPr="00485669">
        <w:rPr>
          <w:rFonts w:cs="Arial"/>
        </w:rPr>
        <w:t>will conduct the literature review, and</w:t>
      </w:r>
      <w:r>
        <w:rPr>
          <w:rFonts w:cs="Arial"/>
          <w:b/>
        </w:rPr>
        <w:t xml:space="preserve"> </w:t>
      </w:r>
      <w:r w:rsidRPr="00485669">
        <w:rPr>
          <w:rFonts w:cs="Arial"/>
        </w:rPr>
        <w:t>appropri</w:t>
      </w:r>
      <w:r w:rsidR="005267D0">
        <w:rPr>
          <w:rFonts w:cs="Arial"/>
        </w:rPr>
        <w:t>ately synthesise the evidence into a publishable Research Report that</w:t>
      </w:r>
      <w:r w:rsidRPr="00485669">
        <w:rPr>
          <w:rFonts w:cs="Arial"/>
        </w:rPr>
        <w:t xml:space="preserve"> effectively respond</w:t>
      </w:r>
      <w:r w:rsidR="005267D0">
        <w:rPr>
          <w:rFonts w:cs="Arial"/>
        </w:rPr>
        <w:t>s</w:t>
      </w:r>
      <w:r w:rsidRPr="00485669">
        <w:rPr>
          <w:rFonts w:cs="Arial"/>
        </w:rPr>
        <w:t xml:space="preserve"> to the established research questions.</w:t>
      </w:r>
    </w:p>
    <w:p w14:paraId="0BC3F45D" w14:textId="65E3C718" w:rsidR="00A43ED2" w:rsidRPr="00690247" w:rsidRDefault="00891327" w:rsidP="00690247">
      <w:pPr>
        <w:pStyle w:val="ListParagraph"/>
        <w:numPr>
          <w:ilvl w:val="0"/>
          <w:numId w:val="21"/>
        </w:numPr>
        <w:tabs>
          <w:tab w:val="left" w:pos="1131"/>
        </w:tabs>
        <w:spacing w:after="160" w:line="276" w:lineRule="auto"/>
        <w:rPr>
          <w:rFonts w:cs="Arial"/>
        </w:rPr>
      </w:pPr>
      <w:r w:rsidRPr="005267D0">
        <w:rPr>
          <w:rFonts w:cs="Arial"/>
          <w:b/>
        </w:rPr>
        <w:t>Implications for policy</w:t>
      </w:r>
      <w:r w:rsidRPr="005267D0">
        <w:rPr>
          <w:rFonts w:cs="Arial"/>
        </w:rPr>
        <w:t xml:space="preserve"> – </w:t>
      </w:r>
      <w:r w:rsidR="005267D0">
        <w:rPr>
          <w:rFonts w:cs="Arial"/>
        </w:rPr>
        <w:t xml:space="preserve">Contractors should work with GEO to produce at least one </w:t>
      </w:r>
      <w:r w:rsidR="00190049">
        <w:rPr>
          <w:rFonts w:cs="Arial"/>
        </w:rPr>
        <w:t xml:space="preserve">output </w:t>
      </w:r>
      <w:r w:rsidR="005267D0">
        <w:rPr>
          <w:rFonts w:cs="Arial"/>
        </w:rPr>
        <w:t xml:space="preserve">that translates the key findings into a product that can be used with stakeholders to promote the use of </w:t>
      </w:r>
      <w:r w:rsidR="006D1BD8">
        <w:rPr>
          <w:rFonts w:cs="Arial"/>
        </w:rPr>
        <w:t xml:space="preserve">effective </w:t>
      </w:r>
      <w:r w:rsidR="005267D0">
        <w:rPr>
          <w:rFonts w:cs="Arial"/>
        </w:rPr>
        <w:t xml:space="preserve">family-friendly policies in the real world. The appropriate audience for this will be agreed as the project develops. </w:t>
      </w:r>
      <w:r w:rsidRPr="005267D0">
        <w:rPr>
          <w:rFonts w:cs="Arial"/>
        </w:rPr>
        <w:t>We would particularly encourage contractors to develop appropriate typologies or evidence maps that would help in conceptualising problems and solutions.</w:t>
      </w:r>
    </w:p>
    <w:p w14:paraId="502BE6FA" w14:textId="29CE4DAA" w:rsidR="004A600B" w:rsidRDefault="004A600B" w:rsidP="00690247">
      <w:pPr>
        <w:pStyle w:val="Heading2"/>
        <w:spacing w:line="276" w:lineRule="auto"/>
      </w:pPr>
      <w:r>
        <w:lastRenderedPageBreak/>
        <w:t>Timing</w:t>
      </w:r>
    </w:p>
    <w:tbl>
      <w:tblPr>
        <w:tblW w:w="5245" w:type="dxa"/>
        <w:tblLook w:val="04A0" w:firstRow="1" w:lastRow="0" w:firstColumn="1" w:lastColumn="0" w:noHBand="0" w:noVBand="1"/>
      </w:tblPr>
      <w:tblGrid>
        <w:gridCol w:w="2552"/>
        <w:gridCol w:w="2693"/>
      </w:tblGrid>
      <w:tr w:rsidR="004C631C" w:rsidRPr="00E627E0" w14:paraId="3DA8F35C" w14:textId="77777777" w:rsidTr="00602B16">
        <w:trPr>
          <w:trHeight w:val="300"/>
        </w:trPr>
        <w:tc>
          <w:tcPr>
            <w:tcW w:w="2552" w:type="dxa"/>
            <w:tcBorders>
              <w:top w:val="nil"/>
              <w:left w:val="nil"/>
              <w:bottom w:val="nil"/>
              <w:right w:val="nil"/>
            </w:tcBorders>
            <w:shd w:val="clear" w:color="auto" w:fill="auto"/>
            <w:noWrap/>
            <w:vAlign w:val="bottom"/>
            <w:hideMark/>
          </w:tcPr>
          <w:p w14:paraId="286883EB" w14:textId="77777777" w:rsidR="004C631C" w:rsidRPr="00DE5C1E" w:rsidRDefault="004C631C" w:rsidP="00602B16">
            <w:pPr>
              <w:spacing w:after="0" w:line="276" w:lineRule="auto"/>
              <w:rPr>
                <w:rFonts w:cs="Arial"/>
                <w:color w:val="000000"/>
                <w:szCs w:val="22"/>
              </w:rPr>
            </w:pPr>
            <w:r w:rsidRPr="00DE5C1E">
              <w:rPr>
                <w:rFonts w:cs="Arial"/>
                <w:color w:val="000000"/>
                <w:szCs w:val="22"/>
              </w:rPr>
              <w:t>EoI Issue</w:t>
            </w:r>
          </w:p>
        </w:tc>
        <w:tc>
          <w:tcPr>
            <w:tcW w:w="2693" w:type="dxa"/>
            <w:tcBorders>
              <w:top w:val="nil"/>
              <w:left w:val="nil"/>
              <w:bottom w:val="nil"/>
              <w:right w:val="nil"/>
            </w:tcBorders>
            <w:shd w:val="clear" w:color="auto" w:fill="auto"/>
            <w:noWrap/>
            <w:vAlign w:val="bottom"/>
            <w:hideMark/>
          </w:tcPr>
          <w:p w14:paraId="4C99A703" w14:textId="77777777" w:rsidR="004C631C" w:rsidRPr="00DE5C1E" w:rsidRDefault="004C631C" w:rsidP="00602B16">
            <w:pPr>
              <w:spacing w:after="0" w:line="276" w:lineRule="auto"/>
              <w:jc w:val="right"/>
              <w:rPr>
                <w:rFonts w:cs="Arial"/>
                <w:color w:val="000000"/>
                <w:szCs w:val="22"/>
              </w:rPr>
            </w:pPr>
            <w:r w:rsidRPr="00DE5C1E">
              <w:rPr>
                <w:rFonts w:cs="Arial"/>
                <w:color w:val="000000"/>
                <w:szCs w:val="22"/>
              </w:rPr>
              <w:t>10</w:t>
            </w:r>
            <w:r w:rsidRPr="00DE5C1E">
              <w:rPr>
                <w:rFonts w:cs="Arial"/>
                <w:color w:val="000000"/>
                <w:szCs w:val="22"/>
                <w:vertAlign w:val="superscript"/>
              </w:rPr>
              <w:t>th</w:t>
            </w:r>
            <w:r w:rsidRPr="00DE5C1E">
              <w:rPr>
                <w:rFonts w:cs="Arial"/>
                <w:color w:val="000000"/>
                <w:szCs w:val="22"/>
              </w:rPr>
              <w:t xml:space="preserve"> May 2018</w:t>
            </w:r>
          </w:p>
        </w:tc>
      </w:tr>
      <w:tr w:rsidR="004C631C" w:rsidRPr="00E627E0" w14:paraId="4426E6E1" w14:textId="77777777" w:rsidTr="00602B16">
        <w:trPr>
          <w:trHeight w:val="300"/>
        </w:trPr>
        <w:tc>
          <w:tcPr>
            <w:tcW w:w="2552" w:type="dxa"/>
            <w:tcBorders>
              <w:top w:val="nil"/>
              <w:left w:val="nil"/>
              <w:bottom w:val="nil"/>
              <w:right w:val="nil"/>
            </w:tcBorders>
            <w:shd w:val="clear" w:color="auto" w:fill="auto"/>
            <w:noWrap/>
            <w:vAlign w:val="bottom"/>
            <w:hideMark/>
          </w:tcPr>
          <w:p w14:paraId="158CDF06" w14:textId="77777777" w:rsidR="004C631C" w:rsidRPr="00DE5C1E" w:rsidRDefault="004C631C" w:rsidP="00602B16">
            <w:pPr>
              <w:spacing w:after="0" w:line="276" w:lineRule="auto"/>
              <w:rPr>
                <w:rFonts w:cs="Arial"/>
                <w:color w:val="000000"/>
                <w:szCs w:val="22"/>
              </w:rPr>
            </w:pPr>
            <w:r w:rsidRPr="00DE5C1E">
              <w:rPr>
                <w:rFonts w:cs="Arial"/>
                <w:color w:val="000000"/>
                <w:szCs w:val="22"/>
              </w:rPr>
              <w:t>EoI Deadline</w:t>
            </w:r>
          </w:p>
        </w:tc>
        <w:tc>
          <w:tcPr>
            <w:tcW w:w="2693" w:type="dxa"/>
            <w:tcBorders>
              <w:top w:val="nil"/>
              <w:left w:val="nil"/>
              <w:bottom w:val="nil"/>
              <w:right w:val="nil"/>
            </w:tcBorders>
            <w:shd w:val="clear" w:color="auto" w:fill="auto"/>
            <w:noWrap/>
            <w:vAlign w:val="bottom"/>
            <w:hideMark/>
          </w:tcPr>
          <w:p w14:paraId="5854B169" w14:textId="77777777" w:rsidR="004C631C" w:rsidRPr="00DE5C1E" w:rsidRDefault="004C631C" w:rsidP="00602B16">
            <w:pPr>
              <w:spacing w:after="0" w:line="276" w:lineRule="auto"/>
              <w:jc w:val="right"/>
              <w:rPr>
                <w:rFonts w:cs="Arial"/>
                <w:color w:val="000000"/>
                <w:szCs w:val="22"/>
              </w:rPr>
            </w:pPr>
            <w:r w:rsidRPr="00DE5C1E">
              <w:rPr>
                <w:rFonts w:cs="Arial"/>
                <w:color w:val="000000"/>
                <w:szCs w:val="22"/>
              </w:rPr>
              <w:t>2</w:t>
            </w:r>
            <w:r>
              <w:rPr>
                <w:rFonts w:cs="Arial"/>
                <w:color w:val="000000"/>
                <w:szCs w:val="22"/>
              </w:rPr>
              <w:t>3</w:t>
            </w:r>
            <w:r>
              <w:rPr>
                <w:rFonts w:cs="Arial"/>
                <w:color w:val="000000"/>
                <w:szCs w:val="22"/>
                <w:vertAlign w:val="superscript"/>
              </w:rPr>
              <w:t>rd</w:t>
            </w:r>
            <w:r w:rsidRPr="00DE5C1E">
              <w:rPr>
                <w:rFonts w:cs="Arial"/>
                <w:color w:val="000000"/>
                <w:szCs w:val="22"/>
              </w:rPr>
              <w:t xml:space="preserve"> May 2018</w:t>
            </w:r>
          </w:p>
        </w:tc>
      </w:tr>
      <w:tr w:rsidR="004C631C" w:rsidRPr="00E627E0" w14:paraId="1D78D511" w14:textId="77777777" w:rsidTr="00602B16">
        <w:trPr>
          <w:trHeight w:val="300"/>
        </w:trPr>
        <w:tc>
          <w:tcPr>
            <w:tcW w:w="2552" w:type="dxa"/>
            <w:tcBorders>
              <w:top w:val="nil"/>
              <w:left w:val="nil"/>
              <w:bottom w:val="nil"/>
              <w:right w:val="nil"/>
            </w:tcBorders>
            <w:shd w:val="clear" w:color="auto" w:fill="auto"/>
            <w:noWrap/>
            <w:vAlign w:val="bottom"/>
            <w:hideMark/>
          </w:tcPr>
          <w:p w14:paraId="2374287F" w14:textId="77777777" w:rsidR="004C631C" w:rsidRPr="00DE5C1E" w:rsidRDefault="004C631C" w:rsidP="00602B16">
            <w:pPr>
              <w:spacing w:after="0" w:line="276" w:lineRule="auto"/>
              <w:rPr>
                <w:rFonts w:cs="Arial"/>
                <w:color w:val="000000"/>
                <w:szCs w:val="22"/>
              </w:rPr>
            </w:pPr>
            <w:r w:rsidRPr="00DE5C1E">
              <w:rPr>
                <w:rFonts w:cs="Arial"/>
                <w:color w:val="000000"/>
                <w:szCs w:val="22"/>
              </w:rPr>
              <w:t>EoI Assessment</w:t>
            </w:r>
          </w:p>
        </w:tc>
        <w:tc>
          <w:tcPr>
            <w:tcW w:w="2693" w:type="dxa"/>
            <w:tcBorders>
              <w:top w:val="nil"/>
              <w:left w:val="nil"/>
              <w:bottom w:val="nil"/>
              <w:right w:val="nil"/>
            </w:tcBorders>
            <w:shd w:val="clear" w:color="auto" w:fill="auto"/>
            <w:noWrap/>
            <w:vAlign w:val="bottom"/>
            <w:hideMark/>
          </w:tcPr>
          <w:p w14:paraId="3A42530C" w14:textId="77777777" w:rsidR="004C631C" w:rsidRPr="00DE5C1E" w:rsidRDefault="004C631C" w:rsidP="00602B16">
            <w:pPr>
              <w:spacing w:after="0" w:line="276" w:lineRule="auto"/>
              <w:jc w:val="right"/>
              <w:rPr>
                <w:rFonts w:cs="Arial"/>
                <w:color w:val="000000"/>
                <w:szCs w:val="22"/>
              </w:rPr>
            </w:pPr>
            <w:r w:rsidRPr="00DE5C1E">
              <w:rPr>
                <w:rFonts w:cs="Arial"/>
                <w:color w:val="000000"/>
                <w:szCs w:val="22"/>
              </w:rPr>
              <w:t>2</w:t>
            </w:r>
            <w:r>
              <w:rPr>
                <w:rFonts w:cs="Arial"/>
                <w:color w:val="000000"/>
                <w:szCs w:val="22"/>
              </w:rPr>
              <w:t>4</w:t>
            </w:r>
            <w:r w:rsidRPr="00DE5C1E">
              <w:rPr>
                <w:rFonts w:cs="Arial"/>
                <w:color w:val="000000"/>
                <w:szCs w:val="22"/>
                <w:vertAlign w:val="superscript"/>
              </w:rPr>
              <w:t>th</w:t>
            </w:r>
            <w:r w:rsidRPr="00DE5C1E">
              <w:rPr>
                <w:rFonts w:cs="Arial"/>
                <w:color w:val="000000"/>
                <w:szCs w:val="22"/>
              </w:rPr>
              <w:t>-2</w:t>
            </w:r>
            <w:r>
              <w:rPr>
                <w:rFonts w:cs="Arial"/>
                <w:color w:val="000000"/>
                <w:szCs w:val="22"/>
              </w:rPr>
              <w:t>5</w:t>
            </w:r>
            <w:r w:rsidRPr="00DE5C1E">
              <w:rPr>
                <w:rFonts w:cs="Arial"/>
                <w:color w:val="000000"/>
                <w:szCs w:val="22"/>
                <w:vertAlign w:val="superscript"/>
              </w:rPr>
              <w:t>th</w:t>
            </w:r>
            <w:r w:rsidRPr="00DE5C1E">
              <w:rPr>
                <w:rFonts w:cs="Arial"/>
                <w:color w:val="000000"/>
                <w:szCs w:val="22"/>
              </w:rPr>
              <w:t xml:space="preserve"> May 2018</w:t>
            </w:r>
          </w:p>
        </w:tc>
      </w:tr>
      <w:tr w:rsidR="004C631C" w:rsidRPr="00E627E0" w14:paraId="292EFAE3" w14:textId="77777777" w:rsidTr="00602B16">
        <w:trPr>
          <w:trHeight w:val="300"/>
        </w:trPr>
        <w:tc>
          <w:tcPr>
            <w:tcW w:w="2552" w:type="dxa"/>
            <w:tcBorders>
              <w:top w:val="nil"/>
              <w:left w:val="nil"/>
              <w:bottom w:val="nil"/>
              <w:right w:val="nil"/>
            </w:tcBorders>
            <w:shd w:val="clear" w:color="auto" w:fill="auto"/>
            <w:noWrap/>
            <w:vAlign w:val="bottom"/>
            <w:hideMark/>
          </w:tcPr>
          <w:p w14:paraId="3F92C19F" w14:textId="77777777" w:rsidR="004C631C" w:rsidRPr="00DE5C1E" w:rsidRDefault="004C631C" w:rsidP="00602B16">
            <w:pPr>
              <w:spacing w:after="0" w:line="276" w:lineRule="auto"/>
              <w:rPr>
                <w:rFonts w:cs="Arial"/>
                <w:color w:val="000000"/>
                <w:szCs w:val="22"/>
              </w:rPr>
            </w:pPr>
            <w:r w:rsidRPr="00DE5C1E">
              <w:rPr>
                <w:rFonts w:cs="Arial"/>
                <w:color w:val="000000"/>
                <w:szCs w:val="22"/>
              </w:rPr>
              <w:t>ITT Issue</w:t>
            </w:r>
          </w:p>
        </w:tc>
        <w:tc>
          <w:tcPr>
            <w:tcW w:w="2693" w:type="dxa"/>
            <w:tcBorders>
              <w:top w:val="nil"/>
              <w:left w:val="nil"/>
              <w:bottom w:val="nil"/>
              <w:right w:val="nil"/>
            </w:tcBorders>
            <w:shd w:val="clear" w:color="auto" w:fill="auto"/>
            <w:noWrap/>
            <w:vAlign w:val="bottom"/>
            <w:hideMark/>
          </w:tcPr>
          <w:p w14:paraId="7C1ABF6F" w14:textId="77777777" w:rsidR="004C631C" w:rsidRPr="00DE5C1E" w:rsidRDefault="004C631C" w:rsidP="00602B16">
            <w:pPr>
              <w:spacing w:after="0" w:line="276" w:lineRule="auto"/>
              <w:jc w:val="right"/>
              <w:rPr>
                <w:rFonts w:cs="Arial"/>
                <w:color w:val="000000"/>
                <w:szCs w:val="22"/>
              </w:rPr>
            </w:pPr>
            <w:r>
              <w:rPr>
                <w:rFonts w:cs="Arial"/>
                <w:color w:val="000000"/>
                <w:szCs w:val="22"/>
              </w:rPr>
              <w:t>28</w:t>
            </w:r>
            <w:r w:rsidRPr="00DE5C1E">
              <w:rPr>
                <w:rFonts w:cs="Arial"/>
                <w:color w:val="000000"/>
                <w:szCs w:val="22"/>
                <w:vertAlign w:val="superscript"/>
              </w:rPr>
              <w:t>th</w:t>
            </w:r>
            <w:r w:rsidRPr="00DE5C1E">
              <w:rPr>
                <w:rFonts w:cs="Arial"/>
                <w:color w:val="000000"/>
                <w:szCs w:val="22"/>
              </w:rPr>
              <w:t xml:space="preserve"> May 2018</w:t>
            </w:r>
          </w:p>
        </w:tc>
      </w:tr>
      <w:tr w:rsidR="004C631C" w:rsidRPr="00E627E0" w14:paraId="5CA0BC55" w14:textId="77777777" w:rsidTr="00602B16">
        <w:trPr>
          <w:trHeight w:val="300"/>
        </w:trPr>
        <w:tc>
          <w:tcPr>
            <w:tcW w:w="2552" w:type="dxa"/>
            <w:tcBorders>
              <w:top w:val="nil"/>
              <w:left w:val="nil"/>
              <w:bottom w:val="nil"/>
              <w:right w:val="nil"/>
            </w:tcBorders>
            <w:shd w:val="clear" w:color="auto" w:fill="auto"/>
            <w:noWrap/>
            <w:vAlign w:val="bottom"/>
            <w:hideMark/>
          </w:tcPr>
          <w:p w14:paraId="0A5BB028" w14:textId="77777777" w:rsidR="004C631C" w:rsidRPr="00DE5C1E" w:rsidRDefault="004C631C" w:rsidP="00602B16">
            <w:pPr>
              <w:spacing w:after="0" w:line="276" w:lineRule="auto"/>
              <w:rPr>
                <w:rFonts w:cs="Arial"/>
                <w:color w:val="000000"/>
                <w:szCs w:val="22"/>
              </w:rPr>
            </w:pPr>
            <w:r w:rsidRPr="00DE5C1E">
              <w:rPr>
                <w:rFonts w:cs="Arial"/>
                <w:color w:val="000000"/>
                <w:szCs w:val="22"/>
              </w:rPr>
              <w:t>ITT Deadline</w:t>
            </w:r>
          </w:p>
        </w:tc>
        <w:tc>
          <w:tcPr>
            <w:tcW w:w="2693" w:type="dxa"/>
            <w:tcBorders>
              <w:top w:val="nil"/>
              <w:left w:val="nil"/>
              <w:bottom w:val="nil"/>
              <w:right w:val="nil"/>
            </w:tcBorders>
            <w:shd w:val="clear" w:color="auto" w:fill="auto"/>
            <w:noWrap/>
            <w:vAlign w:val="bottom"/>
            <w:hideMark/>
          </w:tcPr>
          <w:p w14:paraId="7A81B243" w14:textId="77777777" w:rsidR="004C631C" w:rsidRPr="00DE5C1E" w:rsidRDefault="004C631C" w:rsidP="00602B16">
            <w:pPr>
              <w:spacing w:after="0" w:line="276" w:lineRule="auto"/>
              <w:jc w:val="right"/>
              <w:rPr>
                <w:rFonts w:cs="Arial"/>
                <w:color w:val="000000"/>
                <w:szCs w:val="22"/>
              </w:rPr>
            </w:pPr>
            <w:r>
              <w:rPr>
                <w:rFonts w:cs="Arial"/>
                <w:color w:val="000000"/>
                <w:szCs w:val="22"/>
              </w:rPr>
              <w:t>8</w:t>
            </w:r>
            <w:r w:rsidRPr="00DE5C1E">
              <w:rPr>
                <w:rFonts w:cs="Arial"/>
                <w:color w:val="000000"/>
                <w:szCs w:val="22"/>
                <w:vertAlign w:val="superscript"/>
              </w:rPr>
              <w:t>th</w:t>
            </w:r>
            <w:r w:rsidRPr="00DE5C1E">
              <w:rPr>
                <w:rFonts w:cs="Arial"/>
                <w:color w:val="000000"/>
                <w:szCs w:val="22"/>
              </w:rPr>
              <w:t xml:space="preserve"> June 2018</w:t>
            </w:r>
          </w:p>
        </w:tc>
      </w:tr>
      <w:tr w:rsidR="004C631C" w:rsidRPr="00E627E0" w14:paraId="4A35594B" w14:textId="77777777" w:rsidTr="00602B16">
        <w:trPr>
          <w:trHeight w:val="300"/>
        </w:trPr>
        <w:tc>
          <w:tcPr>
            <w:tcW w:w="2552" w:type="dxa"/>
            <w:tcBorders>
              <w:top w:val="nil"/>
              <w:left w:val="nil"/>
              <w:bottom w:val="nil"/>
              <w:right w:val="nil"/>
            </w:tcBorders>
            <w:shd w:val="clear" w:color="auto" w:fill="auto"/>
            <w:noWrap/>
            <w:vAlign w:val="bottom"/>
            <w:hideMark/>
          </w:tcPr>
          <w:p w14:paraId="1D65FCCC" w14:textId="77777777" w:rsidR="004C631C" w:rsidRPr="00DE5C1E" w:rsidRDefault="004C631C" w:rsidP="00602B16">
            <w:pPr>
              <w:spacing w:after="0" w:line="276" w:lineRule="auto"/>
              <w:rPr>
                <w:rFonts w:cs="Arial"/>
                <w:color w:val="000000"/>
                <w:szCs w:val="22"/>
              </w:rPr>
            </w:pPr>
            <w:r w:rsidRPr="00DE5C1E">
              <w:rPr>
                <w:rFonts w:cs="Arial"/>
                <w:color w:val="000000"/>
                <w:szCs w:val="22"/>
              </w:rPr>
              <w:t>ITT Assessment</w:t>
            </w:r>
          </w:p>
        </w:tc>
        <w:tc>
          <w:tcPr>
            <w:tcW w:w="2693" w:type="dxa"/>
            <w:tcBorders>
              <w:top w:val="nil"/>
              <w:left w:val="nil"/>
              <w:bottom w:val="nil"/>
              <w:right w:val="nil"/>
            </w:tcBorders>
            <w:shd w:val="clear" w:color="auto" w:fill="auto"/>
            <w:noWrap/>
            <w:vAlign w:val="bottom"/>
            <w:hideMark/>
          </w:tcPr>
          <w:p w14:paraId="6C9FD182" w14:textId="77777777" w:rsidR="004C631C" w:rsidRPr="00DE5C1E" w:rsidRDefault="004C631C" w:rsidP="00602B16">
            <w:pPr>
              <w:spacing w:after="0" w:line="276" w:lineRule="auto"/>
              <w:jc w:val="right"/>
              <w:rPr>
                <w:rFonts w:cs="Arial"/>
                <w:color w:val="000000"/>
                <w:szCs w:val="22"/>
              </w:rPr>
            </w:pPr>
            <w:r>
              <w:rPr>
                <w:rFonts w:cs="Arial"/>
                <w:color w:val="000000"/>
                <w:szCs w:val="22"/>
              </w:rPr>
              <w:t>w/c 11</w:t>
            </w:r>
            <w:r w:rsidRPr="008D4BBE">
              <w:rPr>
                <w:rFonts w:cs="Arial"/>
                <w:color w:val="000000"/>
                <w:szCs w:val="22"/>
                <w:vertAlign w:val="superscript"/>
              </w:rPr>
              <w:t>th</w:t>
            </w:r>
            <w:r w:rsidRPr="00DE5C1E">
              <w:rPr>
                <w:rFonts w:cs="Arial"/>
                <w:color w:val="000000"/>
                <w:szCs w:val="22"/>
              </w:rPr>
              <w:t xml:space="preserve"> June 2018 </w:t>
            </w:r>
          </w:p>
        </w:tc>
      </w:tr>
      <w:tr w:rsidR="004C631C" w:rsidRPr="00E627E0" w14:paraId="118756AF" w14:textId="77777777" w:rsidTr="00602B16">
        <w:trPr>
          <w:trHeight w:val="300"/>
        </w:trPr>
        <w:tc>
          <w:tcPr>
            <w:tcW w:w="2552" w:type="dxa"/>
            <w:tcBorders>
              <w:top w:val="nil"/>
              <w:left w:val="nil"/>
              <w:bottom w:val="nil"/>
              <w:right w:val="nil"/>
            </w:tcBorders>
            <w:shd w:val="clear" w:color="auto" w:fill="auto"/>
            <w:noWrap/>
            <w:vAlign w:val="bottom"/>
            <w:hideMark/>
          </w:tcPr>
          <w:p w14:paraId="7BAF6FD4" w14:textId="77777777" w:rsidR="004C631C" w:rsidRPr="00DE5C1E" w:rsidRDefault="004C631C" w:rsidP="00602B16">
            <w:pPr>
              <w:spacing w:after="0" w:line="276" w:lineRule="auto"/>
              <w:rPr>
                <w:rFonts w:cs="Arial"/>
                <w:color w:val="000000"/>
                <w:szCs w:val="22"/>
              </w:rPr>
            </w:pPr>
            <w:r w:rsidRPr="00DE5C1E">
              <w:rPr>
                <w:rFonts w:cs="Arial"/>
                <w:color w:val="000000"/>
                <w:szCs w:val="22"/>
              </w:rPr>
              <w:t>Contract Award</w:t>
            </w:r>
          </w:p>
        </w:tc>
        <w:tc>
          <w:tcPr>
            <w:tcW w:w="2693" w:type="dxa"/>
            <w:tcBorders>
              <w:top w:val="nil"/>
              <w:left w:val="nil"/>
              <w:bottom w:val="nil"/>
              <w:right w:val="nil"/>
            </w:tcBorders>
            <w:shd w:val="clear" w:color="auto" w:fill="auto"/>
            <w:noWrap/>
            <w:vAlign w:val="bottom"/>
            <w:hideMark/>
          </w:tcPr>
          <w:p w14:paraId="14621333" w14:textId="77777777" w:rsidR="004C631C" w:rsidRPr="00DE5C1E" w:rsidRDefault="004C631C" w:rsidP="00602B16">
            <w:pPr>
              <w:spacing w:after="0" w:line="276" w:lineRule="auto"/>
              <w:jc w:val="right"/>
              <w:rPr>
                <w:rFonts w:cs="Arial"/>
                <w:color w:val="000000"/>
                <w:szCs w:val="22"/>
              </w:rPr>
            </w:pPr>
            <w:r w:rsidRPr="00DE5C1E">
              <w:rPr>
                <w:rFonts w:cs="Arial"/>
                <w:color w:val="000000"/>
                <w:szCs w:val="22"/>
              </w:rPr>
              <w:t>w/c 18</w:t>
            </w:r>
            <w:r w:rsidRPr="00DE5C1E">
              <w:rPr>
                <w:rFonts w:cs="Arial"/>
                <w:color w:val="000000"/>
                <w:szCs w:val="22"/>
                <w:vertAlign w:val="superscript"/>
              </w:rPr>
              <w:t>th</w:t>
            </w:r>
            <w:r w:rsidRPr="00DE5C1E">
              <w:rPr>
                <w:rFonts w:cs="Arial"/>
                <w:color w:val="000000"/>
                <w:szCs w:val="22"/>
              </w:rPr>
              <w:t xml:space="preserve"> June 2018</w:t>
            </w:r>
          </w:p>
        </w:tc>
      </w:tr>
      <w:tr w:rsidR="004C631C" w:rsidRPr="00E627E0" w14:paraId="63103EB1" w14:textId="77777777" w:rsidTr="00602B16">
        <w:trPr>
          <w:trHeight w:val="300"/>
        </w:trPr>
        <w:tc>
          <w:tcPr>
            <w:tcW w:w="2552" w:type="dxa"/>
            <w:tcBorders>
              <w:top w:val="nil"/>
              <w:left w:val="nil"/>
              <w:bottom w:val="nil"/>
              <w:right w:val="nil"/>
            </w:tcBorders>
            <w:shd w:val="clear" w:color="auto" w:fill="auto"/>
            <w:noWrap/>
            <w:vAlign w:val="bottom"/>
          </w:tcPr>
          <w:p w14:paraId="1015322C" w14:textId="77777777" w:rsidR="004C631C" w:rsidRPr="00DE5C1E" w:rsidRDefault="004C631C" w:rsidP="00602B16">
            <w:pPr>
              <w:spacing w:after="0" w:line="276" w:lineRule="auto"/>
              <w:rPr>
                <w:rFonts w:cs="Arial"/>
                <w:color w:val="000000"/>
                <w:szCs w:val="22"/>
              </w:rPr>
            </w:pPr>
            <w:r w:rsidRPr="00DE5C1E">
              <w:rPr>
                <w:rFonts w:cs="Arial"/>
                <w:color w:val="000000"/>
                <w:szCs w:val="22"/>
              </w:rPr>
              <w:t>Delivery of Draft Report</w:t>
            </w:r>
          </w:p>
        </w:tc>
        <w:tc>
          <w:tcPr>
            <w:tcW w:w="2693" w:type="dxa"/>
            <w:tcBorders>
              <w:top w:val="nil"/>
              <w:left w:val="nil"/>
              <w:bottom w:val="nil"/>
              <w:right w:val="nil"/>
            </w:tcBorders>
            <w:shd w:val="clear" w:color="auto" w:fill="auto"/>
            <w:noWrap/>
            <w:vAlign w:val="bottom"/>
          </w:tcPr>
          <w:p w14:paraId="1832771C" w14:textId="77777777" w:rsidR="004C631C" w:rsidRPr="00DE5C1E" w:rsidRDefault="004C631C" w:rsidP="00602B16">
            <w:pPr>
              <w:spacing w:after="0" w:line="276" w:lineRule="auto"/>
              <w:jc w:val="right"/>
              <w:rPr>
                <w:rFonts w:cs="Arial"/>
                <w:color w:val="000000"/>
                <w:szCs w:val="22"/>
              </w:rPr>
            </w:pPr>
            <w:r w:rsidRPr="00DE5C1E">
              <w:rPr>
                <w:rFonts w:cs="Arial"/>
                <w:color w:val="000000"/>
                <w:szCs w:val="22"/>
              </w:rPr>
              <w:t>October 2018</w:t>
            </w:r>
          </w:p>
        </w:tc>
      </w:tr>
      <w:tr w:rsidR="004C631C" w:rsidRPr="00E627E0" w14:paraId="3A5B3027" w14:textId="77777777" w:rsidTr="00602B16">
        <w:trPr>
          <w:trHeight w:val="300"/>
        </w:trPr>
        <w:tc>
          <w:tcPr>
            <w:tcW w:w="2552" w:type="dxa"/>
            <w:tcBorders>
              <w:top w:val="nil"/>
              <w:left w:val="nil"/>
              <w:bottom w:val="nil"/>
              <w:right w:val="nil"/>
            </w:tcBorders>
            <w:shd w:val="clear" w:color="auto" w:fill="auto"/>
            <w:noWrap/>
            <w:vAlign w:val="bottom"/>
          </w:tcPr>
          <w:p w14:paraId="0141FE1F" w14:textId="77777777" w:rsidR="004C631C" w:rsidRPr="00DE5C1E" w:rsidRDefault="004C631C" w:rsidP="00602B16">
            <w:pPr>
              <w:spacing w:after="0" w:line="276" w:lineRule="auto"/>
              <w:rPr>
                <w:rFonts w:cs="Arial"/>
                <w:color w:val="000000"/>
                <w:szCs w:val="22"/>
              </w:rPr>
            </w:pPr>
            <w:r w:rsidRPr="00DE5C1E">
              <w:rPr>
                <w:rFonts w:cs="Arial"/>
                <w:color w:val="000000"/>
                <w:szCs w:val="22"/>
              </w:rPr>
              <w:t>Delivery of Final Report</w:t>
            </w:r>
          </w:p>
        </w:tc>
        <w:tc>
          <w:tcPr>
            <w:tcW w:w="2693" w:type="dxa"/>
            <w:tcBorders>
              <w:top w:val="nil"/>
              <w:left w:val="nil"/>
              <w:bottom w:val="nil"/>
              <w:right w:val="nil"/>
            </w:tcBorders>
            <w:shd w:val="clear" w:color="auto" w:fill="auto"/>
            <w:noWrap/>
            <w:vAlign w:val="bottom"/>
          </w:tcPr>
          <w:p w14:paraId="5BBE9B5D" w14:textId="77777777" w:rsidR="004C631C" w:rsidRPr="00DE5C1E" w:rsidRDefault="004C631C" w:rsidP="00602B16">
            <w:pPr>
              <w:spacing w:after="0" w:line="276" w:lineRule="auto"/>
              <w:jc w:val="right"/>
              <w:rPr>
                <w:rFonts w:cs="Arial"/>
                <w:color w:val="000000"/>
                <w:szCs w:val="22"/>
              </w:rPr>
            </w:pPr>
            <w:r w:rsidRPr="00DE5C1E">
              <w:rPr>
                <w:rFonts w:cs="Arial"/>
                <w:color w:val="000000"/>
                <w:szCs w:val="22"/>
              </w:rPr>
              <w:t>December 2018</w:t>
            </w:r>
          </w:p>
        </w:tc>
      </w:tr>
      <w:tr w:rsidR="004C631C" w:rsidRPr="00E627E0" w14:paraId="64C15FAA" w14:textId="77777777" w:rsidTr="00602B16">
        <w:trPr>
          <w:trHeight w:val="300"/>
        </w:trPr>
        <w:tc>
          <w:tcPr>
            <w:tcW w:w="2552" w:type="dxa"/>
            <w:tcBorders>
              <w:top w:val="nil"/>
              <w:left w:val="nil"/>
              <w:bottom w:val="nil"/>
              <w:right w:val="nil"/>
            </w:tcBorders>
            <w:shd w:val="clear" w:color="auto" w:fill="auto"/>
            <w:noWrap/>
            <w:vAlign w:val="bottom"/>
          </w:tcPr>
          <w:p w14:paraId="575326A7" w14:textId="77777777" w:rsidR="004C631C" w:rsidRDefault="004C631C" w:rsidP="00602B16">
            <w:pPr>
              <w:spacing w:after="0" w:line="276" w:lineRule="auto"/>
              <w:rPr>
                <w:rFonts w:cs="Arial"/>
                <w:color w:val="000000"/>
                <w:szCs w:val="22"/>
              </w:rPr>
            </w:pPr>
            <w:r>
              <w:rPr>
                <w:rFonts w:cs="Arial"/>
                <w:color w:val="000000"/>
                <w:szCs w:val="22"/>
              </w:rPr>
              <w:t>Dissemination</w:t>
            </w:r>
          </w:p>
        </w:tc>
        <w:tc>
          <w:tcPr>
            <w:tcW w:w="2693" w:type="dxa"/>
            <w:tcBorders>
              <w:top w:val="nil"/>
              <w:left w:val="nil"/>
              <w:bottom w:val="nil"/>
              <w:right w:val="nil"/>
            </w:tcBorders>
            <w:shd w:val="clear" w:color="auto" w:fill="auto"/>
            <w:noWrap/>
            <w:vAlign w:val="bottom"/>
          </w:tcPr>
          <w:p w14:paraId="2BFEB062" w14:textId="77777777" w:rsidR="004C631C" w:rsidRDefault="004C631C" w:rsidP="00602B16">
            <w:pPr>
              <w:spacing w:after="0" w:line="276" w:lineRule="auto"/>
              <w:jc w:val="right"/>
              <w:rPr>
                <w:rFonts w:cs="Arial"/>
                <w:color w:val="000000"/>
                <w:szCs w:val="22"/>
              </w:rPr>
            </w:pPr>
            <w:r>
              <w:rPr>
                <w:rFonts w:cs="Arial"/>
                <w:color w:val="000000"/>
                <w:szCs w:val="22"/>
              </w:rPr>
              <w:t>January – March 2019</w:t>
            </w:r>
          </w:p>
        </w:tc>
      </w:tr>
    </w:tbl>
    <w:p w14:paraId="6A862DB9" w14:textId="77777777" w:rsidR="004C631C" w:rsidRPr="004C631C" w:rsidRDefault="004C631C" w:rsidP="004C631C"/>
    <w:p w14:paraId="2BB8AAD9" w14:textId="3BE7CB18" w:rsidR="0027236D" w:rsidRDefault="004A600B" w:rsidP="00690247">
      <w:pPr>
        <w:pStyle w:val="Heading2"/>
        <w:spacing w:line="276" w:lineRule="auto"/>
      </w:pPr>
      <w:r w:rsidRPr="004A600B">
        <w:t>Assessment criteria</w:t>
      </w:r>
    </w:p>
    <w:tbl>
      <w:tblPr>
        <w:tblStyle w:val="TableGrid"/>
        <w:tblW w:w="0" w:type="auto"/>
        <w:tblLook w:val="04A0" w:firstRow="1" w:lastRow="0" w:firstColumn="1" w:lastColumn="0" w:noHBand="0" w:noVBand="1"/>
      </w:tblPr>
      <w:tblGrid>
        <w:gridCol w:w="3975"/>
        <w:gridCol w:w="4487"/>
        <w:gridCol w:w="1280"/>
      </w:tblGrid>
      <w:tr w:rsidR="0027236D" w14:paraId="13C03EE3" w14:textId="77777777" w:rsidTr="0074510C">
        <w:tc>
          <w:tcPr>
            <w:tcW w:w="4248" w:type="dxa"/>
          </w:tcPr>
          <w:p w14:paraId="667F08FE" w14:textId="77777777" w:rsidR="0027236D" w:rsidRPr="009C5FE4" w:rsidRDefault="0027236D" w:rsidP="00690247">
            <w:pPr>
              <w:pStyle w:val="BodyTextIndent"/>
              <w:tabs>
                <w:tab w:val="left" w:pos="6120"/>
              </w:tabs>
              <w:spacing w:line="276" w:lineRule="auto"/>
              <w:ind w:left="0"/>
              <w:rPr>
                <w:b/>
              </w:rPr>
            </w:pPr>
            <w:r w:rsidRPr="009C5FE4">
              <w:rPr>
                <w:b/>
              </w:rPr>
              <w:t>Criterion</w:t>
            </w:r>
          </w:p>
        </w:tc>
        <w:tc>
          <w:tcPr>
            <w:tcW w:w="4819" w:type="dxa"/>
          </w:tcPr>
          <w:p w14:paraId="3288E106" w14:textId="77777777" w:rsidR="0027236D" w:rsidRPr="009C5FE4" w:rsidRDefault="0027236D" w:rsidP="00690247">
            <w:pPr>
              <w:spacing w:line="276" w:lineRule="auto"/>
              <w:rPr>
                <w:b/>
              </w:rPr>
            </w:pPr>
            <w:r w:rsidRPr="009C5FE4">
              <w:rPr>
                <w:b/>
              </w:rPr>
              <w:t>Desc</w:t>
            </w:r>
            <w:r>
              <w:rPr>
                <w:b/>
              </w:rPr>
              <w:t>r</w:t>
            </w:r>
            <w:r w:rsidRPr="009C5FE4">
              <w:rPr>
                <w:b/>
              </w:rPr>
              <w:t>iption</w:t>
            </w:r>
          </w:p>
        </w:tc>
        <w:tc>
          <w:tcPr>
            <w:tcW w:w="675" w:type="dxa"/>
          </w:tcPr>
          <w:p w14:paraId="482D7A79" w14:textId="77777777" w:rsidR="0027236D" w:rsidRPr="009C5FE4" w:rsidRDefault="0027236D" w:rsidP="00690247">
            <w:pPr>
              <w:spacing w:line="276" w:lineRule="auto"/>
              <w:rPr>
                <w:b/>
              </w:rPr>
            </w:pPr>
            <w:r w:rsidRPr="009C5FE4">
              <w:rPr>
                <w:b/>
              </w:rPr>
              <w:t>Weighting</w:t>
            </w:r>
          </w:p>
        </w:tc>
      </w:tr>
      <w:tr w:rsidR="0027236D" w14:paraId="38197BD1" w14:textId="77777777" w:rsidTr="0074510C">
        <w:tc>
          <w:tcPr>
            <w:tcW w:w="4248" w:type="dxa"/>
          </w:tcPr>
          <w:p w14:paraId="51395684" w14:textId="7E088884" w:rsidR="0027236D" w:rsidRPr="004B2796" w:rsidRDefault="0027236D" w:rsidP="00690247">
            <w:pPr>
              <w:pStyle w:val="BodyTextIndent"/>
              <w:tabs>
                <w:tab w:val="left" w:pos="6120"/>
              </w:tabs>
              <w:spacing w:line="276" w:lineRule="auto"/>
              <w:ind w:left="0"/>
            </w:pPr>
            <w:r w:rsidRPr="004B2796">
              <w:t>Evidence of relevant experience</w:t>
            </w:r>
          </w:p>
        </w:tc>
        <w:tc>
          <w:tcPr>
            <w:tcW w:w="4819" w:type="dxa"/>
          </w:tcPr>
          <w:p w14:paraId="1FB8EDCE" w14:textId="2744527C" w:rsidR="0027236D" w:rsidRDefault="0027236D" w:rsidP="00690247">
            <w:pPr>
              <w:spacing w:line="276" w:lineRule="auto"/>
            </w:pPr>
            <w:r>
              <w:t>Experience of having delivered</w:t>
            </w:r>
            <w:r w:rsidR="00683562">
              <w:t xml:space="preserve"> high-quality</w:t>
            </w:r>
            <w:r>
              <w:t xml:space="preserve"> literature reviews, </w:t>
            </w:r>
            <w:r w:rsidR="00891327">
              <w:t>preferably</w:t>
            </w:r>
            <w:r>
              <w:t xml:space="preserve"> </w:t>
            </w:r>
            <w:r w:rsidR="00683562">
              <w:t>on</w:t>
            </w:r>
            <w:r>
              <w:t xml:space="preserve"> similar </w:t>
            </w:r>
            <w:r w:rsidR="00683562">
              <w:t>topics</w:t>
            </w:r>
            <w:r>
              <w:t xml:space="preserve">. </w:t>
            </w:r>
            <w:r w:rsidR="00683562">
              <w:t>We are particularly keen to see e</w:t>
            </w:r>
            <w:r>
              <w:t xml:space="preserve">vidence of </w:t>
            </w:r>
            <w:r w:rsidR="00683562">
              <w:t xml:space="preserve">bidders </w:t>
            </w:r>
            <w:r>
              <w:t xml:space="preserve">having delivered academic research </w:t>
            </w:r>
            <w:r w:rsidR="00A43ED2">
              <w:t>where findings have</w:t>
            </w:r>
            <w:r>
              <w:t xml:space="preserve"> </w:t>
            </w:r>
            <w:r w:rsidR="00683562">
              <w:t xml:space="preserve">been successfully </w:t>
            </w:r>
            <w:r>
              <w:t xml:space="preserve">translated </w:t>
            </w:r>
            <w:r w:rsidR="00683562">
              <w:t>in</w:t>
            </w:r>
            <w:r>
              <w:t xml:space="preserve">to </w:t>
            </w:r>
            <w:r w:rsidR="00683562">
              <w:t xml:space="preserve">outputs that </w:t>
            </w:r>
            <w:r w:rsidR="00A43ED2">
              <w:t>suitable for use by other stakeholders (e.g., employers).</w:t>
            </w:r>
          </w:p>
        </w:tc>
        <w:tc>
          <w:tcPr>
            <w:tcW w:w="675" w:type="dxa"/>
          </w:tcPr>
          <w:p w14:paraId="1487C83D" w14:textId="1E935892" w:rsidR="0027236D" w:rsidRDefault="0027236D" w:rsidP="00690247">
            <w:pPr>
              <w:spacing w:line="276" w:lineRule="auto"/>
            </w:pPr>
            <w:r>
              <w:t>40%</w:t>
            </w:r>
          </w:p>
        </w:tc>
      </w:tr>
      <w:tr w:rsidR="0027236D" w14:paraId="6B552FF3" w14:textId="77777777" w:rsidTr="0074510C">
        <w:tc>
          <w:tcPr>
            <w:tcW w:w="4248" w:type="dxa"/>
          </w:tcPr>
          <w:p w14:paraId="44AFC87B" w14:textId="16A2823D" w:rsidR="0027236D" w:rsidRDefault="0027236D" w:rsidP="00690247">
            <w:pPr>
              <w:spacing w:line="276" w:lineRule="auto"/>
            </w:pPr>
            <w:r>
              <w:t>Understanding of subject matter</w:t>
            </w:r>
          </w:p>
        </w:tc>
        <w:tc>
          <w:tcPr>
            <w:tcW w:w="4819" w:type="dxa"/>
          </w:tcPr>
          <w:p w14:paraId="26AB026F" w14:textId="0B9A2C78" w:rsidR="0027236D" w:rsidRDefault="0027236D" w:rsidP="00690247">
            <w:pPr>
              <w:spacing w:line="276" w:lineRule="auto"/>
            </w:pPr>
            <w:r>
              <w:t>Demon</w:t>
            </w:r>
            <w:r w:rsidR="0074510C">
              <w:t>stration of outstanding expertise</w:t>
            </w:r>
            <w:r>
              <w:t xml:space="preserve"> in the subject matter, including</w:t>
            </w:r>
            <w:r w:rsidR="0074510C">
              <w:t xml:space="preserve"> a</w:t>
            </w:r>
            <w:r>
              <w:t xml:space="preserve"> track record of</w:t>
            </w:r>
            <w:r w:rsidR="00683562">
              <w:t xml:space="preserve"> producing high-quality</w:t>
            </w:r>
            <w:r>
              <w:t xml:space="preserve"> research in this field</w:t>
            </w:r>
            <w:r w:rsidR="006B2110">
              <w:t xml:space="preserve"> and familiarity with </w:t>
            </w:r>
            <w:r w:rsidR="00A43ED2">
              <w:t xml:space="preserve">the </w:t>
            </w:r>
            <w:r w:rsidR="006B2110">
              <w:t xml:space="preserve">existing </w:t>
            </w:r>
            <w:r w:rsidR="00A43ED2">
              <w:t>evidence base</w:t>
            </w:r>
            <w:r w:rsidR="00683562">
              <w:t>.</w:t>
            </w:r>
            <w:r w:rsidR="0074510C">
              <w:t xml:space="preserve"> Ideally, this will be</w:t>
            </w:r>
            <w:r w:rsidR="006B2110">
              <w:t xml:space="preserve"> demonstrated</w:t>
            </w:r>
            <w:r w:rsidR="0074510C">
              <w:t xml:space="preserve"> at both an institutional and individual level.</w:t>
            </w:r>
          </w:p>
        </w:tc>
        <w:tc>
          <w:tcPr>
            <w:tcW w:w="675" w:type="dxa"/>
          </w:tcPr>
          <w:p w14:paraId="09891772" w14:textId="4A522565" w:rsidR="0027236D" w:rsidRDefault="0027236D" w:rsidP="00690247">
            <w:pPr>
              <w:spacing w:line="276" w:lineRule="auto"/>
            </w:pPr>
            <w:r>
              <w:t>40%</w:t>
            </w:r>
          </w:p>
        </w:tc>
      </w:tr>
      <w:tr w:rsidR="0027236D" w14:paraId="6A353423" w14:textId="77777777" w:rsidTr="0074510C">
        <w:tc>
          <w:tcPr>
            <w:tcW w:w="4248" w:type="dxa"/>
          </w:tcPr>
          <w:p w14:paraId="3E1D7EAE" w14:textId="77777777" w:rsidR="0027236D" w:rsidRDefault="0027236D" w:rsidP="00690247">
            <w:pPr>
              <w:spacing w:line="276" w:lineRule="auto"/>
            </w:pPr>
            <w:r>
              <w:t>Value for money</w:t>
            </w:r>
          </w:p>
        </w:tc>
        <w:tc>
          <w:tcPr>
            <w:tcW w:w="4819" w:type="dxa"/>
          </w:tcPr>
          <w:p w14:paraId="0C91A75D" w14:textId="2396E28B" w:rsidR="0027236D" w:rsidRDefault="0027236D" w:rsidP="00690247">
            <w:pPr>
              <w:spacing w:line="276" w:lineRule="auto"/>
            </w:pPr>
            <w:r>
              <w:t>Evidence of ability to deliver in a manner that is efficient, effective and economical.</w:t>
            </w:r>
          </w:p>
        </w:tc>
        <w:tc>
          <w:tcPr>
            <w:tcW w:w="675" w:type="dxa"/>
          </w:tcPr>
          <w:p w14:paraId="4ACE5F92" w14:textId="0B424035" w:rsidR="0027236D" w:rsidRDefault="0027236D" w:rsidP="00690247">
            <w:pPr>
              <w:spacing w:line="276" w:lineRule="auto"/>
            </w:pPr>
            <w:r>
              <w:t>1</w:t>
            </w:r>
            <w:r w:rsidR="00683562">
              <w:t>0</w:t>
            </w:r>
            <w:r>
              <w:t>%</w:t>
            </w:r>
          </w:p>
        </w:tc>
      </w:tr>
      <w:tr w:rsidR="0027236D" w14:paraId="28A3FC6C" w14:textId="77777777" w:rsidTr="0074510C">
        <w:tc>
          <w:tcPr>
            <w:tcW w:w="4248" w:type="dxa"/>
          </w:tcPr>
          <w:p w14:paraId="161E033A" w14:textId="77777777" w:rsidR="0027236D" w:rsidRDefault="0027236D" w:rsidP="00690247">
            <w:pPr>
              <w:spacing w:line="276" w:lineRule="auto"/>
            </w:pPr>
            <w:r>
              <w:t>Capacity to carry out work</w:t>
            </w:r>
          </w:p>
        </w:tc>
        <w:tc>
          <w:tcPr>
            <w:tcW w:w="4819" w:type="dxa"/>
          </w:tcPr>
          <w:p w14:paraId="186E79C0" w14:textId="4A47AE48" w:rsidR="0027236D" w:rsidRDefault="0074510C" w:rsidP="00690247">
            <w:pPr>
              <w:spacing w:line="276" w:lineRule="auto"/>
            </w:pPr>
            <w:r>
              <w:t>Demonstrable ability</w:t>
            </w:r>
            <w:r w:rsidR="0027236D">
              <w:t xml:space="preserve"> to complete the required work, i.e., in employing or intending to recruit appropriately skilled staff.</w:t>
            </w:r>
          </w:p>
        </w:tc>
        <w:tc>
          <w:tcPr>
            <w:tcW w:w="675" w:type="dxa"/>
          </w:tcPr>
          <w:p w14:paraId="61417EA2" w14:textId="77777777" w:rsidR="0027236D" w:rsidRDefault="0027236D" w:rsidP="00690247">
            <w:pPr>
              <w:spacing w:line="276" w:lineRule="auto"/>
            </w:pPr>
            <w:r>
              <w:t>10%</w:t>
            </w:r>
          </w:p>
        </w:tc>
      </w:tr>
    </w:tbl>
    <w:p w14:paraId="3079DE57" w14:textId="6523F07C" w:rsidR="0027236D" w:rsidRDefault="0027236D" w:rsidP="00690247">
      <w:pPr>
        <w:spacing w:line="276" w:lineRule="auto"/>
      </w:pPr>
    </w:p>
    <w:p w14:paraId="10230991" w14:textId="77777777" w:rsidR="0027236D" w:rsidRPr="00F60002" w:rsidRDefault="0027236D" w:rsidP="00690247">
      <w:pPr>
        <w:spacing w:line="276" w:lineRule="auto"/>
        <w:rPr>
          <w:u w:val="single"/>
        </w:rPr>
      </w:pPr>
      <w:r w:rsidRPr="00A13464">
        <w:rPr>
          <w:u w:val="single"/>
        </w:rPr>
        <w:t>Submitted EoIs should be no more than 1,500 words</w:t>
      </w:r>
      <w:r>
        <w:rPr>
          <w:u w:val="single"/>
        </w:rPr>
        <w:t xml:space="preserve"> in length</w:t>
      </w:r>
      <w:r w:rsidRPr="00A13464">
        <w:rPr>
          <w:u w:val="single"/>
        </w:rPr>
        <w:t>.</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5DF5F8F" w:rsidR="00915C18" w:rsidRDefault="00915C18" w:rsidP="00690247">
            <w:pPr>
              <w:spacing w:before="160" w:line="276" w:lineRule="auto"/>
              <w:rPr>
                <w:b/>
                <w:bCs/>
                <w:sz w:val="28"/>
                <w:szCs w:val="20"/>
              </w:rPr>
            </w:pPr>
            <w:r w:rsidRPr="00915C18">
              <w:rPr>
                <w:b/>
                <w:bCs/>
                <w:sz w:val="28"/>
                <w:szCs w:val="20"/>
              </w:rPr>
              <w:t>Closing date for EOIs:</w:t>
            </w:r>
            <w:r w:rsidR="0027236D">
              <w:rPr>
                <w:b/>
                <w:bCs/>
                <w:sz w:val="28"/>
                <w:szCs w:val="20"/>
              </w:rPr>
              <w:t xml:space="preserve"> </w:t>
            </w:r>
            <w:r w:rsidR="004C631C">
              <w:rPr>
                <w:b/>
                <w:bCs/>
                <w:sz w:val="28"/>
                <w:szCs w:val="20"/>
              </w:rPr>
              <w:t>23</w:t>
            </w:r>
            <w:r w:rsidR="004C631C" w:rsidRPr="004C631C">
              <w:rPr>
                <w:b/>
                <w:bCs/>
                <w:sz w:val="28"/>
                <w:szCs w:val="20"/>
                <w:vertAlign w:val="superscript"/>
              </w:rPr>
              <w:t>rd</w:t>
            </w:r>
            <w:r w:rsidR="004C631C">
              <w:rPr>
                <w:b/>
                <w:bCs/>
                <w:sz w:val="28"/>
                <w:szCs w:val="20"/>
                <w:vertAlign w:val="superscript"/>
              </w:rPr>
              <w:t xml:space="preserve"> </w:t>
            </w:r>
            <w:r w:rsidR="0027236D">
              <w:rPr>
                <w:b/>
                <w:bCs/>
                <w:sz w:val="28"/>
                <w:szCs w:val="20"/>
              </w:rPr>
              <w:t>May 2018</w:t>
            </w:r>
          </w:p>
          <w:p w14:paraId="5178F3E6" w14:textId="417A316A" w:rsidR="00A85EBD" w:rsidRDefault="00915C18" w:rsidP="00690247">
            <w:pPr>
              <w:spacing w:line="276" w:lineRule="auto"/>
              <w:rPr>
                <w:rFonts w:ascii="Calibri" w:hAnsi="Calibri"/>
              </w:rPr>
            </w:pPr>
            <w:r w:rsidRPr="00915C18">
              <w:rPr>
                <w:b/>
                <w:bCs/>
                <w:sz w:val="28"/>
                <w:szCs w:val="20"/>
              </w:rPr>
              <w:t>Send your EOI form to:</w:t>
            </w:r>
            <w:r w:rsidR="0027236D">
              <w:rPr>
                <w:b/>
                <w:bCs/>
                <w:sz w:val="28"/>
                <w:szCs w:val="20"/>
              </w:rPr>
              <w:t xml:space="preserve"> Lauren Probert (lauren.probert@geo.gov.uk)</w:t>
            </w:r>
          </w:p>
        </w:tc>
      </w:tr>
    </w:tbl>
    <w:p w14:paraId="5CE1D345" w14:textId="77777777" w:rsidR="00FC2B3C" w:rsidRDefault="00FC2B3C" w:rsidP="00690247">
      <w:pPr>
        <w:pStyle w:val="EndBox"/>
        <w:spacing w:line="276" w:lineRule="auto"/>
      </w:pPr>
    </w:p>
    <w:p w14:paraId="3EA17F59" w14:textId="6E59CE1D" w:rsidR="00915C18" w:rsidRPr="003E05F9" w:rsidRDefault="00094338" w:rsidP="00690247">
      <w:pPr>
        <w:pStyle w:val="Heading2"/>
        <w:spacing w:line="276" w:lineRule="auto"/>
      </w:pPr>
      <w:r>
        <w:t>H</w:t>
      </w:r>
      <w:r w:rsidR="00915C18" w:rsidRPr="003E05F9">
        <w:t xml:space="preserve">ow to submit an </w:t>
      </w:r>
      <w:r w:rsidRPr="00094338">
        <w:t>e</w:t>
      </w:r>
      <w:r w:rsidR="008420D7">
        <w:t>x</w:t>
      </w:r>
      <w:r w:rsidRPr="00094338">
        <w:t>pression of interest</w:t>
      </w:r>
    </w:p>
    <w:p w14:paraId="53D8E246" w14:textId="305BA7F8" w:rsidR="00814CCF" w:rsidRDefault="00814CCF" w:rsidP="00690247">
      <w:pPr>
        <w:spacing w:line="276" w:lineRule="auto"/>
      </w:pPr>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690247">
      <w:pPr>
        <w:spacing w:line="276" w:lineRule="auto"/>
      </w:pPr>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690247">
      <w:pPr>
        <w:spacing w:line="276" w:lineRule="auto"/>
      </w:pPr>
    </w:p>
    <w:p w14:paraId="5944612C" w14:textId="6FA18E2C" w:rsidR="005D3B59" w:rsidRPr="00531385" w:rsidRDefault="00C2496D" w:rsidP="00690247">
      <w:pPr>
        <w:spacing w:line="276" w:lineRule="auto"/>
      </w:pPr>
      <w:r w:rsidRPr="00995398">
        <w:t>©</w:t>
      </w:r>
      <w:r w:rsidR="005D3B59" w:rsidRPr="005D3B59">
        <w:t xml:space="preserve"> </w:t>
      </w:r>
      <w:r w:rsidR="00EE71A2">
        <w:t xml:space="preserve">Crown copyright </w:t>
      </w:r>
      <w:r w:rsidR="0027236D">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891327" w:rsidRDefault="00891327" w:rsidP="002B6D93">
      <w:r>
        <w:separator/>
      </w:r>
    </w:p>
    <w:p w14:paraId="6B8BFEEC" w14:textId="77777777" w:rsidR="00891327" w:rsidRDefault="00891327"/>
  </w:endnote>
  <w:endnote w:type="continuationSeparator" w:id="0">
    <w:p w14:paraId="73D94432" w14:textId="77777777" w:rsidR="00891327" w:rsidRDefault="00891327" w:rsidP="002B6D93">
      <w:r>
        <w:continuationSeparator/>
      </w:r>
    </w:p>
    <w:p w14:paraId="711A391B" w14:textId="77777777" w:rsidR="00891327" w:rsidRDefault="00891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1E938F80" w:rsidR="00891327" w:rsidRDefault="00891327"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248EE">
          <w:rPr>
            <w:noProof/>
          </w:rPr>
          <w:t>4</w:t>
        </w:r>
        <w:r>
          <w:rPr>
            <w:noProof/>
          </w:rPr>
          <w:fldChar w:fldCharType="end"/>
        </w:r>
      </w:p>
    </w:sdtContent>
  </w:sdt>
  <w:p w14:paraId="4156AEA0" w14:textId="77777777" w:rsidR="00891327" w:rsidRDefault="0089132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891327" w:rsidRPr="006E6ADB" w:rsidRDefault="00891327" w:rsidP="004A3626">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891327" w:rsidRDefault="00891327" w:rsidP="002B6D93">
      <w:r>
        <w:separator/>
      </w:r>
    </w:p>
    <w:p w14:paraId="14F04B7F" w14:textId="77777777" w:rsidR="00891327" w:rsidRDefault="00891327"/>
  </w:footnote>
  <w:footnote w:type="continuationSeparator" w:id="0">
    <w:p w14:paraId="7BBE84F1" w14:textId="77777777" w:rsidR="00891327" w:rsidRDefault="00891327" w:rsidP="002B6D93">
      <w:r>
        <w:continuationSeparator/>
      </w:r>
    </w:p>
    <w:p w14:paraId="56FF0337" w14:textId="77777777" w:rsidR="00891327" w:rsidRDefault="008913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27310"/>
    <w:multiLevelType w:val="hybridMultilevel"/>
    <w:tmpl w:val="A9000D40"/>
    <w:lvl w:ilvl="0" w:tplc="A8BA5CB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3"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4E69DC"/>
    <w:multiLevelType w:val="hybridMultilevel"/>
    <w:tmpl w:val="5B425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00476"/>
    <w:multiLevelType w:val="hybridMultilevel"/>
    <w:tmpl w:val="C5642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6"/>
  </w:num>
  <w:num w:numId="4">
    <w:abstractNumId w:val="9"/>
  </w:num>
  <w:num w:numId="5">
    <w:abstractNumId w:val="7"/>
  </w:num>
  <w:num w:numId="6">
    <w:abstractNumId w:val="12"/>
  </w:num>
  <w:num w:numId="7">
    <w:abstractNumId w:val="3"/>
  </w:num>
  <w:num w:numId="8">
    <w:abstractNumId w:val="1"/>
  </w:num>
  <w:num w:numId="9">
    <w:abstractNumId w:val="0"/>
  </w:num>
  <w:num w:numId="10">
    <w:abstractNumId w:val="13"/>
  </w:num>
  <w:num w:numId="11">
    <w:abstractNumId w:val="12"/>
  </w:num>
  <w:num w:numId="12">
    <w:abstractNumId w:val="18"/>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8"/>
  </w:num>
  <w:num w:numId="18">
    <w:abstractNumId w:val="10"/>
  </w:num>
  <w:num w:numId="19">
    <w:abstractNumId w:val="15"/>
  </w:num>
  <w:num w:numId="20">
    <w:abstractNumId w:val="14"/>
  </w:num>
  <w:num w:numId="21">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457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34EC4"/>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049"/>
    <w:rsid w:val="00190C3A"/>
    <w:rsid w:val="00196306"/>
    <w:rsid w:val="001975D1"/>
    <w:rsid w:val="001A3A04"/>
    <w:rsid w:val="001B2AE2"/>
    <w:rsid w:val="001B4452"/>
    <w:rsid w:val="001B5C15"/>
    <w:rsid w:val="001B796F"/>
    <w:rsid w:val="001C5A63"/>
    <w:rsid w:val="001C5EB6"/>
    <w:rsid w:val="001D5770"/>
    <w:rsid w:val="001D5982"/>
    <w:rsid w:val="001F1B30"/>
    <w:rsid w:val="001F2CE2"/>
    <w:rsid w:val="00203EC9"/>
    <w:rsid w:val="002113CF"/>
    <w:rsid w:val="0022255C"/>
    <w:rsid w:val="0022489D"/>
    <w:rsid w:val="002262F3"/>
    <w:rsid w:val="00230559"/>
    <w:rsid w:val="002332F8"/>
    <w:rsid w:val="00234F75"/>
    <w:rsid w:val="00240F4B"/>
    <w:rsid w:val="002543BD"/>
    <w:rsid w:val="002575C5"/>
    <w:rsid w:val="002639B5"/>
    <w:rsid w:val="0027231C"/>
    <w:rsid w:val="0027236D"/>
    <w:rsid w:val="0027252F"/>
    <w:rsid w:val="002839B5"/>
    <w:rsid w:val="00287788"/>
    <w:rsid w:val="002A28F7"/>
    <w:rsid w:val="002A3153"/>
    <w:rsid w:val="002A5858"/>
    <w:rsid w:val="002B6D93"/>
    <w:rsid w:val="002C34D4"/>
    <w:rsid w:val="002C3AA4"/>
    <w:rsid w:val="002D5695"/>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A5758"/>
    <w:rsid w:val="003C60B5"/>
    <w:rsid w:val="003D1EFE"/>
    <w:rsid w:val="003E1329"/>
    <w:rsid w:val="003E3ED2"/>
    <w:rsid w:val="00400E1D"/>
    <w:rsid w:val="00403D1C"/>
    <w:rsid w:val="004216FF"/>
    <w:rsid w:val="004242C5"/>
    <w:rsid w:val="004339FB"/>
    <w:rsid w:val="004509BE"/>
    <w:rsid w:val="00456560"/>
    <w:rsid w:val="00463931"/>
    <w:rsid w:val="00470223"/>
    <w:rsid w:val="004866AD"/>
    <w:rsid w:val="004A3626"/>
    <w:rsid w:val="004A3E98"/>
    <w:rsid w:val="004A600B"/>
    <w:rsid w:val="004B08AC"/>
    <w:rsid w:val="004C5600"/>
    <w:rsid w:val="004C631C"/>
    <w:rsid w:val="004D13A3"/>
    <w:rsid w:val="004D73C6"/>
    <w:rsid w:val="004E5405"/>
    <w:rsid w:val="004E6CD9"/>
    <w:rsid w:val="004F20E3"/>
    <w:rsid w:val="004F211A"/>
    <w:rsid w:val="004F3159"/>
    <w:rsid w:val="004F4AEF"/>
    <w:rsid w:val="005247AD"/>
    <w:rsid w:val="005267D0"/>
    <w:rsid w:val="005360B7"/>
    <w:rsid w:val="00536E0B"/>
    <w:rsid w:val="005535E5"/>
    <w:rsid w:val="00560451"/>
    <w:rsid w:val="0057250B"/>
    <w:rsid w:val="00574294"/>
    <w:rsid w:val="005749C5"/>
    <w:rsid w:val="0057670A"/>
    <w:rsid w:val="00581D79"/>
    <w:rsid w:val="005848AD"/>
    <w:rsid w:val="005905B1"/>
    <w:rsid w:val="005914F1"/>
    <w:rsid w:val="005946C7"/>
    <w:rsid w:val="005A016F"/>
    <w:rsid w:val="005A07FF"/>
    <w:rsid w:val="005A0891"/>
    <w:rsid w:val="005C0B41"/>
    <w:rsid w:val="005C1770"/>
    <w:rsid w:val="005C2D94"/>
    <w:rsid w:val="005C657D"/>
    <w:rsid w:val="005D3B59"/>
    <w:rsid w:val="005E2EB7"/>
    <w:rsid w:val="005E3024"/>
    <w:rsid w:val="005F107C"/>
    <w:rsid w:val="0060702F"/>
    <w:rsid w:val="006108B3"/>
    <w:rsid w:val="00622501"/>
    <w:rsid w:val="006237FB"/>
    <w:rsid w:val="0062451E"/>
    <w:rsid w:val="006249D2"/>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3562"/>
    <w:rsid w:val="00684973"/>
    <w:rsid w:val="0068544D"/>
    <w:rsid w:val="00690247"/>
    <w:rsid w:val="00695D08"/>
    <w:rsid w:val="006A27AA"/>
    <w:rsid w:val="006A3602"/>
    <w:rsid w:val="006B1F9F"/>
    <w:rsid w:val="006B2110"/>
    <w:rsid w:val="006C382D"/>
    <w:rsid w:val="006D1162"/>
    <w:rsid w:val="006D1BD8"/>
    <w:rsid w:val="006E12CF"/>
    <w:rsid w:val="006E6ADB"/>
    <w:rsid w:val="006E7F39"/>
    <w:rsid w:val="006F1F96"/>
    <w:rsid w:val="00700B01"/>
    <w:rsid w:val="00702EBF"/>
    <w:rsid w:val="00713414"/>
    <w:rsid w:val="00727EC4"/>
    <w:rsid w:val="00730350"/>
    <w:rsid w:val="0073516C"/>
    <w:rsid w:val="007403F5"/>
    <w:rsid w:val="007426B3"/>
    <w:rsid w:val="00743353"/>
    <w:rsid w:val="0074510C"/>
    <w:rsid w:val="0075096B"/>
    <w:rsid w:val="00751648"/>
    <w:rsid w:val="00754145"/>
    <w:rsid w:val="007604C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7E061E"/>
    <w:rsid w:val="008102EA"/>
    <w:rsid w:val="00812E90"/>
    <w:rsid w:val="00814CCF"/>
    <w:rsid w:val="00816E77"/>
    <w:rsid w:val="00830631"/>
    <w:rsid w:val="00831263"/>
    <w:rsid w:val="00831DB7"/>
    <w:rsid w:val="00832EBF"/>
    <w:rsid w:val="00834262"/>
    <w:rsid w:val="008366CB"/>
    <w:rsid w:val="00837F3A"/>
    <w:rsid w:val="008420D7"/>
    <w:rsid w:val="00853C78"/>
    <w:rsid w:val="008620F3"/>
    <w:rsid w:val="00863986"/>
    <w:rsid w:val="00866257"/>
    <w:rsid w:val="00874F24"/>
    <w:rsid w:val="00876230"/>
    <w:rsid w:val="00877D5B"/>
    <w:rsid w:val="00880441"/>
    <w:rsid w:val="00880B83"/>
    <w:rsid w:val="00886B1E"/>
    <w:rsid w:val="00891327"/>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76186"/>
    <w:rsid w:val="00986616"/>
    <w:rsid w:val="00995398"/>
    <w:rsid w:val="009B32FA"/>
    <w:rsid w:val="009C2C02"/>
    <w:rsid w:val="009C73CF"/>
    <w:rsid w:val="009D0DBF"/>
    <w:rsid w:val="009E00AE"/>
    <w:rsid w:val="009E09D3"/>
    <w:rsid w:val="009E6E74"/>
    <w:rsid w:val="009E7EE1"/>
    <w:rsid w:val="009E7F32"/>
    <w:rsid w:val="009F2199"/>
    <w:rsid w:val="00A0541C"/>
    <w:rsid w:val="00A248DB"/>
    <w:rsid w:val="00A30BA1"/>
    <w:rsid w:val="00A37DEE"/>
    <w:rsid w:val="00A433C3"/>
    <w:rsid w:val="00A43ED2"/>
    <w:rsid w:val="00A54BB7"/>
    <w:rsid w:val="00A5643A"/>
    <w:rsid w:val="00A57128"/>
    <w:rsid w:val="00A5723C"/>
    <w:rsid w:val="00A707A4"/>
    <w:rsid w:val="00A7274B"/>
    <w:rsid w:val="00A73FB8"/>
    <w:rsid w:val="00A75086"/>
    <w:rsid w:val="00A763CB"/>
    <w:rsid w:val="00A801D1"/>
    <w:rsid w:val="00A81F69"/>
    <w:rsid w:val="00A85EBD"/>
    <w:rsid w:val="00AA3484"/>
    <w:rsid w:val="00AA7E7B"/>
    <w:rsid w:val="00AB6B92"/>
    <w:rsid w:val="00AB6D0F"/>
    <w:rsid w:val="00AB7858"/>
    <w:rsid w:val="00AC483E"/>
    <w:rsid w:val="00AC61A6"/>
    <w:rsid w:val="00AD1BE5"/>
    <w:rsid w:val="00AD1DD2"/>
    <w:rsid w:val="00AD2062"/>
    <w:rsid w:val="00AD2E94"/>
    <w:rsid w:val="00AD2F1D"/>
    <w:rsid w:val="00AE1E46"/>
    <w:rsid w:val="00AE4296"/>
    <w:rsid w:val="00AF0989"/>
    <w:rsid w:val="00AF2191"/>
    <w:rsid w:val="00AF785C"/>
    <w:rsid w:val="00B336AF"/>
    <w:rsid w:val="00B3498C"/>
    <w:rsid w:val="00B43CAD"/>
    <w:rsid w:val="00B53333"/>
    <w:rsid w:val="00B55A49"/>
    <w:rsid w:val="00B605B3"/>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8EE"/>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56F5"/>
    <w:rsid w:val="00CB6E04"/>
    <w:rsid w:val="00CC2512"/>
    <w:rsid w:val="00CC547F"/>
    <w:rsid w:val="00CD5D21"/>
    <w:rsid w:val="00CE2652"/>
    <w:rsid w:val="00CE7906"/>
    <w:rsid w:val="00CF0E19"/>
    <w:rsid w:val="00D11353"/>
    <w:rsid w:val="00D27D9B"/>
    <w:rsid w:val="00D376DB"/>
    <w:rsid w:val="00D408A5"/>
    <w:rsid w:val="00D40DE9"/>
    <w:rsid w:val="00D41212"/>
    <w:rsid w:val="00D42B45"/>
    <w:rsid w:val="00D57EE0"/>
    <w:rsid w:val="00D65C76"/>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108D0"/>
    <w:rsid w:val="00F206A7"/>
    <w:rsid w:val="00F3105E"/>
    <w:rsid w:val="00F41591"/>
    <w:rsid w:val="00F41A63"/>
    <w:rsid w:val="00F45BEB"/>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BodyTextIndent">
    <w:name w:val="Body Text Indent"/>
    <w:basedOn w:val="Normal"/>
    <w:link w:val="BodyTextIndentChar"/>
    <w:unhideWhenUsed/>
    <w:rsid w:val="0027236D"/>
    <w:pPr>
      <w:spacing w:after="120"/>
      <w:ind w:left="283"/>
    </w:pPr>
  </w:style>
  <w:style w:type="character" w:customStyle="1" w:styleId="BodyTextIndentChar">
    <w:name w:val="Body Text Indent Char"/>
    <w:basedOn w:val="DefaultParagraphFont"/>
    <w:link w:val="BodyTextIndent"/>
    <w:rsid w:val="0027236D"/>
    <w:rPr>
      <w:sz w:val="22"/>
      <w:szCs w:val="24"/>
    </w:rPr>
  </w:style>
  <w:style w:type="paragraph" w:styleId="Revision">
    <w:name w:val="Revision"/>
    <w:hidden/>
    <w:uiPriority w:val="99"/>
    <w:semiHidden/>
    <w:rsid w:val="0027236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318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36178550">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7060939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4B7DCE39-AB92-4048-BD16-472514B227E0}">
  <ds:schemaRefs>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schemas.microsoft.com/sharepoint/v3"/>
    <ds:schemaRef ds:uri="1d8741c7-de4e-4a2d-a0c7-324270fb0e97"/>
    <ds:schemaRef ds:uri="http://www.w3.org/XML/1998/namespace"/>
    <ds:schemaRef ds:uri="http://purl.org/dc/dcmitype/"/>
  </ds:schemaRefs>
</ds:datastoreItem>
</file>

<file path=customXml/itemProps4.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6.xml><?xml version="1.0" encoding="utf-8"?>
<ds:datastoreItem xmlns:ds="http://schemas.openxmlformats.org/officeDocument/2006/customXml" ds:itemID="{3A513080-C9CC-4440-B1EA-0004FF3A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7404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3</cp:revision>
  <cp:lastPrinted>2013-07-11T10:35:00Z</cp:lastPrinted>
  <dcterms:created xsi:type="dcterms:W3CDTF">2018-05-10T14:44:00Z</dcterms:created>
  <dcterms:modified xsi:type="dcterms:W3CDTF">2018-05-10T14:44:00Z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