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13" w:type="dxa"/>
        <w:tblLayout w:type="fixed"/>
        <w:tblLook w:val="04A0" w:firstRow="1" w:lastRow="0" w:firstColumn="1" w:lastColumn="0" w:noHBand="0" w:noVBand="1"/>
      </w:tblPr>
      <w:tblGrid>
        <w:gridCol w:w="417"/>
        <w:gridCol w:w="4369"/>
        <w:gridCol w:w="3827"/>
      </w:tblGrid>
      <w:tr w:rsidR="0015056F" w:rsidRPr="0015056F" w:rsidTr="0015056F">
        <w:tc>
          <w:tcPr>
            <w:tcW w:w="8613" w:type="dxa"/>
            <w:gridSpan w:val="3"/>
          </w:tcPr>
          <w:p w:rsidR="00B04235" w:rsidRPr="0015056F" w:rsidRDefault="00B04235" w:rsidP="006E2696">
            <w:pPr>
              <w:pStyle w:val="DeptBullets"/>
              <w:numPr>
                <w:ilvl w:val="0"/>
                <w:numId w:val="0"/>
              </w:numPr>
              <w:spacing w:after="0"/>
              <w:jc w:val="center"/>
              <w:rPr>
                <w:rFonts w:cs="Arial"/>
                <w:b/>
                <w:szCs w:val="24"/>
              </w:rPr>
            </w:pPr>
            <w:r w:rsidRPr="0015056F">
              <w:rPr>
                <w:rFonts w:cs="Arial"/>
                <w:b/>
                <w:szCs w:val="24"/>
              </w:rPr>
              <w:t>Social Work Fast Track Tender</w:t>
            </w:r>
          </w:p>
          <w:p w:rsidR="00B04235" w:rsidRPr="0015056F" w:rsidRDefault="00B04235" w:rsidP="006E2696">
            <w:pPr>
              <w:pStyle w:val="DeptBullets"/>
              <w:numPr>
                <w:ilvl w:val="0"/>
                <w:numId w:val="0"/>
              </w:numPr>
              <w:spacing w:after="0"/>
              <w:jc w:val="center"/>
              <w:rPr>
                <w:rFonts w:cs="Arial"/>
                <w:b/>
                <w:szCs w:val="24"/>
              </w:rPr>
            </w:pPr>
            <w:r w:rsidRPr="0015056F">
              <w:rPr>
                <w:rFonts w:cs="Arial"/>
                <w:b/>
                <w:szCs w:val="24"/>
              </w:rPr>
              <w:t>1282</w:t>
            </w:r>
          </w:p>
          <w:p w:rsidR="00B04235" w:rsidRPr="0015056F" w:rsidRDefault="00B04235" w:rsidP="006E2696">
            <w:pPr>
              <w:pStyle w:val="DeptBullets"/>
              <w:numPr>
                <w:ilvl w:val="0"/>
                <w:numId w:val="0"/>
              </w:numPr>
              <w:spacing w:after="0"/>
              <w:jc w:val="center"/>
              <w:rPr>
                <w:rFonts w:cs="Arial"/>
                <w:b/>
                <w:szCs w:val="24"/>
                <w:u w:val="single"/>
              </w:rPr>
            </w:pPr>
            <w:r w:rsidRPr="0015056F">
              <w:rPr>
                <w:rFonts w:cs="Arial"/>
                <w:b/>
                <w:szCs w:val="24"/>
              </w:rPr>
              <w:t>Questions and Answers</w:t>
            </w:r>
          </w:p>
        </w:tc>
      </w:tr>
      <w:tr w:rsidR="0015056F" w:rsidRPr="0015056F" w:rsidTr="0015056F">
        <w:tc>
          <w:tcPr>
            <w:tcW w:w="417" w:type="dxa"/>
          </w:tcPr>
          <w:p w:rsidR="00B04235" w:rsidRPr="0015056F" w:rsidRDefault="00B04235" w:rsidP="006E2696">
            <w:pPr>
              <w:pStyle w:val="DeptBullets"/>
              <w:numPr>
                <w:ilvl w:val="0"/>
                <w:numId w:val="0"/>
              </w:numPr>
              <w:spacing w:after="0"/>
              <w:rPr>
                <w:rFonts w:cs="Arial"/>
                <w:b/>
                <w:szCs w:val="24"/>
                <w:u w:val="single"/>
              </w:rPr>
            </w:pPr>
          </w:p>
        </w:tc>
        <w:tc>
          <w:tcPr>
            <w:tcW w:w="4369" w:type="dxa"/>
          </w:tcPr>
          <w:p w:rsidR="00B04235" w:rsidRPr="0015056F" w:rsidRDefault="00B04235" w:rsidP="006E2696">
            <w:pPr>
              <w:pStyle w:val="DeptBullets"/>
              <w:numPr>
                <w:ilvl w:val="0"/>
                <w:numId w:val="0"/>
              </w:numPr>
              <w:spacing w:after="0"/>
              <w:rPr>
                <w:rFonts w:cs="Arial"/>
                <w:b/>
                <w:szCs w:val="24"/>
                <w:u w:val="single"/>
              </w:rPr>
            </w:pPr>
            <w:r w:rsidRPr="0015056F">
              <w:rPr>
                <w:rFonts w:cs="Arial"/>
                <w:b/>
                <w:szCs w:val="24"/>
                <w:u w:val="single"/>
              </w:rPr>
              <w:t>Question</w:t>
            </w:r>
          </w:p>
        </w:tc>
        <w:tc>
          <w:tcPr>
            <w:tcW w:w="3827" w:type="dxa"/>
          </w:tcPr>
          <w:p w:rsidR="00B04235" w:rsidRPr="0015056F" w:rsidRDefault="00B04235" w:rsidP="006E2696">
            <w:pPr>
              <w:pStyle w:val="DeptBullets"/>
              <w:numPr>
                <w:ilvl w:val="0"/>
                <w:numId w:val="0"/>
              </w:numPr>
              <w:spacing w:after="0"/>
              <w:rPr>
                <w:rFonts w:cs="Arial"/>
                <w:b/>
                <w:szCs w:val="24"/>
                <w:u w:val="single"/>
              </w:rPr>
            </w:pPr>
            <w:r w:rsidRPr="0015056F">
              <w:rPr>
                <w:rFonts w:cs="Arial"/>
                <w:b/>
                <w:szCs w:val="24"/>
                <w:u w:val="single"/>
              </w:rPr>
              <w:t>Answer</w:t>
            </w:r>
          </w:p>
        </w:tc>
      </w:tr>
      <w:tr w:rsidR="0015056F" w:rsidRPr="0015056F" w:rsidTr="0015056F">
        <w:tc>
          <w:tcPr>
            <w:tcW w:w="417" w:type="dxa"/>
          </w:tcPr>
          <w:p w:rsidR="00B04235" w:rsidRPr="0015056F" w:rsidRDefault="00B04235" w:rsidP="006E2696">
            <w:pPr>
              <w:rPr>
                <w:rFonts w:cs="Arial"/>
                <w:b/>
                <w:szCs w:val="24"/>
              </w:rPr>
            </w:pPr>
            <w:r w:rsidRPr="0015056F">
              <w:rPr>
                <w:rFonts w:cs="Arial"/>
                <w:b/>
                <w:szCs w:val="24"/>
                <w:u w:val="single"/>
              </w:rPr>
              <w:t xml:space="preserve">1. </w:t>
            </w:r>
          </w:p>
        </w:tc>
        <w:tc>
          <w:tcPr>
            <w:tcW w:w="4369" w:type="dxa"/>
          </w:tcPr>
          <w:p w:rsidR="00B04235" w:rsidRPr="0015056F" w:rsidRDefault="00B04235" w:rsidP="006E2696">
            <w:pPr>
              <w:rPr>
                <w:rFonts w:cs="Arial"/>
                <w:szCs w:val="24"/>
              </w:rPr>
            </w:pPr>
            <w:r w:rsidRPr="0015056F">
              <w:rPr>
                <w:rFonts w:cs="Arial"/>
                <w:szCs w:val="24"/>
              </w:rPr>
              <w:t>Your invitation to tender letter on page 5 states “Your organisation has or will be able to secure Cyber Essentials Plus certification prior to contract award”</w:t>
            </w:r>
          </w:p>
          <w:p w:rsidR="00B04235" w:rsidRPr="0015056F" w:rsidRDefault="00B04235" w:rsidP="006E2696">
            <w:pPr>
              <w:rPr>
                <w:rFonts w:cs="Arial"/>
                <w:szCs w:val="24"/>
              </w:rPr>
            </w:pPr>
          </w:p>
          <w:p w:rsidR="00B04235" w:rsidRPr="0015056F" w:rsidRDefault="00B04235" w:rsidP="006E2696">
            <w:pPr>
              <w:rPr>
                <w:rFonts w:cs="Arial"/>
                <w:szCs w:val="24"/>
              </w:rPr>
            </w:pPr>
            <w:r w:rsidRPr="0015056F">
              <w:rPr>
                <w:rFonts w:cs="Arial"/>
                <w:i/>
                <w:szCs w:val="24"/>
              </w:rPr>
              <w:t>and</w:t>
            </w:r>
            <w:r w:rsidRPr="0015056F">
              <w:rPr>
                <w:rFonts w:cs="Arial"/>
                <w:szCs w:val="24"/>
              </w:rPr>
              <w:t xml:space="preserve"> on page 6</w:t>
            </w:r>
          </w:p>
          <w:p w:rsidR="00B04235" w:rsidRPr="0015056F" w:rsidRDefault="00B04235" w:rsidP="006E2696">
            <w:pPr>
              <w:rPr>
                <w:rFonts w:cs="Arial"/>
                <w:szCs w:val="24"/>
              </w:rPr>
            </w:pPr>
          </w:p>
          <w:p w:rsidR="00B04235" w:rsidRPr="0015056F" w:rsidRDefault="00B04235" w:rsidP="006E2696">
            <w:pPr>
              <w:rPr>
                <w:rFonts w:cs="Arial"/>
                <w:szCs w:val="24"/>
              </w:rPr>
            </w:pPr>
            <w:r w:rsidRPr="0015056F">
              <w:rPr>
                <w:rFonts w:cs="Arial"/>
                <w:szCs w:val="24"/>
              </w:rPr>
              <w:t xml:space="preserve">“the successful tenderer will be required to provide evidence of Cyber Essential </w:t>
            </w:r>
            <w:proofErr w:type="spellStart"/>
            <w:r w:rsidRPr="0015056F">
              <w:rPr>
                <w:rFonts w:cs="Arial"/>
                <w:szCs w:val="24"/>
              </w:rPr>
              <w:t>Plau</w:t>
            </w:r>
            <w:proofErr w:type="spellEnd"/>
            <w:r w:rsidRPr="0015056F">
              <w:rPr>
                <w:rFonts w:cs="Arial"/>
                <w:szCs w:val="24"/>
              </w:rPr>
              <w:t xml:space="preserve"> certification or equivalent (i.e. demonstrate they meet the five technical areas the Cyber Essentials scheme covers mean Cyber Essentials Plus rather than just Cyber Essentials certification prior to contract award” Can you confirm that you really mean Cyber-Essentials Plus certification rather than just Cyber-Essentials certification ?</w:t>
            </w:r>
          </w:p>
          <w:p w:rsidR="00B04235" w:rsidRPr="0015056F" w:rsidRDefault="00B04235" w:rsidP="006E2696">
            <w:pPr>
              <w:rPr>
                <w:rFonts w:cs="Arial"/>
                <w:b/>
                <w:szCs w:val="24"/>
                <w:u w:val="single"/>
              </w:rPr>
            </w:pPr>
          </w:p>
        </w:tc>
        <w:tc>
          <w:tcPr>
            <w:tcW w:w="3827" w:type="dxa"/>
          </w:tcPr>
          <w:p w:rsidR="00B04235" w:rsidRPr="0015056F" w:rsidRDefault="00B04235" w:rsidP="006E2696">
            <w:pPr>
              <w:rPr>
                <w:rFonts w:cs="Arial"/>
                <w:szCs w:val="24"/>
              </w:rPr>
            </w:pPr>
            <w:r w:rsidRPr="0015056F">
              <w:rPr>
                <w:rFonts w:cs="Arial"/>
                <w:szCs w:val="24"/>
              </w:rPr>
              <w:t>The terms and conditions of the ITT have been amended, including details of the level of internet security required.  This has now been set at Cyber Essentials, not Cyber Essentials Plus, in line with similar government contracts.</w:t>
            </w:r>
          </w:p>
          <w:p w:rsidR="00B04235" w:rsidRPr="0015056F" w:rsidRDefault="00B04235" w:rsidP="006E2696">
            <w:pPr>
              <w:pStyle w:val="DeptBullets"/>
              <w:numPr>
                <w:ilvl w:val="0"/>
                <w:numId w:val="0"/>
              </w:numPr>
              <w:spacing w:after="0"/>
              <w:rPr>
                <w:rFonts w:cs="Arial"/>
                <w:b/>
                <w:szCs w:val="24"/>
                <w:u w:val="single"/>
              </w:rPr>
            </w:pPr>
          </w:p>
        </w:tc>
      </w:tr>
      <w:tr w:rsidR="0015056F" w:rsidRPr="0015056F" w:rsidTr="0015056F">
        <w:tc>
          <w:tcPr>
            <w:tcW w:w="417" w:type="dxa"/>
          </w:tcPr>
          <w:p w:rsidR="00B04235" w:rsidRPr="0015056F" w:rsidRDefault="00B04235" w:rsidP="006E2696">
            <w:pPr>
              <w:pStyle w:val="DeptBullets"/>
              <w:numPr>
                <w:ilvl w:val="0"/>
                <w:numId w:val="0"/>
              </w:numPr>
              <w:spacing w:after="0"/>
              <w:rPr>
                <w:rFonts w:cs="Arial"/>
                <w:b/>
                <w:szCs w:val="24"/>
                <w:u w:val="single"/>
              </w:rPr>
            </w:pPr>
            <w:r w:rsidRPr="0015056F">
              <w:rPr>
                <w:rFonts w:cs="Arial"/>
                <w:b/>
                <w:szCs w:val="24"/>
                <w:u w:val="single"/>
              </w:rPr>
              <w:t>2.</w:t>
            </w:r>
          </w:p>
        </w:tc>
        <w:tc>
          <w:tcPr>
            <w:tcW w:w="4369" w:type="dxa"/>
          </w:tcPr>
          <w:p w:rsidR="00B04235" w:rsidRPr="0015056F" w:rsidRDefault="00B04235" w:rsidP="006E2696">
            <w:pPr>
              <w:rPr>
                <w:rFonts w:cs="Arial"/>
                <w:szCs w:val="24"/>
              </w:rPr>
            </w:pPr>
            <w:r w:rsidRPr="0015056F">
              <w:rPr>
                <w:rFonts w:cs="Arial"/>
                <w:szCs w:val="24"/>
              </w:rPr>
              <w:t xml:space="preserve">I note for the revised tender (1282) for the delivery of a fast-track entry programme for child and family social workers that that the contractor needs to have I SO/IEC 27001 accreditation. Having spoken with accrediting bodies, I understand typical lead times for ISO accreditation are 8-12 weeks at the lower end. </w:t>
            </w:r>
          </w:p>
          <w:p w:rsidR="00B04235" w:rsidRPr="0015056F" w:rsidRDefault="00B04235" w:rsidP="006E2696">
            <w:pPr>
              <w:rPr>
                <w:rFonts w:cs="Arial"/>
                <w:szCs w:val="24"/>
              </w:rPr>
            </w:pPr>
          </w:p>
          <w:p w:rsidR="00B04235" w:rsidRPr="0015056F" w:rsidRDefault="00B04235" w:rsidP="006E2696">
            <w:pPr>
              <w:rPr>
                <w:rFonts w:cs="Arial"/>
                <w:szCs w:val="24"/>
              </w:rPr>
            </w:pPr>
            <w:r w:rsidRPr="0015056F">
              <w:rPr>
                <w:rFonts w:cs="Arial"/>
                <w:szCs w:val="24"/>
              </w:rPr>
              <w:t>I wanted to confirm that the accreditation would be required at the point of contract aware, i.e. January 25</w:t>
            </w:r>
            <w:r w:rsidRPr="0015056F">
              <w:rPr>
                <w:rFonts w:cs="Arial"/>
                <w:szCs w:val="24"/>
                <w:vertAlign w:val="superscript"/>
              </w:rPr>
              <w:t>th</w:t>
            </w:r>
            <w:r w:rsidRPr="0015056F">
              <w:rPr>
                <w:rFonts w:cs="Arial"/>
                <w:szCs w:val="24"/>
              </w:rPr>
              <w:t xml:space="preserve"> 2016, rather than the point of tender submission 18</w:t>
            </w:r>
            <w:r w:rsidRPr="0015056F">
              <w:rPr>
                <w:rFonts w:cs="Arial"/>
                <w:szCs w:val="24"/>
                <w:vertAlign w:val="superscript"/>
              </w:rPr>
              <w:t>th</w:t>
            </w:r>
            <w:r w:rsidRPr="0015056F">
              <w:rPr>
                <w:rFonts w:cs="Arial"/>
                <w:szCs w:val="24"/>
              </w:rPr>
              <w:t xml:space="preserve"> November 2015. I understand that a bidding organisation could obtain (and submit) a letter confirming that accreditation is being sought to offer some assurance to the contracting body. </w:t>
            </w:r>
          </w:p>
          <w:p w:rsidR="00B04235" w:rsidRPr="0015056F" w:rsidRDefault="00B04235" w:rsidP="006E2696">
            <w:pPr>
              <w:rPr>
                <w:rFonts w:cs="Arial"/>
                <w:szCs w:val="24"/>
              </w:rPr>
            </w:pPr>
          </w:p>
          <w:p w:rsidR="00B04235" w:rsidRPr="0015056F" w:rsidRDefault="00B04235" w:rsidP="006E2696">
            <w:pPr>
              <w:rPr>
                <w:rFonts w:cs="Arial"/>
                <w:szCs w:val="24"/>
              </w:rPr>
            </w:pPr>
            <w:r w:rsidRPr="0015056F">
              <w:rPr>
                <w:rFonts w:cs="Arial"/>
                <w:szCs w:val="24"/>
              </w:rPr>
              <w:t xml:space="preserve">I would be grateful if you can confirm that this is the case. </w:t>
            </w:r>
          </w:p>
          <w:p w:rsidR="00B04235" w:rsidRPr="0015056F" w:rsidRDefault="00B04235" w:rsidP="006E2696">
            <w:pPr>
              <w:pStyle w:val="DeptBullets"/>
              <w:numPr>
                <w:ilvl w:val="0"/>
                <w:numId w:val="0"/>
              </w:numPr>
              <w:spacing w:after="0"/>
              <w:rPr>
                <w:rFonts w:cs="Arial"/>
                <w:szCs w:val="24"/>
              </w:rPr>
            </w:pPr>
          </w:p>
        </w:tc>
        <w:tc>
          <w:tcPr>
            <w:tcW w:w="3827" w:type="dxa"/>
          </w:tcPr>
          <w:p w:rsidR="00B04235" w:rsidRPr="0015056F" w:rsidRDefault="00B04235" w:rsidP="006E2696">
            <w:pPr>
              <w:pStyle w:val="DeptBullets"/>
              <w:numPr>
                <w:ilvl w:val="0"/>
                <w:numId w:val="0"/>
              </w:numPr>
              <w:spacing w:after="0"/>
              <w:rPr>
                <w:rFonts w:cs="Arial"/>
                <w:b/>
                <w:szCs w:val="24"/>
                <w:u w:val="single"/>
              </w:rPr>
            </w:pPr>
            <w:r w:rsidRPr="0015056F">
              <w:rPr>
                <w:rFonts w:cs="Arial"/>
                <w:szCs w:val="24"/>
              </w:rPr>
              <w:t xml:space="preserve">We expect the successful bidder to comply by the date that the contract is signed. We shall accept a letter confirming that accreditation is being sought as part of any submission made. </w:t>
            </w:r>
          </w:p>
        </w:tc>
      </w:tr>
      <w:tr w:rsidR="0015056F" w:rsidRPr="0015056F" w:rsidTr="0015056F">
        <w:tc>
          <w:tcPr>
            <w:tcW w:w="417" w:type="dxa"/>
          </w:tcPr>
          <w:p w:rsidR="0015056F" w:rsidRPr="0015056F" w:rsidRDefault="0015056F" w:rsidP="006E2696">
            <w:pPr>
              <w:pStyle w:val="DeptBullets"/>
              <w:numPr>
                <w:ilvl w:val="0"/>
                <w:numId w:val="0"/>
              </w:numPr>
              <w:spacing w:after="0"/>
              <w:rPr>
                <w:rFonts w:cs="Arial"/>
                <w:b/>
                <w:szCs w:val="24"/>
                <w:u w:val="single"/>
              </w:rPr>
            </w:pPr>
            <w:r w:rsidRPr="0015056F">
              <w:rPr>
                <w:rFonts w:cs="Arial"/>
                <w:b/>
                <w:szCs w:val="24"/>
                <w:u w:val="single"/>
              </w:rPr>
              <w:t>3.</w:t>
            </w:r>
          </w:p>
        </w:tc>
        <w:tc>
          <w:tcPr>
            <w:tcW w:w="4369" w:type="dxa"/>
          </w:tcPr>
          <w:p w:rsidR="0015056F" w:rsidRPr="0015056F" w:rsidRDefault="0015056F" w:rsidP="0015056F">
            <w:pPr>
              <w:rPr>
                <w:rFonts w:cs="Arial"/>
                <w:szCs w:val="24"/>
              </w:rPr>
            </w:pPr>
            <w:r w:rsidRPr="0015056F">
              <w:rPr>
                <w:rFonts w:cs="Arial"/>
                <w:szCs w:val="24"/>
              </w:rPr>
              <w:t xml:space="preserve">In requirement 1, tenderers are invited to set out “support so that graduates of the programme successfully complete their induction year” is the “induction year" their first year on the programme, or the second? </w:t>
            </w:r>
          </w:p>
          <w:p w:rsidR="0015056F" w:rsidRPr="0015056F" w:rsidRDefault="0015056F" w:rsidP="006E2696">
            <w:pPr>
              <w:rPr>
                <w:rFonts w:cs="Arial"/>
                <w:szCs w:val="24"/>
              </w:rPr>
            </w:pPr>
          </w:p>
        </w:tc>
        <w:tc>
          <w:tcPr>
            <w:tcW w:w="3827" w:type="dxa"/>
          </w:tcPr>
          <w:p w:rsidR="0015056F" w:rsidRPr="0015056F" w:rsidRDefault="0015056F" w:rsidP="0015056F">
            <w:pPr>
              <w:pStyle w:val="ListParagraph"/>
              <w:ind w:left="0"/>
              <w:rPr>
                <w:rFonts w:cs="Arial"/>
                <w:szCs w:val="24"/>
              </w:rPr>
            </w:pPr>
            <w:r w:rsidRPr="0015056F">
              <w:rPr>
                <w:rFonts w:cs="Arial"/>
                <w:szCs w:val="24"/>
              </w:rPr>
              <w:t xml:space="preserve">This is the induction year following graduation as a social </w:t>
            </w:r>
            <w:proofErr w:type="gramStart"/>
            <w:r w:rsidRPr="0015056F">
              <w:rPr>
                <w:rFonts w:cs="Arial"/>
                <w:szCs w:val="24"/>
              </w:rPr>
              <w:t>worker,</w:t>
            </w:r>
            <w:proofErr w:type="gramEnd"/>
            <w:r w:rsidRPr="0015056F">
              <w:rPr>
                <w:rFonts w:cs="Arial"/>
                <w:szCs w:val="24"/>
              </w:rPr>
              <w:t xml:space="preserve"> therefore this is referring to the second year of the programme.</w:t>
            </w:r>
          </w:p>
          <w:p w:rsidR="0015056F" w:rsidRPr="0015056F" w:rsidRDefault="0015056F" w:rsidP="006E2696">
            <w:pPr>
              <w:pStyle w:val="DeptBullets"/>
              <w:numPr>
                <w:ilvl w:val="0"/>
                <w:numId w:val="0"/>
              </w:numPr>
              <w:spacing w:after="0"/>
              <w:rPr>
                <w:rFonts w:cs="Arial"/>
                <w:szCs w:val="24"/>
              </w:rPr>
            </w:pPr>
          </w:p>
        </w:tc>
      </w:tr>
      <w:tr w:rsidR="0015056F" w:rsidRPr="0015056F" w:rsidTr="0015056F">
        <w:tc>
          <w:tcPr>
            <w:tcW w:w="417" w:type="dxa"/>
          </w:tcPr>
          <w:p w:rsidR="0015056F" w:rsidRPr="0015056F" w:rsidRDefault="0015056F" w:rsidP="006E2696">
            <w:pPr>
              <w:pStyle w:val="DeptBullets"/>
              <w:numPr>
                <w:ilvl w:val="0"/>
                <w:numId w:val="0"/>
              </w:numPr>
              <w:spacing w:after="0"/>
              <w:rPr>
                <w:rFonts w:cs="Arial"/>
                <w:b/>
                <w:szCs w:val="24"/>
                <w:u w:val="single"/>
              </w:rPr>
            </w:pPr>
            <w:r>
              <w:rPr>
                <w:rFonts w:cs="Arial"/>
                <w:b/>
                <w:szCs w:val="24"/>
                <w:u w:val="single"/>
              </w:rPr>
              <w:t>4.</w:t>
            </w:r>
          </w:p>
        </w:tc>
        <w:tc>
          <w:tcPr>
            <w:tcW w:w="4369" w:type="dxa"/>
          </w:tcPr>
          <w:p w:rsidR="0015056F" w:rsidRPr="0015056F" w:rsidRDefault="0015056F" w:rsidP="0015056F">
            <w:pPr>
              <w:rPr>
                <w:rFonts w:cs="Arial"/>
                <w:szCs w:val="24"/>
              </w:rPr>
            </w:pPr>
            <w:r w:rsidRPr="0015056F">
              <w:rPr>
                <w:rFonts w:cs="Arial"/>
                <w:szCs w:val="24"/>
              </w:rPr>
              <w:t xml:space="preserve">In requirement 2, the tender calls for a detailed plan. </w:t>
            </w:r>
            <w:r>
              <w:rPr>
                <w:rFonts w:cs="Arial"/>
                <w:szCs w:val="24"/>
              </w:rPr>
              <w:t>Given that the</w:t>
            </w:r>
            <w:r w:rsidRPr="0015056F">
              <w:rPr>
                <w:rFonts w:cs="Arial"/>
                <w:szCs w:val="24"/>
              </w:rPr>
              <w:t xml:space="preserve"> duration of the contract over 3+2 years that </w:t>
            </w:r>
            <w:proofErr w:type="gramStart"/>
            <w:r w:rsidRPr="0015056F">
              <w:rPr>
                <w:rFonts w:cs="Arial"/>
                <w:szCs w:val="24"/>
              </w:rPr>
              <w:t>activities</w:t>
            </w:r>
            <w:proofErr w:type="gramEnd"/>
            <w:r w:rsidRPr="0015056F">
              <w:rPr>
                <w:rFonts w:cs="Arial"/>
                <w:szCs w:val="24"/>
              </w:rPr>
              <w:t xml:space="preserve"> broken down month-by-month is a sufficient level of detail?</w:t>
            </w:r>
          </w:p>
        </w:tc>
        <w:tc>
          <w:tcPr>
            <w:tcW w:w="3827" w:type="dxa"/>
          </w:tcPr>
          <w:p w:rsidR="0015056F" w:rsidRPr="0015056F" w:rsidRDefault="0015056F" w:rsidP="0015056F">
            <w:pPr>
              <w:pStyle w:val="ListParagraph"/>
              <w:ind w:left="0"/>
              <w:rPr>
                <w:rFonts w:cs="Arial"/>
                <w:szCs w:val="24"/>
              </w:rPr>
            </w:pPr>
            <w:r w:rsidRPr="0015056F">
              <w:rPr>
                <w:rFonts w:cs="Arial"/>
                <w:szCs w:val="24"/>
              </w:rPr>
              <w:t>Yes this is sufficient.</w:t>
            </w:r>
          </w:p>
          <w:p w:rsidR="0015056F" w:rsidRPr="0015056F" w:rsidRDefault="0015056F" w:rsidP="006E2696">
            <w:pPr>
              <w:pStyle w:val="DeptBullets"/>
              <w:numPr>
                <w:ilvl w:val="0"/>
                <w:numId w:val="0"/>
              </w:numPr>
              <w:spacing w:after="0"/>
              <w:rPr>
                <w:rFonts w:cs="Arial"/>
                <w:szCs w:val="24"/>
              </w:rPr>
            </w:pPr>
          </w:p>
        </w:tc>
      </w:tr>
      <w:tr w:rsidR="0015056F" w:rsidRPr="0015056F" w:rsidTr="0015056F">
        <w:tc>
          <w:tcPr>
            <w:tcW w:w="417" w:type="dxa"/>
          </w:tcPr>
          <w:p w:rsidR="0015056F" w:rsidRPr="0015056F" w:rsidRDefault="0015056F" w:rsidP="006E2696">
            <w:pPr>
              <w:pStyle w:val="DeptBullets"/>
              <w:numPr>
                <w:ilvl w:val="0"/>
                <w:numId w:val="0"/>
              </w:numPr>
              <w:spacing w:after="0"/>
              <w:rPr>
                <w:rFonts w:cs="Arial"/>
                <w:b/>
                <w:szCs w:val="24"/>
                <w:u w:val="single"/>
              </w:rPr>
            </w:pPr>
            <w:r>
              <w:rPr>
                <w:rFonts w:cs="Arial"/>
                <w:b/>
                <w:szCs w:val="24"/>
                <w:u w:val="single"/>
              </w:rPr>
              <w:t>5.</w:t>
            </w:r>
          </w:p>
        </w:tc>
        <w:tc>
          <w:tcPr>
            <w:tcW w:w="4369" w:type="dxa"/>
          </w:tcPr>
          <w:p w:rsidR="0015056F" w:rsidRPr="0015056F" w:rsidRDefault="0015056F" w:rsidP="0015056F">
            <w:pPr>
              <w:rPr>
                <w:rFonts w:cs="Arial"/>
                <w:szCs w:val="24"/>
              </w:rPr>
            </w:pPr>
            <w:r w:rsidRPr="0015056F">
              <w:rPr>
                <w:rFonts w:cs="Arial"/>
                <w:szCs w:val="24"/>
              </w:rPr>
              <w:t>In requirement 3, on costs, I presume there are no limits on consultancy/ marketing spend/ fixed assets such as laptops as there are none mentioned in the tender. Please can you confirm that this is the case?</w:t>
            </w:r>
          </w:p>
          <w:p w:rsidR="0015056F" w:rsidRPr="0015056F" w:rsidRDefault="0015056F" w:rsidP="006E2696">
            <w:pPr>
              <w:rPr>
                <w:rFonts w:cs="Arial"/>
                <w:szCs w:val="24"/>
              </w:rPr>
            </w:pPr>
          </w:p>
        </w:tc>
        <w:tc>
          <w:tcPr>
            <w:tcW w:w="3827" w:type="dxa"/>
          </w:tcPr>
          <w:p w:rsidR="0015056F" w:rsidRPr="0015056F" w:rsidRDefault="0015056F" w:rsidP="0015056F">
            <w:pPr>
              <w:pStyle w:val="ListParagraph"/>
              <w:ind w:left="0"/>
              <w:rPr>
                <w:rFonts w:cs="Arial"/>
                <w:szCs w:val="24"/>
              </w:rPr>
            </w:pPr>
            <w:r w:rsidRPr="0015056F">
              <w:rPr>
                <w:rFonts w:cs="Arial"/>
                <w:szCs w:val="24"/>
              </w:rPr>
              <w:t xml:space="preserve">There are no limits however the Cabinet Office introduced Efficiency Controls in 2010 and we would expect providers to comply with this guidance. </w:t>
            </w:r>
            <w:hyperlink r:id="rId13" w:history="1">
              <w:r w:rsidRPr="0015056F">
                <w:rPr>
                  <w:rStyle w:val="Hyperlink"/>
                  <w:rFonts w:cs="Arial"/>
                  <w:color w:val="auto"/>
                  <w:szCs w:val="24"/>
                </w:rPr>
                <w:t>https://www.gov.uk/government/publications/cabinet-office-controls/cabinet-office-controls-guidance-version-40</w:t>
              </w:r>
            </w:hyperlink>
          </w:p>
          <w:p w:rsidR="0015056F" w:rsidRPr="0015056F" w:rsidRDefault="0015056F" w:rsidP="006E2696">
            <w:pPr>
              <w:pStyle w:val="DeptBullets"/>
              <w:numPr>
                <w:ilvl w:val="0"/>
                <w:numId w:val="0"/>
              </w:numPr>
              <w:spacing w:after="0"/>
              <w:rPr>
                <w:rFonts w:cs="Arial"/>
                <w:szCs w:val="24"/>
              </w:rPr>
            </w:pPr>
          </w:p>
        </w:tc>
      </w:tr>
      <w:tr w:rsidR="0015056F" w:rsidRPr="0015056F" w:rsidTr="0015056F">
        <w:tc>
          <w:tcPr>
            <w:tcW w:w="417" w:type="dxa"/>
          </w:tcPr>
          <w:p w:rsidR="0015056F" w:rsidRPr="0015056F" w:rsidRDefault="0015056F" w:rsidP="006E2696">
            <w:pPr>
              <w:pStyle w:val="DeptBullets"/>
              <w:numPr>
                <w:ilvl w:val="0"/>
                <w:numId w:val="0"/>
              </w:numPr>
              <w:spacing w:after="0"/>
              <w:rPr>
                <w:rFonts w:cs="Arial"/>
                <w:b/>
                <w:szCs w:val="24"/>
                <w:u w:val="single"/>
              </w:rPr>
            </w:pPr>
            <w:r>
              <w:rPr>
                <w:rFonts w:cs="Arial"/>
                <w:b/>
                <w:szCs w:val="24"/>
                <w:u w:val="single"/>
              </w:rPr>
              <w:t>6.</w:t>
            </w:r>
          </w:p>
        </w:tc>
        <w:tc>
          <w:tcPr>
            <w:tcW w:w="4369" w:type="dxa"/>
          </w:tcPr>
          <w:p w:rsidR="0015056F" w:rsidRPr="0015056F" w:rsidRDefault="0015056F" w:rsidP="006E2696">
            <w:pPr>
              <w:rPr>
                <w:rFonts w:cs="Arial"/>
                <w:szCs w:val="24"/>
              </w:rPr>
            </w:pPr>
            <w:r w:rsidRPr="0015056F">
              <w:rPr>
                <w:rFonts w:cs="Arial"/>
                <w:szCs w:val="24"/>
              </w:rPr>
              <w:t>In requirement 4, tenderers are invited to set out “how the independence and impartiality of any advice would be maintained, particularly to avoid any potential conflicts of interest”. I’m not sure I understand this in the context of the tender. Please can you explain?</w:t>
            </w:r>
          </w:p>
        </w:tc>
        <w:tc>
          <w:tcPr>
            <w:tcW w:w="3827" w:type="dxa"/>
          </w:tcPr>
          <w:p w:rsidR="0015056F" w:rsidRPr="0015056F" w:rsidRDefault="0015056F" w:rsidP="0015056F">
            <w:pPr>
              <w:pStyle w:val="ListParagraph"/>
              <w:ind w:left="0"/>
              <w:rPr>
                <w:rFonts w:cs="Arial"/>
                <w:szCs w:val="24"/>
              </w:rPr>
            </w:pPr>
            <w:r w:rsidRPr="0015056F">
              <w:rPr>
                <w:rFonts w:cs="Arial"/>
                <w:szCs w:val="24"/>
              </w:rPr>
              <w:t>The successful supplier will be working closely with participants, local authorities and potentially other organisations to fulfil the contract. KPIs in the ITT include reports on participant and local authority satisfaction levels. A supplier is asked to show how independent and impartial advice will be provided on these and similar matters.</w:t>
            </w:r>
          </w:p>
          <w:p w:rsidR="0015056F" w:rsidRPr="0015056F" w:rsidRDefault="0015056F" w:rsidP="006E2696">
            <w:pPr>
              <w:pStyle w:val="DeptBullets"/>
              <w:numPr>
                <w:ilvl w:val="0"/>
                <w:numId w:val="0"/>
              </w:numPr>
              <w:spacing w:after="0"/>
              <w:rPr>
                <w:rFonts w:cs="Arial"/>
                <w:szCs w:val="24"/>
              </w:rPr>
            </w:pPr>
          </w:p>
        </w:tc>
      </w:tr>
      <w:tr w:rsidR="0015056F" w:rsidRPr="0015056F" w:rsidTr="0015056F">
        <w:tc>
          <w:tcPr>
            <w:tcW w:w="417" w:type="dxa"/>
          </w:tcPr>
          <w:p w:rsidR="0015056F" w:rsidRPr="0015056F" w:rsidRDefault="0015056F" w:rsidP="006E2696">
            <w:pPr>
              <w:pStyle w:val="DeptBullets"/>
              <w:numPr>
                <w:ilvl w:val="0"/>
                <w:numId w:val="0"/>
              </w:numPr>
              <w:spacing w:after="0"/>
              <w:rPr>
                <w:rFonts w:cs="Arial"/>
                <w:b/>
                <w:szCs w:val="24"/>
                <w:u w:val="single"/>
              </w:rPr>
            </w:pPr>
            <w:r>
              <w:rPr>
                <w:rFonts w:cs="Arial"/>
                <w:b/>
                <w:szCs w:val="24"/>
                <w:u w:val="single"/>
              </w:rPr>
              <w:t>7.</w:t>
            </w:r>
          </w:p>
        </w:tc>
        <w:tc>
          <w:tcPr>
            <w:tcW w:w="4369" w:type="dxa"/>
          </w:tcPr>
          <w:p w:rsidR="0015056F" w:rsidRPr="0015056F" w:rsidRDefault="0015056F" w:rsidP="0015056F">
            <w:pPr>
              <w:rPr>
                <w:rFonts w:cs="Arial"/>
                <w:szCs w:val="24"/>
              </w:rPr>
            </w:pPr>
            <w:r w:rsidRPr="0015056F">
              <w:rPr>
                <w:rFonts w:cs="Arial"/>
                <w:szCs w:val="24"/>
              </w:rPr>
              <w:t>In terms of meeting Cyber Essentials standards, is this per ISO – i.e. needs to be in place at point of award, rather than point of submission of tender?</w:t>
            </w:r>
          </w:p>
          <w:p w:rsidR="0015056F" w:rsidRPr="0015056F" w:rsidRDefault="0015056F" w:rsidP="006E2696">
            <w:pPr>
              <w:rPr>
                <w:rFonts w:cs="Arial"/>
                <w:szCs w:val="24"/>
              </w:rPr>
            </w:pPr>
          </w:p>
        </w:tc>
        <w:tc>
          <w:tcPr>
            <w:tcW w:w="3827" w:type="dxa"/>
          </w:tcPr>
          <w:p w:rsidR="0015056F" w:rsidRPr="0015056F" w:rsidRDefault="0015056F" w:rsidP="0015056F">
            <w:pPr>
              <w:pStyle w:val="ListParagraph"/>
              <w:ind w:left="0"/>
              <w:rPr>
                <w:rFonts w:cs="Arial"/>
                <w:szCs w:val="24"/>
              </w:rPr>
            </w:pPr>
            <w:r w:rsidRPr="0015056F">
              <w:rPr>
                <w:rFonts w:cs="Arial"/>
                <w:szCs w:val="24"/>
              </w:rPr>
              <w:t>This is to be in place at point of award.</w:t>
            </w:r>
          </w:p>
          <w:p w:rsidR="0015056F" w:rsidRPr="0015056F" w:rsidRDefault="0015056F" w:rsidP="006E2696">
            <w:pPr>
              <w:pStyle w:val="DeptBullets"/>
              <w:numPr>
                <w:ilvl w:val="0"/>
                <w:numId w:val="0"/>
              </w:numPr>
              <w:spacing w:after="0"/>
              <w:rPr>
                <w:rFonts w:cs="Arial"/>
                <w:szCs w:val="24"/>
              </w:rPr>
            </w:pPr>
          </w:p>
        </w:tc>
      </w:tr>
      <w:tr w:rsidR="0015056F" w:rsidRPr="0015056F" w:rsidTr="0015056F">
        <w:tc>
          <w:tcPr>
            <w:tcW w:w="417" w:type="dxa"/>
          </w:tcPr>
          <w:p w:rsidR="0015056F" w:rsidRPr="0015056F" w:rsidRDefault="0015056F" w:rsidP="006E2696">
            <w:pPr>
              <w:pStyle w:val="DeptBullets"/>
              <w:numPr>
                <w:ilvl w:val="0"/>
                <w:numId w:val="0"/>
              </w:numPr>
              <w:spacing w:after="0"/>
              <w:rPr>
                <w:rFonts w:cs="Arial"/>
                <w:b/>
                <w:szCs w:val="24"/>
                <w:u w:val="single"/>
              </w:rPr>
            </w:pPr>
            <w:r>
              <w:rPr>
                <w:rFonts w:cs="Arial"/>
                <w:b/>
                <w:szCs w:val="24"/>
                <w:u w:val="single"/>
              </w:rPr>
              <w:t>8.</w:t>
            </w:r>
          </w:p>
        </w:tc>
        <w:tc>
          <w:tcPr>
            <w:tcW w:w="4369" w:type="dxa"/>
          </w:tcPr>
          <w:p w:rsidR="0015056F" w:rsidRPr="0015056F" w:rsidRDefault="0015056F" w:rsidP="0015056F">
            <w:pPr>
              <w:rPr>
                <w:rFonts w:cs="Arial"/>
                <w:szCs w:val="24"/>
              </w:rPr>
            </w:pPr>
            <w:r>
              <w:rPr>
                <w:rFonts w:cs="Arial"/>
                <w:szCs w:val="24"/>
              </w:rPr>
              <w:t>Having</w:t>
            </w:r>
            <w:r w:rsidRPr="0015056F">
              <w:rPr>
                <w:rFonts w:cs="Arial"/>
                <w:szCs w:val="24"/>
              </w:rPr>
              <w:t xml:space="preserve"> looked into the ISO accreditation, it seems there are various different bodies which accredit the organisations who provide ISO certification. (e.g. ASCB - an International accreditation, UKAS) Please can you let me know what form accreditation the accrediting body needs?</w:t>
            </w:r>
          </w:p>
        </w:tc>
        <w:tc>
          <w:tcPr>
            <w:tcW w:w="3827" w:type="dxa"/>
          </w:tcPr>
          <w:p w:rsidR="0015056F" w:rsidRPr="0015056F" w:rsidRDefault="0015056F" w:rsidP="006E2696">
            <w:pPr>
              <w:pStyle w:val="DeptBullets"/>
              <w:numPr>
                <w:ilvl w:val="0"/>
                <w:numId w:val="0"/>
              </w:numPr>
              <w:spacing w:after="0"/>
            </w:pPr>
            <w:r w:rsidRPr="0015056F">
              <w:t xml:space="preserve">Further information about accreditation can be found at </w:t>
            </w:r>
            <w:hyperlink r:id="rId14" w:history="1">
              <w:r w:rsidRPr="0015056F">
                <w:rPr>
                  <w:rStyle w:val="Hyperlink"/>
                  <w:color w:val="auto"/>
                </w:rPr>
                <w:t>http://www.cyberstreetwise.com/cyberessentials/</w:t>
              </w:r>
            </w:hyperlink>
            <w:r w:rsidRPr="0015056F">
              <w:t xml:space="preserve"> which, as well as lots of informative downloadable documents. If you wish to Identify a suitable Certifying Body please contact one of the Accreditation Bodies:</w:t>
            </w:r>
          </w:p>
          <w:p w:rsidR="0015056F" w:rsidRPr="0015056F" w:rsidRDefault="0015056F" w:rsidP="0015056F">
            <w:pPr>
              <w:widowControl/>
              <w:numPr>
                <w:ilvl w:val="0"/>
                <w:numId w:val="10"/>
              </w:numPr>
              <w:overflowPunct/>
              <w:autoSpaceDE/>
              <w:autoSpaceDN/>
              <w:adjustRightInd/>
              <w:textAlignment w:val="auto"/>
            </w:pPr>
            <w:r w:rsidRPr="0015056F">
              <w:t xml:space="preserve">For small and medium sized enterprises – IASME (IA for SMEs): </w:t>
            </w:r>
            <w:hyperlink r:id="rId15" w:history="1">
              <w:r w:rsidRPr="0015056F">
                <w:rPr>
                  <w:rStyle w:val="Hyperlink"/>
                  <w:color w:val="auto"/>
                  <w:lang w:val="fr-FR"/>
                </w:rPr>
                <w:t>https://</w:t>
              </w:r>
            </w:hyperlink>
            <w:hyperlink r:id="rId16" w:history="1">
              <w:r w:rsidRPr="0015056F">
                <w:rPr>
                  <w:rStyle w:val="Hyperlink"/>
                  <w:color w:val="auto"/>
                  <w:lang w:val="fr-FR"/>
                </w:rPr>
                <w:t>www.iasme.co.uk/index.php/cyberessentialsprofile</w:t>
              </w:r>
            </w:hyperlink>
            <w:r w:rsidRPr="0015056F">
              <w:rPr>
                <w:lang w:val="fr-FR"/>
              </w:rPr>
              <w:t xml:space="preserve">  (questionnaire on free </w:t>
            </w:r>
            <w:proofErr w:type="spellStart"/>
            <w:r w:rsidRPr="0015056F">
              <w:rPr>
                <w:lang w:val="fr-FR"/>
              </w:rPr>
              <w:t>download</w:t>
            </w:r>
            <w:proofErr w:type="spellEnd"/>
            <w:r w:rsidRPr="0015056F">
              <w:rPr>
                <w:lang w:val="fr-FR"/>
              </w:rPr>
              <w:t>)</w:t>
            </w:r>
          </w:p>
          <w:p w:rsidR="0015056F" w:rsidRPr="0015056F" w:rsidRDefault="0015056F" w:rsidP="0015056F">
            <w:pPr>
              <w:widowControl/>
              <w:numPr>
                <w:ilvl w:val="0"/>
                <w:numId w:val="10"/>
              </w:numPr>
              <w:overflowPunct/>
              <w:autoSpaceDE/>
              <w:autoSpaceDN/>
              <w:adjustRightInd/>
              <w:textAlignment w:val="auto"/>
            </w:pPr>
            <w:r w:rsidRPr="0015056F">
              <w:t xml:space="preserve">Organisations of all sizes – CREST: </w:t>
            </w:r>
            <w:hyperlink r:id="rId17" w:history="1">
              <w:r w:rsidRPr="0015056F">
                <w:rPr>
                  <w:rStyle w:val="Hyperlink"/>
                  <w:color w:val="auto"/>
                </w:rPr>
                <w:t>http://www.cyberessentials.org/</w:t>
              </w:r>
            </w:hyperlink>
            <w:r w:rsidRPr="0015056F">
              <w:t xml:space="preserve"> </w:t>
            </w:r>
          </w:p>
          <w:p w:rsidR="0015056F" w:rsidRPr="0015056F" w:rsidRDefault="0015056F" w:rsidP="0015056F">
            <w:pPr>
              <w:widowControl/>
              <w:numPr>
                <w:ilvl w:val="0"/>
                <w:numId w:val="10"/>
              </w:numPr>
              <w:overflowPunct/>
              <w:autoSpaceDE/>
              <w:autoSpaceDN/>
              <w:adjustRightInd/>
              <w:textAlignment w:val="auto"/>
            </w:pPr>
            <w:r w:rsidRPr="0015056F">
              <w:t xml:space="preserve">Scotland and North England – Quality Guild (QG) - </w:t>
            </w:r>
            <w:hyperlink r:id="rId18" w:history="1">
              <w:r w:rsidRPr="0015056F">
                <w:rPr>
                  <w:rStyle w:val="Hyperlink"/>
                  <w:color w:val="auto"/>
                </w:rPr>
                <w:t>http://www.qgbiz.co.uk/</w:t>
              </w:r>
            </w:hyperlink>
          </w:p>
          <w:p w:rsidR="0015056F" w:rsidRPr="0015056F" w:rsidRDefault="0015056F" w:rsidP="0015056F">
            <w:r w:rsidRPr="0015056F">
              <w:t>For further information about ISO (e.g. ISO 27001) accreditation bodies please</w:t>
            </w:r>
            <w:proofErr w:type="gramStart"/>
            <w:r w:rsidRPr="0015056F">
              <w:t>  refer</w:t>
            </w:r>
            <w:proofErr w:type="gramEnd"/>
            <w:r w:rsidRPr="0015056F">
              <w:t xml:space="preserve"> to the UK Accreditation Service website’s list of </w:t>
            </w:r>
            <w:hyperlink r:id="rId19" w:history="1">
              <w:r w:rsidRPr="0015056F">
                <w:rPr>
                  <w:rStyle w:val="Hyperlink"/>
                  <w:color w:val="auto"/>
                </w:rPr>
                <w:t>accredited certification bodies</w:t>
              </w:r>
            </w:hyperlink>
            <w:r w:rsidRPr="0015056F">
              <w:t xml:space="preserve"> and, for ISO 27001, the list of certification bodies for </w:t>
            </w:r>
            <w:hyperlink r:id="rId20" w:history="1">
              <w:r w:rsidRPr="0015056F">
                <w:rPr>
                  <w:rStyle w:val="Hyperlink"/>
                  <w:color w:val="auto"/>
                </w:rPr>
                <w:t>Information Security Management Systems (ISMS)</w:t>
              </w:r>
            </w:hyperlink>
            <w:r w:rsidRPr="0015056F">
              <w:t>.</w:t>
            </w:r>
          </w:p>
          <w:p w:rsidR="0015056F" w:rsidRPr="0015056F" w:rsidRDefault="0015056F" w:rsidP="006E2696">
            <w:pPr>
              <w:pStyle w:val="DeptBullets"/>
              <w:numPr>
                <w:ilvl w:val="0"/>
                <w:numId w:val="0"/>
              </w:numPr>
              <w:spacing w:after="0"/>
              <w:rPr>
                <w:rFonts w:cs="Arial"/>
                <w:szCs w:val="24"/>
              </w:rPr>
            </w:pPr>
          </w:p>
        </w:tc>
      </w:tr>
      <w:tr w:rsidR="0015056F" w:rsidRPr="0015056F" w:rsidTr="0015056F">
        <w:tc>
          <w:tcPr>
            <w:tcW w:w="417" w:type="dxa"/>
          </w:tcPr>
          <w:p w:rsidR="0015056F" w:rsidRPr="0015056F" w:rsidRDefault="0015056F" w:rsidP="006E2696">
            <w:pPr>
              <w:pStyle w:val="DeptBullets"/>
              <w:numPr>
                <w:ilvl w:val="0"/>
                <w:numId w:val="0"/>
              </w:numPr>
              <w:spacing w:after="0"/>
              <w:rPr>
                <w:rFonts w:cs="Arial"/>
                <w:b/>
                <w:szCs w:val="24"/>
                <w:u w:val="single"/>
              </w:rPr>
            </w:pPr>
            <w:r>
              <w:rPr>
                <w:rFonts w:cs="Arial"/>
                <w:b/>
                <w:szCs w:val="24"/>
                <w:u w:val="single"/>
              </w:rPr>
              <w:t>9.</w:t>
            </w:r>
          </w:p>
        </w:tc>
        <w:tc>
          <w:tcPr>
            <w:tcW w:w="4369" w:type="dxa"/>
          </w:tcPr>
          <w:p w:rsidR="0015056F" w:rsidRPr="0015056F" w:rsidRDefault="00810497" w:rsidP="006E2696">
            <w:pPr>
              <w:rPr>
                <w:rFonts w:cs="Arial"/>
                <w:szCs w:val="24"/>
              </w:rPr>
            </w:pPr>
            <w:r>
              <w:rPr>
                <w:rFonts w:cs="Arial"/>
                <w:szCs w:val="24"/>
              </w:rPr>
              <w:t>Which section of the response constitutes part 2 and is therefore subject to the 40 page limit?</w:t>
            </w:r>
          </w:p>
        </w:tc>
        <w:tc>
          <w:tcPr>
            <w:tcW w:w="3827" w:type="dxa"/>
          </w:tcPr>
          <w:p w:rsidR="00810497" w:rsidRPr="00810497" w:rsidRDefault="00810497" w:rsidP="00810497">
            <w:pPr>
              <w:widowControl/>
              <w:overflowPunct/>
              <w:autoSpaceDE/>
              <w:autoSpaceDN/>
              <w:adjustRightInd/>
              <w:textAlignment w:val="auto"/>
              <w:rPr>
                <w:rFonts w:eastAsia="Calibri" w:cs="Arial"/>
                <w:szCs w:val="22"/>
              </w:rPr>
            </w:pPr>
            <w:r w:rsidRPr="00810497">
              <w:rPr>
                <w:rFonts w:eastAsia="Calibri" w:cs="Arial"/>
                <w:szCs w:val="22"/>
              </w:rPr>
              <w:t>Part 1 refers to the declarations and information to be provided by the tenderer (document 4) and part 2 refers to your response to the specifications (section 3). The 40 page limit refers to section 3 of your bid- all other sections fall outside the page limit.</w:t>
            </w:r>
          </w:p>
          <w:p w:rsidR="0015056F" w:rsidRPr="0015056F" w:rsidRDefault="0015056F" w:rsidP="006E2696">
            <w:pPr>
              <w:pStyle w:val="DeptBullets"/>
              <w:numPr>
                <w:ilvl w:val="0"/>
                <w:numId w:val="0"/>
              </w:numPr>
              <w:spacing w:after="0"/>
              <w:rPr>
                <w:rFonts w:cs="Arial"/>
                <w:szCs w:val="24"/>
              </w:rPr>
            </w:pPr>
          </w:p>
        </w:tc>
      </w:tr>
      <w:tr w:rsidR="0015056F" w:rsidRPr="0015056F" w:rsidTr="0015056F">
        <w:tc>
          <w:tcPr>
            <w:tcW w:w="417" w:type="dxa"/>
          </w:tcPr>
          <w:p w:rsidR="0015056F" w:rsidRPr="0015056F" w:rsidRDefault="00810497" w:rsidP="006E2696">
            <w:pPr>
              <w:pStyle w:val="DeptBullets"/>
              <w:numPr>
                <w:ilvl w:val="0"/>
                <w:numId w:val="0"/>
              </w:numPr>
              <w:spacing w:after="0"/>
              <w:rPr>
                <w:rFonts w:cs="Arial"/>
                <w:b/>
                <w:szCs w:val="24"/>
                <w:u w:val="single"/>
              </w:rPr>
            </w:pPr>
            <w:r>
              <w:rPr>
                <w:rFonts w:cs="Arial"/>
                <w:b/>
                <w:szCs w:val="24"/>
                <w:u w:val="single"/>
              </w:rPr>
              <w:t>10.</w:t>
            </w:r>
          </w:p>
        </w:tc>
        <w:tc>
          <w:tcPr>
            <w:tcW w:w="4369" w:type="dxa"/>
          </w:tcPr>
          <w:p w:rsidR="0015056F" w:rsidRPr="0015056F" w:rsidRDefault="00810497" w:rsidP="006E2696">
            <w:pPr>
              <w:rPr>
                <w:rFonts w:cs="Arial"/>
                <w:szCs w:val="24"/>
              </w:rPr>
            </w:pPr>
            <w:r>
              <w:rPr>
                <w:rFonts w:cs="Arial"/>
                <w:szCs w:val="24"/>
              </w:rPr>
              <w:t>Is section 4 “Cost and Charging Arrangements” a repeat of requirement 3? Or do you require further information?</w:t>
            </w:r>
          </w:p>
        </w:tc>
        <w:tc>
          <w:tcPr>
            <w:tcW w:w="3827" w:type="dxa"/>
          </w:tcPr>
          <w:p w:rsidR="0015056F" w:rsidRPr="0015056F" w:rsidRDefault="00810497" w:rsidP="006E2696">
            <w:pPr>
              <w:pStyle w:val="DeptBullets"/>
              <w:numPr>
                <w:ilvl w:val="0"/>
                <w:numId w:val="0"/>
              </w:numPr>
              <w:spacing w:after="0"/>
              <w:rPr>
                <w:rFonts w:cs="Arial"/>
                <w:szCs w:val="24"/>
              </w:rPr>
            </w:pPr>
            <w:r>
              <w:rPr>
                <w:rFonts w:cs="Arial"/>
                <w:szCs w:val="24"/>
              </w:rPr>
              <w:t>We would expect to see a summary of the headline costs in section 3 and then a detailed breakdown in section 4- this section falls outside the 40 page limit.</w:t>
            </w:r>
          </w:p>
        </w:tc>
      </w:tr>
      <w:tr w:rsidR="00285A84" w:rsidRPr="0015056F" w:rsidTr="0015056F">
        <w:tc>
          <w:tcPr>
            <w:tcW w:w="417" w:type="dxa"/>
          </w:tcPr>
          <w:p w:rsidR="00285A84" w:rsidRDefault="00285A84" w:rsidP="006E2696">
            <w:pPr>
              <w:pStyle w:val="DeptBullets"/>
              <w:numPr>
                <w:ilvl w:val="0"/>
                <w:numId w:val="0"/>
              </w:numPr>
              <w:spacing w:after="0"/>
              <w:rPr>
                <w:rFonts w:cs="Arial"/>
                <w:b/>
                <w:szCs w:val="24"/>
                <w:u w:val="single"/>
              </w:rPr>
            </w:pPr>
            <w:r>
              <w:rPr>
                <w:rFonts w:cs="Arial"/>
                <w:b/>
                <w:szCs w:val="24"/>
                <w:u w:val="single"/>
              </w:rPr>
              <w:t>11.</w:t>
            </w:r>
          </w:p>
        </w:tc>
        <w:tc>
          <w:tcPr>
            <w:tcW w:w="4369" w:type="dxa"/>
          </w:tcPr>
          <w:p w:rsidR="00285A84" w:rsidRDefault="00285A84" w:rsidP="006E2696">
            <w:pPr>
              <w:rPr>
                <w:rFonts w:cs="Arial"/>
                <w:szCs w:val="24"/>
              </w:rPr>
            </w:pPr>
            <w:r>
              <w:rPr>
                <w:rFonts w:cs="Arial"/>
                <w:szCs w:val="24"/>
              </w:rPr>
              <w:t>Can project plans and marketing plans be included as annexes and therefore not subject to the 40 page limit?</w:t>
            </w:r>
          </w:p>
        </w:tc>
        <w:tc>
          <w:tcPr>
            <w:tcW w:w="3827" w:type="dxa"/>
          </w:tcPr>
          <w:p w:rsidR="00285A84" w:rsidRDefault="00285A84" w:rsidP="006E2696">
            <w:pPr>
              <w:pStyle w:val="DeptBullets"/>
              <w:numPr>
                <w:ilvl w:val="0"/>
                <w:numId w:val="0"/>
              </w:numPr>
              <w:spacing w:after="0"/>
              <w:rPr>
                <w:rFonts w:cs="Arial"/>
                <w:szCs w:val="24"/>
              </w:rPr>
            </w:pPr>
            <w:r>
              <w:rPr>
                <w:rFonts w:cs="Arial"/>
                <w:szCs w:val="24"/>
              </w:rPr>
              <w:t>Yes, project plans and marketing plans can be excluded from the 40 page limit.</w:t>
            </w:r>
          </w:p>
        </w:tc>
      </w:tr>
      <w:tr w:rsidR="00285A84" w:rsidRPr="0015056F" w:rsidTr="0015056F">
        <w:tc>
          <w:tcPr>
            <w:tcW w:w="417" w:type="dxa"/>
          </w:tcPr>
          <w:p w:rsidR="00285A84" w:rsidRDefault="00285A84" w:rsidP="006E2696">
            <w:pPr>
              <w:pStyle w:val="DeptBullets"/>
              <w:numPr>
                <w:ilvl w:val="0"/>
                <w:numId w:val="0"/>
              </w:numPr>
              <w:spacing w:after="0"/>
              <w:rPr>
                <w:rFonts w:cs="Arial"/>
                <w:b/>
                <w:szCs w:val="24"/>
                <w:u w:val="single"/>
              </w:rPr>
            </w:pPr>
            <w:r>
              <w:rPr>
                <w:rFonts w:cs="Arial"/>
                <w:b/>
                <w:szCs w:val="24"/>
                <w:u w:val="single"/>
              </w:rPr>
              <w:t>12.</w:t>
            </w:r>
          </w:p>
        </w:tc>
        <w:tc>
          <w:tcPr>
            <w:tcW w:w="4369" w:type="dxa"/>
          </w:tcPr>
          <w:p w:rsidR="00285A84" w:rsidRDefault="00285A84" w:rsidP="006E2696">
            <w:pPr>
              <w:rPr>
                <w:rFonts w:cs="Arial"/>
                <w:szCs w:val="24"/>
              </w:rPr>
            </w:pPr>
            <w:r>
              <w:rPr>
                <w:rFonts w:cs="Arial"/>
                <w:szCs w:val="24"/>
              </w:rPr>
              <w:t xml:space="preserve">Please </w:t>
            </w:r>
            <w:proofErr w:type="gramStart"/>
            <w:r>
              <w:rPr>
                <w:rFonts w:cs="Arial"/>
                <w:szCs w:val="24"/>
              </w:rPr>
              <w:t>advise</w:t>
            </w:r>
            <w:proofErr w:type="gramEnd"/>
            <w:r>
              <w:rPr>
                <w:rFonts w:cs="Arial"/>
                <w:szCs w:val="24"/>
              </w:rPr>
              <w:t xml:space="preserve"> on the source of funding for a “competitive training bursary”.</w:t>
            </w:r>
          </w:p>
        </w:tc>
        <w:tc>
          <w:tcPr>
            <w:tcW w:w="3827" w:type="dxa"/>
          </w:tcPr>
          <w:p w:rsidR="00285A84" w:rsidRDefault="00285A84" w:rsidP="006E2696">
            <w:pPr>
              <w:pStyle w:val="DeptBullets"/>
              <w:numPr>
                <w:ilvl w:val="0"/>
                <w:numId w:val="0"/>
              </w:numPr>
              <w:spacing w:after="0"/>
              <w:rPr>
                <w:rFonts w:cs="Arial"/>
                <w:szCs w:val="24"/>
              </w:rPr>
            </w:pPr>
            <w:r>
              <w:rPr>
                <w:rFonts w:cs="Arial"/>
                <w:szCs w:val="24"/>
              </w:rPr>
              <w:t>Subject to Spending Review outcomes, DfE will be funding a training bursary and we would expect to see this included in any financial breakdown.</w:t>
            </w:r>
          </w:p>
        </w:tc>
      </w:tr>
      <w:tr w:rsidR="00285A84" w:rsidRPr="0015056F" w:rsidTr="0015056F">
        <w:tc>
          <w:tcPr>
            <w:tcW w:w="417" w:type="dxa"/>
          </w:tcPr>
          <w:p w:rsidR="00285A84" w:rsidRDefault="00285A84" w:rsidP="006E2696">
            <w:pPr>
              <w:pStyle w:val="DeptBullets"/>
              <w:numPr>
                <w:ilvl w:val="0"/>
                <w:numId w:val="0"/>
              </w:numPr>
              <w:spacing w:after="0"/>
              <w:rPr>
                <w:rFonts w:cs="Arial"/>
                <w:b/>
                <w:szCs w:val="24"/>
                <w:u w:val="single"/>
              </w:rPr>
            </w:pPr>
            <w:r>
              <w:rPr>
                <w:rFonts w:cs="Arial"/>
                <w:b/>
                <w:szCs w:val="24"/>
                <w:u w:val="single"/>
              </w:rPr>
              <w:t>13.</w:t>
            </w:r>
          </w:p>
        </w:tc>
        <w:tc>
          <w:tcPr>
            <w:tcW w:w="4369" w:type="dxa"/>
          </w:tcPr>
          <w:p w:rsidR="00285A84" w:rsidRDefault="00285A84" w:rsidP="006E2696">
            <w:pPr>
              <w:rPr>
                <w:rFonts w:cs="Arial"/>
                <w:szCs w:val="24"/>
              </w:rPr>
            </w:pPr>
            <w:r>
              <w:rPr>
                <w:rFonts w:cs="Arial"/>
                <w:szCs w:val="24"/>
              </w:rPr>
              <w:t>Should bidders include in their tender costs a bursary in line with the current Frontline or Step Up bursary of around £19,600?</w:t>
            </w:r>
          </w:p>
        </w:tc>
        <w:tc>
          <w:tcPr>
            <w:tcW w:w="3827" w:type="dxa"/>
          </w:tcPr>
          <w:p w:rsidR="00285A84" w:rsidRDefault="00285A84" w:rsidP="006E2696">
            <w:pPr>
              <w:pStyle w:val="DeptBullets"/>
              <w:numPr>
                <w:ilvl w:val="0"/>
                <w:numId w:val="0"/>
              </w:numPr>
              <w:spacing w:after="0"/>
              <w:rPr>
                <w:rFonts w:cs="Arial"/>
                <w:szCs w:val="24"/>
              </w:rPr>
            </w:pPr>
            <w:r>
              <w:rPr>
                <w:rFonts w:cs="Arial"/>
                <w:szCs w:val="24"/>
              </w:rPr>
              <w:t>That is for bidders to determine and justify.</w:t>
            </w:r>
          </w:p>
        </w:tc>
      </w:tr>
      <w:tr w:rsidR="00285A84" w:rsidRPr="0015056F" w:rsidTr="0015056F">
        <w:tc>
          <w:tcPr>
            <w:tcW w:w="417" w:type="dxa"/>
          </w:tcPr>
          <w:p w:rsidR="00285A84" w:rsidRDefault="00285A84" w:rsidP="006E2696">
            <w:pPr>
              <w:pStyle w:val="DeptBullets"/>
              <w:numPr>
                <w:ilvl w:val="0"/>
                <w:numId w:val="0"/>
              </w:numPr>
              <w:spacing w:after="0"/>
              <w:rPr>
                <w:rFonts w:cs="Arial"/>
                <w:b/>
                <w:szCs w:val="24"/>
                <w:u w:val="single"/>
              </w:rPr>
            </w:pPr>
            <w:r>
              <w:rPr>
                <w:rFonts w:cs="Arial"/>
                <w:b/>
                <w:szCs w:val="24"/>
                <w:u w:val="single"/>
              </w:rPr>
              <w:t>14.</w:t>
            </w:r>
          </w:p>
        </w:tc>
        <w:tc>
          <w:tcPr>
            <w:tcW w:w="4369" w:type="dxa"/>
          </w:tcPr>
          <w:p w:rsidR="00285A84" w:rsidRDefault="00285A84" w:rsidP="006E2696">
            <w:pPr>
              <w:rPr>
                <w:rFonts w:cs="Arial"/>
                <w:szCs w:val="24"/>
              </w:rPr>
            </w:pPr>
            <w:r>
              <w:rPr>
                <w:rFonts w:cs="Arial"/>
                <w:szCs w:val="24"/>
              </w:rPr>
              <w:t>How does DfE propose to administer the bursary? Is it the intention that the contracted HEI will manage bursary funds?</w:t>
            </w:r>
          </w:p>
        </w:tc>
        <w:tc>
          <w:tcPr>
            <w:tcW w:w="3827" w:type="dxa"/>
          </w:tcPr>
          <w:p w:rsidR="00285A84" w:rsidRDefault="00285A84" w:rsidP="006E2696">
            <w:pPr>
              <w:pStyle w:val="DeptBullets"/>
              <w:numPr>
                <w:ilvl w:val="0"/>
                <w:numId w:val="0"/>
              </w:numPr>
              <w:spacing w:after="0"/>
              <w:rPr>
                <w:rFonts w:cs="Arial"/>
                <w:szCs w:val="24"/>
              </w:rPr>
            </w:pPr>
            <w:r>
              <w:rPr>
                <w:rFonts w:cs="Arial"/>
                <w:szCs w:val="24"/>
              </w:rPr>
              <w:t>The contracted provider will be responsible for administering all funds related to the programme.</w:t>
            </w:r>
          </w:p>
        </w:tc>
      </w:tr>
      <w:tr w:rsidR="00285A84" w:rsidRPr="0015056F" w:rsidTr="0015056F">
        <w:tc>
          <w:tcPr>
            <w:tcW w:w="417" w:type="dxa"/>
          </w:tcPr>
          <w:p w:rsidR="00285A84" w:rsidRDefault="00285A84" w:rsidP="006E2696">
            <w:pPr>
              <w:pStyle w:val="DeptBullets"/>
              <w:numPr>
                <w:ilvl w:val="0"/>
                <w:numId w:val="0"/>
              </w:numPr>
              <w:spacing w:after="0"/>
              <w:rPr>
                <w:rFonts w:cs="Arial"/>
                <w:b/>
                <w:szCs w:val="24"/>
                <w:u w:val="single"/>
              </w:rPr>
            </w:pPr>
            <w:r>
              <w:rPr>
                <w:rFonts w:cs="Arial"/>
                <w:b/>
                <w:szCs w:val="24"/>
                <w:u w:val="single"/>
              </w:rPr>
              <w:t xml:space="preserve">15. </w:t>
            </w:r>
          </w:p>
        </w:tc>
        <w:tc>
          <w:tcPr>
            <w:tcW w:w="4369" w:type="dxa"/>
          </w:tcPr>
          <w:p w:rsidR="00285A84" w:rsidRDefault="00285A84" w:rsidP="006E2696">
            <w:pPr>
              <w:rPr>
                <w:rFonts w:cs="Arial"/>
                <w:szCs w:val="24"/>
              </w:rPr>
            </w:pPr>
            <w:r>
              <w:rPr>
                <w:rFonts w:cs="Arial"/>
                <w:szCs w:val="24"/>
              </w:rPr>
              <w:t>Will DfE be seeking a minimum degree classification at undergraduate level for fast track participants?</w:t>
            </w:r>
          </w:p>
        </w:tc>
        <w:tc>
          <w:tcPr>
            <w:tcW w:w="3827" w:type="dxa"/>
          </w:tcPr>
          <w:p w:rsidR="00285A84" w:rsidRDefault="00285A84" w:rsidP="006E2696">
            <w:pPr>
              <w:pStyle w:val="DeptBullets"/>
              <w:numPr>
                <w:ilvl w:val="0"/>
                <w:numId w:val="0"/>
              </w:numPr>
              <w:spacing w:after="0"/>
              <w:rPr>
                <w:rFonts w:cs="Arial"/>
                <w:szCs w:val="24"/>
              </w:rPr>
            </w:pPr>
            <w:r>
              <w:rPr>
                <w:rFonts w:cs="Arial"/>
                <w:szCs w:val="24"/>
              </w:rPr>
              <w:t>The programme focuses on attracting high-calibre students into the profession. It will be for bidders to determine entry requirements.</w:t>
            </w:r>
          </w:p>
        </w:tc>
      </w:tr>
      <w:tr w:rsidR="00F41FD9" w:rsidRPr="0015056F" w:rsidTr="003E63CA">
        <w:tc>
          <w:tcPr>
            <w:tcW w:w="417" w:type="dxa"/>
          </w:tcPr>
          <w:p w:rsidR="00F41FD9" w:rsidRDefault="00F41FD9" w:rsidP="003E63CA">
            <w:pPr>
              <w:pStyle w:val="DeptBullets"/>
              <w:numPr>
                <w:ilvl w:val="0"/>
                <w:numId w:val="0"/>
              </w:numPr>
              <w:spacing w:after="0"/>
              <w:rPr>
                <w:rFonts w:cs="Arial"/>
                <w:b/>
                <w:szCs w:val="24"/>
                <w:u w:val="single"/>
              </w:rPr>
            </w:pPr>
            <w:r>
              <w:rPr>
                <w:rFonts w:cs="Arial"/>
                <w:b/>
                <w:szCs w:val="24"/>
                <w:u w:val="single"/>
              </w:rPr>
              <w:t>16.</w:t>
            </w:r>
          </w:p>
        </w:tc>
        <w:tc>
          <w:tcPr>
            <w:tcW w:w="4369" w:type="dxa"/>
          </w:tcPr>
          <w:p w:rsidR="00F41FD9" w:rsidRDefault="00F41FD9" w:rsidP="003E63CA">
            <w:pPr>
              <w:rPr>
                <w:rFonts w:cs="Arial"/>
                <w:szCs w:val="24"/>
              </w:rPr>
            </w:pPr>
            <w:r>
              <w:rPr>
                <w:rFonts w:cs="Arial"/>
                <w:szCs w:val="24"/>
              </w:rPr>
              <w:t>Can project and marketing plans be included as annexes, and are therefore not subject to the 40 page limit?</w:t>
            </w:r>
          </w:p>
        </w:tc>
        <w:tc>
          <w:tcPr>
            <w:tcW w:w="3827" w:type="dxa"/>
          </w:tcPr>
          <w:p w:rsidR="00F41FD9" w:rsidRDefault="00F41FD9" w:rsidP="003E63CA">
            <w:pPr>
              <w:pStyle w:val="DeptBullets"/>
              <w:numPr>
                <w:ilvl w:val="0"/>
                <w:numId w:val="0"/>
              </w:numPr>
              <w:spacing w:after="0"/>
              <w:rPr>
                <w:rFonts w:cs="Arial"/>
                <w:szCs w:val="24"/>
              </w:rPr>
            </w:pPr>
            <w:r w:rsidRPr="00F41FD9">
              <w:rPr>
                <w:rFonts w:cs="Arial"/>
                <w:szCs w:val="24"/>
              </w:rPr>
              <w:t>Yes, project plans and marketing plans can be excluded from the 40 page limit.</w:t>
            </w:r>
          </w:p>
        </w:tc>
      </w:tr>
      <w:tr w:rsidR="00F41FD9" w:rsidRPr="0015056F" w:rsidTr="003E63CA">
        <w:tc>
          <w:tcPr>
            <w:tcW w:w="417" w:type="dxa"/>
          </w:tcPr>
          <w:p w:rsidR="00F41FD9" w:rsidRDefault="00F41FD9" w:rsidP="003E63CA">
            <w:pPr>
              <w:pStyle w:val="DeptBullets"/>
              <w:numPr>
                <w:ilvl w:val="0"/>
                <w:numId w:val="0"/>
              </w:numPr>
              <w:spacing w:after="0"/>
              <w:rPr>
                <w:rFonts w:cs="Arial"/>
                <w:b/>
                <w:szCs w:val="24"/>
                <w:u w:val="single"/>
              </w:rPr>
            </w:pPr>
            <w:r>
              <w:rPr>
                <w:rFonts w:cs="Arial"/>
                <w:b/>
                <w:szCs w:val="24"/>
                <w:u w:val="single"/>
              </w:rPr>
              <w:t>17.</w:t>
            </w:r>
          </w:p>
        </w:tc>
        <w:tc>
          <w:tcPr>
            <w:tcW w:w="4369" w:type="dxa"/>
          </w:tcPr>
          <w:p w:rsidR="00F41FD9" w:rsidRDefault="00F41FD9" w:rsidP="003E63CA">
            <w:pPr>
              <w:rPr>
                <w:rFonts w:cs="Arial"/>
                <w:szCs w:val="24"/>
              </w:rPr>
            </w:pPr>
            <w:r w:rsidRPr="00F41FD9">
              <w:rPr>
                <w:rFonts w:cs="Arial"/>
                <w:szCs w:val="24"/>
              </w:rPr>
              <w:t>For ISO certification, does the certification body have to be accredited by UKAS, or can it be accredited by one of the other accreditation bodies (e.g. ASCB)?</w:t>
            </w:r>
          </w:p>
        </w:tc>
        <w:tc>
          <w:tcPr>
            <w:tcW w:w="3827" w:type="dxa"/>
          </w:tcPr>
          <w:p w:rsidR="00F41FD9" w:rsidRDefault="00F41FD9" w:rsidP="003E63CA">
            <w:pPr>
              <w:pStyle w:val="DeptBullets"/>
              <w:numPr>
                <w:ilvl w:val="0"/>
                <w:numId w:val="0"/>
              </w:numPr>
              <w:spacing w:after="0"/>
              <w:rPr>
                <w:rFonts w:cs="Arial"/>
                <w:szCs w:val="24"/>
              </w:rPr>
            </w:pPr>
            <w:r w:rsidRPr="00F41FD9">
              <w:rPr>
                <w:rFonts w:cs="Arial"/>
                <w:szCs w:val="24"/>
              </w:rPr>
              <w:t>It is up to the organisation/company to decide which certification body to go with.</w:t>
            </w:r>
          </w:p>
        </w:tc>
      </w:tr>
      <w:tr w:rsidR="00F41FD9" w:rsidRPr="0015056F" w:rsidTr="003E63CA">
        <w:tc>
          <w:tcPr>
            <w:tcW w:w="417" w:type="dxa"/>
          </w:tcPr>
          <w:p w:rsidR="00F41FD9" w:rsidRDefault="00F41FD9" w:rsidP="003E63CA">
            <w:pPr>
              <w:pStyle w:val="DeptBullets"/>
              <w:numPr>
                <w:ilvl w:val="0"/>
                <w:numId w:val="0"/>
              </w:numPr>
              <w:spacing w:after="0"/>
              <w:rPr>
                <w:rFonts w:cs="Arial"/>
                <w:b/>
                <w:szCs w:val="24"/>
                <w:u w:val="single"/>
              </w:rPr>
            </w:pPr>
            <w:r>
              <w:rPr>
                <w:rFonts w:cs="Arial"/>
                <w:b/>
                <w:szCs w:val="24"/>
                <w:u w:val="single"/>
              </w:rPr>
              <w:t>18.</w:t>
            </w:r>
          </w:p>
        </w:tc>
        <w:tc>
          <w:tcPr>
            <w:tcW w:w="4369" w:type="dxa"/>
          </w:tcPr>
          <w:p w:rsidR="00F41FD9" w:rsidRDefault="00F41FD9" w:rsidP="003E63CA">
            <w:pPr>
              <w:rPr>
                <w:rFonts w:cs="Arial"/>
                <w:szCs w:val="24"/>
              </w:rPr>
            </w:pPr>
            <w:r w:rsidRPr="00F41FD9">
              <w:rPr>
                <w:rFonts w:cs="Arial"/>
                <w:szCs w:val="24"/>
              </w:rPr>
              <w:t>Many of the KPIs outlined will only be able to be collected by the contractor using its own management systems, so I don’t see how these can be “independent” – presumably you want bidders to explain how they will collect this information? I can also see that in some cases it would be possible to provide independent verification for information provided to the department, is that what is envisaged here?</w:t>
            </w:r>
          </w:p>
        </w:tc>
        <w:tc>
          <w:tcPr>
            <w:tcW w:w="3827" w:type="dxa"/>
          </w:tcPr>
          <w:p w:rsidR="00F41FD9" w:rsidRDefault="00F41FD9" w:rsidP="003E63CA">
            <w:pPr>
              <w:pStyle w:val="DeptBullets"/>
              <w:numPr>
                <w:ilvl w:val="0"/>
                <w:numId w:val="0"/>
              </w:numPr>
              <w:spacing w:after="0"/>
              <w:rPr>
                <w:rFonts w:cs="Arial"/>
                <w:szCs w:val="24"/>
              </w:rPr>
            </w:pPr>
            <w:r w:rsidRPr="00F41FD9">
              <w:rPr>
                <w:rFonts w:cs="Arial"/>
                <w:szCs w:val="24"/>
              </w:rPr>
              <w:t>KPIs provide the Department with information and advice about how the programme is performing and as yet we can’t predict what “similar matters” might arise. However, we are saying that should issues arise during the lifetime of the contract then we would expect the contractor to provide the Department with independent and impartial advice on these issues, should they arise. We will discuss with the successful bidder what independent verification may be needed of KPIs.</w:t>
            </w:r>
          </w:p>
        </w:tc>
      </w:tr>
      <w:tr w:rsidR="00F41FD9" w:rsidRPr="0015056F" w:rsidTr="003E63CA">
        <w:tc>
          <w:tcPr>
            <w:tcW w:w="417" w:type="dxa"/>
          </w:tcPr>
          <w:p w:rsidR="00F41FD9" w:rsidRDefault="00F41FD9" w:rsidP="003E63CA">
            <w:pPr>
              <w:pStyle w:val="DeptBullets"/>
              <w:numPr>
                <w:ilvl w:val="0"/>
                <w:numId w:val="0"/>
              </w:numPr>
              <w:spacing w:after="0"/>
              <w:rPr>
                <w:rFonts w:cs="Arial"/>
                <w:b/>
                <w:szCs w:val="24"/>
                <w:u w:val="single"/>
              </w:rPr>
            </w:pPr>
            <w:r>
              <w:rPr>
                <w:rFonts w:cs="Arial"/>
                <w:b/>
                <w:szCs w:val="24"/>
                <w:u w:val="single"/>
              </w:rPr>
              <w:t>19.</w:t>
            </w:r>
          </w:p>
        </w:tc>
        <w:tc>
          <w:tcPr>
            <w:tcW w:w="4369" w:type="dxa"/>
          </w:tcPr>
          <w:p w:rsidR="00F41FD9" w:rsidRDefault="00F41FD9" w:rsidP="003E63CA">
            <w:pPr>
              <w:rPr>
                <w:rFonts w:cs="Arial"/>
                <w:szCs w:val="24"/>
              </w:rPr>
            </w:pPr>
            <w:r w:rsidRPr="00F41FD9">
              <w:rPr>
                <w:rFonts w:cs="Arial"/>
                <w:szCs w:val="24"/>
              </w:rPr>
              <w:t>Please can you confirm that the IP licence referred to in clause 12.13 of the Terms and Conditions will be for non-commercial purposes only?</w:t>
            </w:r>
          </w:p>
        </w:tc>
        <w:tc>
          <w:tcPr>
            <w:tcW w:w="3827" w:type="dxa"/>
          </w:tcPr>
          <w:p w:rsidR="00F41FD9" w:rsidRDefault="00F41FD9" w:rsidP="003E63CA">
            <w:pPr>
              <w:pStyle w:val="DeptBullets"/>
              <w:numPr>
                <w:ilvl w:val="0"/>
                <w:numId w:val="0"/>
              </w:numPr>
              <w:spacing w:after="0"/>
              <w:rPr>
                <w:rFonts w:cs="Arial"/>
                <w:szCs w:val="24"/>
              </w:rPr>
            </w:pPr>
            <w:r w:rsidRPr="00F41FD9">
              <w:rPr>
                <w:rFonts w:cs="Arial"/>
                <w:szCs w:val="24"/>
              </w:rPr>
              <w:t xml:space="preserve">The contract clearly states what “Intellectual Property Rights” means and what is included under this heading.  Clause 12.13 requires the contractor to grant to </w:t>
            </w:r>
            <w:proofErr w:type="spellStart"/>
            <w:r w:rsidRPr="00F41FD9">
              <w:rPr>
                <w:rFonts w:cs="Arial"/>
                <w:szCs w:val="24"/>
              </w:rPr>
              <w:t>DfE</w:t>
            </w:r>
            <w:proofErr w:type="spellEnd"/>
            <w:r w:rsidRPr="00F41FD9">
              <w:rPr>
                <w:rFonts w:cs="Arial"/>
                <w:szCs w:val="24"/>
              </w:rPr>
              <w:t xml:space="preserve"> a royalty-free, perpetual, irrevocable and non-exclusive licence (with a right to sub-licence) to use any Intellectual Property Rights they own or have developed prior to the Effective Date or otherwise not in connection with the Contract (“Contractor IP”) if it is required to enable the </w:t>
            </w:r>
            <w:proofErr w:type="spellStart"/>
            <w:r w:rsidRPr="00F41FD9">
              <w:rPr>
                <w:rFonts w:cs="Arial"/>
                <w:szCs w:val="24"/>
              </w:rPr>
              <w:t>DfE</w:t>
            </w:r>
            <w:proofErr w:type="spellEnd"/>
            <w:r w:rsidRPr="00F41FD9">
              <w:rPr>
                <w:rFonts w:cs="Arial"/>
                <w:szCs w:val="24"/>
              </w:rPr>
              <w:t xml:space="preserve"> (and potentially others) to take any benefit of the Contract including the Services provided and the use and further development of the IP Materials.</w:t>
            </w:r>
          </w:p>
        </w:tc>
      </w:tr>
      <w:tr w:rsidR="00F41FD9" w:rsidRPr="0015056F" w:rsidTr="003E63CA">
        <w:tc>
          <w:tcPr>
            <w:tcW w:w="417" w:type="dxa"/>
          </w:tcPr>
          <w:p w:rsidR="00F41FD9" w:rsidRDefault="00F41FD9" w:rsidP="003E63CA">
            <w:pPr>
              <w:pStyle w:val="DeptBullets"/>
              <w:numPr>
                <w:ilvl w:val="0"/>
                <w:numId w:val="0"/>
              </w:numPr>
              <w:spacing w:after="0"/>
              <w:rPr>
                <w:rFonts w:cs="Arial"/>
                <w:b/>
                <w:szCs w:val="24"/>
                <w:u w:val="single"/>
              </w:rPr>
            </w:pPr>
            <w:r>
              <w:rPr>
                <w:rFonts w:cs="Arial"/>
                <w:b/>
                <w:szCs w:val="24"/>
                <w:u w:val="single"/>
              </w:rPr>
              <w:t>20.</w:t>
            </w:r>
          </w:p>
        </w:tc>
        <w:tc>
          <w:tcPr>
            <w:tcW w:w="4369" w:type="dxa"/>
          </w:tcPr>
          <w:p w:rsidR="00F41FD9" w:rsidRDefault="00F41FD9" w:rsidP="003E63CA">
            <w:pPr>
              <w:rPr>
                <w:rFonts w:cs="Arial"/>
                <w:szCs w:val="24"/>
              </w:rPr>
            </w:pPr>
            <w:r w:rsidRPr="00F41FD9">
              <w:rPr>
                <w:rFonts w:cs="Arial"/>
                <w:szCs w:val="24"/>
              </w:rPr>
              <w:t xml:space="preserve">Will the </w:t>
            </w:r>
            <w:proofErr w:type="spellStart"/>
            <w:r w:rsidRPr="00F41FD9">
              <w:rPr>
                <w:rFonts w:cs="Arial"/>
                <w:szCs w:val="24"/>
              </w:rPr>
              <w:t>DfE</w:t>
            </w:r>
            <w:proofErr w:type="spellEnd"/>
            <w:r w:rsidRPr="00F41FD9">
              <w:rPr>
                <w:rFonts w:cs="Arial"/>
                <w:szCs w:val="24"/>
              </w:rPr>
              <w:t xml:space="preserve"> grant a licence to the Contractor to use Service Specific IP Materials after the expiry of the Contract period?</w:t>
            </w:r>
          </w:p>
        </w:tc>
        <w:tc>
          <w:tcPr>
            <w:tcW w:w="3827" w:type="dxa"/>
          </w:tcPr>
          <w:p w:rsidR="00F41FD9" w:rsidRDefault="00F41FD9" w:rsidP="003E63CA">
            <w:pPr>
              <w:pStyle w:val="DeptBullets"/>
              <w:numPr>
                <w:ilvl w:val="0"/>
                <w:numId w:val="0"/>
              </w:numPr>
              <w:spacing w:after="0"/>
              <w:rPr>
                <w:rFonts w:cs="Arial"/>
                <w:szCs w:val="24"/>
              </w:rPr>
            </w:pPr>
            <w:r w:rsidRPr="00F41FD9">
              <w:rPr>
                <w:rFonts w:cs="Arial"/>
                <w:szCs w:val="24"/>
              </w:rPr>
              <w:t>This is a matter to discuss with the successful bidder</w:t>
            </w:r>
            <w:r>
              <w:rPr>
                <w:rFonts w:cs="Arial"/>
                <w:szCs w:val="24"/>
              </w:rPr>
              <w:t>.</w:t>
            </w:r>
          </w:p>
        </w:tc>
      </w:tr>
      <w:tr w:rsidR="00F41FD9" w:rsidRPr="0015056F" w:rsidTr="003E63CA">
        <w:tc>
          <w:tcPr>
            <w:tcW w:w="417" w:type="dxa"/>
          </w:tcPr>
          <w:p w:rsidR="00F41FD9" w:rsidRDefault="004766FB" w:rsidP="003E63CA">
            <w:pPr>
              <w:pStyle w:val="DeptBullets"/>
              <w:numPr>
                <w:ilvl w:val="0"/>
                <w:numId w:val="0"/>
              </w:numPr>
              <w:spacing w:after="0"/>
              <w:rPr>
                <w:rFonts w:cs="Arial"/>
                <w:b/>
                <w:szCs w:val="24"/>
                <w:u w:val="single"/>
              </w:rPr>
            </w:pPr>
            <w:r>
              <w:rPr>
                <w:rFonts w:cs="Arial"/>
                <w:b/>
                <w:szCs w:val="24"/>
                <w:u w:val="single"/>
              </w:rPr>
              <w:t>21.</w:t>
            </w:r>
          </w:p>
        </w:tc>
        <w:tc>
          <w:tcPr>
            <w:tcW w:w="4369" w:type="dxa"/>
          </w:tcPr>
          <w:p w:rsidR="00F41FD9" w:rsidRDefault="00F41FD9" w:rsidP="003E63CA">
            <w:pPr>
              <w:rPr>
                <w:rFonts w:cs="Arial"/>
                <w:szCs w:val="24"/>
              </w:rPr>
            </w:pPr>
            <w:r w:rsidRPr="00F41FD9">
              <w:rPr>
                <w:rFonts w:cs="Arial"/>
                <w:szCs w:val="24"/>
              </w:rPr>
              <w:t>Is the Department open to considering alternative responses from tenderers that are not fully compliant with the terms and conditions? That is to say, that the tenderer may submit both a compliant and an alternative response, for example where the tenderer considers that the proposed alternative represents improved value for money?</w:t>
            </w:r>
          </w:p>
        </w:tc>
        <w:tc>
          <w:tcPr>
            <w:tcW w:w="3827" w:type="dxa"/>
          </w:tcPr>
          <w:p w:rsidR="00F41FD9" w:rsidRDefault="00F41FD9" w:rsidP="003E63CA">
            <w:pPr>
              <w:pStyle w:val="DeptBullets"/>
              <w:numPr>
                <w:ilvl w:val="0"/>
                <w:numId w:val="0"/>
              </w:numPr>
              <w:spacing w:after="0"/>
              <w:rPr>
                <w:rFonts w:cs="Arial"/>
                <w:szCs w:val="24"/>
              </w:rPr>
            </w:pPr>
            <w:r w:rsidRPr="00F41FD9">
              <w:rPr>
                <w:rFonts w:cs="Arial"/>
                <w:szCs w:val="24"/>
              </w:rPr>
              <w:t>All bids will be assessed against the ITT.  Tenderers are free to submit what they wish but need to observe the 40 page limit.</w:t>
            </w:r>
          </w:p>
        </w:tc>
      </w:tr>
      <w:tr w:rsidR="00F41FD9" w:rsidRPr="0015056F" w:rsidTr="003E63CA">
        <w:tc>
          <w:tcPr>
            <w:tcW w:w="417" w:type="dxa"/>
          </w:tcPr>
          <w:p w:rsidR="00F41FD9" w:rsidRDefault="004766FB" w:rsidP="004766FB">
            <w:pPr>
              <w:pStyle w:val="DeptBullets"/>
              <w:numPr>
                <w:ilvl w:val="0"/>
                <w:numId w:val="0"/>
              </w:numPr>
              <w:spacing w:after="0"/>
              <w:rPr>
                <w:rFonts w:cs="Arial"/>
                <w:b/>
                <w:szCs w:val="24"/>
                <w:u w:val="single"/>
              </w:rPr>
            </w:pPr>
            <w:r>
              <w:rPr>
                <w:rFonts w:cs="Arial"/>
                <w:b/>
                <w:szCs w:val="24"/>
                <w:u w:val="single"/>
              </w:rPr>
              <w:t>22.</w:t>
            </w:r>
          </w:p>
        </w:tc>
        <w:tc>
          <w:tcPr>
            <w:tcW w:w="4369" w:type="dxa"/>
          </w:tcPr>
          <w:p w:rsidR="00F41FD9" w:rsidRDefault="00F41FD9" w:rsidP="003E63CA">
            <w:pPr>
              <w:rPr>
                <w:rFonts w:cs="Arial"/>
                <w:szCs w:val="24"/>
              </w:rPr>
            </w:pPr>
            <w:r w:rsidRPr="00F41FD9">
              <w:rPr>
                <w:rFonts w:cs="Arial"/>
                <w:szCs w:val="24"/>
              </w:rPr>
              <w:t>Should the costing information include projected costs for the potential contract extension into Years 4 and 5, or just for the initial 3-year period?</w:t>
            </w:r>
          </w:p>
        </w:tc>
        <w:tc>
          <w:tcPr>
            <w:tcW w:w="3827" w:type="dxa"/>
          </w:tcPr>
          <w:p w:rsidR="00F41FD9" w:rsidRDefault="00F41FD9" w:rsidP="003E63CA">
            <w:pPr>
              <w:pStyle w:val="DeptBullets"/>
              <w:numPr>
                <w:ilvl w:val="0"/>
                <w:numId w:val="0"/>
              </w:numPr>
              <w:spacing w:after="0"/>
              <w:rPr>
                <w:rFonts w:cs="Arial"/>
                <w:szCs w:val="24"/>
              </w:rPr>
            </w:pPr>
            <w:r w:rsidRPr="00F41FD9">
              <w:rPr>
                <w:rFonts w:cs="Arial"/>
                <w:szCs w:val="24"/>
              </w:rPr>
              <w:t>It should include costing information for years 4 and 5 as well as the initial 3-year period.</w:t>
            </w:r>
          </w:p>
        </w:tc>
      </w:tr>
      <w:tr w:rsidR="00F41FD9" w:rsidRPr="0015056F" w:rsidTr="003E63CA">
        <w:tc>
          <w:tcPr>
            <w:tcW w:w="417" w:type="dxa"/>
          </w:tcPr>
          <w:p w:rsidR="00F41FD9" w:rsidRDefault="007D3A78" w:rsidP="003E63CA">
            <w:pPr>
              <w:pStyle w:val="DeptBullets"/>
              <w:numPr>
                <w:ilvl w:val="0"/>
                <w:numId w:val="0"/>
              </w:numPr>
              <w:spacing w:after="0"/>
              <w:rPr>
                <w:rFonts w:cs="Arial"/>
                <w:b/>
                <w:szCs w:val="24"/>
                <w:u w:val="single"/>
              </w:rPr>
            </w:pPr>
            <w:r>
              <w:rPr>
                <w:rFonts w:cs="Arial"/>
                <w:b/>
                <w:szCs w:val="24"/>
                <w:u w:val="single"/>
              </w:rPr>
              <w:t>23.</w:t>
            </w:r>
          </w:p>
        </w:tc>
        <w:tc>
          <w:tcPr>
            <w:tcW w:w="4369" w:type="dxa"/>
          </w:tcPr>
          <w:p w:rsidR="00F41FD9" w:rsidRDefault="004766FB" w:rsidP="003E63CA">
            <w:pPr>
              <w:rPr>
                <w:rFonts w:cs="Arial"/>
                <w:szCs w:val="24"/>
              </w:rPr>
            </w:pPr>
            <w:r w:rsidRPr="004766FB">
              <w:rPr>
                <w:rFonts w:cs="Arial"/>
                <w:szCs w:val="24"/>
              </w:rPr>
              <w:t>Can you please advise whether evidence provided in the form of case studies can be included within the annex or should be within the body of the main proposal and counted towards the 40 page limit.</w:t>
            </w:r>
          </w:p>
        </w:tc>
        <w:tc>
          <w:tcPr>
            <w:tcW w:w="3827" w:type="dxa"/>
          </w:tcPr>
          <w:p w:rsidR="00F41FD9" w:rsidRDefault="004766FB" w:rsidP="003E63CA">
            <w:pPr>
              <w:pStyle w:val="DeptBullets"/>
              <w:numPr>
                <w:ilvl w:val="0"/>
                <w:numId w:val="0"/>
              </w:numPr>
              <w:spacing w:after="0"/>
              <w:rPr>
                <w:rFonts w:cs="Arial"/>
                <w:szCs w:val="24"/>
              </w:rPr>
            </w:pPr>
            <w:r w:rsidRPr="004766FB">
              <w:rPr>
                <w:rFonts w:cs="Arial"/>
                <w:szCs w:val="24"/>
              </w:rPr>
              <w:t xml:space="preserve">Evidence provided in the form of case studies can be included within the annex however this should only add to the evidence provided in the main proposal and should not constitute new evidence. Please see the answer to Q9 in the Q&amp;A log on </w:t>
            </w:r>
            <w:proofErr w:type="spellStart"/>
            <w:r w:rsidRPr="004766FB">
              <w:rPr>
                <w:rFonts w:cs="Arial"/>
                <w:szCs w:val="24"/>
              </w:rPr>
              <w:t>contractsfinder</w:t>
            </w:r>
            <w:proofErr w:type="spellEnd"/>
            <w:r w:rsidRPr="004766FB">
              <w:rPr>
                <w:rFonts w:cs="Arial"/>
                <w:szCs w:val="24"/>
              </w:rPr>
              <w:t xml:space="preserve"> for information about what to include in the 40 page limit.</w:t>
            </w:r>
          </w:p>
        </w:tc>
      </w:tr>
      <w:tr w:rsidR="00F41FD9" w:rsidRPr="0015056F" w:rsidTr="003E63CA">
        <w:tc>
          <w:tcPr>
            <w:tcW w:w="417" w:type="dxa"/>
          </w:tcPr>
          <w:p w:rsidR="00F41FD9" w:rsidRDefault="007D3A78" w:rsidP="003E63CA">
            <w:pPr>
              <w:pStyle w:val="DeptBullets"/>
              <w:numPr>
                <w:ilvl w:val="0"/>
                <w:numId w:val="0"/>
              </w:numPr>
              <w:spacing w:after="0"/>
              <w:rPr>
                <w:rFonts w:cs="Arial"/>
                <w:b/>
                <w:szCs w:val="24"/>
                <w:u w:val="single"/>
              </w:rPr>
            </w:pPr>
            <w:r>
              <w:rPr>
                <w:rFonts w:cs="Arial"/>
                <w:b/>
                <w:szCs w:val="24"/>
                <w:u w:val="single"/>
              </w:rPr>
              <w:t>24.</w:t>
            </w:r>
          </w:p>
        </w:tc>
        <w:tc>
          <w:tcPr>
            <w:tcW w:w="4369" w:type="dxa"/>
          </w:tcPr>
          <w:p w:rsidR="00F41FD9" w:rsidRDefault="004766FB" w:rsidP="003E63CA">
            <w:pPr>
              <w:rPr>
                <w:rFonts w:cs="Arial"/>
                <w:szCs w:val="24"/>
              </w:rPr>
            </w:pPr>
            <w:r w:rsidRPr="004766FB">
              <w:rPr>
                <w:rFonts w:cs="Arial"/>
                <w:szCs w:val="24"/>
              </w:rPr>
              <w:t xml:space="preserve">Can the </w:t>
            </w:r>
            <w:proofErr w:type="spellStart"/>
            <w:r w:rsidRPr="004766FB">
              <w:rPr>
                <w:rFonts w:cs="Arial"/>
                <w:szCs w:val="24"/>
              </w:rPr>
              <w:t>DfE</w:t>
            </w:r>
            <w:proofErr w:type="spellEnd"/>
            <w:r w:rsidRPr="004766FB">
              <w:rPr>
                <w:rFonts w:cs="Arial"/>
                <w:szCs w:val="24"/>
              </w:rPr>
              <w:t xml:space="preserve"> tell us what rate of inflation they assume for their other programmes?</w:t>
            </w:r>
          </w:p>
        </w:tc>
        <w:tc>
          <w:tcPr>
            <w:tcW w:w="3827" w:type="dxa"/>
          </w:tcPr>
          <w:p w:rsidR="00F41FD9" w:rsidRDefault="004766FB" w:rsidP="003E63CA">
            <w:pPr>
              <w:pStyle w:val="DeptBullets"/>
              <w:numPr>
                <w:ilvl w:val="0"/>
                <w:numId w:val="0"/>
              </w:numPr>
              <w:spacing w:after="0"/>
              <w:rPr>
                <w:rFonts w:cs="Arial"/>
                <w:szCs w:val="24"/>
              </w:rPr>
            </w:pPr>
            <w:r w:rsidRPr="004766FB">
              <w:rPr>
                <w:rFonts w:cs="Arial"/>
                <w:szCs w:val="24"/>
              </w:rPr>
              <w:t xml:space="preserve">This is for bidders to tell </w:t>
            </w:r>
            <w:proofErr w:type="spellStart"/>
            <w:r w:rsidRPr="004766FB">
              <w:rPr>
                <w:rFonts w:cs="Arial"/>
                <w:szCs w:val="24"/>
              </w:rPr>
              <w:t>DfE</w:t>
            </w:r>
            <w:proofErr w:type="spellEnd"/>
            <w:r w:rsidRPr="004766FB">
              <w:rPr>
                <w:rFonts w:cs="Arial"/>
                <w:szCs w:val="24"/>
              </w:rPr>
              <w:t>.</w:t>
            </w:r>
          </w:p>
        </w:tc>
      </w:tr>
      <w:tr w:rsidR="00F41FD9" w:rsidRPr="0015056F" w:rsidTr="003E63CA">
        <w:tc>
          <w:tcPr>
            <w:tcW w:w="417" w:type="dxa"/>
          </w:tcPr>
          <w:p w:rsidR="00F41FD9" w:rsidRDefault="007D3A78" w:rsidP="003E63CA">
            <w:pPr>
              <w:pStyle w:val="DeptBullets"/>
              <w:numPr>
                <w:ilvl w:val="0"/>
                <w:numId w:val="0"/>
              </w:numPr>
              <w:spacing w:after="0"/>
              <w:rPr>
                <w:rFonts w:cs="Arial"/>
                <w:b/>
                <w:szCs w:val="24"/>
                <w:u w:val="single"/>
              </w:rPr>
            </w:pPr>
            <w:r>
              <w:rPr>
                <w:rFonts w:cs="Arial"/>
                <w:b/>
                <w:szCs w:val="24"/>
                <w:u w:val="single"/>
              </w:rPr>
              <w:t>25.</w:t>
            </w:r>
          </w:p>
        </w:tc>
        <w:tc>
          <w:tcPr>
            <w:tcW w:w="4369" w:type="dxa"/>
          </w:tcPr>
          <w:p w:rsidR="00F41FD9" w:rsidRDefault="004766FB" w:rsidP="004766FB">
            <w:pPr>
              <w:rPr>
                <w:rFonts w:cs="Arial"/>
                <w:szCs w:val="24"/>
              </w:rPr>
            </w:pPr>
            <w:r w:rsidRPr="004766FB">
              <w:rPr>
                <w:rFonts w:cs="Arial"/>
                <w:szCs w:val="24"/>
              </w:rPr>
              <w:t>Is there flexibility if a bidder is invited to interview</w:t>
            </w:r>
            <w:r>
              <w:rPr>
                <w:rFonts w:cs="Arial"/>
                <w:szCs w:val="24"/>
              </w:rPr>
              <w:t>?</w:t>
            </w:r>
            <w:r w:rsidRPr="004766FB">
              <w:rPr>
                <w:rFonts w:cs="Arial"/>
                <w:szCs w:val="24"/>
              </w:rPr>
              <w:t xml:space="preserve"> </w:t>
            </w:r>
          </w:p>
        </w:tc>
        <w:tc>
          <w:tcPr>
            <w:tcW w:w="3827" w:type="dxa"/>
          </w:tcPr>
          <w:p w:rsidR="00F41FD9" w:rsidRDefault="004766FB" w:rsidP="003E63CA">
            <w:pPr>
              <w:pStyle w:val="DeptBullets"/>
              <w:numPr>
                <w:ilvl w:val="0"/>
                <w:numId w:val="0"/>
              </w:numPr>
              <w:spacing w:after="0"/>
              <w:rPr>
                <w:rFonts w:cs="Arial"/>
                <w:szCs w:val="24"/>
              </w:rPr>
            </w:pPr>
            <w:r w:rsidRPr="004766FB">
              <w:rPr>
                <w:rFonts w:cs="Arial"/>
                <w:szCs w:val="24"/>
              </w:rPr>
              <w:t>This is something that we would pick up with those invited to interview, however as it stands the interviews will take place on 7th December.</w:t>
            </w:r>
          </w:p>
        </w:tc>
      </w:tr>
      <w:tr w:rsidR="006A1001" w:rsidRPr="0015056F" w:rsidTr="003E63CA">
        <w:tc>
          <w:tcPr>
            <w:tcW w:w="417" w:type="dxa"/>
          </w:tcPr>
          <w:p w:rsidR="006A1001" w:rsidRDefault="006A1001" w:rsidP="003E63CA">
            <w:pPr>
              <w:pStyle w:val="DeptBullets"/>
              <w:numPr>
                <w:ilvl w:val="0"/>
                <w:numId w:val="0"/>
              </w:numPr>
              <w:spacing w:after="0"/>
              <w:rPr>
                <w:rFonts w:cs="Arial"/>
                <w:b/>
                <w:szCs w:val="24"/>
                <w:u w:val="single"/>
              </w:rPr>
            </w:pPr>
            <w:r>
              <w:rPr>
                <w:rFonts w:cs="Arial"/>
                <w:b/>
                <w:szCs w:val="24"/>
                <w:u w:val="single"/>
              </w:rPr>
              <w:t>26.</w:t>
            </w:r>
          </w:p>
        </w:tc>
        <w:tc>
          <w:tcPr>
            <w:tcW w:w="4369" w:type="dxa"/>
          </w:tcPr>
          <w:p w:rsidR="006A1001" w:rsidRPr="006A1001" w:rsidRDefault="006A1001" w:rsidP="006A1001">
            <w:pPr>
              <w:rPr>
                <w:rFonts w:cs="Arial"/>
                <w:szCs w:val="24"/>
              </w:rPr>
            </w:pPr>
            <w:r w:rsidRPr="006A1001">
              <w:rPr>
                <w:rFonts w:cs="Arial"/>
                <w:szCs w:val="24"/>
              </w:rPr>
              <w:t>Schedule 8 item 4.12 (page 60).  Document states that the Contractor will "not Process or otherwise transfer any Pe</w:t>
            </w:r>
            <w:r>
              <w:rPr>
                <w:rFonts w:cs="Arial"/>
                <w:szCs w:val="24"/>
              </w:rPr>
              <w:t xml:space="preserve">rsonal Data outside the EEA".  </w:t>
            </w:r>
          </w:p>
          <w:p w:rsidR="006A1001" w:rsidRPr="006A1001" w:rsidRDefault="006A1001" w:rsidP="006A1001">
            <w:pPr>
              <w:rPr>
                <w:rFonts w:cs="Arial"/>
                <w:szCs w:val="24"/>
              </w:rPr>
            </w:pPr>
          </w:p>
          <w:p w:rsidR="006A1001" w:rsidRPr="004766FB" w:rsidRDefault="006A1001" w:rsidP="006A1001">
            <w:pPr>
              <w:rPr>
                <w:rFonts w:cs="Arial"/>
                <w:szCs w:val="24"/>
              </w:rPr>
            </w:pPr>
            <w:r w:rsidRPr="006A1001">
              <w:rPr>
                <w:rFonts w:cs="Arial"/>
                <w:szCs w:val="24"/>
              </w:rPr>
              <w:t xml:space="preserve">Google mail stores data outside the EEA.  For those organisations using </w:t>
            </w:r>
            <w:proofErr w:type="spellStart"/>
            <w:r w:rsidRPr="006A1001">
              <w:rPr>
                <w:rFonts w:cs="Arial"/>
                <w:szCs w:val="24"/>
              </w:rPr>
              <w:t>gmail</w:t>
            </w:r>
            <w:proofErr w:type="spellEnd"/>
            <w:r w:rsidRPr="006A1001">
              <w:rPr>
                <w:rFonts w:cs="Arial"/>
                <w:szCs w:val="24"/>
              </w:rPr>
              <w:t xml:space="preserve"> what assurances would </w:t>
            </w:r>
            <w:proofErr w:type="spellStart"/>
            <w:r w:rsidRPr="006A1001">
              <w:rPr>
                <w:rFonts w:cs="Arial"/>
                <w:szCs w:val="24"/>
              </w:rPr>
              <w:t>DfE</w:t>
            </w:r>
            <w:proofErr w:type="spellEnd"/>
            <w:r w:rsidRPr="006A1001">
              <w:rPr>
                <w:rFonts w:cs="Arial"/>
                <w:szCs w:val="24"/>
              </w:rPr>
              <w:t xml:space="preserve"> be satisfied with in order to demonstrate security compliance?</w:t>
            </w:r>
          </w:p>
        </w:tc>
        <w:tc>
          <w:tcPr>
            <w:tcW w:w="3827" w:type="dxa"/>
          </w:tcPr>
          <w:p w:rsidR="006A1001" w:rsidRPr="004766FB" w:rsidRDefault="006A1001" w:rsidP="003E63CA">
            <w:pPr>
              <w:pStyle w:val="DeptBullets"/>
              <w:numPr>
                <w:ilvl w:val="0"/>
                <w:numId w:val="0"/>
              </w:numPr>
              <w:spacing w:after="0"/>
              <w:rPr>
                <w:rFonts w:cs="Arial"/>
                <w:szCs w:val="24"/>
              </w:rPr>
            </w:pPr>
            <w:r w:rsidRPr="006A1001">
              <w:rPr>
                <w:rFonts w:cs="Arial"/>
                <w:szCs w:val="24"/>
              </w:rPr>
              <w:t>That is a discussion to be had between the department and the successful bidder.</w:t>
            </w:r>
          </w:p>
        </w:tc>
      </w:tr>
      <w:tr w:rsidR="006A1001" w:rsidRPr="0015056F" w:rsidTr="003E63CA">
        <w:tc>
          <w:tcPr>
            <w:tcW w:w="417" w:type="dxa"/>
          </w:tcPr>
          <w:p w:rsidR="006A1001" w:rsidRDefault="006A1001" w:rsidP="003E63CA">
            <w:pPr>
              <w:pStyle w:val="DeptBullets"/>
              <w:numPr>
                <w:ilvl w:val="0"/>
                <w:numId w:val="0"/>
              </w:numPr>
              <w:spacing w:after="0"/>
              <w:rPr>
                <w:rFonts w:cs="Arial"/>
                <w:b/>
                <w:szCs w:val="24"/>
                <w:u w:val="single"/>
              </w:rPr>
            </w:pPr>
            <w:r>
              <w:rPr>
                <w:rFonts w:cs="Arial"/>
                <w:b/>
                <w:szCs w:val="24"/>
                <w:u w:val="single"/>
              </w:rPr>
              <w:t>27.</w:t>
            </w:r>
          </w:p>
        </w:tc>
        <w:tc>
          <w:tcPr>
            <w:tcW w:w="4369" w:type="dxa"/>
          </w:tcPr>
          <w:p w:rsidR="006A1001" w:rsidRPr="004766FB" w:rsidRDefault="006A1001" w:rsidP="004766FB">
            <w:pPr>
              <w:rPr>
                <w:rFonts w:cs="Arial"/>
                <w:szCs w:val="24"/>
              </w:rPr>
            </w:pPr>
            <w:r w:rsidRPr="006A1001">
              <w:rPr>
                <w:rFonts w:cs="Arial"/>
                <w:szCs w:val="24"/>
              </w:rPr>
              <w:t xml:space="preserve">Can you please clarify the basis of the calculation of service credits that will be applied to any under performance in service levels and KPIs  as set </w:t>
            </w:r>
            <w:proofErr w:type="spellStart"/>
            <w:r w:rsidRPr="006A1001">
              <w:rPr>
                <w:rFonts w:cs="Arial"/>
                <w:szCs w:val="24"/>
              </w:rPr>
              <w:t>our</w:t>
            </w:r>
            <w:proofErr w:type="spellEnd"/>
            <w:r w:rsidRPr="006A1001">
              <w:rPr>
                <w:rFonts w:cs="Arial"/>
                <w:szCs w:val="24"/>
              </w:rPr>
              <w:t xml:space="preserve"> in Schedule 4, in order that our tender proposal charges can be modelled accordingly</w:t>
            </w:r>
            <w:r>
              <w:rPr>
                <w:rFonts w:cs="Arial"/>
                <w:szCs w:val="24"/>
              </w:rPr>
              <w:t>?</w:t>
            </w:r>
          </w:p>
        </w:tc>
        <w:tc>
          <w:tcPr>
            <w:tcW w:w="3827" w:type="dxa"/>
          </w:tcPr>
          <w:p w:rsidR="006A1001" w:rsidRPr="004766FB" w:rsidRDefault="006A1001" w:rsidP="003E63CA">
            <w:pPr>
              <w:pStyle w:val="DeptBullets"/>
              <w:numPr>
                <w:ilvl w:val="0"/>
                <w:numId w:val="0"/>
              </w:numPr>
              <w:spacing w:after="0"/>
              <w:rPr>
                <w:rFonts w:cs="Arial"/>
                <w:szCs w:val="24"/>
              </w:rPr>
            </w:pPr>
            <w:r w:rsidRPr="006A1001">
              <w:rPr>
                <w:rFonts w:cs="Arial"/>
                <w:szCs w:val="24"/>
              </w:rPr>
              <w:t>Service credits will need to be proposed by the potential bidder and any issue relating to underperformance would be dealt with on a case by case basis.</w:t>
            </w:r>
          </w:p>
        </w:tc>
      </w:tr>
    </w:tbl>
    <w:p w:rsidR="0015056F" w:rsidRDefault="0066082D" w:rsidP="0015056F">
      <w:pPr>
        <w:rPr>
          <w:color w:val="7030A0"/>
        </w:rPr>
      </w:pPr>
      <w:r>
        <w:rPr>
          <w:rFonts w:ascii="Times New Roman" w:hAnsi="Times New Roman"/>
          <w:szCs w:val="24"/>
        </w:rPr>
        <w:br/>
      </w:r>
    </w:p>
    <w:p w:rsidR="0015056F" w:rsidRDefault="0015056F" w:rsidP="0015056F">
      <w:pPr>
        <w:rPr>
          <w:rFonts w:eastAsiaTheme="minorHAnsi"/>
          <w:color w:val="7030A0"/>
        </w:rPr>
      </w:pPr>
    </w:p>
    <w:p w:rsidR="0066082D" w:rsidRPr="0066082D" w:rsidRDefault="0066082D" w:rsidP="0066082D">
      <w:pPr>
        <w:pStyle w:val="DeptBullets"/>
        <w:numPr>
          <w:ilvl w:val="0"/>
          <w:numId w:val="0"/>
        </w:numPr>
        <w:spacing w:after="0"/>
        <w:ind w:left="360"/>
        <w:rPr>
          <w:rFonts w:asciiTheme="minorHAnsi" w:hAnsiTheme="minorHAnsi"/>
        </w:rPr>
      </w:pPr>
    </w:p>
    <w:sectPr w:rsidR="0066082D" w:rsidRPr="006608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D60" w:rsidRDefault="004A4D60">
      <w:r>
        <w:separator/>
      </w:r>
    </w:p>
  </w:endnote>
  <w:endnote w:type="continuationSeparator" w:id="0">
    <w:p w:rsidR="004A4D60" w:rsidRDefault="004A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D60" w:rsidRDefault="004A4D60">
      <w:r>
        <w:separator/>
      </w:r>
    </w:p>
  </w:footnote>
  <w:footnote w:type="continuationSeparator" w:id="0">
    <w:p w:rsidR="004A4D60" w:rsidRDefault="004A4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
    <w:nsid w:val="4F541894"/>
    <w:multiLevelType w:val="hybridMultilevel"/>
    <w:tmpl w:val="4732C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A605D2"/>
    <w:multiLevelType w:val="hybridMultilevel"/>
    <w:tmpl w:val="04768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5461FA"/>
    <w:multiLevelType w:val="hybridMultilevel"/>
    <w:tmpl w:val="05A6EF14"/>
    <w:lvl w:ilvl="0" w:tplc="649E6FE6">
      <w:start w:val="1"/>
      <w:numFmt w:val="bullet"/>
      <w:lvlText w:val=""/>
      <w:lvlJc w:val="left"/>
      <w:pPr>
        <w:tabs>
          <w:tab w:val="num" w:pos="720"/>
        </w:tabs>
        <w:ind w:left="720" w:hanging="360"/>
      </w:pPr>
      <w:rPr>
        <w:rFonts w:ascii="Wingdings" w:hAnsi="Wingdings" w:hint="default"/>
      </w:rPr>
    </w:lvl>
    <w:lvl w:ilvl="1" w:tplc="5770F5E0">
      <w:start w:val="1"/>
      <w:numFmt w:val="bullet"/>
      <w:lvlText w:val=""/>
      <w:lvlJc w:val="left"/>
      <w:pPr>
        <w:tabs>
          <w:tab w:val="num" w:pos="1440"/>
        </w:tabs>
        <w:ind w:left="1440" w:hanging="360"/>
      </w:pPr>
      <w:rPr>
        <w:rFonts w:ascii="Wingdings" w:hAnsi="Wingdings" w:hint="default"/>
      </w:rPr>
    </w:lvl>
    <w:lvl w:ilvl="2" w:tplc="2D00A5B4">
      <w:start w:val="1"/>
      <w:numFmt w:val="bullet"/>
      <w:lvlText w:val=""/>
      <w:lvlJc w:val="left"/>
      <w:pPr>
        <w:tabs>
          <w:tab w:val="num" w:pos="2160"/>
        </w:tabs>
        <w:ind w:left="2160" w:hanging="360"/>
      </w:pPr>
      <w:rPr>
        <w:rFonts w:ascii="Wingdings" w:hAnsi="Wingdings" w:hint="default"/>
      </w:rPr>
    </w:lvl>
    <w:lvl w:ilvl="3" w:tplc="9B0CC87A">
      <w:start w:val="1"/>
      <w:numFmt w:val="bullet"/>
      <w:lvlText w:val=""/>
      <w:lvlJc w:val="left"/>
      <w:pPr>
        <w:tabs>
          <w:tab w:val="num" w:pos="2880"/>
        </w:tabs>
        <w:ind w:left="2880" w:hanging="360"/>
      </w:pPr>
      <w:rPr>
        <w:rFonts w:ascii="Wingdings" w:hAnsi="Wingdings" w:hint="default"/>
      </w:rPr>
    </w:lvl>
    <w:lvl w:ilvl="4" w:tplc="6950A85C">
      <w:start w:val="1"/>
      <w:numFmt w:val="bullet"/>
      <w:lvlText w:val=""/>
      <w:lvlJc w:val="left"/>
      <w:pPr>
        <w:tabs>
          <w:tab w:val="num" w:pos="3600"/>
        </w:tabs>
        <w:ind w:left="3600" w:hanging="360"/>
      </w:pPr>
      <w:rPr>
        <w:rFonts w:ascii="Wingdings" w:hAnsi="Wingdings" w:hint="default"/>
      </w:rPr>
    </w:lvl>
    <w:lvl w:ilvl="5" w:tplc="647EA000">
      <w:start w:val="1"/>
      <w:numFmt w:val="bullet"/>
      <w:lvlText w:val=""/>
      <w:lvlJc w:val="left"/>
      <w:pPr>
        <w:tabs>
          <w:tab w:val="num" w:pos="4320"/>
        </w:tabs>
        <w:ind w:left="4320" w:hanging="360"/>
      </w:pPr>
      <w:rPr>
        <w:rFonts w:ascii="Wingdings" w:hAnsi="Wingdings" w:hint="default"/>
      </w:rPr>
    </w:lvl>
    <w:lvl w:ilvl="6" w:tplc="B3C4E280">
      <w:start w:val="1"/>
      <w:numFmt w:val="bullet"/>
      <w:lvlText w:val=""/>
      <w:lvlJc w:val="left"/>
      <w:pPr>
        <w:tabs>
          <w:tab w:val="num" w:pos="5040"/>
        </w:tabs>
        <w:ind w:left="5040" w:hanging="360"/>
      </w:pPr>
      <w:rPr>
        <w:rFonts w:ascii="Wingdings" w:hAnsi="Wingdings" w:hint="default"/>
      </w:rPr>
    </w:lvl>
    <w:lvl w:ilvl="7" w:tplc="C78CC14E">
      <w:start w:val="1"/>
      <w:numFmt w:val="bullet"/>
      <w:lvlText w:val=""/>
      <w:lvlJc w:val="left"/>
      <w:pPr>
        <w:tabs>
          <w:tab w:val="num" w:pos="5760"/>
        </w:tabs>
        <w:ind w:left="5760" w:hanging="360"/>
      </w:pPr>
      <w:rPr>
        <w:rFonts w:ascii="Wingdings" w:hAnsi="Wingdings" w:hint="default"/>
      </w:rPr>
    </w:lvl>
    <w:lvl w:ilvl="8" w:tplc="54BAC7AE">
      <w:start w:val="1"/>
      <w:numFmt w:val="bullet"/>
      <w:lvlText w:val=""/>
      <w:lvlJc w:val="left"/>
      <w:pPr>
        <w:tabs>
          <w:tab w:val="num" w:pos="6480"/>
        </w:tabs>
        <w:ind w:left="6480" w:hanging="360"/>
      </w:pPr>
      <w:rPr>
        <w:rFonts w:ascii="Wingdings" w:hAnsi="Wingdings" w:hint="default"/>
      </w:rPr>
    </w:lvl>
  </w:abstractNum>
  <w:abstractNum w:abstractNumId="8">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9"/>
  </w:num>
  <w:num w:numId="4">
    <w:abstractNumId w:val="0"/>
  </w:num>
  <w:num w:numId="5">
    <w:abstractNumId w:val="4"/>
  </w:num>
  <w:num w:numId="6">
    <w:abstractNumId w:val="8"/>
  </w:num>
  <w:num w:numId="7">
    <w:abstractNumId w:val="5"/>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82D"/>
    <w:rsid w:val="00011F78"/>
    <w:rsid w:val="00022DB6"/>
    <w:rsid w:val="00041864"/>
    <w:rsid w:val="0004776A"/>
    <w:rsid w:val="000833EF"/>
    <w:rsid w:val="000A0C1B"/>
    <w:rsid w:val="000B1468"/>
    <w:rsid w:val="000F4E59"/>
    <w:rsid w:val="00116F59"/>
    <w:rsid w:val="001362FD"/>
    <w:rsid w:val="001366BB"/>
    <w:rsid w:val="001372F2"/>
    <w:rsid w:val="0015056F"/>
    <w:rsid w:val="00153F85"/>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1B87"/>
    <w:rsid w:val="00266064"/>
    <w:rsid w:val="0027611C"/>
    <w:rsid w:val="002840D0"/>
    <w:rsid w:val="00285A84"/>
    <w:rsid w:val="00295EFC"/>
    <w:rsid w:val="002B651E"/>
    <w:rsid w:val="002D2A7A"/>
    <w:rsid w:val="002E28FA"/>
    <w:rsid w:val="00310708"/>
    <w:rsid w:val="00312BD3"/>
    <w:rsid w:val="00347A3B"/>
    <w:rsid w:val="00367EEB"/>
    <w:rsid w:val="00370895"/>
    <w:rsid w:val="00392AE9"/>
    <w:rsid w:val="003B78F9"/>
    <w:rsid w:val="003D74A2"/>
    <w:rsid w:val="003D7A13"/>
    <w:rsid w:val="003E1B86"/>
    <w:rsid w:val="00402829"/>
    <w:rsid w:val="00430DC5"/>
    <w:rsid w:val="00450D89"/>
    <w:rsid w:val="004533A7"/>
    <w:rsid w:val="00460505"/>
    <w:rsid w:val="00463122"/>
    <w:rsid w:val="004766FB"/>
    <w:rsid w:val="00480E77"/>
    <w:rsid w:val="00484C39"/>
    <w:rsid w:val="004955D9"/>
    <w:rsid w:val="004A4D60"/>
    <w:rsid w:val="004E633C"/>
    <w:rsid w:val="00511CA5"/>
    <w:rsid w:val="005150CE"/>
    <w:rsid w:val="00530814"/>
    <w:rsid w:val="00545301"/>
    <w:rsid w:val="00565333"/>
    <w:rsid w:val="00591B39"/>
    <w:rsid w:val="005B1CC3"/>
    <w:rsid w:val="005B5A07"/>
    <w:rsid w:val="005C1372"/>
    <w:rsid w:val="00607A4B"/>
    <w:rsid w:val="0062704E"/>
    <w:rsid w:val="00634682"/>
    <w:rsid w:val="0063507E"/>
    <w:rsid w:val="006363E9"/>
    <w:rsid w:val="0066082D"/>
    <w:rsid w:val="006858D6"/>
    <w:rsid w:val="00687908"/>
    <w:rsid w:val="006A0189"/>
    <w:rsid w:val="006A1001"/>
    <w:rsid w:val="006A1127"/>
    <w:rsid w:val="006A2F72"/>
    <w:rsid w:val="006A3278"/>
    <w:rsid w:val="006D3EBD"/>
    <w:rsid w:val="006E6F0B"/>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3A78"/>
    <w:rsid w:val="007D4DB0"/>
    <w:rsid w:val="007F073B"/>
    <w:rsid w:val="00805C72"/>
    <w:rsid w:val="00810497"/>
    <w:rsid w:val="00831225"/>
    <w:rsid w:val="008428AB"/>
    <w:rsid w:val="008469C7"/>
    <w:rsid w:val="00863664"/>
    <w:rsid w:val="0088151C"/>
    <w:rsid w:val="008817AB"/>
    <w:rsid w:val="008843A4"/>
    <w:rsid w:val="008B1C49"/>
    <w:rsid w:val="008B67CC"/>
    <w:rsid w:val="008D1228"/>
    <w:rsid w:val="008E3BDA"/>
    <w:rsid w:val="008F452F"/>
    <w:rsid w:val="00905ADC"/>
    <w:rsid w:val="00906C33"/>
    <w:rsid w:val="009173AF"/>
    <w:rsid w:val="00932946"/>
    <w:rsid w:val="009424FA"/>
    <w:rsid w:val="009426CB"/>
    <w:rsid w:val="00963073"/>
    <w:rsid w:val="0097315A"/>
    <w:rsid w:val="009A3F0A"/>
    <w:rsid w:val="009B3EFE"/>
    <w:rsid w:val="009B493A"/>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4235"/>
    <w:rsid w:val="00B05ECD"/>
    <w:rsid w:val="00B06172"/>
    <w:rsid w:val="00B16A24"/>
    <w:rsid w:val="00B16A8C"/>
    <w:rsid w:val="00B275C1"/>
    <w:rsid w:val="00B6522B"/>
    <w:rsid w:val="00B65709"/>
    <w:rsid w:val="00B67DF2"/>
    <w:rsid w:val="00B85BF7"/>
    <w:rsid w:val="00B939CC"/>
    <w:rsid w:val="00BC547B"/>
    <w:rsid w:val="00BD4B6C"/>
    <w:rsid w:val="00C37933"/>
    <w:rsid w:val="00C408C7"/>
    <w:rsid w:val="00C47EEA"/>
    <w:rsid w:val="00C519D0"/>
    <w:rsid w:val="00C70ACB"/>
    <w:rsid w:val="00CA4FEC"/>
    <w:rsid w:val="00CD7921"/>
    <w:rsid w:val="00CE084B"/>
    <w:rsid w:val="00D02D57"/>
    <w:rsid w:val="00D118D6"/>
    <w:rsid w:val="00D20266"/>
    <w:rsid w:val="00D20C29"/>
    <w:rsid w:val="00D33842"/>
    <w:rsid w:val="00D47915"/>
    <w:rsid w:val="00D57D6E"/>
    <w:rsid w:val="00D61F5A"/>
    <w:rsid w:val="00D656C2"/>
    <w:rsid w:val="00DB4C12"/>
    <w:rsid w:val="00E0081E"/>
    <w:rsid w:val="00E02094"/>
    <w:rsid w:val="00E10F4C"/>
    <w:rsid w:val="00E2419F"/>
    <w:rsid w:val="00E366D6"/>
    <w:rsid w:val="00E63D8B"/>
    <w:rsid w:val="00E81F4B"/>
    <w:rsid w:val="00EA11BE"/>
    <w:rsid w:val="00EC644A"/>
    <w:rsid w:val="00EC6A3F"/>
    <w:rsid w:val="00F30554"/>
    <w:rsid w:val="00F348D2"/>
    <w:rsid w:val="00F41FD9"/>
    <w:rsid w:val="00F4485F"/>
    <w:rsid w:val="00F44B6A"/>
    <w:rsid w:val="00F521C7"/>
    <w:rsid w:val="00F60BF8"/>
    <w:rsid w:val="00F64863"/>
    <w:rsid w:val="00F960C1"/>
    <w:rsid w:val="00FA0331"/>
    <w:rsid w:val="00FC049C"/>
    <w:rsid w:val="00FC1C0E"/>
    <w:rsid w:val="00FC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3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23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numbered0">
    <w:name w:val="numbered"/>
    <w:basedOn w:val="Normal"/>
    <w:uiPriority w:val="99"/>
    <w:rsid w:val="0066082D"/>
    <w:pPr>
      <w:widowControl/>
      <w:adjustRightInd/>
      <w:spacing w:before="100" w:beforeAutospacing="1" w:after="100" w:afterAutospacing="1"/>
      <w:textAlignment w:val="auto"/>
    </w:pPr>
    <w:rPr>
      <w:rFonts w:eastAsiaTheme="minorHAnsi" w:cs="Arial"/>
      <w:color w:val="000000"/>
      <w:sz w:val="22"/>
      <w:szCs w:val="22"/>
      <w:lang w:eastAsia="en-GB"/>
    </w:rPr>
  </w:style>
  <w:style w:type="table" w:styleId="TableGrid">
    <w:name w:val="Table Grid"/>
    <w:basedOn w:val="TableNormal"/>
    <w:rsid w:val="00B04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56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235"/>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paragraph" w:customStyle="1" w:styleId="numbered0">
    <w:name w:val="numbered"/>
    <w:basedOn w:val="Normal"/>
    <w:uiPriority w:val="99"/>
    <w:rsid w:val="0066082D"/>
    <w:pPr>
      <w:widowControl/>
      <w:adjustRightInd/>
      <w:spacing w:before="100" w:beforeAutospacing="1" w:after="100" w:afterAutospacing="1"/>
      <w:textAlignment w:val="auto"/>
    </w:pPr>
    <w:rPr>
      <w:rFonts w:eastAsiaTheme="minorHAnsi" w:cs="Arial"/>
      <w:color w:val="000000"/>
      <w:sz w:val="22"/>
      <w:szCs w:val="22"/>
      <w:lang w:eastAsia="en-GB"/>
    </w:rPr>
  </w:style>
  <w:style w:type="table" w:styleId="TableGrid">
    <w:name w:val="Table Grid"/>
    <w:basedOn w:val="TableNormal"/>
    <w:rsid w:val="00B04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05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8882">
      <w:bodyDiv w:val="1"/>
      <w:marLeft w:val="0"/>
      <w:marRight w:val="0"/>
      <w:marTop w:val="0"/>
      <w:marBottom w:val="0"/>
      <w:divBdr>
        <w:top w:val="none" w:sz="0" w:space="0" w:color="auto"/>
        <w:left w:val="none" w:sz="0" w:space="0" w:color="auto"/>
        <w:bottom w:val="none" w:sz="0" w:space="0" w:color="auto"/>
        <w:right w:val="none" w:sz="0" w:space="0" w:color="auto"/>
      </w:divBdr>
    </w:div>
    <w:div w:id="310445743">
      <w:bodyDiv w:val="1"/>
      <w:marLeft w:val="0"/>
      <w:marRight w:val="0"/>
      <w:marTop w:val="0"/>
      <w:marBottom w:val="0"/>
      <w:divBdr>
        <w:top w:val="none" w:sz="0" w:space="0" w:color="auto"/>
        <w:left w:val="none" w:sz="0" w:space="0" w:color="auto"/>
        <w:bottom w:val="none" w:sz="0" w:space="0" w:color="auto"/>
        <w:right w:val="none" w:sz="0" w:space="0" w:color="auto"/>
      </w:divBdr>
    </w:div>
    <w:div w:id="621227499">
      <w:bodyDiv w:val="1"/>
      <w:marLeft w:val="0"/>
      <w:marRight w:val="0"/>
      <w:marTop w:val="0"/>
      <w:marBottom w:val="0"/>
      <w:divBdr>
        <w:top w:val="none" w:sz="0" w:space="0" w:color="auto"/>
        <w:left w:val="none" w:sz="0" w:space="0" w:color="auto"/>
        <w:bottom w:val="none" w:sz="0" w:space="0" w:color="auto"/>
        <w:right w:val="none" w:sz="0" w:space="0" w:color="auto"/>
      </w:divBdr>
    </w:div>
    <w:div w:id="759906444">
      <w:bodyDiv w:val="1"/>
      <w:marLeft w:val="0"/>
      <w:marRight w:val="0"/>
      <w:marTop w:val="0"/>
      <w:marBottom w:val="0"/>
      <w:divBdr>
        <w:top w:val="none" w:sz="0" w:space="0" w:color="auto"/>
        <w:left w:val="none" w:sz="0" w:space="0" w:color="auto"/>
        <w:bottom w:val="none" w:sz="0" w:space="0" w:color="auto"/>
        <w:right w:val="none" w:sz="0" w:space="0" w:color="auto"/>
      </w:divBdr>
    </w:div>
    <w:div w:id="1006789164">
      <w:bodyDiv w:val="1"/>
      <w:marLeft w:val="0"/>
      <w:marRight w:val="0"/>
      <w:marTop w:val="0"/>
      <w:marBottom w:val="0"/>
      <w:divBdr>
        <w:top w:val="none" w:sz="0" w:space="0" w:color="auto"/>
        <w:left w:val="none" w:sz="0" w:space="0" w:color="auto"/>
        <w:bottom w:val="none" w:sz="0" w:space="0" w:color="auto"/>
        <w:right w:val="none" w:sz="0" w:space="0" w:color="auto"/>
      </w:divBdr>
    </w:div>
    <w:div w:id="1181705369">
      <w:bodyDiv w:val="1"/>
      <w:marLeft w:val="0"/>
      <w:marRight w:val="0"/>
      <w:marTop w:val="0"/>
      <w:marBottom w:val="0"/>
      <w:divBdr>
        <w:top w:val="none" w:sz="0" w:space="0" w:color="auto"/>
        <w:left w:val="none" w:sz="0" w:space="0" w:color="auto"/>
        <w:bottom w:val="none" w:sz="0" w:space="0" w:color="auto"/>
        <w:right w:val="none" w:sz="0" w:space="0" w:color="auto"/>
      </w:divBdr>
    </w:div>
    <w:div w:id="1215048227">
      <w:bodyDiv w:val="1"/>
      <w:marLeft w:val="0"/>
      <w:marRight w:val="0"/>
      <w:marTop w:val="0"/>
      <w:marBottom w:val="0"/>
      <w:divBdr>
        <w:top w:val="none" w:sz="0" w:space="0" w:color="auto"/>
        <w:left w:val="none" w:sz="0" w:space="0" w:color="auto"/>
        <w:bottom w:val="none" w:sz="0" w:space="0" w:color="auto"/>
        <w:right w:val="none" w:sz="0" w:space="0" w:color="auto"/>
      </w:divBdr>
    </w:div>
    <w:div w:id="1313755192">
      <w:bodyDiv w:val="1"/>
      <w:marLeft w:val="0"/>
      <w:marRight w:val="0"/>
      <w:marTop w:val="0"/>
      <w:marBottom w:val="0"/>
      <w:divBdr>
        <w:top w:val="none" w:sz="0" w:space="0" w:color="auto"/>
        <w:left w:val="none" w:sz="0" w:space="0" w:color="auto"/>
        <w:bottom w:val="none" w:sz="0" w:space="0" w:color="auto"/>
        <w:right w:val="none" w:sz="0" w:space="0" w:color="auto"/>
      </w:divBdr>
    </w:div>
    <w:div w:id="1335692466">
      <w:bodyDiv w:val="1"/>
      <w:marLeft w:val="0"/>
      <w:marRight w:val="0"/>
      <w:marTop w:val="0"/>
      <w:marBottom w:val="0"/>
      <w:divBdr>
        <w:top w:val="none" w:sz="0" w:space="0" w:color="auto"/>
        <w:left w:val="none" w:sz="0" w:space="0" w:color="auto"/>
        <w:bottom w:val="none" w:sz="0" w:space="0" w:color="auto"/>
        <w:right w:val="none" w:sz="0" w:space="0" w:color="auto"/>
      </w:divBdr>
    </w:div>
    <w:div w:id="1489400884">
      <w:bodyDiv w:val="1"/>
      <w:marLeft w:val="0"/>
      <w:marRight w:val="0"/>
      <w:marTop w:val="0"/>
      <w:marBottom w:val="0"/>
      <w:divBdr>
        <w:top w:val="none" w:sz="0" w:space="0" w:color="auto"/>
        <w:left w:val="none" w:sz="0" w:space="0" w:color="auto"/>
        <w:bottom w:val="none" w:sz="0" w:space="0" w:color="auto"/>
        <w:right w:val="none" w:sz="0" w:space="0" w:color="auto"/>
      </w:divBdr>
    </w:div>
    <w:div w:id="1629243631">
      <w:bodyDiv w:val="1"/>
      <w:marLeft w:val="0"/>
      <w:marRight w:val="0"/>
      <w:marTop w:val="0"/>
      <w:marBottom w:val="0"/>
      <w:divBdr>
        <w:top w:val="none" w:sz="0" w:space="0" w:color="auto"/>
        <w:left w:val="none" w:sz="0" w:space="0" w:color="auto"/>
        <w:bottom w:val="none" w:sz="0" w:space="0" w:color="auto"/>
        <w:right w:val="none" w:sz="0" w:space="0" w:color="auto"/>
      </w:divBdr>
    </w:div>
    <w:div w:id="1680234807">
      <w:bodyDiv w:val="1"/>
      <w:marLeft w:val="0"/>
      <w:marRight w:val="0"/>
      <w:marTop w:val="0"/>
      <w:marBottom w:val="0"/>
      <w:divBdr>
        <w:top w:val="none" w:sz="0" w:space="0" w:color="auto"/>
        <w:left w:val="none" w:sz="0" w:space="0" w:color="auto"/>
        <w:bottom w:val="none" w:sz="0" w:space="0" w:color="auto"/>
        <w:right w:val="none" w:sz="0" w:space="0" w:color="auto"/>
      </w:divBdr>
    </w:div>
    <w:div w:id="183869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ov.uk/government/publications/cabinet-office-controls/cabinet-office-controls-guidance-version-40" TargetMode="External"/><Relationship Id="rId18" Type="http://schemas.openxmlformats.org/officeDocument/2006/relationships/hyperlink" Target="http://www.qgbiz.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cyberessentials.org/" TargetMode="External"/><Relationship Id="rId2" Type="http://schemas.openxmlformats.org/officeDocument/2006/relationships/customXml" Target="../customXml/item2.xml"/><Relationship Id="rId16" Type="http://schemas.openxmlformats.org/officeDocument/2006/relationships/hyperlink" Target="https://www.iasme.co.uk/index.php/cyberessentialsprofile" TargetMode="External"/><Relationship Id="rId20" Type="http://schemas.openxmlformats.org/officeDocument/2006/relationships/hyperlink" Target="http://www.ukas.com/about-accreditation/accredited-bodies/certification-body-schedules-ISMS.as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asme.co.uk/index.php/cyberessentialsprofile" TargetMode="External"/><Relationship Id="rId10" Type="http://schemas.openxmlformats.org/officeDocument/2006/relationships/webSettings" Target="webSettings.xml"/><Relationship Id="rId19" Type="http://schemas.openxmlformats.org/officeDocument/2006/relationships/hyperlink" Target="http://www.ukas.com/about-accreditation/accredited-bod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yberstreetwise.com/cyberessenti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4</Value>
      <Value>3</Value>
      <Value>2</Value>
    </TaxCatchAll>
    <IWPSubjectTaxHTField0 xmlns="485a4600-21bf-404d-bb84-8b204e1f3801">
      <Terms xmlns="http://schemas.microsoft.com/office/infopath/2007/PartnerControls"/>
    </IWPSubjectTaxHTField0>
    <IWPContributor xmlns="485a4600-21bf-404d-bb84-8b204e1f3801">
      <UserInfo>
        <DisplayName/>
        <AccountId xsi:nil="true"/>
        <AccountType/>
      </UserInfo>
    </IWPContributor>
    <IWPOrganisationalUnit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SiteTypeTaxHTField0 xmlns="485a4600-21bf-404d-bb84-8b204e1f3801">
      <Terms xmlns="http://schemas.microsoft.com/office/infopath/2007/PartnerControls"/>
    </IWPSiteTypeTaxHTField0>
    <IWPRightsProtectiveMarkingTaxHTField0 xmlns="485a4600-21bf-404d-bb84-8b204e1f38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485a4600-21bf-404d-bb84-8b204e1f3801">
      <Terms xmlns="http://schemas.microsoft.com/office/infopath/2007/PartnerControls"/>
    </IWPFunctionTaxHTField0>
    <Comments xmlns="http://schemas.microsoft.com/sharepoint/v3" xsi:nil="true"/>
    <IWPOwnerTaxHTField0 xmlns="485a4600-21bf-404d-bb84-8b204e1f3801">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_dlc_DocId xmlns="b8cb3cbd-ce5c-4a72-9da4-9013f91c5903">CFHK7WYKQ5Z3-12-15724</_dlc_DocId>
    <_dlc_DocIdUrl xmlns="b8cb3cbd-ce5c-4a72-9da4-9013f91c5903">
      <Url>http://workplaces/sites/sg/f/_layouts/DocIdRedir.aspx?ID=CFHK7WYKQ5Z3-12-15724</Url>
      <Description>CFHK7WYKQ5Z3-12-15724</Description>
    </_dlc_DocIdUrl>
  </documentManagement>
</p:propertie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2E244A168069294DADE2176FF50001A7" ma:contentTypeVersion="9" ma:contentTypeDescription="Relates to a contract with an external organisation, and Records retained for 10 years." ma:contentTypeScope="" ma:versionID="a857f85d0b7a0fb703f447a687e37ea1">
  <xsd:schema xmlns:xsd="http://www.w3.org/2001/XMLSchema" xmlns:xs="http://www.w3.org/2001/XMLSchema" xmlns:p="http://schemas.microsoft.com/office/2006/metadata/properties" xmlns:ns1="http://schemas.microsoft.com/sharepoint/v3" xmlns:ns2="b8cb3cbd-ce5c-4a72-9da4-9013f91c5903" xmlns:ns3="485a4600-21bf-404d-bb84-8b204e1f3801" targetNamespace="http://schemas.microsoft.com/office/2006/metadata/properties" ma:root="true" ma:fieldsID="9fb362e6cb54a62fbc8cbee928dad411" ns1:_="" ns2:_="" ns3:_="">
    <xsd:import namespace="http://schemas.microsoft.com/sharepoint/v3"/>
    <xsd:import namespace="b8cb3cbd-ce5c-4a72-9da4-9013f91c5903"/>
    <xsd:import namespace="485a4600-21bf-404d-bb84-8b204e1f3801"/>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a131f9-8c8b-490e-a055-ffd7b05c0de0}" ma:internalName="TaxCatchAll" ma:showField="CatchAllData" ma:web="485a4600-21bf-404d-bb84-8b204e1f380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a131f9-8c8b-490e-a055-ffd7b05c0de0}" ma:internalName="TaxCatchAllLabel" ma:readOnly="true" ma:showField="CatchAllDataLabel" ma:web="485a4600-21bf-404d-bb84-8b204e1f38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5a4600-21bf-404d-bb84-8b204e1f3801"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1;#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61CBF-C969-4CF0-9739-1072C3448815}">
  <ds:schemaRefs>
    <ds:schemaRef ds:uri="http://schemas.microsoft.com/sharepoint/v3/contenttype/forms"/>
  </ds:schemaRefs>
</ds:datastoreItem>
</file>

<file path=customXml/itemProps2.xml><?xml version="1.0" encoding="utf-8"?>
<ds:datastoreItem xmlns:ds="http://schemas.openxmlformats.org/officeDocument/2006/customXml" ds:itemID="{979A6EC7-7AF4-4E0B-8FF5-E3B365FCEF73}">
  <ds:schemaRefs>
    <ds:schemaRef ds:uri="http://schemas.microsoft.com/sharepoint/events"/>
  </ds:schemaRefs>
</ds:datastoreItem>
</file>

<file path=customXml/itemProps3.xml><?xml version="1.0" encoding="utf-8"?>
<ds:datastoreItem xmlns:ds="http://schemas.openxmlformats.org/officeDocument/2006/customXml" ds:itemID="{30383252-7CAA-45A7-AFB4-B364C6FBF01B}">
  <ds:schemaRefs>
    <ds:schemaRef ds:uri="http://schemas.microsoft.com/office/2006/metadata/properties"/>
    <ds:schemaRef ds:uri="http://schemas.microsoft.com/office/infopath/2007/PartnerControls"/>
    <ds:schemaRef ds:uri="b8cb3cbd-ce5c-4a72-9da4-9013f91c5903"/>
    <ds:schemaRef ds:uri="485a4600-21bf-404d-bb84-8b204e1f3801"/>
    <ds:schemaRef ds:uri="http://schemas.microsoft.com/sharepoint/v3"/>
  </ds:schemaRefs>
</ds:datastoreItem>
</file>

<file path=customXml/itemProps4.xml><?xml version="1.0" encoding="utf-8"?>
<ds:datastoreItem xmlns:ds="http://schemas.openxmlformats.org/officeDocument/2006/customXml" ds:itemID="{3A9B61D5-39C3-4807-AE84-5471435245DF}">
  <ds:schemaRefs>
    <ds:schemaRef ds:uri="Microsoft.SharePoint.Taxonomy.ContentTypeSync"/>
  </ds:schemaRefs>
</ds:datastoreItem>
</file>

<file path=customXml/itemProps5.xml><?xml version="1.0" encoding="utf-8"?>
<ds:datastoreItem xmlns:ds="http://schemas.openxmlformats.org/officeDocument/2006/customXml" ds:itemID="{6142CB67-4BFE-435E-A9DD-9126F8462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485a4600-21bf-404d-bb84-8b204e1f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DCF098C8</Template>
  <TotalTime>3</TotalTime>
  <Pages>1</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questions</vt:lpstr>
    </vt:vector>
  </TitlesOfParts>
  <Company/>
  <LinksUpToDate>false</LinksUpToDate>
  <CharactersWithSpaces>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creator>LATHAM, Siobhan</dc:creator>
  <cp:lastModifiedBy>RICHMOND, Matthew</cp:lastModifiedBy>
  <cp:revision>2</cp:revision>
  <dcterms:created xsi:type="dcterms:W3CDTF">2015-11-13T11:46:00Z</dcterms:created>
  <dcterms:modified xsi:type="dcterms:W3CDTF">2015-11-13T11:46:00Z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0x0101007F645D6FBA204A029FECB8BFC6578C39005279853530254253B886E13194843F8A003AA4A7828D8545A79A93568017812352002E244A168069294DADE2176FF50001A7</vt:lpwstr>
  </property>
  <property fmtid="{D5CDD505-2E9C-101B-9397-08002B2CF9AE}" pid="3" name="_dlc_DocIdItemGuid">
    <vt:lpwstr>7db75029-2de5-42c5-8b89-046345e5d8c3</vt:lpwstr>
  </property>
  <property fmtid="{D5CDD505-2E9C-101B-9397-08002B2CF9AE}" pid="4" name="IWPOrganisationalUnit">
    <vt:lpwstr>4;#DfE|cc08a6d4-dfde-4d0f-bd85-069ebcef80d5</vt:lpwstr>
  </property>
  <property fmtid="{D5CDD505-2E9C-101B-9397-08002B2CF9AE}" pid="5" name="IWPOwner">
    <vt:lpwstr>2;#DfE|a484111e-5b24-4ad9-9778-c536c8c88985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3;#Official|0884c477-2e62-47ea-b19c-5af6e91124c5</vt:lpwstr>
  </property>
</Properties>
</file>