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27C" w:rsidRPr="00177CB4" w:rsidRDefault="00977518" w:rsidP="00177CB4">
      <w:pPr>
        <w:spacing w:line="360" w:lineRule="auto"/>
        <w:jc w:val="center"/>
        <w:rPr>
          <w:b/>
        </w:rPr>
      </w:pPr>
      <w:bookmarkStart w:id="0" w:name="_GoBack"/>
      <w:bookmarkEnd w:id="0"/>
      <w:r>
        <w:rPr>
          <w:b/>
        </w:rPr>
        <w:t>Hybrid Heat Pumps project</w:t>
      </w:r>
    </w:p>
    <w:p w:rsidR="004C3524" w:rsidRDefault="004C3524" w:rsidP="00177CB4">
      <w:pPr>
        <w:spacing w:line="360" w:lineRule="auto"/>
        <w:jc w:val="center"/>
        <w:rPr>
          <w:i/>
        </w:rPr>
      </w:pPr>
      <w:r w:rsidRPr="00177CB4">
        <w:rPr>
          <w:i/>
        </w:rPr>
        <w:t>Questions and answers</w:t>
      </w:r>
    </w:p>
    <w:p w:rsidR="00177CB4" w:rsidRPr="00177CB4" w:rsidRDefault="00177CB4" w:rsidP="00177CB4">
      <w:pPr>
        <w:spacing w:line="360" w:lineRule="auto"/>
        <w:jc w:val="center"/>
        <w:rPr>
          <w:i/>
        </w:rPr>
      </w:pPr>
    </w:p>
    <w:tbl>
      <w:tblPr>
        <w:tblStyle w:val="TableGrid"/>
        <w:tblW w:w="0" w:type="auto"/>
        <w:tblLook w:val="04A0" w:firstRow="1" w:lastRow="0" w:firstColumn="1" w:lastColumn="0" w:noHBand="0" w:noVBand="1"/>
      </w:tblPr>
      <w:tblGrid>
        <w:gridCol w:w="737"/>
        <w:gridCol w:w="8505"/>
      </w:tblGrid>
      <w:tr w:rsidR="005E6EF0" w:rsidRPr="003261C4" w:rsidTr="00CB5D5A">
        <w:tc>
          <w:tcPr>
            <w:tcW w:w="737" w:type="dxa"/>
            <w:shd w:val="clear" w:color="auto" w:fill="BFBFBF" w:themeFill="background1" w:themeFillShade="BF"/>
          </w:tcPr>
          <w:p w:rsidR="005E6EF0" w:rsidRPr="003261C4" w:rsidRDefault="00381DAF" w:rsidP="00FC0B88">
            <w:pPr>
              <w:spacing w:line="360" w:lineRule="auto"/>
              <w:rPr>
                <w:b/>
              </w:rPr>
            </w:pPr>
            <w:r w:rsidRPr="003261C4">
              <w:rPr>
                <w:b/>
              </w:rPr>
              <w:t xml:space="preserve">Q1.  </w:t>
            </w:r>
          </w:p>
        </w:tc>
        <w:tc>
          <w:tcPr>
            <w:tcW w:w="8505" w:type="dxa"/>
          </w:tcPr>
          <w:p w:rsidR="005E6EF0" w:rsidRPr="003261C4" w:rsidRDefault="002C72D3" w:rsidP="00FC0B88">
            <w:pPr>
              <w:spacing w:line="360" w:lineRule="auto"/>
            </w:pPr>
            <w:r w:rsidRPr="002C72D3">
              <w:t>Would the successful contractor be permitted to publish outputs (most likely academic paper(s)) based on the work?</w:t>
            </w:r>
          </w:p>
        </w:tc>
      </w:tr>
      <w:tr w:rsidR="005E6EF0" w:rsidRPr="003261C4" w:rsidTr="00CB5D5A">
        <w:tc>
          <w:tcPr>
            <w:tcW w:w="737" w:type="dxa"/>
            <w:shd w:val="clear" w:color="auto" w:fill="BFBFBF" w:themeFill="background1" w:themeFillShade="BF"/>
          </w:tcPr>
          <w:p w:rsidR="00381DAF" w:rsidRPr="003261C4" w:rsidRDefault="00381DAF" w:rsidP="00FC0B88">
            <w:pPr>
              <w:spacing w:line="360" w:lineRule="auto"/>
              <w:rPr>
                <w:b/>
              </w:rPr>
            </w:pPr>
            <w:r w:rsidRPr="003261C4">
              <w:rPr>
                <w:b/>
              </w:rPr>
              <w:t xml:space="preserve">A1. </w:t>
            </w:r>
          </w:p>
        </w:tc>
        <w:tc>
          <w:tcPr>
            <w:tcW w:w="8505" w:type="dxa"/>
          </w:tcPr>
          <w:p w:rsidR="008637DD" w:rsidRDefault="008637DD" w:rsidP="008637DD">
            <w:pPr>
              <w:spacing w:line="360" w:lineRule="auto"/>
            </w:pPr>
            <w:r>
              <w:t xml:space="preserve">BEIS is committed to protecting any commercially sensitive information that may be relied on in the process of writing of and/or be included in the final report and any other outputs of the Hybrids Heat Pumps project. As such our terms and conditions do not allow for appointed contractors to publish outputs of any contracted work including for academic purposes. We understand however, that as a university you may wish to document your work for us for teaching purposes or a submission to the Government Research Excellency Framework (REF). We can therefore suggest that </w:t>
            </w:r>
            <w:proofErr w:type="gramStart"/>
            <w:r>
              <w:t>a restricted summaries</w:t>
            </w:r>
            <w:proofErr w:type="gramEnd"/>
            <w:r>
              <w:t xml:space="preserve"> of publications may be submitted by you as part of the REF process. If you are happy with this arrangement in the event of successful bid BEIS could amend their standard terms and conditions to include the following:</w:t>
            </w:r>
          </w:p>
          <w:p w:rsidR="008637DD" w:rsidRDefault="008637DD" w:rsidP="008637DD">
            <w:pPr>
              <w:spacing w:line="360" w:lineRule="auto"/>
            </w:pPr>
          </w:p>
          <w:p w:rsidR="005E6EF0" w:rsidRPr="008637DD" w:rsidRDefault="008637DD" w:rsidP="008637DD">
            <w:pPr>
              <w:spacing w:line="360" w:lineRule="auto"/>
              <w:rPr>
                <w:i/>
              </w:rPr>
            </w:pPr>
            <w:r w:rsidRPr="008637DD">
              <w:rPr>
                <w:i/>
              </w:rPr>
              <w:t>“</w:t>
            </w:r>
            <w:proofErr w:type="gramStart"/>
            <w:r w:rsidRPr="008637DD">
              <w:rPr>
                <w:i/>
              </w:rPr>
              <w:t>the</w:t>
            </w:r>
            <w:proofErr w:type="gramEnd"/>
            <w:r w:rsidRPr="008637DD">
              <w:rPr>
                <w:i/>
              </w:rPr>
              <w:t xml:space="preserve"> Client recognises that in accordance with any academic appointment held by the Consultants, the Consultant may  wish to submit summaries of publications containing non-specific project information for assessment under the U.K. Government’s Research Excellence Framework (“REF”).  The Client agrees that such summaries may be made available for REF assessment subject to the REF assessor/s being bound by written terms of confidentiality no less onerous than under clause [x] above.”</w:t>
            </w:r>
          </w:p>
        </w:tc>
      </w:tr>
      <w:tr w:rsidR="00CB5D5A" w:rsidRPr="003261C4" w:rsidTr="004D36F6">
        <w:tc>
          <w:tcPr>
            <w:tcW w:w="9242" w:type="dxa"/>
            <w:gridSpan w:val="2"/>
            <w:shd w:val="clear" w:color="auto" w:fill="auto"/>
          </w:tcPr>
          <w:p w:rsidR="00CB5D5A" w:rsidRPr="003261C4" w:rsidRDefault="00CB5D5A" w:rsidP="00FC0B88">
            <w:pPr>
              <w:spacing w:line="360" w:lineRule="auto"/>
            </w:pPr>
          </w:p>
        </w:tc>
      </w:tr>
      <w:tr w:rsidR="005E6EF0" w:rsidRPr="003261C4" w:rsidTr="00CB5D5A">
        <w:tc>
          <w:tcPr>
            <w:tcW w:w="737" w:type="dxa"/>
            <w:shd w:val="clear" w:color="auto" w:fill="BFBFBF" w:themeFill="background1" w:themeFillShade="BF"/>
          </w:tcPr>
          <w:p w:rsidR="00381DAF" w:rsidRPr="003261C4" w:rsidRDefault="00381DAF" w:rsidP="00FC0B88">
            <w:pPr>
              <w:spacing w:line="360" w:lineRule="auto"/>
              <w:rPr>
                <w:b/>
              </w:rPr>
            </w:pPr>
            <w:r w:rsidRPr="003261C4">
              <w:rPr>
                <w:b/>
              </w:rPr>
              <w:t xml:space="preserve">Q2. </w:t>
            </w:r>
          </w:p>
        </w:tc>
        <w:tc>
          <w:tcPr>
            <w:tcW w:w="8505" w:type="dxa"/>
          </w:tcPr>
          <w:p w:rsidR="005E6EF0" w:rsidRPr="003261C4" w:rsidRDefault="00F23E25" w:rsidP="00FC0B88">
            <w:pPr>
              <w:spacing w:line="360" w:lineRule="auto"/>
            </w:pPr>
            <w:r w:rsidRPr="00F23E25">
              <w:t xml:space="preserve">The scope states that all domestic properties are in scope.  Please can you clarify if non-domestic units are also to be included or excluded – for example communal heating schemes (which could include domestic customers), </w:t>
            </w:r>
            <w:r w:rsidRPr="00F23E25">
              <w:lastRenderedPageBreak/>
              <w:t xml:space="preserve">commercial and public sector, industrial?  My current understanding is that it will only be domestic.  </w:t>
            </w:r>
          </w:p>
        </w:tc>
      </w:tr>
      <w:tr w:rsidR="005E6EF0" w:rsidRPr="003261C4" w:rsidTr="00CB5D5A">
        <w:tc>
          <w:tcPr>
            <w:tcW w:w="737" w:type="dxa"/>
            <w:shd w:val="clear" w:color="auto" w:fill="BFBFBF" w:themeFill="background1" w:themeFillShade="BF"/>
          </w:tcPr>
          <w:p w:rsidR="005E6EF0" w:rsidRPr="003261C4" w:rsidRDefault="00381DAF" w:rsidP="00FC0B88">
            <w:pPr>
              <w:spacing w:line="360" w:lineRule="auto"/>
              <w:rPr>
                <w:b/>
              </w:rPr>
            </w:pPr>
            <w:r w:rsidRPr="003261C4">
              <w:rPr>
                <w:b/>
              </w:rPr>
              <w:lastRenderedPageBreak/>
              <w:t xml:space="preserve">A2. </w:t>
            </w:r>
          </w:p>
        </w:tc>
        <w:tc>
          <w:tcPr>
            <w:tcW w:w="8505" w:type="dxa"/>
          </w:tcPr>
          <w:p w:rsidR="005E6EF0" w:rsidRPr="003261C4" w:rsidRDefault="00F23E25" w:rsidP="00FC0B88">
            <w:pPr>
              <w:spacing w:line="360" w:lineRule="auto"/>
            </w:pPr>
            <w:r>
              <w:t xml:space="preserve">Domestic properties </w:t>
            </w:r>
            <w:r w:rsidRPr="00F263C4">
              <w:rPr>
                <w:b/>
              </w:rPr>
              <w:t>only</w:t>
            </w:r>
            <w:r>
              <w:t xml:space="preserve"> are included in the scope of this project. </w:t>
            </w:r>
          </w:p>
        </w:tc>
      </w:tr>
      <w:tr w:rsidR="00CB5D5A" w:rsidRPr="003261C4" w:rsidTr="00290966">
        <w:tc>
          <w:tcPr>
            <w:tcW w:w="9242" w:type="dxa"/>
            <w:gridSpan w:val="2"/>
            <w:shd w:val="clear" w:color="auto" w:fill="auto"/>
          </w:tcPr>
          <w:p w:rsidR="00CB5D5A" w:rsidRPr="003261C4" w:rsidRDefault="00CB5D5A" w:rsidP="00FC0B88">
            <w:pPr>
              <w:spacing w:line="360" w:lineRule="auto"/>
            </w:pPr>
          </w:p>
        </w:tc>
      </w:tr>
      <w:tr w:rsidR="005E6EF0" w:rsidRPr="003261C4" w:rsidTr="00CB5D5A">
        <w:tc>
          <w:tcPr>
            <w:tcW w:w="737" w:type="dxa"/>
            <w:shd w:val="clear" w:color="auto" w:fill="BFBFBF" w:themeFill="background1" w:themeFillShade="BF"/>
          </w:tcPr>
          <w:p w:rsidR="005E6EF0" w:rsidRPr="003261C4" w:rsidRDefault="00381DAF" w:rsidP="00FC0B88">
            <w:pPr>
              <w:spacing w:line="360" w:lineRule="auto"/>
              <w:rPr>
                <w:b/>
              </w:rPr>
            </w:pPr>
            <w:r w:rsidRPr="003261C4">
              <w:rPr>
                <w:b/>
              </w:rPr>
              <w:t xml:space="preserve">Q3. </w:t>
            </w:r>
          </w:p>
        </w:tc>
        <w:tc>
          <w:tcPr>
            <w:tcW w:w="8505" w:type="dxa"/>
          </w:tcPr>
          <w:p w:rsidR="005E6EF0" w:rsidRPr="003261C4" w:rsidRDefault="00F23E25" w:rsidP="00FC0B88">
            <w:pPr>
              <w:spacing w:line="360" w:lineRule="auto"/>
            </w:pPr>
            <w:r w:rsidRPr="00F23E25">
              <w:t xml:space="preserve">Please can you clarify whether the optional fee for the analysis of data </w:t>
            </w:r>
            <w:proofErr w:type="gramStart"/>
            <w:r w:rsidRPr="00F23E25">
              <w:t>from the 185 HHP field trial</w:t>
            </w:r>
            <w:proofErr w:type="gramEnd"/>
            <w:r w:rsidRPr="00F23E25">
              <w:t xml:space="preserve"> should be within the £60k - £80k budget, or in addition to this?  </w:t>
            </w:r>
          </w:p>
        </w:tc>
      </w:tr>
      <w:tr w:rsidR="005E6EF0" w:rsidRPr="003261C4" w:rsidTr="00CB5D5A">
        <w:tc>
          <w:tcPr>
            <w:tcW w:w="737" w:type="dxa"/>
            <w:shd w:val="clear" w:color="auto" w:fill="BFBFBF" w:themeFill="background1" w:themeFillShade="BF"/>
          </w:tcPr>
          <w:p w:rsidR="005E6EF0" w:rsidRPr="003261C4" w:rsidRDefault="00381DAF" w:rsidP="00FC0B88">
            <w:pPr>
              <w:spacing w:line="360" w:lineRule="auto"/>
              <w:rPr>
                <w:b/>
              </w:rPr>
            </w:pPr>
            <w:r w:rsidRPr="003261C4">
              <w:rPr>
                <w:b/>
              </w:rPr>
              <w:t>A3.</w:t>
            </w:r>
          </w:p>
        </w:tc>
        <w:tc>
          <w:tcPr>
            <w:tcW w:w="8505" w:type="dxa"/>
          </w:tcPr>
          <w:p w:rsidR="004777EE" w:rsidRPr="003261C4" w:rsidRDefault="00F23E25" w:rsidP="004B03D5">
            <w:pPr>
              <w:spacing w:line="360" w:lineRule="auto"/>
            </w:pPr>
            <w:r>
              <w:t xml:space="preserve">The </w:t>
            </w:r>
            <w:r w:rsidRPr="00F23E25">
              <w:t>£60k - £80k budget</w:t>
            </w:r>
            <w:r>
              <w:t xml:space="preserve"> should be inclusive of all fees. </w:t>
            </w:r>
          </w:p>
        </w:tc>
      </w:tr>
      <w:tr w:rsidR="00CB5D5A" w:rsidRPr="003261C4" w:rsidTr="00A75CEE">
        <w:tc>
          <w:tcPr>
            <w:tcW w:w="9242" w:type="dxa"/>
            <w:gridSpan w:val="2"/>
            <w:shd w:val="clear" w:color="auto" w:fill="auto"/>
          </w:tcPr>
          <w:p w:rsidR="00CB5D5A" w:rsidRPr="003261C4" w:rsidRDefault="00CB5D5A" w:rsidP="00FC0B88">
            <w:pPr>
              <w:spacing w:line="360" w:lineRule="auto"/>
            </w:pPr>
          </w:p>
        </w:tc>
      </w:tr>
      <w:tr w:rsidR="00381DAF" w:rsidRPr="003261C4" w:rsidTr="00CB5D5A">
        <w:tc>
          <w:tcPr>
            <w:tcW w:w="737" w:type="dxa"/>
            <w:shd w:val="clear" w:color="auto" w:fill="BFBFBF" w:themeFill="background1" w:themeFillShade="BF"/>
          </w:tcPr>
          <w:p w:rsidR="00381DAF" w:rsidRPr="003261C4" w:rsidRDefault="00381DAF" w:rsidP="00FC0B88">
            <w:pPr>
              <w:spacing w:line="360" w:lineRule="auto"/>
              <w:rPr>
                <w:b/>
              </w:rPr>
            </w:pPr>
            <w:r w:rsidRPr="003261C4">
              <w:rPr>
                <w:b/>
              </w:rPr>
              <w:t xml:space="preserve">Q4. </w:t>
            </w:r>
          </w:p>
        </w:tc>
        <w:tc>
          <w:tcPr>
            <w:tcW w:w="8505" w:type="dxa"/>
          </w:tcPr>
          <w:p w:rsidR="00381DAF" w:rsidRPr="003261C4" w:rsidRDefault="00F23E25" w:rsidP="00FC0B88">
            <w:pPr>
              <w:spacing w:line="360" w:lineRule="auto"/>
            </w:pPr>
            <w:r w:rsidRPr="00F23E25">
              <w:t xml:space="preserve">Do you have a view on the likelihood of data being available from the Manchester trial within the timescales of this study?  For example, 20%, 50%, 80%?  </w:t>
            </w:r>
          </w:p>
        </w:tc>
      </w:tr>
      <w:tr w:rsidR="00381DAF" w:rsidRPr="003261C4" w:rsidTr="00CB5D5A">
        <w:tc>
          <w:tcPr>
            <w:tcW w:w="737" w:type="dxa"/>
            <w:shd w:val="clear" w:color="auto" w:fill="BFBFBF" w:themeFill="background1" w:themeFillShade="BF"/>
          </w:tcPr>
          <w:p w:rsidR="00381DAF" w:rsidRPr="003261C4" w:rsidRDefault="00381DAF" w:rsidP="00FC0B88">
            <w:pPr>
              <w:spacing w:line="360" w:lineRule="auto"/>
              <w:rPr>
                <w:b/>
              </w:rPr>
            </w:pPr>
            <w:r w:rsidRPr="003261C4">
              <w:rPr>
                <w:b/>
              </w:rPr>
              <w:t xml:space="preserve">A4. </w:t>
            </w:r>
          </w:p>
        </w:tc>
        <w:tc>
          <w:tcPr>
            <w:tcW w:w="8505" w:type="dxa"/>
          </w:tcPr>
          <w:p w:rsidR="00381DAF" w:rsidRPr="00F23E25" w:rsidRDefault="00F23E25" w:rsidP="00F23E25">
            <w:pPr>
              <w:spacing w:after="200" w:line="360" w:lineRule="auto"/>
              <w:contextualSpacing/>
            </w:pPr>
            <w:r>
              <w:t xml:space="preserve">The likelihood is high, 80%-90%. </w:t>
            </w:r>
          </w:p>
        </w:tc>
      </w:tr>
      <w:tr w:rsidR="00CB5D5A" w:rsidRPr="003261C4" w:rsidTr="009C692F">
        <w:tc>
          <w:tcPr>
            <w:tcW w:w="9242" w:type="dxa"/>
            <w:gridSpan w:val="2"/>
            <w:shd w:val="clear" w:color="auto" w:fill="auto"/>
          </w:tcPr>
          <w:p w:rsidR="00CB5D5A" w:rsidRPr="003261C4" w:rsidRDefault="00CB5D5A" w:rsidP="00FC0B88">
            <w:pPr>
              <w:spacing w:line="360" w:lineRule="auto"/>
            </w:pPr>
          </w:p>
        </w:tc>
      </w:tr>
      <w:tr w:rsidR="00381DAF" w:rsidRPr="003261C4" w:rsidTr="00CB5D5A">
        <w:tc>
          <w:tcPr>
            <w:tcW w:w="737" w:type="dxa"/>
            <w:shd w:val="clear" w:color="auto" w:fill="BFBFBF" w:themeFill="background1" w:themeFillShade="BF"/>
          </w:tcPr>
          <w:p w:rsidR="00381DAF" w:rsidRPr="003261C4" w:rsidRDefault="00E07186" w:rsidP="00FC0B88">
            <w:pPr>
              <w:spacing w:line="360" w:lineRule="auto"/>
              <w:rPr>
                <w:b/>
              </w:rPr>
            </w:pPr>
            <w:r w:rsidRPr="003261C4">
              <w:rPr>
                <w:b/>
              </w:rPr>
              <w:t>Q5.</w:t>
            </w:r>
          </w:p>
        </w:tc>
        <w:tc>
          <w:tcPr>
            <w:tcW w:w="8505" w:type="dxa"/>
          </w:tcPr>
          <w:p w:rsidR="00381DAF" w:rsidRPr="003261C4" w:rsidRDefault="005929A7" w:rsidP="00FC0B88">
            <w:pPr>
              <w:spacing w:line="360" w:lineRule="auto"/>
            </w:pPr>
            <w:r>
              <w:t xml:space="preserve">[Re clause </w:t>
            </w:r>
            <w:r w:rsidR="00F23E25" w:rsidRPr="00F23E25">
              <w:t>15.5. Time of the essence.</w:t>
            </w:r>
            <w:r>
              <w:t>]</w:t>
            </w:r>
            <w:r w:rsidR="00F23E25" w:rsidRPr="00F23E25">
              <w:t xml:space="preserve">  We understand the programme requirements for this work, but we believe a “time is of the essence” clause is onerous given the research nature of the work.</w:t>
            </w:r>
          </w:p>
        </w:tc>
      </w:tr>
      <w:tr w:rsidR="00381DAF" w:rsidRPr="003261C4" w:rsidTr="00CB5D5A">
        <w:tc>
          <w:tcPr>
            <w:tcW w:w="737" w:type="dxa"/>
            <w:shd w:val="clear" w:color="auto" w:fill="BFBFBF" w:themeFill="background1" w:themeFillShade="BF"/>
          </w:tcPr>
          <w:p w:rsidR="00381DAF" w:rsidRPr="003261C4" w:rsidRDefault="00E07186" w:rsidP="00FC0B88">
            <w:pPr>
              <w:spacing w:line="360" w:lineRule="auto"/>
              <w:rPr>
                <w:b/>
              </w:rPr>
            </w:pPr>
            <w:r w:rsidRPr="003261C4">
              <w:rPr>
                <w:b/>
              </w:rPr>
              <w:t>A5.</w:t>
            </w:r>
          </w:p>
        </w:tc>
        <w:tc>
          <w:tcPr>
            <w:tcW w:w="8505" w:type="dxa"/>
          </w:tcPr>
          <w:p w:rsidR="00381DAF" w:rsidRPr="003261C4" w:rsidRDefault="00380093" w:rsidP="00FC0B88">
            <w:pPr>
              <w:spacing w:line="360" w:lineRule="auto"/>
            </w:pPr>
            <w:r>
              <w:t xml:space="preserve">This clause may not be removed; </w:t>
            </w:r>
            <w:r w:rsidRPr="00380093">
              <w:t>the contract should be delivered in line with the timescales set out in the contract.</w:t>
            </w:r>
          </w:p>
        </w:tc>
      </w:tr>
      <w:tr w:rsidR="00CB5D5A" w:rsidRPr="003261C4" w:rsidTr="00116F09">
        <w:tc>
          <w:tcPr>
            <w:tcW w:w="9242" w:type="dxa"/>
            <w:gridSpan w:val="2"/>
            <w:shd w:val="clear" w:color="auto" w:fill="auto"/>
          </w:tcPr>
          <w:p w:rsidR="00CB5D5A" w:rsidRPr="003261C4" w:rsidRDefault="00CB5D5A" w:rsidP="00FC0B88">
            <w:pPr>
              <w:spacing w:line="360" w:lineRule="auto"/>
            </w:pPr>
          </w:p>
        </w:tc>
      </w:tr>
      <w:tr w:rsidR="00381DAF" w:rsidRPr="003261C4" w:rsidTr="00CB5D5A">
        <w:tc>
          <w:tcPr>
            <w:tcW w:w="737" w:type="dxa"/>
            <w:shd w:val="clear" w:color="auto" w:fill="BFBFBF" w:themeFill="background1" w:themeFillShade="BF"/>
          </w:tcPr>
          <w:p w:rsidR="00381DAF" w:rsidRPr="003261C4" w:rsidRDefault="00E07186" w:rsidP="00FC0B88">
            <w:pPr>
              <w:spacing w:line="360" w:lineRule="auto"/>
              <w:rPr>
                <w:b/>
              </w:rPr>
            </w:pPr>
            <w:r w:rsidRPr="003261C4">
              <w:rPr>
                <w:b/>
              </w:rPr>
              <w:t>Q6.</w:t>
            </w:r>
          </w:p>
        </w:tc>
        <w:tc>
          <w:tcPr>
            <w:tcW w:w="8505" w:type="dxa"/>
          </w:tcPr>
          <w:p w:rsidR="00381DAF" w:rsidRPr="003261C4" w:rsidRDefault="005929A7" w:rsidP="00FC0B88">
            <w:pPr>
              <w:spacing w:line="360" w:lineRule="auto"/>
            </w:pPr>
            <w:r>
              <w:t xml:space="preserve">[Re clause </w:t>
            </w:r>
            <w:r w:rsidR="00F23E25" w:rsidRPr="00F23E25">
              <w:t>18.1 and 18.2.</w:t>
            </w:r>
            <w:r>
              <w:t>]</w:t>
            </w:r>
            <w:r w:rsidR="00F23E25" w:rsidRPr="00F23E25">
              <w:t xml:space="preserve">  These include indirect losses.  We are unable to accept these losses since we have no control over how the material may be used once published</w:t>
            </w:r>
            <w:r w:rsidR="00380093">
              <w:t>.</w:t>
            </w:r>
          </w:p>
        </w:tc>
      </w:tr>
      <w:tr w:rsidR="00381DAF" w:rsidRPr="003261C4" w:rsidTr="00CB5D5A">
        <w:tc>
          <w:tcPr>
            <w:tcW w:w="737" w:type="dxa"/>
            <w:shd w:val="clear" w:color="auto" w:fill="BFBFBF" w:themeFill="background1" w:themeFillShade="BF"/>
          </w:tcPr>
          <w:p w:rsidR="00381DAF" w:rsidRPr="003261C4" w:rsidRDefault="00E07186" w:rsidP="00FC0B88">
            <w:pPr>
              <w:spacing w:line="360" w:lineRule="auto"/>
              <w:rPr>
                <w:b/>
              </w:rPr>
            </w:pPr>
            <w:r w:rsidRPr="003261C4">
              <w:rPr>
                <w:b/>
              </w:rPr>
              <w:t>A6.</w:t>
            </w:r>
          </w:p>
        </w:tc>
        <w:tc>
          <w:tcPr>
            <w:tcW w:w="8505" w:type="dxa"/>
          </w:tcPr>
          <w:p w:rsidR="00381DAF" w:rsidRPr="003261C4" w:rsidRDefault="00BA609A" w:rsidP="00491DD0">
            <w:pPr>
              <w:spacing w:line="360" w:lineRule="auto"/>
            </w:pPr>
            <w:r w:rsidRPr="00BA609A">
              <w:t>We don't feel that this should be amended as it represents the importance that the Department places on delivering to the timeline and quality specified. The clause also serves as a protection against future claims against the Department resulting from the inaccuracy of the outputs of this project. The Department, however, is committed not to undertake frivolous action under this, or other, clauses</w:t>
            </w:r>
            <w:r>
              <w:t xml:space="preserve">. </w:t>
            </w:r>
          </w:p>
        </w:tc>
      </w:tr>
      <w:tr w:rsidR="00CB5D5A" w:rsidRPr="003261C4" w:rsidTr="002A231B">
        <w:tc>
          <w:tcPr>
            <w:tcW w:w="9242" w:type="dxa"/>
            <w:gridSpan w:val="2"/>
            <w:shd w:val="clear" w:color="auto" w:fill="auto"/>
          </w:tcPr>
          <w:p w:rsidR="00CB5D5A" w:rsidRPr="003261C4" w:rsidRDefault="00CB5D5A" w:rsidP="00FC0B88">
            <w:pPr>
              <w:spacing w:line="360" w:lineRule="auto"/>
            </w:pPr>
          </w:p>
        </w:tc>
      </w:tr>
      <w:tr w:rsidR="00381DAF" w:rsidRPr="003261C4" w:rsidTr="00CB5D5A">
        <w:tc>
          <w:tcPr>
            <w:tcW w:w="737" w:type="dxa"/>
            <w:shd w:val="clear" w:color="auto" w:fill="BFBFBF" w:themeFill="background1" w:themeFillShade="BF"/>
          </w:tcPr>
          <w:p w:rsidR="00381DAF" w:rsidRPr="003261C4" w:rsidRDefault="00E07186" w:rsidP="00FC0B88">
            <w:pPr>
              <w:spacing w:line="360" w:lineRule="auto"/>
              <w:rPr>
                <w:b/>
              </w:rPr>
            </w:pPr>
            <w:r w:rsidRPr="003261C4">
              <w:rPr>
                <w:b/>
              </w:rPr>
              <w:t>Q7.</w:t>
            </w:r>
          </w:p>
        </w:tc>
        <w:tc>
          <w:tcPr>
            <w:tcW w:w="8505" w:type="dxa"/>
          </w:tcPr>
          <w:p w:rsidR="00381DAF" w:rsidRPr="003261C4" w:rsidRDefault="005929A7" w:rsidP="002058B3">
            <w:pPr>
              <w:spacing w:line="360" w:lineRule="auto"/>
            </w:pPr>
            <w:r>
              <w:t xml:space="preserve">[Re clause </w:t>
            </w:r>
            <w:r w:rsidR="00380093" w:rsidRPr="00380093">
              <w:t>18.7.</w:t>
            </w:r>
            <w:r>
              <w:t>]</w:t>
            </w:r>
            <w:r w:rsidR="00380093" w:rsidRPr="00380093">
              <w:t xml:space="preserve"> Please can the liability be in the aggregate.  We also feel that a £4m liability is excessive for a project of this size – can it be limited to twice the project value?  </w:t>
            </w:r>
          </w:p>
        </w:tc>
      </w:tr>
      <w:tr w:rsidR="00381DAF" w:rsidRPr="003261C4" w:rsidTr="00CB5D5A">
        <w:tc>
          <w:tcPr>
            <w:tcW w:w="737" w:type="dxa"/>
            <w:shd w:val="clear" w:color="auto" w:fill="BFBFBF" w:themeFill="background1" w:themeFillShade="BF"/>
          </w:tcPr>
          <w:p w:rsidR="00381DAF" w:rsidRPr="003261C4" w:rsidRDefault="00E07186" w:rsidP="00FC0B88">
            <w:pPr>
              <w:spacing w:line="360" w:lineRule="auto"/>
              <w:rPr>
                <w:b/>
              </w:rPr>
            </w:pPr>
            <w:r w:rsidRPr="003261C4">
              <w:rPr>
                <w:b/>
              </w:rPr>
              <w:t>A7.</w:t>
            </w:r>
          </w:p>
        </w:tc>
        <w:tc>
          <w:tcPr>
            <w:tcW w:w="8505" w:type="dxa"/>
          </w:tcPr>
          <w:p w:rsidR="00381DAF" w:rsidRPr="003261C4" w:rsidRDefault="002831CF" w:rsidP="00D9748F">
            <w:pPr>
              <w:spacing w:line="360" w:lineRule="auto"/>
            </w:pPr>
            <w:r w:rsidRPr="002831CF">
              <w:t>We are willing to reduce liability to £1 million.</w:t>
            </w:r>
          </w:p>
        </w:tc>
      </w:tr>
      <w:tr w:rsidR="00CB5D5A" w:rsidRPr="003261C4" w:rsidTr="00DE616D">
        <w:tc>
          <w:tcPr>
            <w:tcW w:w="9242" w:type="dxa"/>
            <w:gridSpan w:val="2"/>
            <w:shd w:val="clear" w:color="auto" w:fill="auto"/>
          </w:tcPr>
          <w:p w:rsidR="00CB5D5A" w:rsidRPr="003261C4" w:rsidRDefault="00CB5D5A" w:rsidP="00FC0B88">
            <w:pPr>
              <w:spacing w:line="360" w:lineRule="auto"/>
            </w:pPr>
          </w:p>
        </w:tc>
      </w:tr>
      <w:tr w:rsidR="00381DAF" w:rsidRPr="003261C4" w:rsidTr="00CB5D5A">
        <w:tc>
          <w:tcPr>
            <w:tcW w:w="737" w:type="dxa"/>
            <w:shd w:val="clear" w:color="auto" w:fill="BFBFBF" w:themeFill="background1" w:themeFillShade="BF"/>
          </w:tcPr>
          <w:p w:rsidR="00381DAF" w:rsidRPr="003261C4" w:rsidRDefault="00E07186" w:rsidP="00FC0B88">
            <w:pPr>
              <w:spacing w:line="360" w:lineRule="auto"/>
              <w:rPr>
                <w:b/>
              </w:rPr>
            </w:pPr>
            <w:r w:rsidRPr="003261C4">
              <w:rPr>
                <w:b/>
              </w:rPr>
              <w:t>Q8.</w:t>
            </w:r>
          </w:p>
        </w:tc>
        <w:tc>
          <w:tcPr>
            <w:tcW w:w="8505" w:type="dxa"/>
          </w:tcPr>
          <w:p w:rsidR="00381DAF" w:rsidRPr="003261C4" w:rsidRDefault="005929A7" w:rsidP="00FC0B88">
            <w:pPr>
              <w:spacing w:line="360" w:lineRule="auto"/>
            </w:pPr>
            <w:r>
              <w:t>[Re clause 27]</w:t>
            </w:r>
            <w:r w:rsidR="00380093" w:rsidRPr="00380093">
              <w:t xml:space="preserve"> We would like to propose a granting BEIS a royalty free licence rather than full IP.</w:t>
            </w:r>
          </w:p>
        </w:tc>
      </w:tr>
      <w:tr w:rsidR="00381DAF" w:rsidRPr="003261C4" w:rsidTr="00CB5D5A">
        <w:tc>
          <w:tcPr>
            <w:tcW w:w="737" w:type="dxa"/>
            <w:shd w:val="clear" w:color="auto" w:fill="BFBFBF" w:themeFill="background1" w:themeFillShade="BF"/>
          </w:tcPr>
          <w:p w:rsidR="00381DAF" w:rsidRPr="001B3C66" w:rsidRDefault="00E07186" w:rsidP="00FC0B88">
            <w:pPr>
              <w:spacing w:line="360" w:lineRule="auto"/>
              <w:rPr>
                <w:b/>
              </w:rPr>
            </w:pPr>
            <w:r w:rsidRPr="001B3C66">
              <w:rPr>
                <w:b/>
              </w:rPr>
              <w:t>A8.</w:t>
            </w:r>
          </w:p>
        </w:tc>
        <w:tc>
          <w:tcPr>
            <w:tcW w:w="8505" w:type="dxa"/>
          </w:tcPr>
          <w:p w:rsidR="00D310D3" w:rsidRPr="001B3C66" w:rsidRDefault="00D7701B" w:rsidP="00BE7D7C">
            <w:pPr>
              <w:spacing w:line="360" w:lineRule="auto"/>
            </w:pPr>
            <w:r>
              <w:t xml:space="preserve">We are willing to accept royalty free licence. </w:t>
            </w:r>
          </w:p>
        </w:tc>
      </w:tr>
      <w:tr w:rsidR="00CB5D5A" w:rsidRPr="003261C4" w:rsidTr="00ED06BA">
        <w:tc>
          <w:tcPr>
            <w:tcW w:w="9242" w:type="dxa"/>
            <w:gridSpan w:val="2"/>
            <w:shd w:val="clear" w:color="auto" w:fill="auto"/>
          </w:tcPr>
          <w:p w:rsidR="00CB5D5A" w:rsidRPr="003261C4" w:rsidRDefault="00CB5D5A" w:rsidP="00FC0B88">
            <w:pPr>
              <w:spacing w:line="360" w:lineRule="auto"/>
            </w:pPr>
          </w:p>
        </w:tc>
      </w:tr>
      <w:tr w:rsidR="00381DAF" w:rsidRPr="003261C4" w:rsidTr="00CB5D5A">
        <w:tc>
          <w:tcPr>
            <w:tcW w:w="737" w:type="dxa"/>
            <w:shd w:val="clear" w:color="auto" w:fill="BFBFBF" w:themeFill="background1" w:themeFillShade="BF"/>
          </w:tcPr>
          <w:p w:rsidR="00381DAF" w:rsidRPr="003261C4" w:rsidRDefault="00CB5D5A" w:rsidP="00FC0B88">
            <w:pPr>
              <w:spacing w:line="360" w:lineRule="auto"/>
              <w:rPr>
                <w:b/>
              </w:rPr>
            </w:pPr>
            <w:r w:rsidRPr="003261C4">
              <w:rPr>
                <w:b/>
              </w:rPr>
              <w:t>Q9.</w:t>
            </w:r>
          </w:p>
        </w:tc>
        <w:tc>
          <w:tcPr>
            <w:tcW w:w="8505" w:type="dxa"/>
          </w:tcPr>
          <w:p w:rsidR="00381DAF" w:rsidRPr="003261C4" w:rsidRDefault="00C97968" w:rsidP="00FC0B88">
            <w:pPr>
              <w:spacing w:line="360" w:lineRule="auto"/>
            </w:pPr>
            <w:r w:rsidRPr="00C97968">
              <w:t>Can you please clarify your expectations for Q25 in the aims and objectives section (page 11)?</w:t>
            </w:r>
          </w:p>
        </w:tc>
      </w:tr>
      <w:tr w:rsidR="00E07186" w:rsidRPr="003261C4" w:rsidTr="00CB5D5A">
        <w:tc>
          <w:tcPr>
            <w:tcW w:w="737" w:type="dxa"/>
            <w:shd w:val="clear" w:color="auto" w:fill="BFBFBF" w:themeFill="background1" w:themeFillShade="BF"/>
          </w:tcPr>
          <w:p w:rsidR="00E07186" w:rsidRPr="003261C4" w:rsidRDefault="00CB5D5A" w:rsidP="00FC0B88">
            <w:pPr>
              <w:spacing w:line="360" w:lineRule="auto"/>
              <w:rPr>
                <w:b/>
              </w:rPr>
            </w:pPr>
            <w:r w:rsidRPr="003261C4">
              <w:rPr>
                <w:b/>
              </w:rPr>
              <w:t>A9.</w:t>
            </w:r>
          </w:p>
        </w:tc>
        <w:tc>
          <w:tcPr>
            <w:tcW w:w="8505" w:type="dxa"/>
          </w:tcPr>
          <w:p w:rsidR="00F731F1" w:rsidRPr="003261C4" w:rsidRDefault="00C776DC" w:rsidP="00FE18B3">
            <w:pPr>
              <w:spacing w:line="360" w:lineRule="auto"/>
            </w:pPr>
            <w:r w:rsidRPr="00C776DC">
              <w:t>The</w:t>
            </w:r>
            <w:r>
              <w:t xml:space="preserve"> question asks contractor to describe the</w:t>
            </w:r>
            <w:r w:rsidRPr="00C776DC">
              <w:t xml:space="preserve"> extent of the effect (if any) of potential innovation in products, systems and behaviour on load profiles</w:t>
            </w:r>
            <w:r>
              <w:t xml:space="preserve">. The question is </w:t>
            </w:r>
            <w:r w:rsidR="00FE18B3">
              <w:t>deliberately</w:t>
            </w:r>
            <w:r>
              <w:t xml:space="preserve"> open and designed to prompt the </w:t>
            </w:r>
            <w:r w:rsidR="00FE18B3">
              <w:t>contractor</w:t>
            </w:r>
            <w:r>
              <w:t xml:space="preserve"> to think about any other potential innovation that could </w:t>
            </w:r>
            <w:r w:rsidR="00FE18B3">
              <w:t>impact</w:t>
            </w:r>
            <w:r>
              <w:t xml:space="preserve"> the load profiles of hybrid heat pumps but is not specified in questions</w:t>
            </w:r>
            <w:r w:rsidR="00FE18B3">
              <w:t xml:space="preserve"> 22-27. </w:t>
            </w:r>
          </w:p>
        </w:tc>
      </w:tr>
      <w:tr w:rsidR="00CB5D5A" w:rsidRPr="003261C4" w:rsidTr="00335FA7">
        <w:tc>
          <w:tcPr>
            <w:tcW w:w="9242" w:type="dxa"/>
            <w:gridSpan w:val="2"/>
            <w:shd w:val="clear" w:color="auto" w:fill="auto"/>
          </w:tcPr>
          <w:p w:rsidR="00CB5D5A" w:rsidRPr="003261C4" w:rsidRDefault="00CB5D5A" w:rsidP="00FC0B88">
            <w:pPr>
              <w:spacing w:line="360" w:lineRule="auto"/>
            </w:pPr>
          </w:p>
        </w:tc>
      </w:tr>
      <w:tr w:rsidR="00E07186" w:rsidRPr="003261C4" w:rsidTr="00CB5D5A">
        <w:tc>
          <w:tcPr>
            <w:tcW w:w="737" w:type="dxa"/>
            <w:shd w:val="clear" w:color="auto" w:fill="BFBFBF" w:themeFill="background1" w:themeFillShade="BF"/>
          </w:tcPr>
          <w:p w:rsidR="00E07186" w:rsidRPr="003261C4" w:rsidRDefault="00CB5D5A" w:rsidP="00FC0B88">
            <w:pPr>
              <w:spacing w:line="360" w:lineRule="auto"/>
              <w:rPr>
                <w:b/>
              </w:rPr>
            </w:pPr>
            <w:r w:rsidRPr="003261C4">
              <w:rPr>
                <w:b/>
              </w:rPr>
              <w:t>Q10.</w:t>
            </w:r>
          </w:p>
        </w:tc>
        <w:tc>
          <w:tcPr>
            <w:tcW w:w="8505" w:type="dxa"/>
          </w:tcPr>
          <w:p w:rsidR="008865FA" w:rsidRPr="003261C4" w:rsidRDefault="0002061F" w:rsidP="00603695">
            <w:pPr>
              <w:spacing w:line="360" w:lineRule="auto"/>
            </w:pPr>
            <w:r>
              <w:t>Is</w:t>
            </w:r>
            <w:r w:rsidR="00C97968" w:rsidRPr="00C97968">
              <w:t xml:space="preserve"> there any flexibility on the 27 July 2017 deadline?</w:t>
            </w:r>
          </w:p>
        </w:tc>
      </w:tr>
      <w:tr w:rsidR="00E07186" w:rsidRPr="003261C4" w:rsidTr="00CB5D5A">
        <w:tc>
          <w:tcPr>
            <w:tcW w:w="737" w:type="dxa"/>
            <w:shd w:val="clear" w:color="auto" w:fill="BFBFBF" w:themeFill="background1" w:themeFillShade="BF"/>
          </w:tcPr>
          <w:p w:rsidR="00E07186" w:rsidRPr="003261C4" w:rsidRDefault="00CB5D5A" w:rsidP="00FC0B88">
            <w:pPr>
              <w:spacing w:line="360" w:lineRule="auto"/>
              <w:rPr>
                <w:b/>
              </w:rPr>
            </w:pPr>
            <w:r w:rsidRPr="003261C4">
              <w:rPr>
                <w:b/>
              </w:rPr>
              <w:t>A10.</w:t>
            </w:r>
          </w:p>
        </w:tc>
        <w:tc>
          <w:tcPr>
            <w:tcW w:w="8505" w:type="dxa"/>
          </w:tcPr>
          <w:p w:rsidR="00B0394F" w:rsidRPr="003261C4" w:rsidRDefault="0002061F" w:rsidP="0002061F">
            <w:pPr>
              <w:spacing w:line="360" w:lineRule="auto"/>
            </w:pPr>
            <w:r>
              <w:t>There is no flexibility on the 27 July 2017 deadline (other than that specified in section 15 (4) of ‘</w:t>
            </w:r>
            <w:r w:rsidRPr="0002061F">
              <w:t>BEIS Standard Terms &amp; Conditions for Services</w:t>
            </w:r>
            <w:r>
              <w:t xml:space="preserve"> - </w:t>
            </w:r>
            <w:r w:rsidRPr="0002061F">
              <w:t>DPF31</w:t>
            </w:r>
            <w:r>
              <w:t>’)</w:t>
            </w:r>
          </w:p>
        </w:tc>
      </w:tr>
      <w:tr w:rsidR="003261C4" w:rsidRPr="003261C4" w:rsidTr="00567717">
        <w:tc>
          <w:tcPr>
            <w:tcW w:w="9242" w:type="dxa"/>
            <w:gridSpan w:val="2"/>
            <w:shd w:val="clear" w:color="auto" w:fill="auto"/>
          </w:tcPr>
          <w:p w:rsidR="003261C4" w:rsidRPr="003261C4" w:rsidRDefault="003261C4" w:rsidP="00FC0B88">
            <w:pPr>
              <w:spacing w:line="360" w:lineRule="auto"/>
            </w:pPr>
          </w:p>
        </w:tc>
      </w:tr>
    </w:tbl>
    <w:p w:rsidR="00C0689B" w:rsidRPr="003261C4" w:rsidRDefault="00C0689B" w:rsidP="00FC0B88">
      <w:pPr>
        <w:spacing w:line="360" w:lineRule="auto"/>
      </w:pPr>
    </w:p>
    <w:sectPr w:rsidR="00C0689B" w:rsidRPr="003261C4" w:rsidSect="00177CB4">
      <w:headerReference w:type="default" r:id="rId9"/>
      <w:footerReference w:type="default" r:id="rId10"/>
      <w:pgSz w:w="11906" w:h="16838"/>
      <w:pgMar w:top="2835"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044" w:rsidRDefault="00353044" w:rsidP="004C3524">
      <w:pPr>
        <w:spacing w:after="0" w:line="240" w:lineRule="auto"/>
      </w:pPr>
      <w:r>
        <w:separator/>
      </w:r>
    </w:p>
  </w:endnote>
  <w:endnote w:type="continuationSeparator" w:id="0">
    <w:p w:rsidR="00353044" w:rsidRDefault="00353044" w:rsidP="004C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029813"/>
      <w:docPartObj>
        <w:docPartGallery w:val="Page Numbers (Bottom of Page)"/>
        <w:docPartUnique/>
      </w:docPartObj>
    </w:sdtPr>
    <w:sdtEndPr>
      <w:rPr>
        <w:noProof/>
      </w:rPr>
    </w:sdtEndPr>
    <w:sdtContent>
      <w:p w:rsidR="00177CB4" w:rsidRDefault="00177CB4">
        <w:pPr>
          <w:pStyle w:val="Footer"/>
          <w:jc w:val="center"/>
        </w:pPr>
        <w:r>
          <w:fldChar w:fldCharType="begin"/>
        </w:r>
        <w:r>
          <w:instrText xml:space="preserve"> PAGE   \* MERGEFORMAT </w:instrText>
        </w:r>
        <w:r>
          <w:fldChar w:fldCharType="separate"/>
        </w:r>
        <w:r w:rsidR="008228FA">
          <w:rPr>
            <w:noProof/>
          </w:rPr>
          <w:t>1</w:t>
        </w:r>
        <w:r>
          <w:rPr>
            <w:noProof/>
          </w:rPr>
          <w:fldChar w:fldCharType="end"/>
        </w:r>
      </w:p>
    </w:sdtContent>
  </w:sdt>
  <w:p w:rsidR="004C3524" w:rsidRDefault="004C35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044" w:rsidRDefault="00353044" w:rsidP="004C3524">
      <w:pPr>
        <w:spacing w:after="0" w:line="240" w:lineRule="auto"/>
      </w:pPr>
      <w:r>
        <w:separator/>
      </w:r>
    </w:p>
  </w:footnote>
  <w:footnote w:type="continuationSeparator" w:id="0">
    <w:p w:rsidR="00353044" w:rsidRDefault="00353044" w:rsidP="004C3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524" w:rsidRDefault="004C3524" w:rsidP="00177CB4">
    <w:pPr>
      <w:pStyle w:val="Header"/>
      <w:jc w:val="right"/>
    </w:pPr>
    <w:r w:rsidRPr="00EF48A9">
      <w:rPr>
        <w:b/>
        <w:bCs/>
        <w:i/>
        <w:noProof/>
        <w:color w:val="141414"/>
        <w:sz w:val="40"/>
        <w:szCs w:val="44"/>
        <w:lang w:eastAsia="en-GB"/>
      </w:rPr>
      <w:drawing>
        <wp:anchor distT="0" distB="0" distL="114300" distR="114300" simplePos="0" relativeHeight="251659264" behindDoc="1" locked="0" layoutInCell="1" allowOverlap="1" wp14:anchorId="0DEFB76B" wp14:editId="405C4AD4">
          <wp:simplePos x="0" y="0"/>
          <wp:positionH relativeFrom="column">
            <wp:posOffset>-59690</wp:posOffset>
          </wp:positionH>
          <wp:positionV relativeFrom="paragraph">
            <wp:posOffset>243840</wp:posOffset>
          </wp:positionV>
          <wp:extent cx="1676400" cy="890905"/>
          <wp:effectExtent l="0" t="0" r="0" b="4445"/>
          <wp:wrapThrough wrapText="bothSides">
            <wp:wrapPolygon edited="0">
              <wp:start x="0" y="0"/>
              <wp:lineTo x="0" y="21246"/>
              <wp:lineTo x="18655" y="21246"/>
              <wp:lineTo x="21355" y="21246"/>
              <wp:lineTo x="21355" y="18475"/>
              <wp:lineTo x="18900" y="14780"/>
              <wp:lineTo x="19391" y="9699"/>
              <wp:lineTo x="13991" y="7390"/>
              <wp:lineTo x="4909" y="6466"/>
              <wp:lineTo x="5645" y="3233"/>
              <wp:lineTo x="4418" y="0"/>
              <wp:lineTo x="0" y="0"/>
            </wp:wrapPolygon>
          </wp:wrapThrough>
          <wp:docPr id="1" name="Picture 1" descr="DE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C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6400" cy="890905"/>
                  </a:xfrm>
                  <a:prstGeom prst="rect">
                    <a:avLst/>
                  </a:prstGeom>
                  <a:noFill/>
                  <a:ln>
                    <a:noFill/>
                  </a:ln>
                </pic:spPr>
              </pic:pic>
            </a:graphicData>
          </a:graphic>
          <wp14:sizeRelH relativeFrom="page">
            <wp14:pctWidth>0</wp14:pctWidth>
          </wp14:sizeRelH>
          <wp14:sizeRelV relativeFrom="page">
            <wp14:pctHeight>0</wp14:pctHeight>
          </wp14:sizeRelV>
        </wp:anchor>
      </w:drawing>
    </w:r>
    <w:r w:rsidR="00177CB4">
      <w:t>0</w:t>
    </w:r>
    <w:r w:rsidR="00977518">
      <w:t>7/03</w:t>
    </w:r>
    <w:r w:rsidR="00177CB4">
      <w:t>/17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29D4"/>
    <w:multiLevelType w:val="multilevel"/>
    <w:tmpl w:val="B5FE57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51365C0"/>
    <w:multiLevelType w:val="multilevel"/>
    <w:tmpl w:val="A21EF3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6B0481D"/>
    <w:multiLevelType w:val="hybridMultilevel"/>
    <w:tmpl w:val="A38CB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81A1EBA"/>
    <w:multiLevelType w:val="hybridMultilevel"/>
    <w:tmpl w:val="57085C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2C847585"/>
    <w:multiLevelType w:val="multilevel"/>
    <w:tmpl w:val="97ECE3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2EE00614"/>
    <w:multiLevelType w:val="hybridMultilevel"/>
    <w:tmpl w:val="58960CF4"/>
    <w:lvl w:ilvl="0" w:tplc="1F44E38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E661CC4"/>
    <w:multiLevelType w:val="multilevel"/>
    <w:tmpl w:val="63285F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4D671D6B"/>
    <w:multiLevelType w:val="multilevel"/>
    <w:tmpl w:val="805609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56444518"/>
    <w:multiLevelType w:val="multilevel"/>
    <w:tmpl w:val="E03019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62D0242A"/>
    <w:multiLevelType w:val="hybridMultilevel"/>
    <w:tmpl w:val="30708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90628D1"/>
    <w:multiLevelType w:val="hybridMultilevel"/>
    <w:tmpl w:val="0B2AC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97F617B"/>
    <w:multiLevelType w:val="hybridMultilevel"/>
    <w:tmpl w:val="869A4C14"/>
    <w:lvl w:ilvl="0" w:tplc="08090001">
      <w:start w:val="1"/>
      <w:numFmt w:val="bullet"/>
      <w:lvlText w:val=""/>
      <w:lvlJc w:val="left"/>
      <w:pPr>
        <w:ind w:left="720" w:hanging="360"/>
      </w:pPr>
      <w:rPr>
        <w:rFonts w:ascii="Symbol" w:hAnsi="Symbol" w:hint="default"/>
      </w:rPr>
    </w:lvl>
    <w:lvl w:ilvl="1" w:tplc="088667D2">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4"/>
  </w:num>
  <w:num w:numId="5">
    <w:abstractNumId w:val="7"/>
  </w:num>
  <w:num w:numId="6">
    <w:abstractNumId w:val="1"/>
  </w:num>
  <w:num w:numId="7">
    <w:abstractNumId w:val="0"/>
  </w:num>
  <w:num w:numId="8">
    <w:abstractNumId w:val="8"/>
  </w:num>
  <w:num w:numId="9">
    <w:abstractNumId w:val="11"/>
  </w:num>
  <w:num w:numId="10">
    <w:abstractNumId w:val="2"/>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8BD"/>
    <w:rsid w:val="0002061F"/>
    <w:rsid w:val="00024653"/>
    <w:rsid w:val="00031A67"/>
    <w:rsid w:val="000545A2"/>
    <w:rsid w:val="000567B8"/>
    <w:rsid w:val="00083285"/>
    <w:rsid w:val="000C0E9B"/>
    <w:rsid w:val="00124806"/>
    <w:rsid w:val="00177CB4"/>
    <w:rsid w:val="0019576A"/>
    <w:rsid w:val="001B3C66"/>
    <w:rsid w:val="001E19E6"/>
    <w:rsid w:val="001F179B"/>
    <w:rsid w:val="002058B3"/>
    <w:rsid w:val="002263ED"/>
    <w:rsid w:val="00257F44"/>
    <w:rsid w:val="002831CF"/>
    <w:rsid w:val="002C72D3"/>
    <w:rsid w:val="002D39EC"/>
    <w:rsid w:val="002D4FF3"/>
    <w:rsid w:val="002D7136"/>
    <w:rsid w:val="003261C4"/>
    <w:rsid w:val="00353044"/>
    <w:rsid w:val="00380093"/>
    <w:rsid w:val="00381DAF"/>
    <w:rsid w:val="003B43A2"/>
    <w:rsid w:val="003C70D5"/>
    <w:rsid w:val="003E2280"/>
    <w:rsid w:val="004153D4"/>
    <w:rsid w:val="0044037D"/>
    <w:rsid w:val="004777EE"/>
    <w:rsid w:val="00491DD0"/>
    <w:rsid w:val="004B03D5"/>
    <w:rsid w:val="004C3524"/>
    <w:rsid w:val="004E37E9"/>
    <w:rsid w:val="004F111A"/>
    <w:rsid w:val="00513FC9"/>
    <w:rsid w:val="005929A7"/>
    <w:rsid w:val="005E6EF0"/>
    <w:rsid w:val="005F60D0"/>
    <w:rsid w:val="00603695"/>
    <w:rsid w:val="00616BFA"/>
    <w:rsid w:val="00635B08"/>
    <w:rsid w:val="0064328F"/>
    <w:rsid w:val="00693F39"/>
    <w:rsid w:val="006E0BC5"/>
    <w:rsid w:val="006F5898"/>
    <w:rsid w:val="00700369"/>
    <w:rsid w:val="0078588D"/>
    <w:rsid w:val="007D5A47"/>
    <w:rsid w:val="008228FA"/>
    <w:rsid w:val="008436D0"/>
    <w:rsid w:val="00845980"/>
    <w:rsid w:val="008637DD"/>
    <w:rsid w:val="008865FA"/>
    <w:rsid w:val="008D5657"/>
    <w:rsid w:val="00933E1A"/>
    <w:rsid w:val="00977518"/>
    <w:rsid w:val="009936C2"/>
    <w:rsid w:val="009B1A82"/>
    <w:rsid w:val="009B1AE6"/>
    <w:rsid w:val="009E4547"/>
    <w:rsid w:val="00A846BD"/>
    <w:rsid w:val="00AB0871"/>
    <w:rsid w:val="00B0394F"/>
    <w:rsid w:val="00B37EC6"/>
    <w:rsid w:val="00B426B0"/>
    <w:rsid w:val="00B60EA1"/>
    <w:rsid w:val="00B92A8D"/>
    <w:rsid w:val="00B97370"/>
    <w:rsid w:val="00BA609A"/>
    <w:rsid w:val="00BB3F68"/>
    <w:rsid w:val="00BC0CD1"/>
    <w:rsid w:val="00BE5EB4"/>
    <w:rsid w:val="00BE6BED"/>
    <w:rsid w:val="00BE7D7C"/>
    <w:rsid w:val="00C0689B"/>
    <w:rsid w:val="00C63E7B"/>
    <w:rsid w:val="00C71528"/>
    <w:rsid w:val="00C776DC"/>
    <w:rsid w:val="00C94862"/>
    <w:rsid w:val="00C97968"/>
    <w:rsid w:val="00CB5D5A"/>
    <w:rsid w:val="00CE7D68"/>
    <w:rsid w:val="00D04CE2"/>
    <w:rsid w:val="00D1046D"/>
    <w:rsid w:val="00D310D3"/>
    <w:rsid w:val="00D63845"/>
    <w:rsid w:val="00D7701B"/>
    <w:rsid w:val="00D9748F"/>
    <w:rsid w:val="00E07186"/>
    <w:rsid w:val="00E35CBE"/>
    <w:rsid w:val="00E35D4D"/>
    <w:rsid w:val="00E962F8"/>
    <w:rsid w:val="00EC0B55"/>
    <w:rsid w:val="00EC565F"/>
    <w:rsid w:val="00EC58BD"/>
    <w:rsid w:val="00F23E25"/>
    <w:rsid w:val="00F263C4"/>
    <w:rsid w:val="00F5427C"/>
    <w:rsid w:val="00F731F1"/>
    <w:rsid w:val="00F83429"/>
    <w:rsid w:val="00FC0B88"/>
    <w:rsid w:val="00FE18B3"/>
    <w:rsid w:val="00FF5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EC58BD"/>
    <w:pPr>
      <w:spacing w:after="0" w:line="240" w:lineRule="auto"/>
      <w:ind w:left="720"/>
    </w:pPr>
    <w:rPr>
      <w:rFonts w:ascii="Calibri" w:hAnsi="Calibri" w:cs="Calibri"/>
      <w:sz w:val="22"/>
      <w:szCs w:val="22"/>
    </w:rPr>
  </w:style>
  <w:style w:type="table" w:styleId="TableGrid">
    <w:name w:val="Table Grid"/>
    <w:basedOn w:val="TableNormal"/>
    <w:uiPriority w:val="59"/>
    <w:rsid w:val="005E6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1A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A82"/>
    <w:rPr>
      <w:rFonts w:ascii="Tahoma" w:hAnsi="Tahoma" w:cs="Tahoma"/>
      <w:sz w:val="16"/>
      <w:szCs w:val="16"/>
    </w:rPr>
  </w:style>
  <w:style w:type="character" w:styleId="CommentReference">
    <w:name w:val="annotation reference"/>
    <w:basedOn w:val="DefaultParagraphFont"/>
    <w:uiPriority w:val="99"/>
    <w:semiHidden/>
    <w:unhideWhenUsed/>
    <w:rsid w:val="00C63E7B"/>
    <w:rPr>
      <w:sz w:val="16"/>
      <w:szCs w:val="16"/>
    </w:rPr>
  </w:style>
  <w:style w:type="paragraph" w:styleId="CommentText">
    <w:name w:val="annotation text"/>
    <w:basedOn w:val="Normal"/>
    <w:link w:val="CommentTextChar"/>
    <w:uiPriority w:val="99"/>
    <w:unhideWhenUsed/>
    <w:rsid w:val="00C63E7B"/>
    <w:pPr>
      <w:spacing w:line="240" w:lineRule="auto"/>
    </w:pPr>
    <w:rPr>
      <w:sz w:val="20"/>
      <w:szCs w:val="20"/>
    </w:rPr>
  </w:style>
  <w:style w:type="character" w:customStyle="1" w:styleId="CommentTextChar">
    <w:name w:val="Comment Text Char"/>
    <w:basedOn w:val="DefaultParagraphFont"/>
    <w:link w:val="CommentText"/>
    <w:uiPriority w:val="99"/>
    <w:rsid w:val="00C63E7B"/>
    <w:rPr>
      <w:sz w:val="20"/>
      <w:szCs w:val="20"/>
    </w:rPr>
  </w:style>
  <w:style w:type="paragraph" w:styleId="CommentSubject">
    <w:name w:val="annotation subject"/>
    <w:basedOn w:val="CommentText"/>
    <w:next w:val="CommentText"/>
    <w:link w:val="CommentSubjectChar"/>
    <w:uiPriority w:val="99"/>
    <w:semiHidden/>
    <w:unhideWhenUsed/>
    <w:rsid w:val="00C63E7B"/>
    <w:rPr>
      <w:b/>
      <w:bCs/>
    </w:rPr>
  </w:style>
  <w:style w:type="character" w:customStyle="1" w:styleId="CommentSubjectChar">
    <w:name w:val="Comment Subject Char"/>
    <w:basedOn w:val="CommentTextChar"/>
    <w:link w:val="CommentSubject"/>
    <w:uiPriority w:val="99"/>
    <w:semiHidden/>
    <w:rsid w:val="00C63E7B"/>
    <w:rPr>
      <w:b/>
      <w:bCs/>
      <w:sz w:val="20"/>
      <w:szCs w:val="20"/>
    </w:rPr>
  </w:style>
  <w:style w:type="paragraph" w:styleId="Header">
    <w:name w:val="header"/>
    <w:basedOn w:val="Normal"/>
    <w:link w:val="HeaderChar"/>
    <w:uiPriority w:val="99"/>
    <w:unhideWhenUsed/>
    <w:rsid w:val="004C35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524"/>
  </w:style>
  <w:style w:type="paragraph" w:styleId="Footer">
    <w:name w:val="footer"/>
    <w:basedOn w:val="Normal"/>
    <w:link w:val="FooterChar"/>
    <w:uiPriority w:val="99"/>
    <w:unhideWhenUsed/>
    <w:rsid w:val="004C35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524"/>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E2280"/>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EC58BD"/>
    <w:pPr>
      <w:spacing w:after="0" w:line="240" w:lineRule="auto"/>
      <w:ind w:left="720"/>
    </w:pPr>
    <w:rPr>
      <w:rFonts w:ascii="Calibri" w:hAnsi="Calibri" w:cs="Calibri"/>
      <w:sz w:val="22"/>
      <w:szCs w:val="22"/>
    </w:rPr>
  </w:style>
  <w:style w:type="table" w:styleId="TableGrid">
    <w:name w:val="Table Grid"/>
    <w:basedOn w:val="TableNormal"/>
    <w:uiPriority w:val="59"/>
    <w:rsid w:val="005E6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1A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A82"/>
    <w:rPr>
      <w:rFonts w:ascii="Tahoma" w:hAnsi="Tahoma" w:cs="Tahoma"/>
      <w:sz w:val="16"/>
      <w:szCs w:val="16"/>
    </w:rPr>
  </w:style>
  <w:style w:type="character" w:styleId="CommentReference">
    <w:name w:val="annotation reference"/>
    <w:basedOn w:val="DefaultParagraphFont"/>
    <w:uiPriority w:val="99"/>
    <w:semiHidden/>
    <w:unhideWhenUsed/>
    <w:rsid w:val="00C63E7B"/>
    <w:rPr>
      <w:sz w:val="16"/>
      <w:szCs w:val="16"/>
    </w:rPr>
  </w:style>
  <w:style w:type="paragraph" w:styleId="CommentText">
    <w:name w:val="annotation text"/>
    <w:basedOn w:val="Normal"/>
    <w:link w:val="CommentTextChar"/>
    <w:uiPriority w:val="99"/>
    <w:unhideWhenUsed/>
    <w:rsid w:val="00C63E7B"/>
    <w:pPr>
      <w:spacing w:line="240" w:lineRule="auto"/>
    </w:pPr>
    <w:rPr>
      <w:sz w:val="20"/>
      <w:szCs w:val="20"/>
    </w:rPr>
  </w:style>
  <w:style w:type="character" w:customStyle="1" w:styleId="CommentTextChar">
    <w:name w:val="Comment Text Char"/>
    <w:basedOn w:val="DefaultParagraphFont"/>
    <w:link w:val="CommentText"/>
    <w:uiPriority w:val="99"/>
    <w:rsid w:val="00C63E7B"/>
    <w:rPr>
      <w:sz w:val="20"/>
      <w:szCs w:val="20"/>
    </w:rPr>
  </w:style>
  <w:style w:type="paragraph" w:styleId="CommentSubject">
    <w:name w:val="annotation subject"/>
    <w:basedOn w:val="CommentText"/>
    <w:next w:val="CommentText"/>
    <w:link w:val="CommentSubjectChar"/>
    <w:uiPriority w:val="99"/>
    <w:semiHidden/>
    <w:unhideWhenUsed/>
    <w:rsid w:val="00C63E7B"/>
    <w:rPr>
      <w:b/>
      <w:bCs/>
    </w:rPr>
  </w:style>
  <w:style w:type="character" w:customStyle="1" w:styleId="CommentSubjectChar">
    <w:name w:val="Comment Subject Char"/>
    <w:basedOn w:val="CommentTextChar"/>
    <w:link w:val="CommentSubject"/>
    <w:uiPriority w:val="99"/>
    <w:semiHidden/>
    <w:rsid w:val="00C63E7B"/>
    <w:rPr>
      <w:b/>
      <w:bCs/>
      <w:sz w:val="20"/>
      <w:szCs w:val="20"/>
    </w:rPr>
  </w:style>
  <w:style w:type="paragraph" w:styleId="Header">
    <w:name w:val="header"/>
    <w:basedOn w:val="Normal"/>
    <w:link w:val="HeaderChar"/>
    <w:uiPriority w:val="99"/>
    <w:unhideWhenUsed/>
    <w:rsid w:val="004C35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524"/>
  </w:style>
  <w:style w:type="paragraph" w:styleId="Footer">
    <w:name w:val="footer"/>
    <w:basedOn w:val="Normal"/>
    <w:link w:val="FooterChar"/>
    <w:uiPriority w:val="99"/>
    <w:unhideWhenUsed/>
    <w:rsid w:val="004C35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524"/>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E2280"/>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34728">
      <w:bodyDiv w:val="1"/>
      <w:marLeft w:val="0"/>
      <w:marRight w:val="0"/>
      <w:marTop w:val="0"/>
      <w:marBottom w:val="0"/>
      <w:divBdr>
        <w:top w:val="none" w:sz="0" w:space="0" w:color="auto"/>
        <w:left w:val="none" w:sz="0" w:space="0" w:color="auto"/>
        <w:bottom w:val="none" w:sz="0" w:space="0" w:color="auto"/>
        <w:right w:val="none" w:sz="0" w:space="0" w:color="auto"/>
      </w:divBdr>
    </w:div>
    <w:div w:id="627010065">
      <w:bodyDiv w:val="1"/>
      <w:marLeft w:val="0"/>
      <w:marRight w:val="0"/>
      <w:marTop w:val="0"/>
      <w:marBottom w:val="0"/>
      <w:divBdr>
        <w:top w:val="none" w:sz="0" w:space="0" w:color="auto"/>
        <w:left w:val="none" w:sz="0" w:space="0" w:color="auto"/>
        <w:bottom w:val="none" w:sz="0" w:space="0" w:color="auto"/>
        <w:right w:val="none" w:sz="0" w:space="0" w:color="auto"/>
      </w:divBdr>
    </w:div>
    <w:div w:id="831026303">
      <w:bodyDiv w:val="1"/>
      <w:marLeft w:val="0"/>
      <w:marRight w:val="0"/>
      <w:marTop w:val="0"/>
      <w:marBottom w:val="0"/>
      <w:divBdr>
        <w:top w:val="none" w:sz="0" w:space="0" w:color="auto"/>
        <w:left w:val="none" w:sz="0" w:space="0" w:color="auto"/>
        <w:bottom w:val="none" w:sz="0" w:space="0" w:color="auto"/>
        <w:right w:val="none" w:sz="0" w:space="0" w:color="auto"/>
      </w:divBdr>
    </w:div>
    <w:div w:id="909462254">
      <w:bodyDiv w:val="1"/>
      <w:marLeft w:val="0"/>
      <w:marRight w:val="0"/>
      <w:marTop w:val="0"/>
      <w:marBottom w:val="0"/>
      <w:divBdr>
        <w:top w:val="none" w:sz="0" w:space="0" w:color="auto"/>
        <w:left w:val="none" w:sz="0" w:space="0" w:color="auto"/>
        <w:bottom w:val="none" w:sz="0" w:space="0" w:color="auto"/>
        <w:right w:val="none" w:sz="0" w:space="0" w:color="auto"/>
      </w:divBdr>
    </w:div>
    <w:div w:id="918487763">
      <w:bodyDiv w:val="1"/>
      <w:marLeft w:val="0"/>
      <w:marRight w:val="0"/>
      <w:marTop w:val="0"/>
      <w:marBottom w:val="0"/>
      <w:divBdr>
        <w:top w:val="none" w:sz="0" w:space="0" w:color="auto"/>
        <w:left w:val="none" w:sz="0" w:space="0" w:color="auto"/>
        <w:bottom w:val="none" w:sz="0" w:space="0" w:color="auto"/>
        <w:right w:val="none" w:sz="0" w:space="0" w:color="auto"/>
      </w:divBdr>
    </w:div>
    <w:div w:id="964849942">
      <w:bodyDiv w:val="1"/>
      <w:marLeft w:val="0"/>
      <w:marRight w:val="0"/>
      <w:marTop w:val="0"/>
      <w:marBottom w:val="0"/>
      <w:divBdr>
        <w:top w:val="none" w:sz="0" w:space="0" w:color="auto"/>
        <w:left w:val="none" w:sz="0" w:space="0" w:color="auto"/>
        <w:bottom w:val="none" w:sz="0" w:space="0" w:color="auto"/>
        <w:right w:val="none" w:sz="0" w:space="0" w:color="auto"/>
      </w:divBdr>
    </w:div>
    <w:div w:id="1152333730">
      <w:bodyDiv w:val="1"/>
      <w:marLeft w:val="0"/>
      <w:marRight w:val="0"/>
      <w:marTop w:val="0"/>
      <w:marBottom w:val="0"/>
      <w:divBdr>
        <w:top w:val="none" w:sz="0" w:space="0" w:color="auto"/>
        <w:left w:val="none" w:sz="0" w:space="0" w:color="auto"/>
        <w:bottom w:val="none" w:sz="0" w:space="0" w:color="auto"/>
        <w:right w:val="none" w:sz="0" w:space="0" w:color="auto"/>
      </w:divBdr>
    </w:div>
    <w:div w:id="1285191552">
      <w:bodyDiv w:val="1"/>
      <w:marLeft w:val="0"/>
      <w:marRight w:val="0"/>
      <w:marTop w:val="0"/>
      <w:marBottom w:val="0"/>
      <w:divBdr>
        <w:top w:val="none" w:sz="0" w:space="0" w:color="auto"/>
        <w:left w:val="none" w:sz="0" w:space="0" w:color="auto"/>
        <w:bottom w:val="none" w:sz="0" w:space="0" w:color="auto"/>
        <w:right w:val="none" w:sz="0" w:space="0" w:color="auto"/>
      </w:divBdr>
    </w:div>
    <w:div w:id="1337538248">
      <w:bodyDiv w:val="1"/>
      <w:marLeft w:val="0"/>
      <w:marRight w:val="0"/>
      <w:marTop w:val="0"/>
      <w:marBottom w:val="0"/>
      <w:divBdr>
        <w:top w:val="none" w:sz="0" w:space="0" w:color="auto"/>
        <w:left w:val="none" w:sz="0" w:space="0" w:color="auto"/>
        <w:bottom w:val="none" w:sz="0" w:space="0" w:color="auto"/>
        <w:right w:val="none" w:sz="0" w:space="0" w:color="auto"/>
      </w:divBdr>
    </w:div>
    <w:div w:id="1710761523">
      <w:bodyDiv w:val="1"/>
      <w:marLeft w:val="0"/>
      <w:marRight w:val="0"/>
      <w:marTop w:val="0"/>
      <w:marBottom w:val="0"/>
      <w:divBdr>
        <w:top w:val="none" w:sz="0" w:space="0" w:color="auto"/>
        <w:left w:val="none" w:sz="0" w:space="0" w:color="auto"/>
        <w:bottom w:val="none" w:sz="0" w:space="0" w:color="auto"/>
        <w:right w:val="none" w:sz="0" w:space="0" w:color="auto"/>
      </w:divBdr>
    </w:div>
    <w:div w:id="1841306619">
      <w:bodyDiv w:val="1"/>
      <w:marLeft w:val="0"/>
      <w:marRight w:val="0"/>
      <w:marTop w:val="0"/>
      <w:marBottom w:val="0"/>
      <w:divBdr>
        <w:top w:val="none" w:sz="0" w:space="0" w:color="auto"/>
        <w:left w:val="none" w:sz="0" w:space="0" w:color="auto"/>
        <w:bottom w:val="none" w:sz="0" w:space="0" w:color="auto"/>
        <w:right w:val="none" w:sz="0" w:space="0" w:color="auto"/>
      </w:divBdr>
    </w:div>
    <w:div w:id="2090424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1CB65-5845-4FBD-AAD0-4254E6781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651</Words>
  <Characters>3711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Will (Analysis)</dc:creator>
  <cp:lastModifiedBy>Farthing Paul (Finance &amp; Information Services)</cp:lastModifiedBy>
  <cp:revision>2</cp:revision>
  <dcterms:created xsi:type="dcterms:W3CDTF">2017-03-08T13:10:00Z</dcterms:created>
  <dcterms:modified xsi:type="dcterms:W3CDTF">2017-03-08T13:10:00Z</dcterms:modified>
</cp:coreProperties>
</file>